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3054019B" w:rsidR="00F02AEC" w:rsidRPr="00215D48" w:rsidRDefault="00346EC2" w:rsidP="007452E8">
            <w:pPr>
              <w:pStyle w:val="Title"/>
            </w:pPr>
            <w:r w:rsidRPr="00346EC2">
              <w:t xml:space="preserve">Australian Public Assessment Report for </w:t>
            </w:r>
            <w:r w:rsidR="00653569">
              <w:t>Tezspire</w:t>
            </w:r>
          </w:p>
        </w:tc>
      </w:tr>
      <w:tr w:rsidR="00F02AEC" w:rsidRPr="00215D48" w14:paraId="318A40A3" w14:textId="77777777" w:rsidTr="00346EC2">
        <w:trPr>
          <w:trHeight w:val="995"/>
        </w:trPr>
        <w:tc>
          <w:tcPr>
            <w:tcW w:w="8720" w:type="dxa"/>
          </w:tcPr>
          <w:p w14:paraId="1AA7C701" w14:textId="42286B49" w:rsidR="00F02AEC" w:rsidRPr="00215D48" w:rsidRDefault="00346EC2" w:rsidP="007452E8">
            <w:pPr>
              <w:pStyle w:val="Subtitle"/>
              <w:ind w:left="0"/>
            </w:pPr>
            <w:r w:rsidRPr="00346EC2">
              <w:t xml:space="preserve">Active ingredient: </w:t>
            </w:r>
            <w:r w:rsidR="000F0EB3">
              <w:t>T</w:t>
            </w:r>
            <w:r w:rsidR="00653569">
              <w:t>ezepelumab</w:t>
            </w:r>
          </w:p>
        </w:tc>
      </w:tr>
      <w:tr w:rsidR="00346EC2" w:rsidRPr="00215D48" w14:paraId="362CCAE4" w14:textId="77777777" w:rsidTr="007452E8">
        <w:trPr>
          <w:trHeight w:val="1916"/>
        </w:trPr>
        <w:tc>
          <w:tcPr>
            <w:tcW w:w="8720" w:type="dxa"/>
          </w:tcPr>
          <w:p w14:paraId="709C45C0" w14:textId="0CC287CE" w:rsidR="00346EC2" w:rsidRPr="00215D48" w:rsidRDefault="00346EC2" w:rsidP="007452E8">
            <w:pPr>
              <w:pStyle w:val="Subtitle"/>
              <w:ind w:left="0"/>
            </w:pPr>
            <w:r w:rsidRPr="00346EC2">
              <w:t xml:space="preserve">Sponsor: </w:t>
            </w:r>
            <w:r w:rsidR="00653569">
              <w:t>AstraZeneca Pty Ltd</w:t>
            </w:r>
          </w:p>
        </w:tc>
      </w:tr>
      <w:tr w:rsidR="00F02AEC" w:rsidRPr="00215D48" w14:paraId="37F2AA1F" w14:textId="77777777" w:rsidTr="007452E8">
        <w:tc>
          <w:tcPr>
            <w:tcW w:w="8720" w:type="dxa"/>
          </w:tcPr>
          <w:p w14:paraId="1FDE8DCD" w14:textId="2E37A026" w:rsidR="00F02AEC" w:rsidRPr="00215D48" w:rsidRDefault="003A184E" w:rsidP="007452E8">
            <w:pPr>
              <w:pStyle w:val="Date"/>
            </w:pPr>
            <w:r>
              <w:t xml:space="preserve">May </w:t>
            </w:r>
            <w:r w:rsidR="00563B81">
              <w:t>202</w:t>
            </w:r>
            <w:r w:rsidR="00914FCC">
              <w:t>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8"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9"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7956034" w:rsidR="00175CD8" w:rsidRPr="00346EC2" w:rsidRDefault="00F02AEC" w:rsidP="00346EC2">
      <w:pPr>
        <w:pStyle w:val="LegalCopy"/>
        <w:rPr>
          <w:rFonts w:cs="Arial"/>
        </w:rPr>
      </w:pPr>
      <w:r w:rsidRPr="00215D48">
        <w:rPr>
          <w:rFonts w:cs="Arial"/>
        </w:rPr>
        <w:t>© Commonwealth of Australia 20</w:t>
      </w:r>
      <w:r>
        <w:rPr>
          <w:rFonts w:cs="Arial"/>
        </w:rPr>
        <w:t>2</w:t>
      </w:r>
      <w:r w:rsidR="00914FCC">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20"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360804D6" w14:textId="771BBBDF" w:rsidR="00CB2C6B"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30164548" w:history="1">
            <w:r w:rsidR="00CB2C6B" w:rsidRPr="00B05152">
              <w:rPr>
                <w:rStyle w:val="Hyperlink"/>
                <w:noProof/>
              </w:rPr>
              <w:t>List of abbreviations</w:t>
            </w:r>
            <w:r w:rsidR="00CB2C6B">
              <w:rPr>
                <w:noProof/>
                <w:webHidden/>
              </w:rPr>
              <w:tab/>
            </w:r>
            <w:r w:rsidR="00CB2C6B">
              <w:rPr>
                <w:noProof/>
                <w:webHidden/>
              </w:rPr>
              <w:fldChar w:fldCharType="begin"/>
            </w:r>
            <w:r w:rsidR="00CB2C6B">
              <w:rPr>
                <w:noProof/>
                <w:webHidden/>
              </w:rPr>
              <w:instrText xml:space="preserve"> PAGEREF _Toc230164548 \h </w:instrText>
            </w:r>
            <w:r w:rsidR="00CB2C6B">
              <w:rPr>
                <w:noProof/>
                <w:webHidden/>
              </w:rPr>
            </w:r>
            <w:r w:rsidR="00CB2C6B">
              <w:rPr>
                <w:noProof/>
                <w:webHidden/>
              </w:rPr>
              <w:fldChar w:fldCharType="separate"/>
            </w:r>
            <w:r w:rsidR="005657B1">
              <w:rPr>
                <w:noProof/>
                <w:webHidden/>
              </w:rPr>
              <w:t>4</w:t>
            </w:r>
            <w:r w:rsidR="00CB2C6B">
              <w:rPr>
                <w:noProof/>
                <w:webHidden/>
              </w:rPr>
              <w:fldChar w:fldCharType="end"/>
            </w:r>
          </w:hyperlink>
        </w:p>
        <w:p w14:paraId="6CAE5431" w14:textId="602A7300" w:rsidR="00CB2C6B" w:rsidRDefault="00CB2C6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164549" w:history="1">
            <w:r w:rsidRPr="00B05152">
              <w:rPr>
                <w:rStyle w:val="Hyperlink"/>
                <w:noProof/>
              </w:rPr>
              <w:t>Product submission</w:t>
            </w:r>
            <w:r>
              <w:rPr>
                <w:noProof/>
                <w:webHidden/>
              </w:rPr>
              <w:tab/>
            </w:r>
            <w:r>
              <w:rPr>
                <w:noProof/>
                <w:webHidden/>
              </w:rPr>
              <w:fldChar w:fldCharType="begin"/>
            </w:r>
            <w:r>
              <w:rPr>
                <w:noProof/>
                <w:webHidden/>
              </w:rPr>
              <w:instrText xml:space="preserve"> PAGEREF _Toc230164549 \h </w:instrText>
            </w:r>
            <w:r>
              <w:rPr>
                <w:noProof/>
                <w:webHidden/>
              </w:rPr>
            </w:r>
            <w:r>
              <w:rPr>
                <w:noProof/>
                <w:webHidden/>
              </w:rPr>
              <w:fldChar w:fldCharType="separate"/>
            </w:r>
            <w:r w:rsidR="005657B1">
              <w:rPr>
                <w:noProof/>
                <w:webHidden/>
              </w:rPr>
              <w:t>6</w:t>
            </w:r>
            <w:r>
              <w:rPr>
                <w:noProof/>
                <w:webHidden/>
              </w:rPr>
              <w:fldChar w:fldCharType="end"/>
            </w:r>
          </w:hyperlink>
        </w:p>
        <w:p w14:paraId="76E0BC75" w14:textId="7FF7FF5B" w:rsidR="00CB2C6B" w:rsidRDefault="00CB2C6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164550" w:history="1">
            <w:r w:rsidRPr="00B05152">
              <w:rPr>
                <w:rStyle w:val="Hyperlink"/>
                <w:noProof/>
                <w:lang w:eastAsia="en-AU"/>
              </w:rPr>
              <w:t>Submission details</w:t>
            </w:r>
            <w:r>
              <w:rPr>
                <w:noProof/>
                <w:webHidden/>
              </w:rPr>
              <w:tab/>
            </w:r>
            <w:r>
              <w:rPr>
                <w:noProof/>
                <w:webHidden/>
              </w:rPr>
              <w:fldChar w:fldCharType="begin"/>
            </w:r>
            <w:r>
              <w:rPr>
                <w:noProof/>
                <w:webHidden/>
              </w:rPr>
              <w:instrText xml:space="preserve"> PAGEREF _Toc230164550 \h </w:instrText>
            </w:r>
            <w:r>
              <w:rPr>
                <w:noProof/>
                <w:webHidden/>
              </w:rPr>
            </w:r>
            <w:r>
              <w:rPr>
                <w:noProof/>
                <w:webHidden/>
              </w:rPr>
              <w:fldChar w:fldCharType="separate"/>
            </w:r>
            <w:r w:rsidR="005657B1">
              <w:rPr>
                <w:noProof/>
                <w:webHidden/>
              </w:rPr>
              <w:t>6</w:t>
            </w:r>
            <w:r>
              <w:rPr>
                <w:noProof/>
                <w:webHidden/>
              </w:rPr>
              <w:fldChar w:fldCharType="end"/>
            </w:r>
          </w:hyperlink>
        </w:p>
        <w:p w14:paraId="26AABAA2" w14:textId="38861A62" w:rsidR="00CB2C6B" w:rsidRDefault="00CB2C6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164551" w:history="1">
            <w:r w:rsidRPr="00B05152">
              <w:rPr>
                <w:rStyle w:val="Hyperlink"/>
                <w:noProof/>
              </w:rPr>
              <w:t>Product background</w:t>
            </w:r>
            <w:r>
              <w:rPr>
                <w:noProof/>
                <w:webHidden/>
              </w:rPr>
              <w:tab/>
            </w:r>
            <w:r>
              <w:rPr>
                <w:noProof/>
                <w:webHidden/>
              </w:rPr>
              <w:fldChar w:fldCharType="begin"/>
            </w:r>
            <w:r>
              <w:rPr>
                <w:noProof/>
                <w:webHidden/>
              </w:rPr>
              <w:instrText xml:space="preserve"> PAGEREF _Toc230164551 \h </w:instrText>
            </w:r>
            <w:r>
              <w:rPr>
                <w:noProof/>
                <w:webHidden/>
              </w:rPr>
            </w:r>
            <w:r>
              <w:rPr>
                <w:noProof/>
                <w:webHidden/>
              </w:rPr>
              <w:fldChar w:fldCharType="separate"/>
            </w:r>
            <w:r w:rsidR="005657B1">
              <w:rPr>
                <w:noProof/>
                <w:webHidden/>
              </w:rPr>
              <w:t>7</w:t>
            </w:r>
            <w:r>
              <w:rPr>
                <w:noProof/>
                <w:webHidden/>
              </w:rPr>
              <w:fldChar w:fldCharType="end"/>
            </w:r>
          </w:hyperlink>
        </w:p>
        <w:p w14:paraId="7EC6A281" w14:textId="513EE340" w:rsidR="00CB2C6B" w:rsidRDefault="00CB2C6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164552" w:history="1">
            <w:r w:rsidRPr="00B05152">
              <w:rPr>
                <w:rStyle w:val="Hyperlink"/>
                <w:noProof/>
              </w:rPr>
              <w:t>Disease</w:t>
            </w:r>
            <w:r>
              <w:rPr>
                <w:noProof/>
                <w:webHidden/>
              </w:rPr>
              <w:tab/>
            </w:r>
            <w:r>
              <w:rPr>
                <w:noProof/>
                <w:webHidden/>
              </w:rPr>
              <w:fldChar w:fldCharType="begin"/>
            </w:r>
            <w:r>
              <w:rPr>
                <w:noProof/>
                <w:webHidden/>
              </w:rPr>
              <w:instrText xml:space="preserve"> PAGEREF _Toc230164552 \h </w:instrText>
            </w:r>
            <w:r>
              <w:rPr>
                <w:noProof/>
                <w:webHidden/>
              </w:rPr>
            </w:r>
            <w:r>
              <w:rPr>
                <w:noProof/>
                <w:webHidden/>
              </w:rPr>
              <w:fldChar w:fldCharType="separate"/>
            </w:r>
            <w:r w:rsidR="005657B1">
              <w:rPr>
                <w:noProof/>
                <w:webHidden/>
              </w:rPr>
              <w:t>7</w:t>
            </w:r>
            <w:r>
              <w:rPr>
                <w:noProof/>
                <w:webHidden/>
              </w:rPr>
              <w:fldChar w:fldCharType="end"/>
            </w:r>
          </w:hyperlink>
        </w:p>
        <w:p w14:paraId="25551DE9" w14:textId="5D281E30" w:rsidR="00CB2C6B" w:rsidRDefault="00CB2C6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164553" w:history="1">
            <w:r w:rsidRPr="00B05152">
              <w:rPr>
                <w:rStyle w:val="Hyperlink"/>
                <w:noProof/>
              </w:rPr>
              <w:t>Current treatment options</w:t>
            </w:r>
            <w:r>
              <w:rPr>
                <w:noProof/>
                <w:webHidden/>
              </w:rPr>
              <w:tab/>
            </w:r>
            <w:r>
              <w:rPr>
                <w:noProof/>
                <w:webHidden/>
              </w:rPr>
              <w:fldChar w:fldCharType="begin"/>
            </w:r>
            <w:r>
              <w:rPr>
                <w:noProof/>
                <w:webHidden/>
              </w:rPr>
              <w:instrText xml:space="preserve"> PAGEREF _Toc230164553 \h </w:instrText>
            </w:r>
            <w:r>
              <w:rPr>
                <w:noProof/>
                <w:webHidden/>
              </w:rPr>
            </w:r>
            <w:r>
              <w:rPr>
                <w:noProof/>
                <w:webHidden/>
              </w:rPr>
              <w:fldChar w:fldCharType="separate"/>
            </w:r>
            <w:r w:rsidR="005657B1">
              <w:rPr>
                <w:noProof/>
                <w:webHidden/>
              </w:rPr>
              <w:t>9</w:t>
            </w:r>
            <w:r>
              <w:rPr>
                <w:noProof/>
                <w:webHidden/>
              </w:rPr>
              <w:fldChar w:fldCharType="end"/>
            </w:r>
          </w:hyperlink>
        </w:p>
        <w:p w14:paraId="4D692E9D" w14:textId="1281219E" w:rsidR="00CB2C6B" w:rsidRDefault="00CB2C6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164554" w:history="1">
            <w:r w:rsidRPr="00B05152">
              <w:rPr>
                <w:rStyle w:val="Hyperlink"/>
                <w:noProof/>
              </w:rPr>
              <w:t>Clinical rationale</w:t>
            </w:r>
            <w:r>
              <w:rPr>
                <w:noProof/>
                <w:webHidden/>
              </w:rPr>
              <w:tab/>
            </w:r>
            <w:r>
              <w:rPr>
                <w:noProof/>
                <w:webHidden/>
              </w:rPr>
              <w:fldChar w:fldCharType="begin"/>
            </w:r>
            <w:r>
              <w:rPr>
                <w:noProof/>
                <w:webHidden/>
              </w:rPr>
              <w:instrText xml:space="preserve"> PAGEREF _Toc230164554 \h </w:instrText>
            </w:r>
            <w:r>
              <w:rPr>
                <w:noProof/>
                <w:webHidden/>
              </w:rPr>
            </w:r>
            <w:r>
              <w:rPr>
                <w:noProof/>
                <w:webHidden/>
              </w:rPr>
              <w:fldChar w:fldCharType="separate"/>
            </w:r>
            <w:r w:rsidR="005657B1">
              <w:rPr>
                <w:noProof/>
                <w:webHidden/>
              </w:rPr>
              <w:t>12</w:t>
            </w:r>
            <w:r>
              <w:rPr>
                <w:noProof/>
                <w:webHidden/>
              </w:rPr>
              <w:fldChar w:fldCharType="end"/>
            </w:r>
          </w:hyperlink>
        </w:p>
        <w:p w14:paraId="572E1500" w14:textId="5D6FFD7D" w:rsidR="00CB2C6B" w:rsidRDefault="00CB2C6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164555" w:history="1">
            <w:r w:rsidRPr="00B05152">
              <w:rPr>
                <w:rStyle w:val="Hyperlink"/>
                <w:noProof/>
              </w:rPr>
              <w:t>Regulatory status</w:t>
            </w:r>
            <w:r>
              <w:rPr>
                <w:noProof/>
                <w:webHidden/>
              </w:rPr>
              <w:tab/>
            </w:r>
            <w:r>
              <w:rPr>
                <w:noProof/>
                <w:webHidden/>
              </w:rPr>
              <w:fldChar w:fldCharType="begin"/>
            </w:r>
            <w:r>
              <w:rPr>
                <w:noProof/>
                <w:webHidden/>
              </w:rPr>
              <w:instrText xml:space="preserve"> PAGEREF _Toc230164555 \h </w:instrText>
            </w:r>
            <w:r>
              <w:rPr>
                <w:noProof/>
                <w:webHidden/>
              </w:rPr>
            </w:r>
            <w:r>
              <w:rPr>
                <w:noProof/>
                <w:webHidden/>
              </w:rPr>
              <w:fldChar w:fldCharType="separate"/>
            </w:r>
            <w:r w:rsidR="005657B1">
              <w:rPr>
                <w:noProof/>
                <w:webHidden/>
              </w:rPr>
              <w:t>13</w:t>
            </w:r>
            <w:r>
              <w:rPr>
                <w:noProof/>
                <w:webHidden/>
              </w:rPr>
              <w:fldChar w:fldCharType="end"/>
            </w:r>
          </w:hyperlink>
        </w:p>
        <w:p w14:paraId="1DE88448" w14:textId="753B99B6" w:rsidR="00CB2C6B" w:rsidRDefault="00CB2C6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164556" w:history="1">
            <w:r w:rsidRPr="00B05152">
              <w:rPr>
                <w:rStyle w:val="Hyperlink"/>
                <w:noProof/>
              </w:rPr>
              <w:t>Australian regulatory status</w:t>
            </w:r>
            <w:r>
              <w:rPr>
                <w:noProof/>
                <w:webHidden/>
              </w:rPr>
              <w:tab/>
            </w:r>
            <w:r>
              <w:rPr>
                <w:noProof/>
                <w:webHidden/>
              </w:rPr>
              <w:fldChar w:fldCharType="begin"/>
            </w:r>
            <w:r>
              <w:rPr>
                <w:noProof/>
                <w:webHidden/>
              </w:rPr>
              <w:instrText xml:space="preserve"> PAGEREF _Toc230164556 \h </w:instrText>
            </w:r>
            <w:r>
              <w:rPr>
                <w:noProof/>
                <w:webHidden/>
              </w:rPr>
            </w:r>
            <w:r>
              <w:rPr>
                <w:noProof/>
                <w:webHidden/>
              </w:rPr>
              <w:fldChar w:fldCharType="separate"/>
            </w:r>
            <w:r w:rsidR="005657B1">
              <w:rPr>
                <w:noProof/>
                <w:webHidden/>
              </w:rPr>
              <w:t>13</w:t>
            </w:r>
            <w:r>
              <w:rPr>
                <w:noProof/>
                <w:webHidden/>
              </w:rPr>
              <w:fldChar w:fldCharType="end"/>
            </w:r>
          </w:hyperlink>
        </w:p>
        <w:p w14:paraId="7C278B7B" w14:textId="2241142E" w:rsidR="00CB2C6B" w:rsidRDefault="00CB2C6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164557" w:history="1">
            <w:r w:rsidRPr="00B05152">
              <w:rPr>
                <w:rStyle w:val="Hyperlink"/>
                <w:noProof/>
              </w:rPr>
              <w:t>International regulatory status</w:t>
            </w:r>
            <w:r>
              <w:rPr>
                <w:noProof/>
                <w:webHidden/>
              </w:rPr>
              <w:tab/>
            </w:r>
            <w:r>
              <w:rPr>
                <w:noProof/>
                <w:webHidden/>
              </w:rPr>
              <w:fldChar w:fldCharType="begin"/>
            </w:r>
            <w:r>
              <w:rPr>
                <w:noProof/>
                <w:webHidden/>
              </w:rPr>
              <w:instrText xml:space="preserve"> PAGEREF _Toc230164557 \h </w:instrText>
            </w:r>
            <w:r>
              <w:rPr>
                <w:noProof/>
                <w:webHidden/>
              </w:rPr>
            </w:r>
            <w:r>
              <w:rPr>
                <w:noProof/>
                <w:webHidden/>
              </w:rPr>
              <w:fldChar w:fldCharType="separate"/>
            </w:r>
            <w:r w:rsidR="005657B1">
              <w:rPr>
                <w:noProof/>
                <w:webHidden/>
              </w:rPr>
              <w:t>13</w:t>
            </w:r>
            <w:r>
              <w:rPr>
                <w:noProof/>
                <w:webHidden/>
              </w:rPr>
              <w:fldChar w:fldCharType="end"/>
            </w:r>
          </w:hyperlink>
        </w:p>
        <w:p w14:paraId="141ED8E9" w14:textId="3AFD1CCD" w:rsidR="00CB2C6B" w:rsidRDefault="00CB2C6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164558" w:history="1">
            <w:r w:rsidRPr="00B05152">
              <w:rPr>
                <w:rStyle w:val="Hyperlink"/>
                <w:noProof/>
              </w:rPr>
              <w:t>Registration timeline</w:t>
            </w:r>
            <w:r>
              <w:rPr>
                <w:noProof/>
                <w:webHidden/>
              </w:rPr>
              <w:tab/>
            </w:r>
            <w:r>
              <w:rPr>
                <w:noProof/>
                <w:webHidden/>
              </w:rPr>
              <w:fldChar w:fldCharType="begin"/>
            </w:r>
            <w:r>
              <w:rPr>
                <w:noProof/>
                <w:webHidden/>
              </w:rPr>
              <w:instrText xml:space="preserve"> PAGEREF _Toc230164558 \h </w:instrText>
            </w:r>
            <w:r>
              <w:rPr>
                <w:noProof/>
                <w:webHidden/>
              </w:rPr>
            </w:r>
            <w:r>
              <w:rPr>
                <w:noProof/>
                <w:webHidden/>
              </w:rPr>
              <w:fldChar w:fldCharType="separate"/>
            </w:r>
            <w:r w:rsidR="005657B1">
              <w:rPr>
                <w:noProof/>
                <w:webHidden/>
              </w:rPr>
              <w:t>16</w:t>
            </w:r>
            <w:r>
              <w:rPr>
                <w:noProof/>
                <w:webHidden/>
              </w:rPr>
              <w:fldChar w:fldCharType="end"/>
            </w:r>
          </w:hyperlink>
        </w:p>
        <w:p w14:paraId="7E74136B" w14:textId="0527E76B" w:rsidR="00CB2C6B" w:rsidRDefault="00CB2C6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164559" w:history="1">
            <w:r w:rsidRPr="00B05152">
              <w:rPr>
                <w:rStyle w:val="Hyperlink"/>
                <w:noProof/>
              </w:rPr>
              <w:t>Assessment overview</w:t>
            </w:r>
            <w:r>
              <w:rPr>
                <w:noProof/>
                <w:webHidden/>
              </w:rPr>
              <w:tab/>
            </w:r>
            <w:r>
              <w:rPr>
                <w:noProof/>
                <w:webHidden/>
              </w:rPr>
              <w:fldChar w:fldCharType="begin"/>
            </w:r>
            <w:r>
              <w:rPr>
                <w:noProof/>
                <w:webHidden/>
              </w:rPr>
              <w:instrText xml:space="preserve"> PAGEREF _Toc230164559 \h </w:instrText>
            </w:r>
            <w:r>
              <w:rPr>
                <w:noProof/>
                <w:webHidden/>
              </w:rPr>
            </w:r>
            <w:r>
              <w:rPr>
                <w:noProof/>
                <w:webHidden/>
              </w:rPr>
              <w:fldChar w:fldCharType="separate"/>
            </w:r>
            <w:r w:rsidR="005657B1">
              <w:rPr>
                <w:noProof/>
                <w:webHidden/>
              </w:rPr>
              <w:t>16</w:t>
            </w:r>
            <w:r>
              <w:rPr>
                <w:noProof/>
                <w:webHidden/>
              </w:rPr>
              <w:fldChar w:fldCharType="end"/>
            </w:r>
          </w:hyperlink>
        </w:p>
        <w:p w14:paraId="4619F997" w14:textId="12E1B80D" w:rsidR="00CB2C6B" w:rsidRDefault="00CB2C6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164560" w:history="1">
            <w:r w:rsidRPr="00B05152">
              <w:rPr>
                <w:rStyle w:val="Hyperlink"/>
                <w:noProof/>
              </w:rPr>
              <w:t>Quality evaluation summary</w:t>
            </w:r>
            <w:r>
              <w:rPr>
                <w:noProof/>
                <w:webHidden/>
              </w:rPr>
              <w:tab/>
            </w:r>
            <w:r>
              <w:rPr>
                <w:noProof/>
                <w:webHidden/>
              </w:rPr>
              <w:fldChar w:fldCharType="begin"/>
            </w:r>
            <w:r>
              <w:rPr>
                <w:noProof/>
                <w:webHidden/>
              </w:rPr>
              <w:instrText xml:space="preserve"> PAGEREF _Toc230164560 \h </w:instrText>
            </w:r>
            <w:r>
              <w:rPr>
                <w:noProof/>
                <w:webHidden/>
              </w:rPr>
            </w:r>
            <w:r>
              <w:rPr>
                <w:noProof/>
                <w:webHidden/>
              </w:rPr>
              <w:fldChar w:fldCharType="separate"/>
            </w:r>
            <w:r w:rsidR="005657B1">
              <w:rPr>
                <w:noProof/>
                <w:webHidden/>
              </w:rPr>
              <w:t>16</w:t>
            </w:r>
            <w:r>
              <w:rPr>
                <w:noProof/>
                <w:webHidden/>
              </w:rPr>
              <w:fldChar w:fldCharType="end"/>
            </w:r>
          </w:hyperlink>
        </w:p>
        <w:p w14:paraId="6D88EA4C" w14:textId="5D21D06E" w:rsidR="00CB2C6B" w:rsidRDefault="00CB2C6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164561" w:history="1">
            <w:r w:rsidRPr="00B05152">
              <w:rPr>
                <w:rStyle w:val="Hyperlink"/>
                <w:noProof/>
              </w:rPr>
              <w:t>Nonclinical evaluation summary</w:t>
            </w:r>
            <w:r>
              <w:rPr>
                <w:noProof/>
                <w:webHidden/>
              </w:rPr>
              <w:tab/>
            </w:r>
            <w:r>
              <w:rPr>
                <w:noProof/>
                <w:webHidden/>
              </w:rPr>
              <w:fldChar w:fldCharType="begin"/>
            </w:r>
            <w:r>
              <w:rPr>
                <w:noProof/>
                <w:webHidden/>
              </w:rPr>
              <w:instrText xml:space="preserve"> PAGEREF _Toc230164561 \h </w:instrText>
            </w:r>
            <w:r>
              <w:rPr>
                <w:noProof/>
                <w:webHidden/>
              </w:rPr>
            </w:r>
            <w:r>
              <w:rPr>
                <w:noProof/>
                <w:webHidden/>
              </w:rPr>
              <w:fldChar w:fldCharType="separate"/>
            </w:r>
            <w:r w:rsidR="005657B1">
              <w:rPr>
                <w:noProof/>
                <w:webHidden/>
              </w:rPr>
              <w:t>17</w:t>
            </w:r>
            <w:r>
              <w:rPr>
                <w:noProof/>
                <w:webHidden/>
              </w:rPr>
              <w:fldChar w:fldCharType="end"/>
            </w:r>
          </w:hyperlink>
        </w:p>
        <w:p w14:paraId="38915AA6" w14:textId="16C9ECEC" w:rsidR="00CB2C6B" w:rsidRDefault="00CB2C6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164562" w:history="1">
            <w:r w:rsidRPr="00B05152">
              <w:rPr>
                <w:rStyle w:val="Hyperlink"/>
                <w:noProof/>
              </w:rPr>
              <w:t>Clinical evaluation summary</w:t>
            </w:r>
            <w:r>
              <w:rPr>
                <w:noProof/>
                <w:webHidden/>
              </w:rPr>
              <w:tab/>
            </w:r>
            <w:r>
              <w:rPr>
                <w:noProof/>
                <w:webHidden/>
              </w:rPr>
              <w:fldChar w:fldCharType="begin"/>
            </w:r>
            <w:r>
              <w:rPr>
                <w:noProof/>
                <w:webHidden/>
              </w:rPr>
              <w:instrText xml:space="preserve"> PAGEREF _Toc230164562 \h </w:instrText>
            </w:r>
            <w:r>
              <w:rPr>
                <w:noProof/>
                <w:webHidden/>
              </w:rPr>
            </w:r>
            <w:r>
              <w:rPr>
                <w:noProof/>
                <w:webHidden/>
              </w:rPr>
              <w:fldChar w:fldCharType="separate"/>
            </w:r>
            <w:r w:rsidR="005657B1">
              <w:rPr>
                <w:noProof/>
                <w:webHidden/>
              </w:rPr>
              <w:t>17</w:t>
            </w:r>
            <w:r>
              <w:rPr>
                <w:noProof/>
                <w:webHidden/>
              </w:rPr>
              <w:fldChar w:fldCharType="end"/>
            </w:r>
          </w:hyperlink>
        </w:p>
        <w:p w14:paraId="3B4F61A8" w14:textId="2AD456E9" w:rsidR="00CB2C6B" w:rsidRDefault="00CB2C6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164563" w:history="1">
            <w:r w:rsidRPr="00B05152">
              <w:rPr>
                <w:rStyle w:val="Hyperlink"/>
                <w:noProof/>
              </w:rPr>
              <w:t>Summary of clinical studies</w:t>
            </w:r>
            <w:r>
              <w:rPr>
                <w:noProof/>
                <w:webHidden/>
              </w:rPr>
              <w:tab/>
            </w:r>
            <w:r>
              <w:rPr>
                <w:noProof/>
                <w:webHidden/>
              </w:rPr>
              <w:fldChar w:fldCharType="begin"/>
            </w:r>
            <w:r>
              <w:rPr>
                <w:noProof/>
                <w:webHidden/>
              </w:rPr>
              <w:instrText xml:space="preserve"> PAGEREF _Toc230164563 \h </w:instrText>
            </w:r>
            <w:r>
              <w:rPr>
                <w:noProof/>
                <w:webHidden/>
              </w:rPr>
            </w:r>
            <w:r>
              <w:rPr>
                <w:noProof/>
                <w:webHidden/>
              </w:rPr>
              <w:fldChar w:fldCharType="separate"/>
            </w:r>
            <w:r w:rsidR="005657B1">
              <w:rPr>
                <w:noProof/>
                <w:webHidden/>
              </w:rPr>
              <w:t>17</w:t>
            </w:r>
            <w:r>
              <w:rPr>
                <w:noProof/>
                <w:webHidden/>
              </w:rPr>
              <w:fldChar w:fldCharType="end"/>
            </w:r>
          </w:hyperlink>
        </w:p>
        <w:p w14:paraId="6F622B37" w14:textId="1E1AFF80" w:rsidR="00CB2C6B" w:rsidRDefault="00CB2C6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164564" w:history="1">
            <w:r w:rsidRPr="00B05152">
              <w:rPr>
                <w:rStyle w:val="Hyperlink"/>
                <w:noProof/>
              </w:rPr>
              <w:t>Pharmacology</w:t>
            </w:r>
            <w:r>
              <w:rPr>
                <w:noProof/>
                <w:webHidden/>
              </w:rPr>
              <w:tab/>
            </w:r>
            <w:r>
              <w:rPr>
                <w:noProof/>
                <w:webHidden/>
              </w:rPr>
              <w:fldChar w:fldCharType="begin"/>
            </w:r>
            <w:r>
              <w:rPr>
                <w:noProof/>
                <w:webHidden/>
              </w:rPr>
              <w:instrText xml:space="preserve"> PAGEREF _Toc230164564 \h </w:instrText>
            </w:r>
            <w:r>
              <w:rPr>
                <w:noProof/>
                <w:webHidden/>
              </w:rPr>
            </w:r>
            <w:r>
              <w:rPr>
                <w:noProof/>
                <w:webHidden/>
              </w:rPr>
              <w:fldChar w:fldCharType="separate"/>
            </w:r>
            <w:r w:rsidR="005657B1">
              <w:rPr>
                <w:noProof/>
                <w:webHidden/>
              </w:rPr>
              <w:t>19</w:t>
            </w:r>
            <w:r>
              <w:rPr>
                <w:noProof/>
                <w:webHidden/>
              </w:rPr>
              <w:fldChar w:fldCharType="end"/>
            </w:r>
          </w:hyperlink>
        </w:p>
        <w:p w14:paraId="2420DE3C" w14:textId="06D297C4" w:rsidR="00CB2C6B" w:rsidRDefault="00CB2C6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164565" w:history="1">
            <w:r w:rsidRPr="00B05152">
              <w:rPr>
                <w:rStyle w:val="Hyperlink"/>
                <w:noProof/>
              </w:rPr>
              <w:t>Efficacy</w:t>
            </w:r>
            <w:r>
              <w:rPr>
                <w:noProof/>
                <w:webHidden/>
              </w:rPr>
              <w:tab/>
            </w:r>
            <w:r>
              <w:rPr>
                <w:noProof/>
                <w:webHidden/>
              </w:rPr>
              <w:fldChar w:fldCharType="begin"/>
            </w:r>
            <w:r>
              <w:rPr>
                <w:noProof/>
                <w:webHidden/>
              </w:rPr>
              <w:instrText xml:space="preserve"> PAGEREF _Toc230164565 \h </w:instrText>
            </w:r>
            <w:r>
              <w:rPr>
                <w:noProof/>
                <w:webHidden/>
              </w:rPr>
            </w:r>
            <w:r>
              <w:rPr>
                <w:noProof/>
                <w:webHidden/>
              </w:rPr>
              <w:fldChar w:fldCharType="separate"/>
            </w:r>
            <w:r w:rsidR="005657B1">
              <w:rPr>
                <w:noProof/>
                <w:webHidden/>
              </w:rPr>
              <w:t>24</w:t>
            </w:r>
            <w:r>
              <w:rPr>
                <w:noProof/>
                <w:webHidden/>
              </w:rPr>
              <w:fldChar w:fldCharType="end"/>
            </w:r>
          </w:hyperlink>
        </w:p>
        <w:p w14:paraId="1BFA6403" w14:textId="38B21E12" w:rsidR="00CB2C6B" w:rsidRDefault="00CB2C6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164566" w:history="1">
            <w:r w:rsidRPr="00B05152">
              <w:rPr>
                <w:rStyle w:val="Hyperlink"/>
                <w:noProof/>
              </w:rPr>
              <w:t>Safety</w:t>
            </w:r>
            <w:r>
              <w:rPr>
                <w:noProof/>
                <w:webHidden/>
              </w:rPr>
              <w:tab/>
            </w:r>
            <w:r>
              <w:rPr>
                <w:noProof/>
                <w:webHidden/>
              </w:rPr>
              <w:fldChar w:fldCharType="begin"/>
            </w:r>
            <w:r>
              <w:rPr>
                <w:noProof/>
                <w:webHidden/>
              </w:rPr>
              <w:instrText xml:space="preserve"> PAGEREF _Toc230164566 \h </w:instrText>
            </w:r>
            <w:r>
              <w:rPr>
                <w:noProof/>
                <w:webHidden/>
              </w:rPr>
            </w:r>
            <w:r>
              <w:rPr>
                <w:noProof/>
                <w:webHidden/>
              </w:rPr>
              <w:fldChar w:fldCharType="separate"/>
            </w:r>
            <w:r w:rsidR="005657B1">
              <w:rPr>
                <w:noProof/>
                <w:webHidden/>
              </w:rPr>
              <w:t>39</w:t>
            </w:r>
            <w:r>
              <w:rPr>
                <w:noProof/>
                <w:webHidden/>
              </w:rPr>
              <w:fldChar w:fldCharType="end"/>
            </w:r>
          </w:hyperlink>
        </w:p>
        <w:p w14:paraId="6FDB941D" w14:textId="2204E1E2" w:rsidR="00CB2C6B" w:rsidRDefault="00CB2C6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164567" w:history="1">
            <w:r w:rsidRPr="00B05152">
              <w:rPr>
                <w:rStyle w:val="Hyperlink"/>
                <w:noProof/>
              </w:rPr>
              <w:t>DESTINATION LTE study (D5180C00018)</w:t>
            </w:r>
            <w:r>
              <w:rPr>
                <w:noProof/>
                <w:webHidden/>
              </w:rPr>
              <w:tab/>
            </w:r>
            <w:r>
              <w:rPr>
                <w:noProof/>
                <w:webHidden/>
              </w:rPr>
              <w:fldChar w:fldCharType="begin"/>
            </w:r>
            <w:r>
              <w:rPr>
                <w:noProof/>
                <w:webHidden/>
              </w:rPr>
              <w:instrText xml:space="preserve"> PAGEREF _Toc230164567 \h </w:instrText>
            </w:r>
            <w:r>
              <w:rPr>
                <w:noProof/>
                <w:webHidden/>
              </w:rPr>
            </w:r>
            <w:r>
              <w:rPr>
                <w:noProof/>
                <w:webHidden/>
              </w:rPr>
              <w:fldChar w:fldCharType="separate"/>
            </w:r>
            <w:r w:rsidR="005657B1">
              <w:rPr>
                <w:noProof/>
                <w:webHidden/>
              </w:rPr>
              <w:t>47</w:t>
            </w:r>
            <w:r>
              <w:rPr>
                <w:noProof/>
                <w:webHidden/>
              </w:rPr>
              <w:fldChar w:fldCharType="end"/>
            </w:r>
          </w:hyperlink>
        </w:p>
        <w:p w14:paraId="55CE123F" w14:textId="13D01214" w:rsidR="00CB2C6B" w:rsidRDefault="00CB2C6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164568" w:history="1">
            <w:r w:rsidRPr="00B05152">
              <w:rPr>
                <w:rStyle w:val="Hyperlink"/>
                <w:noProof/>
                <w:lang w:eastAsia="en-AU"/>
              </w:rPr>
              <w:t>Risk management plan</w:t>
            </w:r>
            <w:r>
              <w:rPr>
                <w:noProof/>
                <w:webHidden/>
              </w:rPr>
              <w:tab/>
            </w:r>
            <w:r>
              <w:rPr>
                <w:noProof/>
                <w:webHidden/>
              </w:rPr>
              <w:fldChar w:fldCharType="begin"/>
            </w:r>
            <w:r>
              <w:rPr>
                <w:noProof/>
                <w:webHidden/>
              </w:rPr>
              <w:instrText xml:space="preserve"> PAGEREF _Toc230164568 \h </w:instrText>
            </w:r>
            <w:r>
              <w:rPr>
                <w:noProof/>
                <w:webHidden/>
              </w:rPr>
            </w:r>
            <w:r>
              <w:rPr>
                <w:noProof/>
                <w:webHidden/>
              </w:rPr>
              <w:fldChar w:fldCharType="separate"/>
            </w:r>
            <w:r w:rsidR="005657B1">
              <w:rPr>
                <w:noProof/>
                <w:webHidden/>
              </w:rPr>
              <w:t>57</w:t>
            </w:r>
            <w:r>
              <w:rPr>
                <w:noProof/>
                <w:webHidden/>
              </w:rPr>
              <w:fldChar w:fldCharType="end"/>
            </w:r>
          </w:hyperlink>
        </w:p>
        <w:p w14:paraId="5D9EE283" w14:textId="5F1089C3" w:rsidR="00CB2C6B" w:rsidRDefault="00CB2C6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164569" w:history="1">
            <w:r w:rsidRPr="00B05152">
              <w:rPr>
                <w:rStyle w:val="Hyperlink"/>
                <w:noProof/>
              </w:rPr>
              <w:t>Risk-benefit analysis</w:t>
            </w:r>
            <w:r>
              <w:rPr>
                <w:noProof/>
                <w:webHidden/>
              </w:rPr>
              <w:tab/>
            </w:r>
            <w:r>
              <w:rPr>
                <w:noProof/>
                <w:webHidden/>
              </w:rPr>
              <w:fldChar w:fldCharType="begin"/>
            </w:r>
            <w:r>
              <w:rPr>
                <w:noProof/>
                <w:webHidden/>
              </w:rPr>
              <w:instrText xml:space="preserve"> PAGEREF _Toc230164569 \h </w:instrText>
            </w:r>
            <w:r>
              <w:rPr>
                <w:noProof/>
                <w:webHidden/>
              </w:rPr>
            </w:r>
            <w:r>
              <w:rPr>
                <w:noProof/>
                <w:webHidden/>
              </w:rPr>
              <w:fldChar w:fldCharType="separate"/>
            </w:r>
            <w:r w:rsidR="005657B1">
              <w:rPr>
                <w:noProof/>
                <w:webHidden/>
              </w:rPr>
              <w:t>58</w:t>
            </w:r>
            <w:r>
              <w:rPr>
                <w:noProof/>
                <w:webHidden/>
              </w:rPr>
              <w:fldChar w:fldCharType="end"/>
            </w:r>
          </w:hyperlink>
        </w:p>
        <w:p w14:paraId="33649D73" w14:textId="49A62F96" w:rsidR="00CB2C6B" w:rsidRDefault="00CB2C6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164570" w:history="1">
            <w:r w:rsidRPr="00B05152">
              <w:rPr>
                <w:rStyle w:val="Hyperlink"/>
                <w:noProof/>
              </w:rPr>
              <w:t>Delegate’s considerations</w:t>
            </w:r>
            <w:r>
              <w:rPr>
                <w:noProof/>
                <w:webHidden/>
              </w:rPr>
              <w:tab/>
            </w:r>
            <w:r>
              <w:rPr>
                <w:noProof/>
                <w:webHidden/>
              </w:rPr>
              <w:fldChar w:fldCharType="begin"/>
            </w:r>
            <w:r>
              <w:rPr>
                <w:noProof/>
                <w:webHidden/>
              </w:rPr>
              <w:instrText xml:space="preserve"> PAGEREF _Toc230164570 \h </w:instrText>
            </w:r>
            <w:r>
              <w:rPr>
                <w:noProof/>
                <w:webHidden/>
              </w:rPr>
            </w:r>
            <w:r>
              <w:rPr>
                <w:noProof/>
                <w:webHidden/>
              </w:rPr>
              <w:fldChar w:fldCharType="separate"/>
            </w:r>
            <w:r w:rsidR="005657B1">
              <w:rPr>
                <w:noProof/>
                <w:webHidden/>
              </w:rPr>
              <w:t>58</w:t>
            </w:r>
            <w:r>
              <w:rPr>
                <w:noProof/>
                <w:webHidden/>
              </w:rPr>
              <w:fldChar w:fldCharType="end"/>
            </w:r>
          </w:hyperlink>
        </w:p>
        <w:p w14:paraId="35F900CC" w14:textId="4D2FDB8C" w:rsidR="00CB2C6B" w:rsidRDefault="00CB2C6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164571" w:history="1">
            <w:r w:rsidRPr="00B05152">
              <w:rPr>
                <w:rStyle w:val="Hyperlink"/>
                <w:noProof/>
              </w:rPr>
              <w:t>Proposed action</w:t>
            </w:r>
            <w:r>
              <w:rPr>
                <w:noProof/>
                <w:webHidden/>
              </w:rPr>
              <w:tab/>
            </w:r>
            <w:r>
              <w:rPr>
                <w:noProof/>
                <w:webHidden/>
              </w:rPr>
              <w:fldChar w:fldCharType="begin"/>
            </w:r>
            <w:r>
              <w:rPr>
                <w:noProof/>
                <w:webHidden/>
              </w:rPr>
              <w:instrText xml:space="preserve"> PAGEREF _Toc230164571 \h </w:instrText>
            </w:r>
            <w:r>
              <w:rPr>
                <w:noProof/>
                <w:webHidden/>
              </w:rPr>
            </w:r>
            <w:r>
              <w:rPr>
                <w:noProof/>
                <w:webHidden/>
              </w:rPr>
              <w:fldChar w:fldCharType="separate"/>
            </w:r>
            <w:r w:rsidR="005657B1">
              <w:rPr>
                <w:noProof/>
                <w:webHidden/>
              </w:rPr>
              <w:t>62</w:t>
            </w:r>
            <w:r>
              <w:rPr>
                <w:noProof/>
                <w:webHidden/>
              </w:rPr>
              <w:fldChar w:fldCharType="end"/>
            </w:r>
          </w:hyperlink>
        </w:p>
        <w:p w14:paraId="2CA0588B" w14:textId="508D574D" w:rsidR="00CB2C6B" w:rsidRDefault="00CB2C6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0164572" w:history="1">
            <w:r w:rsidRPr="00B05152">
              <w:rPr>
                <w:rStyle w:val="Hyperlink"/>
                <w:noProof/>
              </w:rPr>
              <w:t>Advisory Committee considerations</w:t>
            </w:r>
            <w:r>
              <w:rPr>
                <w:noProof/>
                <w:webHidden/>
              </w:rPr>
              <w:tab/>
            </w:r>
            <w:r>
              <w:rPr>
                <w:noProof/>
                <w:webHidden/>
              </w:rPr>
              <w:fldChar w:fldCharType="begin"/>
            </w:r>
            <w:r>
              <w:rPr>
                <w:noProof/>
                <w:webHidden/>
              </w:rPr>
              <w:instrText xml:space="preserve"> PAGEREF _Toc230164572 \h </w:instrText>
            </w:r>
            <w:r>
              <w:rPr>
                <w:noProof/>
                <w:webHidden/>
              </w:rPr>
            </w:r>
            <w:r>
              <w:rPr>
                <w:noProof/>
                <w:webHidden/>
              </w:rPr>
              <w:fldChar w:fldCharType="separate"/>
            </w:r>
            <w:r w:rsidR="005657B1">
              <w:rPr>
                <w:noProof/>
                <w:webHidden/>
              </w:rPr>
              <w:t>63</w:t>
            </w:r>
            <w:r>
              <w:rPr>
                <w:noProof/>
                <w:webHidden/>
              </w:rPr>
              <w:fldChar w:fldCharType="end"/>
            </w:r>
          </w:hyperlink>
        </w:p>
        <w:p w14:paraId="1E719C72" w14:textId="14DCACFE" w:rsidR="00CB2C6B" w:rsidRDefault="00CB2C6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164573" w:history="1">
            <w:r w:rsidRPr="00B05152">
              <w:rPr>
                <w:rStyle w:val="Hyperlink"/>
                <w:noProof/>
              </w:rPr>
              <w:t>Assessment outcome</w:t>
            </w:r>
            <w:r>
              <w:rPr>
                <w:noProof/>
                <w:webHidden/>
              </w:rPr>
              <w:tab/>
            </w:r>
            <w:r>
              <w:rPr>
                <w:noProof/>
                <w:webHidden/>
              </w:rPr>
              <w:fldChar w:fldCharType="begin"/>
            </w:r>
            <w:r>
              <w:rPr>
                <w:noProof/>
                <w:webHidden/>
              </w:rPr>
              <w:instrText xml:space="preserve"> PAGEREF _Toc230164573 \h </w:instrText>
            </w:r>
            <w:r>
              <w:rPr>
                <w:noProof/>
                <w:webHidden/>
              </w:rPr>
            </w:r>
            <w:r>
              <w:rPr>
                <w:noProof/>
                <w:webHidden/>
              </w:rPr>
              <w:fldChar w:fldCharType="separate"/>
            </w:r>
            <w:r w:rsidR="005657B1">
              <w:rPr>
                <w:noProof/>
                <w:webHidden/>
              </w:rPr>
              <w:t>65</w:t>
            </w:r>
            <w:r>
              <w:rPr>
                <w:noProof/>
                <w:webHidden/>
              </w:rPr>
              <w:fldChar w:fldCharType="end"/>
            </w:r>
          </w:hyperlink>
        </w:p>
        <w:p w14:paraId="078B93FD" w14:textId="28BC988A" w:rsidR="00CB2C6B" w:rsidRDefault="00CB2C6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164574" w:history="1">
            <w:r w:rsidRPr="00B05152">
              <w:rPr>
                <w:rStyle w:val="Hyperlink"/>
                <w:noProof/>
              </w:rPr>
              <w:t>Specific conditions of registration</w:t>
            </w:r>
            <w:r>
              <w:rPr>
                <w:noProof/>
                <w:webHidden/>
              </w:rPr>
              <w:tab/>
            </w:r>
            <w:r>
              <w:rPr>
                <w:noProof/>
                <w:webHidden/>
              </w:rPr>
              <w:fldChar w:fldCharType="begin"/>
            </w:r>
            <w:r>
              <w:rPr>
                <w:noProof/>
                <w:webHidden/>
              </w:rPr>
              <w:instrText xml:space="preserve"> PAGEREF _Toc230164574 \h </w:instrText>
            </w:r>
            <w:r>
              <w:rPr>
                <w:noProof/>
                <w:webHidden/>
              </w:rPr>
            </w:r>
            <w:r>
              <w:rPr>
                <w:noProof/>
                <w:webHidden/>
              </w:rPr>
              <w:fldChar w:fldCharType="separate"/>
            </w:r>
            <w:r w:rsidR="005657B1">
              <w:rPr>
                <w:noProof/>
                <w:webHidden/>
              </w:rPr>
              <w:t>65</w:t>
            </w:r>
            <w:r>
              <w:rPr>
                <w:noProof/>
                <w:webHidden/>
              </w:rPr>
              <w:fldChar w:fldCharType="end"/>
            </w:r>
          </w:hyperlink>
        </w:p>
        <w:p w14:paraId="10B90AD5" w14:textId="0FCF8F7A" w:rsidR="00CB2C6B" w:rsidRDefault="00CB2C6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0164575" w:history="1">
            <w:r w:rsidRPr="00B05152">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_Toc230164575 \h </w:instrText>
            </w:r>
            <w:r>
              <w:rPr>
                <w:noProof/>
                <w:webHidden/>
              </w:rPr>
            </w:r>
            <w:r>
              <w:rPr>
                <w:noProof/>
                <w:webHidden/>
              </w:rPr>
              <w:fldChar w:fldCharType="separate"/>
            </w:r>
            <w:r w:rsidR="005657B1">
              <w:rPr>
                <w:noProof/>
                <w:webHidden/>
              </w:rPr>
              <w:t>66</w:t>
            </w:r>
            <w:r>
              <w:rPr>
                <w:noProof/>
                <w:webHidden/>
              </w:rPr>
              <w:fldChar w:fldCharType="end"/>
            </w:r>
          </w:hyperlink>
        </w:p>
        <w:p w14:paraId="77659F2D" w14:textId="25E15084"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230164548"/>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A90A68" w:rsidRPr="00D01DDB" w14:paraId="48E69F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F86E74" w14:textId="09D97FE8" w:rsidR="00A90A68" w:rsidRDefault="00A90A68" w:rsidP="00324B33">
            <w:pPr>
              <w:rPr>
                <w:szCs w:val="22"/>
              </w:rPr>
            </w:pPr>
            <w:r>
              <w:rPr>
                <w:szCs w:val="22"/>
              </w:rPr>
              <w:t>AER</w:t>
            </w:r>
          </w:p>
        </w:tc>
        <w:tc>
          <w:tcPr>
            <w:tcW w:w="3800" w:type="pct"/>
          </w:tcPr>
          <w:p w14:paraId="42B22FF5" w14:textId="16E76489" w:rsidR="00A90A68" w:rsidRDefault="00A90A68" w:rsidP="00324B33">
            <w:pPr>
              <w:cnfStyle w:val="000000000000" w:firstRow="0" w:lastRow="0" w:firstColumn="0" w:lastColumn="0" w:oddVBand="0" w:evenVBand="0" w:oddHBand="0" w:evenHBand="0" w:firstRowFirstColumn="0" w:firstRowLastColumn="0" w:lastRowFirstColumn="0" w:lastRowLastColumn="0"/>
            </w:pPr>
            <w:r>
              <w:t>A</w:t>
            </w:r>
            <w:r w:rsidRPr="002179DB">
              <w:t>sthma exacerbation rate</w:t>
            </w:r>
          </w:p>
        </w:tc>
      </w:tr>
      <w:tr w:rsidR="008802C8" w:rsidRPr="00D01DDB" w14:paraId="5643434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6689D6" w14:textId="4971242B" w:rsidR="008802C8" w:rsidRPr="00D01DDB" w:rsidRDefault="008802C8" w:rsidP="00324B33">
            <w:pPr>
              <w:rPr>
                <w:szCs w:val="22"/>
              </w:rPr>
            </w:pPr>
            <w:r>
              <w:rPr>
                <w:szCs w:val="22"/>
              </w:rPr>
              <w:t>AAER</w:t>
            </w:r>
          </w:p>
        </w:tc>
        <w:tc>
          <w:tcPr>
            <w:tcW w:w="3800" w:type="pct"/>
          </w:tcPr>
          <w:p w14:paraId="19C283B4" w14:textId="3873830E" w:rsidR="008802C8" w:rsidRPr="00D01DDB" w:rsidRDefault="008802C8" w:rsidP="00324B33">
            <w:pPr>
              <w:cnfStyle w:val="000000000000" w:firstRow="0" w:lastRow="0" w:firstColumn="0" w:lastColumn="0" w:oddVBand="0" w:evenVBand="0" w:oddHBand="0" w:evenHBand="0" w:firstRowFirstColumn="0" w:firstRowLastColumn="0" w:lastRowFirstColumn="0" w:lastRowLastColumn="0"/>
              <w:rPr>
                <w:szCs w:val="22"/>
              </w:rPr>
            </w:pPr>
            <w:r>
              <w:t>A</w:t>
            </w:r>
            <w:r w:rsidRPr="002179DB">
              <w:t>nnualised asthma exacerbation rate</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19453F" w:rsidRPr="00D01DDB" w14:paraId="7701D45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14E3E6" w14:textId="1687814C" w:rsidR="0019453F" w:rsidRPr="00D01DDB" w:rsidRDefault="0019453F" w:rsidP="00324B33">
            <w:pPr>
              <w:rPr>
                <w:szCs w:val="22"/>
              </w:rPr>
            </w:pPr>
            <w:r>
              <w:rPr>
                <w:szCs w:val="22"/>
              </w:rPr>
              <w:t>ACQ-6</w:t>
            </w:r>
          </w:p>
        </w:tc>
        <w:tc>
          <w:tcPr>
            <w:tcW w:w="3800" w:type="pct"/>
          </w:tcPr>
          <w:p w14:paraId="0877CD0B" w14:textId="407E0338" w:rsidR="0019453F" w:rsidRPr="00D01DDB" w:rsidRDefault="0019453F" w:rsidP="00324B33">
            <w:pPr>
              <w:cnfStyle w:val="000000000000" w:firstRow="0" w:lastRow="0" w:firstColumn="0" w:lastColumn="0" w:oddVBand="0" w:evenVBand="0" w:oddHBand="0" w:evenHBand="0" w:firstRowFirstColumn="0" w:firstRowLastColumn="0" w:lastRowFirstColumn="0" w:lastRowLastColumn="0"/>
              <w:rPr>
                <w:szCs w:val="22"/>
              </w:rPr>
            </w:pPr>
            <w:r w:rsidRPr="00AB4EA6">
              <w:t>Asthma Control Questionnaire 6</w:t>
            </w:r>
          </w:p>
        </w:tc>
      </w:tr>
      <w:tr w:rsidR="00D348BC" w:rsidRPr="00D01DDB" w14:paraId="693B533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F3DE1B" w14:textId="378B422B" w:rsidR="00D348BC" w:rsidRPr="00D01DDB" w:rsidRDefault="00D348BC" w:rsidP="00324B33">
            <w:pPr>
              <w:rPr>
                <w:szCs w:val="22"/>
              </w:rPr>
            </w:pPr>
            <w:r>
              <w:rPr>
                <w:szCs w:val="22"/>
              </w:rPr>
              <w:t>ADA</w:t>
            </w:r>
          </w:p>
        </w:tc>
        <w:tc>
          <w:tcPr>
            <w:tcW w:w="3800" w:type="pct"/>
          </w:tcPr>
          <w:p w14:paraId="4E9C9CE1" w14:textId="1AB4BC6F" w:rsidR="00D348BC" w:rsidRPr="00D01DDB" w:rsidRDefault="00D348BC" w:rsidP="00324B33">
            <w:pPr>
              <w:cnfStyle w:val="000000000000" w:firstRow="0" w:lastRow="0" w:firstColumn="0" w:lastColumn="0" w:oddVBand="0" w:evenVBand="0" w:oddHBand="0" w:evenHBand="0" w:firstRowFirstColumn="0" w:firstRowLastColumn="0" w:lastRowFirstColumn="0" w:lastRowLastColumn="0"/>
              <w:rPr>
                <w:szCs w:val="22"/>
              </w:rPr>
            </w:pPr>
            <w:r>
              <w:t>A</w:t>
            </w:r>
            <w:r w:rsidRPr="00094362">
              <w:t>nti-drug antibody</w:t>
            </w:r>
          </w:p>
        </w:tc>
      </w:tr>
      <w:tr w:rsidR="006E393B" w:rsidRPr="00D01DDB" w14:paraId="7C31567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892774" w14:textId="18254E6F" w:rsidR="006E393B" w:rsidRDefault="006E393B" w:rsidP="00324B33">
            <w:pPr>
              <w:rPr>
                <w:szCs w:val="22"/>
              </w:rPr>
            </w:pPr>
            <w:r>
              <w:rPr>
                <w:szCs w:val="22"/>
              </w:rPr>
              <w:t>AE</w:t>
            </w:r>
          </w:p>
        </w:tc>
        <w:tc>
          <w:tcPr>
            <w:tcW w:w="3800" w:type="pct"/>
          </w:tcPr>
          <w:p w14:paraId="26BB5825" w14:textId="32084DAF" w:rsidR="006E393B" w:rsidRDefault="006E393B" w:rsidP="00324B33">
            <w:pPr>
              <w:cnfStyle w:val="000000000000" w:firstRow="0" w:lastRow="0" w:firstColumn="0" w:lastColumn="0" w:oddVBand="0" w:evenVBand="0" w:oddHBand="0" w:evenHBand="0" w:firstRowFirstColumn="0" w:firstRowLastColumn="0" w:lastRowFirstColumn="0" w:lastRowLastColumn="0"/>
            </w:pPr>
            <w:r>
              <w:t>Adverse event</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0F715E22" w:rsidR="00324B33" w:rsidRPr="00D01DDB" w:rsidRDefault="006C3A12" w:rsidP="00324B33">
            <w:pPr>
              <w:rPr>
                <w:szCs w:val="22"/>
              </w:rPr>
            </w:pPr>
            <w:proofErr w:type="spellStart"/>
            <w:r>
              <w:rPr>
                <w:szCs w:val="22"/>
              </w:rPr>
              <w:t>aPFS</w:t>
            </w:r>
            <w:proofErr w:type="spellEnd"/>
          </w:p>
        </w:tc>
        <w:tc>
          <w:tcPr>
            <w:tcW w:w="3800" w:type="pct"/>
          </w:tcPr>
          <w:p w14:paraId="5072E244" w14:textId="31C2B6C1" w:rsidR="00324B33" w:rsidRPr="00D01DDB" w:rsidRDefault="006C3A1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6B3F05">
              <w:rPr>
                <w:szCs w:val="22"/>
              </w:rPr>
              <w:t>ccessorised prefilled syringe</w:t>
            </w:r>
          </w:p>
        </w:tc>
      </w:tr>
      <w:tr w:rsidR="00304C4F" w:rsidRPr="00D01DDB" w14:paraId="535EA3A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223AF6" w14:textId="30CFE6D1" w:rsidR="00304C4F" w:rsidRDefault="00304C4F" w:rsidP="00304C4F">
            <w:pPr>
              <w:rPr>
                <w:szCs w:val="22"/>
              </w:rPr>
            </w:pPr>
            <w:r w:rsidRPr="00F713F2">
              <w:t>AQLQ(S)+12</w:t>
            </w:r>
          </w:p>
        </w:tc>
        <w:tc>
          <w:tcPr>
            <w:tcW w:w="3800" w:type="pct"/>
          </w:tcPr>
          <w:p w14:paraId="4C3CCBAE" w14:textId="37A09499" w:rsidR="00304C4F" w:rsidRDefault="00304C4F" w:rsidP="00304C4F">
            <w:pPr>
              <w:cnfStyle w:val="000000000000" w:firstRow="0" w:lastRow="0" w:firstColumn="0" w:lastColumn="0" w:oddVBand="0" w:evenVBand="0" w:oddHBand="0" w:evenHBand="0" w:firstRowFirstColumn="0" w:firstRowLastColumn="0" w:lastRowFirstColumn="0" w:lastRowLastColumn="0"/>
              <w:rPr>
                <w:szCs w:val="22"/>
              </w:rPr>
            </w:pPr>
            <w:r w:rsidRPr="00F713F2">
              <w:t>Standardised Asthma Quality of Life Questionnaire for 12 years</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BE3B4F" w:rsidRPr="00D01DDB" w14:paraId="459A4EF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BDCFE6" w14:textId="55F05E47" w:rsidR="00BE3B4F" w:rsidRPr="00D01DDB" w:rsidRDefault="00BE3B4F" w:rsidP="00324B33">
            <w:pPr>
              <w:rPr>
                <w:szCs w:val="22"/>
              </w:rPr>
            </w:pPr>
            <w:r>
              <w:rPr>
                <w:szCs w:val="22"/>
              </w:rPr>
              <w:t>ASD</w:t>
            </w:r>
          </w:p>
        </w:tc>
        <w:tc>
          <w:tcPr>
            <w:tcW w:w="3800" w:type="pct"/>
          </w:tcPr>
          <w:p w14:paraId="4DDD8092" w14:textId="4B21D828" w:rsidR="00BE3B4F" w:rsidRPr="00D01DDB" w:rsidRDefault="00BE3B4F" w:rsidP="00324B33">
            <w:pPr>
              <w:cnfStyle w:val="000000000000" w:firstRow="0" w:lastRow="0" w:firstColumn="0" w:lastColumn="0" w:oddVBand="0" w:evenVBand="0" w:oddHBand="0" w:evenHBand="0" w:firstRowFirstColumn="0" w:firstRowLastColumn="0" w:lastRowFirstColumn="0" w:lastRowLastColumn="0"/>
              <w:rPr>
                <w:szCs w:val="22"/>
              </w:rPr>
            </w:pPr>
            <w:r w:rsidRPr="002179DB">
              <w:t xml:space="preserve">Asthma </w:t>
            </w:r>
            <w:r>
              <w:t>s</w:t>
            </w:r>
            <w:r w:rsidRPr="002179DB">
              <w:t xml:space="preserve">ymptom </w:t>
            </w:r>
            <w:r>
              <w:t>d</w:t>
            </w:r>
            <w:r w:rsidRPr="002179DB">
              <w:t>iary</w:t>
            </w:r>
          </w:p>
        </w:tc>
      </w:tr>
      <w:tr w:rsidR="00507A12" w:rsidRPr="00D01DDB" w14:paraId="0DC2F29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5A1F63" w14:textId="18CD691F" w:rsidR="00507A12" w:rsidRPr="00D01DDB" w:rsidRDefault="00507A12" w:rsidP="00324B33">
            <w:pPr>
              <w:rPr>
                <w:szCs w:val="22"/>
              </w:rPr>
            </w:pPr>
            <w:r>
              <w:rPr>
                <w:szCs w:val="22"/>
              </w:rPr>
              <w:t>BMI</w:t>
            </w:r>
          </w:p>
        </w:tc>
        <w:tc>
          <w:tcPr>
            <w:tcW w:w="3800" w:type="pct"/>
          </w:tcPr>
          <w:p w14:paraId="7772E4DD" w14:textId="3638A904" w:rsidR="00507A12" w:rsidRPr="00507A12" w:rsidRDefault="00507A12" w:rsidP="00507A12">
            <w:pPr>
              <w:cnfStyle w:val="000000000000" w:firstRow="0" w:lastRow="0" w:firstColumn="0" w:lastColumn="0" w:oddVBand="0" w:evenVBand="0" w:oddHBand="0" w:evenHBand="0" w:firstRowFirstColumn="0" w:firstRowLastColumn="0" w:lastRowFirstColumn="0" w:lastRowLastColumn="0"/>
            </w:pPr>
            <w:r>
              <w:t>Body mass index</w:t>
            </w:r>
          </w:p>
        </w:tc>
      </w:tr>
      <w:tr w:rsidR="00662748" w:rsidRPr="00D01DDB" w14:paraId="0C31599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8CEA1B" w14:textId="740D3507" w:rsidR="00662748" w:rsidRPr="00D01DDB" w:rsidRDefault="00662748" w:rsidP="00324B33">
            <w:pPr>
              <w:rPr>
                <w:szCs w:val="22"/>
              </w:rPr>
            </w:pPr>
            <w:r>
              <w:rPr>
                <w:szCs w:val="22"/>
              </w:rPr>
              <w:t>CL</w:t>
            </w:r>
          </w:p>
        </w:tc>
        <w:tc>
          <w:tcPr>
            <w:tcW w:w="3800" w:type="pct"/>
          </w:tcPr>
          <w:p w14:paraId="13FDD717" w14:textId="24FEE37F" w:rsidR="00662748" w:rsidRPr="00D01DDB" w:rsidRDefault="0066274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Clearance</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E95C55" w:rsidRPr="00D01DDB" w14:paraId="7A61C85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3AC73B" w14:textId="0718DA99" w:rsidR="00E95C55" w:rsidRPr="00D01DDB" w:rsidRDefault="00E95C55" w:rsidP="00324B33">
            <w:pPr>
              <w:rPr>
                <w:szCs w:val="22"/>
              </w:rPr>
            </w:pPr>
            <w:r>
              <w:rPr>
                <w:szCs w:val="22"/>
              </w:rPr>
              <w:t>EFU</w:t>
            </w:r>
          </w:p>
        </w:tc>
        <w:tc>
          <w:tcPr>
            <w:tcW w:w="3800" w:type="pct"/>
          </w:tcPr>
          <w:p w14:paraId="51F9E20C" w14:textId="4D438F42" w:rsidR="00E95C55" w:rsidRPr="00D01DDB" w:rsidRDefault="00E95C55" w:rsidP="00324B33">
            <w:pPr>
              <w:cnfStyle w:val="000000000000" w:firstRow="0" w:lastRow="0" w:firstColumn="0" w:lastColumn="0" w:oddVBand="0" w:evenVBand="0" w:oddHBand="0" w:evenHBand="0" w:firstRowFirstColumn="0" w:firstRowLastColumn="0" w:lastRowFirstColumn="0" w:lastRowLastColumn="0"/>
              <w:rPr>
                <w:szCs w:val="22"/>
              </w:rPr>
            </w:pPr>
            <w:r>
              <w:t>Extended follow-up</w:t>
            </w:r>
          </w:p>
        </w:tc>
      </w:tr>
      <w:tr w:rsidR="009901B2" w:rsidRPr="00D01DDB" w14:paraId="534866B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62A0D3" w14:textId="7687A332" w:rsidR="009901B2" w:rsidRPr="00D01DDB" w:rsidRDefault="009901B2" w:rsidP="00324B33">
            <w:pPr>
              <w:rPr>
                <w:szCs w:val="22"/>
              </w:rPr>
            </w:pPr>
            <w:proofErr w:type="spellStart"/>
            <w:r>
              <w:rPr>
                <w:szCs w:val="22"/>
              </w:rPr>
              <w:t>FeNO</w:t>
            </w:r>
            <w:proofErr w:type="spellEnd"/>
          </w:p>
        </w:tc>
        <w:tc>
          <w:tcPr>
            <w:tcW w:w="3800" w:type="pct"/>
          </w:tcPr>
          <w:p w14:paraId="76C088AE" w14:textId="6DE32895" w:rsidR="009901B2" w:rsidRPr="00D01DDB" w:rsidRDefault="009901B2" w:rsidP="00324B33">
            <w:pPr>
              <w:cnfStyle w:val="000000000000" w:firstRow="0" w:lastRow="0" w:firstColumn="0" w:lastColumn="0" w:oddVBand="0" w:evenVBand="0" w:oddHBand="0" w:evenHBand="0" w:firstRowFirstColumn="0" w:firstRowLastColumn="0" w:lastRowFirstColumn="0" w:lastRowLastColumn="0"/>
              <w:rPr>
                <w:szCs w:val="22"/>
              </w:rPr>
            </w:pPr>
            <w:r>
              <w:rPr>
                <w:color w:val="232323"/>
                <w:shd w:val="clear" w:color="auto" w:fill="FFFFFF"/>
              </w:rPr>
              <w:t>F</w:t>
            </w:r>
            <w:r w:rsidRPr="00785C55">
              <w:rPr>
                <w:color w:val="232323"/>
                <w:shd w:val="clear" w:color="auto" w:fill="FFFFFF"/>
              </w:rPr>
              <w:t>ractional exhaled nitric oxide</w:t>
            </w:r>
          </w:p>
        </w:tc>
      </w:tr>
      <w:tr w:rsidR="007B7FB6" w:rsidRPr="00D01DDB" w14:paraId="1B8E471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7FF635" w14:textId="3F4BEF32" w:rsidR="007B7FB6" w:rsidRDefault="007B7FB6" w:rsidP="00324B33">
            <w:pPr>
              <w:rPr>
                <w:szCs w:val="22"/>
              </w:rPr>
            </w:pPr>
            <w:r w:rsidRPr="006B2788">
              <w:t>FEV</w:t>
            </w:r>
            <w:r w:rsidRPr="00295E2A">
              <w:rPr>
                <w:vertAlign w:val="subscript"/>
              </w:rPr>
              <w:t>1</w:t>
            </w:r>
          </w:p>
        </w:tc>
        <w:tc>
          <w:tcPr>
            <w:tcW w:w="3800" w:type="pct"/>
          </w:tcPr>
          <w:p w14:paraId="64152DE3" w14:textId="256818D4" w:rsidR="007B7FB6" w:rsidRDefault="007B7FB6" w:rsidP="00324B33">
            <w:pPr>
              <w:cnfStyle w:val="000000000000" w:firstRow="0" w:lastRow="0" w:firstColumn="0" w:lastColumn="0" w:oddVBand="0" w:evenVBand="0" w:oddHBand="0" w:evenHBand="0" w:firstRowFirstColumn="0" w:firstRowLastColumn="0" w:lastRowFirstColumn="0" w:lastRowLastColumn="0"/>
              <w:rPr>
                <w:color w:val="232323"/>
                <w:shd w:val="clear" w:color="auto" w:fill="FFFFFF"/>
              </w:rPr>
            </w:pPr>
            <w:r>
              <w:t>F</w:t>
            </w:r>
            <w:r w:rsidRPr="00177B82">
              <w:rPr>
                <w:rFonts w:eastAsiaTheme="minorHAnsi" w:cstheme="minorBidi"/>
                <w:szCs w:val="20"/>
              </w:rPr>
              <w:t>orced expiratory volume in 1 second</w:t>
            </w:r>
          </w:p>
        </w:tc>
      </w:tr>
      <w:tr w:rsidR="00A723DC" w:rsidRPr="00D01DDB" w14:paraId="0B23ECD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FC1283" w14:textId="014C32C8" w:rsidR="00A723DC" w:rsidRPr="006B2788" w:rsidRDefault="00A723DC" w:rsidP="00324B33">
            <w:r>
              <w:t>GINA</w:t>
            </w:r>
          </w:p>
        </w:tc>
        <w:tc>
          <w:tcPr>
            <w:tcW w:w="3800" w:type="pct"/>
          </w:tcPr>
          <w:p w14:paraId="445EFD30" w14:textId="5771A139" w:rsidR="00A723DC" w:rsidRDefault="00A723DC" w:rsidP="00324B33">
            <w:pPr>
              <w:cnfStyle w:val="000000000000" w:firstRow="0" w:lastRow="0" w:firstColumn="0" w:lastColumn="0" w:oddVBand="0" w:evenVBand="0" w:oddHBand="0" w:evenHBand="0" w:firstRowFirstColumn="0" w:firstRowLastColumn="0" w:lastRowFirstColumn="0" w:lastRowLastColumn="0"/>
            </w:pPr>
            <w:r>
              <w:t>Global Initiative for Asthma, an international organisation</w:t>
            </w:r>
          </w:p>
        </w:tc>
      </w:tr>
      <w:tr w:rsidR="0060182D" w:rsidRPr="00D01DDB" w14:paraId="11C06AC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87D31C" w14:textId="12C71E99" w:rsidR="0060182D" w:rsidRPr="006B2788" w:rsidRDefault="0060182D" w:rsidP="00324B33">
            <w:r>
              <w:t>ICS</w:t>
            </w:r>
          </w:p>
        </w:tc>
        <w:tc>
          <w:tcPr>
            <w:tcW w:w="3800" w:type="pct"/>
          </w:tcPr>
          <w:p w14:paraId="0BBAA108" w14:textId="1F8023CE" w:rsidR="0060182D" w:rsidRDefault="0060182D" w:rsidP="00324B33">
            <w:pPr>
              <w:cnfStyle w:val="000000000000" w:firstRow="0" w:lastRow="0" w:firstColumn="0" w:lastColumn="0" w:oddVBand="0" w:evenVBand="0" w:oddHBand="0" w:evenHBand="0" w:firstRowFirstColumn="0" w:firstRowLastColumn="0" w:lastRowFirstColumn="0" w:lastRowLastColumn="0"/>
            </w:pPr>
            <w:r>
              <w:t>Inhaled corti</w:t>
            </w:r>
            <w:r w:rsidR="00677849">
              <w:t>costeroid</w:t>
            </w:r>
          </w:p>
        </w:tc>
      </w:tr>
      <w:tr w:rsidR="009E40DF" w:rsidRPr="00D01DDB" w14:paraId="7F05FF4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6A7A77" w14:textId="2473C353" w:rsidR="009E40DF" w:rsidRPr="00D01DDB" w:rsidRDefault="009E40DF" w:rsidP="00324B33">
            <w:pPr>
              <w:rPr>
                <w:szCs w:val="22"/>
              </w:rPr>
            </w:pPr>
            <w:r>
              <w:rPr>
                <w:szCs w:val="22"/>
              </w:rPr>
              <w:t>IgE</w:t>
            </w:r>
          </w:p>
        </w:tc>
        <w:tc>
          <w:tcPr>
            <w:tcW w:w="3800" w:type="pct"/>
          </w:tcPr>
          <w:p w14:paraId="4DE90231" w14:textId="10766C8F" w:rsidR="009E40DF" w:rsidRPr="00D01DDB" w:rsidRDefault="009E40D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Immunoglobulin E</w:t>
            </w:r>
          </w:p>
        </w:tc>
      </w:tr>
      <w:tr w:rsidR="00B73535" w:rsidRPr="00D01DDB" w14:paraId="47006E2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6F5C88" w14:textId="3C67D91A" w:rsidR="00B73535" w:rsidRDefault="00B73535" w:rsidP="00324B33">
            <w:pPr>
              <w:rPr>
                <w:szCs w:val="22"/>
              </w:rPr>
            </w:pPr>
            <w:r>
              <w:rPr>
                <w:szCs w:val="22"/>
              </w:rPr>
              <w:t>IL</w:t>
            </w:r>
          </w:p>
        </w:tc>
        <w:tc>
          <w:tcPr>
            <w:tcW w:w="3800" w:type="pct"/>
          </w:tcPr>
          <w:p w14:paraId="5C3DB974" w14:textId="4063CB51" w:rsidR="00B73535" w:rsidRDefault="00B73535" w:rsidP="00324B33">
            <w:pPr>
              <w:cnfStyle w:val="000000000000" w:firstRow="0" w:lastRow="0" w:firstColumn="0" w:lastColumn="0" w:oddVBand="0" w:evenVBand="0" w:oddHBand="0" w:evenHBand="0" w:firstRowFirstColumn="0" w:firstRowLastColumn="0" w:lastRowFirstColumn="0" w:lastRowLastColumn="0"/>
              <w:rPr>
                <w:szCs w:val="22"/>
              </w:rPr>
            </w:pPr>
            <w:r w:rsidRPr="005D17B5">
              <w:t>Interleukin</w:t>
            </w:r>
          </w:p>
        </w:tc>
      </w:tr>
      <w:tr w:rsidR="00A31CEF" w:rsidRPr="00D01DDB" w14:paraId="5F1AF74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168093" w14:textId="2B99C57C" w:rsidR="00A31CEF" w:rsidRDefault="00A31CEF" w:rsidP="00324B33">
            <w:pPr>
              <w:rPr>
                <w:szCs w:val="22"/>
              </w:rPr>
            </w:pPr>
            <w:r>
              <w:rPr>
                <w:szCs w:val="22"/>
              </w:rPr>
              <w:t>IV</w:t>
            </w:r>
          </w:p>
        </w:tc>
        <w:tc>
          <w:tcPr>
            <w:tcW w:w="3800" w:type="pct"/>
          </w:tcPr>
          <w:p w14:paraId="344F3E6F" w14:textId="529488ED" w:rsidR="00A31CEF" w:rsidRDefault="00A31CEF" w:rsidP="00324B33">
            <w:pPr>
              <w:cnfStyle w:val="000000000000" w:firstRow="0" w:lastRow="0" w:firstColumn="0" w:lastColumn="0" w:oddVBand="0" w:evenVBand="0" w:oddHBand="0" w:evenHBand="0" w:firstRowFirstColumn="0" w:firstRowLastColumn="0" w:lastRowFirstColumn="0" w:lastRowLastColumn="0"/>
              <w:rPr>
                <w:szCs w:val="22"/>
              </w:rPr>
            </w:pPr>
            <w:r>
              <w:t>Intravenous</w:t>
            </w:r>
          </w:p>
        </w:tc>
      </w:tr>
      <w:tr w:rsidR="002B6BF0" w:rsidRPr="00D01DDB" w14:paraId="0BF6C69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7297EB" w14:textId="7CC005F4" w:rsidR="002B6BF0" w:rsidRDefault="002B6BF0" w:rsidP="00324B33">
            <w:pPr>
              <w:rPr>
                <w:szCs w:val="22"/>
              </w:rPr>
            </w:pPr>
            <w:r>
              <w:rPr>
                <w:szCs w:val="22"/>
              </w:rPr>
              <w:t>LABA</w:t>
            </w:r>
          </w:p>
        </w:tc>
        <w:tc>
          <w:tcPr>
            <w:tcW w:w="3800" w:type="pct"/>
          </w:tcPr>
          <w:p w14:paraId="033B108E" w14:textId="218348F9" w:rsidR="002B6BF0" w:rsidRDefault="002B6BF0" w:rsidP="00324B33">
            <w:pPr>
              <w:cnfStyle w:val="000000000000" w:firstRow="0" w:lastRow="0" w:firstColumn="0" w:lastColumn="0" w:oddVBand="0" w:evenVBand="0" w:oddHBand="0" w:evenHBand="0" w:firstRowFirstColumn="0" w:firstRowLastColumn="0" w:lastRowFirstColumn="0" w:lastRowLastColumn="0"/>
            </w:pPr>
            <w:r>
              <w:t>L</w:t>
            </w:r>
            <w:r w:rsidRPr="002179DB">
              <w:t>ong-acting beta 2-agonist</w:t>
            </w:r>
          </w:p>
        </w:tc>
      </w:tr>
      <w:tr w:rsidR="00D416ED" w:rsidRPr="00D01DDB" w14:paraId="6F5A1F1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B56FAC" w14:textId="531AF16B" w:rsidR="00D416ED" w:rsidRDefault="00D416ED" w:rsidP="00324B33">
            <w:pPr>
              <w:rPr>
                <w:szCs w:val="22"/>
              </w:rPr>
            </w:pPr>
            <w:r>
              <w:rPr>
                <w:szCs w:val="22"/>
              </w:rPr>
              <w:t>LS</w:t>
            </w:r>
          </w:p>
        </w:tc>
        <w:tc>
          <w:tcPr>
            <w:tcW w:w="3800" w:type="pct"/>
          </w:tcPr>
          <w:p w14:paraId="3289E670" w14:textId="0AA1FE8B" w:rsidR="00D416ED" w:rsidRDefault="00D416ED" w:rsidP="00324B33">
            <w:pPr>
              <w:cnfStyle w:val="000000000000" w:firstRow="0" w:lastRow="0" w:firstColumn="0" w:lastColumn="0" w:oddVBand="0" w:evenVBand="0" w:oddHBand="0" w:evenHBand="0" w:firstRowFirstColumn="0" w:firstRowLastColumn="0" w:lastRowFirstColumn="0" w:lastRowLastColumn="0"/>
            </w:pPr>
            <w:r>
              <w:t>Least squares</w:t>
            </w:r>
          </w:p>
        </w:tc>
      </w:tr>
      <w:tr w:rsidR="004D6580" w:rsidRPr="00D01DDB" w14:paraId="3D49945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D7E2A1" w14:textId="6AFBB307" w:rsidR="004D6580" w:rsidRDefault="004D6580" w:rsidP="00324B33">
            <w:pPr>
              <w:rPr>
                <w:szCs w:val="22"/>
              </w:rPr>
            </w:pPr>
            <w:r>
              <w:rPr>
                <w:szCs w:val="22"/>
              </w:rPr>
              <w:t>LTE</w:t>
            </w:r>
          </w:p>
        </w:tc>
        <w:tc>
          <w:tcPr>
            <w:tcW w:w="3800" w:type="pct"/>
          </w:tcPr>
          <w:p w14:paraId="151E0F9C" w14:textId="3A8AA0E6" w:rsidR="004D6580" w:rsidRDefault="004D6580" w:rsidP="00324B33">
            <w:pPr>
              <w:cnfStyle w:val="000000000000" w:firstRow="0" w:lastRow="0" w:firstColumn="0" w:lastColumn="0" w:oddVBand="0" w:evenVBand="0" w:oddHBand="0" w:evenHBand="0" w:firstRowFirstColumn="0" w:firstRowLastColumn="0" w:lastRowFirstColumn="0" w:lastRowLastColumn="0"/>
              <w:rPr>
                <w:szCs w:val="22"/>
              </w:rPr>
            </w:pPr>
            <w:r>
              <w:t>L</w:t>
            </w:r>
            <w:r w:rsidRPr="009A5E2F">
              <w:t>ong-term extension</w:t>
            </w:r>
          </w:p>
        </w:tc>
      </w:tr>
      <w:tr w:rsidR="00AF1898" w:rsidRPr="00D01DDB" w14:paraId="71910EB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DC4D1E" w14:textId="1B631100" w:rsidR="00AF1898" w:rsidRDefault="00AF1898" w:rsidP="00324B33">
            <w:pPr>
              <w:rPr>
                <w:szCs w:val="22"/>
              </w:rPr>
            </w:pPr>
            <w:proofErr w:type="spellStart"/>
            <w:r>
              <w:rPr>
                <w:szCs w:val="22"/>
              </w:rPr>
              <w:t>mAb</w:t>
            </w:r>
            <w:proofErr w:type="spellEnd"/>
          </w:p>
        </w:tc>
        <w:tc>
          <w:tcPr>
            <w:tcW w:w="3800" w:type="pct"/>
          </w:tcPr>
          <w:p w14:paraId="5B87533C" w14:textId="6DCF5480" w:rsidR="00AF1898" w:rsidRDefault="00AF1898" w:rsidP="00324B33">
            <w:pPr>
              <w:cnfStyle w:val="000000000000" w:firstRow="0" w:lastRow="0" w:firstColumn="0" w:lastColumn="0" w:oddVBand="0" w:evenVBand="0" w:oddHBand="0" w:evenHBand="0" w:firstRowFirstColumn="0" w:firstRowLastColumn="0" w:lastRowFirstColumn="0" w:lastRowLastColumn="0"/>
            </w:pPr>
            <w:r>
              <w:t>Monoclonal antibody</w:t>
            </w:r>
          </w:p>
        </w:tc>
      </w:tr>
      <w:tr w:rsidR="00A13593" w:rsidRPr="00D01DDB" w14:paraId="073AD49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0E4042" w14:textId="6A4BEBDC" w:rsidR="00A13593" w:rsidRDefault="00A13593" w:rsidP="00324B33">
            <w:pPr>
              <w:rPr>
                <w:szCs w:val="22"/>
              </w:rPr>
            </w:pPr>
            <w:r>
              <w:rPr>
                <w:szCs w:val="22"/>
              </w:rPr>
              <w:t>MACE</w:t>
            </w:r>
          </w:p>
        </w:tc>
        <w:tc>
          <w:tcPr>
            <w:tcW w:w="3800" w:type="pct"/>
          </w:tcPr>
          <w:p w14:paraId="66C3F92B" w14:textId="396CE50F" w:rsidR="00A13593" w:rsidRDefault="00A13593" w:rsidP="00324B33">
            <w:pPr>
              <w:cnfStyle w:val="000000000000" w:firstRow="0" w:lastRow="0" w:firstColumn="0" w:lastColumn="0" w:oddVBand="0" w:evenVBand="0" w:oddHBand="0" w:evenHBand="0" w:firstRowFirstColumn="0" w:firstRowLastColumn="0" w:lastRowFirstColumn="0" w:lastRowLastColumn="0"/>
            </w:pPr>
            <w:r>
              <w:t>M</w:t>
            </w:r>
            <w:r w:rsidRPr="00D15EB9">
              <w:t>ajor adverse cardiovascular events</w:t>
            </w:r>
          </w:p>
        </w:tc>
      </w:tr>
      <w:tr w:rsidR="009046A7" w:rsidRPr="00D01DDB" w14:paraId="15B87BD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C1B64B" w14:textId="493C5F61" w:rsidR="009046A7" w:rsidRDefault="009046A7" w:rsidP="00324B33">
            <w:pPr>
              <w:rPr>
                <w:szCs w:val="22"/>
              </w:rPr>
            </w:pPr>
            <w:r>
              <w:rPr>
                <w:szCs w:val="22"/>
              </w:rPr>
              <w:t>OCS</w:t>
            </w:r>
          </w:p>
        </w:tc>
        <w:tc>
          <w:tcPr>
            <w:tcW w:w="3800" w:type="pct"/>
          </w:tcPr>
          <w:p w14:paraId="757B4950" w14:textId="16C35C45" w:rsidR="009046A7" w:rsidRDefault="009046A7" w:rsidP="00324B33">
            <w:pPr>
              <w:cnfStyle w:val="000000000000" w:firstRow="0" w:lastRow="0" w:firstColumn="0" w:lastColumn="0" w:oddVBand="0" w:evenVBand="0" w:oddHBand="0" w:evenHBand="0" w:firstRowFirstColumn="0" w:firstRowLastColumn="0" w:lastRowFirstColumn="0" w:lastRowLastColumn="0"/>
            </w:pPr>
            <w:r>
              <w:t>Oral corticosteroid</w:t>
            </w:r>
          </w:p>
        </w:tc>
      </w:tr>
      <w:tr w:rsidR="00784FD4" w:rsidRPr="00D01DDB" w14:paraId="1BD0A30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01F722" w14:textId="27D3E6D9" w:rsidR="00784FD4" w:rsidRDefault="00784FD4" w:rsidP="00324B33">
            <w:pPr>
              <w:rPr>
                <w:szCs w:val="22"/>
              </w:rPr>
            </w:pPr>
            <w:r>
              <w:rPr>
                <w:szCs w:val="22"/>
              </w:rPr>
              <w:t>OR</w:t>
            </w:r>
          </w:p>
        </w:tc>
        <w:tc>
          <w:tcPr>
            <w:tcW w:w="3800" w:type="pct"/>
          </w:tcPr>
          <w:p w14:paraId="437287CD" w14:textId="32135E4A" w:rsidR="00784FD4" w:rsidRDefault="00784FD4" w:rsidP="00324B33">
            <w:pPr>
              <w:cnfStyle w:val="000000000000" w:firstRow="0" w:lastRow="0" w:firstColumn="0" w:lastColumn="0" w:oddVBand="0" w:evenVBand="0" w:oddHBand="0" w:evenHBand="0" w:firstRowFirstColumn="0" w:firstRowLastColumn="0" w:lastRowFirstColumn="0" w:lastRowLastColumn="0"/>
            </w:pPr>
            <w:r w:rsidRPr="00784FD4">
              <w:t xml:space="preserve">Odds </w:t>
            </w:r>
            <w:r>
              <w:t>r</w:t>
            </w:r>
            <w:r w:rsidRPr="00784FD4">
              <w:t>atio</w:t>
            </w:r>
          </w:p>
        </w:tc>
      </w:tr>
      <w:tr w:rsidR="000D06A5" w:rsidRPr="00D01DDB" w14:paraId="2740279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79DFA8" w14:textId="29275000" w:rsidR="000D06A5" w:rsidRDefault="000D06A5" w:rsidP="00324B33">
            <w:pPr>
              <w:rPr>
                <w:szCs w:val="22"/>
              </w:rPr>
            </w:pPr>
            <w:r>
              <w:rPr>
                <w:szCs w:val="22"/>
              </w:rPr>
              <w:t>PD</w:t>
            </w:r>
          </w:p>
        </w:tc>
        <w:tc>
          <w:tcPr>
            <w:tcW w:w="3800" w:type="pct"/>
          </w:tcPr>
          <w:p w14:paraId="25862B84" w14:textId="710C47B4" w:rsidR="000D06A5" w:rsidRDefault="000D06A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Pharmacodynamics</w:t>
            </w:r>
          </w:p>
        </w:tc>
      </w:tr>
      <w:tr w:rsidR="006C3A12" w:rsidRPr="00D01DDB" w14:paraId="65F8E9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B8BF4C" w14:textId="65DCC970" w:rsidR="006C3A12" w:rsidRDefault="006C3A12" w:rsidP="00324B33">
            <w:pPr>
              <w:rPr>
                <w:szCs w:val="22"/>
              </w:rPr>
            </w:pPr>
            <w:r>
              <w:rPr>
                <w:szCs w:val="22"/>
              </w:rPr>
              <w:t>PFS</w:t>
            </w:r>
          </w:p>
        </w:tc>
        <w:tc>
          <w:tcPr>
            <w:tcW w:w="3800" w:type="pct"/>
          </w:tcPr>
          <w:p w14:paraId="4B8FC803" w14:textId="429EA8D2" w:rsidR="006C3A12" w:rsidRDefault="006C3A12" w:rsidP="00324B33">
            <w:pPr>
              <w:cnfStyle w:val="000000000000" w:firstRow="0" w:lastRow="0" w:firstColumn="0" w:lastColumn="0" w:oddVBand="0" w:evenVBand="0" w:oddHBand="0" w:evenHBand="0" w:firstRowFirstColumn="0" w:firstRowLastColumn="0" w:lastRowFirstColumn="0" w:lastRowLastColumn="0"/>
            </w:pPr>
            <w:r>
              <w:rPr>
                <w:szCs w:val="22"/>
              </w:rPr>
              <w:t>P</w:t>
            </w:r>
            <w:r w:rsidRPr="006B3F05">
              <w:rPr>
                <w:szCs w:val="22"/>
              </w:rPr>
              <w:t>refilled syringe</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lastRenderedPageBreak/>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A31CEF" w:rsidRPr="00D01DDB" w14:paraId="49B7A78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27A50F" w14:textId="44380875" w:rsidR="00A31CEF" w:rsidRPr="00D01DDB" w:rsidRDefault="00A31CEF" w:rsidP="00324B33">
            <w:pPr>
              <w:rPr>
                <w:szCs w:val="22"/>
              </w:rPr>
            </w:pPr>
            <w:r>
              <w:rPr>
                <w:szCs w:val="22"/>
              </w:rPr>
              <w:t>PK</w:t>
            </w:r>
          </w:p>
        </w:tc>
        <w:tc>
          <w:tcPr>
            <w:tcW w:w="3800" w:type="pct"/>
          </w:tcPr>
          <w:p w14:paraId="2BF3F981" w14:textId="177406FB" w:rsidR="00A31CEF" w:rsidRPr="00D01DDB" w:rsidRDefault="00A31CEF" w:rsidP="00324B33">
            <w:pPr>
              <w:cnfStyle w:val="000000000000" w:firstRow="0" w:lastRow="0" w:firstColumn="0" w:lastColumn="0" w:oddVBand="0" w:evenVBand="0" w:oddHBand="0" w:evenHBand="0" w:firstRowFirstColumn="0" w:firstRowLastColumn="0" w:lastRowFirstColumn="0" w:lastRowLastColumn="0"/>
              <w:rPr>
                <w:szCs w:val="22"/>
              </w:rPr>
            </w:pPr>
            <w:r>
              <w:t>Pharmacokinetic</w:t>
            </w:r>
          </w:p>
        </w:tc>
      </w:tr>
      <w:tr w:rsidR="00800707" w:rsidRPr="00D01DDB" w14:paraId="5AFC08A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7B9273" w14:textId="6BF6F709" w:rsidR="00800707" w:rsidRDefault="00800707" w:rsidP="00324B33">
            <w:pPr>
              <w:rPr>
                <w:szCs w:val="22"/>
              </w:rPr>
            </w:pPr>
            <w:proofErr w:type="spellStart"/>
            <w:r>
              <w:rPr>
                <w:szCs w:val="22"/>
              </w:rPr>
              <w:t>PopPK</w:t>
            </w:r>
            <w:proofErr w:type="spellEnd"/>
          </w:p>
        </w:tc>
        <w:tc>
          <w:tcPr>
            <w:tcW w:w="3800" w:type="pct"/>
          </w:tcPr>
          <w:p w14:paraId="7FAE40E2" w14:textId="68CFF424" w:rsidR="00800707" w:rsidRDefault="00800707" w:rsidP="00324B33">
            <w:pPr>
              <w:cnfStyle w:val="000000000000" w:firstRow="0" w:lastRow="0" w:firstColumn="0" w:lastColumn="0" w:oddVBand="0" w:evenVBand="0" w:oddHBand="0" w:evenHBand="0" w:firstRowFirstColumn="0" w:firstRowLastColumn="0" w:lastRowFirstColumn="0" w:lastRowLastColumn="0"/>
            </w:pPr>
            <w:r w:rsidRPr="007750A9">
              <w:t>Population pharmacokinetic</w:t>
            </w:r>
            <w:r>
              <w:t>s</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FD209B" w:rsidRPr="00D01DDB" w14:paraId="45500FC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7E2456" w14:textId="2D349BA5" w:rsidR="00FD209B" w:rsidRDefault="00FD209B" w:rsidP="00A704DC">
            <w:pPr>
              <w:rPr>
                <w:szCs w:val="22"/>
              </w:rPr>
            </w:pPr>
            <w:r>
              <w:rPr>
                <w:szCs w:val="22"/>
              </w:rPr>
              <w:t>Q2W</w:t>
            </w:r>
          </w:p>
        </w:tc>
        <w:tc>
          <w:tcPr>
            <w:tcW w:w="3800" w:type="pct"/>
          </w:tcPr>
          <w:p w14:paraId="7644B7E7" w14:textId="23255219" w:rsidR="00FD209B" w:rsidRPr="00D01DDB" w:rsidRDefault="003479DB"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Every 2 weeks</w:t>
            </w:r>
          </w:p>
        </w:tc>
      </w:tr>
      <w:tr w:rsidR="00C503E3" w:rsidRPr="00D01DDB" w14:paraId="6C9527E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969275" w14:textId="61E16067" w:rsidR="00C503E3" w:rsidRPr="00D01DDB" w:rsidRDefault="00C503E3" w:rsidP="00A704DC">
            <w:pPr>
              <w:rPr>
                <w:szCs w:val="22"/>
              </w:rPr>
            </w:pPr>
            <w:r>
              <w:rPr>
                <w:szCs w:val="22"/>
              </w:rPr>
              <w:t>Q4W</w:t>
            </w:r>
          </w:p>
        </w:tc>
        <w:tc>
          <w:tcPr>
            <w:tcW w:w="3800" w:type="pct"/>
          </w:tcPr>
          <w:p w14:paraId="547D78EE" w14:textId="0A201D59" w:rsidR="00C503E3" w:rsidRPr="00D01DDB" w:rsidRDefault="003479DB"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Every 4 weeks</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340A83" w:rsidRPr="00D01DDB" w14:paraId="34A5444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C2DBFB" w14:textId="7F04BB99" w:rsidR="00340A83" w:rsidRPr="00D01DDB" w:rsidRDefault="00340A83" w:rsidP="00A704DC">
            <w:pPr>
              <w:rPr>
                <w:szCs w:val="22"/>
              </w:rPr>
            </w:pPr>
            <w:r>
              <w:rPr>
                <w:szCs w:val="22"/>
              </w:rPr>
              <w:t>SAE</w:t>
            </w:r>
          </w:p>
        </w:tc>
        <w:tc>
          <w:tcPr>
            <w:tcW w:w="3800" w:type="pct"/>
          </w:tcPr>
          <w:p w14:paraId="447E1981" w14:textId="2B7EB7A9" w:rsidR="00340A83" w:rsidRPr="00D01DDB" w:rsidRDefault="00340A83" w:rsidP="00A704DC">
            <w:pPr>
              <w:cnfStyle w:val="000000000000" w:firstRow="0" w:lastRow="0" w:firstColumn="0" w:lastColumn="0" w:oddVBand="0" w:evenVBand="0" w:oddHBand="0" w:evenHBand="0" w:firstRowFirstColumn="0" w:firstRowLastColumn="0" w:lastRowFirstColumn="0" w:lastRowLastColumn="0"/>
              <w:rPr>
                <w:szCs w:val="22"/>
              </w:rPr>
            </w:pPr>
            <w:r>
              <w:t>S</w:t>
            </w:r>
            <w:r w:rsidRPr="00340A83">
              <w:t>erious adverse events</w:t>
            </w:r>
          </w:p>
        </w:tc>
      </w:tr>
      <w:tr w:rsidR="00A31CEF" w:rsidRPr="00D01DDB" w14:paraId="28FBAC5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0CAC72" w14:textId="63CDFE53" w:rsidR="00A31CEF" w:rsidRPr="00D01DDB" w:rsidRDefault="00A31CEF" w:rsidP="00A704DC">
            <w:pPr>
              <w:rPr>
                <w:szCs w:val="22"/>
              </w:rPr>
            </w:pPr>
            <w:r>
              <w:rPr>
                <w:szCs w:val="22"/>
              </w:rPr>
              <w:t>SC</w:t>
            </w:r>
          </w:p>
        </w:tc>
        <w:tc>
          <w:tcPr>
            <w:tcW w:w="3800" w:type="pct"/>
          </w:tcPr>
          <w:p w14:paraId="5C404749" w14:textId="6ED53494" w:rsidR="00A31CEF" w:rsidRPr="00D01DDB" w:rsidRDefault="00A31CEF"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Subcutaneous</w:t>
            </w:r>
          </w:p>
        </w:tc>
      </w:tr>
      <w:tr w:rsidR="004910C3" w:rsidRPr="00D01DDB" w14:paraId="6188F52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2DD679" w14:textId="000E21AE" w:rsidR="004910C3" w:rsidRPr="00D01DDB" w:rsidRDefault="004910C3" w:rsidP="00A704DC">
            <w:pPr>
              <w:rPr>
                <w:szCs w:val="22"/>
              </w:rPr>
            </w:pPr>
            <w:r>
              <w:rPr>
                <w:szCs w:val="22"/>
              </w:rPr>
              <w:t>SOC</w:t>
            </w:r>
          </w:p>
        </w:tc>
        <w:tc>
          <w:tcPr>
            <w:tcW w:w="3800" w:type="pct"/>
          </w:tcPr>
          <w:p w14:paraId="4189E0FC" w14:textId="49162336" w:rsidR="004910C3" w:rsidRPr="00D01DDB" w:rsidRDefault="00FC12B9"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System </w:t>
            </w:r>
            <w:r w:rsidR="00A94BE6">
              <w:rPr>
                <w:szCs w:val="22"/>
              </w:rPr>
              <w:t>o</w:t>
            </w:r>
            <w:r>
              <w:rPr>
                <w:szCs w:val="22"/>
              </w:rPr>
              <w:t xml:space="preserve">rgan </w:t>
            </w:r>
            <w:r w:rsidR="00A94BE6">
              <w:rPr>
                <w:szCs w:val="22"/>
              </w:rPr>
              <w:t>c</w:t>
            </w:r>
            <w:r>
              <w:rPr>
                <w:szCs w:val="22"/>
              </w:rPr>
              <w:t>lass</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A704DC"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28DAB735" w:rsidR="00A704DC" w:rsidRPr="00D01DDB" w:rsidRDefault="00773375" w:rsidP="00A704DC">
            <w:pPr>
              <w:rPr>
                <w:szCs w:val="22"/>
              </w:rPr>
            </w:pPr>
            <w:r>
              <w:rPr>
                <w:szCs w:val="22"/>
              </w:rPr>
              <w:t>TSLP</w:t>
            </w:r>
          </w:p>
        </w:tc>
        <w:tc>
          <w:tcPr>
            <w:tcW w:w="3800" w:type="pct"/>
          </w:tcPr>
          <w:p w14:paraId="4458E485" w14:textId="4B4DBB54" w:rsidR="00A704DC" w:rsidRPr="00D01DDB" w:rsidRDefault="00773375" w:rsidP="00A704DC">
            <w:pPr>
              <w:cnfStyle w:val="000000000000" w:firstRow="0" w:lastRow="0" w:firstColumn="0" w:lastColumn="0" w:oddVBand="0" w:evenVBand="0" w:oddHBand="0" w:evenHBand="0" w:firstRowFirstColumn="0" w:firstRowLastColumn="0" w:lastRowFirstColumn="0" w:lastRowLastColumn="0"/>
              <w:rPr>
                <w:szCs w:val="22"/>
              </w:rPr>
            </w:pPr>
            <w:r>
              <w:t>T</w:t>
            </w:r>
            <w:r w:rsidRPr="00CE3842">
              <w:t>hymic stromal lymphopoietin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30164549"/>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30164550"/>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3260"/>
        <w:gridCol w:w="5810"/>
      </w:tblGrid>
      <w:tr w:rsidR="00324B33" w:rsidRPr="00BD5DBD" w14:paraId="77D11C95" w14:textId="77777777" w:rsidTr="000F0EB3">
        <w:tc>
          <w:tcPr>
            <w:tcW w:w="1797" w:type="pct"/>
          </w:tcPr>
          <w:p w14:paraId="10E57D62" w14:textId="0C1FD9A5" w:rsidR="00324B33" w:rsidRPr="00BD5DBD" w:rsidRDefault="00324B33" w:rsidP="007452E8">
            <w:pPr>
              <w:rPr>
                <w:i/>
                <w:szCs w:val="22"/>
              </w:rPr>
            </w:pPr>
            <w:r w:rsidRPr="00BD5DBD">
              <w:rPr>
                <w:i/>
                <w:szCs w:val="22"/>
              </w:rPr>
              <w:t>Type of submission:</w:t>
            </w:r>
          </w:p>
        </w:tc>
        <w:tc>
          <w:tcPr>
            <w:tcW w:w="3203" w:type="pct"/>
          </w:tcPr>
          <w:p w14:paraId="4F07C303" w14:textId="2DAFBD14" w:rsidR="00324B33" w:rsidRPr="00BD5DBD" w:rsidRDefault="00324B33" w:rsidP="007452E8">
            <w:pPr>
              <w:rPr>
                <w:szCs w:val="22"/>
              </w:rPr>
            </w:pPr>
            <w:r w:rsidRPr="00BD5DBD">
              <w:rPr>
                <w:szCs w:val="22"/>
              </w:rPr>
              <w:t xml:space="preserve">New </w:t>
            </w:r>
            <w:r w:rsidR="005F35CA">
              <w:rPr>
                <w:szCs w:val="22"/>
              </w:rPr>
              <w:t>biological</w:t>
            </w:r>
            <w:r w:rsidRPr="00BD5DBD">
              <w:rPr>
                <w:szCs w:val="22"/>
              </w:rPr>
              <w:t xml:space="preserve"> entity</w:t>
            </w:r>
          </w:p>
        </w:tc>
      </w:tr>
      <w:tr w:rsidR="00324B33" w:rsidRPr="00BD5DBD" w14:paraId="13482B61" w14:textId="77777777" w:rsidTr="000F0EB3">
        <w:tc>
          <w:tcPr>
            <w:tcW w:w="1797" w:type="pct"/>
          </w:tcPr>
          <w:p w14:paraId="2C427FCF" w14:textId="3CB4BAE5" w:rsidR="00324B33" w:rsidRPr="00BD5DBD" w:rsidRDefault="00324B33" w:rsidP="007452E8">
            <w:pPr>
              <w:rPr>
                <w:i/>
                <w:szCs w:val="22"/>
              </w:rPr>
            </w:pPr>
            <w:r w:rsidRPr="00BD5DBD">
              <w:rPr>
                <w:i/>
                <w:szCs w:val="22"/>
              </w:rPr>
              <w:t>Product name:</w:t>
            </w:r>
          </w:p>
        </w:tc>
        <w:tc>
          <w:tcPr>
            <w:tcW w:w="3203" w:type="pct"/>
          </w:tcPr>
          <w:p w14:paraId="0E2DEF76" w14:textId="45430D9A" w:rsidR="00324B33" w:rsidRPr="00BD5DBD" w:rsidRDefault="00176979" w:rsidP="007452E8">
            <w:pPr>
              <w:rPr>
                <w:szCs w:val="22"/>
              </w:rPr>
            </w:pPr>
            <w:r>
              <w:rPr>
                <w:szCs w:val="22"/>
              </w:rPr>
              <w:t>Tez</w:t>
            </w:r>
            <w:r w:rsidR="00B253B2">
              <w:rPr>
                <w:szCs w:val="22"/>
              </w:rPr>
              <w:t>spire</w:t>
            </w:r>
          </w:p>
        </w:tc>
      </w:tr>
      <w:tr w:rsidR="00324B33" w:rsidRPr="00BD5DBD" w14:paraId="01255B5B" w14:textId="77777777" w:rsidTr="000F0EB3">
        <w:tc>
          <w:tcPr>
            <w:tcW w:w="1797" w:type="pct"/>
          </w:tcPr>
          <w:p w14:paraId="52B4F3D7" w14:textId="4B5008FD" w:rsidR="00324B33" w:rsidRPr="00BD5DBD" w:rsidRDefault="00324B33" w:rsidP="007452E8">
            <w:pPr>
              <w:rPr>
                <w:i/>
                <w:szCs w:val="22"/>
              </w:rPr>
            </w:pPr>
            <w:r w:rsidRPr="00BD5DBD">
              <w:rPr>
                <w:i/>
                <w:szCs w:val="22"/>
              </w:rPr>
              <w:t>Active ingredient:</w:t>
            </w:r>
          </w:p>
        </w:tc>
        <w:tc>
          <w:tcPr>
            <w:tcW w:w="3203" w:type="pct"/>
          </w:tcPr>
          <w:p w14:paraId="02FB6383" w14:textId="0FC294AB" w:rsidR="00324B33" w:rsidRPr="00BD5DBD" w:rsidRDefault="00B253B2" w:rsidP="007452E8">
            <w:pPr>
              <w:rPr>
                <w:szCs w:val="22"/>
              </w:rPr>
            </w:pPr>
            <w:r>
              <w:rPr>
                <w:szCs w:val="22"/>
              </w:rPr>
              <w:t>Tezepelumab</w:t>
            </w:r>
          </w:p>
        </w:tc>
      </w:tr>
      <w:tr w:rsidR="00324B33" w:rsidRPr="00BD5DBD" w14:paraId="219A281B" w14:textId="77777777" w:rsidTr="000F0EB3">
        <w:tc>
          <w:tcPr>
            <w:tcW w:w="1797" w:type="pct"/>
          </w:tcPr>
          <w:p w14:paraId="112E5F78" w14:textId="77777777" w:rsidR="00324B33" w:rsidRPr="00BD5DBD" w:rsidRDefault="00324B33" w:rsidP="007452E8">
            <w:pPr>
              <w:rPr>
                <w:i/>
                <w:szCs w:val="22"/>
              </w:rPr>
            </w:pPr>
            <w:r w:rsidRPr="00BD5DBD">
              <w:rPr>
                <w:i/>
                <w:szCs w:val="22"/>
              </w:rPr>
              <w:t>Decision:</w:t>
            </w:r>
          </w:p>
        </w:tc>
        <w:tc>
          <w:tcPr>
            <w:tcW w:w="3203" w:type="pct"/>
          </w:tcPr>
          <w:p w14:paraId="3B114BEA" w14:textId="3449F462" w:rsidR="00324B33" w:rsidRPr="00BD5DBD" w:rsidRDefault="00324B33" w:rsidP="007452E8">
            <w:pPr>
              <w:rPr>
                <w:szCs w:val="22"/>
              </w:rPr>
            </w:pPr>
            <w:r w:rsidRPr="00BD5DBD">
              <w:rPr>
                <w:szCs w:val="22"/>
              </w:rPr>
              <w:t>Approved</w:t>
            </w:r>
          </w:p>
        </w:tc>
      </w:tr>
      <w:tr w:rsidR="00AE1947" w:rsidRPr="00BD5DBD" w14:paraId="32B72632" w14:textId="77777777" w:rsidTr="000F0EB3">
        <w:tc>
          <w:tcPr>
            <w:tcW w:w="1797" w:type="pct"/>
          </w:tcPr>
          <w:p w14:paraId="332A5CD5" w14:textId="65682B5F" w:rsidR="00AE1947" w:rsidRPr="00BD5DBD" w:rsidRDefault="00AE1947" w:rsidP="007F1E37">
            <w:r w:rsidRPr="00BD5DBD">
              <w:rPr>
                <w:i/>
                <w:szCs w:val="22"/>
              </w:rPr>
              <w:t>Date of decision:</w:t>
            </w:r>
          </w:p>
        </w:tc>
        <w:tc>
          <w:tcPr>
            <w:tcW w:w="3203" w:type="pct"/>
          </w:tcPr>
          <w:p w14:paraId="7B381CD6" w14:textId="533C856D" w:rsidR="00AE1947" w:rsidRPr="00BD5DBD" w:rsidRDefault="00B253B2">
            <w:pPr>
              <w:rPr>
                <w:szCs w:val="22"/>
              </w:rPr>
            </w:pPr>
            <w:r>
              <w:rPr>
                <w:szCs w:val="22"/>
              </w:rPr>
              <w:t>21 March 2025</w:t>
            </w:r>
          </w:p>
        </w:tc>
      </w:tr>
      <w:tr w:rsidR="00324B33" w:rsidRPr="00BD5DBD" w14:paraId="60A25F5A" w14:textId="77777777" w:rsidTr="000F0EB3">
        <w:tc>
          <w:tcPr>
            <w:tcW w:w="1797" w:type="pct"/>
          </w:tcPr>
          <w:p w14:paraId="5C5E4CBA" w14:textId="141FEA0D" w:rsidR="00324B33" w:rsidRPr="00BD5DBD" w:rsidRDefault="00324B33" w:rsidP="007452E8">
            <w:pPr>
              <w:rPr>
                <w:i/>
                <w:szCs w:val="22"/>
              </w:rPr>
            </w:pPr>
            <w:r w:rsidRPr="00BD5DBD">
              <w:rPr>
                <w:i/>
                <w:szCs w:val="22"/>
              </w:rPr>
              <w:t xml:space="preserve">Date of entry </w:t>
            </w:r>
            <w:r w:rsidR="001C4F64">
              <w:rPr>
                <w:i/>
                <w:szCs w:val="22"/>
              </w:rPr>
              <w:t>i</w:t>
            </w:r>
            <w:r w:rsidRPr="00BD5DBD">
              <w:rPr>
                <w:i/>
                <w:szCs w:val="22"/>
              </w:rPr>
              <w:t>nto ARTG:</w:t>
            </w:r>
          </w:p>
        </w:tc>
        <w:tc>
          <w:tcPr>
            <w:tcW w:w="3203" w:type="pct"/>
          </w:tcPr>
          <w:p w14:paraId="28B270E9" w14:textId="2CB1833A" w:rsidR="00324B33" w:rsidRPr="00BD5DBD" w:rsidRDefault="003B4AF5" w:rsidP="007452E8">
            <w:pPr>
              <w:rPr>
                <w:szCs w:val="22"/>
              </w:rPr>
            </w:pPr>
            <w:r>
              <w:rPr>
                <w:szCs w:val="22"/>
              </w:rPr>
              <w:t>24 March 2025</w:t>
            </w:r>
          </w:p>
        </w:tc>
      </w:tr>
      <w:tr w:rsidR="00324B33" w:rsidRPr="00BD5DBD" w14:paraId="547E08D7" w14:textId="77777777" w:rsidTr="000F0EB3">
        <w:tc>
          <w:tcPr>
            <w:tcW w:w="1797" w:type="pct"/>
          </w:tcPr>
          <w:p w14:paraId="5030EF30" w14:textId="1A3D2F20" w:rsidR="00324B33" w:rsidRPr="00BD5DBD" w:rsidRDefault="00324B33" w:rsidP="007452E8">
            <w:pPr>
              <w:rPr>
                <w:i/>
                <w:szCs w:val="22"/>
              </w:rPr>
            </w:pPr>
            <w:r w:rsidRPr="00BD5DBD">
              <w:rPr>
                <w:i/>
                <w:szCs w:val="22"/>
              </w:rPr>
              <w:t>ARTG numbers:</w:t>
            </w:r>
          </w:p>
        </w:tc>
        <w:tc>
          <w:tcPr>
            <w:tcW w:w="3203" w:type="pct"/>
          </w:tcPr>
          <w:p w14:paraId="0054E912" w14:textId="135181B7" w:rsidR="00324B33" w:rsidRPr="00BD5DBD" w:rsidRDefault="00B87AC4" w:rsidP="007452E8">
            <w:pPr>
              <w:rPr>
                <w:szCs w:val="22"/>
              </w:rPr>
            </w:pPr>
            <w:r>
              <w:rPr>
                <w:szCs w:val="22"/>
              </w:rPr>
              <w:t>427956 and 432812</w:t>
            </w:r>
          </w:p>
        </w:tc>
      </w:tr>
      <w:tr w:rsidR="00324B33" w:rsidRPr="00BD5DBD" w14:paraId="7618393F" w14:textId="77777777" w:rsidTr="000F0EB3">
        <w:tc>
          <w:tcPr>
            <w:tcW w:w="179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21"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203" w:type="pct"/>
          </w:tcPr>
          <w:p w14:paraId="6FF3C6A2" w14:textId="4281865F" w:rsidR="00324B33" w:rsidRPr="00BD5DBD" w:rsidRDefault="00324B33" w:rsidP="007452E8">
            <w:pPr>
              <w:rPr>
                <w:szCs w:val="22"/>
              </w:rPr>
            </w:pPr>
            <w:r w:rsidRPr="00BD5DBD">
              <w:rPr>
                <w:szCs w:val="22"/>
              </w:rPr>
              <w:t>Yes</w:t>
            </w:r>
          </w:p>
        </w:tc>
      </w:tr>
      <w:tr w:rsidR="00324B33" w:rsidRPr="00BD5DBD" w14:paraId="179E09FE" w14:textId="77777777" w:rsidTr="000F0EB3">
        <w:tc>
          <w:tcPr>
            <w:tcW w:w="1797" w:type="pct"/>
          </w:tcPr>
          <w:p w14:paraId="1A592498" w14:textId="77777777" w:rsidR="00324B33" w:rsidRPr="00BD5DBD" w:rsidRDefault="00324B33" w:rsidP="007452E8">
            <w:pPr>
              <w:rPr>
                <w:i/>
                <w:szCs w:val="22"/>
              </w:rPr>
            </w:pPr>
            <w:r w:rsidRPr="00BD5DBD">
              <w:rPr>
                <w:i/>
                <w:szCs w:val="22"/>
              </w:rPr>
              <w:t>Sponsor’s name and address:</w:t>
            </w:r>
          </w:p>
        </w:tc>
        <w:tc>
          <w:tcPr>
            <w:tcW w:w="3203" w:type="pct"/>
          </w:tcPr>
          <w:p w14:paraId="55D7AA09" w14:textId="77777777" w:rsidR="00324B33" w:rsidRDefault="00FA78C0" w:rsidP="007452E8">
            <w:pPr>
              <w:rPr>
                <w:szCs w:val="22"/>
              </w:rPr>
            </w:pPr>
            <w:r>
              <w:rPr>
                <w:szCs w:val="22"/>
              </w:rPr>
              <w:t>AstraZeneca Pty Ltd</w:t>
            </w:r>
          </w:p>
          <w:p w14:paraId="68DD94B0" w14:textId="7C17499B" w:rsidR="00FA78C0" w:rsidRPr="00BD5DBD" w:rsidRDefault="00FA78C0" w:rsidP="007452E8">
            <w:pPr>
              <w:rPr>
                <w:szCs w:val="22"/>
              </w:rPr>
            </w:pPr>
            <w:r>
              <w:rPr>
                <w:szCs w:val="22"/>
              </w:rPr>
              <w:t xml:space="preserve">66 Talavera Road, </w:t>
            </w:r>
            <w:r w:rsidR="00BD0876">
              <w:rPr>
                <w:szCs w:val="22"/>
              </w:rPr>
              <w:t>Macquarie Park. NSW. 2113</w:t>
            </w:r>
          </w:p>
        </w:tc>
      </w:tr>
      <w:tr w:rsidR="00324B33" w:rsidRPr="00BD5DBD" w14:paraId="5322B989" w14:textId="77777777" w:rsidTr="000F0EB3">
        <w:tc>
          <w:tcPr>
            <w:tcW w:w="1797" w:type="pct"/>
          </w:tcPr>
          <w:p w14:paraId="24F217E3" w14:textId="56EFF755" w:rsidR="00324B33" w:rsidRPr="00BD5DBD" w:rsidRDefault="00324B33" w:rsidP="007452E8">
            <w:pPr>
              <w:rPr>
                <w:i/>
                <w:szCs w:val="22"/>
              </w:rPr>
            </w:pPr>
            <w:r w:rsidRPr="00BD5DBD">
              <w:rPr>
                <w:i/>
                <w:szCs w:val="22"/>
              </w:rPr>
              <w:t>Dose form:</w:t>
            </w:r>
          </w:p>
        </w:tc>
        <w:tc>
          <w:tcPr>
            <w:tcW w:w="3203" w:type="pct"/>
          </w:tcPr>
          <w:p w14:paraId="768B254C" w14:textId="086D2C24" w:rsidR="00324B33" w:rsidRPr="00BD5DBD" w:rsidRDefault="008F661F" w:rsidP="007452E8">
            <w:pPr>
              <w:rPr>
                <w:szCs w:val="22"/>
              </w:rPr>
            </w:pPr>
            <w:r>
              <w:rPr>
                <w:szCs w:val="22"/>
              </w:rPr>
              <w:t>Solution for injection</w:t>
            </w:r>
          </w:p>
        </w:tc>
      </w:tr>
      <w:tr w:rsidR="00324B33" w:rsidRPr="00BD5DBD" w14:paraId="115243E6" w14:textId="77777777" w:rsidTr="000F0EB3">
        <w:tc>
          <w:tcPr>
            <w:tcW w:w="1797" w:type="pct"/>
          </w:tcPr>
          <w:p w14:paraId="7634B062" w14:textId="15CF1A15" w:rsidR="00324B33" w:rsidRPr="00BD5DBD" w:rsidRDefault="00324B33" w:rsidP="007452E8">
            <w:pPr>
              <w:rPr>
                <w:i/>
                <w:szCs w:val="22"/>
              </w:rPr>
            </w:pPr>
            <w:r w:rsidRPr="00BD5DBD">
              <w:rPr>
                <w:i/>
                <w:szCs w:val="22"/>
              </w:rPr>
              <w:t>Strength:</w:t>
            </w:r>
          </w:p>
        </w:tc>
        <w:tc>
          <w:tcPr>
            <w:tcW w:w="3203" w:type="pct"/>
          </w:tcPr>
          <w:p w14:paraId="5E5F83DB" w14:textId="2E277141" w:rsidR="00324B33" w:rsidRPr="00BD5DBD" w:rsidRDefault="008F661F" w:rsidP="007452E8">
            <w:pPr>
              <w:rPr>
                <w:szCs w:val="22"/>
              </w:rPr>
            </w:pPr>
            <w:r>
              <w:rPr>
                <w:szCs w:val="22"/>
              </w:rPr>
              <w:t>210 mg in 1.91 mL</w:t>
            </w:r>
          </w:p>
        </w:tc>
      </w:tr>
      <w:tr w:rsidR="00324B33" w:rsidRPr="00BD5DBD" w14:paraId="34B07BA6" w14:textId="77777777" w:rsidTr="000F0EB3">
        <w:tc>
          <w:tcPr>
            <w:tcW w:w="1797" w:type="pct"/>
          </w:tcPr>
          <w:p w14:paraId="1C039224" w14:textId="1E045A5F" w:rsidR="00324B33" w:rsidRPr="00BD5DBD" w:rsidRDefault="00324B33" w:rsidP="007452E8">
            <w:pPr>
              <w:rPr>
                <w:i/>
                <w:szCs w:val="22"/>
              </w:rPr>
            </w:pPr>
            <w:r w:rsidRPr="00BD5DBD">
              <w:rPr>
                <w:i/>
                <w:szCs w:val="22"/>
              </w:rPr>
              <w:t>Container:</w:t>
            </w:r>
          </w:p>
        </w:tc>
        <w:tc>
          <w:tcPr>
            <w:tcW w:w="3203" w:type="pct"/>
          </w:tcPr>
          <w:p w14:paraId="500A42C6" w14:textId="6D778A5F" w:rsidR="00324B33" w:rsidRPr="00BD5DBD" w:rsidRDefault="00F53A92" w:rsidP="007452E8">
            <w:pPr>
              <w:rPr>
                <w:szCs w:val="22"/>
              </w:rPr>
            </w:pPr>
            <w:r>
              <w:rPr>
                <w:szCs w:val="22"/>
              </w:rPr>
              <w:t>Prefilled syringe</w:t>
            </w:r>
          </w:p>
        </w:tc>
      </w:tr>
      <w:tr w:rsidR="00324B33" w:rsidRPr="00BD5DBD" w14:paraId="176B6773" w14:textId="77777777" w:rsidTr="000F0EB3">
        <w:tc>
          <w:tcPr>
            <w:tcW w:w="1797" w:type="pct"/>
          </w:tcPr>
          <w:p w14:paraId="71846159" w14:textId="53CDB738" w:rsidR="00324B33" w:rsidRPr="00BD5DBD" w:rsidRDefault="00324B33" w:rsidP="007452E8">
            <w:pPr>
              <w:rPr>
                <w:i/>
                <w:szCs w:val="22"/>
              </w:rPr>
            </w:pPr>
            <w:r w:rsidRPr="00BD5DBD">
              <w:rPr>
                <w:i/>
                <w:szCs w:val="22"/>
              </w:rPr>
              <w:t>Pack siz</w:t>
            </w:r>
            <w:r w:rsidR="005D152B">
              <w:rPr>
                <w:i/>
                <w:szCs w:val="22"/>
              </w:rPr>
              <w:t>e</w:t>
            </w:r>
            <w:r w:rsidRPr="00BD5DBD">
              <w:rPr>
                <w:i/>
                <w:szCs w:val="22"/>
              </w:rPr>
              <w:t>:</w:t>
            </w:r>
          </w:p>
        </w:tc>
        <w:tc>
          <w:tcPr>
            <w:tcW w:w="3203" w:type="pct"/>
          </w:tcPr>
          <w:p w14:paraId="7E978F8F" w14:textId="0D77685D" w:rsidR="00324B33" w:rsidRPr="00BD5DBD" w:rsidRDefault="0059575A" w:rsidP="007452E8">
            <w:pPr>
              <w:rPr>
                <w:szCs w:val="22"/>
              </w:rPr>
            </w:pPr>
            <w:r>
              <w:rPr>
                <w:szCs w:val="22"/>
              </w:rPr>
              <w:t>One</w:t>
            </w:r>
          </w:p>
        </w:tc>
      </w:tr>
      <w:tr w:rsidR="00324B33" w:rsidRPr="00BD5DBD" w14:paraId="19A2544A" w14:textId="77777777" w:rsidTr="000F0EB3">
        <w:tc>
          <w:tcPr>
            <w:tcW w:w="179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203" w:type="pct"/>
          </w:tcPr>
          <w:p w14:paraId="6E143E2E" w14:textId="54B500EF" w:rsidR="00A07109" w:rsidRPr="002C7179" w:rsidRDefault="00A07109" w:rsidP="00A07109">
            <w:pPr>
              <w:rPr>
                <w:szCs w:val="22"/>
              </w:rPr>
            </w:pPr>
            <w:r w:rsidRPr="00A07109">
              <w:rPr>
                <w:szCs w:val="22"/>
              </w:rPr>
              <w:t>TEZSPIRE is indicated as an add-on maintenance treatment in patients aged 12 years</w:t>
            </w:r>
            <w:r w:rsidRPr="002C7179">
              <w:rPr>
                <w:szCs w:val="22"/>
              </w:rPr>
              <w:t xml:space="preserve"> </w:t>
            </w:r>
            <w:r w:rsidRPr="00A07109">
              <w:rPr>
                <w:szCs w:val="22"/>
              </w:rPr>
              <w:t>and older with severe asthma who are inadequately controlled despite optimal therapy</w:t>
            </w:r>
            <w:r w:rsidRPr="002C7179">
              <w:rPr>
                <w:szCs w:val="22"/>
              </w:rPr>
              <w:t xml:space="preserve"> </w:t>
            </w:r>
            <w:r w:rsidRPr="00A07109">
              <w:rPr>
                <w:szCs w:val="22"/>
              </w:rPr>
              <w:t>including medium or high dose inhaled corticosteroids plus another non-steroidal</w:t>
            </w:r>
            <w:r w:rsidRPr="002C7179">
              <w:rPr>
                <w:szCs w:val="22"/>
              </w:rPr>
              <w:t xml:space="preserve"> medicinal product for maintenance treatment.</w:t>
            </w:r>
          </w:p>
        </w:tc>
      </w:tr>
      <w:tr w:rsidR="00324B33" w:rsidRPr="00BD5DBD" w14:paraId="5AFDEED3" w14:textId="77777777" w:rsidTr="000F0EB3">
        <w:tc>
          <w:tcPr>
            <w:tcW w:w="1797" w:type="pct"/>
          </w:tcPr>
          <w:p w14:paraId="03884BD1" w14:textId="2AAB3B40" w:rsidR="00324B33" w:rsidRPr="00BD5DBD" w:rsidRDefault="00324B33" w:rsidP="007452E8">
            <w:pPr>
              <w:rPr>
                <w:i/>
                <w:szCs w:val="22"/>
              </w:rPr>
            </w:pPr>
            <w:r w:rsidRPr="00BD5DBD">
              <w:rPr>
                <w:i/>
                <w:szCs w:val="22"/>
              </w:rPr>
              <w:t>Route of administration:</w:t>
            </w:r>
          </w:p>
        </w:tc>
        <w:tc>
          <w:tcPr>
            <w:tcW w:w="3203" w:type="pct"/>
          </w:tcPr>
          <w:p w14:paraId="1ED1357E" w14:textId="5AD29418" w:rsidR="00324B33" w:rsidRPr="00BD5DBD" w:rsidRDefault="00926434" w:rsidP="007452E8">
            <w:pPr>
              <w:rPr>
                <w:szCs w:val="22"/>
              </w:rPr>
            </w:pPr>
            <w:r>
              <w:rPr>
                <w:szCs w:val="22"/>
              </w:rPr>
              <w:t>Subcutaneous injection</w:t>
            </w:r>
          </w:p>
        </w:tc>
      </w:tr>
      <w:tr w:rsidR="00324B33" w:rsidRPr="00BD5DBD" w14:paraId="70D7E9FA" w14:textId="77777777" w:rsidTr="000F0EB3">
        <w:tc>
          <w:tcPr>
            <w:tcW w:w="1797" w:type="pct"/>
          </w:tcPr>
          <w:p w14:paraId="5ABFFC80" w14:textId="77777777" w:rsidR="00324B33" w:rsidRPr="00BD5DBD" w:rsidRDefault="00324B33" w:rsidP="007452E8">
            <w:pPr>
              <w:rPr>
                <w:i/>
                <w:szCs w:val="22"/>
              </w:rPr>
            </w:pPr>
            <w:r w:rsidRPr="00BD5DBD">
              <w:rPr>
                <w:i/>
                <w:szCs w:val="22"/>
              </w:rPr>
              <w:t>Dosage:</w:t>
            </w:r>
          </w:p>
        </w:tc>
        <w:tc>
          <w:tcPr>
            <w:tcW w:w="3203" w:type="pct"/>
          </w:tcPr>
          <w:p w14:paraId="4BD4ECF7" w14:textId="1B23E635" w:rsidR="00666911" w:rsidRDefault="00DA7EC1" w:rsidP="007452E8">
            <w:pPr>
              <w:rPr>
                <w:szCs w:val="22"/>
              </w:rPr>
            </w:pPr>
            <w:r>
              <w:rPr>
                <w:szCs w:val="22"/>
              </w:rPr>
              <w:t>The recommended dose is 210 mg by subcutaneous injection every 4 weeks.</w:t>
            </w:r>
          </w:p>
          <w:p w14:paraId="3D0B2D5C" w14:textId="68247FCB"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w:t>
            </w:r>
            <w:r w:rsidR="00FD57B0">
              <w:rPr>
                <w:szCs w:val="22"/>
              </w:rPr>
              <w:t xml:space="preserve">missed dose and instructions for administration, </w:t>
            </w:r>
            <w:r w:rsidRPr="00BD5DBD">
              <w:rPr>
                <w:szCs w:val="22"/>
              </w:rPr>
              <w:t>refer to the Product Information</w:t>
            </w:r>
            <w:r w:rsidR="00FD57B0">
              <w:rPr>
                <w:szCs w:val="22"/>
              </w:rPr>
              <w:t xml:space="preserve"> and Instructions for Use booklet.</w:t>
            </w:r>
          </w:p>
        </w:tc>
      </w:tr>
      <w:tr w:rsidR="0017005C" w:rsidRPr="00BD5DBD" w14:paraId="7B7BB6AE" w14:textId="77777777" w:rsidTr="000F0EB3">
        <w:tc>
          <w:tcPr>
            <w:tcW w:w="1797" w:type="pct"/>
          </w:tcPr>
          <w:p w14:paraId="3A76AFF7" w14:textId="7C436DD9" w:rsidR="0017005C" w:rsidRPr="00F8083B" w:rsidRDefault="0070330F" w:rsidP="0017005C">
            <w:r w:rsidRPr="00BD5DBD">
              <w:rPr>
                <w:i/>
                <w:szCs w:val="22"/>
              </w:rPr>
              <w:t>Pregnancy category:</w:t>
            </w:r>
          </w:p>
        </w:tc>
        <w:tc>
          <w:tcPr>
            <w:tcW w:w="3203" w:type="pct"/>
          </w:tcPr>
          <w:p w14:paraId="24E639BB" w14:textId="77777777" w:rsidR="004B5647" w:rsidRPr="004B5647" w:rsidRDefault="0053377D" w:rsidP="004B5647">
            <w:r>
              <w:t xml:space="preserve">Category </w:t>
            </w:r>
            <w:r w:rsidR="0078470E">
              <w:t>B1:</w:t>
            </w:r>
            <w:r w:rsidR="004B5647">
              <w:t xml:space="preserve"> </w:t>
            </w:r>
            <w:r w:rsidR="004B5647" w:rsidRPr="004B5647">
              <w:t xml:space="preserve">Drugs which have been taken by only a limited number of pregnant women and women of childbearing age, without an increase in the frequency of malformation or other direct or indirect harmful effects on the human </w:t>
            </w:r>
            <w:proofErr w:type="spellStart"/>
            <w:r w:rsidR="004B5647" w:rsidRPr="004B5647">
              <w:t>fetus</w:t>
            </w:r>
            <w:proofErr w:type="spellEnd"/>
            <w:r w:rsidR="004B5647" w:rsidRPr="004B5647">
              <w:t xml:space="preserve"> having been observed.</w:t>
            </w:r>
          </w:p>
          <w:p w14:paraId="76497789" w14:textId="7C7E27A2" w:rsidR="0017005C" w:rsidRPr="00BD5DBD" w:rsidRDefault="004B5647" w:rsidP="004B5647">
            <w:pPr>
              <w:rPr>
                <w:szCs w:val="22"/>
              </w:rPr>
            </w:pPr>
            <w:r w:rsidRPr="004B5647">
              <w:t>Studies in animals have not shown evidence of an increased occurrence of fetal damage.</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30164551"/>
      <w:r>
        <w:lastRenderedPageBreak/>
        <w:t>Product background</w:t>
      </w:r>
      <w:bookmarkEnd w:id="11"/>
      <w:bookmarkEnd w:id="12"/>
      <w:bookmarkEnd w:id="13"/>
      <w:bookmarkEnd w:id="14"/>
    </w:p>
    <w:p w14:paraId="59BF31D1" w14:textId="57B36E10" w:rsidR="001500A8" w:rsidRPr="00065839" w:rsidRDefault="00324B33" w:rsidP="00065839">
      <w:r w:rsidRPr="00065839">
        <w:t xml:space="preserve">This AusPAR describes the submission by </w:t>
      </w:r>
      <w:r w:rsidR="005E1792">
        <w:t>AstraZeneca Pty Ltd</w:t>
      </w:r>
      <w:r w:rsidRPr="00065839">
        <w:t xml:space="preserve"> (the sponsor) to register T</w:t>
      </w:r>
      <w:r w:rsidR="001227E2">
        <w:t>ezspire</w:t>
      </w:r>
      <w:r w:rsidRPr="00065839">
        <w:t xml:space="preserve"> (</w:t>
      </w:r>
      <w:proofErr w:type="spellStart"/>
      <w:r w:rsidR="001C2C50">
        <w:t>tezepelumab</w:t>
      </w:r>
      <w:proofErr w:type="spellEnd"/>
      <w:r w:rsidRPr="00065839">
        <w:t xml:space="preserve">) </w:t>
      </w:r>
      <w:r w:rsidR="001C2C50">
        <w:t>210 mg in 1.91 mL solution for injection in prefilled syringe and prefilled pen</w:t>
      </w:r>
      <w:r w:rsidR="00B97A21">
        <w:t xml:space="preserve"> </w:t>
      </w:r>
      <w:r w:rsidRPr="00065839">
        <w:t>for the following proposed indication:</w:t>
      </w:r>
      <w:r w:rsidR="00D63760" w:rsidRPr="00065839">
        <w:rPr>
          <w:vertAlign w:val="superscript"/>
        </w:rPr>
        <w:footnoteReference w:id="1"/>
      </w:r>
    </w:p>
    <w:p w14:paraId="1870361E" w14:textId="278E79C8" w:rsidR="00324B33" w:rsidRPr="00BA3F6D" w:rsidRDefault="001742AC" w:rsidP="001B0E4F">
      <w:pPr>
        <w:ind w:left="720"/>
      </w:pPr>
      <w:r w:rsidRPr="001742AC">
        <w:t>T</w:t>
      </w:r>
      <w:r w:rsidR="006D2862">
        <w:t>ezspire</w:t>
      </w:r>
      <w:r w:rsidRPr="001742AC">
        <w:t xml:space="preserve"> is indicated as an add-on maintenance treatment in patients with severe asthma aged 12</w:t>
      </w:r>
      <w:r>
        <w:t xml:space="preserve"> </w:t>
      </w:r>
      <w:r w:rsidRPr="001742AC">
        <w:t>years and older.</w:t>
      </w:r>
    </w:p>
    <w:p w14:paraId="1E63A2AE" w14:textId="453EFD16" w:rsidR="00CB6813" w:rsidRDefault="007531F2" w:rsidP="00CB6813">
      <w:pPr>
        <w:pStyle w:val="Heading4"/>
      </w:pPr>
      <w:bookmarkStart w:id="15" w:name="_Toc230164552"/>
      <w:bookmarkStart w:id="16" w:name="_Toc314842485"/>
      <w:bookmarkStart w:id="17" w:name="_Toc247691504"/>
      <w:r>
        <w:t>Disease</w:t>
      </w:r>
      <w:bookmarkEnd w:id="15"/>
    </w:p>
    <w:p w14:paraId="75B139B0" w14:textId="71C6CA26" w:rsidR="007531F2" w:rsidRPr="001B5F17" w:rsidRDefault="007531F2" w:rsidP="007531F2">
      <w:r w:rsidRPr="001B5F17">
        <w:rPr>
          <w:color w:val="000000"/>
        </w:rPr>
        <w:t xml:space="preserve">Asthma is a </w:t>
      </w:r>
      <w:r>
        <w:rPr>
          <w:color w:val="000000"/>
        </w:rPr>
        <w:t xml:space="preserve">common, </w:t>
      </w:r>
      <w:r w:rsidRPr="001B5F17">
        <w:rPr>
          <w:color w:val="000000"/>
        </w:rPr>
        <w:t xml:space="preserve">complex, heterogenous, chronic respiratory disease </w:t>
      </w:r>
      <w:r w:rsidRPr="001B5F17">
        <w:t>affecting adults and children</w:t>
      </w:r>
      <w:r w:rsidRPr="001B5F17">
        <w:rPr>
          <w:color w:val="000000"/>
        </w:rPr>
        <w:t xml:space="preserve"> </w:t>
      </w:r>
      <w:r w:rsidRPr="001B5F17">
        <w:t>characteri</w:t>
      </w:r>
      <w:r w:rsidR="00D94FE9">
        <w:t>s</w:t>
      </w:r>
      <w:r w:rsidRPr="001B5F17">
        <w:t>ed by chronic airway inflammation, bronchial hyperresponsiveness, and defined by respiratory symptoms, such as wheeze, shortness of breath, chest tightness and cough, and with variable expiratory airflow limitation.</w:t>
      </w:r>
      <w:bookmarkStart w:id="18" w:name="_Ref204077210"/>
      <w:r w:rsidR="000678DA">
        <w:rPr>
          <w:rStyle w:val="FootnoteReference"/>
        </w:rPr>
        <w:footnoteReference w:id="2"/>
      </w:r>
      <w:bookmarkEnd w:id="18"/>
      <w:r w:rsidRPr="001B5F17">
        <w:t xml:space="preserve"> </w:t>
      </w:r>
      <w:bookmarkStart w:id="19" w:name="_Ref204076467"/>
      <w:r w:rsidR="00EA558B">
        <w:rPr>
          <w:rStyle w:val="FootnoteReference"/>
        </w:rPr>
        <w:footnoteReference w:id="3"/>
      </w:r>
      <w:bookmarkEnd w:id="19"/>
      <w:r w:rsidRPr="001B5F17">
        <w:t xml:space="preserve"> </w:t>
      </w:r>
      <w:r w:rsidRPr="001B5F17">
        <w:rPr>
          <w:color w:val="000000"/>
        </w:rPr>
        <w:t xml:space="preserve">Symptoms and airflow limitation </w:t>
      </w:r>
      <w:r>
        <w:rPr>
          <w:color w:val="000000"/>
        </w:rPr>
        <w:t xml:space="preserve">usually </w:t>
      </w:r>
      <w:r w:rsidRPr="001B5F17">
        <w:rPr>
          <w:color w:val="000000"/>
        </w:rPr>
        <w:t xml:space="preserve">vary over time and in intensity. </w:t>
      </w:r>
      <w:r w:rsidRPr="001B5F17">
        <w:t xml:space="preserve">Asthma is </w:t>
      </w:r>
      <w:r w:rsidRPr="001B5F17">
        <w:rPr>
          <w:color w:val="000000"/>
        </w:rPr>
        <w:t>triggered by factors such as exercise, allergen,</w:t>
      </w:r>
      <w:r>
        <w:rPr>
          <w:color w:val="000000"/>
        </w:rPr>
        <w:t xml:space="preserve"> </w:t>
      </w:r>
      <w:r w:rsidRPr="001B5F17">
        <w:rPr>
          <w:color w:val="000000"/>
        </w:rPr>
        <w:t>irritant exposure, change in weather, or viral respiratory infections</w:t>
      </w:r>
      <w:r w:rsidRPr="001B5F17">
        <w:t>. Asthma affects quality of life through social, emotional, physical, educational, and occupational impacts. If symptoms are severe, emergency health care, including hospital admission</w:t>
      </w:r>
      <w:r>
        <w:t xml:space="preserve"> may be required</w:t>
      </w:r>
      <w:r w:rsidRPr="001B5F17">
        <w:t xml:space="preserve">. </w:t>
      </w:r>
      <w:r>
        <w:t>A</w:t>
      </w:r>
      <w:r w:rsidRPr="001B5F17">
        <w:t>sthma can lead to death.</w:t>
      </w:r>
    </w:p>
    <w:p w14:paraId="2AFF0D46" w14:textId="5C2AE347" w:rsidR="007531F2" w:rsidRPr="001B5F17" w:rsidRDefault="007531F2" w:rsidP="007531F2">
      <w:r>
        <w:t>In 2019, g</w:t>
      </w:r>
      <w:r w:rsidRPr="001B5F17">
        <w:t>lobally, asthma affected an estimated 262</w:t>
      </w:r>
      <w:r w:rsidR="00FD438D">
        <w:t> </w:t>
      </w:r>
      <w:r w:rsidRPr="001B5F17">
        <w:t>million people, caused 461,000 deaths</w:t>
      </w:r>
      <w:r w:rsidR="007937A5">
        <w:t>,</w:t>
      </w:r>
      <w:r w:rsidR="00A45CC2" w:rsidRPr="00A45CC2">
        <w:rPr>
          <w:vertAlign w:val="superscript"/>
        </w:rPr>
        <w:fldChar w:fldCharType="begin"/>
      </w:r>
      <w:r w:rsidR="00A45CC2" w:rsidRPr="00A45CC2">
        <w:rPr>
          <w:vertAlign w:val="superscript"/>
        </w:rPr>
        <w:instrText xml:space="preserve"> NOTEREF _Ref204076467 \h </w:instrText>
      </w:r>
      <w:r w:rsidR="00A45CC2">
        <w:rPr>
          <w:vertAlign w:val="superscript"/>
        </w:rPr>
        <w:instrText xml:space="preserve"> \* MERGEFORMAT </w:instrText>
      </w:r>
      <w:r w:rsidR="00A45CC2" w:rsidRPr="00A45CC2">
        <w:rPr>
          <w:vertAlign w:val="superscript"/>
        </w:rPr>
      </w:r>
      <w:r w:rsidR="00A45CC2" w:rsidRPr="00A45CC2">
        <w:rPr>
          <w:vertAlign w:val="superscript"/>
        </w:rPr>
        <w:fldChar w:fldCharType="separate"/>
      </w:r>
      <w:r w:rsidR="005657B1">
        <w:rPr>
          <w:vertAlign w:val="superscript"/>
        </w:rPr>
        <w:t>3</w:t>
      </w:r>
      <w:r w:rsidR="00A45CC2" w:rsidRPr="00A45CC2">
        <w:rPr>
          <w:vertAlign w:val="superscript"/>
        </w:rPr>
        <w:fldChar w:fldCharType="end"/>
      </w:r>
      <w:r w:rsidRPr="00A45CC2">
        <w:rPr>
          <w:vertAlign w:val="superscript"/>
        </w:rPr>
        <w:t xml:space="preserve"> </w:t>
      </w:r>
      <w:r w:rsidRPr="001B5F17">
        <w:t xml:space="preserve"> and was responsible for 21.6</w:t>
      </w:r>
      <w:r w:rsidR="00FD438D">
        <w:t> </w:t>
      </w:r>
      <w:r w:rsidRPr="001B5F17">
        <w:t>million disability adjusted life-years (DALYs)</w:t>
      </w:r>
      <w:r w:rsidR="004203D1">
        <w:t>,</w:t>
      </w:r>
      <w:r w:rsidRPr="001B5F17">
        <w:t xml:space="preserve"> being 21% of DALYs from chronic respiratory disease. </w:t>
      </w:r>
      <w:r w:rsidRPr="001B5F17">
        <w:rPr>
          <w:lang w:eastAsia="ja-JP"/>
        </w:rPr>
        <w:t xml:space="preserve">The Australian Bureau of Statistics estimates </w:t>
      </w:r>
      <w:r>
        <w:rPr>
          <w:lang w:eastAsia="ja-JP"/>
        </w:rPr>
        <w:t>about</w:t>
      </w:r>
      <w:r w:rsidRPr="001B5F17">
        <w:rPr>
          <w:shd w:val="clear" w:color="auto" w:fill="FFFFFF"/>
        </w:rPr>
        <w:t xml:space="preserve"> 2.8</w:t>
      </w:r>
      <w:r w:rsidR="002A1E89">
        <w:rPr>
          <w:shd w:val="clear" w:color="auto" w:fill="FFFFFF"/>
        </w:rPr>
        <w:t> </w:t>
      </w:r>
      <w:r w:rsidRPr="001B5F17">
        <w:rPr>
          <w:shd w:val="clear" w:color="auto" w:fill="FFFFFF"/>
        </w:rPr>
        <w:t>million (10.8%) people in Australia had asthma in 2022</w:t>
      </w:r>
      <w:r w:rsidR="002A1E89">
        <w:rPr>
          <w:shd w:val="clear" w:color="auto" w:fill="FFFFFF"/>
        </w:rPr>
        <w:t>,</w:t>
      </w:r>
      <w:r>
        <w:rPr>
          <w:shd w:val="clear" w:color="auto" w:fill="FFFFFF"/>
        </w:rPr>
        <w:t xml:space="preserve"> with the </w:t>
      </w:r>
      <w:r w:rsidRPr="001B5F17">
        <w:rPr>
          <w:shd w:val="clear" w:color="auto" w:fill="FFFFFF"/>
        </w:rPr>
        <w:t>prevalence of asthma in Australia</w:t>
      </w:r>
      <w:r>
        <w:rPr>
          <w:shd w:val="clear" w:color="auto" w:fill="FFFFFF"/>
        </w:rPr>
        <w:t xml:space="preserve"> remaining steady over the past decade.</w:t>
      </w:r>
      <w:bookmarkStart w:id="20" w:name="_Ref204077010"/>
      <w:r w:rsidR="00A25295">
        <w:rPr>
          <w:rStyle w:val="FootnoteReference"/>
          <w:shd w:val="clear" w:color="auto" w:fill="FFFFFF"/>
        </w:rPr>
        <w:footnoteReference w:id="4"/>
      </w:r>
      <w:bookmarkEnd w:id="20"/>
      <w:r>
        <w:rPr>
          <w:rFonts w:eastAsia="Times New Roman"/>
          <w:lang w:eastAsia="en-AU"/>
        </w:rPr>
        <w:t xml:space="preserve"> </w:t>
      </w:r>
      <w:r w:rsidRPr="001B5F17">
        <w:rPr>
          <w:rFonts w:eastAsia="Times New Roman"/>
          <w:lang w:eastAsia="en-AU"/>
        </w:rPr>
        <w:t>Asthma accounted for 2.5% of total disease burden and 35% of the total burden of disease for all respiratory conditions in 2023</w:t>
      </w:r>
      <w:r w:rsidR="00B764F6">
        <w:rPr>
          <w:rFonts w:eastAsia="Times New Roman"/>
          <w:lang w:eastAsia="en-AU"/>
        </w:rPr>
        <w:t xml:space="preserve">, as reported by the Australian </w:t>
      </w:r>
      <w:r w:rsidR="00BD32E5">
        <w:rPr>
          <w:rFonts w:eastAsia="Times New Roman"/>
          <w:lang w:eastAsia="en-AU"/>
        </w:rPr>
        <w:t xml:space="preserve">Institute of Health and Welfare </w:t>
      </w:r>
      <w:r w:rsidRPr="001B5F17">
        <w:rPr>
          <w:rFonts w:eastAsia="Times New Roman"/>
          <w:lang w:eastAsia="en-AU"/>
        </w:rPr>
        <w:t>(AIHW</w:t>
      </w:r>
      <w:r w:rsidR="002B6262">
        <w:rPr>
          <w:rFonts w:eastAsia="Times New Roman"/>
          <w:lang w:eastAsia="en-AU"/>
        </w:rPr>
        <w:t>) in</w:t>
      </w:r>
      <w:r w:rsidRPr="001B5F17">
        <w:rPr>
          <w:rFonts w:eastAsia="Times New Roman"/>
          <w:lang w:eastAsia="en-AU"/>
        </w:rPr>
        <w:t xml:space="preserve"> 2024</w:t>
      </w:r>
      <w:r w:rsidR="002B6262">
        <w:rPr>
          <w:rFonts w:eastAsia="Times New Roman"/>
          <w:lang w:eastAsia="en-AU"/>
        </w:rPr>
        <w:t>.</w:t>
      </w:r>
      <w:r>
        <w:t xml:space="preserve"> </w:t>
      </w:r>
      <w:r w:rsidRPr="001B5F17">
        <w:rPr>
          <w:shd w:val="clear" w:color="auto" w:fill="FFFFFF"/>
        </w:rPr>
        <w:t xml:space="preserve">Overall, females are more likely than males to have asthma (12.2% </w:t>
      </w:r>
      <w:r>
        <w:rPr>
          <w:shd w:val="clear" w:color="auto" w:fill="FFFFFF"/>
        </w:rPr>
        <w:t xml:space="preserve">and </w:t>
      </w:r>
      <w:r w:rsidRPr="001B5F17">
        <w:rPr>
          <w:shd w:val="clear" w:color="auto" w:fill="FFFFFF"/>
        </w:rPr>
        <w:t xml:space="preserve">9.4%, respectively). However, among </w:t>
      </w:r>
      <w:r>
        <w:rPr>
          <w:shd w:val="clear" w:color="auto" w:fill="FFFFFF"/>
        </w:rPr>
        <w:t>those</w:t>
      </w:r>
      <w:r w:rsidRPr="001B5F17">
        <w:rPr>
          <w:shd w:val="clear" w:color="auto" w:fill="FFFFFF"/>
        </w:rPr>
        <w:t xml:space="preserve"> aged 0</w:t>
      </w:r>
      <w:r w:rsidR="00EB2D58">
        <w:rPr>
          <w:shd w:val="clear" w:color="auto" w:fill="FFFFFF"/>
        </w:rPr>
        <w:t xml:space="preserve"> to </w:t>
      </w:r>
      <w:r w:rsidRPr="001B5F17">
        <w:rPr>
          <w:shd w:val="clear" w:color="auto" w:fill="FFFFFF"/>
        </w:rPr>
        <w:t xml:space="preserve">14 years, boys were more </w:t>
      </w:r>
      <w:r w:rsidR="00EB2D58">
        <w:rPr>
          <w:shd w:val="clear" w:color="auto" w:fill="FFFFFF"/>
        </w:rPr>
        <w:t xml:space="preserve">likely </w:t>
      </w:r>
      <w:r w:rsidRPr="001B5F17">
        <w:rPr>
          <w:shd w:val="clear" w:color="auto" w:fill="FFFFFF"/>
        </w:rPr>
        <w:t>than girls (10.1%</w:t>
      </w:r>
      <w:r>
        <w:rPr>
          <w:shd w:val="clear" w:color="auto" w:fill="FFFFFF"/>
        </w:rPr>
        <w:t xml:space="preserve"> and </w:t>
      </w:r>
      <w:r w:rsidRPr="001B5F17">
        <w:rPr>
          <w:shd w:val="clear" w:color="auto" w:fill="FFFFFF"/>
        </w:rPr>
        <w:t>6.2%, respectively)</w:t>
      </w:r>
      <w:r>
        <w:rPr>
          <w:shd w:val="clear" w:color="auto" w:fill="FFFFFF"/>
        </w:rPr>
        <w:t xml:space="preserve"> to have asthma</w:t>
      </w:r>
      <w:r w:rsidRPr="001B5F17">
        <w:rPr>
          <w:shd w:val="clear" w:color="auto" w:fill="FFFFFF"/>
        </w:rPr>
        <w:t>.</w:t>
      </w:r>
    </w:p>
    <w:p w14:paraId="15AD057B" w14:textId="6138A3F1" w:rsidR="007531F2" w:rsidRDefault="007531F2" w:rsidP="007531F2">
      <w:pPr>
        <w:rPr>
          <w:rFonts w:eastAsia="Times New Roman"/>
          <w:lang w:eastAsia="en-AU"/>
        </w:rPr>
      </w:pPr>
      <w:r w:rsidRPr="001B5F17">
        <w:t>In 2020–</w:t>
      </w:r>
      <w:r w:rsidR="00EB2D58">
        <w:t>20</w:t>
      </w:r>
      <w:r w:rsidRPr="001B5F17">
        <w:t>21, an estimated $851.7 million of expenditure in the Australian health system was attributed to asthma, representing 0.6% of total health expenditure and 19% of expenditure of all respiratory conditions.</w:t>
      </w:r>
      <w:r w:rsidR="005669F5">
        <w:t xml:space="preserve"> </w:t>
      </w:r>
      <w:r w:rsidRPr="001B5F17">
        <w:t xml:space="preserve">In 2021-2022 there were 38,000 </w:t>
      </w:r>
      <w:r w:rsidRPr="001B5F17">
        <w:rPr>
          <w:rFonts w:eastAsia="Times New Roman"/>
          <w:lang w:eastAsia="en-AU"/>
        </w:rPr>
        <w:t xml:space="preserve">hospitalisations, and </w:t>
      </w:r>
      <w:r w:rsidRPr="001B5F17">
        <w:t xml:space="preserve">59,200 </w:t>
      </w:r>
      <w:r w:rsidRPr="001B5F17">
        <w:rPr>
          <w:rFonts w:eastAsia="Times New Roman"/>
          <w:lang w:eastAsia="en-AU"/>
        </w:rPr>
        <w:t>Emergency Department presentations where asthma was the main diagnosis (AIHW 2024</w:t>
      </w:r>
      <w:r w:rsidR="005669F5">
        <w:rPr>
          <w:rFonts w:eastAsia="Times New Roman"/>
          <w:lang w:eastAsia="en-AU"/>
        </w:rPr>
        <w:t xml:space="preserve"> report</w:t>
      </w:r>
      <w:r w:rsidRPr="001B5F17">
        <w:rPr>
          <w:rFonts w:eastAsia="Times New Roman"/>
          <w:lang w:eastAsia="en-AU"/>
        </w:rPr>
        <w:t>) There were 467 deaths</w:t>
      </w:r>
      <w:r>
        <w:rPr>
          <w:rFonts w:eastAsia="Times New Roman"/>
          <w:lang w:eastAsia="en-AU"/>
        </w:rPr>
        <w:t xml:space="preserve"> </w:t>
      </w:r>
      <w:r w:rsidRPr="00730DBD">
        <w:rPr>
          <w:rFonts w:eastAsia="Times New Roman"/>
          <w:lang w:eastAsia="en-AU"/>
        </w:rPr>
        <w:t xml:space="preserve">(1.8 deaths per 100,000 population) </w:t>
      </w:r>
      <w:r w:rsidRPr="001B5F17">
        <w:rPr>
          <w:rFonts w:eastAsia="Times New Roman"/>
          <w:lang w:eastAsia="en-AU"/>
        </w:rPr>
        <w:t>from</w:t>
      </w:r>
      <w:r>
        <w:rPr>
          <w:rFonts w:eastAsia="Times New Roman"/>
          <w:lang w:eastAsia="en-AU"/>
        </w:rPr>
        <w:t xml:space="preserve"> </w:t>
      </w:r>
      <w:r w:rsidRPr="001B5F17">
        <w:rPr>
          <w:rFonts w:eastAsia="Times New Roman"/>
          <w:lang w:eastAsia="en-AU"/>
        </w:rPr>
        <w:t>asthma in 2022</w:t>
      </w:r>
      <w:r w:rsidR="00DC190A">
        <w:rPr>
          <w:rFonts w:eastAsia="Times New Roman"/>
          <w:lang w:eastAsia="en-AU"/>
        </w:rPr>
        <w:t>.</w:t>
      </w:r>
      <w:r w:rsidR="00DC190A">
        <w:rPr>
          <w:rStyle w:val="FootnoteReference"/>
          <w:rFonts w:eastAsia="Times New Roman"/>
          <w:lang w:eastAsia="en-AU"/>
        </w:rPr>
        <w:footnoteReference w:id="5"/>
      </w:r>
    </w:p>
    <w:p w14:paraId="29B80B5D" w14:textId="547BB124" w:rsidR="007531F2" w:rsidRDefault="007531F2" w:rsidP="007531F2">
      <w:pPr>
        <w:rPr>
          <w:rFonts w:eastAsia="Times New Roman"/>
          <w:lang w:eastAsia="en-AU"/>
        </w:rPr>
      </w:pPr>
      <w:r w:rsidRPr="001B5F17">
        <w:t>Aboriginal and Torres Strait Islander people are 1.6 times more likely to have asthma than non-indigenous Australians.</w:t>
      </w:r>
      <w:r w:rsidR="00451649" w:rsidRPr="00451649">
        <w:rPr>
          <w:vertAlign w:val="superscript"/>
        </w:rPr>
        <w:fldChar w:fldCharType="begin"/>
      </w:r>
      <w:r w:rsidR="00451649" w:rsidRPr="00451649">
        <w:rPr>
          <w:vertAlign w:val="superscript"/>
        </w:rPr>
        <w:instrText xml:space="preserve"> NOTEREF _Ref204077010 \h </w:instrText>
      </w:r>
      <w:r w:rsidR="00451649">
        <w:rPr>
          <w:vertAlign w:val="superscript"/>
        </w:rPr>
        <w:instrText xml:space="preserve"> \* MERGEFORMAT </w:instrText>
      </w:r>
      <w:r w:rsidR="00451649" w:rsidRPr="00451649">
        <w:rPr>
          <w:vertAlign w:val="superscript"/>
        </w:rPr>
      </w:r>
      <w:r w:rsidR="00451649" w:rsidRPr="00451649">
        <w:rPr>
          <w:vertAlign w:val="superscript"/>
        </w:rPr>
        <w:fldChar w:fldCharType="separate"/>
      </w:r>
      <w:r w:rsidR="005657B1">
        <w:rPr>
          <w:vertAlign w:val="superscript"/>
        </w:rPr>
        <w:t>4</w:t>
      </w:r>
      <w:r w:rsidR="00451649" w:rsidRPr="00451649">
        <w:rPr>
          <w:vertAlign w:val="superscript"/>
        </w:rPr>
        <w:fldChar w:fldCharType="end"/>
      </w:r>
      <w:r w:rsidRPr="001B5F17">
        <w:rPr>
          <w:rFonts w:eastAsia="Times New Roman"/>
          <w:lang w:eastAsia="en-AU"/>
        </w:rPr>
        <w:t xml:space="preserve"> Asthma mortality rates are higher in remote or lower socioeconomic areas, and for Aboriginal and Torres Strait Islander people.</w:t>
      </w:r>
    </w:p>
    <w:p w14:paraId="1498B3CC" w14:textId="16D81EC1" w:rsidR="007531F2" w:rsidRDefault="007531F2" w:rsidP="007531F2">
      <w:r w:rsidRPr="0045078F">
        <w:rPr>
          <w:color w:val="000000"/>
        </w:rPr>
        <w:t xml:space="preserve">Symptoms and airflow limitation may resolve spontaneously or in response to medication. </w:t>
      </w:r>
      <w:r>
        <w:rPr>
          <w:color w:val="000000"/>
        </w:rPr>
        <w:t>P</w:t>
      </w:r>
      <w:r w:rsidRPr="0045078F">
        <w:rPr>
          <w:color w:val="000000"/>
        </w:rPr>
        <w:t xml:space="preserve">atients may experience exacerbations that may be life-threatening and carry a significant burden to patients and the community. </w:t>
      </w:r>
      <w:r>
        <w:rPr>
          <w:color w:val="000000"/>
        </w:rPr>
        <w:t xml:space="preserve">Whilst many people report their asthma is well </w:t>
      </w:r>
      <w:r>
        <w:rPr>
          <w:color w:val="000000"/>
        </w:rPr>
        <w:lastRenderedPageBreak/>
        <w:t xml:space="preserve">controlled, </w:t>
      </w:r>
      <w:r>
        <w:rPr>
          <w:color w:val="000000" w:themeColor="text1"/>
        </w:rPr>
        <w:t>a</w:t>
      </w:r>
      <w:r w:rsidRPr="0045078F">
        <w:rPr>
          <w:color w:val="000000" w:themeColor="text1"/>
        </w:rPr>
        <w:t xml:space="preserve"> 2012 survey of 2,686 Australians aged 16 years of age </w:t>
      </w:r>
      <w:r w:rsidR="00317D0C">
        <w:rPr>
          <w:color w:val="000000" w:themeColor="text1"/>
        </w:rPr>
        <w:t xml:space="preserve">and over </w:t>
      </w:r>
      <w:r w:rsidRPr="0045078F">
        <w:rPr>
          <w:color w:val="000000" w:themeColor="text1"/>
        </w:rPr>
        <w:t>with current asthma found that it was not well-controlled in 45%.</w:t>
      </w:r>
      <w:r>
        <w:rPr>
          <w:color w:val="000000" w:themeColor="text1"/>
        </w:rPr>
        <w:t xml:space="preserve"> O</w:t>
      </w:r>
      <w:r w:rsidRPr="0045078F">
        <w:rPr>
          <w:color w:val="000000" w:themeColor="text1"/>
        </w:rPr>
        <w:t>ver half of this group were not a using a preventer inhaler at all, or regularly,</w:t>
      </w:r>
      <w:bookmarkStart w:id="21" w:name="_Ref204090329"/>
      <w:r w:rsidR="00733F2F">
        <w:rPr>
          <w:rStyle w:val="FootnoteReference"/>
          <w:color w:val="000000" w:themeColor="text1"/>
        </w:rPr>
        <w:footnoteReference w:id="6"/>
      </w:r>
      <w:bookmarkEnd w:id="21"/>
      <w:r w:rsidRPr="0045078F">
        <w:rPr>
          <w:color w:val="000000" w:themeColor="text1"/>
        </w:rPr>
        <w:t xml:space="preserve"> </w:t>
      </w:r>
      <w:r>
        <w:rPr>
          <w:color w:val="000000" w:themeColor="text1"/>
        </w:rPr>
        <w:t xml:space="preserve">whilst </w:t>
      </w:r>
      <w:r w:rsidRPr="0045078F">
        <w:rPr>
          <w:color w:val="000000" w:themeColor="text1"/>
        </w:rPr>
        <w:t>some experience persistent symptoms, despite optimal treatment.</w:t>
      </w:r>
      <w:r w:rsidRPr="0045078F">
        <w:t xml:space="preserve"> Similarly in a database analysis from the United States, less than half of patients escalated to biologics met criteria for uncontrolled asthma, and over half had evidence of suboptimal maintenance medication adherence</w:t>
      </w:r>
      <w:r w:rsidR="004E15F9">
        <w:t>.</w:t>
      </w:r>
      <w:r w:rsidR="004E15F9">
        <w:rPr>
          <w:rStyle w:val="FootnoteReference"/>
        </w:rPr>
        <w:footnoteReference w:id="7"/>
      </w:r>
      <w:r w:rsidRPr="0045078F">
        <w:t xml:space="preserve"> Additionally, nearly half of patients were only using the equivalent of </w:t>
      </w:r>
      <w:r w:rsidR="003F7D66">
        <w:t>S</w:t>
      </w:r>
      <w:r w:rsidRPr="0045078F">
        <w:t xml:space="preserve">tep 2 or </w:t>
      </w:r>
      <w:r w:rsidR="003F7D66">
        <w:t>S</w:t>
      </w:r>
      <w:r w:rsidRPr="0045078F">
        <w:t xml:space="preserve">tep 3 </w:t>
      </w:r>
      <w:r w:rsidR="00A723DC">
        <w:t>Global Initiative for Asthma (</w:t>
      </w:r>
      <w:r w:rsidRPr="0045078F">
        <w:t>GINA</w:t>
      </w:r>
      <w:r w:rsidR="00A723DC">
        <w:t>)</w:t>
      </w:r>
      <w:r w:rsidRPr="0045078F">
        <w:t xml:space="preserve"> therapy</w:t>
      </w:r>
      <w:r>
        <w:t>.</w:t>
      </w:r>
    </w:p>
    <w:p w14:paraId="413657C0" w14:textId="69DA0727" w:rsidR="007531F2" w:rsidRPr="0045078F" w:rsidRDefault="007531F2" w:rsidP="007531F2">
      <w:r w:rsidRPr="0045078F">
        <w:rPr>
          <w:rFonts w:eastAsia="Times New Roman"/>
          <w:color w:val="000000" w:themeColor="text1"/>
          <w:lang w:eastAsia="en-AU"/>
        </w:rPr>
        <w:t>A diagnosis of</w:t>
      </w:r>
      <w:r w:rsidR="003F7D66">
        <w:rPr>
          <w:rFonts w:eastAsia="Times New Roman"/>
          <w:color w:val="000000" w:themeColor="text1"/>
          <w:lang w:eastAsia="en-AU"/>
        </w:rPr>
        <w:t xml:space="preserve"> ‘</w:t>
      </w:r>
      <w:r w:rsidRPr="0045078F">
        <w:rPr>
          <w:rFonts w:eastAsia="Times New Roman"/>
          <w:color w:val="000000" w:themeColor="text1"/>
          <w:lang w:eastAsia="en-AU"/>
        </w:rPr>
        <w:t>severe asthma’ or ‘severe treatment-refractory asthma</w:t>
      </w:r>
      <w:r w:rsidR="00BD0B2F">
        <w:rPr>
          <w:rFonts w:eastAsia="Times New Roman"/>
          <w:color w:val="000000" w:themeColor="text1"/>
          <w:lang w:eastAsia="en-AU"/>
        </w:rPr>
        <w:t xml:space="preserve">’ </w:t>
      </w:r>
      <w:r w:rsidRPr="0045078F">
        <w:rPr>
          <w:color w:val="000000" w:themeColor="text1"/>
        </w:rPr>
        <w:t>is that which is uncontrolled despite adherence to maximal optimised treatment,</w:t>
      </w:r>
      <w:r w:rsidR="00485755" w:rsidRPr="00273F00">
        <w:rPr>
          <w:color w:val="000000" w:themeColor="text1"/>
          <w:vertAlign w:val="superscript"/>
        </w:rPr>
        <w:fldChar w:fldCharType="begin"/>
      </w:r>
      <w:r w:rsidR="00485755" w:rsidRPr="00273F00">
        <w:rPr>
          <w:color w:val="000000" w:themeColor="text1"/>
          <w:vertAlign w:val="superscript"/>
        </w:rPr>
        <w:instrText xml:space="preserve"> NOTEREF _Ref204077210 \h </w:instrText>
      </w:r>
      <w:r w:rsidR="00273F00">
        <w:rPr>
          <w:color w:val="000000" w:themeColor="text1"/>
          <w:vertAlign w:val="superscript"/>
        </w:rPr>
        <w:instrText xml:space="preserve"> \* MERGEFORMAT </w:instrText>
      </w:r>
      <w:r w:rsidR="00485755" w:rsidRPr="00273F00">
        <w:rPr>
          <w:color w:val="000000" w:themeColor="text1"/>
          <w:vertAlign w:val="superscript"/>
        </w:rPr>
      </w:r>
      <w:r w:rsidR="00485755" w:rsidRPr="00273F00">
        <w:rPr>
          <w:color w:val="000000" w:themeColor="text1"/>
          <w:vertAlign w:val="superscript"/>
        </w:rPr>
        <w:fldChar w:fldCharType="separate"/>
      </w:r>
      <w:r w:rsidR="005657B1">
        <w:rPr>
          <w:color w:val="000000" w:themeColor="text1"/>
          <w:vertAlign w:val="superscript"/>
        </w:rPr>
        <w:t>2</w:t>
      </w:r>
      <w:r w:rsidR="00485755" w:rsidRPr="00273F00">
        <w:rPr>
          <w:color w:val="000000" w:themeColor="text1"/>
          <w:vertAlign w:val="superscript"/>
        </w:rPr>
        <w:fldChar w:fldCharType="end"/>
      </w:r>
      <w:r w:rsidRPr="0045078F">
        <w:rPr>
          <w:color w:val="000000" w:themeColor="text1"/>
        </w:rPr>
        <w:t xml:space="preserve"> or that worsens when high dose treatment is decreased,</w:t>
      </w:r>
      <w:r w:rsidR="005607E9" w:rsidRPr="005607E9">
        <w:rPr>
          <w:color w:val="000000" w:themeColor="text1"/>
          <w:vertAlign w:val="superscript"/>
        </w:rPr>
        <w:fldChar w:fldCharType="begin"/>
      </w:r>
      <w:r w:rsidR="005607E9" w:rsidRPr="005607E9">
        <w:rPr>
          <w:color w:val="000000" w:themeColor="text1"/>
          <w:vertAlign w:val="superscript"/>
        </w:rPr>
        <w:instrText xml:space="preserve"> NOTEREF _Ref204076467 \h </w:instrText>
      </w:r>
      <w:r w:rsidR="005607E9">
        <w:rPr>
          <w:color w:val="000000" w:themeColor="text1"/>
          <w:vertAlign w:val="superscript"/>
        </w:rPr>
        <w:instrText xml:space="preserve"> \* MERGEFORMAT </w:instrText>
      </w:r>
      <w:r w:rsidR="005607E9" w:rsidRPr="005607E9">
        <w:rPr>
          <w:color w:val="000000" w:themeColor="text1"/>
          <w:vertAlign w:val="superscript"/>
        </w:rPr>
      </w:r>
      <w:r w:rsidR="005607E9" w:rsidRPr="005607E9">
        <w:rPr>
          <w:color w:val="000000" w:themeColor="text1"/>
          <w:vertAlign w:val="superscript"/>
        </w:rPr>
        <w:fldChar w:fldCharType="separate"/>
      </w:r>
      <w:r w:rsidR="005657B1">
        <w:rPr>
          <w:color w:val="000000" w:themeColor="text1"/>
          <w:vertAlign w:val="superscript"/>
        </w:rPr>
        <w:t>3</w:t>
      </w:r>
      <w:r w:rsidR="005607E9" w:rsidRPr="005607E9">
        <w:rPr>
          <w:color w:val="000000" w:themeColor="text1"/>
          <w:vertAlign w:val="superscript"/>
        </w:rPr>
        <w:fldChar w:fldCharType="end"/>
      </w:r>
      <w:r w:rsidRPr="0045078F">
        <w:rPr>
          <w:color w:val="000000" w:themeColor="text1"/>
        </w:rPr>
        <w:t xml:space="preserve"> or asthma requiring corticosteroids for </w:t>
      </w:r>
      <w:r w:rsidR="00BD0B2F">
        <w:rPr>
          <w:color w:val="000000" w:themeColor="text1"/>
        </w:rPr>
        <w:t xml:space="preserve">at least half </w:t>
      </w:r>
      <w:r w:rsidRPr="0045078F">
        <w:rPr>
          <w:color w:val="000000" w:themeColor="text1"/>
        </w:rPr>
        <w:t>of the year to prevent it from becoming uncontrolled</w:t>
      </w:r>
      <w:r w:rsidR="006D6C0E">
        <w:rPr>
          <w:color w:val="000000" w:themeColor="text1"/>
        </w:rPr>
        <w:t>.</w:t>
      </w:r>
      <w:r w:rsidR="006D6C0E">
        <w:rPr>
          <w:rStyle w:val="FootnoteReference"/>
          <w:color w:val="000000" w:themeColor="text1"/>
        </w:rPr>
        <w:footnoteReference w:id="8"/>
      </w:r>
    </w:p>
    <w:p w14:paraId="5CD134E5" w14:textId="41685B34" w:rsidR="007531F2" w:rsidRDefault="007531F2" w:rsidP="007531F2">
      <w:pPr>
        <w:rPr>
          <w:rFonts w:eastAsia="Times New Roman"/>
          <w:color w:val="000000" w:themeColor="text1"/>
          <w:lang w:eastAsia="en-AU"/>
        </w:rPr>
      </w:pPr>
      <w:r>
        <w:rPr>
          <w:rFonts w:eastAsia="Times New Roman"/>
          <w:color w:val="000000" w:themeColor="text1"/>
          <w:lang w:eastAsia="en-AU"/>
        </w:rPr>
        <w:t>It is estimated that between 3</w:t>
      </w:r>
      <w:r w:rsidR="00214504">
        <w:rPr>
          <w:rFonts w:eastAsia="Times New Roman"/>
          <w:color w:val="000000" w:themeColor="text1"/>
          <w:lang w:eastAsia="en-AU"/>
        </w:rPr>
        <w:t xml:space="preserve"> and</w:t>
      </w:r>
      <w:r>
        <w:rPr>
          <w:rFonts w:eastAsia="Times New Roman"/>
          <w:color w:val="000000" w:themeColor="text1"/>
          <w:lang w:eastAsia="en-AU"/>
        </w:rPr>
        <w:t xml:space="preserve"> </w:t>
      </w:r>
      <w:r w:rsidRPr="00007F45">
        <w:rPr>
          <w:rFonts w:eastAsia="Times New Roman"/>
          <w:color w:val="000000" w:themeColor="text1"/>
          <w:lang w:eastAsia="en-AU"/>
        </w:rPr>
        <w:t>10% of people with asthma have severe disease.</w:t>
      </w:r>
      <w:r w:rsidR="001E78F0" w:rsidRPr="005607E9">
        <w:rPr>
          <w:color w:val="000000" w:themeColor="text1"/>
          <w:vertAlign w:val="superscript"/>
        </w:rPr>
        <w:fldChar w:fldCharType="begin"/>
      </w:r>
      <w:r w:rsidR="001E78F0" w:rsidRPr="005607E9">
        <w:rPr>
          <w:color w:val="000000" w:themeColor="text1"/>
          <w:vertAlign w:val="superscript"/>
        </w:rPr>
        <w:instrText xml:space="preserve"> NOTEREF _Ref204076467 \h </w:instrText>
      </w:r>
      <w:r w:rsidR="001E78F0">
        <w:rPr>
          <w:color w:val="000000" w:themeColor="text1"/>
          <w:vertAlign w:val="superscript"/>
        </w:rPr>
        <w:instrText xml:space="preserve"> \* MERGEFORMAT </w:instrText>
      </w:r>
      <w:r w:rsidR="001E78F0" w:rsidRPr="005607E9">
        <w:rPr>
          <w:color w:val="000000" w:themeColor="text1"/>
          <w:vertAlign w:val="superscript"/>
        </w:rPr>
      </w:r>
      <w:r w:rsidR="001E78F0" w:rsidRPr="005607E9">
        <w:rPr>
          <w:color w:val="000000" w:themeColor="text1"/>
          <w:vertAlign w:val="superscript"/>
        </w:rPr>
        <w:fldChar w:fldCharType="separate"/>
      </w:r>
      <w:r w:rsidR="005657B1">
        <w:rPr>
          <w:color w:val="000000" w:themeColor="text1"/>
          <w:vertAlign w:val="superscript"/>
        </w:rPr>
        <w:t>3</w:t>
      </w:r>
      <w:r w:rsidR="001E78F0" w:rsidRPr="005607E9">
        <w:rPr>
          <w:color w:val="000000" w:themeColor="text1"/>
          <w:vertAlign w:val="superscript"/>
        </w:rPr>
        <w:fldChar w:fldCharType="end"/>
      </w:r>
      <w:r>
        <w:rPr>
          <w:rFonts w:eastAsia="Times New Roman"/>
          <w:color w:val="000000" w:themeColor="text1"/>
          <w:lang w:eastAsia="en-AU"/>
        </w:rPr>
        <w:t xml:space="preserve"> </w:t>
      </w:r>
      <w:r w:rsidRPr="00007F45">
        <w:rPr>
          <w:rFonts w:eastAsia="Times New Roman"/>
          <w:color w:val="000000" w:themeColor="text1"/>
          <w:lang w:eastAsia="en-AU"/>
        </w:rPr>
        <w:t xml:space="preserve">In Australia, this represents 52,800 </w:t>
      </w:r>
      <w:r>
        <w:rPr>
          <w:rFonts w:eastAsia="Times New Roman"/>
          <w:color w:val="000000" w:themeColor="text1"/>
          <w:lang w:eastAsia="en-AU"/>
        </w:rPr>
        <w:t xml:space="preserve">to </w:t>
      </w:r>
      <w:r w:rsidRPr="00007F45">
        <w:rPr>
          <w:rFonts w:eastAsia="Times New Roman"/>
          <w:color w:val="000000" w:themeColor="text1"/>
          <w:lang w:eastAsia="en-AU"/>
        </w:rPr>
        <w:t xml:space="preserve">176,000 people. </w:t>
      </w:r>
      <w:r w:rsidRPr="003C1536">
        <w:t>Patients suffering from the most severe forms of the disease have the greatest impairment in their quality of life</w:t>
      </w:r>
      <w:r>
        <w:t>, have the highest risk of mortality</w:t>
      </w:r>
      <w:r w:rsidRPr="003C1536">
        <w:t xml:space="preserve"> and generate the highest medical and societal costs.</w:t>
      </w:r>
      <w:r>
        <w:t xml:space="preserve"> </w:t>
      </w:r>
      <w:r w:rsidRPr="00007F45">
        <w:rPr>
          <w:rFonts w:eastAsia="Times New Roman"/>
          <w:color w:val="000000" w:themeColor="text1"/>
          <w:lang w:eastAsia="en-AU"/>
        </w:rPr>
        <w:t xml:space="preserve">Severe asthma </w:t>
      </w:r>
      <w:r>
        <w:rPr>
          <w:rFonts w:eastAsia="Times New Roman"/>
          <w:color w:val="000000" w:themeColor="text1"/>
          <w:lang w:eastAsia="en-AU"/>
        </w:rPr>
        <w:t>accounts for about</w:t>
      </w:r>
      <w:r w:rsidRPr="00007F45">
        <w:rPr>
          <w:rFonts w:eastAsia="Times New Roman"/>
          <w:color w:val="000000" w:themeColor="text1"/>
          <w:lang w:eastAsia="en-AU"/>
        </w:rPr>
        <w:t xml:space="preserve"> 60% of healthcare costs from asthma</w:t>
      </w:r>
      <w:r>
        <w:rPr>
          <w:rFonts w:eastAsia="Times New Roman"/>
          <w:color w:val="000000" w:themeColor="text1"/>
          <w:lang w:eastAsia="en-AU"/>
        </w:rPr>
        <w:t xml:space="preserve"> in Australia.</w:t>
      </w:r>
      <w:r w:rsidR="001E78F0" w:rsidRPr="001E78F0">
        <w:rPr>
          <w:rFonts w:eastAsia="Times New Roman"/>
          <w:color w:val="000000" w:themeColor="text1"/>
          <w:vertAlign w:val="superscript"/>
          <w:lang w:eastAsia="en-AU"/>
        </w:rPr>
        <w:fldChar w:fldCharType="begin"/>
      </w:r>
      <w:r w:rsidR="001E78F0" w:rsidRPr="001E78F0">
        <w:rPr>
          <w:rFonts w:eastAsia="Times New Roman"/>
          <w:color w:val="000000" w:themeColor="text1"/>
          <w:vertAlign w:val="superscript"/>
          <w:lang w:eastAsia="en-AU"/>
        </w:rPr>
        <w:instrText xml:space="preserve"> NOTEREF _Ref204077010 \h </w:instrText>
      </w:r>
      <w:r w:rsidR="001E78F0">
        <w:rPr>
          <w:rFonts w:eastAsia="Times New Roman"/>
          <w:color w:val="000000" w:themeColor="text1"/>
          <w:vertAlign w:val="superscript"/>
          <w:lang w:eastAsia="en-AU"/>
        </w:rPr>
        <w:instrText xml:space="preserve"> \* MERGEFORMAT </w:instrText>
      </w:r>
      <w:r w:rsidR="001E78F0" w:rsidRPr="001E78F0">
        <w:rPr>
          <w:rFonts w:eastAsia="Times New Roman"/>
          <w:color w:val="000000" w:themeColor="text1"/>
          <w:vertAlign w:val="superscript"/>
          <w:lang w:eastAsia="en-AU"/>
        </w:rPr>
      </w:r>
      <w:r w:rsidR="001E78F0" w:rsidRPr="001E78F0">
        <w:rPr>
          <w:rFonts w:eastAsia="Times New Roman"/>
          <w:color w:val="000000" w:themeColor="text1"/>
          <w:vertAlign w:val="superscript"/>
          <w:lang w:eastAsia="en-AU"/>
        </w:rPr>
        <w:fldChar w:fldCharType="separate"/>
      </w:r>
      <w:r w:rsidR="005657B1">
        <w:rPr>
          <w:rFonts w:eastAsia="Times New Roman"/>
          <w:color w:val="000000" w:themeColor="text1"/>
          <w:vertAlign w:val="superscript"/>
          <w:lang w:eastAsia="en-AU"/>
        </w:rPr>
        <w:t>4</w:t>
      </w:r>
      <w:r w:rsidR="001E78F0" w:rsidRPr="001E78F0">
        <w:rPr>
          <w:rFonts w:eastAsia="Times New Roman"/>
          <w:color w:val="000000" w:themeColor="text1"/>
          <w:vertAlign w:val="superscript"/>
          <w:lang w:eastAsia="en-AU"/>
        </w:rPr>
        <w:fldChar w:fldCharType="end"/>
      </w:r>
    </w:p>
    <w:p w14:paraId="60E70E5B" w14:textId="77777777" w:rsidR="007531F2" w:rsidRPr="006937D0" w:rsidRDefault="007531F2" w:rsidP="007531F2">
      <w:pPr>
        <w:rPr>
          <w:rFonts w:eastAsia="LyonText-Regular"/>
        </w:rPr>
      </w:pPr>
      <w:r w:rsidRPr="006937D0">
        <w:rPr>
          <w:rFonts w:eastAsia="LyonText-Regular"/>
        </w:rPr>
        <w:t xml:space="preserve">The long-term goals of asthma management are to achieve good symptom control and maintain normal daily activities and to minimise future risk </w:t>
      </w:r>
      <w:r w:rsidRPr="006937D0">
        <w:rPr>
          <w:color w:val="232323"/>
          <w:shd w:val="clear" w:color="auto" w:fill="FFFFFF"/>
        </w:rPr>
        <w:t>associated with asthma and its treatment. These risks include asthma exacerbations, suboptimal lung development (children), or loss of lung function over time (adults), and adverse effects from asthma medications. Pharmacologic treatment is the mainstay of management in most patients with asthma</w:t>
      </w:r>
      <w:r>
        <w:rPr>
          <w:color w:val="232323"/>
          <w:shd w:val="clear" w:color="auto" w:fill="FFFFFF"/>
        </w:rPr>
        <w:t>.</w:t>
      </w:r>
    </w:p>
    <w:p w14:paraId="1B1E98BF" w14:textId="4A0B420A" w:rsidR="007531F2" w:rsidRPr="00785C55" w:rsidRDefault="007531F2" w:rsidP="007531F2">
      <w:pPr>
        <w:rPr>
          <w:color w:val="000000"/>
        </w:rPr>
      </w:pPr>
      <w:r w:rsidRPr="00785C55">
        <w:t xml:space="preserve">Asthma is heterogeneous in terms of severity, clinical features, natural history, and treatment responsiveness, and this heterogeneity reflects the underlying pathophysiology mechanisms. </w:t>
      </w:r>
      <w:r w:rsidRPr="002F1A51">
        <w:t>Clinical phenotypes (young atopic, obese middle aged, and elderly) and endotypes [T</w:t>
      </w:r>
      <w:r w:rsidR="00FD6957" w:rsidRPr="002F1A51">
        <w:t> </w:t>
      </w:r>
      <w:r w:rsidR="002B675E" w:rsidRPr="002F1A51">
        <w:t>helper</w:t>
      </w:r>
      <w:r w:rsidR="00FD6957" w:rsidRPr="002F1A51">
        <w:t> </w:t>
      </w:r>
      <w:r w:rsidR="002B675E" w:rsidRPr="002F1A51">
        <w:t>2</w:t>
      </w:r>
      <w:r w:rsidRPr="002F1A51">
        <w:t>-high (allergic and/or eosinophilic) and T</w:t>
      </w:r>
      <w:r w:rsidR="00FD6957" w:rsidRPr="002F1A51">
        <w:t xml:space="preserve"> helper 2</w:t>
      </w:r>
      <w:r w:rsidRPr="002F1A51">
        <w:t>-low (non-eosinophilic)</w:t>
      </w:r>
      <w:r w:rsidR="002F1A51" w:rsidRPr="002F1A51">
        <w:t>]</w:t>
      </w:r>
      <w:r w:rsidRPr="002F1A51">
        <w:t xml:space="preserve"> have been identified.</w:t>
      </w:r>
      <w:r w:rsidRPr="00785C55">
        <w:t xml:space="preserve"> Type 2 inflammation is present in many people with severe treatment</w:t>
      </w:r>
      <w:r w:rsidR="00AF4BF0">
        <w:t>-</w:t>
      </w:r>
      <w:r w:rsidRPr="00785C55">
        <w:t xml:space="preserve">refractory asthma, however, </w:t>
      </w:r>
      <w:r w:rsidRPr="00785C55">
        <w:rPr>
          <w:color w:val="000000"/>
        </w:rPr>
        <w:t xml:space="preserve">up to </w:t>
      </w:r>
      <w:r w:rsidR="00AF4BF0">
        <w:rPr>
          <w:color w:val="000000"/>
        </w:rPr>
        <w:t>one-third</w:t>
      </w:r>
      <w:r w:rsidRPr="00785C55">
        <w:rPr>
          <w:color w:val="000000"/>
        </w:rPr>
        <w:t xml:space="preserve"> exhibit non-type 2 inflammation</w:t>
      </w:r>
      <w:r w:rsidR="00353261">
        <w:rPr>
          <w:color w:val="000000"/>
        </w:rPr>
        <w:t>,</w:t>
      </w:r>
      <w:bookmarkStart w:id="22" w:name="_Ref204078855"/>
      <w:r w:rsidR="00AC1EC0">
        <w:rPr>
          <w:rStyle w:val="FootnoteReference"/>
          <w:color w:val="000000"/>
        </w:rPr>
        <w:footnoteReference w:id="9"/>
      </w:r>
      <w:bookmarkEnd w:id="22"/>
      <w:r w:rsidRPr="00785C55">
        <w:rPr>
          <w:color w:val="000000"/>
        </w:rPr>
        <w:t xml:space="preserve"> with a prevalence of neutrophils or a </w:t>
      </w:r>
      <w:proofErr w:type="spellStart"/>
      <w:r w:rsidRPr="00785C55">
        <w:rPr>
          <w:color w:val="000000"/>
        </w:rPr>
        <w:t>paucigranulocytic</w:t>
      </w:r>
      <w:proofErr w:type="spellEnd"/>
      <w:r w:rsidRPr="00785C55">
        <w:rPr>
          <w:color w:val="000000"/>
        </w:rPr>
        <w:t xml:space="preserve"> pattern. I</w:t>
      </w:r>
      <w:r w:rsidRPr="00785C55">
        <w:rPr>
          <w:color w:val="232323"/>
          <w:shd w:val="clear" w:color="auto" w:fill="FFFFFF"/>
        </w:rPr>
        <w:t xml:space="preserve">nflammatory markers, such as blood/sputum eosinophil counts, total serum </w:t>
      </w:r>
      <w:r w:rsidR="009E40DF">
        <w:rPr>
          <w:color w:val="232323"/>
          <w:shd w:val="clear" w:color="auto" w:fill="FFFFFF"/>
        </w:rPr>
        <w:t>immunoglobulin E (</w:t>
      </w:r>
      <w:r w:rsidRPr="00785C55">
        <w:rPr>
          <w:color w:val="232323"/>
          <w:shd w:val="clear" w:color="auto" w:fill="FFFFFF"/>
        </w:rPr>
        <w:t>IgE</w:t>
      </w:r>
      <w:r w:rsidR="009E40DF">
        <w:rPr>
          <w:color w:val="232323"/>
          <w:shd w:val="clear" w:color="auto" w:fill="FFFFFF"/>
        </w:rPr>
        <w:t>)</w:t>
      </w:r>
      <w:r w:rsidRPr="00785C55">
        <w:rPr>
          <w:color w:val="232323"/>
          <w:shd w:val="clear" w:color="auto" w:fill="FFFFFF"/>
        </w:rPr>
        <w:t>, and fractional exhaled nitric oxide (</w:t>
      </w:r>
      <w:proofErr w:type="spellStart"/>
      <w:r w:rsidRPr="00785C55">
        <w:rPr>
          <w:color w:val="232323"/>
          <w:shd w:val="clear" w:color="auto" w:fill="FFFFFF"/>
        </w:rPr>
        <w:t>FeNO</w:t>
      </w:r>
      <w:proofErr w:type="spellEnd"/>
      <w:r w:rsidRPr="00785C55">
        <w:rPr>
          <w:color w:val="232323"/>
          <w:shd w:val="clear" w:color="auto" w:fill="FFFFFF"/>
        </w:rPr>
        <w:t>), may be helpful in identification of the presence of type 2 inflammation in a person with asthma</w:t>
      </w:r>
      <w:r>
        <w:rPr>
          <w:color w:val="232323"/>
          <w:shd w:val="clear" w:color="auto" w:fill="FFFFFF"/>
        </w:rPr>
        <w:t>, and may assist in directing therapy.</w:t>
      </w:r>
      <w:r w:rsidR="002F1A51" w:rsidRPr="002F1A51">
        <w:rPr>
          <w:color w:val="232323"/>
          <w:shd w:val="clear" w:color="auto" w:fill="FFFFFF"/>
          <w:vertAlign w:val="superscript"/>
        </w:rPr>
        <w:fldChar w:fldCharType="begin"/>
      </w:r>
      <w:r w:rsidR="002F1A51" w:rsidRPr="002F1A51">
        <w:rPr>
          <w:color w:val="232323"/>
          <w:shd w:val="clear" w:color="auto" w:fill="FFFFFF"/>
          <w:vertAlign w:val="superscript"/>
        </w:rPr>
        <w:instrText xml:space="preserve"> NOTEREF _Ref204078855 \h </w:instrText>
      </w:r>
      <w:r w:rsidR="002F1A51">
        <w:rPr>
          <w:color w:val="232323"/>
          <w:shd w:val="clear" w:color="auto" w:fill="FFFFFF"/>
          <w:vertAlign w:val="superscript"/>
        </w:rPr>
        <w:instrText xml:space="preserve"> \* MERGEFORMAT </w:instrText>
      </w:r>
      <w:r w:rsidR="002F1A51" w:rsidRPr="002F1A51">
        <w:rPr>
          <w:color w:val="232323"/>
          <w:shd w:val="clear" w:color="auto" w:fill="FFFFFF"/>
          <w:vertAlign w:val="superscript"/>
        </w:rPr>
      </w:r>
      <w:r w:rsidR="002F1A51" w:rsidRPr="002F1A51">
        <w:rPr>
          <w:color w:val="232323"/>
          <w:shd w:val="clear" w:color="auto" w:fill="FFFFFF"/>
          <w:vertAlign w:val="superscript"/>
        </w:rPr>
        <w:fldChar w:fldCharType="separate"/>
      </w:r>
      <w:r w:rsidR="005657B1">
        <w:rPr>
          <w:color w:val="232323"/>
          <w:shd w:val="clear" w:color="auto" w:fill="FFFFFF"/>
          <w:vertAlign w:val="superscript"/>
        </w:rPr>
        <w:t>9</w:t>
      </w:r>
      <w:r w:rsidR="002F1A51" w:rsidRPr="002F1A51">
        <w:rPr>
          <w:color w:val="232323"/>
          <w:shd w:val="clear" w:color="auto" w:fill="FFFFFF"/>
          <w:vertAlign w:val="superscript"/>
        </w:rPr>
        <w:fldChar w:fldCharType="end"/>
      </w:r>
    </w:p>
    <w:p w14:paraId="7FD68923" w14:textId="01D3F344" w:rsidR="007531F2" w:rsidRDefault="007531F2" w:rsidP="007531F2">
      <w:r w:rsidRPr="00780939">
        <w:t xml:space="preserve">Biologic therapies provide additional asthma control for some patients with severe asthma, and </w:t>
      </w:r>
      <w:r w:rsidRPr="00EF2B79">
        <w:t xml:space="preserve">those targeting IgE, </w:t>
      </w:r>
      <w:r w:rsidR="00F24631" w:rsidRPr="00EF2B79">
        <w:t>interleu</w:t>
      </w:r>
      <w:r w:rsidR="00B26A53" w:rsidRPr="00EF2B79">
        <w:t>k</w:t>
      </w:r>
      <w:r w:rsidR="00F24631" w:rsidRPr="00EF2B79">
        <w:t>in</w:t>
      </w:r>
      <w:r w:rsidR="00B26A53" w:rsidRPr="00EF2B79">
        <w:t xml:space="preserve"> [</w:t>
      </w:r>
      <w:r w:rsidRPr="00EF2B79">
        <w:t>IL</w:t>
      </w:r>
      <w:r w:rsidR="00B26A53" w:rsidRPr="00EF2B79">
        <w:t>]</w:t>
      </w:r>
      <w:r w:rsidR="00C03CAA" w:rsidRPr="00EF2B79">
        <w:t>-</w:t>
      </w:r>
      <w:r w:rsidRPr="00EF2B79">
        <w:t>4/IL</w:t>
      </w:r>
      <w:r w:rsidR="00C03CAA" w:rsidRPr="00EF2B79">
        <w:t>-</w:t>
      </w:r>
      <w:r w:rsidRPr="00EF2B79">
        <w:t>13 and IL</w:t>
      </w:r>
      <w:r w:rsidR="00C03CAA" w:rsidRPr="00EF2B79">
        <w:t>-</w:t>
      </w:r>
      <w:r w:rsidRPr="00EF2B79">
        <w:t>5 are included in treatment guidelines (GINA,</w:t>
      </w:r>
      <w:r w:rsidRPr="00780939">
        <w:t xml:space="preserve"> Australian Asthma guidelines). However, </w:t>
      </w:r>
      <w:r w:rsidR="00F378C1">
        <w:t>one-third</w:t>
      </w:r>
      <w:r w:rsidRPr="00780939">
        <w:t xml:space="preserve"> of patients with severe asthma have an inadequate response to, or are ineligible for, currently approved biologics</w:t>
      </w:r>
      <w:r w:rsidR="00AC44B0">
        <w:t>,</w:t>
      </w:r>
      <w:r w:rsidR="00842B39">
        <w:rPr>
          <w:rStyle w:val="FootnoteReference"/>
        </w:rPr>
        <w:footnoteReference w:id="10"/>
      </w:r>
      <w:r w:rsidRPr="00780939">
        <w:t xml:space="preserve"> </w:t>
      </w:r>
      <w:r w:rsidR="001E3A5F">
        <w:rPr>
          <w:rStyle w:val="FootnoteReference"/>
        </w:rPr>
        <w:footnoteReference w:id="11"/>
      </w:r>
      <w:r w:rsidRPr="00780939">
        <w:t xml:space="preserve"> especially where there is non-type 2 inflammation</w:t>
      </w:r>
      <w:r>
        <w:t xml:space="preserve"> endotype. Other studies, including a multinational study in severe asthma centres globally (Heaney 2021) found that the vast majority of patients (</w:t>
      </w:r>
      <w:r w:rsidR="00183DA7">
        <w:t>over</w:t>
      </w:r>
      <w:r>
        <w:t xml:space="preserve"> 80%) have the eosinophilic phenotype, and that the proportion of patients with a non-</w:t>
      </w:r>
      <w:r>
        <w:lastRenderedPageBreak/>
        <w:t>eosinophilic phenotype is very rare, (1.6%) noting this data is from the International Severe Asthma Registry, and thus may represent a skewed population for several reasons, including selection bias, and large numbers of patients on oral corticosteroid medications.</w:t>
      </w:r>
      <w:r w:rsidR="002D6C66">
        <w:rPr>
          <w:rStyle w:val="FootnoteReference"/>
        </w:rPr>
        <w:footnoteReference w:id="12"/>
      </w:r>
    </w:p>
    <w:p w14:paraId="255E083A" w14:textId="77777777" w:rsidR="00CB6813" w:rsidRDefault="00CB6813" w:rsidP="00CB6813">
      <w:pPr>
        <w:pStyle w:val="Heading4"/>
      </w:pPr>
      <w:bookmarkStart w:id="23" w:name="_Toc230164553"/>
      <w:r>
        <w:t>Current treatment options</w:t>
      </w:r>
      <w:bookmarkEnd w:id="23"/>
    </w:p>
    <w:p w14:paraId="17809785" w14:textId="2BD5FED9" w:rsidR="00C0652D" w:rsidRDefault="00C0652D" w:rsidP="00C0652D">
      <w:r w:rsidRPr="006D72CC">
        <w:t>Asthma medicines are classified by their role in asthma management (preventers and relievers) as well as by their pharmacological and chemical classes. Preventers include combination preventers (inhaled corticosteroid and long-acting beta</w:t>
      </w:r>
      <w:r w:rsidR="009E00C5">
        <w:t>-</w:t>
      </w:r>
      <w:r w:rsidRPr="006D72CC">
        <w:t>2 agonist combinations). Other medicines used in asthma management are neither relievers nor preventers, but have specific roles in the management of flare-ups, severe acute asthma, or difficult-to-treat asthma. The main pharmacological classes of asthma medicines are beta</w:t>
      </w:r>
      <w:r w:rsidR="009E00C5">
        <w:t>-</w:t>
      </w:r>
      <w:r w:rsidRPr="006D72CC">
        <w:t>2 receptor agonists, corticosteroids, leukotriene receptor antagonists</w:t>
      </w:r>
      <w:r>
        <w:t xml:space="preserve"> and other medication including monoclonal antibodies</w:t>
      </w:r>
      <w:r w:rsidR="00F805D4">
        <w:t xml:space="preserve"> (</w:t>
      </w:r>
      <w:proofErr w:type="spellStart"/>
      <w:r w:rsidR="00F805D4">
        <w:t>mAb</w:t>
      </w:r>
      <w:proofErr w:type="spellEnd"/>
      <w:r w:rsidR="00F805D4">
        <w:t>)</w:t>
      </w:r>
      <w:r w:rsidRPr="006D72CC">
        <w:t xml:space="preserve">. </w:t>
      </w:r>
      <w:r>
        <w:t>I</w:t>
      </w:r>
      <w:r w:rsidRPr="006D72CC">
        <w:t>nformation o</w:t>
      </w:r>
      <w:r>
        <w:t>n</w:t>
      </w:r>
      <w:r w:rsidRPr="006D72CC">
        <w:t xml:space="preserve"> available products is </w:t>
      </w:r>
      <w:r w:rsidR="004A2383">
        <w:t>outlined in table 1</w:t>
      </w:r>
      <w:r w:rsidR="00AC788B">
        <w:t>.</w:t>
      </w:r>
    </w:p>
    <w:p w14:paraId="62C23AC5" w14:textId="013910C4" w:rsidR="00AC788B" w:rsidRDefault="00AC788B" w:rsidP="00AC788B">
      <w:pPr>
        <w:pStyle w:val="TableTitle"/>
      </w:pPr>
      <w:r>
        <w:t xml:space="preserve">Table </w:t>
      </w:r>
      <w:r>
        <w:fldChar w:fldCharType="begin"/>
      </w:r>
      <w:r>
        <w:instrText xml:space="preserve"> SEQ Table \* ARABIC </w:instrText>
      </w:r>
      <w:r>
        <w:fldChar w:fldCharType="separate"/>
      </w:r>
      <w:r w:rsidR="005657B1">
        <w:rPr>
          <w:noProof/>
        </w:rPr>
        <w:t>1</w:t>
      </w:r>
      <w:r>
        <w:fldChar w:fldCharType="end"/>
      </w:r>
      <w:r>
        <w:t>: Classification of asthma medications</w:t>
      </w:r>
    </w:p>
    <w:p w14:paraId="5E56F02C" w14:textId="3FFCAFB6" w:rsidR="00AC788B" w:rsidRDefault="00AC788B" w:rsidP="00C0652D">
      <w:r>
        <w:rPr>
          <w:noProof/>
        </w:rPr>
        <w:drawing>
          <wp:inline distT="0" distB="0" distL="0" distR="0" wp14:anchorId="5BED9EE0" wp14:editId="7A3341F1">
            <wp:extent cx="5759450" cy="5208270"/>
            <wp:effectExtent l="0" t="0" r="0" b="0"/>
            <wp:docPr id="1628005983" name="Picture 1" descr="Table 1: Classification of asthma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983" name="Picture 1" descr="Table 1: Classification of asthma medications"/>
                    <pic:cNvPicPr/>
                  </pic:nvPicPr>
                  <pic:blipFill>
                    <a:blip r:embed="rId22"/>
                    <a:stretch>
                      <a:fillRect/>
                    </a:stretch>
                  </pic:blipFill>
                  <pic:spPr>
                    <a:xfrm>
                      <a:off x="0" y="0"/>
                      <a:ext cx="5759450" cy="5208270"/>
                    </a:xfrm>
                    <a:prstGeom prst="rect">
                      <a:avLst/>
                    </a:prstGeom>
                  </pic:spPr>
                </pic:pic>
              </a:graphicData>
            </a:graphic>
          </wp:inline>
        </w:drawing>
      </w:r>
    </w:p>
    <w:p w14:paraId="5F89E8F8" w14:textId="77777777" w:rsidR="000F0EB3" w:rsidRDefault="000F0EB3" w:rsidP="00C0652D"/>
    <w:p w14:paraId="3B41759A" w14:textId="226032CF" w:rsidR="00C0652D" w:rsidRDefault="00C0652D" w:rsidP="00C0652D">
      <w:r w:rsidRPr="00E670E7">
        <w:lastRenderedPageBreak/>
        <w:t xml:space="preserve">A stepwise approach is recommended by GINA for adjusting treatment for individual patient needs. </w:t>
      </w:r>
      <w:r w:rsidRPr="00DF3D56">
        <w:t>Over</w:t>
      </w:r>
      <w:r w:rsidR="00C66B87">
        <w:t xml:space="preserve"> </w:t>
      </w:r>
      <w:r w:rsidRPr="00DF3D56">
        <w:t>time as more treatments have become available, guidelines have become more complex</w:t>
      </w:r>
      <w:r w:rsidR="009E4A2A">
        <w:t xml:space="preserve">, </w:t>
      </w:r>
      <w:r w:rsidR="009E4A2A" w:rsidRPr="00DF3D56">
        <w:t>although the general rules still apply.</w:t>
      </w:r>
      <w:r w:rsidRPr="00DF3D56">
        <w:t xml:space="preserve"> </w:t>
      </w:r>
      <w:r w:rsidRPr="00E670E7">
        <w:t xml:space="preserve">Australian guidelines follow a similar stepwise </w:t>
      </w:r>
      <w:r w:rsidRPr="00DF631E">
        <w:t>approach (</w:t>
      </w:r>
      <w:r w:rsidR="00765143" w:rsidRPr="00DF631E">
        <w:t>see figure below</w:t>
      </w:r>
      <w:r w:rsidRPr="00DF631E">
        <w:t>)</w:t>
      </w:r>
      <w:r w:rsidR="00DF631E" w:rsidRPr="00DF631E">
        <w:t>.</w:t>
      </w:r>
      <w:r w:rsidRPr="00DF631E">
        <w:t xml:space="preserve"> While </w:t>
      </w:r>
      <w:proofErr w:type="gramStart"/>
      <w:r w:rsidRPr="00DF631E">
        <w:t>the majority of</w:t>
      </w:r>
      <w:proofErr w:type="gramEnd"/>
      <w:r w:rsidRPr="00DF631E">
        <w:t xml:space="preserve"> patients are successfully managed with this</w:t>
      </w:r>
      <w:r w:rsidRPr="00DF3D56">
        <w:t xml:space="preserve"> </w:t>
      </w:r>
      <w:proofErr w:type="gramStart"/>
      <w:r w:rsidRPr="00DF3D56">
        <w:t>step-wise</w:t>
      </w:r>
      <w:proofErr w:type="gramEnd"/>
      <w:r w:rsidRPr="00DF3D56">
        <w:t xml:space="preserve"> treatment approach, a subset of patients with asthma </w:t>
      </w:r>
      <w:proofErr w:type="gramStart"/>
      <w:r w:rsidRPr="00DF3D56">
        <w:t>remain</w:t>
      </w:r>
      <w:proofErr w:type="gramEnd"/>
      <w:r w:rsidRPr="00DF3D56">
        <w:t xml:space="preserve"> uncontrolled despite maximal medical management (</w:t>
      </w:r>
      <w:r w:rsidR="00DD1900">
        <w:t xml:space="preserve">that is, </w:t>
      </w:r>
      <w:r w:rsidRPr="00DF3D56">
        <w:t>patients with severe asthma).</w:t>
      </w:r>
    </w:p>
    <w:p w14:paraId="2D346DEB" w14:textId="76F152E6" w:rsidR="001C4F64" w:rsidRDefault="001C4F64" w:rsidP="001C4F64">
      <w:pPr>
        <w:pStyle w:val="FigureTitle"/>
      </w:pPr>
      <w:bookmarkStart w:id="24" w:name="_Ref204085577"/>
      <w:r>
        <w:t xml:space="preserve">Figure </w:t>
      </w:r>
      <w:r>
        <w:fldChar w:fldCharType="begin"/>
      </w:r>
      <w:r>
        <w:instrText xml:space="preserve"> SEQ Figure \* ARABIC </w:instrText>
      </w:r>
      <w:r>
        <w:fldChar w:fldCharType="separate"/>
      </w:r>
      <w:r w:rsidR="005657B1">
        <w:rPr>
          <w:noProof/>
        </w:rPr>
        <w:t>1</w:t>
      </w:r>
      <w:r>
        <w:fldChar w:fldCharType="end"/>
      </w:r>
      <w:bookmarkEnd w:id="24"/>
      <w:r>
        <w:t>: Personalised management for adults and adolescents to control symptoms and minimise future risk (from GINA 2024)</w:t>
      </w:r>
    </w:p>
    <w:p w14:paraId="0D5FBF24" w14:textId="693A320C" w:rsidR="001C4F64" w:rsidRDefault="001C4F64" w:rsidP="00C0652D">
      <w:r>
        <w:rPr>
          <w:noProof/>
        </w:rPr>
        <w:drawing>
          <wp:inline distT="0" distB="0" distL="0" distR="0" wp14:anchorId="789EE985" wp14:editId="76D9CF23">
            <wp:extent cx="4822166" cy="2901275"/>
            <wp:effectExtent l="0" t="0" r="0" b="0"/>
            <wp:docPr id="56985049" name="Picture 1" descr="Figure 1: Personalised management for adults and adolescents to control symptoms and minimise future risk (from GINA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5049" name="Picture 1" descr="Figure 1: Personalised management for adults and adolescents to control symptoms and minimise future risk (from GINA 2024)"/>
                    <pic:cNvPicPr/>
                  </pic:nvPicPr>
                  <pic:blipFill>
                    <a:blip r:embed="rId23"/>
                    <a:stretch>
                      <a:fillRect/>
                    </a:stretch>
                  </pic:blipFill>
                  <pic:spPr>
                    <a:xfrm>
                      <a:off x="0" y="0"/>
                      <a:ext cx="4834054" cy="2908427"/>
                    </a:xfrm>
                    <a:prstGeom prst="rect">
                      <a:avLst/>
                    </a:prstGeom>
                  </pic:spPr>
                </pic:pic>
              </a:graphicData>
            </a:graphic>
          </wp:inline>
        </w:drawing>
      </w:r>
    </w:p>
    <w:p w14:paraId="626944CF" w14:textId="628E5285" w:rsidR="00EF0ECA" w:rsidRDefault="0029726F" w:rsidP="0029726F">
      <w:pPr>
        <w:pStyle w:val="FigureTitle"/>
      </w:pPr>
      <w:r>
        <w:t xml:space="preserve">Figure </w:t>
      </w:r>
      <w:r>
        <w:fldChar w:fldCharType="begin"/>
      </w:r>
      <w:r>
        <w:instrText xml:space="preserve"> SEQ Figure \* ARABIC </w:instrText>
      </w:r>
      <w:r>
        <w:fldChar w:fldCharType="separate"/>
      </w:r>
      <w:r w:rsidR="005657B1">
        <w:rPr>
          <w:noProof/>
        </w:rPr>
        <w:t>2</w:t>
      </w:r>
      <w:r>
        <w:fldChar w:fldCharType="end"/>
      </w:r>
      <w:r>
        <w:t>: Managing asthma in Australia: Selecting and adjusting medication for adolescents and adults (from Australian</w:t>
      </w:r>
      <w:r w:rsidR="00DF18E8">
        <w:t xml:space="preserve"> Asthma Handbook, v2.2)</w:t>
      </w:r>
    </w:p>
    <w:p w14:paraId="20694E9A" w14:textId="7FBB6A32" w:rsidR="001C4F64" w:rsidRDefault="001C4F64" w:rsidP="00107DDF"/>
    <w:p w14:paraId="1455AA32" w14:textId="3CE9046A" w:rsidR="001C4F64" w:rsidRDefault="001C4F64" w:rsidP="00107DDF">
      <w:r>
        <w:rPr>
          <w:noProof/>
        </w:rPr>
        <w:drawing>
          <wp:inline distT="0" distB="0" distL="0" distR="0" wp14:anchorId="525B1E5D" wp14:editId="102AAADA">
            <wp:extent cx="5003321" cy="3609893"/>
            <wp:effectExtent l="0" t="0" r="6985" b="0"/>
            <wp:docPr id="898792436" name="Picture 1" descr="Figure 2: Managing asthma in Australia: Selecting and adjusting medication for adolescents and adults (from Australian Asthma Handbook, v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92436" name="Picture 1" descr="Figure 2: Managing asthma in Australia: Selecting and adjusting medication for adolescents and adults (from Australian Asthma Handbook, v2.2)"/>
                    <pic:cNvPicPr/>
                  </pic:nvPicPr>
                  <pic:blipFill>
                    <a:blip r:embed="rId24"/>
                    <a:stretch>
                      <a:fillRect/>
                    </a:stretch>
                  </pic:blipFill>
                  <pic:spPr>
                    <a:xfrm>
                      <a:off x="0" y="0"/>
                      <a:ext cx="5010660" cy="3615188"/>
                    </a:xfrm>
                    <a:prstGeom prst="rect">
                      <a:avLst/>
                    </a:prstGeom>
                  </pic:spPr>
                </pic:pic>
              </a:graphicData>
            </a:graphic>
          </wp:inline>
        </w:drawing>
      </w:r>
    </w:p>
    <w:p w14:paraId="38CBE12F" w14:textId="77777777" w:rsidR="001C4F64" w:rsidRDefault="001C4F64" w:rsidP="00107DDF"/>
    <w:p w14:paraId="67ED26F5" w14:textId="5C0EA48F" w:rsidR="00107DDF" w:rsidRPr="00107DDF" w:rsidRDefault="00107DDF" w:rsidP="00107DDF">
      <w:r w:rsidRPr="00107DDF">
        <w:lastRenderedPageBreak/>
        <w:t>Five monoclonal antibody therapies have been approved by the TGA (Table 3) as add-on therapy for the treatment of patients with severe eosinophilic or moderate to severe allergic asthma uncontrolled despite optimised standard treatment, including high-dose inhaled corticosteroids and long-acting beta</w:t>
      </w:r>
      <w:r w:rsidR="00C0722C">
        <w:t>-</w:t>
      </w:r>
      <w:r w:rsidRPr="00107DDF">
        <w:t>2</w:t>
      </w:r>
      <w:r w:rsidR="00C0722C">
        <w:t xml:space="preserve"> </w:t>
      </w:r>
      <w:r w:rsidRPr="00107DDF">
        <w:t xml:space="preserve">agonists. Four are currently available in Australia while </w:t>
      </w:r>
      <w:proofErr w:type="spellStart"/>
      <w:r w:rsidRPr="00107DDF">
        <w:t>resilizumab</w:t>
      </w:r>
      <w:proofErr w:type="spellEnd"/>
      <w:r w:rsidRPr="00107DDF">
        <w:t xml:space="preserve"> is not marketed. The National Asthma Council of Australia lists the </w:t>
      </w:r>
      <w:r w:rsidR="00C0722C">
        <w:t>4</w:t>
      </w:r>
      <w:r w:rsidRPr="00107DDF">
        <w:t xml:space="preserve"> monoclonal antibodies available in Australia for the treatment of asthma as </w:t>
      </w:r>
      <w:r w:rsidR="00C0722C">
        <w:t>‘</w:t>
      </w:r>
      <w:r w:rsidRPr="00107DDF">
        <w:t>add-on specialised treatment</w:t>
      </w:r>
      <w:r w:rsidR="00C0722C">
        <w:t>’</w:t>
      </w:r>
      <w:r w:rsidRPr="00107DDF">
        <w:t xml:space="preserve"> (Level 5) in its chart for Selecting and Adjusting Asthma Medication for Adults and Adolescents and GINA guidelines list these at step 5. </w:t>
      </w:r>
    </w:p>
    <w:p w14:paraId="0C9E2C1B" w14:textId="144602F0" w:rsidR="00490D3E" w:rsidRDefault="00490D3E" w:rsidP="00BC5C12">
      <w:pPr>
        <w:pStyle w:val="TableTitle"/>
      </w:pPr>
      <w:r>
        <w:t xml:space="preserve">Table </w:t>
      </w:r>
      <w:r>
        <w:fldChar w:fldCharType="begin"/>
      </w:r>
      <w:r>
        <w:instrText xml:space="preserve"> SEQ Table \* ARABIC </w:instrText>
      </w:r>
      <w:r>
        <w:fldChar w:fldCharType="separate"/>
      </w:r>
      <w:r w:rsidR="005657B1">
        <w:rPr>
          <w:noProof/>
        </w:rPr>
        <w:t>2</w:t>
      </w:r>
      <w:r>
        <w:fldChar w:fldCharType="end"/>
      </w:r>
      <w:r>
        <w:t>: Monoclonal antibodies approved in Australia as add-on therapy for the treatment of severe eosinophilic asthma or the tre</w:t>
      </w:r>
      <w:r w:rsidR="00BC5C12">
        <w:t>atment of moderate to severe allergic asthma</w:t>
      </w:r>
    </w:p>
    <w:tbl>
      <w:tblPr>
        <w:tblStyle w:val="TableTGAblue2023"/>
        <w:tblW w:w="5000" w:type="pct"/>
        <w:tblLook w:val="04A0" w:firstRow="1" w:lastRow="0" w:firstColumn="1" w:lastColumn="0" w:noHBand="0" w:noVBand="1"/>
      </w:tblPr>
      <w:tblGrid>
        <w:gridCol w:w="1554"/>
        <w:gridCol w:w="1984"/>
        <w:gridCol w:w="2269"/>
        <w:gridCol w:w="3253"/>
      </w:tblGrid>
      <w:tr w:rsidR="00136A4B" w:rsidRPr="00D01DDB" w14:paraId="6C6A3981" w14:textId="77777777" w:rsidTr="00BC5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3D2F0AF3" w14:textId="41D1E41B" w:rsidR="00136A4B" w:rsidRPr="00D01DDB" w:rsidRDefault="001B1049" w:rsidP="0045218E">
            <w:r>
              <w:t>Medicine</w:t>
            </w:r>
          </w:p>
        </w:tc>
        <w:tc>
          <w:tcPr>
            <w:tcW w:w="1095" w:type="pct"/>
          </w:tcPr>
          <w:p w14:paraId="50C3CE37" w14:textId="3C238CB7" w:rsidR="00136A4B" w:rsidRPr="00D01DDB" w:rsidRDefault="001B1049" w:rsidP="0045218E">
            <w:pPr>
              <w:cnfStyle w:val="100000000000" w:firstRow="1" w:lastRow="0" w:firstColumn="0" w:lastColumn="0" w:oddVBand="0" w:evenVBand="0" w:oddHBand="0" w:evenHBand="0" w:firstRowFirstColumn="0" w:firstRowLastColumn="0" w:lastRowFirstColumn="0" w:lastRowLastColumn="0"/>
            </w:pPr>
            <w:r>
              <w:t>Action</w:t>
            </w:r>
          </w:p>
        </w:tc>
        <w:tc>
          <w:tcPr>
            <w:tcW w:w="1252" w:type="pct"/>
          </w:tcPr>
          <w:p w14:paraId="02CAE7D4" w14:textId="6ADCEA69" w:rsidR="00136A4B" w:rsidRPr="00D01DDB" w:rsidRDefault="001B1049" w:rsidP="0045218E">
            <w:pPr>
              <w:cnfStyle w:val="100000000000" w:firstRow="1" w:lastRow="0" w:firstColumn="0" w:lastColumn="0" w:oddVBand="0" w:evenVBand="0" w:oddHBand="0" w:evenHBand="0" w:firstRowFirstColumn="0" w:firstRowLastColumn="0" w:lastRowFirstColumn="0" w:lastRowLastColumn="0"/>
            </w:pPr>
            <w:r>
              <w:t>TGA Approved indication</w:t>
            </w:r>
          </w:p>
        </w:tc>
        <w:tc>
          <w:tcPr>
            <w:tcW w:w="1795" w:type="pct"/>
          </w:tcPr>
          <w:p w14:paraId="3D2C6D4F" w14:textId="5427EE93" w:rsidR="00136A4B" w:rsidRPr="00D01DDB" w:rsidRDefault="001B1049" w:rsidP="0045218E">
            <w:pPr>
              <w:cnfStyle w:val="100000000000" w:firstRow="1" w:lastRow="0" w:firstColumn="0" w:lastColumn="0" w:oddVBand="0" w:evenVBand="0" w:oddHBand="0" w:evenHBand="0" w:firstRowFirstColumn="0" w:firstRowLastColumn="0" w:lastRowFirstColumn="0" w:lastRowLastColumn="0"/>
            </w:pPr>
            <w:r>
              <w:t>Dosage</w:t>
            </w:r>
            <w:r w:rsidR="00AA5ECB">
              <w:t xml:space="preserve"> (Adults and adolescents 12 years and older)</w:t>
            </w:r>
            <w:r w:rsidR="00891B21">
              <w:t xml:space="preserve"> and dose presentations</w:t>
            </w:r>
          </w:p>
        </w:tc>
      </w:tr>
      <w:tr w:rsidR="00891B21" w:rsidRPr="00490D3E" w14:paraId="64219FD3" w14:textId="77777777" w:rsidTr="00BC5C12">
        <w:tc>
          <w:tcPr>
            <w:cnfStyle w:val="001000000000" w:firstRow="0" w:lastRow="0" w:firstColumn="1" w:lastColumn="0" w:oddVBand="0" w:evenVBand="0" w:oddHBand="0" w:evenHBand="0" w:firstRowFirstColumn="0" w:firstRowLastColumn="0" w:lastRowFirstColumn="0" w:lastRowLastColumn="0"/>
            <w:tcW w:w="858" w:type="pct"/>
          </w:tcPr>
          <w:p w14:paraId="1F376099" w14:textId="31F5F301" w:rsidR="00891B21" w:rsidRPr="00490D3E" w:rsidRDefault="0045218E" w:rsidP="0045218E">
            <w:pPr>
              <w:rPr>
                <w:sz w:val="20"/>
                <w:szCs w:val="20"/>
              </w:rPr>
            </w:pPr>
            <w:proofErr w:type="spellStart"/>
            <w:r>
              <w:rPr>
                <w:sz w:val="20"/>
                <w:szCs w:val="20"/>
              </w:rPr>
              <w:t>B</w:t>
            </w:r>
            <w:r w:rsidR="00891B21" w:rsidRPr="00490D3E">
              <w:rPr>
                <w:sz w:val="20"/>
                <w:szCs w:val="20"/>
              </w:rPr>
              <w:t>enralizumab</w:t>
            </w:r>
            <w:proofErr w:type="spellEnd"/>
            <w:r>
              <w:rPr>
                <w:sz w:val="20"/>
                <w:szCs w:val="20"/>
              </w:rPr>
              <w:t xml:space="preserve"> </w:t>
            </w:r>
            <w:r w:rsidR="00891B21" w:rsidRPr="00490D3E">
              <w:rPr>
                <w:sz w:val="20"/>
                <w:szCs w:val="20"/>
              </w:rPr>
              <w:t>(</w:t>
            </w:r>
            <w:r w:rsidR="00891B21" w:rsidRPr="00490D3E">
              <w:rPr>
                <w:i/>
                <w:iCs/>
                <w:sz w:val="20"/>
                <w:szCs w:val="20"/>
              </w:rPr>
              <w:t>Fasenra</w:t>
            </w:r>
            <w:r w:rsidR="00891B21" w:rsidRPr="00490D3E">
              <w:rPr>
                <w:sz w:val="20"/>
                <w:szCs w:val="20"/>
              </w:rPr>
              <w:t>)</w:t>
            </w:r>
            <w:r>
              <w:rPr>
                <w:sz w:val="20"/>
                <w:szCs w:val="20"/>
              </w:rPr>
              <w:t xml:space="preserve"> </w:t>
            </w:r>
            <w:r w:rsidR="00891B21" w:rsidRPr="00490D3E">
              <w:rPr>
                <w:sz w:val="20"/>
                <w:szCs w:val="20"/>
              </w:rPr>
              <w:t>Marketed</w:t>
            </w:r>
          </w:p>
        </w:tc>
        <w:tc>
          <w:tcPr>
            <w:tcW w:w="1095" w:type="pct"/>
          </w:tcPr>
          <w:p w14:paraId="2A818F72" w14:textId="4402E1E6" w:rsidR="00891B21" w:rsidRPr="00490D3E" w:rsidRDefault="00891B21"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sz w:val="20"/>
                <w:szCs w:val="20"/>
              </w:rPr>
              <w:t>Anti-IL-5 receptor. Humanised monoclonal antibody directed against IL-5 receptor Rα on surface of eosinophils and basophils.</w:t>
            </w:r>
          </w:p>
        </w:tc>
        <w:tc>
          <w:tcPr>
            <w:tcW w:w="1252" w:type="pct"/>
          </w:tcPr>
          <w:p w14:paraId="4768D54A" w14:textId="3DA120AD" w:rsidR="00891B21" w:rsidRPr="00490D3E" w:rsidRDefault="00891B21"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sz w:val="20"/>
                <w:szCs w:val="20"/>
              </w:rPr>
              <w:t>Add-on therapy in patients aged 12 years and over with severe eosinophilic asthma (blood eosinophil count ≥300 cells/</w:t>
            </w:r>
            <w:proofErr w:type="spellStart"/>
            <w:r w:rsidRPr="00490D3E">
              <w:rPr>
                <w:sz w:val="20"/>
                <w:szCs w:val="20"/>
              </w:rPr>
              <w:t>μL</w:t>
            </w:r>
            <w:proofErr w:type="spellEnd"/>
            <w:r w:rsidRPr="00490D3E">
              <w:rPr>
                <w:sz w:val="20"/>
                <w:szCs w:val="20"/>
              </w:rPr>
              <w:t xml:space="preserve"> or ≥ 150 cells/</w:t>
            </w:r>
            <w:proofErr w:type="spellStart"/>
            <w:r w:rsidRPr="00490D3E">
              <w:rPr>
                <w:sz w:val="20"/>
                <w:szCs w:val="20"/>
              </w:rPr>
              <w:t>μL</w:t>
            </w:r>
            <w:proofErr w:type="spellEnd"/>
            <w:r w:rsidRPr="00490D3E">
              <w:rPr>
                <w:sz w:val="20"/>
                <w:szCs w:val="20"/>
              </w:rPr>
              <w:t xml:space="preserve"> if on oral corticosteroid treatment)</w:t>
            </w:r>
          </w:p>
        </w:tc>
        <w:tc>
          <w:tcPr>
            <w:tcW w:w="1795" w:type="pct"/>
          </w:tcPr>
          <w:p w14:paraId="696F6ACE" w14:textId="64D89749" w:rsidR="00891B21" w:rsidRPr="00490D3E" w:rsidRDefault="00891B21" w:rsidP="0045218E">
            <w:pPr>
              <w:cnfStyle w:val="000000000000" w:firstRow="0" w:lastRow="0" w:firstColumn="0" w:lastColumn="0" w:oddVBand="0" w:evenVBand="0" w:oddHBand="0" w:evenHBand="0" w:firstRowFirstColumn="0" w:firstRowLastColumn="0" w:lastRowFirstColumn="0" w:lastRowLastColumn="0"/>
              <w:rPr>
                <w:color w:val="212121"/>
                <w:sz w:val="20"/>
                <w:szCs w:val="20"/>
              </w:rPr>
            </w:pPr>
            <w:r w:rsidRPr="00490D3E">
              <w:rPr>
                <w:color w:val="212121"/>
                <w:sz w:val="20"/>
                <w:szCs w:val="20"/>
              </w:rPr>
              <w:t>30 mg SC every 4 weeks for 3 injections then 8-weekly</w:t>
            </w:r>
          </w:p>
          <w:p w14:paraId="7261587E" w14:textId="77777777" w:rsidR="00891B21" w:rsidRPr="00490D3E" w:rsidRDefault="00891B21"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color w:val="212121"/>
                <w:sz w:val="20"/>
                <w:szCs w:val="20"/>
                <w:shd w:val="clear" w:color="auto" w:fill="FFFFFF"/>
              </w:rPr>
              <w:t xml:space="preserve">• Pre-filled syringe (30 mg/mL) for SC injection </w:t>
            </w:r>
          </w:p>
          <w:p w14:paraId="1BCB5FA9" w14:textId="1B8CDD0D" w:rsidR="00891B21" w:rsidRPr="00490D3E" w:rsidRDefault="00891B21"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color w:val="212121"/>
                <w:sz w:val="20"/>
                <w:szCs w:val="20"/>
              </w:rPr>
              <w:t>• Pre-filled pen (30 mg/mL) for SC injection</w:t>
            </w:r>
          </w:p>
        </w:tc>
      </w:tr>
      <w:tr w:rsidR="008D4E5A" w:rsidRPr="00490D3E" w14:paraId="6BD626D6" w14:textId="77777777" w:rsidTr="00BC5C12">
        <w:tc>
          <w:tcPr>
            <w:cnfStyle w:val="001000000000" w:firstRow="0" w:lastRow="0" w:firstColumn="1" w:lastColumn="0" w:oddVBand="0" w:evenVBand="0" w:oddHBand="0" w:evenHBand="0" w:firstRowFirstColumn="0" w:firstRowLastColumn="0" w:lastRowFirstColumn="0" w:lastRowLastColumn="0"/>
            <w:tcW w:w="858" w:type="pct"/>
          </w:tcPr>
          <w:p w14:paraId="509C6AF8" w14:textId="61AAD44E" w:rsidR="008D4E5A" w:rsidRPr="00490D3E" w:rsidRDefault="008D4E5A" w:rsidP="0045218E">
            <w:pPr>
              <w:rPr>
                <w:sz w:val="20"/>
                <w:szCs w:val="20"/>
                <w:shd w:val="clear" w:color="auto" w:fill="FFFFFF" w:themeFill="background1"/>
              </w:rPr>
            </w:pPr>
            <w:r w:rsidRPr="00490D3E">
              <w:rPr>
                <w:sz w:val="20"/>
                <w:szCs w:val="20"/>
                <w:shd w:val="clear" w:color="auto" w:fill="FFFFFF" w:themeFill="background1"/>
              </w:rPr>
              <w:t>dupilumab</w:t>
            </w:r>
          </w:p>
          <w:p w14:paraId="64F0D70F" w14:textId="719FB12A" w:rsidR="008D4E5A" w:rsidRPr="00490D3E" w:rsidRDefault="008D4E5A" w:rsidP="0045218E">
            <w:pPr>
              <w:rPr>
                <w:sz w:val="20"/>
                <w:szCs w:val="20"/>
              </w:rPr>
            </w:pPr>
            <w:r w:rsidRPr="00490D3E">
              <w:rPr>
                <w:sz w:val="20"/>
                <w:szCs w:val="20"/>
                <w:shd w:val="clear" w:color="auto" w:fill="F5F5F5"/>
              </w:rPr>
              <w:t>(</w:t>
            </w:r>
            <w:r w:rsidRPr="00490D3E">
              <w:rPr>
                <w:i/>
                <w:iCs/>
                <w:sz w:val="20"/>
                <w:szCs w:val="20"/>
              </w:rPr>
              <w:t>Dupixent</w:t>
            </w:r>
            <w:r w:rsidRPr="00490D3E">
              <w:rPr>
                <w:sz w:val="20"/>
                <w:szCs w:val="20"/>
                <w:shd w:val="clear" w:color="auto" w:fill="F5F5F5"/>
              </w:rPr>
              <w:t>)</w:t>
            </w:r>
          </w:p>
          <w:p w14:paraId="6D523CAF" w14:textId="446EAD08" w:rsidR="008D4E5A" w:rsidRPr="00490D3E" w:rsidRDefault="008D4E5A" w:rsidP="0045218E">
            <w:pPr>
              <w:rPr>
                <w:sz w:val="20"/>
                <w:szCs w:val="20"/>
              </w:rPr>
            </w:pPr>
            <w:r w:rsidRPr="00490D3E">
              <w:rPr>
                <w:sz w:val="20"/>
                <w:szCs w:val="20"/>
              </w:rPr>
              <w:t>Marketed</w:t>
            </w:r>
          </w:p>
        </w:tc>
        <w:tc>
          <w:tcPr>
            <w:tcW w:w="1095" w:type="pct"/>
          </w:tcPr>
          <w:p w14:paraId="06EEE6E9" w14:textId="1BC995F6" w:rsidR="008D4E5A" w:rsidRPr="00490D3E" w:rsidRDefault="008D4E5A"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sz w:val="20"/>
                <w:szCs w:val="20"/>
                <w:shd w:val="clear" w:color="auto" w:fill="FFFFFF"/>
              </w:rPr>
              <w:t xml:space="preserve">Anti-IL-4 receptor. </w:t>
            </w:r>
            <w:r w:rsidRPr="00490D3E">
              <w:rPr>
                <w:sz w:val="20"/>
                <w:szCs w:val="20"/>
              </w:rPr>
              <w:t>Human monoclonal antibody directed against α subunit of IL-4 receptor.</w:t>
            </w:r>
          </w:p>
        </w:tc>
        <w:tc>
          <w:tcPr>
            <w:tcW w:w="1252" w:type="pct"/>
          </w:tcPr>
          <w:p w14:paraId="161D2A53" w14:textId="1CA707D6" w:rsidR="008D4E5A" w:rsidRPr="00490D3E" w:rsidRDefault="008D4E5A"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sz w:val="20"/>
                <w:szCs w:val="20"/>
                <w:shd w:val="clear" w:color="auto" w:fill="FFFFFF"/>
              </w:rPr>
              <w:t xml:space="preserve">Add on maintenance treatment in patients aged 6 years and older with moderate to severe asthma with type 2 inflammation (elevated eosinophils or elevated </w:t>
            </w:r>
            <w:proofErr w:type="spellStart"/>
            <w:r w:rsidRPr="00490D3E">
              <w:rPr>
                <w:sz w:val="20"/>
                <w:szCs w:val="20"/>
                <w:shd w:val="clear" w:color="auto" w:fill="FFFFFF"/>
              </w:rPr>
              <w:t>FeNO</w:t>
            </w:r>
            <w:proofErr w:type="spellEnd"/>
            <w:r w:rsidRPr="00490D3E">
              <w:rPr>
                <w:sz w:val="20"/>
                <w:szCs w:val="20"/>
                <w:shd w:val="clear" w:color="auto" w:fill="FFFFFF"/>
              </w:rPr>
              <w:t>) that is inadequately controlled despite therapy with other medicinal products for maintenance.</w:t>
            </w:r>
          </w:p>
        </w:tc>
        <w:tc>
          <w:tcPr>
            <w:tcW w:w="1795" w:type="pct"/>
          </w:tcPr>
          <w:p w14:paraId="361BCA1D" w14:textId="77777777" w:rsidR="008D4E5A" w:rsidRPr="00490D3E" w:rsidRDefault="008D4E5A"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sz w:val="20"/>
                <w:szCs w:val="20"/>
              </w:rPr>
              <w:t>400 mg SC then 200 mg every 2 weeks; higher dose of 600 mg initially followed every 2 weeks for patients with oral corticosteroids-dependent asthma or with co-morbid moderate-to-severe asthma.</w:t>
            </w:r>
          </w:p>
          <w:p w14:paraId="41EC10DD" w14:textId="3759FFA8" w:rsidR="008D4E5A" w:rsidRPr="00490D3E" w:rsidRDefault="000E3FA9" w:rsidP="0045218E">
            <w:pPr>
              <w:cnfStyle w:val="000000000000" w:firstRow="0" w:lastRow="0" w:firstColumn="0" w:lastColumn="0" w:oddVBand="0" w:evenVBand="0" w:oddHBand="0" w:evenHBand="0" w:firstRowFirstColumn="0" w:firstRowLastColumn="0" w:lastRowFirstColumn="0" w:lastRowLastColumn="0"/>
              <w:rPr>
                <w:color w:val="212121"/>
                <w:sz w:val="20"/>
                <w:szCs w:val="20"/>
              </w:rPr>
            </w:pPr>
            <w:r w:rsidRPr="00490D3E">
              <w:rPr>
                <w:color w:val="212121"/>
                <w:sz w:val="20"/>
                <w:szCs w:val="20"/>
              </w:rPr>
              <w:t xml:space="preserve">• </w:t>
            </w:r>
            <w:r w:rsidR="008D4E5A" w:rsidRPr="00490D3E">
              <w:rPr>
                <w:color w:val="212121"/>
                <w:sz w:val="20"/>
                <w:szCs w:val="20"/>
              </w:rPr>
              <w:t>Pre-filled syringe with needle shield SC injection (300 mg in 2 mL [300 mg]; 200 mg in 1.14 mL [175mg])</w:t>
            </w:r>
          </w:p>
          <w:p w14:paraId="77ED7609" w14:textId="38EEAC6F" w:rsidR="008D4E5A" w:rsidRPr="00490D3E" w:rsidRDefault="000E3FA9"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color w:val="212121"/>
                <w:sz w:val="20"/>
                <w:szCs w:val="20"/>
              </w:rPr>
              <w:t xml:space="preserve">• </w:t>
            </w:r>
            <w:r w:rsidR="008D4E5A" w:rsidRPr="00490D3E">
              <w:rPr>
                <w:color w:val="212121"/>
                <w:sz w:val="20"/>
                <w:szCs w:val="20"/>
              </w:rPr>
              <w:t>Pre-filled pen SC injection (300 mg in 2 mL [300 mg]; 200 mg in 1.14 mL [175 mg]).</w:t>
            </w:r>
          </w:p>
        </w:tc>
      </w:tr>
      <w:tr w:rsidR="002230B0" w:rsidRPr="00490D3E" w14:paraId="31E74E5E" w14:textId="77777777" w:rsidTr="00BC5C12">
        <w:tc>
          <w:tcPr>
            <w:cnfStyle w:val="001000000000" w:firstRow="0" w:lastRow="0" w:firstColumn="1" w:lastColumn="0" w:oddVBand="0" w:evenVBand="0" w:oddHBand="0" w:evenHBand="0" w:firstRowFirstColumn="0" w:firstRowLastColumn="0" w:lastRowFirstColumn="0" w:lastRowLastColumn="0"/>
            <w:tcW w:w="858" w:type="pct"/>
          </w:tcPr>
          <w:p w14:paraId="7FD06E42" w14:textId="7F2AC4AD" w:rsidR="000127FB" w:rsidRPr="00490D3E" w:rsidRDefault="000127FB" w:rsidP="0045218E">
            <w:pPr>
              <w:rPr>
                <w:color w:val="212121"/>
                <w:sz w:val="20"/>
                <w:szCs w:val="20"/>
                <w:shd w:val="clear" w:color="auto" w:fill="FFFFFF" w:themeFill="background1"/>
              </w:rPr>
            </w:pPr>
            <w:r w:rsidRPr="00490D3E">
              <w:rPr>
                <w:color w:val="212121"/>
                <w:sz w:val="20"/>
                <w:szCs w:val="20"/>
                <w:shd w:val="clear" w:color="auto" w:fill="FFFFFF" w:themeFill="background1"/>
              </w:rPr>
              <w:t>m</w:t>
            </w:r>
            <w:r w:rsidR="002230B0" w:rsidRPr="00490D3E">
              <w:rPr>
                <w:color w:val="212121"/>
                <w:sz w:val="20"/>
                <w:szCs w:val="20"/>
                <w:shd w:val="clear" w:color="auto" w:fill="FFFFFF" w:themeFill="background1"/>
              </w:rPr>
              <w:t>epolizumab</w:t>
            </w:r>
          </w:p>
          <w:p w14:paraId="11578E16" w14:textId="77777777" w:rsidR="000127FB" w:rsidRPr="00490D3E" w:rsidRDefault="002230B0" w:rsidP="0045218E">
            <w:pPr>
              <w:rPr>
                <w:color w:val="212121"/>
                <w:sz w:val="20"/>
                <w:szCs w:val="20"/>
                <w:shd w:val="clear" w:color="auto" w:fill="F5F5F5"/>
              </w:rPr>
            </w:pPr>
            <w:r w:rsidRPr="00490D3E">
              <w:rPr>
                <w:color w:val="212121"/>
                <w:sz w:val="20"/>
                <w:szCs w:val="20"/>
                <w:shd w:val="clear" w:color="auto" w:fill="F5F5F5"/>
              </w:rPr>
              <w:t>(</w:t>
            </w:r>
            <w:r w:rsidRPr="00490D3E">
              <w:rPr>
                <w:i/>
                <w:iCs/>
                <w:color w:val="212121"/>
                <w:sz w:val="20"/>
                <w:szCs w:val="20"/>
              </w:rPr>
              <w:t>Nucala</w:t>
            </w:r>
            <w:r w:rsidRPr="00490D3E">
              <w:rPr>
                <w:color w:val="212121"/>
                <w:sz w:val="20"/>
                <w:szCs w:val="20"/>
                <w:shd w:val="clear" w:color="auto" w:fill="F5F5F5"/>
              </w:rPr>
              <w:t>)</w:t>
            </w:r>
          </w:p>
          <w:p w14:paraId="119CCB6B" w14:textId="66F2A99F" w:rsidR="002230B0" w:rsidRPr="00490D3E" w:rsidRDefault="002230B0" w:rsidP="0045218E">
            <w:pPr>
              <w:rPr>
                <w:sz w:val="20"/>
                <w:szCs w:val="20"/>
              </w:rPr>
            </w:pPr>
            <w:r w:rsidRPr="00490D3E">
              <w:rPr>
                <w:sz w:val="20"/>
                <w:szCs w:val="20"/>
              </w:rPr>
              <w:t>Marketed</w:t>
            </w:r>
          </w:p>
        </w:tc>
        <w:tc>
          <w:tcPr>
            <w:tcW w:w="1095" w:type="pct"/>
          </w:tcPr>
          <w:p w14:paraId="47347C19" w14:textId="6BBDA7A5" w:rsidR="002230B0" w:rsidRPr="00490D3E" w:rsidRDefault="002230B0"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color w:val="212121"/>
                <w:sz w:val="20"/>
                <w:szCs w:val="20"/>
                <w:shd w:val="clear" w:color="auto" w:fill="FFFFFF"/>
              </w:rPr>
              <w:t xml:space="preserve">Anti-IL-5. </w:t>
            </w:r>
            <w:r w:rsidRPr="00490D3E">
              <w:rPr>
                <w:color w:val="212121"/>
                <w:sz w:val="20"/>
                <w:szCs w:val="20"/>
              </w:rPr>
              <w:t>Humanised monoclonal antibody directed against IL-5</w:t>
            </w:r>
          </w:p>
        </w:tc>
        <w:tc>
          <w:tcPr>
            <w:tcW w:w="1252" w:type="pct"/>
          </w:tcPr>
          <w:p w14:paraId="438995B6" w14:textId="65D552A2" w:rsidR="002230B0" w:rsidRPr="00490D3E" w:rsidRDefault="002230B0"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color w:val="212121"/>
                <w:sz w:val="20"/>
                <w:szCs w:val="20"/>
                <w:shd w:val="clear" w:color="auto" w:fill="FFFFFF"/>
              </w:rPr>
              <w:t>Add-on treatment for uncontrolled severe eosinophilic asthma in adults and adolescents ≥12 years</w:t>
            </w:r>
          </w:p>
        </w:tc>
        <w:tc>
          <w:tcPr>
            <w:tcW w:w="1795" w:type="pct"/>
          </w:tcPr>
          <w:p w14:paraId="43D00E0F" w14:textId="6A20F038" w:rsidR="002230B0" w:rsidRPr="00490D3E" w:rsidRDefault="002230B0" w:rsidP="0045218E">
            <w:pPr>
              <w:cnfStyle w:val="000000000000" w:firstRow="0" w:lastRow="0" w:firstColumn="0" w:lastColumn="0" w:oddVBand="0" w:evenVBand="0" w:oddHBand="0" w:evenHBand="0" w:firstRowFirstColumn="0" w:firstRowLastColumn="0" w:lastRowFirstColumn="0" w:lastRowLastColumn="0"/>
              <w:rPr>
                <w:color w:val="212121"/>
                <w:sz w:val="20"/>
                <w:szCs w:val="20"/>
              </w:rPr>
            </w:pPr>
            <w:r w:rsidRPr="00490D3E">
              <w:rPr>
                <w:color w:val="212121"/>
                <w:sz w:val="20"/>
                <w:szCs w:val="20"/>
              </w:rPr>
              <w:t>100 mg SC 4 weekly.</w:t>
            </w:r>
          </w:p>
          <w:p w14:paraId="4F6D79D7" w14:textId="77777777" w:rsidR="002230B0" w:rsidRPr="00490D3E" w:rsidRDefault="002230B0" w:rsidP="0045218E">
            <w:pPr>
              <w:cnfStyle w:val="000000000000" w:firstRow="0" w:lastRow="0" w:firstColumn="0" w:lastColumn="0" w:oddVBand="0" w:evenVBand="0" w:oddHBand="0" w:evenHBand="0" w:firstRowFirstColumn="0" w:firstRowLastColumn="0" w:lastRowFirstColumn="0" w:lastRowLastColumn="0"/>
              <w:rPr>
                <w:color w:val="212121"/>
                <w:sz w:val="20"/>
                <w:szCs w:val="20"/>
              </w:rPr>
            </w:pPr>
          </w:p>
          <w:p w14:paraId="1FB81CEF" w14:textId="77777777" w:rsidR="002230B0" w:rsidRPr="00490D3E" w:rsidRDefault="002230B0" w:rsidP="0045218E">
            <w:pPr>
              <w:cnfStyle w:val="000000000000" w:firstRow="0" w:lastRow="0" w:firstColumn="0" w:lastColumn="0" w:oddVBand="0" w:evenVBand="0" w:oddHBand="0" w:evenHBand="0" w:firstRowFirstColumn="0" w:firstRowLastColumn="0" w:lastRowFirstColumn="0" w:lastRowLastColumn="0"/>
              <w:rPr>
                <w:color w:val="212121"/>
                <w:sz w:val="20"/>
                <w:szCs w:val="20"/>
                <w:shd w:val="clear" w:color="auto" w:fill="FFFFFF"/>
              </w:rPr>
            </w:pPr>
            <w:r w:rsidRPr="00490D3E">
              <w:rPr>
                <w:color w:val="212121"/>
                <w:sz w:val="20"/>
                <w:szCs w:val="20"/>
                <w:shd w:val="clear" w:color="auto" w:fill="FFFFFF"/>
              </w:rPr>
              <w:t>• Pre-filled pen (auto-injector) or pre-filled syringe (safety syringe)– 100 mg in 1 mL (100 mg/mL).</w:t>
            </w:r>
          </w:p>
          <w:p w14:paraId="10413DAA" w14:textId="753ABB3D" w:rsidR="002230B0" w:rsidRPr="00490D3E" w:rsidRDefault="002230B0"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color w:val="212121"/>
                <w:sz w:val="20"/>
                <w:szCs w:val="20"/>
              </w:rPr>
              <w:t xml:space="preserve">• Powder for injection – 100 mg (100 mg/mL for SC injection after reconstitution). </w:t>
            </w:r>
          </w:p>
        </w:tc>
      </w:tr>
      <w:tr w:rsidR="000127FB" w:rsidRPr="00490D3E" w14:paraId="1E9B9C9C" w14:textId="77777777" w:rsidTr="00BC5C12">
        <w:tc>
          <w:tcPr>
            <w:cnfStyle w:val="001000000000" w:firstRow="0" w:lastRow="0" w:firstColumn="1" w:lastColumn="0" w:oddVBand="0" w:evenVBand="0" w:oddHBand="0" w:evenHBand="0" w:firstRowFirstColumn="0" w:firstRowLastColumn="0" w:lastRowFirstColumn="0" w:lastRowLastColumn="0"/>
            <w:tcW w:w="858" w:type="pct"/>
          </w:tcPr>
          <w:p w14:paraId="600EC9CB" w14:textId="6885EC00" w:rsidR="000127FB" w:rsidRPr="00490D3E" w:rsidRDefault="000127FB" w:rsidP="0045218E">
            <w:pPr>
              <w:rPr>
                <w:sz w:val="20"/>
                <w:szCs w:val="20"/>
              </w:rPr>
            </w:pPr>
            <w:r w:rsidRPr="00490D3E">
              <w:rPr>
                <w:sz w:val="20"/>
                <w:szCs w:val="20"/>
              </w:rPr>
              <w:lastRenderedPageBreak/>
              <w:t>omalizumab</w:t>
            </w:r>
          </w:p>
          <w:p w14:paraId="73FCAE51" w14:textId="77777777" w:rsidR="000127FB" w:rsidRPr="00490D3E" w:rsidRDefault="000127FB" w:rsidP="0045218E">
            <w:pPr>
              <w:rPr>
                <w:sz w:val="20"/>
                <w:szCs w:val="20"/>
              </w:rPr>
            </w:pPr>
            <w:r w:rsidRPr="00490D3E">
              <w:rPr>
                <w:sz w:val="20"/>
                <w:szCs w:val="20"/>
              </w:rPr>
              <w:t>(</w:t>
            </w:r>
            <w:r w:rsidRPr="00490D3E">
              <w:rPr>
                <w:i/>
                <w:iCs/>
                <w:sz w:val="20"/>
                <w:szCs w:val="20"/>
              </w:rPr>
              <w:t>Xolair</w:t>
            </w:r>
            <w:r w:rsidRPr="00490D3E">
              <w:rPr>
                <w:sz w:val="20"/>
                <w:szCs w:val="20"/>
              </w:rPr>
              <w:t>)</w:t>
            </w:r>
          </w:p>
          <w:p w14:paraId="2F444602" w14:textId="3FB85A27" w:rsidR="000127FB" w:rsidRPr="00490D3E" w:rsidRDefault="000127FB" w:rsidP="0045218E">
            <w:pPr>
              <w:rPr>
                <w:sz w:val="20"/>
                <w:szCs w:val="20"/>
              </w:rPr>
            </w:pPr>
            <w:r w:rsidRPr="00490D3E">
              <w:rPr>
                <w:sz w:val="20"/>
                <w:szCs w:val="20"/>
              </w:rPr>
              <w:t>Marketed</w:t>
            </w:r>
          </w:p>
        </w:tc>
        <w:tc>
          <w:tcPr>
            <w:tcW w:w="1095" w:type="pct"/>
          </w:tcPr>
          <w:p w14:paraId="73717985" w14:textId="77777777" w:rsidR="000127FB" w:rsidRPr="00490D3E" w:rsidRDefault="000127FB"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color w:val="212121"/>
                <w:sz w:val="20"/>
                <w:szCs w:val="20"/>
                <w:shd w:val="clear" w:color="auto" w:fill="FFFFFF"/>
              </w:rPr>
              <w:t xml:space="preserve">Anti-IgE. </w:t>
            </w:r>
            <w:r w:rsidRPr="00490D3E">
              <w:rPr>
                <w:color w:val="212121"/>
                <w:sz w:val="20"/>
                <w:szCs w:val="20"/>
              </w:rPr>
              <w:t>Humanised monoclonal antibody directed against IgE</w:t>
            </w:r>
          </w:p>
          <w:p w14:paraId="693E83A1" w14:textId="77777777" w:rsidR="000127FB" w:rsidRPr="00490D3E" w:rsidRDefault="000127FB" w:rsidP="0045218E">
            <w:pPr>
              <w:cnfStyle w:val="000000000000" w:firstRow="0" w:lastRow="0" w:firstColumn="0" w:lastColumn="0" w:oddVBand="0" w:evenVBand="0" w:oddHBand="0" w:evenHBand="0" w:firstRowFirstColumn="0" w:firstRowLastColumn="0" w:lastRowFirstColumn="0" w:lastRowLastColumn="0"/>
              <w:rPr>
                <w:sz w:val="20"/>
                <w:szCs w:val="20"/>
              </w:rPr>
            </w:pPr>
          </w:p>
        </w:tc>
        <w:tc>
          <w:tcPr>
            <w:tcW w:w="1252" w:type="pct"/>
          </w:tcPr>
          <w:p w14:paraId="1E4CAD94" w14:textId="634FC625" w:rsidR="000127FB" w:rsidRPr="00490D3E" w:rsidRDefault="000127FB"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color w:val="212121"/>
                <w:sz w:val="20"/>
                <w:szCs w:val="20"/>
                <w:shd w:val="clear" w:color="auto" w:fill="FFFFFF"/>
              </w:rPr>
              <w:t>Add-on treatment for allergic asthma – severe allergic asthma in children 6 to &lt; 12 years and moderate to severe allergic asthma in adults and adolescents ≥ 12 years despite inhaled corticosteroids.</w:t>
            </w:r>
          </w:p>
        </w:tc>
        <w:tc>
          <w:tcPr>
            <w:tcW w:w="1795" w:type="pct"/>
          </w:tcPr>
          <w:p w14:paraId="067169C3" w14:textId="1AC09055" w:rsidR="000127FB" w:rsidRPr="00490D3E" w:rsidRDefault="000127FB" w:rsidP="0045218E">
            <w:pPr>
              <w:cnfStyle w:val="000000000000" w:firstRow="0" w:lastRow="0" w:firstColumn="0" w:lastColumn="0" w:oddVBand="0" w:evenVBand="0" w:oddHBand="0" w:evenHBand="0" w:firstRowFirstColumn="0" w:firstRowLastColumn="0" w:lastRowFirstColumn="0" w:lastRowLastColumn="0"/>
              <w:rPr>
                <w:color w:val="212121"/>
                <w:sz w:val="20"/>
                <w:szCs w:val="20"/>
              </w:rPr>
            </w:pPr>
            <w:r w:rsidRPr="00490D3E">
              <w:rPr>
                <w:color w:val="212121"/>
                <w:sz w:val="20"/>
                <w:szCs w:val="20"/>
              </w:rPr>
              <w:t>Dose (SC) calculated according to baseline IgE and body weight. Usual dose every 2–4 weeks (larger doses divided in 2 and administered every 2 weeks)</w:t>
            </w:r>
          </w:p>
          <w:p w14:paraId="5D617467" w14:textId="77777777" w:rsidR="000127FB" w:rsidRPr="00490D3E" w:rsidRDefault="000127FB" w:rsidP="0045218E">
            <w:pPr>
              <w:cnfStyle w:val="000000000000" w:firstRow="0" w:lastRow="0" w:firstColumn="0" w:lastColumn="0" w:oddVBand="0" w:evenVBand="0" w:oddHBand="0" w:evenHBand="0" w:firstRowFirstColumn="0" w:firstRowLastColumn="0" w:lastRowFirstColumn="0" w:lastRowLastColumn="0"/>
              <w:rPr>
                <w:color w:val="212121"/>
                <w:sz w:val="20"/>
                <w:szCs w:val="20"/>
              </w:rPr>
            </w:pPr>
          </w:p>
          <w:p w14:paraId="47F31C08" w14:textId="77777777" w:rsidR="000127FB" w:rsidRPr="00490D3E" w:rsidRDefault="000127FB" w:rsidP="0045218E">
            <w:pPr>
              <w:cnfStyle w:val="000000000000" w:firstRow="0" w:lastRow="0" w:firstColumn="0" w:lastColumn="0" w:oddVBand="0" w:evenVBand="0" w:oddHBand="0" w:evenHBand="0" w:firstRowFirstColumn="0" w:firstRowLastColumn="0" w:lastRowFirstColumn="0" w:lastRowLastColumn="0"/>
              <w:rPr>
                <w:color w:val="212121"/>
                <w:sz w:val="20"/>
                <w:szCs w:val="20"/>
                <w:shd w:val="clear" w:color="auto" w:fill="FFFFFF"/>
              </w:rPr>
            </w:pPr>
            <w:r w:rsidRPr="00490D3E">
              <w:rPr>
                <w:color w:val="212121"/>
                <w:sz w:val="20"/>
                <w:szCs w:val="20"/>
                <w:shd w:val="clear" w:color="auto" w:fill="FFFFFF"/>
              </w:rPr>
              <w:t>• Pre-filled syringe– 75 mg/0.5 mL; 150 mg/</w:t>
            </w:r>
            <w:proofErr w:type="spellStart"/>
            <w:r w:rsidRPr="00490D3E">
              <w:rPr>
                <w:color w:val="212121"/>
                <w:sz w:val="20"/>
                <w:szCs w:val="20"/>
                <w:shd w:val="clear" w:color="auto" w:fill="FFFFFF"/>
              </w:rPr>
              <w:t>mL.</w:t>
            </w:r>
            <w:proofErr w:type="spellEnd"/>
            <w:r w:rsidRPr="00490D3E">
              <w:rPr>
                <w:color w:val="212121"/>
                <w:sz w:val="20"/>
                <w:szCs w:val="20"/>
                <w:shd w:val="clear" w:color="auto" w:fill="FFFFFF"/>
              </w:rPr>
              <w:t xml:space="preserve"> </w:t>
            </w:r>
          </w:p>
          <w:p w14:paraId="7EABC46E" w14:textId="54872F9A" w:rsidR="000127FB" w:rsidRPr="00490D3E" w:rsidRDefault="000127FB"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color w:val="212121"/>
                <w:sz w:val="20"/>
                <w:szCs w:val="20"/>
              </w:rPr>
              <w:t>• Powder with diluent for SC injection – 75 mg per 0.6 mL (125 mg/mL after reconstitution); 150 mg per 1.2 ml (125 mg/mL after reconstitution).</w:t>
            </w:r>
          </w:p>
        </w:tc>
      </w:tr>
      <w:tr w:rsidR="00F124EB" w:rsidRPr="00490D3E" w14:paraId="2C685C0C" w14:textId="77777777" w:rsidTr="00BC5C12">
        <w:tc>
          <w:tcPr>
            <w:cnfStyle w:val="001000000000" w:firstRow="0" w:lastRow="0" w:firstColumn="1" w:lastColumn="0" w:oddVBand="0" w:evenVBand="0" w:oddHBand="0" w:evenHBand="0" w:firstRowFirstColumn="0" w:firstRowLastColumn="0" w:lastRowFirstColumn="0" w:lastRowLastColumn="0"/>
            <w:tcW w:w="858" w:type="pct"/>
          </w:tcPr>
          <w:p w14:paraId="4486C4EB" w14:textId="1EB525D0" w:rsidR="000E3FA9" w:rsidRPr="00490D3E" w:rsidRDefault="000E3FA9" w:rsidP="0045218E">
            <w:pPr>
              <w:rPr>
                <w:sz w:val="20"/>
                <w:szCs w:val="20"/>
              </w:rPr>
            </w:pPr>
            <w:proofErr w:type="spellStart"/>
            <w:r w:rsidRPr="00490D3E">
              <w:rPr>
                <w:sz w:val="20"/>
                <w:szCs w:val="20"/>
              </w:rPr>
              <w:t>r</w:t>
            </w:r>
            <w:r w:rsidR="00F124EB" w:rsidRPr="00490D3E">
              <w:rPr>
                <w:sz w:val="20"/>
                <w:szCs w:val="20"/>
              </w:rPr>
              <w:t>eslizumab</w:t>
            </w:r>
            <w:proofErr w:type="spellEnd"/>
          </w:p>
          <w:p w14:paraId="4C63AE88" w14:textId="77777777" w:rsidR="000E3FA9" w:rsidRPr="00490D3E" w:rsidRDefault="00F124EB" w:rsidP="0045218E">
            <w:pPr>
              <w:rPr>
                <w:sz w:val="20"/>
                <w:szCs w:val="20"/>
              </w:rPr>
            </w:pPr>
            <w:r w:rsidRPr="00490D3E">
              <w:rPr>
                <w:sz w:val="20"/>
                <w:szCs w:val="20"/>
              </w:rPr>
              <w:t>(</w:t>
            </w:r>
            <w:proofErr w:type="spellStart"/>
            <w:r w:rsidRPr="00490D3E">
              <w:rPr>
                <w:i/>
                <w:iCs/>
                <w:sz w:val="20"/>
                <w:szCs w:val="20"/>
              </w:rPr>
              <w:t>Cinquar</w:t>
            </w:r>
            <w:proofErr w:type="spellEnd"/>
            <w:r w:rsidRPr="00490D3E">
              <w:rPr>
                <w:sz w:val="20"/>
                <w:szCs w:val="20"/>
              </w:rPr>
              <w:t>)</w:t>
            </w:r>
          </w:p>
          <w:p w14:paraId="52D3CED5" w14:textId="613001EB" w:rsidR="00F124EB" w:rsidRPr="00490D3E" w:rsidRDefault="00F124EB" w:rsidP="0045218E">
            <w:pPr>
              <w:rPr>
                <w:sz w:val="20"/>
                <w:szCs w:val="20"/>
              </w:rPr>
            </w:pPr>
            <w:r w:rsidRPr="00490D3E">
              <w:rPr>
                <w:sz w:val="20"/>
                <w:szCs w:val="20"/>
              </w:rPr>
              <w:t>Not marketed</w:t>
            </w:r>
          </w:p>
        </w:tc>
        <w:tc>
          <w:tcPr>
            <w:tcW w:w="1095" w:type="pct"/>
          </w:tcPr>
          <w:p w14:paraId="22B2AA21" w14:textId="7BAEA8D1" w:rsidR="00F124EB" w:rsidRPr="00490D3E" w:rsidRDefault="00F124EB"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color w:val="212121"/>
                <w:sz w:val="20"/>
                <w:szCs w:val="20"/>
                <w:shd w:val="clear" w:color="auto" w:fill="FFFFFF"/>
              </w:rPr>
              <w:t>Anti-IL-5. Humanised monoclonal antibody directed against IL-5.</w:t>
            </w:r>
          </w:p>
        </w:tc>
        <w:tc>
          <w:tcPr>
            <w:tcW w:w="1252" w:type="pct"/>
          </w:tcPr>
          <w:p w14:paraId="3B358B48" w14:textId="768F5BA0" w:rsidR="00F124EB" w:rsidRPr="00490D3E" w:rsidRDefault="00F124EB"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color w:val="212121"/>
                <w:sz w:val="20"/>
                <w:szCs w:val="20"/>
                <w:shd w:val="clear" w:color="auto" w:fill="FFFFFF"/>
              </w:rPr>
              <w:t>Add-on therapy in adult patients with severe eosinophilic asthma</w:t>
            </w:r>
            <w:r w:rsidRPr="00490D3E">
              <w:rPr>
                <w:sz w:val="20"/>
                <w:szCs w:val="20"/>
              </w:rPr>
              <w:t xml:space="preserve"> (blood eosinophil count ≥400 cells/µL). </w:t>
            </w:r>
          </w:p>
        </w:tc>
        <w:tc>
          <w:tcPr>
            <w:tcW w:w="1795" w:type="pct"/>
          </w:tcPr>
          <w:p w14:paraId="74BAF325" w14:textId="5808973E" w:rsidR="00F124EB" w:rsidRPr="00490D3E" w:rsidRDefault="00F124EB" w:rsidP="0045218E">
            <w:pPr>
              <w:cnfStyle w:val="000000000000" w:firstRow="0" w:lastRow="0" w:firstColumn="0" w:lastColumn="0" w:oddVBand="0" w:evenVBand="0" w:oddHBand="0" w:evenHBand="0" w:firstRowFirstColumn="0" w:firstRowLastColumn="0" w:lastRowFirstColumn="0" w:lastRowLastColumn="0"/>
              <w:rPr>
                <w:color w:val="212121"/>
                <w:sz w:val="20"/>
                <w:szCs w:val="20"/>
              </w:rPr>
            </w:pPr>
            <w:r w:rsidRPr="00490D3E">
              <w:rPr>
                <w:color w:val="212121"/>
                <w:sz w:val="20"/>
                <w:szCs w:val="20"/>
              </w:rPr>
              <w:t>Recommended dose based on body weight (3.0 mg/kg every 4 weeks) by IV infusion.</w:t>
            </w:r>
          </w:p>
          <w:p w14:paraId="102D1416" w14:textId="430ED38B" w:rsidR="00F124EB" w:rsidRPr="00490D3E" w:rsidRDefault="00F124EB" w:rsidP="0045218E">
            <w:pPr>
              <w:cnfStyle w:val="000000000000" w:firstRow="0" w:lastRow="0" w:firstColumn="0" w:lastColumn="0" w:oddVBand="0" w:evenVBand="0" w:oddHBand="0" w:evenHBand="0" w:firstRowFirstColumn="0" w:firstRowLastColumn="0" w:lastRowFirstColumn="0" w:lastRowLastColumn="0"/>
              <w:rPr>
                <w:sz w:val="20"/>
                <w:szCs w:val="20"/>
              </w:rPr>
            </w:pPr>
            <w:r w:rsidRPr="00490D3E">
              <w:rPr>
                <w:color w:val="212121"/>
                <w:sz w:val="20"/>
                <w:szCs w:val="20"/>
              </w:rPr>
              <w:t>• 100 mg/10 mL concentrated solution vial.</w:t>
            </w:r>
          </w:p>
        </w:tc>
      </w:tr>
    </w:tbl>
    <w:p w14:paraId="039BA65F" w14:textId="77777777" w:rsidR="001C4F64" w:rsidRDefault="001C4F64" w:rsidP="00496DC2"/>
    <w:p w14:paraId="521C88A9" w14:textId="3B88A12A" w:rsidR="00496DC2" w:rsidRDefault="00496DC2" w:rsidP="00496DC2">
      <w:r w:rsidRPr="00D60947">
        <w:t xml:space="preserve">Monoclonal antibody therapy has been reported to reduce the rate of severe flare-ups requiring systemic corticosteroids. Several studies have also reported improvements in asthma symptoms compared with placebo or baseline, but few studies have reported clinically significant differences in Asthma Control Questionnaire scores compared with placebo. Some studies evaluating mepolizumab, </w:t>
      </w:r>
      <w:proofErr w:type="spellStart"/>
      <w:r w:rsidRPr="00D60947">
        <w:t>benralizumab</w:t>
      </w:r>
      <w:proofErr w:type="spellEnd"/>
      <w:r w:rsidRPr="00D60947">
        <w:t xml:space="preserve"> and dupilumab in patients with severe corticosteroid-dependent asthma have also shown a reduction in maintenance dose of oral corticosteroid. The monoclonal therapies are generally well tolerated. Injection site reactions are among the most common adverse events. Systemic reactions, including anaphylaxis, are rare but can occur.</w:t>
      </w:r>
    </w:p>
    <w:p w14:paraId="37C47E09" w14:textId="14D3762D" w:rsidR="00CB6813" w:rsidRDefault="00CB6813" w:rsidP="00CB6813">
      <w:pPr>
        <w:pStyle w:val="Heading4"/>
      </w:pPr>
      <w:bookmarkStart w:id="25" w:name="_Toc230164554"/>
      <w:r>
        <w:t>C</w:t>
      </w:r>
      <w:r w:rsidRPr="00DE1344">
        <w:t>linical rational</w:t>
      </w:r>
      <w:r w:rsidR="0025785B">
        <w:t>e</w:t>
      </w:r>
      <w:bookmarkEnd w:id="25"/>
    </w:p>
    <w:p w14:paraId="02C971C4" w14:textId="7C0B6152" w:rsidR="00691E33" w:rsidRPr="00CE3842" w:rsidRDefault="00691E33" w:rsidP="00691E33">
      <w:pPr>
        <w:rPr>
          <w:b/>
          <w:bCs/>
        </w:rPr>
      </w:pPr>
      <w:r w:rsidRPr="00BC5C12">
        <w:t>Tezepelumab is a human immunoglobulin G2λ monoclonal antibody that binds to human thymic</w:t>
      </w:r>
      <w:r w:rsidRPr="00CE3842">
        <w:t xml:space="preserve"> stromal lymphopoietin</w:t>
      </w:r>
      <w:r>
        <w:t xml:space="preserve"> (</w:t>
      </w:r>
      <w:r w:rsidRPr="00CE3842">
        <w:t>TSLP</w:t>
      </w:r>
      <w:r>
        <w:t>)</w:t>
      </w:r>
      <w:r w:rsidRPr="00CE3842">
        <w:t xml:space="preserve"> with high affinity and prevents its interaction with the heterodimeric TSLP receptor.</w:t>
      </w:r>
      <w:r w:rsidR="00BF401A">
        <w:rPr>
          <w:rStyle w:val="FootnoteReference"/>
        </w:rPr>
        <w:footnoteReference w:id="13"/>
      </w:r>
      <w:r w:rsidRPr="00CE3842">
        <w:t xml:space="preserve"> </w:t>
      </w:r>
      <w:r w:rsidR="00274210">
        <w:rPr>
          <w:rStyle w:val="FootnoteReference"/>
        </w:rPr>
        <w:footnoteReference w:id="14"/>
      </w:r>
      <w:r w:rsidRPr="00CE3842">
        <w:rPr>
          <w:rFonts w:eastAsia="TimesNewRoman"/>
        </w:rPr>
        <w:t xml:space="preserve"> </w:t>
      </w:r>
      <w:r w:rsidR="00446095">
        <w:t>T</w:t>
      </w:r>
      <w:r w:rsidR="00446095" w:rsidRPr="00CE3842">
        <w:t>hymic stromal lymphopoietin</w:t>
      </w:r>
      <w:r w:rsidRPr="00CE3842">
        <w:t xml:space="preserve">, an epithelial cell-derived cytokine, occupies an upstream position in the asthma inflammatory cascade and </w:t>
      </w:r>
      <w:r>
        <w:t xml:space="preserve">is believed to </w:t>
      </w:r>
      <w:r w:rsidRPr="005F01D3">
        <w:t>play a central role in the initiation and persistence of airway inflammation in asthma</w:t>
      </w:r>
      <w:r w:rsidR="00C53916" w:rsidRPr="005F01D3">
        <w:t xml:space="preserve"> </w:t>
      </w:r>
      <w:r w:rsidRPr="005F01D3">
        <w:t>(</w:t>
      </w:r>
      <w:r w:rsidR="005F01D3" w:rsidRPr="005F01D3">
        <w:fldChar w:fldCharType="begin"/>
      </w:r>
      <w:r w:rsidR="005F01D3" w:rsidRPr="005F01D3">
        <w:instrText xml:space="preserve"> REF _Ref204085596 \h </w:instrText>
      </w:r>
      <w:r w:rsidR="005F01D3">
        <w:instrText xml:space="preserve"> \* MERGEFORMAT </w:instrText>
      </w:r>
      <w:r w:rsidR="005F01D3" w:rsidRPr="005F01D3">
        <w:fldChar w:fldCharType="separate"/>
      </w:r>
      <w:r w:rsidR="005657B1">
        <w:t xml:space="preserve">Figure </w:t>
      </w:r>
      <w:r w:rsidR="005657B1">
        <w:rPr>
          <w:noProof/>
        </w:rPr>
        <w:t>3</w:t>
      </w:r>
      <w:r w:rsidR="005F01D3" w:rsidRPr="005F01D3">
        <w:fldChar w:fldCharType="end"/>
      </w:r>
      <w:r w:rsidRPr="005F01D3">
        <w:t>)</w:t>
      </w:r>
      <w:bookmarkStart w:id="26" w:name="_Ref204085671"/>
      <w:r w:rsidR="00C53916" w:rsidRPr="005F01D3">
        <w:rPr>
          <w:rStyle w:val="FootnoteReference"/>
        </w:rPr>
        <w:footnoteReference w:id="15"/>
      </w:r>
      <w:bookmarkEnd w:id="26"/>
      <w:r w:rsidRPr="005F01D3">
        <w:t xml:space="preserve"> by regulating immunity at the airway barrier surface, affecting dendritic cells and other</w:t>
      </w:r>
      <w:r w:rsidRPr="00CE3842">
        <w:t xml:space="preserve"> innate and adaptive immune cells, </w:t>
      </w:r>
      <w:r>
        <w:t>thus</w:t>
      </w:r>
      <w:r w:rsidRPr="00CE3842">
        <w:t xml:space="preserve"> inducing downstream inflammatory processes and bronchial hyper-responsiveness. </w:t>
      </w:r>
      <w:r w:rsidR="00241ACB">
        <w:t>T</w:t>
      </w:r>
      <w:r w:rsidR="00241ACB" w:rsidRPr="00CE3842">
        <w:t xml:space="preserve">hymic stromal lymphopoietin </w:t>
      </w:r>
      <w:r>
        <w:t>has been shown to be</w:t>
      </w:r>
      <w:r w:rsidRPr="00CE3842">
        <w:t xml:space="preserve"> present </w:t>
      </w:r>
      <w:r w:rsidRPr="00CE3842">
        <w:lastRenderedPageBreak/>
        <w:t>in increased levels within bronchial mucosa of asthmatics, with TSLP expression increased within a subset of severe asthmatics despite high-dose corticosteroid therapies.</w:t>
      </w:r>
    </w:p>
    <w:p w14:paraId="051E0D07" w14:textId="5D885E3F" w:rsidR="00691E33" w:rsidRDefault="00691E33" w:rsidP="00691E33">
      <w:r w:rsidRPr="00852EA3">
        <w:t>In asthma, both allergic and non-allergic triggers induce TSLP production</w:t>
      </w:r>
      <w:r w:rsidRPr="00852EA3">
        <w:rPr>
          <w:rFonts w:eastAsia="TimesNewRoman"/>
        </w:rPr>
        <w:t>.</w:t>
      </w:r>
      <w:r w:rsidR="00081C20" w:rsidRPr="00081C20">
        <w:rPr>
          <w:rFonts w:eastAsia="TimesNewRoman"/>
          <w:vertAlign w:val="superscript"/>
        </w:rPr>
        <w:fldChar w:fldCharType="begin"/>
      </w:r>
      <w:r w:rsidR="00081C20" w:rsidRPr="00081C20">
        <w:rPr>
          <w:rFonts w:eastAsia="TimesNewRoman"/>
          <w:vertAlign w:val="superscript"/>
        </w:rPr>
        <w:instrText xml:space="preserve"> NOTEREF _Ref204085671 \h </w:instrText>
      </w:r>
      <w:r w:rsidR="00081C20">
        <w:rPr>
          <w:rFonts w:eastAsia="TimesNewRoman"/>
          <w:vertAlign w:val="superscript"/>
        </w:rPr>
        <w:instrText xml:space="preserve"> \* MERGEFORMAT </w:instrText>
      </w:r>
      <w:r w:rsidR="00081C20" w:rsidRPr="00081C20">
        <w:rPr>
          <w:rFonts w:eastAsia="TimesNewRoman"/>
          <w:vertAlign w:val="superscript"/>
        </w:rPr>
      </w:r>
      <w:r w:rsidR="00081C20" w:rsidRPr="00081C20">
        <w:rPr>
          <w:rFonts w:eastAsia="TimesNewRoman"/>
          <w:vertAlign w:val="superscript"/>
        </w:rPr>
        <w:fldChar w:fldCharType="separate"/>
      </w:r>
      <w:r w:rsidR="005657B1">
        <w:rPr>
          <w:rFonts w:eastAsia="TimesNewRoman"/>
          <w:vertAlign w:val="superscript"/>
        </w:rPr>
        <w:t>15</w:t>
      </w:r>
      <w:r w:rsidR="00081C20" w:rsidRPr="00081C20">
        <w:rPr>
          <w:rFonts w:eastAsia="TimesNewRoman"/>
          <w:vertAlign w:val="superscript"/>
        </w:rPr>
        <w:fldChar w:fldCharType="end"/>
      </w:r>
      <w:r w:rsidRPr="00081C20">
        <w:rPr>
          <w:rFonts w:eastAsia="TimesNewRoman"/>
          <w:vertAlign w:val="superscript"/>
        </w:rPr>
        <w:t xml:space="preserve"> </w:t>
      </w:r>
      <w:r w:rsidRPr="00852EA3">
        <w:t xml:space="preserve">Blocking TSLP with </w:t>
      </w:r>
      <w:proofErr w:type="spellStart"/>
      <w:r w:rsidRPr="00852EA3">
        <w:t>tezepelumab</w:t>
      </w:r>
      <w:proofErr w:type="spellEnd"/>
      <w:r w:rsidRPr="00852EA3">
        <w:t xml:space="preserve"> reduces levels of a broad spectrum of biomarkers and </w:t>
      </w:r>
      <w:r w:rsidRPr="00FC7CA8">
        <w:t>cytokines associated with inflammation (</w:t>
      </w:r>
      <w:r w:rsidR="00AD338F" w:rsidRPr="00FC7CA8">
        <w:t xml:space="preserve">for example, </w:t>
      </w:r>
      <w:r w:rsidRPr="00FC7CA8">
        <w:t xml:space="preserve">blood eosinophils, </w:t>
      </w:r>
      <w:r w:rsidR="00AD338F" w:rsidRPr="00FC7CA8">
        <w:t>IgE</w:t>
      </w:r>
      <w:r w:rsidRPr="00FC7CA8">
        <w:t xml:space="preserve">, </w:t>
      </w:r>
      <w:proofErr w:type="spellStart"/>
      <w:r w:rsidRPr="00FC7CA8">
        <w:t>FeNO</w:t>
      </w:r>
      <w:proofErr w:type="spellEnd"/>
      <w:r w:rsidRPr="00FC7CA8">
        <w:t>, IL</w:t>
      </w:r>
      <w:r w:rsidR="00687EAC">
        <w:t>−</w:t>
      </w:r>
      <w:r w:rsidRPr="00FC7CA8">
        <w:t>5, and IL</w:t>
      </w:r>
      <w:r w:rsidR="00687EAC">
        <w:t>−</w:t>
      </w:r>
      <w:r w:rsidRPr="00FC7CA8">
        <w:t>13).</w:t>
      </w:r>
      <w:r w:rsidR="00FC7CA8">
        <w:rPr>
          <w:rStyle w:val="FootnoteReference"/>
        </w:rPr>
        <w:footnoteReference w:id="16"/>
      </w:r>
    </w:p>
    <w:p w14:paraId="6CE66816" w14:textId="440C06FF" w:rsidR="00691E33" w:rsidRDefault="00F51366" w:rsidP="00F51366">
      <w:pPr>
        <w:pStyle w:val="FigureTitle"/>
        <w:rPr>
          <w:rFonts w:ascii="Calibri" w:hAnsi="Calibri" w:cs="Calibri"/>
          <w:bCs/>
        </w:rPr>
      </w:pPr>
      <w:bookmarkStart w:id="27" w:name="_Ref204085596"/>
      <w:r>
        <w:t xml:space="preserve">Figure </w:t>
      </w:r>
      <w:r>
        <w:fldChar w:fldCharType="begin"/>
      </w:r>
      <w:r>
        <w:instrText xml:space="preserve"> SEQ Figure \* ARABIC </w:instrText>
      </w:r>
      <w:r>
        <w:fldChar w:fldCharType="separate"/>
      </w:r>
      <w:r w:rsidR="005657B1">
        <w:rPr>
          <w:noProof/>
        </w:rPr>
        <w:t>3</w:t>
      </w:r>
      <w:r>
        <w:fldChar w:fldCharType="end"/>
      </w:r>
      <w:bookmarkEnd w:id="27"/>
      <w:r>
        <w:t>: Thymic stromal lymphopoietin: its role and potential as a therapeutic target in asthma</w:t>
      </w:r>
    </w:p>
    <w:p w14:paraId="02A197F2" w14:textId="7C06D4B5" w:rsidR="00691E33" w:rsidRDefault="00473106" w:rsidP="00CB6813">
      <w:pPr>
        <w:rPr>
          <w:i/>
          <w:color w:val="007099"/>
        </w:rPr>
      </w:pPr>
      <w:r>
        <w:rPr>
          <w:noProof/>
        </w:rPr>
        <w:drawing>
          <wp:inline distT="0" distB="0" distL="0" distR="0" wp14:anchorId="2D1B2173" wp14:editId="6295F6CA">
            <wp:extent cx="5759450" cy="2898140"/>
            <wp:effectExtent l="0" t="0" r="0" b="0"/>
            <wp:docPr id="612928054" name="Picture 1" descr="Figure 3: Thymic stromal lymphopoietin: its role and potential as a therapeutic target in ast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28054" name="Picture 1" descr="Figure 3: Thymic stromal lymphopoietin: its role and potential as a therapeutic target in asthma"/>
                    <pic:cNvPicPr/>
                  </pic:nvPicPr>
                  <pic:blipFill>
                    <a:blip r:embed="rId25"/>
                    <a:stretch>
                      <a:fillRect/>
                    </a:stretch>
                  </pic:blipFill>
                  <pic:spPr>
                    <a:xfrm>
                      <a:off x="0" y="0"/>
                      <a:ext cx="5759450" cy="2898140"/>
                    </a:xfrm>
                    <a:prstGeom prst="rect">
                      <a:avLst/>
                    </a:prstGeom>
                  </pic:spPr>
                </pic:pic>
              </a:graphicData>
            </a:graphic>
          </wp:inline>
        </w:drawing>
      </w:r>
    </w:p>
    <w:p w14:paraId="7FA2E17E" w14:textId="67B4ACF0" w:rsidR="005D17B5" w:rsidRDefault="005D17B5" w:rsidP="005D17B5">
      <w:pPr>
        <w:pStyle w:val="FigureDescription"/>
      </w:pPr>
      <w:r w:rsidRPr="005D17B5">
        <w:t>CXCL8</w:t>
      </w:r>
      <w:r w:rsidR="007C6B58">
        <w:t xml:space="preserve"> = </w:t>
      </w:r>
      <w:r w:rsidRPr="005D17B5">
        <w:t>chemokine (C-X-C motif) ligand 8; GM-CSF</w:t>
      </w:r>
      <w:r w:rsidR="007C6B58">
        <w:t xml:space="preserve"> = </w:t>
      </w:r>
      <w:r w:rsidRPr="005D17B5">
        <w:t>granulocyte-macrophage colony-stimulating factor; IgE</w:t>
      </w:r>
      <w:r w:rsidR="00FA6B84">
        <w:t> </w:t>
      </w:r>
      <w:r w:rsidR="00FD7B4B">
        <w:t>=</w:t>
      </w:r>
      <w:r w:rsidR="00FA6B84">
        <w:t> </w:t>
      </w:r>
      <w:r w:rsidRPr="005D17B5">
        <w:t>immunoglobulin E; IL</w:t>
      </w:r>
      <w:r w:rsidR="00FD7B4B">
        <w:t xml:space="preserve"> = </w:t>
      </w:r>
      <w:r w:rsidRPr="005D17B5">
        <w:t>interleukin; ILC2</w:t>
      </w:r>
      <w:r w:rsidR="00FD7B4B">
        <w:t xml:space="preserve"> =</w:t>
      </w:r>
      <w:r w:rsidRPr="005D17B5">
        <w:t xml:space="preserve"> group 2 innate lymphoid cell; OX40 L</w:t>
      </w:r>
      <w:r w:rsidR="00FD7B4B">
        <w:t xml:space="preserve"> = </w:t>
      </w:r>
      <w:r w:rsidRPr="005D17B5">
        <w:t>OX40 ligand; T2</w:t>
      </w:r>
      <w:r w:rsidR="00FA6B84">
        <w:t> </w:t>
      </w:r>
      <w:r w:rsidR="00FD7B4B">
        <w:t>=</w:t>
      </w:r>
      <w:r w:rsidR="00FA6B84">
        <w:t> </w:t>
      </w:r>
      <w:r w:rsidRPr="005D17B5">
        <w:t>type</w:t>
      </w:r>
      <w:r w:rsidR="00FA6B84">
        <w:t> </w:t>
      </w:r>
      <w:r w:rsidRPr="005D17B5">
        <w:t>2; Th</w:t>
      </w:r>
      <w:r w:rsidR="00FA6B84">
        <w:t> </w:t>
      </w:r>
      <w:r w:rsidR="00FD7B4B">
        <w:t>=</w:t>
      </w:r>
      <w:r w:rsidRPr="005D17B5">
        <w:t xml:space="preserve"> T helper; TSLP</w:t>
      </w:r>
      <w:r w:rsidR="00FA6B84">
        <w:t xml:space="preserve"> = </w:t>
      </w:r>
      <w:r w:rsidRPr="005D17B5">
        <w:t>thymic stromal lymphopoietin.</w:t>
      </w:r>
    </w:p>
    <w:p w14:paraId="0D615854" w14:textId="77777777" w:rsidR="00324B33" w:rsidRPr="003F31A2" w:rsidRDefault="00324B33" w:rsidP="00324B33">
      <w:pPr>
        <w:pStyle w:val="Heading3"/>
      </w:pPr>
      <w:bookmarkStart w:id="28" w:name="_Toc103679291"/>
      <w:bookmarkStart w:id="29" w:name="_Toc230164555"/>
      <w:r>
        <w:t>Regulatory status</w:t>
      </w:r>
      <w:bookmarkEnd w:id="16"/>
      <w:bookmarkEnd w:id="17"/>
      <w:bookmarkEnd w:id="28"/>
      <w:bookmarkEnd w:id="29"/>
    </w:p>
    <w:p w14:paraId="72C889D6" w14:textId="7E200950" w:rsidR="0017005C" w:rsidRPr="00BD5DBD" w:rsidRDefault="0017005C" w:rsidP="00741AB9">
      <w:pPr>
        <w:pStyle w:val="Heading4"/>
      </w:pPr>
      <w:bookmarkStart w:id="30" w:name="_Toc230164556"/>
      <w:r w:rsidRPr="00BD5DBD">
        <w:t>Australian regulatory</w:t>
      </w:r>
      <w:r>
        <w:t xml:space="preserve"> sta</w:t>
      </w:r>
      <w:r w:rsidR="0025785B">
        <w:t>t</w:t>
      </w:r>
      <w:r>
        <w:t>us</w:t>
      </w:r>
      <w:bookmarkEnd w:id="30"/>
    </w:p>
    <w:p w14:paraId="6A8633FA" w14:textId="13A060F7" w:rsidR="00324B33" w:rsidRPr="009A5E2F" w:rsidRDefault="00324B33" w:rsidP="009A5E2F">
      <w:r w:rsidRPr="009A5E2F">
        <w:t>This product is considered a new biological entity for Australian regulatory purposes.</w:t>
      </w:r>
    </w:p>
    <w:p w14:paraId="546C1031" w14:textId="6711F8A8" w:rsidR="0017005C" w:rsidRDefault="00131B1B" w:rsidP="0017005C">
      <w:pPr>
        <w:pStyle w:val="Heading4"/>
      </w:pPr>
      <w:bookmarkStart w:id="31" w:name="_Toc230164557"/>
      <w:r>
        <w:t xml:space="preserve">International </w:t>
      </w:r>
      <w:r w:rsidR="0017005C" w:rsidRPr="00BD5DBD">
        <w:t>regulatory</w:t>
      </w:r>
      <w:r w:rsidR="0017005C">
        <w:t xml:space="preserve"> status</w:t>
      </w:r>
      <w:bookmarkEnd w:id="31"/>
    </w:p>
    <w:p w14:paraId="7FDF4A0B" w14:textId="0818CD3E"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 xml:space="preserve">The following table summarises </w:t>
      </w:r>
      <w:r w:rsidR="009877B1">
        <w:rPr>
          <w:szCs w:val="22"/>
        </w:rPr>
        <w:t xml:space="preserve">some of the </w:t>
      </w:r>
      <w:r w:rsidR="005848CE">
        <w:rPr>
          <w:szCs w:val="22"/>
        </w:rPr>
        <w:t>key</w:t>
      </w:r>
      <w:r w:rsidRPr="00BD5DBD">
        <w:rPr>
          <w:szCs w:val="22"/>
        </w:rPr>
        <w:t xml:space="preserve"> submissions and provides the indications where approved.</w:t>
      </w:r>
    </w:p>
    <w:p w14:paraId="19B9E0AC" w14:textId="7A5C8DD0" w:rsidR="00324B33" w:rsidRDefault="00324B33" w:rsidP="00324B33">
      <w:pPr>
        <w:pStyle w:val="TableTitle"/>
      </w:pPr>
      <w:bookmarkStart w:id="32" w:name="_Ref99705479"/>
      <w:r>
        <w:lastRenderedPageBreak/>
        <w:t xml:space="preserve">Table </w:t>
      </w:r>
      <w:r w:rsidR="007F1E37">
        <w:fldChar w:fldCharType="begin"/>
      </w:r>
      <w:r w:rsidR="007F1E37">
        <w:instrText xml:space="preserve"> SEQ Table \* ARABIC </w:instrText>
      </w:r>
      <w:r w:rsidR="007F1E37">
        <w:fldChar w:fldCharType="separate"/>
      </w:r>
      <w:r w:rsidR="005657B1">
        <w:rPr>
          <w:noProof/>
        </w:rPr>
        <w:t>3</w:t>
      </w:r>
      <w:r w:rsidR="007F1E37">
        <w:rPr>
          <w:noProof/>
        </w:rPr>
        <w:fldChar w:fldCharType="end"/>
      </w:r>
      <w:bookmarkEnd w:id="32"/>
      <w:r>
        <w:t>: International regulatory status</w:t>
      </w:r>
    </w:p>
    <w:tbl>
      <w:tblPr>
        <w:tblStyle w:val="TableTGAblue2023"/>
        <w:tblW w:w="5000" w:type="pct"/>
        <w:tblLook w:val="04A0" w:firstRow="1" w:lastRow="0" w:firstColumn="1" w:lastColumn="0" w:noHBand="0" w:noVBand="1"/>
      </w:tblPr>
      <w:tblGrid>
        <w:gridCol w:w="1837"/>
        <w:gridCol w:w="1845"/>
        <w:gridCol w:w="2125"/>
        <w:gridCol w:w="3253"/>
      </w:tblGrid>
      <w:tr w:rsidR="00DD2C5E" w:rsidRPr="00D01DDB" w14:paraId="405E5D78" w14:textId="16839333" w:rsidTr="0FD58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8E7C35" w:rsidRPr="00D01DDB" w14:paraId="38D24E86" w14:textId="77777777" w:rsidTr="0FD58C16">
        <w:tc>
          <w:tcPr>
            <w:cnfStyle w:val="001000000000" w:firstRow="0" w:lastRow="0" w:firstColumn="1" w:lastColumn="0" w:oddVBand="0" w:evenVBand="0" w:oddHBand="0" w:evenHBand="0" w:firstRowFirstColumn="0" w:firstRowLastColumn="0" w:lastRowFirstColumn="0" w:lastRowLastColumn="0"/>
            <w:tcW w:w="1014" w:type="pct"/>
            <w:vMerge w:val="restart"/>
          </w:tcPr>
          <w:p w14:paraId="4C540DE5" w14:textId="5FF2DB3E" w:rsidR="00E84204" w:rsidRPr="00D01DDB" w:rsidRDefault="00E84204" w:rsidP="00324B33">
            <w:pPr>
              <w:rPr>
                <w:szCs w:val="22"/>
              </w:rPr>
            </w:pPr>
            <w:r>
              <w:rPr>
                <w:szCs w:val="22"/>
              </w:rPr>
              <w:t>United States</w:t>
            </w:r>
          </w:p>
        </w:tc>
        <w:tc>
          <w:tcPr>
            <w:tcW w:w="1018" w:type="pct"/>
          </w:tcPr>
          <w:p w14:paraId="4FA5DDA9" w14:textId="5BBF5DE0" w:rsidR="00E84204" w:rsidRPr="00D01DDB" w:rsidRDefault="00E8420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May 2021, for </w:t>
            </w:r>
            <w:r w:rsidR="006B3F05" w:rsidRPr="006B3F05">
              <w:rPr>
                <w:szCs w:val="22"/>
              </w:rPr>
              <w:t>accessorised prefilled syringe (</w:t>
            </w:r>
            <w:proofErr w:type="spellStart"/>
            <w:r w:rsidRPr="006B3F05">
              <w:rPr>
                <w:szCs w:val="22"/>
              </w:rPr>
              <w:t>aPFS</w:t>
            </w:r>
            <w:proofErr w:type="spellEnd"/>
            <w:r w:rsidR="006B3F05">
              <w:rPr>
                <w:szCs w:val="22"/>
              </w:rPr>
              <w:t>)</w:t>
            </w:r>
            <w:r>
              <w:rPr>
                <w:szCs w:val="22"/>
              </w:rPr>
              <w:t xml:space="preserve"> and vial</w:t>
            </w:r>
            <w:r w:rsidR="006C3A12">
              <w:rPr>
                <w:rStyle w:val="FootnoteReference"/>
                <w:szCs w:val="22"/>
              </w:rPr>
              <w:footnoteReference w:id="17"/>
            </w:r>
          </w:p>
        </w:tc>
        <w:tc>
          <w:tcPr>
            <w:tcW w:w="1173" w:type="pct"/>
          </w:tcPr>
          <w:p w14:paraId="29358393" w14:textId="4BD57CB3" w:rsidR="00E84204" w:rsidRPr="00D01DDB" w:rsidRDefault="00E84204"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Pr>
                <w:szCs w:val="22"/>
              </w:rPr>
              <w:t>17 December 2021</w:t>
            </w:r>
          </w:p>
        </w:tc>
        <w:tc>
          <w:tcPr>
            <w:tcW w:w="1795" w:type="pct"/>
            <w:vMerge w:val="restart"/>
          </w:tcPr>
          <w:p w14:paraId="243658AA" w14:textId="77777777" w:rsidR="00EB113B" w:rsidRDefault="00EB113B" w:rsidP="00324B33">
            <w:pPr>
              <w:cnfStyle w:val="000000000000" w:firstRow="0" w:lastRow="0" w:firstColumn="0" w:lastColumn="0" w:oddVBand="0" w:evenVBand="0" w:oddHBand="0" w:evenHBand="0" w:firstRowFirstColumn="0" w:firstRowLastColumn="0" w:lastRowFirstColumn="0" w:lastRowLastColumn="0"/>
              <w:rPr>
                <w:szCs w:val="22"/>
              </w:rPr>
            </w:pPr>
            <w:r w:rsidRPr="00EB113B">
              <w:rPr>
                <w:szCs w:val="22"/>
              </w:rPr>
              <w:t xml:space="preserve">TEZSPIRE is indicated for the add-on maintenance treatment of adult and </w:t>
            </w:r>
            <w:proofErr w:type="spellStart"/>
            <w:r w:rsidRPr="00EB113B">
              <w:rPr>
                <w:szCs w:val="22"/>
              </w:rPr>
              <w:t>pediatric</w:t>
            </w:r>
            <w:proofErr w:type="spellEnd"/>
            <w:r w:rsidRPr="00EB113B">
              <w:rPr>
                <w:szCs w:val="22"/>
              </w:rPr>
              <w:t xml:space="preserve"> patients aged 12 years and older with severe asthma.</w:t>
            </w:r>
          </w:p>
          <w:p w14:paraId="05055674" w14:textId="3151A511" w:rsidR="00E84204" w:rsidRPr="00D01DDB" w:rsidRDefault="00EB113B" w:rsidP="00324B33">
            <w:pPr>
              <w:cnfStyle w:val="000000000000" w:firstRow="0" w:lastRow="0" w:firstColumn="0" w:lastColumn="0" w:oddVBand="0" w:evenVBand="0" w:oddHBand="0" w:evenHBand="0" w:firstRowFirstColumn="0" w:firstRowLastColumn="0" w:lastRowFirstColumn="0" w:lastRowLastColumn="0"/>
              <w:rPr>
                <w:szCs w:val="22"/>
              </w:rPr>
            </w:pPr>
            <w:r w:rsidRPr="00EB113B">
              <w:rPr>
                <w:szCs w:val="22"/>
              </w:rPr>
              <w:t>Limitations of Use: TEZSPIRE is not indicated for the relief of acute bronchospasm or status asthmaticus.</w:t>
            </w:r>
          </w:p>
        </w:tc>
      </w:tr>
      <w:tr w:rsidR="008E7C35" w:rsidRPr="00D01DDB" w14:paraId="51EACC0A" w14:textId="77777777" w:rsidTr="0FD58C16">
        <w:tc>
          <w:tcPr>
            <w:cnfStyle w:val="001000000000" w:firstRow="0" w:lastRow="0" w:firstColumn="1" w:lastColumn="0" w:oddVBand="0" w:evenVBand="0" w:oddHBand="0" w:evenHBand="0" w:firstRowFirstColumn="0" w:firstRowLastColumn="0" w:lastRowFirstColumn="0" w:lastRowLastColumn="0"/>
            <w:tcW w:w="1014" w:type="pct"/>
            <w:vMerge/>
          </w:tcPr>
          <w:p w14:paraId="4684C620" w14:textId="77777777" w:rsidR="00E84204" w:rsidRDefault="00E84204" w:rsidP="00324B33">
            <w:pPr>
              <w:rPr>
                <w:szCs w:val="22"/>
              </w:rPr>
            </w:pPr>
          </w:p>
        </w:tc>
        <w:tc>
          <w:tcPr>
            <w:tcW w:w="1018" w:type="pct"/>
          </w:tcPr>
          <w:p w14:paraId="6EB19C01" w14:textId="2C9B47CE" w:rsidR="00E84204" w:rsidRPr="00D01DDB" w:rsidRDefault="00E8420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April 2022, for </w:t>
            </w:r>
            <w:r w:rsidR="00EE7418">
              <w:rPr>
                <w:szCs w:val="22"/>
              </w:rPr>
              <w:t>autoinjector</w:t>
            </w:r>
          </w:p>
        </w:tc>
        <w:tc>
          <w:tcPr>
            <w:tcW w:w="1173" w:type="pct"/>
          </w:tcPr>
          <w:p w14:paraId="2EBABF29" w14:textId="40C7A6EE" w:rsidR="00E84204" w:rsidRPr="00D01DDB" w:rsidRDefault="00E84204"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Pr>
                <w:szCs w:val="22"/>
              </w:rPr>
              <w:t>1 February 2023</w:t>
            </w:r>
          </w:p>
        </w:tc>
        <w:tc>
          <w:tcPr>
            <w:tcW w:w="1795" w:type="pct"/>
            <w:vMerge/>
          </w:tcPr>
          <w:p w14:paraId="4D4457D8" w14:textId="77777777" w:rsidR="00E84204" w:rsidRPr="00D01DDB" w:rsidRDefault="00E84204" w:rsidP="00324B33">
            <w:pPr>
              <w:cnfStyle w:val="000000000000" w:firstRow="0" w:lastRow="0" w:firstColumn="0" w:lastColumn="0" w:oddVBand="0" w:evenVBand="0" w:oddHBand="0" w:evenHBand="0" w:firstRowFirstColumn="0" w:firstRowLastColumn="0" w:lastRowFirstColumn="0" w:lastRowLastColumn="0"/>
              <w:rPr>
                <w:szCs w:val="22"/>
              </w:rPr>
            </w:pPr>
          </w:p>
        </w:tc>
      </w:tr>
      <w:tr w:rsidR="008E7C35" w:rsidRPr="00D01DDB" w14:paraId="18B6E2AA" w14:textId="7783D66F" w:rsidTr="0FD58C16">
        <w:tc>
          <w:tcPr>
            <w:cnfStyle w:val="001000000000" w:firstRow="0" w:lastRow="0" w:firstColumn="1" w:lastColumn="0" w:oddVBand="0" w:evenVBand="0" w:oddHBand="0" w:evenHBand="0" w:firstRowFirstColumn="0" w:firstRowLastColumn="0" w:lastRowFirstColumn="0" w:lastRowLastColumn="0"/>
            <w:tcW w:w="1014" w:type="pct"/>
            <w:vMerge w:val="restart"/>
          </w:tcPr>
          <w:p w14:paraId="7F348960" w14:textId="352FDE69" w:rsidR="00E84204" w:rsidRPr="00D01DDB" w:rsidRDefault="00E84204" w:rsidP="00E84204">
            <w:pPr>
              <w:rPr>
                <w:szCs w:val="22"/>
              </w:rPr>
            </w:pPr>
            <w:r>
              <w:rPr>
                <w:szCs w:val="22"/>
              </w:rPr>
              <w:t>European Union</w:t>
            </w:r>
          </w:p>
        </w:tc>
        <w:tc>
          <w:tcPr>
            <w:tcW w:w="1018" w:type="pct"/>
          </w:tcPr>
          <w:p w14:paraId="1D871E57" w14:textId="0F92A8C0" w:rsidR="00E84204" w:rsidRPr="00D01DDB" w:rsidRDefault="00E84204" w:rsidP="00E84204">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May 2021, for </w:t>
            </w:r>
            <w:proofErr w:type="spellStart"/>
            <w:r>
              <w:rPr>
                <w:szCs w:val="22"/>
              </w:rPr>
              <w:t>aPFS</w:t>
            </w:r>
            <w:proofErr w:type="spellEnd"/>
          </w:p>
        </w:tc>
        <w:tc>
          <w:tcPr>
            <w:tcW w:w="1173" w:type="pct"/>
          </w:tcPr>
          <w:p w14:paraId="63A3A9D3" w14:textId="49706E00" w:rsidR="00E84204" w:rsidRPr="00D01DDB" w:rsidRDefault="00E84204" w:rsidP="00E8420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Pr>
                <w:szCs w:val="22"/>
              </w:rPr>
              <w:t>1</w:t>
            </w:r>
            <w:r w:rsidR="006D7F32">
              <w:rPr>
                <w:szCs w:val="22"/>
              </w:rPr>
              <w:t>9 September</w:t>
            </w:r>
            <w:r>
              <w:rPr>
                <w:szCs w:val="22"/>
              </w:rPr>
              <w:t xml:space="preserve"> 202</w:t>
            </w:r>
            <w:r w:rsidR="006D7F32">
              <w:rPr>
                <w:szCs w:val="22"/>
              </w:rPr>
              <w:t>2</w:t>
            </w:r>
          </w:p>
        </w:tc>
        <w:tc>
          <w:tcPr>
            <w:tcW w:w="1795" w:type="pct"/>
            <w:vMerge w:val="restart"/>
          </w:tcPr>
          <w:p w14:paraId="17C650B8" w14:textId="7898A21B" w:rsidR="00E84204" w:rsidRPr="00D01DDB" w:rsidRDefault="7410F5C2" w:rsidP="198C11AC">
            <w:pPr>
              <w:cnfStyle w:val="000000000000" w:firstRow="0" w:lastRow="0" w:firstColumn="0" w:lastColumn="0" w:oddVBand="0" w:evenVBand="0" w:oddHBand="0" w:evenHBand="0" w:firstRowFirstColumn="0" w:firstRowLastColumn="0" w:lastRowFirstColumn="0" w:lastRowLastColumn="0"/>
            </w:pPr>
            <w:r>
              <w:t>Tezspire is indicated as an add-on maintenance treatment in adults and adolescents 12 years and older with severe asthma who are inadequately controlled despite high dose inhaled corticosteroids plus another medicinal product for maintenance treatment.</w:t>
            </w:r>
          </w:p>
        </w:tc>
      </w:tr>
      <w:tr w:rsidR="008E7C35" w:rsidRPr="00D01DDB" w14:paraId="13318975" w14:textId="77777777" w:rsidTr="0FD58C16">
        <w:tc>
          <w:tcPr>
            <w:cnfStyle w:val="001000000000" w:firstRow="0" w:lastRow="0" w:firstColumn="1" w:lastColumn="0" w:oddVBand="0" w:evenVBand="0" w:oddHBand="0" w:evenHBand="0" w:firstRowFirstColumn="0" w:firstRowLastColumn="0" w:lastRowFirstColumn="0" w:lastRowLastColumn="0"/>
            <w:tcW w:w="1014" w:type="pct"/>
            <w:vMerge/>
          </w:tcPr>
          <w:p w14:paraId="105AF840" w14:textId="77777777" w:rsidR="00E84204" w:rsidRPr="00D01DDB" w:rsidRDefault="00E84204" w:rsidP="00E84204">
            <w:pPr>
              <w:rPr>
                <w:szCs w:val="22"/>
              </w:rPr>
            </w:pPr>
          </w:p>
        </w:tc>
        <w:tc>
          <w:tcPr>
            <w:tcW w:w="1018" w:type="pct"/>
          </w:tcPr>
          <w:p w14:paraId="0CF268B9" w14:textId="4AD79DCB" w:rsidR="00E84204" w:rsidRPr="00D01DDB" w:rsidRDefault="00E84204" w:rsidP="00E84204">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September 2022, for </w:t>
            </w:r>
            <w:r w:rsidR="00EE7418">
              <w:rPr>
                <w:szCs w:val="22"/>
              </w:rPr>
              <w:t>autoinjector</w:t>
            </w:r>
          </w:p>
        </w:tc>
        <w:tc>
          <w:tcPr>
            <w:tcW w:w="1173" w:type="pct"/>
          </w:tcPr>
          <w:p w14:paraId="4AA840E5" w14:textId="38BB48DB" w:rsidR="00E84204" w:rsidRPr="00D01DDB" w:rsidRDefault="00E84204" w:rsidP="00E8420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6D7F32">
              <w:rPr>
                <w:szCs w:val="22"/>
              </w:rPr>
              <w:t xml:space="preserve">12 January </w:t>
            </w:r>
            <w:r>
              <w:rPr>
                <w:szCs w:val="22"/>
              </w:rPr>
              <w:t>2023</w:t>
            </w:r>
          </w:p>
        </w:tc>
        <w:tc>
          <w:tcPr>
            <w:tcW w:w="1795" w:type="pct"/>
            <w:vMerge/>
          </w:tcPr>
          <w:p w14:paraId="33CE7A2B" w14:textId="77777777" w:rsidR="00E84204" w:rsidRPr="00D01DDB" w:rsidRDefault="00E84204" w:rsidP="00E84204">
            <w:pPr>
              <w:cnfStyle w:val="000000000000" w:firstRow="0" w:lastRow="0" w:firstColumn="0" w:lastColumn="0" w:oddVBand="0" w:evenVBand="0" w:oddHBand="0" w:evenHBand="0" w:firstRowFirstColumn="0" w:firstRowLastColumn="0" w:lastRowFirstColumn="0" w:lastRowLastColumn="0"/>
              <w:rPr>
                <w:szCs w:val="22"/>
              </w:rPr>
            </w:pPr>
          </w:p>
        </w:tc>
      </w:tr>
      <w:tr w:rsidR="00DD2C5E" w:rsidRPr="00D01DDB" w14:paraId="04BC93E6" w14:textId="77777777" w:rsidTr="0FD58C16">
        <w:tc>
          <w:tcPr>
            <w:cnfStyle w:val="001000000000" w:firstRow="0" w:lastRow="0" w:firstColumn="1" w:lastColumn="0" w:oddVBand="0" w:evenVBand="0" w:oddHBand="0" w:evenHBand="0" w:firstRowFirstColumn="0" w:firstRowLastColumn="0" w:lastRowFirstColumn="0" w:lastRowLastColumn="0"/>
            <w:tcW w:w="1014" w:type="pct"/>
            <w:vMerge w:val="restart"/>
          </w:tcPr>
          <w:p w14:paraId="2F41BF39" w14:textId="03C4223F" w:rsidR="008E7C35" w:rsidRPr="00D01DDB" w:rsidRDefault="008E7C35">
            <w:pPr>
              <w:rPr>
                <w:szCs w:val="22"/>
              </w:rPr>
            </w:pPr>
            <w:r>
              <w:rPr>
                <w:szCs w:val="22"/>
              </w:rPr>
              <w:t>Switzerland</w:t>
            </w:r>
          </w:p>
        </w:tc>
        <w:tc>
          <w:tcPr>
            <w:tcW w:w="1018" w:type="pct"/>
          </w:tcPr>
          <w:p w14:paraId="0851B0D9" w14:textId="58C9BF14" w:rsidR="008E7C35" w:rsidRPr="00D01DDB" w:rsidRDefault="006922CF">
            <w:pPr>
              <w:cnfStyle w:val="000000000000" w:firstRow="0" w:lastRow="0" w:firstColumn="0" w:lastColumn="0" w:oddVBand="0" w:evenVBand="0" w:oddHBand="0" w:evenHBand="0" w:firstRowFirstColumn="0" w:firstRowLastColumn="0" w:lastRowFirstColumn="0" w:lastRowLastColumn="0"/>
              <w:rPr>
                <w:szCs w:val="22"/>
              </w:rPr>
            </w:pPr>
            <w:r>
              <w:rPr>
                <w:szCs w:val="22"/>
              </w:rPr>
              <w:t>July</w:t>
            </w:r>
            <w:r w:rsidR="008E7C35">
              <w:rPr>
                <w:szCs w:val="22"/>
              </w:rPr>
              <w:t xml:space="preserve"> 2021, for </w:t>
            </w:r>
            <w:proofErr w:type="spellStart"/>
            <w:r w:rsidR="008E7C35">
              <w:rPr>
                <w:szCs w:val="22"/>
              </w:rPr>
              <w:t>aPFS</w:t>
            </w:r>
            <w:proofErr w:type="spellEnd"/>
          </w:p>
        </w:tc>
        <w:tc>
          <w:tcPr>
            <w:tcW w:w="1173" w:type="pct"/>
          </w:tcPr>
          <w:p w14:paraId="40FA1EB8" w14:textId="31BCE40E" w:rsidR="008E7C35" w:rsidRPr="00D01DDB" w:rsidRDefault="008E7C3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Pr>
                <w:szCs w:val="22"/>
              </w:rPr>
              <w:t>1</w:t>
            </w:r>
            <w:r w:rsidR="006922CF">
              <w:rPr>
                <w:szCs w:val="22"/>
              </w:rPr>
              <w:t>3 June</w:t>
            </w:r>
            <w:r>
              <w:rPr>
                <w:szCs w:val="22"/>
              </w:rPr>
              <w:t xml:space="preserve"> 2022</w:t>
            </w:r>
          </w:p>
        </w:tc>
        <w:tc>
          <w:tcPr>
            <w:tcW w:w="1795" w:type="pct"/>
            <w:vMerge w:val="restart"/>
          </w:tcPr>
          <w:p w14:paraId="79F4B249" w14:textId="64F28203" w:rsidR="008E7C35" w:rsidRPr="00D01DDB" w:rsidRDefault="6353ABED" w:rsidP="0FD58C16">
            <w:pPr>
              <w:spacing w:before="0" w:after="120" w:line="257" w:lineRule="auto"/>
              <w:cnfStyle w:val="000000000000" w:firstRow="0" w:lastRow="0" w:firstColumn="0" w:lastColumn="0" w:oddVBand="0" w:evenVBand="0" w:oddHBand="0" w:evenHBand="0" w:firstRowFirstColumn="0" w:firstRowLastColumn="0" w:lastRowFirstColumn="0" w:lastRowLastColumn="0"/>
              <w:rPr>
                <w:rFonts w:cs="Cambria"/>
              </w:rPr>
            </w:pPr>
            <w:r w:rsidRPr="0FD58C16">
              <w:rPr>
                <w:rFonts w:cs="Cambria"/>
              </w:rPr>
              <w:t xml:space="preserve">TEZSPIRE is indicated in addition to inhaled maintenance therapy in adults with severe asthma who meet the following criteria: </w:t>
            </w:r>
          </w:p>
          <w:p w14:paraId="35B3A7FB" w14:textId="2A4F4D17" w:rsidR="008E7C35" w:rsidRPr="00D01DDB" w:rsidRDefault="67B9D1C6" w:rsidP="004314F1">
            <w:pPr>
              <w:spacing w:before="0" w:after="120" w:line="257" w:lineRule="auto"/>
              <w:cnfStyle w:val="000000000000" w:firstRow="0" w:lastRow="0" w:firstColumn="0" w:lastColumn="0" w:oddVBand="0" w:evenVBand="0" w:oddHBand="0" w:evenHBand="0" w:firstRowFirstColumn="0" w:firstRowLastColumn="0" w:lastRowFirstColumn="0" w:lastRowLastColumn="0"/>
              <w:rPr>
                <w:rFonts w:cs="Cambria"/>
                <w:szCs w:val="22"/>
              </w:rPr>
            </w:pPr>
            <w:r w:rsidRPr="1F1F31D3">
              <w:rPr>
                <w:rFonts w:cs="Cambria"/>
                <w:szCs w:val="22"/>
              </w:rPr>
              <w:t xml:space="preserve"> </w:t>
            </w:r>
          </w:p>
          <w:p w14:paraId="62DCEEAD" w14:textId="6D7D3C51" w:rsidR="008E7C35" w:rsidRPr="00D01DDB" w:rsidRDefault="67B9D1C6" w:rsidP="004314F1">
            <w:pPr>
              <w:spacing w:before="0" w:after="120" w:line="257" w:lineRule="auto"/>
              <w:cnfStyle w:val="000000000000" w:firstRow="0" w:lastRow="0" w:firstColumn="0" w:lastColumn="0" w:oddVBand="0" w:evenVBand="0" w:oddHBand="0" w:evenHBand="0" w:firstRowFirstColumn="0" w:firstRowLastColumn="0" w:lastRowFirstColumn="0" w:lastRowLastColumn="0"/>
              <w:rPr>
                <w:rFonts w:cs="Cambria"/>
                <w:szCs w:val="22"/>
              </w:rPr>
            </w:pPr>
            <w:r w:rsidRPr="1F1F31D3">
              <w:rPr>
                <w:rFonts w:cs="Cambria"/>
                <w:szCs w:val="22"/>
              </w:rPr>
              <w:t xml:space="preserve">• inadequate asthma control and at least one severe exacerbation in the past 12 months despite concomitant treatment with inhaled corticosteroids and long-acting bronchodilators. </w:t>
            </w:r>
          </w:p>
          <w:p w14:paraId="0B07562E" w14:textId="380E9D9A" w:rsidR="008E7C35" w:rsidRPr="00D01DDB" w:rsidRDefault="67B9D1C6" w:rsidP="004314F1">
            <w:pPr>
              <w:spacing w:before="0" w:after="120" w:line="257" w:lineRule="auto"/>
              <w:cnfStyle w:val="000000000000" w:firstRow="0" w:lastRow="0" w:firstColumn="0" w:lastColumn="0" w:oddVBand="0" w:evenVBand="0" w:oddHBand="0" w:evenHBand="0" w:firstRowFirstColumn="0" w:firstRowLastColumn="0" w:lastRowFirstColumn="0" w:lastRowLastColumn="0"/>
              <w:rPr>
                <w:rFonts w:cs="Cambria"/>
                <w:szCs w:val="22"/>
              </w:rPr>
            </w:pPr>
            <w:r w:rsidRPr="1F1F31D3">
              <w:rPr>
                <w:rFonts w:cs="Cambria"/>
                <w:szCs w:val="22"/>
              </w:rPr>
              <w:t xml:space="preserve"> </w:t>
            </w:r>
          </w:p>
          <w:p w14:paraId="5198B80E" w14:textId="3526A7AF" w:rsidR="008E7C35" w:rsidRPr="00D01DDB" w:rsidRDefault="67B9D1C6" w:rsidP="004314F1">
            <w:pPr>
              <w:spacing w:line="257" w:lineRule="auto"/>
              <w:cnfStyle w:val="000000000000" w:firstRow="0" w:lastRow="0" w:firstColumn="0" w:lastColumn="0" w:oddVBand="0" w:evenVBand="0" w:oddHBand="0" w:evenHBand="0" w:firstRowFirstColumn="0" w:firstRowLastColumn="0" w:lastRowFirstColumn="0" w:lastRowLastColumn="0"/>
              <w:rPr>
                <w:rFonts w:cs="Cambria"/>
                <w:szCs w:val="22"/>
              </w:rPr>
            </w:pPr>
            <w:r w:rsidRPr="1F1F31D3">
              <w:rPr>
                <w:rFonts w:cs="Cambria"/>
                <w:szCs w:val="22"/>
              </w:rPr>
              <w:t xml:space="preserve">• systemic corticosteroids are not used as long-term therapy for asthma control. </w:t>
            </w:r>
          </w:p>
          <w:p w14:paraId="66B15160" w14:textId="6B02F973" w:rsidR="008E7C35" w:rsidRPr="00D01DDB" w:rsidRDefault="008E7C35" w:rsidP="004314F1">
            <w:pPr>
              <w:spacing w:before="0" w:after="0"/>
              <w:cnfStyle w:val="000000000000" w:firstRow="0" w:lastRow="0" w:firstColumn="0" w:lastColumn="0" w:oddVBand="0" w:evenVBand="0" w:oddHBand="0" w:evenHBand="0" w:firstRowFirstColumn="0" w:firstRowLastColumn="0" w:lastRowFirstColumn="0" w:lastRowLastColumn="0"/>
            </w:pPr>
          </w:p>
          <w:p w14:paraId="567940EC" w14:textId="5E579099" w:rsidR="008E7C35" w:rsidRPr="00D01DDB" w:rsidRDefault="008E7C35">
            <w:pPr>
              <w:cnfStyle w:val="000000000000" w:firstRow="0" w:lastRow="0" w:firstColumn="0" w:lastColumn="0" w:oddVBand="0" w:evenVBand="0" w:oddHBand="0" w:evenHBand="0" w:firstRowFirstColumn="0" w:firstRowLastColumn="0" w:lastRowFirstColumn="0" w:lastRowLastColumn="0"/>
            </w:pPr>
          </w:p>
        </w:tc>
      </w:tr>
      <w:tr w:rsidR="00DD2C5E" w:rsidRPr="00D01DDB" w14:paraId="278F66CE" w14:textId="77777777" w:rsidTr="0FD58C16">
        <w:tc>
          <w:tcPr>
            <w:cnfStyle w:val="001000000000" w:firstRow="0" w:lastRow="0" w:firstColumn="1" w:lastColumn="0" w:oddVBand="0" w:evenVBand="0" w:oddHBand="0" w:evenHBand="0" w:firstRowFirstColumn="0" w:firstRowLastColumn="0" w:lastRowFirstColumn="0" w:lastRowLastColumn="0"/>
            <w:tcW w:w="1014" w:type="pct"/>
            <w:vMerge/>
          </w:tcPr>
          <w:p w14:paraId="5182A330" w14:textId="77777777" w:rsidR="008E7C35" w:rsidRPr="00D01DDB" w:rsidRDefault="008E7C35">
            <w:pPr>
              <w:rPr>
                <w:szCs w:val="22"/>
              </w:rPr>
            </w:pPr>
          </w:p>
        </w:tc>
        <w:tc>
          <w:tcPr>
            <w:tcW w:w="1018" w:type="pct"/>
          </w:tcPr>
          <w:p w14:paraId="1BBB50F7" w14:textId="65D99CF3" w:rsidR="008E7C35" w:rsidRPr="00D01DDB" w:rsidRDefault="006922CF">
            <w:pPr>
              <w:cnfStyle w:val="000000000000" w:firstRow="0" w:lastRow="0" w:firstColumn="0" w:lastColumn="0" w:oddVBand="0" w:evenVBand="0" w:oddHBand="0" w:evenHBand="0" w:firstRowFirstColumn="0" w:firstRowLastColumn="0" w:lastRowFirstColumn="0" w:lastRowLastColumn="0"/>
              <w:rPr>
                <w:szCs w:val="22"/>
              </w:rPr>
            </w:pPr>
            <w:r>
              <w:rPr>
                <w:szCs w:val="22"/>
              </w:rPr>
              <w:t>August</w:t>
            </w:r>
            <w:r w:rsidR="008E7C35">
              <w:rPr>
                <w:szCs w:val="22"/>
              </w:rPr>
              <w:t xml:space="preserve"> 2022, for </w:t>
            </w:r>
            <w:r w:rsidR="00EE7418">
              <w:rPr>
                <w:szCs w:val="22"/>
              </w:rPr>
              <w:t>autoinjector</w:t>
            </w:r>
          </w:p>
        </w:tc>
        <w:tc>
          <w:tcPr>
            <w:tcW w:w="1173" w:type="pct"/>
          </w:tcPr>
          <w:p w14:paraId="7C1DD61D" w14:textId="0A8CC845" w:rsidR="008E7C35" w:rsidRPr="00D01DDB" w:rsidRDefault="008E7C3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3B05F0">
              <w:rPr>
                <w:szCs w:val="22"/>
              </w:rPr>
              <w:t>23 August</w:t>
            </w:r>
            <w:r>
              <w:rPr>
                <w:szCs w:val="22"/>
              </w:rPr>
              <w:t xml:space="preserve"> 2023</w:t>
            </w:r>
          </w:p>
        </w:tc>
        <w:tc>
          <w:tcPr>
            <w:tcW w:w="1795" w:type="pct"/>
            <w:vMerge/>
          </w:tcPr>
          <w:p w14:paraId="1FAC1431" w14:textId="77777777" w:rsidR="008E7C35" w:rsidRPr="00D01DDB" w:rsidRDefault="008E7C35">
            <w:pPr>
              <w:cnfStyle w:val="000000000000" w:firstRow="0" w:lastRow="0" w:firstColumn="0" w:lastColumn="0" w:oddVBand="0" w:evenVBand="0" w:oddHBand="0" w:evenHBand="0" w:firstRowFirstColumn="0" w:firstRowLastColumn="0" w:lastRowFirstColumn="0" w:lastRowLastColumn="0"/>
              <w:rPr>
                <w:szCs w:val="22"/>
              </w:rPr>
            </w:pPr>
          </w:p>
        </w:tc>
      </w:tr>
      <w:tr w:rsidR="008E7C35" w:rsidRPr="00D01DDB" w14:paraId="68066F02" w14:textId="77777777" w:rsidTr="0FD58C16">
        <w:tc>
          <w:tcPr>
            <w:cnfStyle w:val="001000000000" w:firstRow="0" w:lastRow="0" w:firstColumn="1" w:lastColumn="0" w:oddVBand="0" w:evenVBand="0" w:oddHBand="0" w:evenHBand="0" w:firstRowFirstColumn="0" w:firstRowLastColumn="0" w:lastRowFirstColumn="0" w:lastRowLastColumn="0"/>
            <w:tcW w:w="1014" w:type="pct"/>
          </w:tcPr>
          <w:p w14:paraId="6E730C11" w14:textId="287099E9" w:rsidR="00E84204" w:rsidRPr="00D01DDB" w:rsidRDefault="003B05F0" w:rsidP="00E84204">
            <w:pPr>
              <w:rPr>
                <w:szCs w:val="22"/>
              </w:rPr>
            </w:pPr>
            <w:r>
              <w:rPr>
                <w:szCs w:val="22"/>
              </w:rPr>
              <w:lastRenderedPageBreak/>
              <w:t>Canada</w:t>
            </w:r>
          </w:p>
        </w:tc>
        <w:tc>
          <w:tcPr>
            <w:tcW w:w="1018" w:type="pct"/>
          </w:tcPr>
          <w:p w14:paraId="4EA2DBB7" w14:textId="79E0F6D8" w:rsidR="00E84204" w:rsidRPr="00D01DDB" w:rsidRDefault="003B05F0" w:rsidP="00E84204">
            <w:pPr>
              <w:cnfStyle w:val="000000000000" w:firstRow="0" w:lastRow="0" w:firstColumn="0" w:lastColumn="0" w:oddVBand="0" w:evenVBand="0" w:oddHBand="0" w:evenHBand="0" w:firstRowFirstColumn="0" w:firstRowLastColumn="0" w:lastRowFirstColumn="0" w:lastRowLastColumn="0"/>
              <w:rPr>
                <w:szCs w:val="22"/>
              </w:rPr>
            </w:pPr>
            <w:r>
              <w:rPr>
                <w:szCs w:val="22"/>
              </w:rPr>
              <w:t>August 2021</w:t>
            </w:r>
            <w:r w:rsidR="001E6780">
              <w:rPr>
                <w:szCs w:val="22"/>
              </w:rPr>
              <w:t xml:space="preserve">, for </w:t>
            </w:r>
            <w:proofErr w:type="spellStart"/>
            <w:r w:rsidR="001E6780">
              <w:rPr>
                <w:szCs w:val="22"/>
              </w:rPr>
              <w:t>aPFS</w:t>
            </w:r>
            <w:proofErr w:type="spellEnd"/>
            <w:r w:rsidR="001E6780">
              <w:rPr>
                <w:szCs w:val="22"/>
              </w:rPr>
              <w:t xml:space="preserve"> and </w:t>
            </w:r>
            <w:r w:rsidR="00EE7418">
              <w:rPr>
                <w:szCs w:val="22"/>
              </w:rPr>
              <w:t>autoinjector</w:t>
            </w:r>
          </w:p>
        </w:tc>
        <w:tc>
          <w:tcPr>
            <w:tcW w:w="1173" w:type="pct"/>
          </w:tcPr>
          <w:p w14:paraId="58D3D8EA" w14:textId="73114D98" w:rsidR="00E84204" w:rsidRPr="00D01DDB" w:rsidRDefault="001E6780" w:rsidP="00E84204">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28 July 2022</w:t>
            </w:r>
          </w:p>
        </w:tc>
        <w:tc>
          <w:tcPr>
            <w:tcW w:w="1795" w:type="pct"/>
          </w:tcPr>
          <w:p w14:paraId="7522DBB3" w14:textId="69DB6C84" w:rsidR="001F117F" w:rsidRPr="001F117F" w:rsidRDefault="001F117F" w:rsidP="001F117F">
            <w:pPr>
              <w:cnfStyle w:val="000000000000" w:firstRow="0" w:lastRow="0" w:firstColumn="0" w:lastColumn="0" w:oddVBand="0" w:evenVBand="0" w:oddHBand="0" w:evenHBand="0" w:firstRowFirstColumn="0" w:firstRowLastColumn="0" w:lastRowFirstColumn="0" w:lastRowLastColumn="0"/>
              <w:rPr>
                <w:szCs w:val="22"/>
              </w:rPr>
            </w:pPr>
            <w:r w:rsidRPr="001F117F">
              <w:rPr>
                <w:szCs w:val="22"/>
              </w:rPr>
              <w:t>TEZSPIRE (</w:t>
            </w:r>
            <w:proofErr w:type="spellStart"/>
            <w:r w:rsidRPr="001F117F">
              <w:rPr>
                <w:szCs w:val="22"/>
              </w:rPr>
              <w:t>tezepelumab</w:t>
            </w:r>
            <w:proofErr w:type="spellEnd"/>
            <w:r w:rsidRPr="001F117F">
              <w:rPr>
                <w:szCs w:val="22"/>
              </w:rPr>
              <w:t xml:space="preserve"> injection) is indicated as an add-on maintenance treatment in adults and adolescents 12 years and older with severe asthma.</w:t>
            </w:r>
          </w:p>
          <w:p w14:paraId="52357641" w14:textId="2599A2CF" w:rsidR="00E84204" w:rsidRPr="00D01DDB" w:rsidRDefault="001F117F" w:rsidP="001F117F">
            <w:pPr>
              <w:cnfStyle w:val="000000000000" w:firstRow="0" w:lastRow="0" w:firstColumn="0" w:lastColumn="0" w:oddVBand="0" w:evenVBand="0" w:oddHBand="0" w:evenHBand="0" w:firstRowFirstColumn="0" w:firstRowLastColumn="0" w:lastRowFirstColumn="0" w:lastRowLastColumn="0"/>
              <w:rPr>
                <w:szCs w:val="22"/>
              </w:rPr>
            </w:pPr>
            <w:r w:rsidRPr="001F117F">
              <w:rPr>
                <w:b/>
                <w:bCs/>
                <w:szCs w:val="22"/>
              </w:rPr>
              <w:t>TEZSPIRE is not indicated for relief of acute bronchospasm or status asthmaticus (see WARNINGS AND PRECAUTIONS).</w:t>
            </w:r>
          </w:p>
        </w:tc>
      </w:tr>
      <w:tr w:rsidR="008E7C35" w:rsidRPr="00D01DDB" w14:paraId="60156771" w14:textId="77777777" w:rsidTr="0FD58C16">
        <w:tc>
          <w:tcPr>
            <w:cnfStyle w:val="001000000000" w:firstRow="0" w:lastRow="0" w:firstColumn="1" w:lastColumn="0" w:oddVBand="0" w:evenVBand="0" w:oddHBand="0" w:evenHBand="0" w:firstRowFirstColumn="0" w:firstRowLastColumn="0" w:lastRowFirstColumn="0" w:lastRowLastColumn="0"/>
            <w:tcW w:w="1014" w:type="pct"/>
          </w:tcPr>
          <w:p w14:paraId="59DD7FEF" w14:textId="5B9C8F48" w:rsidR="00E84204" w:rsidRPr="00D01DDB" w:rsidRDefault="001E6780" w:rsidP="00E84204">
            <w:pPr>
              <w:rPr>
                <w:szCs w:val="22"/>
              </w:rPr>
            </w:pPr>
            <w:r>
              <w:rPr>
                <w:szCs w:val="22"/>
              </w:rPr>
              <w:t>Singapore</w:t>
            </w:r>
          </w:p>
        </w:tc>
        <w:tc>
          <w:tcPr>
            <w:tcW w:w="1018" w:type="pct"/>
          </w:tcPr>
          <w:p w14:paraId="2181D65B" w14:textId="5002A4A6" w:rsidR="00E84204" w:rsidRPr="00D01DDB" w:rsidRDefault="00C24A49" w:rsidP="00E84204">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14 September 2021, for </w:t>
            </w:r>
            <w:proofErr w:type="spellStart"/>
            <w:r>
              <w:rPr>
                <w:szCs w:val="22"/>
              </w:rPr>
              <w:t>aPFS</w:t>
            </w:r>
            <w:proofErr w:type="spellEnd"/>
            <w:r>
              <w:rPr>
                <w:szCs w:val="22"/>
              </w:rPr>
              <w:t xml:space="preserve"> and </w:t>
            </w:r>
            <w:r w:rsidR="00EE7418">
              <w:rPr>
                <w:szCs w:val="22"/>
              </w:rPr>
              <w:t>autoinjector</w:t>
            </w:r>
          </w:p>
        </w:tc>
        <w:tc>
          <w:tcPr>
            <w:tcW w:w="1173" w:type="pct"/>
          </w:tcPr>
          <w:p w14:paraId="0D09356E" w14:textId="45E998AB" w:rsidR="00E84204" w:rsidRPr="00D01DDB" w:rsidRDefault="00DD2C5E" w:rsidP="00E84204">
            <w:pPr>
              <w:cnfStyle w:val="000000000000" w:firstRow="0" w:lastRow="0" w:firstColumn="0" w:lastColumn="0" w:oddVBand="0" w:evenVBand="0" w:oddHBand="0" w:evenHBand="0" w:firstRowFirstColumn="0" w:firstRowLastColumn="0" w:lastRowFirstColumn="0" w:lastRowLastColumn="0"/>
              <w:rPr>
                <w:szCs w:val="22"/>
              </w:rPr>
            </w:pPr>
            <w:r>
              <w:rPr>
                <w:szCs w:val="22"/>
              </w:rPr>
              <w:t>Approved 4 July 2023</w:t>
            </w:r>
          </w:p>
        </w:tc>
        <w:tc>
          <w:tcPr>
            <w:tcW w:w="1795" w:type="pct"/>
          </w:tcPr>
          <w:p w14:paraId="355384AB" w14:textId="0AF661FB" w:rsidR="00E84204" w:rsidRPr="00D01DDB" w:rsidRDefault="00122AA0" w:rsidP="00E84204">
            <w:pPr>
              <w:cnfStyle w:val="000000000000" w:firstRow="0" w:lastRow="0" w:firstColumn="0" w:lastColumn="0" w:oddVBand="0" w:evenVBand="0" w:oddHBand="0" w:evenHBand="0" w:firstRowFirstColumn="0" w:firstRowLastColumn="0" w:lastRowFirstColumn="0" w:lastRowLastColumn="0"/>
            </w:pPr>
            <w:r>
              <w:t>Tezspire is indicated as an add-on maintenance treatment in adults and adolescents 12 years and older with severe asthma who are inadequately controlled despite medium or high dose inhaled corticosteroids plus another medicinal product for maintenance treatment.</w:t>
            </w:r>
          </w:p>
        </w:tc>
      </w:tr>
      <w:tr w:rsidR="00DD2C5E" w:rsidRPr="00D01DDB" w14:paraId="042A92C4" w14:textId="77777777" w:rsidTr="0FD58C16">
        <w:tc>
          <w:tcPr>
            <w:cnfStyle w:val="001000000000" w:firstRow="0" w:lastRow="0" w:firstColumn="1" w:lastColumn="0" w:oddVBand="0" w:evenVBand="0" w:oddHBand="0" w:evenHBand="0" w:firstRowFirstColumn="0" w:firstRowLastColumn="0" w:lastRowFirstColumn="0" w:lastRowLastColumn="0"/>
            <w:tcW w:w="1014" w:type="pct"/>
            <w:vMerge w:val="restart"/>
          </w:tcPr>
          <w:p w14:paraId="01D2DCB7" w14:textId="52286065" w:rsidR="00DD2C5E" w:rsidRPr="00D01DDB" w:rsidRDefault="00DD2C5E">
            <w:pPr>
              <w:rPr>
                <w:szCs w:val="22"/>
              </w:rPr>
            </w:pPr>
            <w:r>
              <w:rPr>
                <w:szCs w:val="22"/>
              </w:rPr>
              <w:t>United Kingdom</w:t>
            </w:r>
          </w:p>
        </w:tc>
        <w:tc>
          <w:tcPr>
            <w:tcW w:w="1018" w:type="pct"/>
          </w:tcPr>
          <w:p w14:paraId="1169F867" w14:textId="1F1A15A2" w:rsidR="00DD2C5E" w:rsidRPr="00D01DDB" w:rsidRDefault="00DD2C5E">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July 2022, for </w:t>
            </w:r>
            <w:proofErr w:type="spellStart"/>
            <w:r>
              <w:rPr>
                <w:szCs w:val="22"/>
              </w:rPr>
              <w:t>aPFS</w:t>
            </w:r>
            <w:proofErr w:type="spellEnd"/>
          </w:p>
        </w:tc>
        <w:tc>
          <w:tcPr>
            <w:tcW w:w="1173" w:type="pct"/>
          </w:tcPr>
          <w:p w14:paraId="296B496F" w14:textId="4B5676AF" w:rsidR="00DD2C5E" w:rsidRPr="00D01DDB" w:rsidRDefault="00DD2C5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4027D0">
              <w:rPr>
                <w:szCs w:val="22"/>
              </w:rPr>
              <w:t>23 September 2022</w:t>
            </w:r>
          </w:p>
        </w:tc>
        <w:tc>
          <w:tcPr>
            <w:tcW w:w="1795" w:type="pct"/>
            <w:vMerge w:val="restart"/>
          </w:tcPr>
          <w:p w14:paraId="13ECF2C8" w14:textId="1F7AAD1F" w:rsidR="00DD2C5E" w:rsidRPr="00D01DDB" w:rsidRDefault="003A0324" w:rsidP="1F1F31D3">
            <w:pPr>
              <w:cnfStyle w:val="000000000000" w:firstRow="0" w:lastRow="0" w:firstColumn="0" w:lastColumn="0" w:oddVBand="0" w:evenVBand="0" w:oddHBand="0" w:evenHBand="0" w:firstRowFirstColumn="0" w:firstRowLastColumn="0" w:lastRowFirstColumn="0" w:lastRowLastColumn="0"/>
            </w:pPr>
            <w:r>
              <w:t>Tezspire is indicated as an add-on maintenance treatment in adults and adolescents 12 years and older with severe asthma who are inadequately controlled despite high dose inhaled corticosteroids plus another medicinal product for maintenance treatment.</w:t>
            </w:r>
          </w:p>
        </w:tc>
      </w:tr>
      <w:tr w:rsidR="00DD2C5E" w:rsidRPr="00D01DDB" w14:paraId="722C27D7" w14:textId="77777777" w:rsidTr="0FD58C16">
        <w:tc>
          <w:tcPr>
            <w:cnfStyle w:val="001000000000" w:firstRow="0" w:lastRow="0" w:firstColumn="1" w:lastColumn="0" w:oddVBand="0" w:evenVBand="0" w:oddHBand="0" w:evenHBand="0" w:firstRowFirstColumn="0" w:firstRowLastColumn="0" w:lastRowFirstColumn="0" w:lastRowLastColumn="0"/>
            <w:tcW w:w="1014" w:type="pct"/>
            <w:vMerge/>
          </w:tcPr>
          <w:p w14:paraId="704D0DD7" w14:textId="77777777" w:rsidR="00DD2C5E" w:rsidRPr="00D01DDB" w:rsidRDefault="00DD2C5E">
            <w:pPr>
              <w:rPr>
                <w:szCs w:val="22"/>
              </w:rPr>
            </w:pPr>
          </w:p>
        </w:tc>
        <w:tc>
          <w:tcPr>
            <w:tcW w:w="1018" w:type="pct"/>
          </w:tcPr>
          <w:p w14:paraId="5718EA7D" w14:textId="0E6DB8D9" w:rsidR="00DD2C5E" w:rsidRPr="00D01DDB" w:rsidRDefault="00DD2C5E">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004027D0">
              <w:rPr>
                <w:szCs w:val="22"/>
              </w:rPr>
              <w:t>pril 2023</w:t>
            </w:r>
            <w:r>
              <w:rPr>
                <w:szCs w:val="22"/>
              </w:rPr>
              <w:t xml:space="preserve">, for </w:t>
            </w:r>
            <w:r w:rsidR="00EE7418">
              <w:rPr>
                <w:szCs w:val="22"/>
              </w:rPr>
              <w:t>autoinjector</w:t>
            </w:r>
          </w:p>
        </w:tc>
        <w:tc>
          <w:tcPr>
            <w:tcW w:w="1173" w:type="pct"/>
          </w:tcPr>
          <w:p w14:paraId="71E8A123" w14:textId="4AA51FE0" w:rsidR="00DD2C5E" w:rsidRPr="00D01DDB" w:rsidRDefault="00DD2C5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C40B80">
              <w:rPr>
                <w:szCs w:val="22"/>
              </w:rPr>
              <w:t>9 June</w:t>
            </w:r>
            <w:r>
              <w:rPr>
                <w:szCs w:val="22"/>
              </w:rPr>
              <w:t xml:space="preserve"> 2023</w:t>
            </w:r>
          </w:p>
        </w:tc>
        <w:tc>
          <w:tcPr>
            <w:tcW w:w="1795" w:type="pct"/>
            <w:vMerge/>
          </w:tcPr>
          <w:p w14:paraId="047AB2DB" w14:textId="77777777" w:rsidR="00DD2C5E" w:rsidRPr="00D01DDB" w:rsidRDefault="00DD2C5E">
            <w:pPr>
              <w:cnfStyle w:val="000000000000" w:firstRow="0" w:lastRow="0" w:firstColumn="0" w:lastColumn="0" w:oddVBand="0" w:evenVBand="0" w:oddHBand="0" w:evenHBand="0" w:firstRowFirstColumn="0" w:firstRowLastColumn="0" w:lastRowFirstColumn="0" w:lastRowLastColumn="0"/>
              <w:rPr>
                <w:szCs w:val="22"/>
              </w:rPr>
            </w:pPr>
          </w:p>
        </w:tc>
      </w:tr>
      <w:tr w:rsidR="00C40B80" w:rsidRPr="00D01DDB" w14:paraId="253B096A" w14:textId="77777777" w:rsidTr="0FD58C16">
        <w:tc>
          <w:tcPr>
            <w:cnfStyle w:val="001000000000" w:firstRow="0" w:lastRow="0" w:firstColumn="1" w:lastColumn="0" w:oddVBand="0" w:evenVBand="0" w:oddHBand="0" w:evenHBand="0" w:firstRowFirstColumn="0" w:firstRowLastColumn="0" w:lastRowFirstColumn="0" w:lastRowLastColumn="0"/>
            <w:tcW w:w="1014" w:type="pct"/>
          </w:tcPr>
          <w:p w14:paraId="54C3EA2B" w14:textId="38E1DB24" w:rsidR="00C40B80" w:rsidRPr="00D01DDB" w:rsidRDefault="00C40B80">
            <w:pPr>
              <w:rPr>
                <w:szCs w:val="22"/>
              </w:rPr>
            </w:pPr>
            <w:r>
              <w:rPr>
                <w:szCs w:val="22"/>
              </w:rPr>
              <w:t>New Zealand</w:t>
            </w:r>
          </w:p>
        </w:tc>
        <w:tc>
          <w:tcPr>
            <w:tcW w:w="1018" w:type="pct"/>
          </w:tcPr>
          <w:p w14:paraId="7AFB5759" w14:textId="0B2D1717" w:rsidR="00C40B80" w:rsidRDefault="008B6D56">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April 2023, for </w:t>
            </w:r>
            <w:proofErr w:type="spellStart"/>
            <w:r>
              <w:rPr>
                <w:szCs w:val="22"/>
              </w:rPr>
              <w:t>aPFS</w:t>
            </w:r>
            <w:proofErr w:type="spellEnd"/>
            <w:r>
              <w:rPr>
                <w:szCs w:val="22"/>
              </w:rPr>
              <w:t xml:space="preserve"> and </w:t>
            </w:r>
            <w:r w:rsidR="00EE7418">
              <w:rPr>
                <w:szCs w:val="22"/>
              </w:rPr>
              <w:t>autoinjector</w:t>
            </w:r>
          </w:p>
        </w:tc>
        <w:tc>
          <w:tcPr>
            <w:tcW w:w="1173" w:type="pct"/>
          </w:tcPr>
          <w:p w14:paraId="1752E879" w14:textId="081032AD" w:rsidR="00C40B80" w:rsidRPr="00D01DDB" w:rsidRDefault="008B6D56">
            <w:pPr>
              <w:cnfStyle w:val="000000000000" w:firstRow="0" w:lastRow="0" w:firstColumn="0" w:lastColumn="0" w:oddVBand="0" w:evenVBand="0" w:oddHBand="0" w:evenHBand="0" w:firstRowFirstColumn="0" w:firstRowLastColumn="0" w:lastRowFirstColumn="0" w:lastRowLastColumn="0"/>
              <w:rPr>
                <w:szCs w:val="22"/>
              </w:rPr>
            </w:pPr>
            <w:r>
              <w:rPr>
                <w:szCs w:val="22"/>
              </w:rPr>
              <w:t>Approved 16 May 2024</w:t>
            </w:r>
          </w:p>
        </w:tc>
        <w:tc>
          <w:tcPr>
            <w:tcW w:w="1795" w:type="pct"/>
          </w:tcPr>
          <w:p w14:paraId="62AD163D" w14:textId="294C9451" w:rsidR="00C40B80" w:rsidRPr="00D01DDB" w:rsidRDefault="00574E84" w:rsidP="1F1F31D3">
            <w:pPr>
              <w:cnfStyle w:val="000000000000" w:firstRow="0" w:lastRow="0" w:firstColumn="0" w:lastColumn="0" w:oddVBand="0" w:evenVBand="0" w:oddHBand="0" w:evenHBand="0" w:firstRowFirstColumn="0" w:firstRowLastColumn="0" w:lastRowFirstColumn="0" w:lastRowLastColumn="0"/>
            </w:pPr>
            <w:r>
              <w:t>TEZSPIRE is indicated as an add-on maintenance treatment in adults and adolescents 12 years and older with severe asthma who are inadequately controlled despite high dose inhaled corticosteroids plus another medicinal product for maintenance treatment.</w:t>
            </w:r>
          </w:p>
        </w:tc>
      </w:tr>
    </w:tbl>
    <w:p w14:paraId="6D92589C" w14:textId="410ED9FA" w:rsidR="00324B33" w:rsidRDefault="00324B33" w:rsidP="005657B1">
      <w:pPr>
        <w:pStyle w:val="Heading2"/>
        <w:pageBreakBefore/>
      </w:pPr>
      <w:bookmarkStart w:id="33" w:name="_Toc504480011"/>
      <w:bookmarkStart w:id="34" w:name="_Toc103679293"/>
      <w:bookmarkStart w:id="35" w:name="_Toc230164558"/>
      <w:r>
        <w:lastRenderedPageBreak/>
        <w:t>Registration timeline</w:t>
      </w:r>
      <w:bookmarkEnd w:id="33"/>
      <w:bookmarkEnd w:id="34"/>
      <w:bookmarkEnd w:id="35"/>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6" w:history="1">
        <w:r w:rsidRPr="00BD5DBD">
          <w:rPr>
            <w:rStyle w:val="Hyperlink"/>
            <w:szCs w:val="22"/>
          </w:rPr>
          <w:t>standard prescription medicines registration process</w:t>
        </w:r>
      </w:hyperlink>
      <w:r w:rsidRPr="00BD5DBD">
        <w:rPr>
          <w:szCs w:val="22"/>
        </w:rPr>
        <w:t>.</w:t>
      </w:r>
    </w:p>
    <w:p w14:paraId="44628C5F" w14:textId="045B711F"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5657B1">
        <w:rPr>
          <w:noProof/>
        </w:rPr>
        <w:t>4</w:t>
      </w:r>
      <w:r w:rsidR="007F1E37">
        <w:fldChar w:fldCharType="end"/>
      </w:r>
      <w:r w:rsidRPr="002C1232">
        <w:t>: Timeline for Submission PM-202</w:t>
      </w:r>
      <w:r w:rsidR="00A944AC">
        <w:t>3</w:t>
      </w:r>
      <w:r w:rsidRPr="002C1232">
        <w:t>-</w:t>
      </w:r>
      <w:r w:rsidR="008D5835">
        <w:t>05365-1</w:t>
      </w:r>
      <w:r w:rsidR="007529CA">
        <w:t>-5</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1F1F3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1F1F31D3">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09E85947" w:rsidR="00324B33" w:rsidRPr="00D01DDB" w:rsidRDefault="0083111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November 2023</w:t>
            </w:r>
          </w:p>
        </w:tc>
      </w:tr>
      <w:tr w:rsidR="00803926" w:rsidRPr="00D01DDB" w14:paraId="16D13F79" w14:textId="77777777" w:rsidTr="1F1F31D3">
        <w:tc>
          <w:tcPr>
            <w:cnfStyle w:val="001000000000" w:firstRow="0" w:lastRow="0" w:firstColumn="1" w:lastColumn="0" w:oddVBand="0" w:evenVBand="0" w:oddHBand="0" w:evenHBand="0" w:firstRowFirstColumn="0" w:firstRowLastColumn="0" w:lastRowFirstColumn="0" w:lastRowLastColumn="0"/>
            <w:tcW w:w="5665" w:type="dxa"/>
          </w:tcPr>
          <w:p w14:paraId="6858B45A" w14:textId="615A218B" w:rsidR="00803926" w:rsidRPr="00E679D1" w:rsidDel="00C62B1C" w:rsidRDefault="00803926" w:rsidP="00E679D1">
            <w:r>
              <w:t>Evaluation completed</w:t>
            </w:r>
            <w:r w:rsidR="005775D0">
              <w:t xml:space="preserve"> (End of round </w:t>
            </w:r>
            <w:r w:rsidR="00C00844">
              <w:t>2)</w:t>
            </w:r>
          </w:p>
        </w:tc>
        <w:tc>
          <w:tcPr>
            <w:tcW w:w="2977" w:type="dxa"/>
          </w:tcPr>
          <w:p w14:paraId="2E0BD403" w14:textId="09EC867D" w:rsidR="00803926" w:rsidRPr="00D01DDB" w:rsidRDefault="0083111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August 2024</w:t>
            </w:r>
          </w:p>
        </w:tc>
      </w:tr>
      <w:tr w:rsidR="00324B33" w:rsidRPr="00D01DDB" w14:paraId="5754F7AC" w14:textId="77777777" w:rsidTr="1F1F31D3">
        <w:tc>
          <w:tcPr>
            <w:cnfStyle w:val="001000000000" w:firstRow="0" w:lastRow="0" w:firstColumn="1" w:lastColumn="0" w:oddVBand="0" w:evenVBand="0" w:oddHBand="0" w:evenHBand="0" w:firstRowFirstColumn="0" w:firstRowLastColumn="0" w:lastRowFirstColumn="0" w:lastRowLastColumn="0"/>
            <w:tcW w:w="5665" w:type="dxa"/>
          </w:tcPr>
          <w:p w14:paraId="789DE187" w14:textId="26BAA1F1" w:rsidR="00324B33" w:rsidRPr="00E679D1" w:rsidRDefault="00324B33" w:rsidP="00E679D1">
            <w:r w:rsidRPr="00E679D1">
              <w:t xml:space="preserve">Advisory </w:t>
            </w:r>
            <w:r w:rsidR="00F8568E">
              <w:t>c</w:t>
            </w:r>
            <w:r w:rsidRPr="00E679D1">
              <w:t>ommittee meeting</w:t>
            </w:r>
          </w:p>
        </w:tc>
        <w:tc>
          <w:tcPr>
            <w:tcW w:w="2977" w:type="dxa"/>
          </w:tcPr>
          <w:p w14:paraId="5BE1EDE7" w14:textId="5CC1E19E" w:rsidR="00324B33" w:rsidRPr="00D01DDB" w:rsidRDefault="00AD0AC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5 and 6 </w:t>
            </w:r>
            <w:r w:rsidR="00A63298">
              <w:rPr>
                <w:szCs w:val="22"/>
              </w:rPr>
              <w:t>December 2024</w:t>
            </w:r>
          </w:p>
        </w:tc>
      </w:tr>
      <w:tr w:rsidR="00324B33" w:rsidRPr="00D01DDB" w14:paraId="6E5D32FE" w14:textId="77777777" w:rsidTr="1F1F31D3">
        <w:tc>
          <w:tcPr>
            <w:cnfStyle w:val="001000000000" w:firstRow="0" w:lastRow="0" w:firstColumn="1" w:lastColumn="0" w:oddVBand="0" w:evenVBand="0" w:oddHBand="0" w:evenHBand="0" w:firstRowFirstColumn="0" w:firstRowLastColumn="0" w:lastRowFirstColumn="0" w:lastRowLastColumn="0"/>
            <w:tcW w:w="5665" w:type="dxa"/>
          </w:tcPr>
          <w:p w14:paraId="4E95C44C" w14:textId="46459AA4" w:rsidR="0083111B" w:rsidRPr="0083111B" w:rsidRDefault="00324B33" w:rsidP="005657B1">
            <w:r w:rsidRPr="00E679D1">
              <w:t>Registration decision (Outcome)</w:t>
            </w:r>
          </w:p>
        </w:tc>
        <w:tc>
          <w:tcPr>
            <w:tcW w:w="2977" w:type="dxa"/>
          </w:tcPr>
          <w:p w14:paraId="62987ABD" w14:textId="409D1F50" w:rsidR="00324B33" w:rsidRPr="00D01DDB" w:rsidRDefault="00C504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March 2025</w:t>
            </w:r>
          </w:p>
        </w:tc>
      </w:tr>
      <w:tr w:rsidR="00324B33" w:rsidRPr="00C50436" w14:paraId="6DDCDDA4" w14:textId="77777777" w:rsidTr="1F1F31D3">
        <w:tc>
          <w:tcPr>
            <w:cnfStyle w:val="001000000000" w:firstRow="0" w:lastRow="0" w:firstColumn="1" w:lastColumn="0" w:oddVBand="0" w:evenVBand="0" w:oddHBand="0" w:evenHBand="0" w:firstRowFirstColumn="0" w:firstRowLastColumn="0" w:lastRowFirstColumn="0" w:lastRowLastColumn="0"/>
            <w:tcW w:w="5665" w:type="dxa"/>
          </w:tcPr>
          <w:p w14:paraId="38CB5D67" w14:textId="77777777" w:rsidR="00324B33" w:rsidRDefault="00C00844" w:rsidP="00C50436">
            <w:r>
              <w:t>R</w:t>
            </w:r>
            <w:r w:rsidR="0013132F" w:rsidRPr="00E679D1">
              <w:t xml:space="preserve">egistration </w:t>
            </w:r>
            <w:r w:rsidR="005C4B46" w:rsidRPr="00E679D1">
              <w:t xml:space="preserve">in </w:t>
            </w:r>
            <w:r w:rsidR="0013132F" w:rsidRPr="00E679D1">
              <w:t>the ARTG completed</w:t>
            </w:r>
          </w:p>
          <w:p w14:paraId="192FD19D" w14:textId="4508AAB6" w:rsidR="0083111B" w:rsidRPr="0083111B" w:rsidRDefault="0083111B" w:rsidP="0083111B"/>
        </w:tc>
        <w:tc>
          <w:tcPr>
            <w:tcW w:w="2977" w:type="dxa"/>
          </w:tcPr>
          <w:p w14:paraId="5A8923FD" w14:textId="28BA4AD0" w:rsidR="00324B33" w:rsidRPr="00C50436" w:rsidRDefault="00C50436" w:rsidP="00324B33">
            <w:pPr>
              <w:cnfStyle w:val="000000000000" w:firstRow="0" w:lastRow="0" w:firstColumn="0" w:lastColumn="0" w:oddVBand="0" w:evenVBand="0" w:oddHBand="0" w:evenHBand="0" w:firstRowFirstColumn="0" w:firstRowLastColumn="0" w:lastRowFirstColumn="0" w:lastRowLastColumn="0"/>
            </w:pPr>
            <w:r>
              <w:t>24 March 2025</w:t>
            </w:r>
          </w:p>
        </w:tc>
      </w:tr>
      <w:tr w:rsidR="00324B33" w:rsidRPr="00D01DDB" w14:paraId="56D922E2" w14:textId="77777777" w:rsidTr="1F1F31D3">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t>Number of working days from submission dossier acceptance to registration decision*</w:t>
            </w:r>
          </w:p>
        </w:tc>
        <w:tc>
          <w:tcPr>
            <w:tcW w:w="2977" w:type="dxa"/>
          </w:tcPr>
          <w:p w14:paraId="5BAF9FA1" w14:textId="1F37B661" w:rsidR="00324B33" w:rsidRPr="00D01DDB" w:rsidRDefault="4916655E" w:rsidP="00324B33">
            <w:pPr>
              <w:cnfStyle w:val="000000000000" w:firstRow="0" w:lastRow="0" w:firstColumn="0" w:lastColumn="0" w:oddVBand="0" w:evenVBand="0" w:oddHBand="0" w:evenHBand="0" w:firstRowFirstColumn="0" w:firstRowLastColumn="0" w:lastRowFirstColumn="0" w:lastRowLastColumn="0"/>
            </w:pPr>
            <w:r>
              <w:t>197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E8184FE" w:rsidR="00C22214" w:rsidRPr="00792A32" w:rsidRDefault="00083763" w:rsidP="00C22214">
      <w:pPr>
        <w:pStyle w:val="Heading2"/>
      </w:pPr>
      <w:bookmarkStart w:id="36" w:name="_Toc196046504"/>
      <w:bookmarkStart w:id="37" w:name="_Toc247691527"/>
      <w:bookmarkStart w:id="38" w:name="_Toc314842510"/>
      <w:bookmarkStart w:id="39" w:name="_Toc103679294"/>
      <w:bookmarkStart w:id="40" w:name="_Toc230164559"/>
      <w:r>
        <w:t xml:space="preserve">Assessment </w:t>
      </w:r>
      <w:r w:rsidR="00C22214" w:rsidRPr="00006FAB">
        <w:t>overview</w:t>
      </w:r>
      <w:bookmarkEnd w:id="36"/>
      <w:bookmarkEnd w:id="37"/>
      <w:bookmarkEnd w:id="38"/>
      <w:bookmarkEnd w:id="39"/>
      <w:bookmarkEnd w:id="40"/>
    </w:p>
    <w:p w14:paraId="540151FC" w14:textId="77777777" w:rsidR="00C22214" w:rsidRPr="00BD5DBD" w:rsidRDefault="00C22214" w:rsidP="00BD5DBD">
      <w:pPr>
        <w:rPr>
          <w:szCs w:val="22"/>
        </w:rPr>
      </w:pPr>
      <w:bookmarkStart w:id="41" w:name="_Toc247691528"/>
      <w:bookmarkStart w:id="42" w:name="_Toc314842511"/>
      <w:r w:rsidRPr="00BD5DBD">
        <w:rPr>
          <w:szCs w:val="22"/>
        </w:rPr>
        <w:t>A summary of the TGA’s assessment for this submission is provided below.</w:t>
      </w:r>
    </w:p>
    <w:p w14:paraId="6C6250D1" w14:textId="34875DA2" w:rsidR="0009022C" w:rsidRPr="00C44197" w:rsidRDefault="007072A1" w:rsidP="00966EF1">
      <w:pPr>
        <w:rPr>
          <w:szCs w:val="22"/>
        </w:rPr>
      </w:pPr>
      <w:r w:rsidRPr="00C44197">
        <w:rPr>
          <w:szCs w:val="22"/>
        </w:rPr>
        <w:t>Relevant guidelines or guidance documents referred to by the Delegate are listed below:</w:t>
      </w:r>
    </w:p>
    <w:p w14:paraId="75ED1590" w14:textId="77777777" w:rsidR="002A348C" w:rsidRDefault="005E1B22">
      <w:pPr>
        <w:pStyle w:val="ListBullet"/>
      </w:pPr>
      <w:r w:rsidRPr="00B65AC4">
        <w:t>Guideline on the clinical investigation of medicinal products for the treatment of asthma. CHMP/EWP/2922/01 Rev. 1.</w:t>
      </w:r>
    </w:p>
    <w:p w14:paraId="7EF0D9B0" w14:textId="45F50E0C" w:rsidR="005E1B22" w:rsidRDefault="005E1B22">
      <w:pPr>
        <w:pStyle w:val="ListBullet"/>
      </w:pPr>
      <w:r w:rsidRPr="00B65AC4">
        <w:t>Guideline on immunogenicity assessment of monoclonal antibodies intended for in vivo clinical use. EMA/CHMP/BMWP/86289/2010</w:t>
      </w:r>
      <w:r w:rsidR="001C51B9">
        <w:t>.</w:t>
      </w:r>
    </w:p>
    <w:p w14:paraId="37F5A1C0" w14:textId="5D3D5FE0" w:rsidR="00C22214" w:rsidRDefault="00095C6A" w:rsidP="00C22214">
      <w:pPr>
        <w:pStyle w:val="Heading3"/>
      </w:pPr>
      <w:bookmarkStart w:id="43" w:name="_Toc103679295"/>
      <w:bookmarkStart w:id="44" w:name="_Toc230164560"/>
      <w:r>
        <w:t>Q</w:t>
      </w:r>
      <w:r w:rsidR="00C22214">
        <w:t>uality</w:t>
      </w:r>
      <w:bookmarkEnd w:id="41"/>
      <w:bookmarkEnd w:id="42"/>
      <w:bookmarkEnd w:id="43"/>
      <w:r w:rsidR="007E6443">
        <w:t xml:space="preserve"> evaluation</w:t>
      </w:r>
      <w:r>
        <w:t xml:space="preserve"> summary</w:t>
      </w:r>
      <w:bookmarkEnd w:id="44"/>
    </w:p>
    <w:p w14:paraId="14DD4C58" w14:textId="0CFC672B" w:rsidR="00F62659" w:rsidRDefault="00F62659" w:rsidP="000216F4">
      <w:r w:rsidRPr="00F62659">
        <w:t xml:space="preserve">Tezepelumab is a human immunoglobulin G2λ (IgG2λ) monoclonal antibody directed against thymic stromal lymphopoietin (TSLP), produced in Chinese hamster ovary (CHO) cells by recombinant DNA technology. Tezepelumab has a molecular weight of approximately 147 </w:t>
      </w:r>
      <w:proofErr w:type="spellStart"/>
      <w:r w:rsidRPr="00F62659">
        <w:t>kDa</w:t>
      </w:r>
      <w:proofErr w:type="spellEnd"/>
      <w:r w:rsidRPr="00F62659">
        <w:t>.</w:t>
      </w:r>
      <w:r w:rsidR="00422AB8">
        <w:t xml:space="preserve"> The PI includes a schematic of the structure of </w:t>
      </w:r>
      <w:proofErr w:type="spellStart"/>
      <w:r w:rsidR="00422AB8">
        <w:t>tezepelumab</w:t>
      </w:r>
      <w:proofErr w:type="spellEnd"/>
      <w:r w:rsidR="00422AB8">
        <w:t>.</w:t>
      </w:r>
    </w:p>
    <w:p w14:paraId="21257505" w14:textId="2B5D1931" w:rsidR="00DE6A1B" w:rsidRPr="00CA10D8" w:rsidRDefault="006F1E4F" w:rsidP="00CA10D8">
      <w:r w:rsidRPr="00CA10D8">
        <w:t>Stabi</w:t>
      </w:r>
      <w:r w:rsidR="00DE6A1B" w:rsidRPr="00CA10D8">
        <w:t>l</w:t>
      </w:r>
      <w:r w:rsidRPr="00CA10D8">
        <w:t xml:space="preserve">ity data supported the </w:t>
      </w:r>
      <w:r w:rsidR="00BC2A0B" w:rsidRPr="00CA10D8">
        <w:t>storage condition</w:t>
      </w:r>
      <w:r w:rsidR="00F31542">
        <w:t>s</w:t>
      </w:r>
      <w:r w:rsidRPr="00CA10D8">
        <w:t xml:space="preserve"> </w:t>
      </w:r>
      <w:r w:rsidR="00C450BE" w:rsidRPr="00CA10D8">
        <w:t>‘</w:t>
      </w:r>
      <w:r w:rsidR="00BC2A0B" w:rsidRPr="00CA10D8">
        <w:t>Store at 2°C to 8°C (Refrigerate. Do not freeze)</w:t>
      </w:r>
      <w:r w:rsidR="00C450BE" w:rsidRPr="00CA10D8">
        <w:t>’</w:t>
      </w:r>
      <w:r w:rsidR="00F31542">
        <w:t>,</w:t>
      </w:r>
      <w:r w:rsidR="00DE6A1B" w:rsidRPr="00CA10D8">
        <w:t xml:space="preserve"> ‘Store the prefilled syringe/ prefilled pen in the original package in order to protect from light</w:t>
      </w:r>
      <w:r w:rsidR="00CA10D8" w:rsidRPr="00CA10D8">
        <w:t>’</w:t>
      </w:r>
      <w:r w:rsidR="00F31542">
        <w:t>, and ‘Do not expose to heat’</w:t>
      </w:r>
      <w:r w:rsidR="002F68A3">
        <w:t>, with a 3</w:t>
      </w:r>
      <w:r w:rsidR="00BC191E">
        <w:t>-</w:t>
      </w:r>
      <w:r w:rsidR="002F68A3">
        <w:t>year shelf-life.</w:t>
      </w:r>
    </w:p>
    <w:p w14:paraId="759AEC7B" w14:textId="63C0A8DF" w:rsidR="00A15F7F" w:rsidRDefault="005B4309" w:rsidP="00C450BE">
      <w:r w:rsidRPr="005B4309">
        <w:t>The prefilled syringe is comprised of 1.91</w:t>
      </w:r>
      <w:r w:rsidR="00441905">
        <w:t> </w:t>
      </w:r>
      <w:r w:rsidRPr="005B4309">
        <w:t xml:space="preserve">mL solution in a </w:t>
      </w:r>
      <w:proofErr w:type="spellStart"/>
      <w:r w:rsidRPr="005B4309">
        <w:t>siliconised</w:t>
      </w:r>
      <w:proofErr w:type="spellEnd"/>
      <w:r w:rsidRPr="005B4309">
        <w:t xml:space="preserve"> </w:t>
      </w:r>
      <w:r w:rsidR="00441905">
        <w:t>T</w:t>
      </w:r>
      <w:r w:rsidRPr="005B4309">
        <w:t>ype I glass prefilled syringe subassembly consisting of a 27-gauge 12.7</w:t>
      </w:r>
      <w:r w:rsidR="000A51DD">
        <w:t> </w:t>
      </w:r>
      <w:r w:rsidRPr="005B4309">
        <w:t>mm stainless steel special thin wall needle covered with a needle cover and plunger-stopper.</w:t>
      </w:r>
    </w:p>
    <w:p w14:paraId="1289A6C4" w14:textId="4204F6DD" w:rsidR="00A15F7F" w:rsidRPr="00A15F7F" w:rsidRDefault="005B4309" w:rsidP="00A15F7F">
      <w:pPr>
        <w:pStyle w:val="ListBullet"/>
        <w:rPr>
          <w:lang w:val="en-GB"/>
        </w:rPr>
      </w:pPr>
      <w:r w:rsidRPr="005B4309">
        <w:t xml:space="preserve">The prefilled syringe </w:t>
      </w:r>
      <w:r w:rsidR="00AB2C79">
        <w:t xml:space="preserve">(also called </w:t>
      </w:r>
      <w:r w:rsidR="00F34313">
        <w:t xml:space="preserve">an accessorised prefilled syringe, </w:t>
      </w:r>
      <w:proofErr w:type="spellStart"/>
      <w:r w:rsidR="00F34313">
        <w:t>aPFS</w:t>
      </w:r>
      <w:proofErr w:type="spellEnd"/>
      <w:r w:rsidR="00F34313">
        <w:t xml:space="preserve">) </w:t>
      </w:r>
      <w:r w:rsidR="00ED0C51">
        <w:t xml:space="preserve">consists of the </w:t>
      </w:r>
      <w:r w:rsidR="003267F0">
        <w:t xml:space="preserve">prefilled syringe </w:t>
      </w:r>
      <w:r w:rsidRPr="005B4309">
        <w:t>subassembly with a needle guard and an extended finger flange</w:t>
      </w:r>
    </w:p>
    <w:p w14:paraId="74534138" w14:textId="3AFA6C36" w:rsidR="005B4309" w:rsidRDefault="005B4309" w:rsidP="00A15F7F">
      <w:pPr>
        <w:pStyle w:val="ListBullet"/>
        <w:rPr>
          <w:lang w:val="en-GB"/>
        </w:rPr>
      </w:pPr>
      <w:r w:rsidRPr="005B4309">
        <w:t xml:space="preserve">The prefilled pen </w:t>
      </w:r>
      <w:r w:rsidR="00F34313">
        <w:t xml:space="preserve">(also called an autoinjector or pen) </w:t>
      </w:r>
      <w:r w:rsidRPr="005B4309">
        <w:t>consists of the prefilled syringe subassembly and handheld, mechanical (spring-based) injection device.</w:t>
      </w:r>
    </w:p>
    <w:p w14:paraId="000B8912" w14:textId="38294E9D" w:rsidR="00CA4FD5" w:rsidRDefault="00CA4FD5" w:rsidP="00CA4FD5">
      <w:r>
        <w:lastRenderedPageBreak/>
        <w:t xml:space="preserve">The </w:t>
      </w:r>
      <w:r w:rsidR="005501A1">
        <w:t xml:space="preserve">quality evaluation concluded that </w:t>
      </w:r>
      <w:r>
        <w:t>t</w:t>
      </w:r>
      <w:r w:rsidRPr="001F68F1">
        <w:t xml:space="preserve">here </w:t>
      </w:r>
      <w:r w:rsidR="005501A1">
        <w:t>is</w:t>
      </w:r>
      <w:r w:rsidRPr="001F68F1">
        <w:t xml:space="preserve"> no objection on quality grounds to the approval of </w:t>
      </w:r>
      <w:proofErr w:type="spellStart"/>
      <w:r w:rsidR="005501A1">
        <w:t>t</w:t>
      </w:r>
      <w:r w:rsidRPr="001F68F1">
        <w:t>ezepelumab</w:t>
      </w:r>
      <w:proofErr w:type="spellEnd"/>
      <w:r>
        <w:t>.</w:t>
      </w:r>
      <w:r w:rsidR="00D80EB1">
        <w:t xml:space="preserve"> Quality-related conditions of registration were proposed.</w:t>
      </w:r>
    </w:p>
    <w:p w14:paraId="2BE90AAE" w14:textId="35796FD3" w:rsidR="00C22214" w:rsidRDefault="00C22214" w:rsidP="00C22214">
      <w:pPr>
        <w:pStyle w:val="Heading3"/>
      </w:pPr>
      <w:bookmarkStart w:id="45" w:name="_Toc314842512"/>
      <w:bookmarkStart w:id="46" w:name="_Toc103679296"/>
      <w:bookmarkStart w:id="47" w:name="_Toc230164561"/>
      <w:r>
        <w:t>Nonclinical</w:t>
      </w:r>
      <w:bookmarkEnd w:id="45"/>
      <w:bookmarkEnd w:id="46"/>
      <w:r w:rsidR="007E6443">
        <w:t xml:space="preserve"> evaluation</w:t>
      </w:r>
      <w:r w:rsidR="00095C6A">
        <w:t xml:space="preserve"> summary</w:t>
      </w:r>
      <w:bookmarkEnd w:id="47"/>
    </w:p>
    <w:p w14:paraId="3FFD2BC1" w14:textId="3993603E" w:rsidR="00706AE0" w:rsidRPr="00280AEC" w:rsidRDefault="00706AE0" w:rsidP="0016636D">
      <w:r w:rsidRPr="00280AEC">
        <w:t>Primary pharmacology adequately demonstrated nonclinical efficacy and selectivity for human TSLP.</w:t>
      </w:r>
    </w:p>
    <w:p w14:paraId="6E84615A" w14:textId="65DFFD18" w:rsidR="00706AE0" w:rsidRPr="00280AEC" w:rsidRDefault="00706AE0" w:rsidP="0016636D">
      <w:r w:rsidRPr="00280AEC">
        <w:t xml:space="preserve">No clinically relevant hazards related to off-target effects of </w:t>
      </w:r>
      <w:proofErr w:type="spellStart"/>
      <w:r w:rsidRPr="00280AEC">
        <w:t>tezepelumab</w:t>
      </w:r>
      <w:proofErr w:type="spellEnd"/>
      <w:r w:rsidRPr="00280AEC">
        <w:t xml:space="preserve"> or exaggerated pharmacological actions on organ systems was identified.</w:t>
      </w:r>
    </w:p>
    <w:p w14:paraId="6797BC85" w14:textId="73BBF4DB" w:rsidR="00706AE0" w:rsidRPr="00280AEC" w:rsidRDefault="00706AE0" w:rsidP="0016636D">
      <w:r w:rsidRPr="00280AEC">
        <w:t xml:space="preserve">The only notable findings in toxicity studies were associated with </w:t>
      </w:r>
      <w:r w:rsidR="00094362" w:rsidRPr="00094362">
        <w:t>anti-drug antibody (ADA) formation</w:t>
      </w:r>
      <w:r w:rsidRPr="00280AEC">
        <w:t>.</w:t>
      </w:r>
    </w:p>
    <w:p w14:paraId="432819DA" w14:textId="40B8C84C" w:rsidR="00706AE0" w:rsidRPr="00280AEC" w:rsidRDefault="00706AE0" w:rsidP="0016636D">
      <w:r w:rsidRPr="00280AEC">
        <w:t xml:space="preserve">Treatment-related toxicities associated with weekly injections of </w:t>
      </w:r>
      <w:proofErr w:type="spellStart"/>
      <w:r w:rsidRPr="00280AEC">
        <w:t>tezepelumab</w:t>
      </w:r>
      <w:proofErr w:type="spellEnd"/>
      <w:r w:rsidRPr="00280AEC">
        <w:t xml:space="preserve"> in monkeys were minimal and limited to injection site reactions which were generally resolved by the end of the treatment-free period.</w:t>
      </w:r>
    </w:p>
    <w:p w14:paraId="74748A5F" w14:textId="0BE8E0A8" w:rsidR="00706AE0" w:rsidRPr="00280AEC" w:rsidRDefault="00706AE0" w:rsidP="0016636D">
      <w:r w:rsidRPr="00280AEC">
        <w:t xml:space="preserve">Based on its pharmacological action, </w:t>
      </w:r>
      <w:proofErr w:type="spellStart"/>
      <w:r w:rsidRPr="00280AEC">
        <w:t>tezepelumab</w:t>
      </w:r>
      <w:proofErr w:type="spellEnd"/>
      <w:r w:rsidRPr="00280AEC">
        <w:t xml:space="preserve"> may perturb immunological responses in patients.</w:t>
      </w:r>
    </w:p>
    <w:p w14:paraId="35ED57F9" w14:textId="33B081F2" w:rsidR="00706AE0" w:rsidRPr="00280AEC" w:rsidRDefault="00706AE0" w:rsidP="0016636D">
      <w:r w:rsidRPr="00280AEC">
        <w:t xml:space="preserve">Pregnancy Category B1, as proposed by the </w:t>
      </w:r>
      <w:r w:rsidR="00022C9A">
        <w:t>s</w:t>
      </w:r>
      <w:r w:rsidRPr="00280AEC">
        <w:t>ponsor, is considered appropriate.</w:t>
      </w:r>
    </w:p>
    <w:p w14:paraId="6D54AFDD" w14:textId="654F8C62" w:rsidR="00706AE0" w:rsidRPr="00280AEC" w:rsidRDefault="00706AE0" w:rsidP="0016636D">
      <w:r w:rsidRPr="00280AEC">
        <w:t xml:space="preserve">There </w:t>
      </w:r>
      <w:r w:rsidR="00022C9A">
        <w:t>is</w:t>
      </w:r>
      <w:r w:rsidRPr="00280AEC">
        <w:t xml:space="preserve"> no nonclinical objection to the registration of T</w:t>
      </w:r>
      <w:r w:rsidR="00C74F23">
        <w:t>ezspire</w:t>
      </w:r>
      <w:r w:rsidRPr="00280AEC">
        <w:t xml:space="preserve"> for the proposed indication.</w:t>
      </w:r>
    </w:p>
    <w:p w14:paraId="35B580A5" w14:textId="40B226DC" w:rsidR="00C22214" w:rsidRDefault="00C22214" w:rsidP="008804CF">
      <w:pPr>
        <w:pStyle w:val="Heading3"/>
      </w:pPr>
      <w:bookmarkStart w:id="48" w:name="_Toc247691530"/>
      <w:bookmarkStart w:id="49" w:name="_Toc314842513"/>
      <w:bookmarkStart w:id="50" w:name="_Toc103679297"/>
      <w:bookmarkStart w:id="51" w:name="_Toc230164562"/>
      <w:r>
        <w:t>Clinical</w:t>
      </w:r>
      <w:bookmarkEnd w:id="48"/>
      <w:bookmarkEnd w:id="49"/>
      <w:bookmarkEnd w:id="50"/>
      <w:r w:rsidR="00095C6A">
        <w:t xml:space="preserve"> evaluation summary</w:t>
      </w:r>
      <w:bookmarkEnd w:id="51"/>
    </w:p>
    <w:p w14:paraId="32B0DEDA" w14:textId="77777777" w:rsidR="00C22214" w:rsidRPr="00433318" w:rsidRDefault="00C22214" w:rsidP="00433318">
      <w:pPr>
        <w:pStyle w:val="Heading4"/>
      </w:pPr>
      <w:bookmarkStart w:id="52" w:name="_Toc98931928"/>
      <w:bookmarkStart w:id="53" w:name="_Toc230164563"/>
      <w:r>
        <w:t>Summary of clinical studies</w:t>
      </w:r>
      <w:bookmarkEnd w:id="52"/>
      <w:bookmarkEnd w:id="53"/>
    </w:p>
    <w:p w14:paraId="46622364" w14:textId="2C728F95" w:rsidR="00C22214" w:rsidRPr="00BD5DBD" w:rsidRDefault="00C22214" w:rsidP="00C22214">
      <w:pPr>
        <w:rPr>
          <w:szCs w:val="22"/>
        </w:rPr>
      </w:pPr>
      <w:r w:rsidRPr="00BD5DBD">
        <w:rPr>
          <w:szCs w:val="22"/>
        </w:rPr>
        <w:t>The clinical dossier consisted of</w:t>
      </w:r>
      <w:r w:rsidR="007357B9" w:rsidRPr="00BD5DBD">
        <w:rPr>
          <w:szCs w:val="22"/>
        </w:rPr>
        <w:t>:</w:t>
      </w:r>
      <w:r w:rsidRPr="00BD5DBD">
        <w:rPr>
          <w:szCs w:val="22"/>
        </w:rPr>
        <w:t xml:space="preserve"> </w:t>
      </w:r>
    </w:p>
    <w:p w14:paraId="3DF49722" w14:textId="789087D4" w:rsidR="00C22214" w:rsidRPr="00BD5DBD" w:rsidRDefault="00B67701" w:rsidP="00C22214">
      <w:pPr>
        <w:pStyle w:val="ListBullet"/>
        <w:rPr>
          <w:szCs w:val="22"/>
        </w:rPr>
      </w:pPr>
      <w:r>
        <w:rPr>
          <w:szCs w:val="22"/>
        </w:rPr>
        <w:t xml:space="preserve">6 completed </w:t>
      </w:r>
      <w:r w:rsidR="00C22214" w:rsidRPr="00BD5DBD">
        <w:rPr>
          <w:szCs w:val="22"/>
        </w:rPr>
        <w:t>Phase I studies</w:t>
      </w:r>
    </w:p>
    <w:p w14:paraId="462FBE69" w14:textId="4E3E7599" w:rsidR="00B67701" w:rsidRPr="00D45CD1" w:rsidRDefault="00B67701" w:rsidP="00D45CD1">
      <w:pPr>
        <w:pStyle w:val="ListBullet2"/>
      </w:pPr>
      <w:r w:rsidRPr="00D45CD1">
        <w:t xml:space="preserve">Study 20080390: Initial single-ascending dose safety and </w:t>
      </w:r>
      <w:r w:rsidR="00A31CEF" w:rsidRPr="00D45CD1">
        <w:t>pharmacokinetic (</w:t>
      </w:r>
      <w:r w:rsidRPr="00D45CD1">
        <w:t>PK</w:t>
      </w:r>
      <w:r w:rsidR="00A31CEF" w:rsidRPr="00D45CD1">
        <w:t>)</w:t>
      </w:r>
      <w:r w:rsidRPr="00D45CD1">
        <w:t xml:space="preserve"> study in healthy subjects with </w:t>
      </w:r>
      <w:r w:rsidR="00A31CEF" w:rsidRPr="00D45CD1">
        <w:t>subcutaneous (</w:t>
      </w:r>
      <w:r w:rsidRPr="00D45CD1">
        <w:t>SC</w:t>
      </w:r>
      <w:r w:rsidR="00A31CEF" w:rsidRPr="00D45CD1">
        <w:t>)</w:t>
      </w:r>
      <w:r w:rsidRPr="00D45CD1">
        <w:t xml:space="preserve"> doses up to 420</w:t>
      </w:r>
      <w:r w:rsidR="00A31CEF" w:rsidRPr="00D45CD1">
        <w:t> </w:t>
      </w:r>
      <w:r w:rsidRPr="00D45CD1">
        <w:t>mg</w:t>
      </w:r>
    </w:p>
    <w:p w14:paraId="30A898B0" w14:textId="5E366296" w:rsidR="00B67701" w:rsidRPr="00D45CD1" w:rsidRDefault="00B67701" w:rsidP="00D45CD1">
      <w:pPr>
        <w:pStyle w:val="ListBullet2"/>
      </w:pPr>
      <w:r w:rsidRPr="00D45CD1">
        <w:t xml:space="preserve">Study 20070620: Initial multiple-ascending dose safety and PK study in healthy subjects with </w:t>
      </w:r>
      <w:r w:rsidR="00A31CEF" w:rsidRPr="00D45CD1">
        <w:t>intravenous (</w:t>
      </w:r>
      <w:r w:rsidRPr="00D45CD1">
        <w:t>IV</w:t>
      </w:r>
      <w:r w:rsidR="00A31CEF" w:rsidRPr="00D45CD1">
        <w:t>)</w:t>
      </w:r>
      <w:r w:rsidRPr="00D45CD1">
        <w:t xml:space="preserve"> doses up to 700</w:t>
      </w:r>
      <w:r w:rsidR="00A31CEF" w:rsidRPr="00D45CD1">
        <w:t> </w:t>
      </w:r>
      <w:r w:rsidRPr="00D45CD1">
        <w:t>mg</w:t>
      </w:r>
    </w:p>
    <w:p w14:paraId="4EF669E9" w14:textId="077B6565" w:rsidR="00B67701" w:rsidRPr="00D45CD1" w:rsidRDefault="00B67701" w:rsidP="00D45CD1">
      <w:pPr>
        <w:pStyle w:val="ListBullet2"/>
      </w:pPr>
      <w:r w:rsidRPr="00D45CD1">
        <w:t xml:space="preserve">PATH-BRIDGE (D5180C00012): A comparative PK study in healthy subjects administered </w:t>
      </w:r>
      <w:proofErr w:type="spellStart"/>
      <w:r w:rsidRPr="00D45CD1">
        <w:t>tezepelumab</w:t>
      </w:r>
      <w:proofErr w:type="spellEnd"/>
      <w:r w:rsidRPr="00D45CD1">
        <w:t xml:space="preserve"> via vial and syringe, accessorised pre-filled syringe (</w:t>
      </w:r>
      <w:proofErr w:type="spellStart"/>
      <w:r w:rsidR="00273A96" w:rsidRPr="00D45CD1">
        <w:t>a</w:t>
      </w:r>
      <w:r w:rsidRPr="00D45CD1">
        <w:t>PFS</w:t>
      </w:r>
      <w:proofErr w:type="spellEnd"/>
      <w:r w:rsidRPr="00D45CD1">
        <w:t>), or autoinjector device</w:t>
      </w:r>
    </w:p>
    <w:p w14:paraId="5E49DE8B" w14:textId="1796BA93" w:rsidR="00B67701" w:rsidRPr="00D45CD1" w:rsidRDefault="00B67701" w:rsidP="00D45CD1">
      <w:pPr>
        <w:pStyle w:val="ListBullet2"/>
      </w:pPr>
      <w:r w:rsidRPr="00D45CD1">
        <w:t>Study D5180C00003: Single-dose PK study in healthy Japanese subjects</w:t>
      </w:r>
    </w:p>
    <w:p w14:paraId="52EB5E99" w14:textId="32EF4FF1" w:rsidR="00B67701" w:rsidRPr="00D45CD1" w:rsidRDefault="00B67701" w:rsidP="00D45CD1">
      <w:pPr>
        <w:pStyle w:val="ListBullet2"/>
      </w:pPr>
      <w:r w:rsidRPr="00D45CD1">
        <w:t>Study 20101183: Multiple dose proof-of-concept study in asthma subjects</w:t>
      </w:r>
    </w:p>
    <w:p w14:paraId="2A990733" w14:textId="77777777" w:rsidR="00B67701" w:rsidRPr="00D45CD1" w:rsidRDefault="00B67701" w:rsidP="00D45CD1">
      <w:pPr>
        <w:pStyle w:val="ListBullet2"/>
      </w:pPr>
      <w:r w:rsidRPr="00D45CD1">
        <w:t>Study D5180C00002A: Single-dose PK study in adolescents with asthma.</w:t>
      </w:r>
    </w:p>
    <w:p w14:paraId="13B53275" w14:textId="21E824D3" w:rsidR="00B67701" w:rsidRDefault="000A0F34" w:rsidP="00B67701">
      <w:pPr>
        <w:pStyle w:val="ListBullet"/>
        <w:numPr>
          <w:ilvl w:val="0"/>
          <w:numId w:val="16"/>
        </w:numPr>
        <w:rPr>
          <w:szCs w:val="22"/>
        </w:rPr>
      </w:pPr>
      <w:r>
        <w:rPr>
          <w:szCs w:val="22"/>
        </w:rPr>
        <w:t xml:space="preserve">6 completed studies </w:t>
      </w:r>
      <w:r w:rsidR="00273A96">
        <w:rPr>
          <w:szCs w:val="22"/>
        </w:rPr>
        <w:t xml:space="preserve">in </w:t>
      </w:r>
      <w:r w:rsidR="00B67701" w:rsidRPr="00BD5DBD">
        <w:rPr>
          <w:szCs w:val="22"/>
        </w:rPr>
        <w:t xml:space="preserve">Phase II </w:t>
      </w:r>
      <w:r w:rsidR="00273A96">
        <w:rPr>
          <w:szCs w:val="22"/>
        </w:rPr>
        <w:t>and Phase III</w:t>
      </w:r>
    </w:p>
    <w:p w14:paraId="1D61FD10" w14:textId="23ED999A" w:rsidR="00B67701" w:rsidRPr="00D45CD1" w:rsidRDefault="00B67701" w:rsidP="00D45CD1">
      <w:pPr>
        <w:pStyle w:val="ListBullet2"/>
      </w:pPr>
      <w:r w:rsidRPr="00D45CD1">
        <w:t xml:space="preserve">CASCADE (D5180C00013): Phase </w:t>
      </w:r>
      <w:r w:rsidR="00D45CD1">
        <w:t>II</w:t>
      </w:r>
      <w:r w:rsidRPr="00D45CD1">
        <w:t xml:space="preserve">, randomised, double-blind, placebo-controlled </w:t>
      </w:r>
      <w:r w:rsidRPr="00F80566">
        <w:t xml:space="preserve">study evaluating the effects of </w:t>
      </w:r>
      <w:proofErr w:type="spellStart"/>
      <w:r w:rsidRPr="00F80566">
        <w:t>tezepelumab</w:t>
      </w:r>
      <w:proofErr w:type="spellEnd"/>
      <w:r w:rsidRPr="00F80566">
        <w:t xml:space="preserve"> 210</w:t>
      </w:r>
      <w:r w:rsidR="00C503E3" w:rsidRPr="00F80566">
        <w:t> </w:t>
      </w:r>
      <w:r w:rsidRPr="00F80566">
        <w:t xml:space="preserve">mg SC </w:t>
      </w:r>
      <w:r w:rsidR="00F80566" w:rsidRPr="00F80566">
        <w:t>every 4 weeks (</w:t>
      </w:r>
      <w:r w:rsidRPr="00F80566">
        <w:t>Q4W</w:t>
      </w:r>
      <w:r w:rsidR="00F80566" w:rsidRPr="00F80566">
        <w:t>)</w:t>
      </w:r>
      <w:r w:rsidRPr="00F80566">
        <w:t xml:space="preserve"> over </w:t>
      </w:r>
      <w:r w:rsidR="0069396E">
        <w:t xml:space="preserve">treatment for </w:t>
      </w:r>
      <w:r w:rsidRPr="00F80566">
        <w:t>28</w:t>
      </w:r>
      <w:r w:rsidR="00A2083B">
        <w:t> </w:t>
      </w:r>
      <w:r w:rsidRPr="00D45CD1">
        <w:t>week</w:t>
      </w:r>
      <w:r w:rsidR="0069396E">
        <w:t>s</w:t>
      </w:r>
      <w:r w:rsidRPr="00D45CD1">
        <w:t xml:space="preserve"> on airway inflammation, as measured by submucosal cell counts, in adult subjects aged 18</w:t>
      </w:r>
      <w:r w:rsidR="00C1201C">
        <w:t xml:space="preserve"> to </w:t>
      </w:r>
      <w:r w:rsidRPr="00D45CD1">
        <w:t>75 years with moderate to severe asthma</w:t>
      </w:r>
    </w:p>
    <w:p w14:paraId="53360476" w14:textId="6D2A6E7A" w:rsidR="00B67701" w:rsidRPr="00D45CD1" w:rsidRDefault="00B67701" w:rsidP="00D45CD1">
      <w:pPr>
        <w:pStyle w:val="ListBullet2"/>
      </w:pPr>
      <w:r w:rsidRPr="00D45CD1">
        <w:lastRenderedPageBreak/>
        <w:t xml:space="preserve">NAVIGATOR (D5180C00007) (pivotal study): Phase </w:t>
      </w:r>
      <w:r w:rsidR="00A2083B">
        <w:t>III</w:t>
      </w:r>
      <w:r w:rsidRPr="00D45CD1">
        <w:t xml:space="preserve">, randomised, double-blind, placebo-controlled, study of </w:t>
      </w:r>
      <w:proofErr w:type="spellStart"/>
      <w:r w:rsidRPr="00D45CD1">
        <w:t>tezepelumab</w:t>
      </w:r>
      <w:proofErr w:type="spellEnd"/>
      <w:r w:rsidRPr="00D45CD1">
        <w:t xml:space="preserve"> 210</w:t>
      </w:r>
      <w:r w:rsidR="00A2083B">
        <w:t> </w:t>
      </w:r>
      <w:r w:rsidRPr="00D45CD1">
        <w:t>mg SC Q4W over 52</w:t>
      </w:r>
      <w:r w:rsidR="00A2083B">
        <w:t> </w:t>
      </w:r>
      <w:r w:rsidRPr="00D45CD1">
        <w:t>weeks in adult and adolescent subjects aged 12 to 80 years with inadequately controlled asthma</w:t>
      </w:r>
    </w:p>
    <w:p w14:paraId="5A55FECE" w14:textId="0CB6FCC2" w:rsidR="00B67701" w:rsidRPr="00D45CD1" w:rsidRDefault="00B67701" w:rsidP="00D45CD1">
      <w:pPr>
        <w:pStyle w:val="ListBullet2"/>
      </w:pPr>
      <w:r w:rsidRPr="00D45CD1">
        <w:t xml:space="preserve">PATHWAY (CD-RI-MEDI9929-1146; dose-ranging): Phase </w:t>
      </w:r>
      <w:r w:rsidR="0069396E">
        <w:t>II</w:t>
      </w:r>
      <w:r w:rsidRPr="00D45CD1">
        <w:t xml:space="preserve">b, randomised, double-blind, placebo-controlled dose-ranging study of </w:t>
      </w:r>
      <w:proofErr w:type="spellStart"/>
      <w:r w:rsidRPr="00D45CD1">
        <w:t>tezepelumab</w:t>
      </w:r>
      <w:proofErr w:type="spellEnd"/>
      <w:r w:rsidRPr="00D45CD1">
        <w:t xml:space="preserve"> 70</w:t>
      </w:r>
      <w:r w:rsidR="00FD209B">
        <w:t> </w:t>
      </w:r>
      <w:r w:rsidRPr="00D45CD1">
        <w:t>mg SC Q4W, 210</w:t>
      </w:r>
      <w:r w:rsidR="00FD209B">
        <w:t> </w:t>
      </w:r>
      <w:r w:rsidRPr="00D45CD1">
        <w:t>mg SC Q4W and 280</w:t>
      </w:r>
      <w:r w:rsidR="00FD209B">
        <w:t> </w:t>
      </w:r>
      <w:r w:rsidRPr="00D45CD1">
        <w:t xml:space="preserve">mg SC </w:t>
      </w:r>
      <w:r w:rsidR="00FD209B">
        <w:t>every 2 weeks (</w:t>
      </w:r>
      <w:r w:rsidRPr="00D45CD1">
        <w:t>Q2W</w:t>
      </w:r>
      <w:r w:rsidR="00FD209B">
        <w:t>)</w:t>
      </w:r>
      <w:r w:rsidRPr="00D45CD1">
        <w:t xml:space="preserve"> over 52</w:t>
      </w:r>
      <w:r w:rsidR="00FD209B">
        <w:t> </w:t>
      </w:r>
      <w:r w:rsidRPr="00D45CD1">
        <w:t>weeks in adults aged 18 to 75 years with inadequately controlled asthma</w:t>
      </w:r>
    </w:p>
    <w:p w14:paraId="301CF9CE" w14:textId="3ADF77E6" w:rsidR="00B67701" w:rsidRPr="00D45CD1" w:rsidRDefault="00B67701" w:rsidP="00D45CD1">
      <w:pPr>
        <w:pStyle w:val="ListBullet2"/>
      </w:pPr>
      <w:r w:rsidRPr="00D45CD1">
        <w:t xml:space="preserve">SOURCE (D5180C00009): Phase </w:t>
      </w:r>
      <w:r w:rsidR="00FD209B">
        <w:t>III</w:t>
      </w:r>
      <w:r w:rsidRPr="00D45CD1">
        <w:t xml:space="preserve">, randomised, double-blind, placebo-controlled study of </w:t>
      </w:r>
      <w:proofErr w:type="spellStart"/>
      <w:r w:rsidRPr="00D45CD1">
        <w:t>tezepelumab</w:t>
      </w:r>
      <w:proofErr w:type="spellEnd"/>
      <w:r w:rsidRPr="00D45CD1">
        <w:t xml:space="preserve"> 210</w:t>
      </w:r>
      <w:r w:rsidR="00944CAE">
        <w:t> </w:t>
      </w:r>
      <w:r w:rsidRPr="00D45CD1">
        <w:t>mg SC Q4W over 48</w:t>
      </w:r>
      <w:r w:rsidR="00944CAE">
        <w:t> </w:t>
      </w:r>
      <w:r w:rsidRPr="00D45CD1">
        <w:t xml:space="preserve">weeks in reducing </w:t>
      </w:r>
      <w:r w:rsidR="009046A7">
        <w:t>oral corticosteroid (</w:t>
      </w:r>
      <w:r w:rsidRPr="00D45CD1">
        <w:t>OCS</w:t>
      </w:r>
      <w:r w:rsidR="009046A7">
        <w:t>)</w:t>
      </w:r>
      <w:r w:rsidRPr="00D45CD1">
        <w:t xml:space="preserve"> use in adults aged 18 to 80 years with OCS dependent asthma</w:t>
      </w:r>
    </w:p>
    <w:p w14:paraId="62A82CED" w14:textId="5F6E70E4" w:rsidR="00B67701" w:rsidRDefault="00B67701" w:rsidP="00D45CD1">
      <w:pPr>
        <w:pStyle w:val="ListBullet2"/>
      </w:pPr>
      <w:r w:rsidRPr="00D45CD1">
        <w:t xml:space="preserve">PATH-HOME (Study D5180C00011): Phase </w:t>
      </w:r>
      <w:r w:rsidR="002E015B">
        <w:t>III</w:t>
      </w:r>
      <w:r w:rsidRPr="00D45CD1">
        <w:t xml:space="preserve"> study open-label study that evaluated the performance of </w:t>
      </w:r>
      <w:proofErr w:type="spellStart"/>
      <w:r w:rsidRPr="00D45CD1">
        <w:t>tezepelumab</w:t>
      </w:r>
      <w:proofErr w:type="spellEnd"/>
      <w:r w:rsidRPr="00D45CD1">
        <w:t xml:space="preserve"> 210</w:t>
      </w:r>
      <w:r w:rsidR="00F33FDC">
        <w:t> </w:t>
      </w:r>
      <w:r w:rsidRPr="00D45CD1">
        <w:t xml:space="preserve">mg SC Q4W administered to patients with severe asthma via single-use </w:t>
      </w:r>
      <w:proofErr w:type="spellStart"/>
      <w:r w:rsidR="00F33FDC">
        <w:t>a</w:t>
      </w:r>
      <w:r w:rsidRPr="00D45CD1">
        <w:t>PFS</w:t>
      </w:r>
      <w:proofErr w:type="spellEnd"/>
      <w:r w:rsidRPr="00D45CD1">
        <w:t xml:space="preserve"> and </w:t>
      </w:r>
      <w:r w:rsidR="00F33FDC">
        <w:t>pen</w:t>
      </w:r>
      <w:r w:rsidRPr="00D45CD1">
        <w:t xml:space="preserve"> devices in the clinic and in an at-home setting</w:t>
      </w:r>
    </w:p>
    <w:p w14:paraId="03E6541A" w14:textId="3B5D0D9A" w:rsidR="00D004DB" w:rsidRPr="00D45CD1" w:rsidRDefault="00D004DB" w:rsidP="00D004DB">
      <w:pPr>
        <w:pStyle w:val="ListBullet2"/>
      </w:pPr>
      <w:r w:rsidRPr="00D45CD1">
        <w:t xml:space="preserve">VECTOR: Phase </w:t>
      </w:r>
      <w:proofErr w:type="spellStart"/>
      <w:r w:rsidR="00774412">
        <w:t>III</w:t>
      </w:r>
      <w:r w:rsidRPr="00D45CD1">
        <w:t>b</w:t>
      </w:r>
      <w:proofErr w:type="spellEnd"/>
      <w:r w:rsidRPr="00D45CD1">
        <w:t xml:space="preserve">, multicentre, randomised, double-blind, parallel-group, </w:t>
      </w:r>
      <w:proofErr w:type="gramStart"/>
      <w:r w:rsidRPr="00D45CD1">
        <w:t>placebo controlled</w:t>
      </w:r>
      <w:proofErr w:type="gramEnd"/>
      <w:r w:rsidRPr="00D45CD1">
        <w:t xml:space="preserve"> study of </w:t>
      </w:r>
      <w:proofErr w:type="spellStart"/>
      <w:r w:rsidRPr="00D45CD1">
        <w:t>tezepelumab</w:t>
      </w:r>
      <w:proofErr w:type="spellEnd"/>
      <w:r w:rsidRPr="00D45CD1">
        <w:t xml:space="preserve"> 210</w:t>
      </w:r>
      <w:r w:rsidR="00774412">
        <w:t> </w:t>
      </w:r>
      <w:r w:rsidRPr="00D45CD1">
        <w:t xml:space="preserve">mg SC Q4W in young adults and adolescents with moderate or severe asthma to evaluate the potential effect of </w:t>
      </w:r>
      <w:proofErr w:type="spellStart"/>
      <w:r w:rsidRPr="00D45CD1">
        <w:t>tezepelumab</w:t>
      </w:r>
      <w:proofErr w:type="spellEnd"/>
      <w:r w:rsidRPr="00D45CD1">
        <w:t xml:space="preserve"> on the humoral immune response to seasonal quadrivalent influenza vaccine in the autumn/winter of 2021</w:t>
      </w:r>
      <w:r w:rsidR="000F7FC9">
        <w:t xml:space="preserve"> to </w:t>
      </w:r>
      <w:r w:rsidRPr="00D45CD1">
        <w:t>2022 in the US.</w:t>
      </w:r>
    </w:p>
    <w:p w14:paraId="05C0A47C" w14:textId="3A21C703" w:rsidR="00C1201C" w:rsidRDefault="00C1201C" w:rsidP="00C1201C">
      <w:pPr>
        <w:pStyle w:val="ListBullet"/>
      </w:pPr>
      <w:r>
        <w:t xml:space="preserve">one ongoing </w:t>
      </w:r>
      <w:r w:rsidR="000F7FC9">
        <w:t xml:space="preserve">Phase III </w:t>
      </w:r>
      <w:r>
        <w:t>study</w:t>
      </w:r>
    </w:p>
    <w:p w14:paraId="68D058D0" w14:textId="5E2F2D81" w:rsidR="00B67701" w:rsidRPr="00D45CD1" w:rsidRDefault="00B67701" w:rsidP="00D45CD1">
      <w:pPr>
        <w:pStyle w:val="ListBullet2"/>
      </w:pPr>
      <w:r w:rsidRPr="00D45CD1">
        <w:t xml:space="preserve">DESTINATION Long-term </w:t>
      </w:r>
      <w:r w:rsidR="000F7FC9">
        <w:t>e</w:t>
      </w:r>
      <w:r w:rsidRPr="00D45CD1">
        <w:t xml:space="preserve">xtension (LTE) </w:t>
      </w:r>
      <w:r w:rsidR="00396BE0">
        <w:t>s</w:t>
      </w:r>
      <w:r w:rsidRPr="00D45CD1">
        <w:t>tudy: Multicentre, randomised, double-blind, placebo-controlled, parallel-group, LTE study designed to evaluate the safety (primary objective) and efficacy of 210</w:t>
      </w:r>
      <w:r w:rsidR="00396BE0">
        <w:t> </w:t>
      </w:r>
      <w:r w:rsidRPr="00D45CD1">
        <w:t xml:space="preserve">mg SC Q4W of </w:t>
      </w:r>
      <w:proofErr w:type="spellStart"/>
      <w:r w:rsidRPr="00D45CD1">
        <w:t>tezepelumab</w:t>
      </w:r>
      <w:proofErr w:type="spellEnd"/>
      <w:r w:rsidRPr="00D45CD1">
        <w:t xml:space="preserve"> in adults and adolescents with severe uncontrolled asthma for up to 2</w:t>
      </w:r>
      <w:r w:rsidR="00396BE0">
        <w:t> </w:t>
      </w:r>
      <w:r w:rsidRPr="00D45CD1">
        <w:t>continuous years of treatment, which includes up to 1</w:t>
      </w:r>
      <w:r w:rsidR="00396BE0">
        <w:t> </w:t>
      </w:r>
      <w:r w:rsidRPr="00D45CD1">
        <w:t xml:space="preserve">year of treatment in predecessor studies. Subjects who completed treatment in either NAVIGATOR or SOURCE (referred to as </w:t>
      </w:r>
      <w:r w:rsidR="00403FC0">
        <w:t>‘</w:t>
      </w:r>
      <w:r w:rsidRPr="00D45CD1">
        <w:t>predecessor studies</w:t>
      </w:r>
      <w:r w:rsidR="00403FC0">
        <w:t>’</w:t>
      </w:r>
      <w:r w:rsidRPr="00D45CD1">
        <w:t>) were eligible to enrol in this study.</w:t>
      </w:r>
    </w:p>
    <w:p w14:paraId="47C125F4" w14:textId="378F31AD" w:rsidR="00B67701" w:rsidRPr="007750A9" w:rsidRDefault="00C42A83" w:rsidP="006B7EF5">
      <w:pPr>
        <w:pStyle w:val="ListBullet"/>
      </w:pPr>
      <w:r>
        <w:t>p</w:t>
      </w:r>
      <w:r w:rsidR="00B67701" w:rsidRPr="007750A9">
        <w:t>opulation pharmacokinetic analyses</w:t>
      </w:r>
    </w:p>
    <w:p w14:paraId="580C8035" w14:textId="74F2B094" w:rsidR="00E44D73" w:rsidRPr="00E44D73" w:rsidRDefault="00F97A00" w:rsidP="006B7EF5">
      <w:pPr>
        <w:pStyle w:val="ListBullet2"/>
        <w:rPr>
          <w:color w:val="000000"/>
        </w:rPr>
      </w:pPr>
      <w:r>
        <w:t>s</w:t>
      </w:r>
      <w:r w:rsidR="00B67701">
        <w:t>ingle study</w:t>
      </w:r>
      <w:r w:rsidR="00B67701" w:rsidRPr="007750A9">
        <w:t xml:space="preserve"> designed to </w:t>
      </w:r>
      <w:r w:rsidR="00B67701" w:rsidRPr="007750A9">
        <w:rPr>
          <w:color w:val="000000"/>
        </w:rPr>
        <w:t xml:space="preserve">characterise the population PK of </w:t>
      </w:r>
      <w:proofErr w:type="spellStart"/>
      <w:r w:rsidR="00B67701" w:rsidRPr="007750A9">
        <w:rPr>
          <w:color w:val="000000"/>
        </w:rPr>
        <w:t>tezepelumab</w:t>
      </w:r>
      <w:proofErr w:type="spellEnd"/>
      <w:r w:rsidR="00B67701" w:rsidRPr="007750A9">
        <w:rPr>
          <w:color w:val="000000"/>
        </w:rPr>
        <w:t xml:space="preserve"> by developing a population PK (</w:t>
      </w:r>
      <w:proofErr w:type="spellStart"/>
      <w:r w:rsidR="00C42A83">
        <w:rPr>
          <w:color w:val="000000"/>
        </w:rPr>
        <w:t>P</w:t>
      </w:r>
      <w:r w:rsidR="00B67701" w:rsidRPr="007750A9">
        <w:rPr>
          <w:color w:val="000000"/>
        </w:rPr>
        <w:t>opPK</w:t>
      </w:r>
      <w:proofErr w:type="spellEnd"/>
      <w:r w:rsidR="00B67701" w:rsidRPr="007750A9">
        <w:rPr>
          <w:color w:val="000000"/>
        </w:rPr>
        <w:t xml:space="preserve">) model based on pooled PK data </w:t>
      </w:r>
      <w:r w:rsidR="00B67701" w:rsidRPr="007750A9">
        <w:t>from 8</w:t>
      </w:r>
      <w:r w:rsidR="00C42A83">
        <w:t> </w:t>
      </w:r>
      <w:r w:rsidR="00B67701" w:rsidRPr="007750A9">
        <w:t>clinical studies:</w:t>
      </w:r>
    </w:p>
    <w:p w14:paraId="7C150F60" w14:textId="77777777" w:rsidR="00E44D73" w:rsidRPr="00E44D73" w:rsidRDefault="00B67701" w:rsidP="00E44D73">
      <w:pPr>
        <w:pStyle w:val="ListBullet3"/>
        <w:rPr>
          <w:color w:val="000000"/>
        </w:rPr>
      </w:pPr>
      <w:r w:rsidRPr="007750A9">
        <w:t xml:space="preserve">6 Phase </w:t>
      </w:r>
      <w:r w:rsidR="00E44D73">
        <w:t>I</w:t>
      </w:r>
      <w:r w:rsidRPr="007750A9">
        <w:t xml:space="preserve"> studies in healthy volunteers (20070620 Part A, 20080390, 20101183, D5180C00002, D5180C00003, and PATH-BRIDGE)</w:t>
      </w:r>
    </w:p>
    <w:p w14:paraId="57D9CA3F" w14:textId="28D21EB5" w:rsidR="00B67701" w:rsidRPr="007750A9" w:rsidRDefault="00B67701" w:rsidP="00E44D73">
      <w:pPr>
        <w:pStyle w:val="ListBullet3"/>
        <w:rPr>
          <w:color w:val="000000"/>
        </w:rPr>
      </w:pPr>
      <w:r w:rsidRPr="007750A9">
        <w:t>2 studies in patients with asthma (</w:t>
      </w:r>
      <w:r w:rsidR="00E44D73">
        <w:t>one</w:t>
      </w:r>
      <w:r w:rsidRPr="007750A9">
        <w:t xml:space="preserve"> Phase </w:t>
      </w:r>
      <w:r w:rsidR="00E44D73">
        <w:t>II</w:t>
      </w:r>
      <w:r w:rsidRPr="007750A9">
        <w:t xml:space="preserve">b study [PATHWAY] and </w:t>
      </w:r>
      <w:r w:rsidR="00E44D73">
        <w:t>one</w:t>
      </w:r>
      <w:r w:rsidRPr="007750A9">
        <w:t xml:space="preserve"> Phase</w:t>
      </w:r>
      <w:r w:rsidR="00E44D73">
        <w:t> III</w:t>
      </w:r>
      <w:r w:rsidRPr="007750A9">
        <w:t xml:space="preserve"> study [NAVIGATOR</w:t>
      </w:r>
      <w:r w:rsidRPr="007750A9">
        <w:rPr>
          <w:color w:val="000000"/>
        </w:rPr>
        <w:t>]).</w:t>
      </w:r>
    </w:p>
    <w:p w14:paraId="34932E85" w14:textId="77777777" w:rsidR="00276AE9" w:rsidRDefault="00276AE9">
      <w:pPr>
        <w:rPr>
          <w:rFonts w:ascii="Arial" w:eastAsia="Cambria" w:hAnsi="Arial" w:cs="Times New Roman"/>
          <w:b/>
          <w:bCs/>
          <w:color w:val="001871"/>
          <w:sz w:val="28"/>
          <w:szCs w:val="26"/>
        </w:rPr>
      </w:pPr>
      <w:r>
        <w:br w:type="page"/>
      </w:r>
    </w:p>
    <w:p w14:paraId="197A4357" w14:textId="4445607B" w:rsidR="00A43752" w:rsidRPr="00A43752" w:rsidRDefault="00A43752" w:rsidP="00A43752">
      <w:pPr>
        <w:pStyle w:val="Heading4"/>
      </w:pPr>
      <w:bookmarkStart w:id="54" w:name="_Toc230164564"/>
      <w:r w:rsidRPr="00A43752">
        <w:lastRenderedPageBreak/>
        <w:t>Pharmacology</w:t>
      </w:r>
      <w:bookmarkEnd w:id="54"/>
    </w:p>
    <w:p w14:paraId="02761FC6" w14:textId="5615AE89" w:rsidR="00A43752" w:rsidRPr="00A43752" w:rsidRDefault="00A43752" w:rsidP="00A43752">
      <w:r w:rsidRPr="00A43752">
        <w:t xml:space="preserve">Tezepelumab is an anti-TSLP human </w:t>
      </w:r>
      <w:proofErr w:type="spellStart"/>
      <w:r w:rsidRPr="00A43752">
        <w:t>mAb</w:t>
      </w:r>
      <w:proofErr w:type="spellEnd"/>
      <w:r w:rsidRPr="00A43752">
        <w:t xml:space="preserve"> IgG2λ that binds to human TSLP with high affinity and prevents its interaction with the TSLP receptor. Blocking TSLP with </w:t>
      </w:r>
      <w:proofErr w:type="spellStart"/>
      <w:r w:rsidRPr="00A43752">
        <w:t>tezepelumab</w:t>
      </w:r>
      <w:proofErr w:type="spellEnd"/>
      <w:r w:rsidRPr="00A43752">
        <w:t xml:space="preserve"> reduces levels of a broad spectrum of biomarkers and cytokines associated with inflammation (</w:t>
      </w:r>
      <w:r w:rsidR="000316DD">
        <w:t>for example</w:t>
      </w:r>
      <w:r w:rsidRPr="00A43752">
        <w:t xml:space="preserve">, </w:t>
      </w:r>
      <w:r w:rsidRPr="00282C16">
        <w:t xml:space="preserve">blood eosinophils, IgE, </w:t>
      </w:r>
      <w:proofErr w:type="spellStart"/>
      <w:r w:rsidRPr="00282C16">
        <w:t>FeNO</w:t>
      </w:r>
      <w:proofErr w:type="spellEnd"/>
      <w:r w:rsidRPr="00282C16">
        <w:t>, IL-5, and IL-13)</w:t>
      </w:r>
      <w:r w:rsidR="003F27BF">
        <w:t xml:space="preserve"> (</w:t>
      </w:r>
      <w:r w:rsidR="003F27BF">
        <w:fldChar w:fldCharType="begin"/>
      </w:r>
      <w:r w:rsidR="003F27BF">
        <w:instrText xml:space="preserve"> REF _Ref204085596 \h </w:instrText>
      </w:r>
      <w:r w:rsidR="003F27BF">
        <w:fldChar w:fldCharType="separate"/>
      </w:r>
      <w:r w:rsidR="005657B1">
        <w:t xml:space="preserve">Figure </w:t>
      </w:r>
      <w:r w:rsidR="005657B1">
        <w:rPr>
          <w:noProof/>
        </w:rPr>
        <w:t>3</w:t>
      </w:r>
      <w:r w:rsidR="003F27BF">
        <w:fldChar w:fldCharType="end"/>
      </w:r>
      <w:r w:rsidRPr="00282C16">
        <w:t>)</w:t>
      </w:r>
      <w:r w:rsidR="008D309F" w:rsidRPr="00282C16">
        <w:t>.</w:t>
      </w:r>
    </w:p>
    <w:p w14:paraId="08ADA721" w14:textId="330C9EE1" w:rsidR="00A43752" w:rsidRPr="00A43752" w:rsidRDefault="00A43752" w:rsidP="00A43752">
      <w:pPr>
        <w:pStyle w:val="Heading5"/>
      </w:pPr>
      <w:r w:rsidRPr="00A43752">
        <w:t>Pharmacokinetics</w:t>
      </w:r>
    </w:p>
    <w:p w14:paraId="08F15950" w14:textId="35577D7D" w:rsidR="00A43752" w:rsidRPr="00A43752" w:rsidRDefault="00A43752" w:rsidP="00A43752">
      <w:r w:rsidRPr="00A43752">
        <w:t xml:space="preserve">The </w:t>
      </w:r>
      <w:r w:rsidR="008D309F">
        <w:t>PK</w:t>
      </w:r>
      <w:r w:rsidRPr="00A43752">
        <w:t xml:space="preserve"> of </w:t>
      </w:r>
      <w:proofErr w:type="spellStart"/>
      <w:r w:rsidRPr="00A43752">
        <w:t>tezepelumab</w:t>
      </w:r>
      <w:proofErr w:type="spellEnd"/>
      <w:r w:rsidRPr="00A43752">
        <w:t xml:space="preserve"> have been adequately described in the submission in health</w:t>
      </w:r>
      <w:r w:rsidR="000876C9">
        <w:t>y</w:t>
      </w:r>
      <w:r w:rsidRPr="00A43752">
        <w:t xml:space="preserve"> subjects and in adolescents and adults with asthma. Tezepelumab is a human </w:t>
      </w:r>
      <w:proofErr w:type="spellStart"/>
      <w:r w:rsidRPr="00A43752">
        <w:t>m</w:t>
      </w:r>
      <w:r w:rsidR="000876C9">
        <w:t>Ab</w:t>
      </w:r>
      <w:proofErr w:type="spellEnd"/>
      <w:r w:rsidRPr="00A43752">
        <w:t xml:space="preserve">, and its PK profile is </w:t>
      </w:r>
      <w:proofErr w:type="gramStart"/>
      <w:r w:rsidRPr="00A43752">
        <w:t>similar to</w:t>
      </w:r>
      <w:proofErr w:type="gramEnd"/>
      <w:r w:rsidRPr="00A43752">
        <w:t xml:space="preserve"> those of other therapeutic human </w:t>
      </w:r>
      <w:proofErr w:type="spellStart"/>
      <w:r w:rsidRPr="00A43752">
        <w:t>m</w:t>
      </w:r>
      <w:r w:rsidR="000876C9">
        <w:t>Abs</w:t>
      </w:r>
      <w:proofErr w:type="spellEnd"/>
      <w:r w:rsidRPr="00A43752">
        <w:t xml:space="preserve">. The PK in the target population is </w:t>
      </w:r>
      <w:proofErr w:type="gramStart"/>
      <w:r w:rsidRPr="00A43752">
        <w:t>similar to</w:t>
      </w:r>
      <w:proofErr w:type="gramEnd"/>
      <w:r w:rsidRPr="00A43752">
        <w:t xml:space="preserve"> that for healthy volunteers and were confirmed in the </w:t>
      </w:r>
      <w:proofErr w:type="spellStart"/>
      <w:r w:rsidRPr="00A43752">
        <w:t>PopPK</w:t>
      </w:r>
      <w:proofErr w:type="spellEnd"/>
      <w:r w:rsidRPr="00A43752">
        <w:t xml:space="preserve"> study. Tezepelumab has been developed for SC administration.</w:t>
      </w:r>
    </w:p>
    <w:p w14:paraId="2DFBFEA3" w14:textId="77777777" w:rsidR="00A43752" w:rsidRPr="00A43752" w:rsidRDefault="00A43752" w:rsidP="00067AB5">
      <w:pPr>
        <w:pStyle w:val="Heading6"/>
      </w:pPr>
      <w:r w:rsidRPr="00A43752">
        <w:t>Absorption</w:t>
      </w:r>
    </w:p>
    <w:p w14:paraId="376480B8" w14:textId="5FAE382E" w:rsidR="00A43752" w:rsidRPr="00A43752" w:rsidRDefault="00A43752" w:rsidP="00A43752">
      <w:r w:rsidRPr="00A43752">
        <w:t xml:space="preserve">The PK of </w:t>
      </w:r>
      <w:proofErr w:type="spellStart"/>
      <w:r w:rsidRPr="00A43752">
        <w:t>tezepelumab</w:t>
      </w:r>
      <w:proofErr w:type="spellEnd"/>
      <w:r w:rsidRPr="00A43752">
        <w:t xml:space="preserve"> were dose-proportional following SC doses of 2.1</w:t>
      </w:r>
      <w:r w:rsidR="00282C16">
        <w:t> mg</w:t>
      </w:r>
      <w:r w:rsidRPr="00A43752">
        <w:t xml:space="preserve"> to 420</w:t>
      </w:r>
      <w:r w:rsidR="00282C16">
        <w:t> </w:t>
      </w:r>
      <w:r w:rsidRPr="00A43752">
        <w:t xml:space="preserve">mg and IV </w:t>
      </w:r>
      <w:r w:rsidRPr="00E20371">
        <w:t>doses of 210</w:t>
      </w:r>
      <w:r w:rsidR="00282C16" w:rsidRPr="00E20371">
        <w:t> mg</w:t>
      </w:r>
      <w:r w:rsidRPr="00E20371">
        <w:t xml:space="preserve"> to 700</w:t>
      </w:r>
      <w:r w:rsidR="00282C16" w:rsidRPr="00E20371">
        <w:t> </w:t>
      </w:r>
      <w:r w:rsidRPr="00E20371">
        <w:t xml:space="preserve">mg. Following single-dose SC administration of </w:t>
      </w:r>
      <w:proofErr w:type="spellStart"/>
      <w:r w:rsidRPr="00E20371">
        <w:t>tezepelumab</w:t>
      </w:r>
      <w:proofErr w:type="spellEnd"/>
      <w:r w:rsidRPr="00E20371">
        <w:t xml:space="preserve">, the </w:t>
      </w:r>
      <w:r w:rsidR="00591538" w:rsidRPr="00E20371">
        <w:t xml:space="preserve">time </w:t>
      </w:r>
      <w:r w:rsidR="00E20371" w:rsidRPr="00E20371">
        <w:t xml:space="preserve">to achieve maximum observed serum concentration </w:t>
      </w:r>
      <w:r w:rsidRPr="00E20371">
        <w:t>was 3 to 10 days. The SC bioavailability was</w:t>
      </w:r>
      <w:r w:rsidRPr="00A43752">
        <w:t xml:space="preserve"> estimated to be 81% based on the ratio of the mean </w:t>
      </w:r>
      <w:r w:rsidR="00405156">
        <w:t xml:space="preserve">area under the </w:t>
      </w:r>
      <w:r w:rsidR="00591538">
        <w:t xml:space="preserve">plasma concentration time curve </w:t>
      </w:r>
      <w:r w:rsidR="00D91535">
        <w:t xml:space="preserve">(AUC) </w:t>
      </w:r>
      <w:r w:rsidR="00F43DEE">
        <w:t>extrapolated to infinity</w:t>
      </w:r>
      <w:r w:rsidRPr="00A43752">
        <w:t xml:space="preserve"> after a single SC 210</w:t>
      </w:r>
      <w:r w:rsidR="00595D4E">
        <w:t> </w:t>
      </w:r>
      <w:r w:rsidRPr="00A43752">
        <w:t>mg dose over that of the same dose</w:t>
      </w:r>
      <w:r w:rsidR="004572E3">
        <w:t xml:space="preserve"> </w:t>
      </w:r>
      <w:r w:rsidR="00B77DA5">
        <w:t>administered IV</w:t>
      </w:r>
      <w:r w:rsidRPr="00A43752">
        <w:t xml:space="preserve">. The estimated absolute bioavailability based on </w:t>
      </w:r>
      <w:proofErr w:type="spellStart"/>
      <w:r w:rsidR="003344BF">
        <w:t>P</w:t>
      </w:r>
      <w:r w:rsidRPr="00A43752">
        <w:t>opPK</w:t>
      </w:r>
      <w:proofErr w:type="spellEnd"/>
      <w:r w:rsidRPr="00A43752">
        <w:t xml:space="preserve"> analysis was 77%. After repeated SC administration Q4W, serum </w:t>
      </w:r>
      <w:proofErr w:type="spellStart"/>
      <w:r w:rsidRPr="00A43752">
        <w:t>tezepelumab</w:t>
      </w:r>
      <w:proofErr w:type="spellEnd"/>
      <w:r w:rsidRPr="00A43752">
        <w:t xml:space="preserve"> concentrations approached steady state by 12</w:t>
      </w:r>
      <w:r w:rsidR="00204F49">
        <w:t> </w:t>
      </w:r>
      <w:r w:rsidRPr="00A43752">
        <w:t xml:space="preserve">weeks, with a mean accumulation ratio of 1.86-fold. The plasma concentration time profiles for the </w:t>
      </w:r>
      <w:r w:rsidR="00204F49">
        <w:t>3</w:t>
      </w:r>
      <w:r w:rsidRPr="00A43752">
        <w:t xml:space="preserve"> administration techniques, (</w:t>
      </w:r>
      <w:proofErr w:type="spellStart"/>
      <w:r w:rsidRPr="00A43752">
        <w:t>aPFS</w:t>
      </w:r>
      <w:proofErr w:type="spellEnd"/>
      <w:r w:rsidRPr="00A43752">
        <w:t xml:space="preserve">, </w:t>
      </w:r>
      <w:r w:rsidR="00915124">
        <w:t>a</w:t>
      </w:r>
      <w:r w:rsidRPr="00A43752">
        <w:t>utoinjector</w:t>
      </w:r>
      <w:r w:rsidR="00915124">
        <w:t xml:space="preserve">, </w:t>
      </w:r>
      <w:r w:rsidRPr="00A43752">
        <w:t xml:space="preserve">and vial and syringe) and for different body sites (abdomen, thigh, or upper arm) were similar. In the </w:t>
      </w:r>
      <w:r w:rsidR="00915124">
        <w:t>LTE</w:t>
      </w:r>
      <w:r w:rsidRPr="00A43752">
        <w:t xml:space="preserve"> study (DESTINATION), after repeated SC administration of </w:t>
      </w:r>
      <w:proofErr w:type="spellStart"/>
      <w:r w:rsidRPr="00A43752">
        <w:t>tezepelumab</w:t>
      </w:r>
      <w:proofErr w:type="spellEnd"/>
      <w:r w:rsidRPr="00A43752">
        <w:t xml:space="preserve"> 210</w:t>
      </w:r>
      <w:r w:rsidR="00207A7D">
        <w:t> </w:t>
      </w:r>
      <w:r w:rsidRPr="00A43752">
        <w:t>mg SC Q4W, mean steady-state concentrations were maintained until Week 104. Exposure decreased with increasing body weight.</w:t>
      </w:r>
    </w:p>
    <w:p w14:paraId="25AAED0F" w14:textId="77777777" w:rsidR="00A43752" w:rsidRPr="00A43752" w:rsidRDefault="00A43752" w:rsidP="00067AB5">
      <w:pPr>
        <w:pStyle w:val="Heading6"/>
        <w:rPr>
          <w:rFonts w:eastAsia="TimesNewRoman"/>
        </w:rPr>
      </w:pPr>
      <w:r w:rsidRPr="00A43752">
        <w:rPr>
          <w:rFonts w:eastAsia="TimesNewRoman"/>
        </w:rPr>
        <w:t>Distribution</w:t>
      </w:r>
    </w:p>
    <w:p w14:paraId="2955269A" w14:textId="0A25953C" w:rsidR="00A43752" w:rsidRPr="00A43752" w:rsidRDefault="00A43752" w:rsidP="00A43752">
      <w:r w:rsidRPr="00A43752">
        <w:t xml:space="preserve">Following IV administration, there is an initial redistribution phase </w:t>
      </w:r>
      <w:r w:rsidR="00BB2BFF">
        <w:t>that</w:t>
      </w:r>
      <w:r w:rsidRPr="00A43752">
        <w:t xml:space="preserve"> is compatible with a two-compartment model. Terminal elimination was first order. The estimated central and peripheral volumes of distribution of </w:t>
      </w:r>
      <w:proofErr w:type="spellStart"/>
      <w:r w:rsidRPr="00A43752">
        <w:t>tezepelumab</w:t>
      </w:r>
      <w:proofErr w:type="spellEnd"/>
      <w:r w:rsidRPr="00A43752">
        <w:t xml:space="preserve"> were 3.91</w:t>
      </w:r>
      <w:r w:rsidR="00AB755E">
        <w:t> </w:t>
      </w:r>
      <w:r w:rsidRPr="00A43752">
        <w:t>L and 2.17</w:t>
      </w:r>
      <w:r w:rsidR="00AB755E">
        <w:t> </w:t>
      </w:r>
      <w:r w:rsidRPr="00A43752">
        <w:t>L, respectively, for a 70</w:t>
      </w:r>
      <w:r w:rsidR="00AB755E">
        <w:t> </w:t>
      </w:r>
      <w:r w:rsidRPr="00A43752">
        <w:t xml:space="preserve">kg individual, based on </w:t>
      </w:r>
      <w:proofErr w:type="spellStart"/>
      <w:r w:rsidR="00AB755E">
        <w:t>P</w:t>
      </w:r>
      <w:r w:rsidRPr="00A43752">
        <w:t>opPK</w:t>
      </w:r>
      <w:proofErr w:type="spellEnd"/>
      <w:r w:rsidRPr="00A43752">
        <w:t xml:space="preserve"> analysis. This is typical of </w:t>
      </w:r>
      <w:proofErr w:type="spellStart"/>
      <w:r w:rsidRPr="00A43752">
        <w:t>m</w:t>
      </w:r>
      <w:r w:rsidR="00BE04FB">
        <w:t>Abs</w:t>
      </w:r>
      <w:proofErr w:type="spellEnd"/>
      <w:r w:rsidRPr="00A43752">
        <w:t>, which are largely confined to the vascular and interstitial spaces due to their large molecular size and poor lipophilicity.</w:t>
      </w:r>
    </w:p>
    <w:p w14:paraId="42B6A6BB" w14:textId="77777777" w:rsidR="00A43752" w:rsidRPr="00A43752" w:rsidRDefault="00A43752" w:rsidP="00067AB5">
      <w:pPr>
        <w:pStyle w:val="Heading6"/>
        <w:rPr>
          <w:rFonts w:eastAsia="TimesNewRoman"/>
        </w:rPr>
      </w:pPr>
      <w:r w:rsidRPr="00A43752">
        <w:rPr>
          <w:rFonts w:eastAsia="TimesNewRoman"/>
        </w:rPr>
        <w:t>Metabolism</w:t>
      </w:r>
    </w:p>
    <w:p w14:paraId="74272407" w14:textId="5C7B7DAD" w:rsidR="00A43752" w:rsidRPr="00A43752" w:rsidRDefault="00A43752" w:rsidP="00A43752">
      <w:r w:rsidRPr="00A43752">
        <w:t xml:space="preserve">Tezepelumab is a human </w:t>
      </w:r>
      <w:proofErr w:type="spellStart"/>
      <w:r w:rsidRPr="00A43752">
        <w:t>m</w:t>
      </w:r>
      <w:r w:rsidR="00BE04FB">
        <w:t>Ab</w:t>
      </w:r>
      <w:proofErr w:type="spellEnd"/>
      <w:r w:rsidRPr="00A43752">
        <w:t xml:space="preserve"> that is degraded by proteolytic enzymes widely distributed in the body. Tezepelumab is not metabolised by hepatic enzymes.</w:t>
      </w:r>
    </w:p>
    <w:p w14:paraId="1C9E276B" w14:textId="77777777" w:rsidR="00A43752" w:rsidRPr="00A43752" w:rsidRDefault="00A43752" w:rsidP="00067AB5">
      <w:pPr>
        <w:pStyle w:val="Heading6"/>
        <w:rPr>
          <w:rFonts w:eastAsia="TimesNewRoman"/>
        </w:rPr>
      </w:pPr>
      <w:r w:rsidRPr="00A43752">
        <w:rPr>
          <w:rFonts w:eastAsia="TimesNewRoman"/>
        </w:rPr>
        <w:t>Elimination</w:t>
      </w:r>
    </w:p>
    <w:p w14:paraId="7A5AE58C" w14:textId="3A6936F6" w:rsidR="00A43752" w:rsidRPr="00A43752" w:rsidRDefault="00A43752" w:rsidP="00A43752">
      <w:r w:rsidRPr="00A43752">
        <w:t xml:space="preserve">As a typical </w:t>
      </w:r>
      <w:proofErr w:type="spellStart"/>
      <w:r w:rsidRPr="00A43752">
        <w:t>m</w:t>
      </w:r>
      <w:r w:rsidR="00BE04FB">
        <w:t>Ab</w:t>
      </w:r>
      <w:proofErr w:type="spellEnd"/>
      <w:r w:rsidRPr="00A43752">
        <w:t xml:space="preserve">, </w:t>
      </w:r>
      <w:proofErr w:type="spellStart"/>
      <w:r w:rsidRPr="00A43752">
        <w:t>tezepelumab</w:t>
      </w:r>
      <w:proofErr w:type="spellEnd"/>
      <w:r w:rsidRPr="00A43752">
        <w:t xml:space="preserve"> is eliminated by intracellular catabolism and there is no evidence of target-mediated clearance (CL) in the dose range tested clinically. The estimated </w:t>
      </w:r>
      <w:r w:rsidR="00FF7913">
        <w:t>clearance</w:t>
      </w:r>
      <w:r w:rsidRPr="00A43752">
        <w:t xml:space="preserve"> for </w:t>
      </w:r>
      <w:proofErr w:type="spellStart"/>
      <w:r w:rsidRPr="00A43752">
        <w:t>tezepelumab</w:t>
      </w:r>
      <w:proofErr w:type="spellEnd"/>
      <w:r w:rsidRPr="00A43752">
        <w:t xml:space="preserve"> was 0.172</w:t>
      </w:r>
      <w:r w:rsidR="00FF7913">
        <w:t> </w:t>
      </w:r>
      <w:r w:rsidRPr="00A43752">
        <w:t>L/day for a 70</w:t>
      </w:r>
      <w:r w:rsidR="00FF7913">
        <w:t> </w:t>
      </w:r>
      <w:r w:rsidRPr="00A43752">
        <w:t xml:space="preserve">kg individual, based on </w:t>
      </w:r>
      <w:proofErr w:type="spellStart"/>
      <w:r w:rsidR="00FF7913">
        <w:t>P</w:t>
      </w:r>
      <w:r w:rsidRPr="00A43752">
        <w:t>opPK</w:t>
      </w:r>
      <w:proofErr w:type="spellEnd"/>
      <w:r w:rsidRPr="00A43752">
        <w:t xml:space="preserve"> analysis. There was no dose-dependent change of </w:t>
      </w:r>
      <w:r w:rsidR="00C3173A">
        <w:t xml:space="preserve">clearance or apparent clearance </w:t>
      </w:r>
      <w:r w:rsidRPr="00A43752">
        <w:t xml:space="preserve">observed with increasing doses. The estimated elimination half-life of </w:t>
      </w:r>
      <w:proofErr w:type="spellStart"/>
      <w:r w:rsidRPr="00A43752">
        <w:t>tezepelumab</w:t>
      </w:r>
      <w:proofErr w:type="spellEnd"/>
      <w:r w:rsidRPr="00A43752">
        <w:t xml:space="preserve"> was 25.5</w:t>
      </w:r>
      <w:r w:rsidR="00F72509">
        <w:t> </w:t>
      </w:r>
      <w:r w:rsidRPr="00A43752">
        <w:t>days.</w:t>
      </w:r>
    </w:p>
    <w:p w14:paraId="0E10E7B2" w14:textId="77777777" w:rsidR="00F27529" w:rsidRDefault="00F27529">
      <w:pPr>
        <w:rPr>
          <w:rFonts w:ascii="Arial" w:eastAsia="Times New Roman" w:hAnsi="Arial" w:cs="Times New Roman"/>
          <w:b/>
          <w:bCs/>
          <w:i/>
          <w:color w:val="001871"/>
          <w:sz w:val="26"/>
          <w:szCs w:val="26"/>
        </w:rPr>
      </w:pPr>
      <w:r>
        <w:br w:type="page"/>
      </w:r>
    </w:p>
    <w:p w14:paraId="0C25161C" w14:textId="2E29A0F7" w:rsidR="00A43752" w:rsidRPr="00A43752" w:rsidRDefault="00A43752" w:rsidP="00003B5D">
      <w:pPr>
        <w:pStyle w:val="Heading5"/>
      </w:pPr>
      <w:r w:rsidRPr="00A43752">
        <w:lastRenderedPageBreak/>
        <w:t xml:space="preserve">Population </w:t>
      </w:r>
      <w:r w:rsidR="00F72509">
        <w:t>pharmacokinetic</w:t>
      </w:r>
      <w:r w:rsidRPr="00A43752">
        <w:t xml:space="preserve"> data</w:t>
      </w:r>
    </w:p>
    <w:p w14:paraId="05CDF988" w14:textId="2DACC12F" w:rsidR="00A43752" w:rsidRPr="00A43752" w:rsidRDefault="00A43752" w:rsidP="00A43752">
      <w:r w:rsidRPr="00A43752">
        <w:t>Data used to perform th</w:t>
      </w:r>
      <w:r w:rsidR="00E57726">
        <w:t>e</w:t>
      </w:r>
      <w:r w:rsidRPr="00A43752">
        <w:t xml:space="preserve"> </w:t>
      </w:r>
      <w:proofErr w:type="spellStart"/>
      <w:r w:rsidR="00F72509">
        <w:t>P</w:t>
      </w:r>
      <w:r w:rsidRPr="00A43752">
        <w:t>opPK</w:t>
      </w:r>
      <w:proofErr w:type="spellEnd"/>
      <w:r w:rsidRPr="00A43752">
        <w:t xml:space="preserve"> analysis were collected from 8</w:t>
      </w:r>
      <w:r w:rsidR="00E57726">
        <w:t> </w:t>
      </w:r>
      <w:r w:rsidRPr="00A43752">
        <w:t xml:space="preserve">studies: 2 studies in patients with asthma (Phase </w:t>
      </w:r>
      <w:r w:rsidR="00E57726">
        <w:t>III</w:t>
      </w:r>
      <w:r w:rsidRPr="00A43752">
        <w:t xml:space="preserve"> NAVIGATOR, Phase </w:t>
      </w:r>
      <w:r w:rsidR="00E57726">
        <w:t>II</w:t>
      </w:r>
      <w:r w:rsidRPr="00A43752">
        <w:t xml:space="preserve"> PATHWAY); and 6 Phase </w:t>
      </w:r>
      <w:r w:rsidR="006B49EB">
        <w:t>I</w:t>
      </w:r>
      <w:r w:rsidRPr="00A43752">
        <w:t xml:space="preserve"> studies in healthy subjects (Studies 0620 Part A, 0390, 1183, 0002, Japan Study 0003, and PATH-BRIDGE). Exploratory data analysis revealed that </w:t>
      </w:r>
      <w:proofErr w:type="spellStart"/>
      <w:r w:rsidRPr="00A43752">
        <w:t>tezepelumab</w:t>
      </w:r>
      <w:proofErr w:type="spellEnd"/>
      <w:r w:rsidRPr="00A43752">
        <w:t xml:space="preserve"> exhibited a 2-compartment linear disposition model over the tested dose range (2.1</w:t>
      </w:r>
      <w:r w:rsidR="006B49EB">
        <w:t> mg</w:t>
      </w:r>
      <w:r w:rsidRPr="00A43752">
        <w:t xml:space="preserve"> to 420</w:t>
      </w:r>
      <w:r w:rsidR="006B49EB">
        <w:t> </w:t>
      </w:r>
      <w:r w:rsidRPr="00A43752">
        <w:t>mg SC and 210</w:t>
      </w:r>
      <w:r w:rsidR="006B49EB">
        <w:t> mg</w:t>
      </w:r>
      <w:r w:rsidRPr="00A43752">
        <w:t xml:space="preserve"> to 700</w:t>
      </w:r>
      <w:r w:rsidR="003D73AB">
        <w:t> </w:t>
      </w:r>
      <w:r w:rsidRPr="00A43752">
        <w:t>mg IV) with first-order absorption and elimination.</w:t>
      </w:r>
    </w:p>
    <w:p w14:paraId="49EA8337" w14:textId="5F032FB1" w:rsidR="00A43752" w:rsidRPr="00A43752" w:rsidRDefault="00A43752" w:rsidP="00A43752">
      <w:r w:rsidRPr="00A43752">
        <w:t>The final dataset included 12,541 observations from 1</w:t>
      </w:r>
      <w:r w:rsidR="003D73AB">
        <w:t>,</w:t>
      </w:r>
      <w:r w:rsidRPr="00A43752">
        <w:t xml:space="preserve">368 subjects. Simulations were performed using the final model </w:t>
      </w:r>
      <w:proofErr w:type="gramStart"/>
      <w:r w:rsidRPr="00A43752">
        <w:t>in order to</w:t>
      </w:r>
      <w:proofErr w:type="gramEnd"/>
      <w:r w:rsidRPr="00A43752">
        <w:t xml:space="preserve"> predict the need for dose adjustment based on body weight, age, sex, race, and </w:t>
      </w:r>
      <w:r w:rsidR="00300186">
        <w:t>body mass index (</w:t>
      </w:r>
      <w:r w:rsidRPr="00A43752">
        <w:t>BMI</w:t>
      </w:r>
      <w:r w:rsidR="00300186">
        <w:t>)</w:t>
      </w:r>
      <w:r w:rsidRPr="00A43752">
        <w:t>. In the dataset, there were 766 (56.0%) females, 602 (44.0%) males and the age range was 12 to 80 years. B</w:t>
      </w:r>
      <w:r w:rsidR="00D94F7C">
        <w:t>ody mass index</w:t>
      </w:r>
      <w:r w:rsidRPr="00A43752">
        <w:t xml:space="preserve"> ranged from 16.9 to 64.1</w:t>
      </w:r>
      <w:r w:rsidR="005927F9">
        <w:t> </w:t>
      </w:r>
      <w:r w:rsidRPr="00A43752">
        <w:t>kg/m</w:t>
      </w:r>
      <w:r w:rsidRPr="005927F9">
        <w:rPr>
          <w:vertAlign w:val="superscript"/>
        </w:rPr>
        <w:t>2</w:t>
      </w:r>
      <w:r w:rsidRPr="00A43752">
        <w:t>.</w:t>
      </w:r>
    </w:p>
    <w:p w14:paraId="44B8A049" w14:textId="149802BE" w:rsidR="00A43752" w:rsidRPr="00A43752" w:rsidRDefault="00A43752" w:rsidP="00A43752">
      <w:r w:rsidRPr="00A43752">
        <w:t>The typical value for CL/F was 0.712</w:t>
      </w:r>
      <w:r w:rsidR="008F1DB3">
        <w:t> </w:t>
      </w:r>
      <w:r w:rsidRPr="00A43752">
        <w:t>L/day, central volume of distribution was 3.91</w:t>
      </w:r>
      <w:r w:rsidR="008F1DB3">
        <w:t> </w:t>
      </w:r>
      <w:r w:rsidRPr="00A43752">
        <w:t>L, and peripheral volume of distribution was 2.17</w:t>
      </w:r>
      <w:r w:rsidR="008F1DB3">
        <w:t> </w:t>
      </w:r>
      <w:r w:rsidRPr="00A43752">
        <w:t>L. The estimates for inter-individual variability (expressed as CV%) were 29.9% for CL/F. 35.8% for central volume of distribution</w:t>
      </w:r>
      <w:r w:rsidR="008F1DB3">
        <w:t>,</w:t>
      </w:r>
      <w:r w:rsidRPr="00A43752">
        <w:t xml:space="preserve"> and 13.1% for peripheral volume of distribution. Bioavailability was estimated as 76.8%.</w:t>
      </w:r>
    </w:p>
    <w:p w14:paraId="79E9D90C" w14:textId="7F3BCAF5" w:rsidR="00A43752" w:rsidRPr="00A43752" w:rsidRDefault="00A43752" w:rsidP="00A43752">
      <w:r w:rsidRPr="00A43752">
        <w:t xml:space="preserve">The only significant covariate was body weight which had a significant effect on exposure. However, this issue is further addressed by the </w:t>
      </w:r>
      <w:r w:rsidR="000D06A5">
        <w:t>s</w:t>
      </w:r>
      <w:r w:rsidRPr="00A43752">
        <w:t xml:space="preserve">ponsor in the </w:t>
      </w:r>
      <w:r w:rsidR="000D06A5">
        <w:t>pharmacodynamic (</w:t>
      </w:r>
      <w:r w:rsidRPr="00A43752">
        <w:t>PD</w:t>
      </w:r>
      <w:r w:rsidR="000D06A5">
        <w:t>)</w:t>
      </w:r>
      <w:r w:rsidRPr="00A43752">
        <w:t xml:space="preserve"> studies (NAVIGATOR Study – Clinical Exposure-Response Analysis Report). In that study, an analysis of exposure and response was performed which found no identifiable relationship between exposure and response. This supports the conclusion that dose modification is not required for extremes of weight.</w:t>
      </w:r>
    </w:p>
    <w:p w14:paraId="1B389AF8" w14:textId="77777777" w:rsidR="00A43752" w:rsidRPr="00A43752" w:rsidRDefault="00A43752" w:rsidP="00003B5D">
      <w:pPr>
        <w:pStyle w:val="Heading6"/>
      </w:pPr>
      <w:r w:rsidRPr="00A43752">
        <w:t>Pharmacokinetics according to age</w:t>
      </w:r>
    </w:p>
    <w:p w14:paraId="659DEE70" w14:textId="19CD4F19" w:rsidR="00A43752" w:rsidRPr="00A43752" w:rsidRDefault="00A43752" w:rsidP="00A43752">
      <w:r w:rsidRPr="00A43752">
        <w:t xml:space="preserve">The PK of </w:t>
      </w:r>
      <w:proofErr w:type="spellStart"/>
      <w:r w:rsidRPr="00A43752">
        <w:t>tezepelumab</w:t>
      </w:r>
      <w:proofErr w:type="spellEnd"/>
      <w:r w:rsidRPr="00A43752">
        <w:t xml:space="preserve"> in adolescents was </w:t>
      </w:r>
      <w:proofErr w:type="gramStart"/>
      <w:r w:rsidRPr="00A43752">
        <w:t>similar to</w:t>
      </w:r>
      <w:proofErr w:type="gramEnd"/>
      <w:r w:rsidRPr="00A43752">
        <w:t xml:space="preserve"> that in adults.</w:t>
      </w:r>
    </w:p>
    <w:p w14:paraId="76D1306D" w14:textId="397F5FC8" w:rsidR="00A43752" w:rsidRPr="00A43752" w:rsidRDefault="00A43752" w:rsidP="00003B5D">
      <w:pPr>
        <w:pStyle w:val="Heading6"/>
        <w:rPr>
          <w:rFonts w:eastAsiaTheme="minorHAnsi"/>
        </w:rPr>
      </w:pPr>
      <w:r w:rsidRPr="00A43752">
        <w:rPr>
          <w:rFonts w:eastAsia="TimesNewRoman,Bold"/>
        </w:rPr>
        <w:t xml:space="preserve">Effect of </w:t>
      </w:r>
      <w:r w:rsidR="005657B1" w:rsidRPr="00A43752">
        <w:rPr>
          <w:rFonts w:eastAsia="TimesNewRoman,Bold"/>
        </w:rPr>
        <w:t xml:space="preserve">intrinsic and extrinsic factors </w:t>
      </w:r>
      <w:r w:rsidRPr="00A43752">
        <w:rPr>
          <w:rFonts w:eastAsia="TimesNewRoman,Bold"/>
        </w:rPr>
        <w:t>on the</w:t>
      </w:r>
      <w:r w:rsidR="006F5C4D">
        <w:rPr>
          <w:rFonts w:eastAsia="TimesNewRoman,Bold"/>
        </w:rPr>
        <w:t xml:space="preserve"> pharmacokinetics</w:t>
      </w:r>
      <w:r w:rsidRPr="00A43752">
        <w:rPr>
          <w:rFonts w:eastAsia="TimesNewRoman,Bold"/>
        </w:rPr>
        <w:t xml:space="preserve"> of </w:t>
      </w:r>
      <w:proofErr w:type="spellStart"/>
      <w:r w:rsidR="006F5C4D">
        <w:rPr>
          <w:rFonts w:eastAsia="TimesNewRoman,Bold"/>
        </w:rPr>
        <w:t>t</w:t>
      </w:r>
      <w:r w:rsidRPr="00A43752">
        <w:rPr>
          <w:rFonts w:eastAsia="TimesNewRoman,Bold"/>
        </w:rPr>
        <w:t>ezepelumab</w:t>
      </w:r>
      <w:proofErr w:type="spellEnd"/>
    </w:p>
    <w:p w14:paraId="523BBB76" w14:textId="37B5D5AC" w:rsidR="00A43752" w:rsidRPr="00A43752" w:rsidRDefault="00A43752" w:rsidP="00A43752">
      <w:r w:rsidRPr="00A43752">
        <w:t xml:space="preserve">Based on </w:t>
      </w:r>
      <w:proofErr w:type="spellStart"/>
      <w:r w:rsidR="006F5C4D">
        <w:t>P</w:t>
      </w:r>
      <w:r w:rsidRPr="00A43752">
        <w:t>opPK</w:t>
      </w:r>
      <w:proofErr w:type="spellEnd"/>
      <w:r w:rsidRPr="00A43752">
        <w:t xml:space="preserve"> and relevant efficacy, safety, and exposure-response analyses, there was no clinically relevant effect of age (12 years and above), sex, race, geographical region, weight, BMI, renal or hepatic impairment, disease severity, baseline biomarkers, concomitant asthma medications and smoking history on the PK of </w:t>
      </w:r>
      <w:proofErr w:type="spellStart"/>
      <w:r w:rsidR="005120C8">
        <w:t>t</w:t>
      </w:r>
      <w:r w:rsidRPr="00A43752">
        <w:t>ezepelumab</w:t>
      </w:r>
      <w:proofErr w:type="spellEnd"/>
      <w:r w:rsidRPr="00A43752">
        <w:t xml:space="preserve"> at the dose of 210</w:t>
      </w:r>
      <w:r w:rsidR="005120C8">
        <w:t> </w:t>
      </w:r>
      <w:r w:rsidRPr="00A43752">
        <w:t>mg SC Q4W. Therefore, no dose adjustment is required for these intrinsic or extrinsic factors.</w:t>
      </w:r>
    </w:p>
    <w:p w14:paraId="0EAC66A6" w14:textId="6D917002" w:rsidR="00C86451" w:rsidRPr="00DA4F4A" w:rsidRDefault="00C86451" w:rsidP="006A672C">
      <w:pPr>
        <w:pStyle w:val="Heading5"/>
        <w:rPr>
          <w:rFonts w:eastAsiaTheme="minorHAnsi"/>
        </w:rPr>
      </w:pPr>
      <w:r w:rsidRPr="00DA4F4A">
        <w:t>Pharmacodynamics</w:t>
      </w:r>
    </w:p>
    <w:p w14:paraId="06EA95B9" w14:textId="44C72EF7" w:rsidR="00C86451" w:rsidRPr="009E77D9" w:rsidRDefault="00C86451" w:rsidP="00C86451">
      <w:pPr>
        <w:rPr>
          <w:rFonts w:asciiTheme="minorHAnsi" w:hAnsiTheme="minorHAnsi"/>
          <w:lang w:eastAsia="ja-JP"/>
        </w:rPr>
      </w:pPr>
      <w:r>
        <w:t>Based on the understanding of the inflammatory cascade</w:t>
      </w:r>
      <w:r w:rsidR="006A672C">
        <w:t>,</w:t>
      </w:r>
      <w:r>
        <w:t xml:space="preserve"> b</w:t>
      </w:r>
      <w:r w:rsidRPr="001B570F">
        <w:rPr>
          <w:rFonts w:cs="Verdana"/>
        </w:rPr>
        <w:t xml:space="preserve">locking TSLP with </w:t>
      </w:r>
      <w:proofErr w:type="spellStart"/>
      <w:r w:rsidRPr="001B570F">
        <w:rPr>
          <w:rFonts w:cs="Verdana"/>
        </w:rPr>
        <w:t>tezepelumab</w:t>
      </w:r>
      <w:proofErr w:type="spellEnd"/>
      <w:r w:rsidRPr="001B570F">
        <w:rPr>
          <w:rFonts w:cs="Verdana"/>
        </w:rPr>
        <w:t xml:space="preserve"> </w:t>
      </w:r>
      <w:r>
        <w:rPr>
          <w:rFonts w:cs="Verdana"/>
        </w:rPr>
        <w:t xml:space="preserve">would be expected to </w:t>
      </w:r>
      <w:r w:rsidRPr="001B570F">
        <w:rPr>
          <w:rFonts w:cs="Verdana"/>
        </w:rPr>
        <w:t>reduce levels of a broad spectrum of biomarkers and</w:t>
      </w:r>
      <w:r>
        <w:rPr>
          <w:rFonts w:cs="Verdana"/>
        </w:rPr>
        <w:t xml:space="preserve"> </w:t>
      </w:r>
      <w:r w:rsidRPr="001B570F">
        <w:rPr>
          <w:rFonts w:cs="Verdana"/>
        </w:rPr>
        <w:t>cytokines associated with inflammation (</w:t>
      </w:r>
      <w:r w:rsidR="006A672C">
        <w:rPr>
          <w:rFonts w:cs="Verdana"/>
        </w:rPr>
        <w:t>f</w:t>
      </w:r>
      <w:r w:rsidR="00E82B6D">
        <w:rPr>
          <w:rFonts w:cs="Verdana"/>
        </w:rPr>
        <w:t>or</w:t>
      </w:r>
      <w:r w:rsidR="006A672C">
        <w:rPr>
          <w:rFonts w:cs="Verdana"/>
        </w:rPr>
        <w:t xml:space="preserve"> example, </w:t>
      </w:r>
      <w:r w:rsidRPr="001B570F">
        <w:rPr>
          <w:rFonts w:cs="Verdana"/>
        </w:rPr>
        <w:t xml:space="preserve">blood eosinophils, </w:t>
      </w:r>
      <w:proofErr w:type="spellStart"/>
      <w:r w:rsidRPr="001B570F">
        <w:rPr>
          <w:rFonts w:cs="Verdana"/>
        </w:rPr>
        <w:t>FeNO</w:t>
      </w:r>
      <w:proofErr w:type="spellEnd"/>
      <w:r w:rsidRPr="001B570F">
        <w:rPr>
          <w:rFonts w:cs="Verdana"/>
        </w:rPr>
        <w:t>, IgE, IL-5, and IL-</w:t>
      </w:r>
      <w:r w:rsidRPr="00EB25EF">
        <w:rPr>
          <w:rFonts w:cs="Verdana"/>
        </w:rPr>
        <w:t>13).</w:t>
      </w:r>
      <w:r w:rsidRPr="00436D87">
        <w:rPr>
          <w:rFonts w:asciiTheme="minorHAnsi" w:hAnsiTheme="minorHAnsi"/>
          <w:lang w:eastAsia="ja-JP"/>
        </w:rPr>
        <w:t xml:space="preserve"> </w:t>
      </w:r>
      <w:r w:rsidRPr="009E77D9">
        <w:rPr>
          <w:lang w:eastAsia="ja-JP"/>
        </w:rPr>
        <w:t xml:space="preserve">The clinical studies providing PD data in subjects with severe asthma were </w:t>
      </w:r>
      <w:r w:rsidRPr="009E77D9">
        <w:rPr>
          <w:rFonts w:eastAsia="TimesNewRoman"/>
        </w:rPr>
        <w:t xml:space="preserve">NAVIGATOR, PATHWAY, SOURCE, and CASCADE. </w:t>
      </w:r>
      <w:r w:rsidRPr="009E77D9">
        <w:rPr>
          <w:lang w:eastAsia="ja-JP"/>
        </w:rPr>
        <w:t xml:space="preserve">The key PD parameters describing the primary pharmacology of </w:t>
      </w:r>
      <w:proofErr w:type="spellStart"/>
      <w:r w:rsidRPr="009E77D9">
        <w:rPr>
          <w:lang w:eastAsia="ja-JP"/>
        </w:rPr>
        <w:t>tezepelumab</w:t>
      </w:r>
      <w:proofErr w:type="spellEnd"/>
      <w:r w:rsidRPr="009E77D9">
        <w:rPr>
          <w:lang w:eastAsia="ja-JP"/>
        </w:rPr>
        <w:t xml:space="preserve"> evaluated in these studies are summarised </w:t>
      </w:r>
      <w:r w:rsidR="00F27529">
        <w:rPr>
          <w:lang w:eastAsia="ja-JP"/>
        </w:rPr>
        <w:t>in table 5</w:t>
      </w:r>
      <w:r w:rsidR="000875DC">
        <w:rPr>
          <w:lang w:eastAsia="ja-JP"/>
        </w:rPr>
        <w:t>.</w:t>
      </w:r>
    </w:p>
    <w:p w14:paraId="2A380108" w14:textId="07F1D9D1" w:rsidR="005A6D24" w:rsidRPr="005A6D24" w:rsidRDefault="005A6D24" w:rsidP="00C119B0">
      <w:pPr>
        <w:pStyle w:val="TableTitle"/>
      </w:pPr>
      <w:r>
        <w:lastRenderedPageBreak/>
        <w:t xml:space="preserve">Table </w:t>
      </w:r>
      <w:r>
        <w:fldChar w:fldCharType="begin"/>
      </w:r>
      <w:r>
        <w:instrText xml:space="preserve"> SEQ Table \* ARABIC </w:instrText>
      </w:r>
      <w:r>
        <w:fldChar w:fldCharType="separate"/>
      </w:r>
      <w:r w:rsidR="005657B1">
        <w:rPr>
          <w:noProof/>
        </w:rPr>
        <w:t>5</w:t>
      </w:r>
      <w:r>
        <w:fldChar w:fldCharType="end"/>
      </w:r>
      <w:r>
        <w:t>: Studies with pharmacodynamic data</w:t>
      </w:r>
    </w:p>
    <w:tbl>
      <w:tblPr>
        <w:tblStyle w:val="TableTGAblue2023"/>
        <w:tblW w:w="4925" w:type="pct"/>
        <w:tblLayout w:type="fixed"/>
        <w:tblLook w:val="04A0" w:firstRow="1" w:lastRow="0" w:firstColumn="1" w:lastColumn="0" w:noHBand="0" w:noVBand="1"/>
      </w:tblPr>
      <w:tblGrid>
        <w:gridCol w:w="1696"/>
        <w:gridCol w:w="1703"/>
        <w:gridCol w:w="1842"/>
        <w:gridCol w:w="1845"/>
        <w:gridCol w:w="1838"/>
      </w:tblGrid>
      <w:tr w:rsidR="00FC618A" w:rsidRPr="002003B8" w14:paraId="7C6364AE" w14:textId="768482F0" w:rsidTr="00FC6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vMerge w:val="restart"/>
          </w:tcPr>
          <w:p w14:paraId="4B01C4AA" w14:textId="7C0E51E1" w:rsidR="003F30A8" w:rsidRPr="002003B8" w:rsidRDefault="003F30A8" w:rsidP="005657B1">
            <w:r w:rsidRPr="002003B8">
              <w:t>Parameter</w:t>
            </w:r>
          </w:p>
        </w:tc>
        <w:tc>
          <w:tcPr>
            <w:tcW w:w="954" w:type="pct"/>
          </w:tcPr>
          <w:p w14:paraId="1DE279F6" w14:textId="060E53C2" w:rsidR="003F30A8" w:rsidRPr="002003B8" w:rsidRDefault="003F30A8" w:rsidP="005657B1">
            <w:pPr>
              <w:cnfStyle w:val="100000000000" w:firstRow="1" w:lastRow="0" w:firstColumn="0" w:lastColumn="0" w:oddVBand="0" w:evenVBand="0" w:oddHBand="0" w:evenHBand="0" w:firstRowFirstColumn="0" w:firstRowLastColumn="0" w:lastRowFirstColumn="0" w:lastRowLastColumn="0"/>
            </w:pPr>
            <w:r w:rsidRPr="002003B8">
              <w:t>NAVIGATOR (P3)</w:t>
            </w:r>
          </w:p>
        </w:tc>
        <w:tc>
          <w:tcPr>
            <w:tcW w:w="1032" w:type="pct"/>
          </w:tcPr>
          <w:p w14:paraId="146DA1CB" w14:textId="6EAFFD5C" w:rsidR="003F30A8" w:rsidRPr="002003B8" w:rsidRDefault="003F30A8" w:rsidP="005657B1">
            <w:pPr>
              <w:cnfStyle w:val="100000000000" w:firstRow="1" w:lastRow="0" w:firstColumn="0" w:lastColumn="0" w:oddVBand="0" w:evenVBand="0" w:oddHBand="0" w:evenHBand="0" w:firstRowFirstColumn="0" w:firstRowLastColumn="0" w:lastRowFirstColumn="0" w:lastRowLastColumn="0"/>
            </w:pPr>
            <w:r w:rsidRPr="002003B8">
              <w:t>SOURCE (P3)</w:t>
            </w:r>
          </w:p>
        </w:tc>
        <w:tc>
          <w:tcPr>
            <w:tcW w:w="1034" w:type="pct"/>
          </w:tcPr>
          <w:p w14:paraId="4CE4B0E7" w14:textId="7097A1FD" w:rsidR="003F30A8" w:rsidRPr="002003B8" w:rsidRDefault="003F30A8" w:rsidP="005657B1">
            <w:pPr>
              <w:cnfStyle w:val="100000000000" w:firstRow="1" w:lastRow="0" w:firstColumn="0" w:lastColumn="0" w:oddVBand="0" w:evenVBand="0" w:oddHBand="0" w:evenHBand="0" w:firstRowFirstColumn="0" w:firstRowLastColumn="0" w:lastRowFirstColumn="0" w:lastRowLastColumn="0"/>
            </w:pPr>
            <w:r w:rsidRPr="002003B8">
              <w:t>CASCADE (P2)</w:t>
            </w:r>
          </w:p>
        </w:tc>
        <w:tc>
          <w:tcPr>
            <w:tcW w:w="1030" w:type="pct"/>
          </w:tcPr>
          <w:p w14:paraId="54A02267" w14:textId="042E5296" w:rsidR="003F30A8" w:rsidRPr="002003B8" w:rsidRDefault="003F30A8" w:rsidP="005657B1">
            <w:pPr>
              <w:cnfStyle w:val="100000000000" w:firstRow="1" w:lastRow="0" w:firstColumn="0" w:lastColumn="0" w:oddVBand="0" w:evenVBand="0" w:oddHBand="0" w:evenHBand="0" w:firstRowFirstColumn="0" w:firstRowLastColumn="0" w:lastRowFirstColumn="0" w:lastRowLastColumn="0"/>
            </w:pPr>
            <w:r w:rsidRPr="002003B8">
              <w:t>PATHWAY (P2)</w:t>
            </w:r>
          </w:p>
        </w:tc>
      </w:tr>
      <w:tr w:rsidR="00FC618A" w:rsidRPr="00D01DDB" w14:paraId="65E05769" w14:textId="63F813E4" w:rsidTr="00FC618A">
        <w:tc>
          <w:tcPr>
            <w:cnfStyle w:val="001000000000" w:firstRow="0" w:lastRow="0" w:firstColumn="1" w:lastColumn="0" w:oddVBand="0" w:evenVBand="0" w:oddHBand="0" w:evenHBand="0" w:firstRowFirstColumn="0" w:firstRowLastColumn="0" w:lastRowFirstColumn="0" w:lastRowLastColumn="0"/>
            <w:tcW w:w="950" w:type="pct"/>
            <w:vMerge/>
          </w:tcPr>
          <w:p w14:paraId="50FE842E" w14:textId="77777777" w:rsidR="003F30A8" w:rsidRPr="00D01DDB" w:rsidRDefault="003F30A8" w:rsidP="005657B1">
            <w:pPr>
              <w:rPr>
                <w:szCs w:val="22"/>
              </w:rPr>
            </w:pPr>
          </w:p>
        </w:tc>
        <w:tc>
          <w:tcPr>
            <w:tcW w:w="954" w:type="pct"/>
          </w:tcPr>
          <w:p w14:paraId="4F21A955" w14:textId="5BDA0A93" w:rsidR="003F30A8" w:rsidRPr="004A0ADC" w:rsidRDefault="003F30A8" w:rsidP="005657B1">
            <w:pPr>
              <w:cnfStyle w:val="000000000000" w:firstRow="0" w:lastRow="0" w:firstColumn="0" w:lastColumn="0" w:oddVBand="0" w:evenVBand="0" w:oddHBand="0" w:evenHBand="0" w:firstRowFirstColumn="0" w:firstRowLastColumn="0" w:lastRowFirstColumn="0" w:lastRowLastColumn="0"/>
              <w:rPr>
                <w:sz w:val="18"/>
                <w:szCs w:val="18"/>
                <w:lang w:eastAsia="ja-JP"/>
              </w:rPr>
            </w:pPr>
            <w:r w:rsidRPr="004A0ADC">
              <w:rPr>
                <w:sz w:val="18"/>
                <w:szCs w:val="18"/>
                <w:lang w:eastAsia="ja-JP"/>
              </w:rPr>
              <w:t>Adolescents</w:t>
            </w:r>
            <w:r w:rsidR="00FC618A">
              <w:rPr>
                <w:sz w:val="18"/>
                <w:szCs w:val="18"/>
                <w:lang w:eastAsia="ja-JP"/>
              </w:rPr>
              <w:t xml:space="preserve"> and </w:t>
            </w:r>
            <w:r w:rsidRPr="004A0ADC">
              <w:rPr>
                <w:sz w:val="18"/>
                <w:szCs w:val="18"/>
                <w:lang w:eastAsia="ja-JP"/>
              </w:rPr>
              <w:t>Adults</w:t>
            </w:r>
          </w:p>
        </w:tc>
        <w:tc>
          <w:tcPr>
            <w:tcW w:w="1032" w:type="pct"/>
          </w:tcPr>
          <w:p w14:paraId="596A0CCD" w14:textId="58AC7579" w:rsidR="003F30A8" w:rsidRPr="004A0ADC" w:rsidRDefault="003F30A8" w:rsidP="005657B1">
            <w:pPr>
              <w:cnfStyle w:val="000000000000" w:firstRow="0" w:lastRow="0" w:firstColumn="0" w:lastColumn="0" w:oddVBand="0" w:evenVBand="0" w:oddHBand="0" w:evenHBand="0" w:firstRowFirstColumn="0" w:firstRowLastColumn="0" w:lastRowFirstColumn="0" w:lastRowLastColumn="0"/>
              <w:rPr>
                <w:sz w:val="18"/>
                <w:szCs w:val="18"/>
                <w:lang w:eastAsia="ja-JP"/>
              </w:rPr>
            </w:pPr>
            <w:r w:rsidRPr="004A0ADC">
              <w:rPr>
                <w:sz w:val="18"/>
                <w:szCs w:val="18"/>
                <w:lang w:eastAsia="ja-JP"/>
              </w:rPr>
              <w:t>Adults</w:t>
            </w:r>
          </w:p>
        </w:tc>
        <w:tc>
          <w:tcPr>
            <w:tcW w:w="1034" w:type="pct"/>
          </w:tcPr>
          <w:p w14:paraId="5479F607" w14:textId="6B237980" w:rsidR="003F30A8" w:rsidRPr="004A0ADC" w:rsidRDefault="003F30A8" w:rsidP="005657B1">
            <w:pPr>
              <w:cnfStyle w:val="000000000000" w:firstRow="0" w:lastRow="0" w:firstColumn="0" w:lastColumn="0" w:oddVBand="0" w:evenVBand="0" w:oddHBand="0" w:evenHBand="0" w:firstRowFirstColumn="0" w:firstRowLastColumn="0" w:lastRowFirstColumn="0" w:lastRowLastColumn="0"/>
              <w:rPr>
                <w:sz w:val="18"/>
                <w:szCs w:val="18"/>
                <w:lang w:eastAsia="ja-JP"/>
              </w:rPr>
            </w:pPr>
            <w:r w:rsidRPr="004A0ADC">
              <w:rPr>
                <w:sz w:val="18"/>
                <w:szCs w:val="18"/>
                <w:lang w:eastAsia="ja-JP"/>
              </w:rPr>
              <w:t>Adults</w:t>
            </w:r>
          </w:p>
        </w:tc>
        <w:tc>
          <w:tcPr>
            <w:tcW w:w="1030" w:type="pct"/>
          </w:tcPr>
          <w:p w14:paraId="3F1FEBBE" w14:textId="4AF903DC" w:rsidR="003F30A8" w:rsidRPr="004A0ADC" w:rsidRDefault="003F30A8" w:rsidP="005657B1">
            <w:pPr>
              <w:cnfStyle w:val="000000000000" w:firstRow="0" w:lastRow="0" w:firstColumn="0" w:lastColumn="0" w:oddVBand="0" w:evenVBand="0" w:oddHBand="0" w:evenHBand="0" w:firstRowFirstColumn="0" w:firstRowLastColumn="0" w:lastRowFirstColumn="0" w:lastRowLastColumn="0"/>
              <w:rPr>
                <w:sz w:val="18"/>
                <w:szCs w:val="18"/>
                <w:lang w:eastAsia="ja-JP"/>
              </w:rPr>
            </w:pPr>
            <w:r w:rsidRPr="004A0ADC">
              <w:rPr>
                <w:sz w:val="18"/>
                <w:szCs w:val="18"/>
                <w:lang w:eastAsia="ja-JP"/>
              </w:rPr>
              <w:t>Adults</w:t>
            </w:r>
          </w:p>
        </w:tc>
      </w:tr>
      <w:tr w:rsidR="00FC618A" w:rsidRPr="00D01DDB" w14:paraId="13C9FD0D" w14:textId="4727BE25" w:rsidTr="00FC618A">
        <w:tc>
          <w:tcPr>
            <w:cnfStyle w:val="001000000000" w:firstRow="0" w:lastRow="0" w:firstColumn="1" w:lastColumn="0" w:oddVBand="0" w:evenVBand="0" w:oddHBand="0" w:evenHBand="0" w:firstRowFirstColumn="0" w:firstRowLastColumn="0" w:lastRowFirstColumn="0" w:lastRowLastColumn="0"/>
            <w:tcW w:w="950" w:type="pct"/>
            <w:vMerge/>
          </w:tcPr>
          <w:p w14:paraId="6A86546C" w14:textId="306CB674" w:rsidR="003F30A8" w:rsidRPr="00D01DDB" w:rsidRDefault="003F30A8" w:rsidP="005657B1">
            <w:pPr>
              <w:rPr>
                <w:szCs w:val="22"/>
              </w:rPr>
            </w:pPr>
          </w:p>
        </w:tc>
        <w:tc>
          <w:tcPr>
            <w:tcW w:w="954" w:type="pct"/>
          </w:tcPr>
          <w:p w14:paraId="3E61A80C" w14:textId="4E15D92D" w:rsidR="003F30A8" w:rsidRPr="004A0ADC" w:rsidRDefault="003F30A8" w:rsidP="005657B1">
            <w:pPr>
              <w:cnfStyle w:val="000000000000" w:firstRow="0" w:lastRow="0" w:firstColumn="0" w:lastColumn="0" w:oddVBand="0" w:evenVBand="0" w:oddHBand="0" w:evenHBand="0" w:firstRowFirstColumn="0" w:firstRowLastColumn="0" w:lastRowFirstColumn="0" w:lastRowLastColumn="0"/>
              <w:rPr>
                <w:sz w:val="18"/>
                <w:szCs w:val="18"/>
                <w:lang w:eastAsia="ja-JP"/>
              </w:rPr>
            </w:pPr>
            <w:r w:rsidRPr="004A0ADC">
              <w:rPr>
                <w:sz w:val="18"/>
                <w:szCs w:val="18"/>
                <w:lang w:eastAsia="ja-JP"/>
              </w:rPr>
              <w:t xml:space="preserve">TEZ 210 mg Q4W </w:t>
            </w:r>
          </w:p>
        </w:tc>
        <w:tc>
          <w:tcPr>
            <w:tcW w:w="1032" w:type="pct"/>
          </w:tcPr>
          <w:p w14:paraId="4378B504" w14:textId="37396D6A" w:rsidR="003F30A8" w:rsidRPr="004A0ADC" w:rsidRDefault="003F30A8" w:rsidP="005657B1">
            <w:pPr>
              <w:cnfStyle w:val="000000000000" w:firstRow="0" w:lastRow="0" w:firstColumn="0" w:lastColumn="0" w:oddVBand="0" w:evenVBand="0" w:oddHBand="0" w:evenHBand="0" w:firstRowFirstColumn="0" w:firstRowLastColumn="0" w:lastRowFirstColumn="0" w:lastRowLastColumn="0"/>
              <w:rPr>
                <w:sz w:val="18"/>
                <w:szCs w:val="18"/>
                <w:lang w:eastAsia="ja-JP"/>
              </w:rPr>
            </w:pPr>
            <w:r w:rsidRPr="004A0ADC">
              <w:rPr>
                <w:sz w:val="18"/>
                <w:szCs w:val="18"/>
                <w:lang w:eastAsia="ja-JP"/>
              </w:rPr>
              <w:t>TEZ 210 mg Q4W</w:t>
            </w:r>
          </w:p>
        </w:tc>
        <w:tc>
          <w:tcPr>
            <w:tcW w:w="1034" w:type="pct"/>
          </w:tcPr>
          <w:p w14:paraId="12459DF8" w14:textId="31273BB9" w:rsidR="003F30A8" w:rsidRPr="004A0ADC" w:rsidRDefault="003F30A8" w:rsidP="005657B1">
            <w:pPr>
              <w:cnfStyle w:val="000000000000" w:firstRow="0" w:lastRow="0" w:firstColumn="0" w:lastColumn="0" w:oddVBand="0" w:evenVBand="0" w:oddHBand="0" w:evenHBand="0" w:firstRowFirstColumn="0" w:firstRowLastColumn="0" w:lastRowFirstColumn="0" w:lastRowLastColumn="0"/>
              <w:rPr>
                <w:sz w:val="18"/>
                <w:szCs w:val="18"/>
                <w:lang w:eastAsia="ja-JP"/>
              </w:rPr>
            </w:pPr>
            <w:r w:rsidRPr="004A0ADC">
              <w:rPr>
                <w:sz w:val="18"/>
                <w:szCs w:val="18"/>
                <w:lang w:eastAsia="ja-JP"/>
              </w:rPr>
              <w:t>TEZ 210 mg Q4W</w:t>
            </w:r>
          </w:p>
        </w:tc>
        <w:tc>
          <w:tcPr>
            <w:tcW w:w="1030" w:type="pct"/>
          </w:tcPr>
          <w:p w14:paraId="5AB659AC" w14:textId="1180E1B4" w:rsidR="003F30A8" w:rsidRPr="004A0ADC" w:rsidRDefault="003F30A8" w:rsidP="005657B1">
            <w:pPr>
              <w:cnfStyle w:val="000000000000" w:firstRow="0" w:lastRow="0" w:firstColumn="0" w:lastColumn="0" w:oddVBand="0" w:evenVBand="0" w:oddHBand="0" w:evenHBand="0" w:firstRowFirstColumn="0" w:firstRowLastColumn="0" w:lastRowFirstColumn="0" w:lastRowLastColumn="0"/>
              <w:rPr>
                <w:sz w:val="18"/>
                <w:szCs w:val="18"/>
                <w:lang w:eastAsia="ja-JP"/>
              </w:rPr>
            </w:pPr>
            <w:r w:rsidRPr="004A0ADC">
              <w:rPr>
                <w:sz w:val="18"/>
                <w:szCs w:val="18"/>
                <w:lang w:eastAsia="ja-JP"/>
              </w:rPr>
              <w:t>TEZ 70 mg Q4W, 210 mg Q4W, 280</w:t>
            </w:r>
            <w:r w:rsidR="004A0ADC">
              <w:rPr>
                <w:sz w:val="18"/>
                <w:szCs w:val="18"/>
                <w:lang w:eastAsia="ja-JP"/>
              </w:rPr>
              <w:t> </w:t>
            </w:r>
            <w:r w:rsidRPr="004A0ADC">
              <w:rPr>
                <w:sz w:val="18"/>
                <w:szCs w:val="18"/>
                <w:lang w:eastAsia="ja-JP"/>
              </w:rPr>
              <w:t>mg Q2W</w:t>
            </w:r>
          </w:p>
        </w:tc>
      </w:tr>
      <w:tr w:rsidR="00FC618A" w:rsidRPr="00D01DDB" w14:paraId="15AC0A1B" w14:textId="64D7F45B" w:rsidTr="00FC618A">
        <w:tc>
          <w:tcPr>
            <w:cnfStyle w:val="001000000000" w:firstRow="0" w:lastRow="0" w:firstColumn="1" w:lastColumn="0" w:oddVBand="0" w:evenVBand="0" w:oddHBand="0" w:evenHBand="0" w:firstRowFirstColumn="0" w:firstRowLastColumn="0" w:lastRowFirstColumn="0" w:lastRowLastColumn="0"/>
            <w:tcW w:w="950" w:type="pct"/>
            <w:vMerge/>
          </w:tcPr>
          <w:p w14:paraId="46FD99EA" w14:textId="29F31E4C" w:rsidR="003F30A8" w:rsidRPr="00D01DDB" w:rsidRDefault="003F30A8" w:rsidP="005657B1">
            <w:pPr>
              <w:rPr>
                <w:szCs w:val="22"/>
              </w:rPr>
            </w:pPr>
          </w:p>
        </w:tc>
        <w:tc>
          <w:tcPr>
            <w:tcW w:w="954" w:type="pct"/>
          </w:tcPr>
          <w:p w14:paraId="0A0676B6" w14:textId="100ECE26" w:rsidR="003F30A8" w:rsidRPr="004A0ADC" w:rsidRDefault="003F30A8" w:rsidP="005657B1">
            <w:pPr>
              <w:cnfStyle w:val="000000000000" w:firstRow="0" w:lastRow="0" w:firstColumn="0" w:lastColumn="0" w:oddVBand="0" w:evenVBand="0" w:oddHBand="0" w:evenHBand="0" w:firstRowFirstColumn="0" w:firstRowLastColumn="0" w:lastRowFirstColumn="0" w:lastRowLastColumn="0"/>
              <w:rPr>
                <w:sz w:val="18"/>
                <w:szCs w:val="18"/>
                <w:lang w:eastAsia="ja-JP"/>
              </w:rPr>
            </w:pPr>
            <w:r w:rsidRPr="004A0ADC">
              <w:rPr>
                <w:sz w:val="18"/>
                <w:szCs w:val="18"/>
                <w:lang w:eastAsia="ja-JP"/>
              </w:rPr>
              <w:t>Placebo-controlled</w:t>
            </w:r>
          </w:p>
        </w:tc>
        <w:tc>
          <w:tcPr>
            <w:tcW w:w="1032" w:type="pct"/>
          </w:tcPr>
          <w:p w14:paraId="3504C948" w14:textId="230748FF" w:rsidR="003F30A8" w:rsidRPr="004A0ADC" w:rsidRDefault="003F30A8" w:rsidP="005657B1">
            <w:pPr>
              <w:cnfStyle w:val="000000000000" w:firstRow="0" w:lastRow="0" w:firstColumn="0" w:lastColumn="0" w:oddVBand="0" w:evenVBand="0" w:oddHBand="0" w:evenHBand="0" w:firstRowFirstColumn="0" w:firstRowLastColumn="0" w:lastRowFirstColumn="0" w:lastRowLastColumn="0"/>
              <w:rPr>
                <w:sz w:val="18"/>
                <w:szCs w:val="18"/>
                <w:lang w:eastAsia="ja-JP"/>
              </w:rPr>
            </w:pPr>
            <w:r w:rsidRPr="004A0ADC">
              <w:rPr>
                <w:sz w:val="18"/>
                <w:szCs w:val="18"/>
                <w:lang w:eastAsia="ja-JP"/>
              </w:rPr>
              <w:t>Placebo-controlled</w:t>
            </w:r>
          </w:p>
        </w:tc>
        <w:tc>
          <w:tcPr>
            <w:tcW w:w="1034" w:type="pct"/>
          </w:tcPr>
          <w:p w14:paraId="13AAAC98" w14:textId="69881329" w:rsidR="003F30A8" w:rsidRPr="004A0ADC" w:rsidRDefault="003F30A8" w:rsidP="005657B1">
            <w:pPr>
              <w:cnfStyle w:val="000000000000" w:firstRow="0" w:lastRow="0" w:firstColumn="0" w:lastColumn="0" w:oddVBand="0" w:evenVBand="0" w:oddHBand="0" w:evenHBand="0" w:firstRowFirstColumn="0" w:firstRowLastColumn="0" w:lastRowFirstColumn="0" w:lastRowLastColumn="0"/>
              <w:rPr>
                <w:sz w:val="18"/>
                <w:szCs w:val="18"/>
                <w:lang w:eastAsia="ja-JP"/>
              </w:rPr>
            </w:pPr>
            <w:r w:rsidRPr="004A0ADC">
              <w:rPr>
                <w:sz w:val="18"/>
                <w:szCs w:val="18"/>
                <w:lang w:eastAsia="ja-JP"/>
              </w:rPr>
              <w:t>Placebo-controlled</w:t>
            </w:r>
          </w:p>
        </w:tc>
        <w:tc>
          <w:tcPr>
            <w:tcW w:w="1030" w:type="pct"/>
          </w:tcPr>
          <w:p w14:paraId="4BC628D7" w14:textId="2453F266" w:rsidR="003F30A8" w:rsidRPr="004A0ADC" w:rsidRDefault="003F30A8" w:rsidP="005657B1">
            <w:pPr>
              <w:cnfStyle w:val="000000000000" w:firstRow="0" w:lastRow="0" w:firstColumn="0" w:lastColumn="0" w:oddVBand="0" w:evenVBand="0" w:oddHBand="0" w:evenHBand="0" w:firstRowFirstColumn="0" w:firstRowLastColumn="0" w:lastRowFirstColumn="0" w:lastRowLastColumn="0"/>
              <w:rPr>
                <w:sz w:val="18"/>
                <w:szCs w:val="18"/>
                <w:lang w:eastAsia="ja-JP"/>
              </w:rPr>
            </w:pPr>
            <w:r w:rsidRPr="004A0ADC">
              <w:rPr>
                <w:sz w:val="18"/>
                <w:szCs w:val="18"/>
                <w:lang w:eastAsia="ja-JP"/>
              </w:rPr>
              <w:t>Placebo-controlled</w:t>
            </w:r>
          </w:p>
        </w:tc>
      </w:tr>
      <w:tr w:rsidR="00FC618A" w:rsidRPr="00D01DDB" w14:paraId="58EBBD3C" w14:textId="5DEAC596" w:rsidTr="00FC618A">
        <w:tc>
          <w:tcPr>
            <w:cnfStyle w:val="001000000000" w:firstRow="0" w:lastRow="0" w:firstColumn="1" w:lastColumn="0" w:oddVBand="0" w:evenVBand="0" w:oddHBand="0" w:evenHBand="0" w:firstRowFirstColumn="0" w:firstRowLastColumn="0" w:lastRowFirstColumn="0" w:lastRowLastColumn="0"/>
            <w:tcW w:w="950" w:type="pct"/>
          </w:tcPr>
          <w:p w14:paraId="390C3989" w14:textId="17EACF5F" w:rsidR="007750B5" w:rsidRPr="00D01DDB" w:rsidRDefault="007750B5" w:rsidP="005657B1">
            <w:pPr>
              <w:rPr>
                <w:szCs w:val="22"/>
              </w:rPr>
            </w:pPr>
            <w:r w:rsidRPr="000A6910">
              <w:rPr>
                <w:lang w:eastAsia="ja-JP"/>
              </w:rPr>
              <w:t xml:space="preserve">Blood eosinophils </w:t>
            </w:r>
          </w:p>
        </w:tc>
        <w:tc>
          <w:tcPr>
            <w:tcW w:w="954" w:type="pct"/>
          </w:tcPr>
          <w:p w14:paraId="250810EA" w14:textId="4222577A"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rFonts w:ascii="Cambria Math" w:hAnsi="Cambria Math" w:cs="Cambria Math"/>
                <w:lang w:eastAsia="ja-JP"/>
              </w:rPr>
              <w:t>⬇</w:t>
            </w:r>
          </w:p>
        </w:tc>
        <w:tc>
          <w:tcPr>
            <w:tcW w:w="1032" w:type="pct"/>
          </w:tcPr>
          <w:p w14:paraId="417DBA2C" w14:textId="40932762"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rFonts w:ascii="Cambria Math" w:hAnsi="Cambria Math" w:cs="Cambria Math"/>
                <w:lang w:eastAsia="ja-JP"/>
              </w:rPr>
              <w:t>⬇</w:t>
            </w:r>
          </w:p>
        </w:tc>
        <w:tc>
          <w:tcPr>
            <w:tcW w:w="1034" w:type="pct"/>
          </w:tcPr>
          <w:p w14:paraId="0F5C09AC" w14:textId="56FF5A5B"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w:t>
            </w:r>
          </w:p>
        </w:tc>
        <w:tc>
          <w:tcPr>
            <w:tcW w:w="1030" w:type="pct"/>
          </w:tcPr>
          <w:p w14:paraId="12AAE196" w14:textId="662FBBD9"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w:t>
            </w:r>
          </w:p>
        </w:tc>
      </w:tr>
      <w:tr w:rsidR="00FC618A" w:rsidRPr="00D01DDB" w14:paraId="0FDC63E7" w14:textId="12D57420" w:rsidTr="00FC618A">
        <w:tc>
          <w:tcPr>
            <w:cnfStyle w:val="001000000000" w:firstRow="0" w:lastRow="0" w:firstColumn="1" w:lastColumn="0" w:oddVBand="0" w:evenVBand="0" w:oddHBand="0" w:evenHBand="0" w:firstRowFirstColumn="0" w:firstRowLastColumn="0" w:lastRowFirstColumn="0" w:lastRowLastColumn="0"/>
            <w:tcW w:w="950" w:type="pct"/>
          </w:tcPr>
          <w:p w14:paraId="66C79803" w14:textId="26222769" w:rsidR="007750B5" w:rsidRPr="00D01DDB" w:rsidRDefault="007750B5" w:rsidP="005657B1">
            <w:pPr>
              <w:rPr>
                <w:szCs w:val="22"/>
              </w:rPr>
            </w:pPr>
            <w:r w:rsidRPr="000A6910">
              <w:rPr>
                <w:lang w:eastAsia="ja-JP"/>
              </w:rPr>
              <w:t>Total IGE</w:t>
            </w:r>
          </w:p>
        </w:tc>
        <w:tc>
          <w:tcPr>
            <w:tcW w:w="954" w:type="pct"/>
          </w:tcPr>
          <w:p w14:paraId="121F968A" w14:textId="3A82C28E"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rFonts w:ascii="Cambria Math" w:hAnsi="Cambria Math" w:cs="Cambria Math"/>
                <w:lang w:eastAsia="ja-JP"/>
              </w:rPr>
              <w:t>⬇</w:t>
            </w:r>
          </w:p>
        </w:tc>
        <w:tc>
          <w:tcPr>
            <w:tcW w:w="1032" w:type="pct"/>
          </w:tcPr>
          <w:p w14:paraId="60DEF1BD" w14:textId="685AB291"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rFonts w:ascii="Cambria Math" w:hAnsi="Cambria Math" w:cs="Cambria Math"/>
                <w:lang w:eastAsia="ja-JP"/>
              </w:rPr>
              <w:t>⬇</w:t>
            </w:r>
          </w:p>
        </w:tc>
        <w:tc>
          <w:tcPr>
            <w:tcW w:w="1034" w:type="pct"/>
          </w:tcPr>
          <w:p w14:paraId="63ECD60C" w14:textId="1D3A3ABD"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w:t>
            </w:r>
          </w:p>
        </w:tc>
        <w:tc>
          <w:tcPr>
            <w:tcW w:w="1030" w:type="pct"/>
          </w:tcPr>
          <w:p w14:paraId="21D4ABA5" w14:textId="504654F0"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w:t>
            </w:r>
          </w:p>
        </w:tc>
      </w:tr>
      <w:tr w:rsidR="00FC618A" w:rsidRPr="00D01DDB" w14:paraId="520B2098" w14:textId="3D2A724C" w:rsidTr="00FC618A">
        <w:tc>
          <w:tcPr>
            <w:cnfStyle w:val="001000000000" w:firstRow="0" w:lastRow="0" w:firstColumn="1" w:lastColumn="0" w:oddVBand="0" w:evenVBand="0" w:oddHBand="0" w:evenHBand="0" w:firstRowFirstColumn="0" w:firstRowLastColumn="0" w:lastRowFirstColumn="0" w:lastRowLastColumn="0"/>
            <w:tcW w:w="950" w:type="pct"/>
          </w:tcPr>
          <w:p w14:paraId="14F14AB8" w14:textId="493E3D30" w:rsidR="007750B5" w:rsidRPr="00D01DDB" w:rsidRDefault="007750B5" w:rsidP="005657B1">
            <w:pPr>
              <w:rPr>
                <w:szCs w:val="22"/>
              </w:rPr>
            </w:pPr>
            <w:proofErr w:type="spellStart"/>
            <w:r w:rsidRPr="000A6910">
              <w:rPr>
                <w:lang w:eastAsia="ja-JP"/>
              </w:rPr>
              <w:t>FeN</w:t>
            </w:r>
            <w:r w:rsidR="00FA3415">
              <w:rPr>
                <w:lang w:eastAsia="ja-JP"/>
              </w:rPr>
              <w:t>O</w:t>
            </w:r>
            <w:proofErr w:type="spellEnd"/>
          </w:p>
        </w:tc>
        <w:tc>
          <w:tcPr>
            <w:tcW w:w="954" w:type="pct"/>
          </w:tcPr>
          <w:p w14:paraId="07CC385C" w14:textId="456E9641"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rFonts w:ascii="Cambria Math" w:hAnsi="Cambria Math" w:cs="Cambria Math"/>
                <w:lang w:eastAsia="ja-JP"/>
              </w:rPr>
              <w:t>⬇</w:t>
            </w:r>
          </w:p>
        </w:tc>
        <w:tc>
          <w:tcPr>
            <w:tcW w:w="1032" w:type="pct"/>
          </w:tcPr>
          <w:p w14:paraId="409AC7C9" w14:textId="7A8147F4"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rFonts w:ascii="Cambria Math" w:hAnsi="Cambria Math" w:cs="Cambria Math"/>
                <w:lang w:eastAsia="ja-JP"/>
              </w:rPr>
              <w:t>⬇</w:t>
            </w:r>
          </w:p>
        </w:tc>
        <w:tc>
          <w:tcPr>
            <w:tcW w:w="1034" w:type="pct"/>
          </w:tcPr>
          <w:p w14:paraId="0CEF43DD" w14:textId="5DEC2ACB"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w:t>
            </w:r>
          </w:p>
        </w:tc>
        <w:tc>
          <w:tcPr>
            <w:tcW w:w="1030" w:type="pct"/>
          </w:tcPr>
          <w:p w14:paraId="206FB4DD" w14:textId="3535649D"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w:t>
            </w:r>
          </w:p>
        </w:tc>
      </w:tr>
      <w:tr w:rsidR="00FC618A" w:rsidRPr="00D01DDB" w14:paraId="14718A75" w14:textId="77777777" w:rsidTr="00FC618A">
        <w:tc>
          <w:tcPr>
            <w:cnfStyle w:val="001000000000" w:firstRow="0" w:lastRow="0" w:firstColumn="1" w:lastColumn="0" w:oddVBand="0" w:evenVBand="0" w:oddHBand="0" w:evenHBand="0" w:firstRowFirstColumn="0" w:firstRowLastColumn="0" w:lastRowFirstColumn="0" w:lastRowLastColumn="0"/>
            <w:tcW w:w="950" w:type="pct"/>
          </w:tcPr>
          <w:p w14:paraId="665B04D3" w14:textId="70743611" w:rsidR="007750B5" w:rsidRPr="00D01DDB" w:rsidRDefault="007750B5" w:rsidP="005657B1">
            <w:pPr>
              <w:rPr>
                <w:szCs w:val="22"/>
              </w:rPr>
            </w:pPr>
            <w:r w:rsidRPr="000A6910">
              <w:rPr>
                <w:lang w:eastAsia="ja-JP"/>
              </w:rPr>
              <w:t>IL-5</w:t>
            </w:r>
          </w:p>
        </w:tc>
        <w:tc>
          <w:tcPr>
            <w:tcW w:w="954" w:type="pct"/>
          </w:tcPr>
          <w:p w14:paraId="4CD50092" w14:textId="3E871F32"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rFonts w:ascii="Cambria Math" w:hAnsi="Cambria Math" w:cs="Cambria Math"/>
                <w:lang w:eastAsia="ja-JP"/>
              </w:rPr>
              <w:t>⬇</w:t>
            </w:r>
          </w:p>
        </w:tc>
        <w:tc>
          <w:tcPr>
            <w:tcW w:w="1032" w:type="pct"/>
          </w:tcPr>
          <w:p w14:paraId="2283CCCA" w14:textId="4CB24F54"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rFonts w:ascii="Cambria Math" w:hAnsi="Cambria Math" w:cs="Cambria Math"/>
                <w:lang w:eastAsia="ja-JP"/>
              </w:rPr>
              <w:t>⬇</w:t>
            </w:r>
          </w:p>
        </w:tc>
        <w:tc>
          <w:tcPr>
            <w:tcW w:w="1034" w:type="pct"/>
          </w:tcPr>
          <w:p w14:paraId="35541C81" w14:textId="4832882F"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w:t>
            </w:r>
          </w:p>
        </w:tc>
        <w:tc>
          <w:tcPr>
            <w:tcW w:w="1030" w:type="pct"/>
          </w:tcPr>
          <w:p w14:paraId="76D64066" w14:textId="5C61A450"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N/A</w:t>
            </w:r>
          </w:p>
        </w:tc>
      </w:tr>
      <w:tr w:rsidR="00FC618A" w:rsidRPr="00D01DDB" w14:paraId="4B6B5511" w14:textId="77777777" w:rsidTr="00FC618A">
        <w:tc>
          <w:tcPr>
            <w:cnfStyle w:val="001000000000" w:firstRow="0" w:lastRow="0" w:firstColumn="1" w:lastColumn="0" w:oddVBand="0" w:evenVBand="0" w:oddHBand="0" w:evenHBand="0" w:firstRowFirstColumn="0" w:firstRowLastColumn="0" w:lastRowFirstColumn="0" w:lastRowLastColumn="0"/>
            <w:tcW w:w="950" w:type="pct"/>
          </w:tcPr>
          <w:p w14:paraId="62D978A7" w14:textId="354B0E81" w:rsidR="007750B5" w:rsidRPr="00D01DDB" w:rsidRDefault="007750B5" w:rsidP="005657B1">
            <w:pPr>
              <w:rPr>
                <w:szCs w:val="22"/>
              </w:rPr>
            </w:pPr>
            <w:r w:rsidRPr="000A6910">
              <w:rPr>
                <w:lang w:eastAsia="ja-JP"/>
              </w:rPr>
              <w:t>IL-</w:t>
            </w:r>
            <w:r>
              <w:rPr>
                <w:lang w:eastAsia="ja-JP"/>
              </w:rPr>
              <w:t>1</w:t>
            </w:r>
            <w:r w:rsidRPr="000A6910">
              <w:rPr>
                <w:lang w:eastAsia="ja-JP"/>
              </w:rPr>
              <w:t>3</w:t>
            </w:r>
          </w:p>
        </w:tc>
        <w:tc>
          <w:tcPr>
            <w:tcW w:w="954" w:type="pct"/>
          </w:tcPr>
          <w:p w14:paraId="4BF689D1" w14:textId="60C48400"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rFonts w:ascii="Cambria Math" w:hAnsi="Cambria Math" w:cs="Cambria Math"/>
                <w:lang w:eastAsia="ja-JP"/>
              </w:rPr>
              <w:t>⬇</w:t>
            </w:r>
          </w:p>
        </w:tc>
        <w:tc>
          <w:tcPr>
            <w:tcW w:w="1032" w:type="pct"/>
          </w:tcPr>
          <w:p w14:paraId="4C11E706" w14:textId="6F9A34BC"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rFonts w:ascii="Cambria Math" w:hAnsi="Cambria Math" w:cs="Cambria Math"/>
                <w:lang w:eastAsia="ja-JP"/>
              </w:rPr>
              <w:t>⬇</w:t>
            </w:r>
          </w:p>
        </w:tc>
        <w:tc>
          <w:tcPr>
            <w:tcW w:w="1034" w:type="pct"/>
          </w:tcPr>
          <w:p w14:paraId="65D8B1AF" w14:textId="559F5621"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w:t>
            </w:r>
          </w:p>
        </w:tc>
        <w:tc>
          <w:tcPr>
            <w:tcW w:w="1030" w:type="pct"/>
          </w:tcPr>
          <w:p w14:paraId="452584FA" w14:textId="28E983A1"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N/A</w:t>
            </w:r>
          </w:p>
        </w:tc>
      </w:tr>
      <w:tr w:rsidR="00FC618A" w:rsidRPr="00D01DDB" w14:paraId="53A92E51" w14:textId="77777777" w:rsidTr="00FC618A">
        <w:tc>
          <w:tcPr>
            <w:cnfStyle w:val="001000000000" w:firstRow="0" w:lastRow="0" w:firstColumn="1" w:lastColumn="0" w:oddVBand="0" w:evenVBand="0" w:oddHBand="0" w:evenHBand="0" w:firstRowFirstColumn="0" w:firstRowLastColumn="0" w:lastRowFirstColumn="0" w:lastRowLastColumn="0"/>
            <w:tcW w:w="950" w:type="pct"/>
          </w:tcPr>
          <w:p w14:paraId="6FAB5CBE" w14:textId="1B784D19" w:rsidR="007750B5" w:rsidRPr="00D01DDB" w:rsidRDefault="007750B5" w:rsidP="005657B1">
            <w:pPr>
              <w:rPr>
                <w:szCs w:val="22"/>
              </w:rPr>
            </w:pPr>
            <w:r w:rsidRPr="000A6910">
              <w:rPr>
                <w:lang w:eastAsia="ja-JP"/>
              </w:rPr>
              <w:t>IL-6</w:t>
            </w:r>
          </w:p>
        </w:tc>
        <w:tc>
          <w:tcPr>
            <w:tcW w:w="954" w:type="pct"/>
          </w:tcPr>
          <w:p w14:paraId="1C11D09F" w14:textId="6E08CEBC"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rFonts w:ascii="Cambria Math" w:hAnsi="Cambria Math" w:cs="Cambria Math"/>
                <w:lang w:eastAsia="ja-JP"/>
              </w:rPr>
              <w:t>⬌</w:t>
            </w:r>
          </w:p>
        </w:tc>
        <w:tc>
          <w:tcPr>
            <w:tcW w:w="1032" w:type="pct"/>
          </w:tcPr>
          <w:p w14:paraId="727D374E" w14:textId="09E60DBB"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lang w:eastAsia="ja-JP"/>
              </w:rPr>
              <w:t>N/A</w:t>
            </w:r>
          </w:p>
        </w:tc>
        <w:tc>
          <w:tcPr>
            <w:tcW w:w="1034" w:type="pct"/>
          </w:tcPr>
          <w:p w14:paraId="48BF997B" w14:textId="5CB80EC5"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N/A</w:t>
            </w:r>
          </w:p>
        </w:tc>
        <w:tc>
          <w:tcPr>
            <w:tcW w:w="1030" w:type="pct"/>
          </w:tcPr>
          <w:p w14:paraId="796FDE1E" w14:textId="216B86EA"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N/A</w:t>
            </w:r>
          </w:p>
        </w:tc>
      </w:tr>
      <w:tr w:rsidR="00FC618A" w:rsidRPr="00D01DDB" w14:paraId="6411A2CF" w14:textId="69526D24" w:rsidTr="00FC618A">
        <w:tc>
          <w:tcPr>
            <w:cnfStyle w:val="001000000000" w:firstRow="0" w:lastRow="0" w:firstColumn="1" w:lastColumn="0" w:oddVBand="0" w:evenVBand="0" w:oddHBand="0" w:evenHBand="0" w:firstRowFirstColumn="0" w:firstRowLastColumn="0" w:lastRowFirstColumn="0" w:lastRowLastColumn="0"/>
            <w:tcW w:w="950" w:type="pct"/>
          </w:tcPr>
          <w:p w14:paraId="679F68E1" w14:textId="71327093" w:rsidR="007750B5" w:rsidRPr="00D01DDB" w:rsidRDefault="007750B5" w:rsidP="005657B1">
            <w:pPr>
              <w:rPr>
                <w:szCs w:val="22"/>
              </w:rPr>
            </w:pPr>
            <w:r w:rsidRPr="000A6910">
              <w:rPr>
                <w:lang w:eastAsia="ja-JP"/>
              </w:rPr>
              <w:t>CRP</w:t>
            </w:r>
          </w:p>
        </w:tc>
        <w:tc>
          <w:tcPr>
            <w:tcW w:w="954" w:type="pct"/>
          </w:tcPr>
          <w:p w14:paraId="69876231" w14:textId="62F00139"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rFonts w:ascii="Cambria Math" w:hAnsi="Cambria Math" w:cs="Cambria Math"/>
                <w:lang w:eastAsia="ja-JP"/>
              </w:rPr>
              <w:t>⬌</w:t>
            </w:r>
          </w:p>
        </w:tc>
        <w:tc>
          <w:tcPr>
            <w:tcW w:w="1032" w:type="pct"/>
          </w:tcPr>
          <w:p w14:paraId="09CEE592" w14:textId="59A9751B"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lang w:eastAsia="ja-JP"/>
              </w:rPr>
              <w:t>N/A</w:t>
            </w:r>
          </w:p>
        </w:tc>
        <w:tc>
          <w:tcPr>
            <w:tcW w:w="1034" w:type="pct"/>
          </w:tcPr>
          <w:p w14:paraId="6149B780" w14:textId="1C1B9328"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N/A</w:t>
            </w:r>
          </w:p>
        </w:tc>
        <w:tc>
          <w:tcPr>
            <w:tcW w:w="1030" w:type="pct"/>
          </w:tcPr>
          <w:p w14:paraId="1A31DFA3" w14:textId="3523872A"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N/A</w:t>
            </w:r>
          </w:p>
        </w:tc>
      </w:tr>
      <w:tr w:rsidR="00FC618A" w:rsidRPr="00D01DDB" w14:paraId="01EE3542" w14:textId="183B5014" w:rsidTr="00FC618A">
        <w:tc>
          <w:tcPr>
            <w:cnfStyle w:val="001000000000" w:firstRow="0" w:lastRow="0" w:firstColumn="1" w:lastColumn="0" w:oddVBand="0" w:evenVBand="0" w:oddHBand="0" w:evenHBand="0" w:firstRowFirstColumn="0" w:firstRowLastColumn="0" w:lastRowFirstColumn="0" w:lastRowLastColumn="0"/>
            <w:tcW w:w="950" w:type="pct"/>
          </w:tcPr>
          <w:p w14:paraId="139FBBF7" w14:textId="3715B5F5" w:rsidR="007750B5" w:rsidRPr="00D01DDB" w:rsidRDefault="007750B5" w:rsidP="005657B1">
            <w:pPr>
              <w:rPr>
                <w:szCs w:val="22"/>
              </w:rPr>
            </w:pPr>
            <w:r>
              <w:rPr>
                <w:lang w:eastAsia="ja-JP"/>
              </w:rPr>
              <w:t>Plasma eosinophil -derived neurotoxin</w:t>
            </w:r>
          </w:p>
        </w:tc>
        <w:tc>
          <w:tcPr>
            <w:tcW w:w="954" w:type="pct"/>
          </w:tcPr>
          <w:p w14:paraId="71FAA142" w14:textId="2C6BDC86"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lang w:eastAsia="ja-JP"/>
              </w:rPr>
              <w:t>N/A</w:t>
            </w:r>
          </w:p>
        </w:tc>
        <w:tc>
          <w:tcPr>
            <w:tcW w:w="1032" w:type="pct"/>
          </w:tcPr>
          <w:p w14:paraId="37095976" w14:textId="54FE7329"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lang w:eastAsia="ja-JP"/>
              </w:rPr>
              <w:t>N/A</w:t>
            </w:r>
          </w:p>
        </w:tc>
        <w:tc>
          <w:tcPr>
            <w:tcW w:w="1034" w:type="pct"/>
          </w:tcPr>
          <w:p w14:paraId="7CB9E0B3" w14:textId="68E9151C"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w:t>
            </w:r>
          </w:p>
        </w:tc>
        <w:tc>
          <w:tcPr>
            <w:tcW w:w="1030" w:type="pct"/>
          </w:tcPr>
          <w:p w14:paraId="367BC990" w14:textId="2F052D07"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lang w:eastAsia="ja-JP"/>
              </w:rPr>
              <w:t>N/A</w:t>
            </w:r>
          </w:p>
        </w:tc>
      </w:tr>
      <w:tr w:rsidR="00FC618A" w:rsidRPr="00D01DDB" w14:paraId="50167045" w14:textId="2D76FBC4" w:rsidTr="00FC618A">
        <w:tc>
          <w:tcPr>
            <w:cnfStyle w:val="001000000000" w:firstRow="0" w:lastRow="0" w:firstColumn="1" w:lastColumn="0" w:oddVBand="0" w:evenVBand="0" w:oddHBand="0" w:evenHBand="0" w:firstRowFirstColumn="0" w:firstRowLastColumn="0" w:lastRowFirstColumn="0" w:lastRowLastColumn="0"/>
            <w:tcW w:w="950" w:type="pct"/>
          </w:tcPr>
          <w:p w14:paraId="2A7DCCC4" w14:textId="56F249E6" w:rsidR="007750B5" w:rsidRPr="00D01DDB" w:rsidRDefault="007750B5" w:rsidP="005657B1">
            <w:pPr>
              <w:rPr>
                <w:szCs w:val="22"/>
              </w:rPr>
            </w:pPr>
            <w:r>
              <w:rPr>
                <w:lang w:eastAsia="ja-JP"/>
              </w:rPr>
              <w:t>Bronchial submucosal inflammatory cells</w:t>
            </w:r>
          </w:p>
        </w:tc>
        <w:tc>
          <w:tcPr>
            <w:tcW w:w="954" w:type="pct"/>
          </w:tcPr>
          <w:p w14:paraId="37253FFE" w14:textId="40F7BAF9"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lang w:eastAsia="ja-JP"/>
              </w:rPr>
              <w:t>N/A</w:t>
            </w:r>
          </w:p>
        </w:tc>
        <w:tc>
          <w:tcPr>
            <w:tcW w:w="1032" w:type="pct"/>
          </w:tcPr>
          <w:p w14:paraId="2B14B403" w14:textId="4094CA61"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lang w:eastAsia="ja-JP"/>
              </w:rPr>
              <w:t>N/A</w:t>
            </w:r>
          </w:p>
        </w:tc>
        <w:tc>
          <w:tcPr>
            <w:tcW w:w="1034" w:type="pct"/>
          </w:tcPr>
          <w:p w14:paraId="544AAE88" w14:textId="50DBBA1F"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Pr>
                <w:lang w:eastAsia="ja-JP"/>
              </w:rPr>
              <w:t>⬇</w:t>
            </w:r>
          </w:p>
        </w:tc>
        <w:tc>
          <w:tcPr>
            <w:tcW w:w="1030" w:type="pct"/>
          </w:tcPr>
          <w:p w14:paraId="48A54C65" w14:textId="749D260E" w:rsidR="007750B5" w:rsidRPr="00D01DDB" w:rsidRDefault="007750B5" w:rsidP="005657B1">
            <w:pPr>
              <w:cnfStyle w:val="000000000000" w:firstRow="0" w:lastRow="0" w:firstColumn="0" w:lastColumn="0" w:oddVBand="0" w:evenVBand="0" w:oddHBand="0" w:evenHBand="0" w:firstRowFirstColumn="0" w:firstRowLastColumn="0" w:lastRowFirstColumn="0" w:lastRowLastColumn="0"/>
              <w:rPr>
                <w:szCs w:val="22"/>
              </w:rPr>
            </w:pPr>
            <w:r w:rsidRPr="000A6910">
              <w:rPr>
                <w:lang w:eastAsia="ja-JP"/>
              </w:rPr>
              <w:t>N/A</w:t>
            </w:r>
          </w:p>
        </w:tc>
      </w:tr>
    </w:tbl>
    <w:p w14:paraId="62C20A68" w14:textId="3BEE1876" w:rsidR="007750B5" w:rsidRDefault="007750B5" w:rsidP="000F3EA5">
      <w:pPr>
        <w:pStyle w:val="TableDescription"/>
        <w:rPr>
          <w:rFonts w:cs="Cambria Math"/>
          <w:lang w:eastAsia="ja-JP"/>
        </w:rPr>
      </w:pPr>
      <w:r w:rsidRPr="002B33D9">
        <w:rPr>
          <w:lang w:eastAsia="ja-JP"/>
        </w:rPr>
        <w:t xml:space="preserve">Notes: Table prepared based on PD data from the individual studies. P3 = Phase 3; P2 = Phase 2; TEZ = Tezepelumab; </w:t>
      </w:r>
      <w:r w:rsidRPr="002B33D9">
        <w:rPr>
          <w:rFonts w:ascii="Cambria Math" w:hAnsi="Cambria Math" w:cs="Cambria Math"/>
          <w:lang w:eastAsia="ja-JP"/>
        </w:rPr>
        <w:t>⬇</w:t>
      </w:r>
      <w:r w:rsidRPr="002B33D9">
        <w:rPr>
          <w:lang w:eastAsia="ja-JP"/>
        </w:rPr>
        <w:t xml:space="preserve"> = reduction compared with placebo over the course of the study; </w:t>
      </w:r>
      <w:r w:rsidRPr="002B33D9">
        <w:rPr>
          <w:rFonts w:ascii="Cambria Math" w:hAnsi="Cambria Math" w:cs="Cambria Math"/>
          <w:lang w:eastAsia="ja-JP"/>
        </w:rPr>
        <w:t>⬌</w:t>
      </w:r>
      <w:r w:rsidRPr="002B33D9">
        <w:rPr>
          <w:rFonts w:cs="Cambria Math"/>
          <w:lang w:eastAsia="ja-JP"/>
        </w:rPr>
        <w:t xml:space="preserve"> = no change compared with placebo over the course of the study</w:t>
      </w:r>
      <w:r>
        <w:rPr>
          <w:rFonts w:cs="Cambria Math"/>
          <w:lang w:eastAsia="ja-JP"/>
        </w:rPr>
        <w:t>; N/A = Not applicable for the study.</w:t>
      </w:r>
    </w:p>
    <w:p w14:paraId="329184F5" w14:textId="77777777" w:rsidR="007343A2" w:rsidRPr="007343A2" w:rsidRDefault="007343A2" w:rsidP="00B06516">
      <w:pPr>
        <w:pStyle w:val="Heading6"/>
      </w:pPr>
      <w:bookmarkStart w:id="55" w:name="_Toc272414642"/>
      <w:bookmarkStart w:id="56" w:name="_Toc290888490"/>
      <w:bookmarkStart w:id="57" w:name="_Toc416353687"/>
      <w:r w:rsidRPr="007343A2">
        <w:t>Pharmacodynamic effects</w:t>
      </w:r>
      <w:bookmarkEnd w:id="55"/>
      <w:bookmarkEnd w:id="56"/>
      <w:bookmarkEnd w:id="57"/>
    </w:p>
    <w:p w14:paraId="13A67DE1" w14:textId="6DB61EDC" w:rsidR="007343A2" w:rsidRPr="007343A2" w:rsidRDefault="007343A2" w:rsidP="007343A2">
      <w:r w:rsidRPr="007343A2">
        <w:t xml:space="preserve">The </w:t>
      </w:r>
      <w:r w:rsidR="00B06516">
        <w:t>s</w:t>
      </w:r>
      <w:r w:rsidRPr="007343A2">
        <w:t xml:space="preserve">ponsor has investigated the effects of </w:t>
      </w:r>
      <w:proofErr w:type="spellStart"/>
      <w:r w:rsidRPr="007343A2">
        <w:t>tezepelumab</w:t>
      </w:r>
      <w:proofErr w:type="spellEnd"/>
      <w:r w:rsidRPr="007343A2">
        <w:t xml:space="preserve"> on bronchial inflammation, airway calibre, inflammatory biomarkers, and cytokines and on lung function</w:t>
      </w:r>
      <w:r w:rsidR="00B06516">
        <w:t>.</w:t>
      </w:r>
    </w:p>
    <w:p w14:paraId="7537D02A" w14:textId="28F34403" w:rsidR="007343A2" w:rsidRPr="007343A2" w:rsidRDefault="007343A2" w:rsidP="007343A2">
      <w:r w:rsidRPr="007343A2">
        <w:t xml:space="preserve">Tezepelumab reduced levels of biomarkers (eosinophils, </w:t>
      </w:r>
      <w:proofErr w:type="spellStart"/>
      <w:r w:rsidRPr="007343A2">
        <w:t>FeNO</w:t>
      </w:r>
      <w:proofErr w:type="spellEnd"/>
      <w:r w:rsidRPr="007343A2">
        <w:t>) and also caused a progressive reduction in IgE, (</w:t>
      </w:r>
      <w:r w:rsidR="00016E2C">
        <w:fldChar w:fldCharType="begin"/>
      </w:r>
      <w:r w:rsidR="00016E2C">
        <w:instrText xml:space="preserve"> REF _Ref204090453 \h </w:instrText>
      </w:r>
      <w:r w:rsidR="00016E2C">
        <w:fldChar w:fldCharType="separate"/>
      </w:r>
      <w:r w:rsidR="005657B1">
        <w:t xml:space="preserve">Figure </w:t>
      </w:r>
      <w:r w:rsidR="005657B1">
        <w:rPr>
          <w:noProof/>
        </w:rPr>
        <w:t>4</w:t>
      </w:r>
      <w:r w:rsidR="00016E2C">
        <w:fldChar w:fldCharType="end"/>
      </w:r>
      <w:r w:rsidRPr="007343A2">
        <w:t>) with effects generally seen by 2 to 4</w:t>
      </w:r>
      <w:r w:rsidR="006201E3">
        <w:t> </w:t>
      </w:r>
      <w:r w:rsidRPr="007343A2">
        <w:t>weeks (2</w:t>
      </w:r>
      <w:r w:rsidR="00B46D69">
        <w:t> </w:t>
      </w:r>
      <w:r w:rsidRPr="007343A2">
        <w:t>weeks was the earliest time point assessed) and maintained for up to 52</w:t>
      </w:r>
      <w:r w:rsidR="00B46D69">
        <w:t> </w:t>
      </w:r>
      <w:r w:rsidRPr="007343A2">
        <w:t>weeks. The results were generally comparable across NAVIGATOR, SOURCE, CASCADE, and PATHWAY.</w:t>
      </w:r>
    </w:p>
    <w:p w14:paraId="7F7D7F85" w14:textId="7FDBF825" w:rsidR="00B67701" w:rsidRDefault="00D97AD8" w:rsidP="00A3322E">
      <w:pPr>
        <w:pStyle w:val="FigureTitle"/>
        <w:pageBreakBefore/>
      </w:pPr>
      <w:bookmarkStart w:id="58" w:name="_Ref204090453"/>
      <w:r>
        <w:lastRenderedPageBreak/>
        <w:t xml:space="preserve">Figure </w:t>
      </w:r>
      <w:r>
        <w:fldChar w:fldCharType="begin"/>
      </w:r>
      <w:r>
        <w:instrText xml:space="preserve"> SEQ Figure \* ARABIC </w:instrText>
      </w:r>
      <w:r>
        <w:fldChar w:fldCharType="separate"/>
      </w:r>
      <w:r w:rsidR="005657B1">
        <w:rPr>
          <w:noProof/>
        </w:rPr>
        <w:t>4</w:t>
      </w:r>
      <w:r>
        <w:fldChar w:fldCharType="end"/>
      </w:r>
      <w:bookmarkEnd w:id="58"/>
      <w:r>
        <w:t>: NAVIGATOR Adjusted means and 95% Confidence Intervals over time for (a) Eosinophils (b) Fraction exhaled nitric oxide (c) Immunoglobulin E, as Change from baseline (Full analysis set)</w:t>
      </w:r>
    </w:p>
    <w:p w14:paraId="2FCEA209" w14:textId="2B89AF30" w:rsidR="000B2AB5" w:rsidRPr="000B2AB5" w:rsidRDefault="000B2AB5" w:rsidP="000B2AB5">
      <w:r>
        <w:t>(a)</w:t>
      </w:r>
      <w:r w:rsidR="00490779">
        <w:t xml:space="preserve"> Eosinophils</w:t>
      </w:r>
      <w:r w:rsidR="003E240B">
        <w:t xml:space="preserve"> (cells</w:t>
      </w:r>
      <w:r w:rsidR="00A97E64">
        <w:t>/</w:t>
      </w:r>
      <w:proofErr w:type="spellStart"/>
      <w:r w:rsidR="00A97E64">
        <w:t>μL</w:t>
      </w:r>
      <w:proofErr w:type="spellEnd"/>
      <w:r w:rsidR="00A97E64">
        <w:t>)</w:t>
      </w:r>
    </w:p>
    <w:p w14:paraId="32FFFBB4" w14:textId="18BEA308" w:rsidR="00E12FF4" w:rsidRDefault="00933AE8" w:rsidP="005657B1">
      <w:pPr>
        <w:rPr>
          <w:szCs w:val="22"/>
        </w:rPr>
      </w:pPr>
      <w:r>
        <w:rPr>
          <w:noProof/>
        </w:rPr>
        <w:drawing>
          <wp:inline distT="0" distB="0" distL="0" distR="0" wp14:anchorId="6481326F" wp14:editId="585FF79C">
            <wp:extent cx="4502989" cy="2034537"/>
            <wp:effectExtent l="0" t="0" r="0" b="4445"/>
            <wp:docPr id="360432565" name="Picture 1" descr="Figure 4: NAVIGATOR Adjusted means and 95% Confidence Intervals over time for (a) Eosinophils (b) Fraction exhaled nitric oxide (c) Immunoglobulin E, as Change from baseline (Full analysis set). (a) Eosinophils (cells/μ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32565" name="Picture 1" descr="Figure 4: NAVIGATOR Adjusted means and 95% Confidence Intervals over time for (a) Eosinophils (b) Fraction exhaled nitric oxide (c) Immunoglobulin E, as Change from baseline (Full analysis set). (a) Eosinophils (cells/μL)"/>
                    <pic:cNvPicPr/>
                  </pic:nvPicPr>
                  <pic:blipFill>
                    <a:blip r:embed="rId27"/>
                    <a:stretch>
                      <a:fillRect/>
                    </a:stretch>
                  </pic:blipFill>
                  <pic:spPr>
                    <a:xfrm>
                      <a:off x="0" y="0"/>
                      <a:ext cx="4513581" cy="2039322"/>
                    </a:xfrm>
                    <a:prstGeom prst="rect">
                      <a:avLst/>
                    </a:prstGeom>
                  </pic:spPr>
                </pic:pic>
              </a:graphicData>
            </a:graphic>
          </wp:inline>
        </w:drawing>
      </w:r>
    </w:p>
    <w:p w14:paraId="2AB7EACF" w14:textId="0CF20586" w:rsidR="00E12FF4" w:rsidRDefault="000B2AB5" w:rsidP="00B67701">
      <w:pPr>
        <w:pStyle w:val="ListBullet"/>
        <w:numPr>
          <w:ilvl w:val="0"/>
          <w:numId w:val="0"/>
        </w:numPr>
        <w:ind w:left="360" w:hanging="360"/>
        <w:rPr>
          <w:szCs w:val="22"/>
        </w:rPr>
      </w:pPr>
      <w:r>
        <w:rPr>
          <w:szCs w:val="22"/>
        </w:rPr>
        <w:t>(b)</w:t>
      </w:r>
      <w:r w:rsidR="00A97E64">
        <w:rPr>
          <w:szCs w:val="22"/>
        </w:rPr>
        <w:t xml:space="preserve"> </w:t>
      </w:r>
      <w:proofErr w:type="spellStart"/>
      <w:r w:rsidR="00A97E64">
        <w:rPr>
          <w:szCs w:val="22"/>
        </w:rPr>
        <w:t>FeNO</w:t>
      </w:r>
      <w:proofErr w:type="spellEnd"/>
      <w:r w:rsidR="00A97E64">
        <w:rPr>
          <w:szCs w:val="22"/>
        </w:rPr>
        <w:t xml:space="preserve"> (ppb)</w:t>
      </w:r>
    </w:p>
    <w:p w14:paraId="65103080" w14:textId="64469368" w:rsidR="00E12FF4" w:rsidRDefault="00956C2E" w:rsidP="005657B1">
      <w:pPr>
        <w:rPr>
          <w:szCs w:val="22"/>
        </w:rPr>
      </w:pPr>
      <w:r>
        <w:rPr>
          <w:noProof/>
        </w:rPr>
        <w:drawing>
          <wp:inline distT="0" distB="0" distL="0" distR="0" wp14:anchorId="0291F68C" wp14:editId="62E67B3E">
            <wp:extent cx="4140679" cy="1985882"/>
            <wp:effectExtent l="0" t="0" r="0" b="0"/>
            <wp:docPr id="1138339405" name="Picture 1" descr="Figure 4: NAVIGATOR Adjusted means and 95% Confidence Intervals over time for (a) Eosinophils (b) Fraction exhaled nitric oxide (c) Immunoglobulin E, as Change from baseline (Full analysis set). (b) FeNO (p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39405" name="Picture 1" descr="Figure 4: NAVIGATOR Adjusted means and 95% Confidence Intervals over time for (a) Eosinophils (b) Fraction exhaled nitric oxide (c) Immunoglobulin E, as Change from baseline (Full analysis set). (b) FeNO (ppb)"/>
                    <pic:cNvPicPr/>
                  </pic:nvPicPr>
                  <pic:blipFill>
                    <a:blip r:embed="rId28"/>
                    <a:stretch>
                      <a:fillRect/>
                    </a:stretch>
                  </pic:blipFill>
                  <pic:spPr>
                    <a:xfrm>
                      <a:off x="0" y="0"/>
                      <a:ext cx="4153251" cy="1991912"/>
                    </a:xfrm>
                    <a:prstGeom prst="rect">
                      <a:avLst/>
                    </a:prstGeom>
                  </pic:spPr>
                </pic:pic>
              </a:graphicData>
            </a:graphic>
          </wp:inline>
        </w:drawing>
      </w:r>
    </w:p>
    <w:p w14:paraId="58C3FD38" w14:textId="51F1D2E5" w:rsidR="00E12FF4" w:rsidRDefault="000B2AB5" w:rsidP="00F5071F">
      <w:pPr>
        <w:pStyle w:val="ListBullet"/>
        <w:keepNext/>
        <w:numPr>
          <w:ilvl w:val="0"/>
          <w:numId w:val="0"/>
        </w:numPr>
        <w:ind w:left="357" w:hanging="357"/>
        <w:rPr>
          <w:szCs w:val="22"/>
        </w:rPr>
      </w:pPr>
      <w:r>
        <w:rPr>
          <w:szCs w:val="22"/>
        </w:rPr>
        <w:t>(c)</w:t>
      </w:r>
      <w:r w:rsidR="00A97E64">
        <w:rPr>
          <w:szCs w:val="22"/>
        </w:rPr>
        <w:t xml:space="preserve"> Total serum IgE (IU/mL)</w:t>
      </w:r>
    </w:p>
    <w:p w14:paraId="4028820E" w14:textId="4A7E954F" w:rsidR="00E12FF4" w:rsidRDefault="00E773F9" w:rsidP="00B67701">
      <w:pPr>
        <w:pStyle w:val="ListBullet"/>
        <w:numPr>
          <w:ilvl w:val="0"/>
          <w:numId w:val="0"/>
        </w:numPr>
        <w:ind w:left="360" w:hanging="360"/>
        <w:rPr>
          <w:szCs w:val="22"/>
        </w:rPr>
      </w:pPr>
      <w:r>
        <w:rPr>
          <w:noProof/>
        </w:rPr>
        <w:drawing>
          <wp:inline distT="0" distB="0" distL="0" distR="0" wp14:anchorId="7532E5EA" wp14:editId="2BA83BB0">
            <wp:extent cx="4502785" cy="2114373"/>
            <wp:effectExtent l="0" t="0" r="0" b="635"/>
            <wp:docPr id="547557596" name="Picture 1" descr="Figure 4: NAVIGATOR Adjusted means and 95% Confidence Intervals over time for (a) Eosinophils (b) Fraction exhaled nitric oxide (c) Immunoglobulin E, as Change from baseline (Full analysis set). (c) Total serum IgE (I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57596" name="Picture 1" descr="Figure 4: NAVIGATOR Adjusted means and 95% Confidence Intervals over time for (a) Eosinophils (b) Fraction exhaled nitric oxide (c) Immunoglobulin E, as Change from baseline (Full analysis set). (c) Total serum IgE (IU/mL)"/>
                    <pic:cNvPicPr/>
                  </pic:nvPicPr>
                  <pic:blipFill>
                    <a:blip r:embed="rId29"/>
                    <a:stretch>
                      <a:fillRect/>
                    </a:stretch>
                  </pic:blipFill>
                  <pic:spPr>
                    <a:xfrm>
                      <a:off x="0" y="0"/>
                      <a:ext cx="4511968" cy="2118685"/>
                    </a:xfrm>
                    <a:prstGeom prst="rect">
                      <a:avLst/>
                    </a:prstGeom>
                  </pic:spPr>
                </pic:pic>
              </a:graphicData>
            </a:graphic>
          </wp:inline>
        </w:drawing>
      </w:r>
    </w:p>
    <w:p w14:paraId="09123B35" w14:textId="77777777" w:rsidR="0090576A" w:rsidRPr="0090576A" w:rsidRDefault="0090576A" w:rsidP="0090576A">
      <w:pPr>
        <w:pStyle w:val="FigureDescription"/>
      </w:pPr>
      <w:r w:rsidRPr="0090576A">
        <w:t>Baseline is defined as the last non-missing measurement recorded on or prior to randomisation.</w:t>
      </w:r>
    </w:p>
    <w:p w14:paraId="1D248FFE" w14:textId="6802165D" w:rsidR="0090576A" w:rsidRPr="0090576A" w:rsidRDefault="0090576A" w:rsidP="0090576A">
      <w:pPr>
        <w:pStyle w:val="FigureDescription"/>
      </w:pPr>
      <w:r w:rsidRPr="0090576A">
        <w:t xml:space="preserve">The model with Unstructured covariance structure </w:t>
      </w:r>
      <w:proofErr w:type="gramStart"/>
      <w:r w:rsidRPr="0090576A">
        <w:t>is:</w:t>
      </w:r>
      <w:proofErr w:type="gramEnd"/>
      <w:r w:rsidRPr="0090576A">
        <w:t xml:space="preserve"> Change from baseline in Biomarker = Treatment group +</w:t>
      </w:r>
      <w:r w:rsidR="00F5071F">
        <w:t xml:space="preserve"> </w:t>
      </w:r>
      <w:r w:rsidRPr="0090576A">
        <w:t>region + age + baseline Biomarker + visit + treatment * visit.</w:t>
      </w:r>
    </w:p>
    <w:p w14:paraId="639E96C6" w14:textId="7F27A782" w:rsidR="0090576A" w:rsidRDefault="0090576A" w:rsidP="0090576A">
      <w:pPr>
        <w:pStyle w:val="FigureDescription"/>
      </w:pPr>
      <w:r w:rsidRPr="0090576A">
        <w:t>CI</w:t>
      </w:r>
      <w:r w:rsidR="00FA3415">
        <w:t xml:space="preserve"> =</w:t>
      </w:r>
      <w:r w:rsidRPr="0090576A">
        <w:t xml:space="preserve"> confidence interval; </w:t>
      </w:r>
      <w:proofErr w:type="spellStart"/>
      <w:r w:rsidRPr="0090576A">
        <w:t>Pbo</w:t>
      </w:r>
      <w:proofErr w:type="spellEnd"/>
      <w:r w:rsidR="00FA3415">
        <w:t xml:space="preserve"> =</w:t>
      </w:r>
      <w:r w:rsidRPr="0090576A">
        <w:t xml:space="preserve"> placebo; Q4W</w:t>
      </w:r>
      <w:r w:rsidR="00FA3415">
        <w:t xml:space="preserve"> =</w:t>
      </w:r>
      <w:r w:rsidRPr="0090576A">
        <w:t xml:space="preserve"> every 4 weeks; </w:t>
      </w:r>
      <w:proofErr w:type="spellStart"/>
      <w:r w:rsidRPr="0090576A">
        <w:t>Teze</w:t>
      </w:r>
      <w:proofErr w:type="spellEnd"/>
      <w:r w:rsidR="00FA3415">
        <w:t xml:space="preserve"> =</w:t>
      </w:r>
      <w:r w:rsidRPr="0090576A">
        <w:t xml:space="preserve"> </w:t>
      </w:r>
      <w:proofErr w:type="spellStart"/>
      <w:r w:rsidRPr="0090576A">
        <w:t>tezepelumab</w:t>
      </w:r>
      <w:proofErr w:type="spellEnd"/>
      <w:r w:rsidRPr="0090576A">
        <w:t>.</w:t>
      </w:r>
    </w:p>
    <w:p w14:paraId="51ECD551" w14:textId="77777777" w:rsidR="005657B1" w:rsidRDefault="005657B1" w:rsidP="00276AE9">
      <w:pPr>
        <w:spacing w:before="240"/>
      </w:pPr>
    </w:p>
    <w:p w14:paraId="5DE04ED1" w14:textId="3F12DE74" w:rsidR="006B2788" w:rsidRPr="006B2788" w:rsidRDefault="006B2788" w:rsidP="00276AE9">
      <w:pPr>
        <w:spacing w:before="240"/>
      </w:pPr>
      <w:r w:rsidRPr="006B2788">
        <w:lastRenderedPageBreak/>
        <w:t xml:space="preserve">Across NAVIGATOR, PATHWAY, SOURCE, and CASCADE, </w:t>
      </w:r>
      <w:proofErr w:type="spellStart"/>
      <w:r w:rsidRPr="006B2788">
        <w:t>tezepelumab</w:t>
      </w:r>
      <w:proofErr w:type="spellEnd"/>
      <w:r w:rsidRPr="006B2788">
        <w:t xml:space="preserve"> reduced serum IL-5 </w:t>
      </w:r>
      <w:r w:rsidR="001B38A7">
        <w:t xml:space="preserve">and </w:t>
      </w:r>
      <w:r w:rsidRPr="006B2788">
        <w:t>serum IL-13 levels.</w:t>
      </w:r>
    </w:p>
    <w:p w14:paraId="013CA270" w14:textId="538E9CCD" w:rsidR="006B2788" w:rsidRPr="006B2788" w:rsidRDefault="006B2788" w:rsidP="006B2788">
      <w:r w:rsidRPr="006B2788">
        <w:t>In the CASCADE study, levels of the eosinophil activation marker in plasma were reduced from baseline to end of treatment (28</w:t>
      </w:r>
      <w:r w:rsidR="00E6651C">
        <w:t> </w:t>
      </w:r>
      <w:r w:rsidRPr="006B2788">
        <w:t>weeks to 48</w:t>
      </w:r>
      <w:r w:rsidR="00E6651C">
        <w:t> </w:t>
      </w:r>
      <w:r w:rsidRPr="006B2788">
        <w:t xml:space="preserve">weeks). In the </w:t>
      </w:r>
      <w:proofErr w:type="spellStart"/>
      <w:r w:rsidRPr="006B2788">
        <w:t>tezepelumab</w:t>
      </w:r>
      <w:proofErr w:type="spellEnd"/>
      <w:r w:rsidRPr="006B2788">
        <w:t xml:space="preserve"> group, plasma </w:t>
      </w:r>
      <w:r w:rsidR="005B75F9" w:rsidRPr="006B2788">
        <w:t xml:space="preserve">eosinophil activation marker </w:t>
      </w:r>
      <w:r w:rsidRPr="006B2788">
        <w:t>decreased from a mean (</w:t>
      </w:r>
      <w:r w:rsidR="00ED27F3" w:rsidRPr="00D15EB9">
        <w:t>Standard Deviation [SD]</w:t>
      </w:r>
      <w:r w:rsidRPr="006B2788">
        <w:t>) baseline of 16.787 (10.056)</w:t>
      </w:r>
      <w:r w:rsidR="00E6651C">
        <w:t> </w:t>
      </w:r>
      <w:r w:rsidRPr="006B2788">
        <w:t>ng/mL to 11.878 (3.850)</w:t>
      </w:r>
      <w:r w:rsidR="00E6651C">
        <w:t> </w:t>
      </w:r>
      <w:r w:rsidRPr="006B2788">
        <w:t xml:space="preserve">ng/mL at </w:t>
      </w:r>
      <w:r w:rsidR="00E6651C">
        <w:t>end of treatment</w:t>
      </w:r>
      <w:r w:rsidRPr="006B2788">
        <w:t>; there was no change in the placebo arm.</w:t>
      </w:r>
    </w:p>
    <w:p w14:paraId="0E30557E" w14:textId="68562798" w:rsidR="006B2788" w:rsidRPr="006B2788" w:rsidRDefault="006B2788" w:rsidP="006B2788">
      <w:r w:rsidRPr="006B2788">
        <w:t xml:space="preserve">In Study 20101183 there was improvement in </w:t>
      </w:r>
      <w:r w:rsidR="00177B82">
        <w:t>f</w:t>
      </w:r>
      <w:r w:rsidR="00177B82" w:rsidRPr="00177B82">
        <w:t>orced expiratory volume in 1 second</w:t>
      </w:r>
      <w:r w:rsidR="00177B82" w:rsidRPr="006B2788">
        <w:t xml:space="preserve"> </w:t>
      </w:r>
      <w:r w:rsidR="00177B82">
        <w:t>(</w:t>
      </w:r>
      <w:r w:rsidRPr="006B2788">
        <w:t>FEV</w:t>
      </w:r>
      <w:r w:rsidRPr="00295E2A">
        <w:rPr>
          <w:vertAlign w:val="subscript"/>
        </w:rPr>
        <w:t>1</w:t>
      </w:r>
      <w:r w:rsidR="00177B82">
        <w:t xml:space="preserve">) </w:t>
      </w:r>
      <w:r w:rsidRPr="006B2788">
        <w:t>post-allergen challenge in the treatment group</w:t>
      </w:r>
      <w:r w:rsidR="00CB39C5">
        <w:t>.</w:t>
      </w:r>
      <w:r w:rsidRPr="006B2788">
        <w:t xml:space="preserve"> </w:t>
      </w:r>
    </w:p>
    <w:p w14:paraId="6F4C7C18" w14:textId="453485D0" w:rsidR="006B2788" w:rsidRPr="006B2788" w:rsidRDefault="006B2788" w:rsidP="006B2788">
      <w:r w:rsidRPr="006B2788">
        <w:t xml:space="preserve">In the CASCADE study, where airway inflammation was assessed via bronchial biopsies, there was a decrease in submucosal eosinophils in the </w:t>
      </w:r>
      <w:proofErr w:type="spellStart"/>
      <w:r w:rsidRPr="006B2788">
        <w:t>tezepelumab</w:t>
      </w:r>
      <w:proofErr w:type="spellEnd"/>
      <w:r w:rsidRPr="006B2788">
        <w:t xml:space="preserve"> group compared to placebo, but </w:t>
      </w:r>
      <w:r w:rsidRPr="00A97E64">
        <w:t>no significant difference in neutrophils, CD3+ cells, CD4+ cells or mast cells.</w:t>
      </w:r>
    </w:p>
    <w:p w14:paraId="64418856" w14:textId="1428EBDF" w:rsidR="006B2788" w:rsidRPr="006B2788" w:rsidRDefault="006B2788" w:rsidP="006B2788">
      <w:r w:rsidRPr="006B2788">
        <w:t xml:space="preserve">Tomography scanning indicated an </w:t>
      </w:r>
      <w:r w:rsidR="001E416A">
        <w:t>increase</w:t>
      </w:r>
      <w:r w:rsidRPr="006B2788">
        <w:t xml:space="preserve"> in airway lumen area in the </w:t>
      </w:r>
      <w:proofErr w:type="spellStart"/>
      <w:r w:rsidRPr="006B2788">
        <w:t>tezepelumab</w:t>
      </w:r>
      <w:proofErr w:type="spellEnd"/>
      <w:r w:rsidRPr="006B2788">
        <w:t xml:space="preserve"> group (</w:t>
      </w:r>
      <w:r w:rsidR="0019453F">
        <w:t xml:space="preserve">in </w:t>
      </w:r>
      <w:r w:rsidRPr="006B2788">
        <w:t>CASCADE)</w:t>
      </w:r>
      <w:r w:rsidR="00620C15">
        <w:t>.</w:t>
      </w:r>
    </w:p>
    <w:p w14:paraId="411824C8" w14:textId="3678EA37" w:rsidR="006B2788" w:rsidRPr="00AB4EA6" w:rsidRDefault="00AB4EA6" w:rsidP="00AB4EA6">
      <w:r w:rsidRPr="00AB4EA6">
        <w:t>Asthma Control Questionnaire 6 (</w:t>
      </w:r>
      <w:r w:rsidR="006B2788" w:rsidRPr="00AB4EA6">
        <w:t>ACQ-6</w:t>
      </w:r>
      <w:r w:rsidRPr="00AB4EA6">
        <w:t>)</w:t>
      </w:r>
      <w:r w:rsidR="006B2788" w:rsidRPr="00AB4EA6">
        <w:t xml:space="preserve"> response was greater in the </w:t>
      </w:r>
      <w:proofErr w:type="spellStart"/>
      <w:r w:rsidR="006B2788" w:rsidRPr="00AB4EA6">
        <w:t>tezepelumab</w:t>
      </w:r>
      <w:proofErr w:type="spellEnd"/>
      <w:r w:rsidR="006B2788" w:rsidRPr="00AB4EA6">
        <w:t xml:space="preserve"> group compared to placebo (</w:t>
      </w:r>
      <w:r w:rsidR="0019453F">
        <w:t xml:space="preserve">in </w:t>
      </w:r>
      <w:r w:rsidR="006B2788" w:rsidRPr="00AB4EA6">
        <w:t>CASCADE)</w:t>
      </w:r>
      <w:r w:rsidR="0019453F">
        <w:t>.</w:t>
      </w:r>
    </w:p>
    <w:p w14:paraId="5647E8D1" w14:textId="75328C59" w:rsidR="006B2788" w:rsidRPr="006B2788" w:rsidRDefault="006B2788" w:rsidP="006B2788">
      <w:r w:rsidRPr="006B2788">
        <w:t xml:space="preserve">The time-course for the effects was from early </w:t>
      </w:r>
      <w:proofErr w:type="gramStart"/>
      <w:r w:rsidRPr="006B2788">
        <w:t>in the course of</w:t>
      </w:r>
      <w:proofErr w:type="gramEnd"/>
      <w:r w:rsidRPr="006B2788">
        <w:t xml:space="preserve"> treatment and the effects were maintained for the duration of treatment.</w:t>
      </w:r>
    </w:p>
    <w:p w14:paraId="1FBB83CD" w14:textId="0A1A664F" w:rsidR="006B2788" w:rsidRPr="006B2788" w:rsidRDefault="006B2788" w:rsidP="006B2788">
      <w:r w:rsidRPr="006B2788">
        <w:t xml:space="preserve">Adolescent subjects who received </w:t>
      </w:r>
      <w:proofErr w:type="spellStart"/>
      <w:r w:rsidRPr="006B2788">
        <w:t>tezepelumab</w:t>
      </w:r>
      <w:proofErr w:type="spellEnd"/>
      <w:r w:rsidRPr="006B2788">
        <w:t xml:space="preserve"> had reduced levels of blood eosinophils, </w:t>
      </w:r>
      <w:proofErr w:type="spellStart"/>
      <w:r w:rsidRPr="006B2788">
        <w:t>FeNO</w:t>
      </w:r>
      <w:proofErr w:type="spellEnd"/>
      <w:r w:rsidRPr="006B2788">
        <w:t xml:space="preserve"> and total serum IgE, similar findings to adult subjects (</w:t>
      </w:r>
      <w:r w:rsidR="001C3943">
        <w:t xml:space="preserve">in </w:t>
      </w:r>
      <w:r w:rsidRPr="006B2788">
        <w:t>NAVIGATOR)</w:t>
      </w:r>
      <w:r w:rsidR="001C3943">
        <w:t>.</w:t>
      </w:r>
    </w:p>
    <w:p w14:paraId="77BC1C32" w14:textId="29F8D651" w:rsidR="006B2788" w:rsidRPr="006B2788" w:rsidRDefault="006B2788" w:rsidP="006B2788">
      <w:r w:rsidRPr="006B2788">
        <w:t xml:space="preserve">There were no formal studies investigating PD drug-drug interactions. However, there is low risk of clinically significant PD interactions between </w:t>
      </w:r>
      <w:proofErr w:type="spellStart"/>
      <w:r w:rsidRPr="006B2788">
        <w:t>tezepelumab</w:t>
      </w:r>
      <w:proofErr w:type="spellEnd"/>
      <w:r w:rsidRPr="006B2788">
        <w:t xml:space="preserve"> and small drug molecules. Due to its large molecular size, drug-drug interactions with </w:t>
      </w:r>
      <w:proofErr w:type="spellStart"/>
      <w:r w:rsidRPr="006B2788">
        <w:t>tezepelumab</w:t>
      </w:r>
      <w:proofErr w:type="spellEnd"/>
      <w:r w:rsidRPr="006B2788">
        <w:t xml:space="preserve"> as either a victim or perpetrator are not expected with small molecule drugs that induce or inhibit the cytochrome P450 pathways.</w:t>
      </w:r>
    </w:p>
    <w:p w14:paraId="0692AA5F" w14:textId="77777777" w:rsidR="006B2788" w:rsidRPr="006B2788" w:rsidRDefault="006B2788" w:rsidP="00D43594">
      <w:pPr>
        <w:pStyle w:val="Heading6"/>
        <w:rPr>
          <w:rFonts w:eastAsia="TimesNewRoman"/>
        </w:rPr>
      </w:pPr>
      <w:r w:rsidRPr="006B2788">
        <w:rPr>
          <w:rFonts w:eastAsia="TimesNewRoman"/>
        </w:rPr>
        <w:t>VECTOR (</w:t>
      </w:r>
      <w:r w:rsidRPr="006B2788">
        <w:rPr>
          <w:rFonts w:eastAsiaTheme="minorHAnsi"/>
        </w:rPr>
        <w:t>Study D5180C00031)</w:t>
      </w:r>
    </w:p>
    <w:p w14:paraId="439EA9E5" w14:textId="4EA54BC4" w:rsidR="006B2788" w:rsidRPr="006B2788" w:rsidRDefault="006B2788" w:rsidP="006B2788">
      <w:r w:rsidRPr="006B2788">
        <w:t xml:space="preserve">This was a </w:t>
      </w:r>
      <w:r w:rsidR="00D43594">
        <w:t>P</w:t>
      </w:r>
      <w:r w:rsidRPr="006B2788">
        <w:t xml:space="preserve">hase </w:t>
      </w:r>
      <w:proofErr w:type="spellStart"/>
      <w:r w:rsidR="00D43594">
        <w:t>III</w:t>
      </w:r>
      <w:r w:rsidRPr="006B2788">
        <w:t>b</w:t>
      </w:r>
      <w:proofErr w:type="spellEnd"/>
      <w:r w:rsidRPr="006B2788">
        <w:t xml:space="preserve">, multicentre, randomised, double-blind, parallel-group, placebo-controlled study of </w:t>
      </w:r>
      <w:proofErr w:type="spellStart"/>
      <w:r w:rsidRPr="006B2788">
        <w:t>tezepelumab</w:t>
      </w:r>
      <w:proofErr w:type="spellEnd"/>
      <w:r w:rsidRPr="006B2788">
        <w:t xml:space="preserve"> 210</w:t>
      </w:r>
      <w:r w:rsidR="00587219">
        <w:t> </w:t>
      </w:r>
      <w:r w:rsidRPr="006B2788">
        <w:t xml:space="preserve">mg SC Q4W in young adults and adolescents with moderate or severe asthma to evaluate the potential effect of </w:t>
      </w:r>
      <w:proofErr w:type="spellStart"/>
      <w:r w:rsidRPr="006B2788">
        <w:t>tezepelumab</w:t>
      </w:r>
      <w:proofErr w:type="spellEnd"/>
      <w:r w:rsidRPr="006B2788">
        <w:t xml:space="preserve"> on the humoral immune response to seasonal quadrivalent influenza vaccine in the autumn/winter of 2021</w:t>
      </w:r>
      <w:r w:rsidR="00587219">
        <w:t xml:space="preserve"> to </w:t>
      </w:r>
      <w:r w:rsidRPr="006B2788">
        <w:t>2022 in the US</w:t>
      </w:r>
      <w:r w:rsidR="00587219">
        <w:t>A</w:t>
      </w:r>
      <w:r w:rsidRPr="006B2788">
        <w:t>.</w:t>
      </w:r>
    </w:p>
    <w:p w14:paraId="38E8968D" w14:textId="03B4C2BF" w:rsidR="006B2788" w:rsidRPr="006B2788" w:rsidRDefault="006B2788" w:rsidP="006B2788">
      <w:r w:rsidRPr="006B2788">
        <w:t xml:space="preserve">A total of 81 subjects were </w:t>
      </w:r>
      <w:proofErr w:type="gramStart"/>
      <w:r w:rsidRPr="006B2788">
        <w:t>enrolled</w:t>
      </w:r>
      <w:proofErr w:type="gramEnd"/>
      <w:r w:rsidRPr="006B2788">
        <w:t xml:space="preserve"> and 70 subjects were randomised (35 subjects each to the </w:t>
      </w:r>
      <w:proofErr w:type="spellStart"/>
      <w:r w:rsidRPr="006B2788">
        <w:t>tezepelumab</w:t>
      </w:r>
      <w:proofErr w:type="spellEnd"/>
      <w:r w:rsidRPr="006B2788">
        <w:t xml:space="preserve"> and placebo group) All 70 randomised subjects received study intervention. Overall, 66 (94.3%) randomised subjects completed treatment, 32 (91.4%) subjects in the </w:t>
      </w:r>
      <w:proofErr w:type="spellStart"/>
      <w:r w:rsidRPr="006B2788">
        <w:t>tezepelumab</w:t>
      </w:r>
      <w:proofErr w:type="spellEnd"/>
      <w:r w:rsidRPr="006B2788">
        <w:t xml:space="preserve"> group and 34 (97.1%) subjects in the placebo group.</w:t>
      </w:r>
    </w:p>
    <w:p w14:paraId="4DE46954" w14:textId="402B263E" w:rsidR="006B2788" w:rsidRPr="006B2788" w:rsidRDefault="006B2788" w:rsidP="006B2788">
      <w:r w:rsidRPr="00E26539">
        <w:t xml:space="preserve">The humoral immune response following seasonal influenza vaccination measured by </w:t>
      </w:r>
      <w:r w:rsidR="00A644C2" w:rsidRPr="00E26539">
        <w:t>haemagg</w:t>
      </w:r>
      <w:r w:rsidR="00E26539" w:rsidRPr="00E26539">
        <w:t xml:space="preserve">lutination inhibition </w:t>
      </w:r>
      <w:r w:rsidRPr="00E26539">
        <w:t xml:space="preserve">and </w:t>
      </w:r>
      <w:proofErr w:type="spellStart"/>
      <w:r w:rsidR="00E26539" w:rsidRPr="00E26539">
        <w:t>microneutralisation</w:t>
      </w:r>
      <w:proofErr w:type="spellEnd"/>
      <w:r w:rsidRPr="00E26539">
        <w:t xml:space="preserve"> assays was generally similar between the </w:t>
      </w:r>
      <w:proofErr w:type="spellStart"/>
      <w:r w:rsidRPr="00E26539">
        <w:t>tezepelumab</w:t>
      </w:r>
      <w:proofErr w:type="spellEnd"/>
      <w:r w:rsidRPr="00E26539">
        <w:t xml:space="preserve"> and placebo groups in adolescent and young adult subjects with moderate to</w:t>
      </w:r>
      <w:r w:rsidRPr="007E51EA">
        <w:t xml:space="preserve"> severe asthma. There were no </w:t>
      </w:r>
      <w:proofErr w:type="spellStart"/>
      <w:r w:rsidRPr="007E51EA">
        <w:t>tezepelumab</w:t>
      </w:r>
      <w:proofErr w:type="spellEnd"/>
      <w:r w:rsidRPr="007E51EA">
        <w:t xml:space="preserve"> ADA-positive subjects among 35 subjects in the </w:t>
      </w:r>
      <w:proofErr w:type="spellStart"/>
      <w:r w:rsidRPr="007E51EA">
        <w:t>tezepelumab</w:t>
      </w:r>
      <w:proofErr w:type="spellEnd"/>
      <w:r w:rsidRPr="007E51EA">
        <w:t xml:space="preserve"> group.</w:t>
      </w:r>
    </w:p>
    <w:p w14:paraId="4EA987A4" w14:textId="1340FEE8" w:rsidR="006B2788" w:rsidRPr="006B2788" w:rsidRDefault="006B2788" w:rsidP="00671327">
      <w:pPr>
        <w:pStyle w:val="Heading6"/>
      </w:pPr>
      <w:r w:rsidRPr="006B2788">
        <w:t>Dose selection for the pivotal studies</w:t>
      </w:r>
    </w:p>
    <w:p w14:paraId="58C58D65" w14:textId="77777777" w:rsidR="006B2788" w:rsidRPr="006B2788" w:rsidRDefault="006B2788" w:rsidP="007E51EA">
      <w:pPr>
        <w:pStyle w:val="Heading7"/>
      </w:pPr>
      <w:r w:rsidRPr="006B2788">
        <w:t>Pharmacokinetics and pharmacodynamics: dose finding studies</w:t>
      </w:r>
    </w:p>
    <w:p w14:paraId="2DCE4E55" w14:textId="7EEFBBB0" w:rsidR="006B2788" w:rsidRPr="006B2788" w:rsidRDefault="006B2788" w:rsidP="006B2788">
      <w:r w:rsidRPr="006B2788">
        <w:t xml:space="preserve">Studies have described the PK of </w:t>
      </w:r>
      <w:proofErr w:type="spellStart"/>
      <w:r w:rsidRPr="006B2788">
        <w:t>tezepelumab</w:t>
      </w:r>
      <w:proofErr w:type="spellEnd"/>
      <w:r w:rsidRPr="006B2788">
        <w:t xml:space="preserve">, and this supports a </w:t>
      </w:r>
      <w:r w:rsidR="007E51EA">
        <w:t>Q4W</w:t>
      </w:r>
      <w:r w:rsidRPr="006B2788">
        <w:t xml:space="preserve"> dosing regimen. The PD studies have explored the exposure-effect relationships. These data support the 210</w:t>
      </w:r>
      <w:r w:rsidR="00A40C16">
        <w:t> </w:t>
      </w:r>
      <w:r w:rsidRPr="006B2788">
        <w:t xml:space="preserve">mg </w:t>
      </w:r>
      <w:r w:rsidR="00A40C16">
        <w:t>Q4W</w:t>
      </w:r>
      <w:r w:rsidRPr="006B2788">
        <w:t xml:space="preserve"> dosing regimen</w:t>
      </w:r>
      <w:bookmarkStart w:id="59" w:name="_Toc104738164"/>
      <w:r w:rsidRPr="006B2788">
        <w:t>.</w:t>
      </w:r>
    </w:p>
    <w:p w14:paraId="5E9FE945" w14:textId="4E003EF4" w:rsidR="006B2788" w:rsidRPr="006B2788" w:rsidRDefault="006B2788" w:rsidP="007E51EA">
      <w:pPr>
        <w:pStyle w:val="Heading7"/>
      </w:pPr>
      <w:r w:rsidRPr="006B2788">
        <w:lastRenderedPageBreak/>
        <w:t>Phase II dose finding studies</w:t>
      </w:r>
      <w:bookmarkEnd w:id="59"/>
    </w:p>
    <w:p w14:paraId="37C4E677" w14:textId="03F54AE3" w:rsidR="006B2788" w:rsidRPr="006B2788" w:rsidRDefault="006B2788" w:rsidP="006B2788">
      <w:r w:rsidRPr="008802C8">
        <w:t>PATHWAY examined 70</w:t>
      </w:r>
      <w:r w:rsidR="00A40C16" w:rsidRPr="008802C8">
        <w:t> </w:t>
      </w:r>
      <w:r w:rsidRPr="008802C8">
        <w:t xml:space="preserve">mg </w:t>
      </w:r>
      <w:r w:rsidR="00A40C16" w:rsidRPr="008802C8">
        <w:t>Q4W</w:t>
      </w:r>
      <w:r w:rsidRPr="008802C8">
        <w:t>, 210</w:t>
      </w:r>
      <w:r w:rsidR="00A40C16" w:rsidRPr="008802C8">
        <w:t> </w:t>
      </w:r>
      <w:r w:rsidRPr="008802C8">
        <w:t xml:space="preserve">mg </w:t>
      </w:r>
      <w:r w:rsidR="00A40C16" w:rsidRPr="008802C8">
        <w:t>Q4W</w:t>
      </w:r>
      <w:r w:rsidRPr="008802C8">
        <w:t xml:space="preserve"> and 280</w:t>
      </w:r>
      <w:r w:rsidR="00A40C16" w:rsidRPr="008802C8">
        <w:t> </w:t>
      </w:r>
      <w:r w:rsidRPr="008802C8">
        <w:t xml:space="preserve">mg </w:t>
      </w:r>
      <w:r w:rsidR="00A40C16" w:rsidRPr="008802C8">
        <w:t>Q2w</w:t>
      </w:r>
      <w:r w:rsidRPr="008802C8">
        <w:t xml:space="preserve">. The results for </w:t>
      </w:r>
      <w:r w:rsidR="008802C8" w:rsidRPr="008802C8">
        <w:t>annualised asthma exacerbation rate (</w:t>
      </w:r>
      <w:r w:rsidRPr="008802C8">
        <w:t>AAER</w:t>
      </w:r>
      <w:r w:rsidR="008802C8" w:rsidRPr="008802C8">
        <w:t>)</w:t>
      </w:r>
      <w:r w:rsidRPr="008802C8">
        <w:t xml:space="preserve"> indicated 210</w:t>
      </w:r>
      <w:r w:rsidR="00E85E94" w:rsidRPr="008802C8">
        <w:t> </w:t>
      </w:r>
      <w:r w:rsidRPr="008802C8">
        <w:t xml:space="preserve">mg </w:t>
      </w:r>
      <w:r w:rsidR="00E85E94" w:rsidRPr="008802C8">
        <w:t>Q4W</w:t>
      </w:r>
      <w:r w:rsidRPr="008802C8">
        <w:t xml:space="preserve"> was the optimal dose regimen, although respiratory function improved to a greater extent with the 280</w:t>
      </w:r>
      <w:r w:rsidR="00A85AA0" w:rsidRPr="008802C8">
        <w:t> </w:t>
      </w:r>
      <w:r w:rsidRPr="008802C8">
        <w:t xml:space="preserve">mg </w:t>
      </w:r>
      <w:r w:rsidR="00A85AA0" w:rsidRPr="008802C8">
        <w:t>Q2W</w:t>
      </w:r>
      <w:r w:rsidRPr="008802C8">
        <w:t xml:space="preserve"> dosing</w:t>
      </w:r>
      <w:r w:rsidRPr="006B2788">
        <w:t xml:space="preserve"> regimen.</w:t>
      </w:r>
      <w:bookmarkStart w:id="60" w:name="_Toc416353712"/>
      <w:bookmarkStart w:id="61" w:name="_Toc421005265"/>
      <w:bookmarkStart w:id="62" w:name="_Toc432079147"/>
      <w:bookmarkStart w:id="63" w:name="_Toc432080720"/>
      <w:bookmarkStart w:id="64" w:name="_Toc104738165"/>
    </w:p>
    <w:bookmarkEnd w:id="60"/>
    <w:bookmarkEnd w:id="61"/>
    <w:bookmarkEnd w:id="62"/>
    <w:bookmarkEnd w:id="63"/>
    <w:bookmarkEnd w:id="64"/>
    <w:p w14:paraId="17CA3A60" w14:textId="100C6C7C" w:rsidR="006B2788" w:rsidRPr="006B2788" w:rsidRDefault="006B2788" w:rsidP="006B2788">
      <w:r w:rsidRPr="006B2788">
        <w:t>The remaining Phase III studies only examined the 210</w:t>
      </w:r>
      <w:r w:rsidR="00152370">
        <w:t> </w:t>
      </w:r>
      <w:r w:rsidRPr="006B2788">
        <w:t xml:space="preserve">mg </w:t>
      </w:r>
      <w:r w:rsidR="00152370">
        <w:t>Q4W</w:t>
      </w:r>
      <w:r w:rsidRPr="006B2788">
        <w:t xml:space="preserve"> dosing regimen</w:t>
      </w:r>
      <w:r w:rsidR="001E0939">
        <w:t>,</w:t>
      </w:r>
      <w:r w:rsidRPr="006B2788">
        <w:t xml:space="preserve"> which is appropriate.</w:t>
      </w:r>
    </w:p>
    <w:p w14:paraId="442E31DE" w14:textId="0EBDF3F3" w:rsidR="006B2788" w:rsidRPr="006B2788" w:rsidRDefault="006B2788" w:rsidP="006B2788">
      <w:r>
        <w:t xml:space="preserve">The dose finding data from the Phase </w:t>
      </w:r>
      <w:r w:rsidR="001E0939">
        <w:t>II</w:t>
      </w:r>
      <w:r>
        <w:t xml:space="preserve"> </w:t>
      </w:r>
      <w:r w:rsidR="001E0939">
        <w:t>s</w:t>
      </w:r>
      <w:r>
        <w:t xml:space="preserve">tudy (PATHWAY) demonstrated the efficacy of </w:t>
      </w:r>
      <w:proofErr w:type="spellStart"/>
      <w:r>
        <w:t>tezepelumab</w:t>
      </w:r>
      <w:proofErr w:type="spellEnd"/>
      <w:r>
        <w:t xml:space="preserve"> 210</w:t>
      </w:r>
      <w:r w:rsidR="001E0939">
        <w:t> </w:t>
      </w:r>
      <w:r>
        <w:t xml:space="preserve">mg SC Q4W for further investigation for the proposed indication in the pivotal Phase </w:t>
      </w:r>
      <w:r w:rsidR="001E0939">
        <w:t>III s</w:t>
      </w:r>
      <w:r>
        <w:t>tudy (NAVIGATOR). In PATHWA</w:t>
      </w:r>
      <w:r w:rsidR="00711A86">
        <w:t>Y</w:t>
      </w:r>
      <w:r>
        <w:t xml:space="preserve">, clinically significant added benefit of the </w:t>
      </w:r>
      <w:proofErr w:type="spellStart"/>
      <w:r>
        <w:t>tezepelumab</w:t>
      </w:r>
      <w:proofErr w:type="spellEnd"/>
      <w:r>
        <w:t xml:space="preserve"> 210</w:t>
      </w:r>
      <w:r w:rsidR="00773565">
        <w:t> </w:t>
      </w:r>
      <w:r>
        <w:t xml:space="preserve">mg SC Q4W regimen over the </w:t>
      </w:r>
      <w:proofErr w:type="spellStart"/>
      <w:r>
        <w:t>tezepelumab</w:t>
      </w:r>
      <w:proofErr w:type="spellEnd"/>
      <w:r>
        <w:t xml:space="preserve"> 70</w:t>
      </w:r>
      <w:r w:rsidR="00773565">
        <w:t> </w:t>
      </w:r>
      <w:r>
        <w:t>mg SC Q4W regimen was demonstrated for the primary efficacy endpoint (AAER at 52</w:t>
      </w:r>
      <w:r w:rsidR="00773565">
        <w:t> </w:t>
      </w:r>
      <w:r>
        <w:t xml:space="preserve">weeks) supported by the results for multiple secondary efficacy endpoints, including improvement in lung function. The clinical data from PATHWAY suggest that there is no clinically meaningful difference between the </w:t>
      </w:r>
      <w:proofErr w:type="spellStart"/>
      <w:r>
        <w:t>tezepelumab</w:t>
      </w:r>
      <w:proofErr w:type="spellEnd"/>
      <w:r>
        <w:t xml:space="preserve"> 210</w:t>
      </w:r>
      <w:r w:rsidR="00773565">
        <w:t> </w:t>
      </w:r>
      <w:r>
        <w:t xml:space="preserve">mg SC Q4W and the </w:t>
      </w:r>
      <w:proofErr w:type="spellStart"/>
      <w:r>
        <w:t>tezepelumab</w:t>
      </w:r>
      <w:proofErr w:type="spellEnd"/>
      <w:r>
        <w:t xml:space="preserve"> 280</w:t>
      </w:r>
      <w:r w:rsidR="00773565">
        <w:t> </w:t>
      </w:r>
      <w:r>
        <w:t>mg SC Q2W doses.</w:t>
      </w:r>
    </w:p>
    <w:p w14:paraId="7CE27CC9" w14:textId="3A78DF05" w:rsidR="002179DB" w:rsidRPr="002179DB" w:rsidRDefault="002179DB" w:rsidP="002179DB">
      <w:pPr>
        <w:pStyle w:val="Heading4"/>
      </w:pPr>
      <w:bookmarkStart w:id="65" w:name="_Toc230164565"/>
      <w:r w:rsidRPr="002179DB">
        <w:t>Efficacy</w:t>
      </w:r>
      <w:bookmarkEnd w:id="65"/>
    </w:p>
    <w:p w14:paraId="17DA1605" w14:textId="1C7C2F17" w:rsidR="002179DB" w:rsidRPr="002179DB" w:rsidRDefault="002179DB" w:rsidP="002179DB">
      <w:r w:rsidRPr="002179DB">
        <w:t>The following studies provided evaluable efficacy data.</w:t>
      </w:r>
    </w:p>
    <w:p w14:paraId="248B7FFB" w14:textId="77777777" w:rsidR="002179DB" w:rsidRPr="002179DB" w:rsidRDefault="002179DB" w:rsidP="002179DB">
      <w:r w:rsidRPr="002179DB">
        <w:t>Confirmatory asthma exacerbation studies:</w:t>
      </w:r>
    </w:p>
    <w:p w14:paraId="16B98293" w14:textId="3A8E2F10" w:rsidR="002179DB" w:rsidRPr="002179DB" w:rsidRDefault="002179DB" w:rsidP="00D478BA">
      <w:pPr>
        <w:pStyle w:val="ListBullet"/>
      </w:pPr>
      <w:r w:rsidRPr="002179DB">
        <w:t xml:space="preserve">PATHWAY (Study CD-R-MEDI9929-1146) – </w:t>
      </w:r>
      <w:r w:rsidR="00D478BA">
        <w:t>P</w:t>
      </w:r>
      <w:r w:rsidRPr="002179DB">
        <w:t xml:space="preserve">hase </w:t>
      </w:r>
      <w:r w:rsidR="00D478BA">
        <w:t>II</w:t>
      </w:r>
      <w:r w:rsidRPr="002179DB">
        <w:t xml:space="preserve">b - 108 centres in 12 countries: USA, Slovakia, Bulgaria, Czech Republic, Hungary, Israel, Japan, Latvia, Lithuania, Serbia, South Africa, and Ukraine. </w:t>
      </w:r>
      <w:r w:rsidR="00994975">
        <w:t xml:space="preserve"> Conducted December 2013 to March 2017.</w:t>
      </w:r>
    </w:p>
    <w:p w14:paraId="65D2F254" w14:textId="342CAFC9" w:rsidR="002179DB" w:rsidRPr="002179DB" w:rsidRDefault="002179DB" w:rsidP="00D478BA">
      <w:pPr>
        <w:pStyle w:val="ListBullet"/>
      </w:pPr>
      <w:r w:rsidRPr="002179DB">
        <w:t xml:space="preserve">NAVIGATOR (Study D5180C00007) – Phase </w:t>
      </w:r>
      <w:r w:rsidR="00994975">
        <w:t>III</w:t>
      </w:r>
      <w:r w:rsidRPr="002179DB">
        <w:t xml:space="preserve"> - 297 centres in 18 countries (Argentina, Australia, Austria, Brazil, Canada, France, Germany, Israel, Japan, South Korea, Russia, Saudi Arabia, South Africa, Taiwan, Ukraine, United Kingdom, United States, and Vietnam</w:t>
      </w:r>
      <w:r w:rsidR="00D07877">
        <w:t xml:space="preserve">. Conducted November </w:t>
      </w:r>
      <w:r w:rsidRPr="002179DB">
        <w:t>2017</w:t>
      </w:r>
      <w:r w:rsidR="00D07877">
        <w:t xml:space="preserve"> to November </w:t>
      </w:r>
      <w:r w:rsidRPr="002179DB">
        <w:t>2020.</w:t>
      </w:r>
    </w:p>
    <w:p w14:paraId="7AC5DE40" w14:textId="77777777" w:rsidR="002179DB" w:rsidRPr="002179DB" w:rsidRDefault="002179DB" w:rsidP="002179DB">
      <w:r w:rsidRPr="002179DB">
        <w:t xml:space="preserve">Oral </w:t>
      </w:r>
      <w:bookmarkStart w:id="66" w:name="_Hlk107324011"/>
      <w:r w:rsidRPr="002179DB">
        <w:t>corticosteroid reduction study in asthma:</w:t>
      </w:r>
      <w:bookmarkEnd w:id="66"/>
    </w:p>
    <w:p w14:paraId="13EC251B" w14:textId="433B222E" w:rsidR="002179DB" w:rsidRPr="002179DB" w:rsidRDefault="002179DB" w:rsidP="00D478BA">
      <w:pPr>
        <w:pStyle w:val="ListBullet"/>
      </w:pPr>
      <w:r w:rsidRPr="002179DB">
        <w:t xml:space="preserve">SOURCE (Study D5180C00009) - Phase </w:t>
      </w:r>
      <w:r w:rsidR="00D07877">
        <w:t>III</w:t>
      </w:r>
      <w:r w:rsidRPr="002179DB">
        <w:t xml:space="preserve"> - 60 centres in </w:t>
      </w:r>
      <w:r w:rsidR="00D07877">
        <w:t>7</w:t>
      </w:r>
      <w:r w:rsidRPr="002179DB">
        <w:t xml:space="preserve"> countries: Argentina, Germany, South Korea, Turkey, Poland, Ukraine, and the US. </w:t>
      </w:r>
      <w:r w:rsidR="00D07877">
        <w:t xml:space="preserve">Conducted March </w:t>
      </w:r>
      <w:r w:rsidRPr="002179DB">
        <w:t>2018</w:t>
      </w:r>
      <w:r w:rsidR="00D07877">
        <w:t xml:space="preserve"> to September </w:t>
      </w:r>
      <w:r w:rsidRPr="002179DB">
        <w:t>2020</w:t>
      </w:r>
      <w:r w:rsidR="00D07877">
        <w:t>.</w:t>
      </w:r>
    </w:p>
    <w:p w14:paraId="655826FE" w14:textId="77777777" w:rsidR="002179DB" w:rsidRPr="002179DB" w:rsidRDefault="002179DB" w:rsidP="002179DB">
      <w:r w:rsidRPr="002179DB">
        <w:t>At-home functionality and device performance study:</w:t>
      </w:r>
    </w:p>
    <w:p w14:paraId="01DCC23B" w14:textId="4227A8EA" w:rsidR="002179DB" w:rsidRPr="002179DB" w:rsidRDefault="002179DB" w:rsidP="00D478BA">
      <w:pPr>
        <w:pStyle w:val="ListBullet"/>
      </w:pPr>
      <w:r w:rsidRPr="002179DB">
        <w:t xml:space="preserve">PATH-HOME (Study D5180C00011) – </w:t>
      </w:r>
      <w:r w:rsidR="00D07877">
        <w:t>P</w:t>
      </w:r>
      <w:r w:rsidRPr="002179DB">
        <w:t xml:space="preserve">hase </w:t>
      </w:r>
      <w:r w:rsidR="00D07877">
        <w:t>III</w:t>
      </w:r>
      <w:r w:rsidRPr="002179DB">
        <w:t xml:space="preserve"> - 31 centres in </w:t>
      </w:r>
      <w:r w:rsidR="00D07877">
        <w:t>4</w:t>
      </w:r>
      <w:r w:rsidRPr="002179DB">
        <w:t xml:space="preserve"> countries: Canada, Japan, Poland, and the US. </w:t>
      </w:r>
      <w:r w:rsidR="00D07877">
        <w:t xml:space="preserve">Conducted May </w:t>
      </w:r>
      <w:r w:rsidRPr="002179DB">
        <w:t>2019</w:t>
      </w:r>
      <w:r w:rsidR="00D07877">
        <w:t xml:space="preserve"> to June </w:t>
      </w:r>
      <w:r w:rsidRPr="002179DB">
        <w:t>2020</w:t>
      </w:r>
      <w:r w:rsidR="00D07877">
        <w:t>.</w:t>
      </w:r>
    </w:p>
    <w:p w14:paraId="0D1410C0" w14:textId="77777777" w:rsidR="002179DB" w:rsidRPr="002179DB" w:rsidRDefault="002179DB" w:rsidP="002179DB">
      <w:r w:rsidRPr="002179DB">
        <w:t>Safety and efficacy over 2 years:</w:t>
      </w:r>
    </w:p>
    <w:p w14:paraId="55D35BE2" w14:textId="6CE7481A" w:rsidR="002179DB" w:rsidRDefault="002179DB" w:rsidP="00D478BA">
      <w:pPr>
        <w:pStyle w:val="ListBullet"/>
      </w:pPr>
      <w:r w:rsidRPr="002179DB">
        <w:t>DESTINATION an ongoing long-term extension study. The 3-month safety update was submitted in the initial dossier. Subsequently a Data Notification Document, and a clinical study report and addendum were provided on 25 February 2022 and 1 July 2022 respectively.</w:t>
      </w:r>
      <w:bookmarkStart w:id="67" w:name="_Toc164963563"/>
    </w:p>
    <w:p w14:paraId="5CBE26AC" w14:textId="28310979" w:rsidR="007700F6" w:rsidRPr="002179DB" w:rsidRDefault="007700F6" w:rsidP="007700F6">
      <w:r w:rsidRPr="002179DB">
        <w:t xml:space="preserve">The </w:t>
      </w:r>
      <w:r w:rsidR="00276AE9">
        <w:t>k</w:t>
      </w:r>
      <w:r w:rsidRPr="002179DB">
        <w:t xml:space="preserve">ey study details are outlined </w:t>
      </w:r>
      <w:r w:rsidR="00276AE9">
        <w:t xml:space="preserve">in </w:t>
      </w:r>
      <w:r w:rsidR="00F27529">
        <w:t>t</w:t>
      </w:r>
      <w:r w:rsidR="00276AE9">
        <w:t>able 6</w:t>
      </w:r>
      <w:r w:rsidR="00E02BDE">
        <w:t>.</w:t>
      </w:r>
    </w:p>
    <w:bookmarkEnd w:id="67"/>
    <w:p w14:paraId="7CA40C86" w14:textId="4C02F006" w:rsidR="00AF70EF" w:rsidRPr="002179DB" w:rsidRDefault="00AF70EF" w:rsidP="00AF70EF">
      <w:pPr>
        <w:pStyle w:val="TableTitle"/>
      </w:pPr>
      <w:r>
        <w:lastRenderedPageBreak/>
        <w:t xml:space="preserve">Table </w:t>
      </w:r>
      <w:r>
        <w:fldChar w:fldCharType="begin"/>
      </w:r>
      <w:r>
        <w:instrText xml:space="preserve"> SEQ Table \* ARABIC </w:instrText>
      </w:r>
      <w:r>
        <w:fldChar w:fldCharType="separate"/>
      </w:r>
      <w:r w:rsidR="005657B1">
        <w:rPr>
          <w:noProof/>
        </w:rPr>
        <w:t>6</w:t>
      </w:r>
      <w:r>
        <w:fldChar w:fldCharType="end"/>
      </w:r>
      <w:r>
        <w:t>: Key features of efficacy studies</w:t>
      </w:r>
    </w:p>
    <w:tbl>
      <w:tblPr>
        <w:tblStyle w:val="TableTGAblue2023"/>
        <w:tblW w:w="9209" w:type="dxa"/>
        <w:tblLayout w:type="fixed"/>
        <w:tblLook w:val="04A0" w:firstRow="1" w:lastRow="0" w:firstColumn="1" w:lastColumn="0" w:noHBand="0" w:noVBand="1"/>
      </w:tblPr>
      <w:tblGrid>
        <w:gridCol w:w="1980"/>
        <w:gridCol w:w="1701"/>
        <w:gridCol w:w="1843"/>
        <w:gridCol w:w="1984"/>
        <w:gridCol w:w="1701"/>
      </w:tblGrid>
      <w:tr w:rsidR="00F95D30" w:rsidRPr="007E3D21" w14:paraId="5F9B4A5E" w14:textId="325DCE5B" w:rsidTr="00512B67">
        <w:trPr>
          <w:cnfStyle w:val="100000000000" w:firstRow="1" w:lastRow="0" w:firstColumn="0" w:lastColumn="0" w:oddVBand="0" w:evenVBand="0" w:oddHBand="0"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980" w:type="dxa"/>
          </w:tcPr>
          <w:p w14:paraId="0B254EF2" w14:textId="77777777" w:rsidR="00512B67" w:rsidRPr="007E3D21" w:rsidRDefault="00512B67" w:rsidP="005657B1"/>
        </w:tc>
        <w:tc>
          <w:tcPr>
            <w:tcW w:w="1701" w:type="dxa"/>
          </w:tcPr>
          <w:p w14:paraId="3152637F" w14:textId="426677DF" w:rsidR="00512B67" w:rsidRPr="007E3D21" w:rsidRDefault="00EA04B2" w:rsidP="005657B1">
            <w:pPr>
              <w:cnfStyle w:val="100000000000" w:firstRow="1" w:lastRow="0" w:firstColumn="0" w:lastColumn="0" w:oddVBand="0" w:evenVBand="0" w:oddHBand="0" w:evenHBand="0" w:firstRowFirstColumn="0" w:firstRowLastColumn="0" w:lastRowFirstColumn="0" w:lastRowLastColumn="0"/>
            </w:pPr>
            <w:r w:rsidRPr="007E3D21">
              <w:t>Study design</w:t>
            </w:r>
          </w:p>
        </w:tc>
        <w:tc>
          <w:tcPr>
            <w:tcW w:w="1843" w:type="dxa"/>
          </w:tcPr>
          <w:p w14:paraId="40BFC0D9" w14:textId="5C3CB978" w:rsidR="00512B67" w:rsidRPr="007E3D21" w:rsidRDefault="00EA04B2" w:rsidP="005657B1">
            <w:pPr>
              <w:cnfStyle w:val="100000000000" w:firstRow="1" w:lastRow="0" w:firstColumn="0" w:lastColumn="0" w:oddVBand="0" w:evenVBand="0" w:oddHBand="0" w:evenHBand="0" w:firstRowFirstColumn="0" w:firstRowLastColumn="0" w:lastRowFirstColumn="0" w:lastRowLastColumn="0"/>
            </w:pPr>
            <w:r w:rsidRPr="007E3D21">
              <w:t xml:space="preserve">Primary </w:t>
            </w:r>
            <w:r w:rsidR="00CA076C" w:rsidRPr="007E3D21">
              <w:t>objectives</w:t>
            </w:r>
          </w:p>
        </w:tc>
        <w:tc>
          <w:tcPr>
            <w:tcW w:w="1984" w:type="dxa"/>
          </w:tcPr>
          <w:p w14:paraId="17562A23" w14:textId="074D7BB4" w:rsidR="00512B67" w:rsidRPr="007E3D21" w:rsidRDefault="00CA076C" w:rsidP="005657B1">
            <w:pPr>
              <w:cnfStyle w:val="100000000000" w:firstRow="1" w:lastRow="0" w:firstColumn="0" w:lastColumn="0" w:oddVBand="0" w:evenVBand="0" w:oddHBand="0" w:evenHBand="0" w:firstRowFirstColumn="0" w:firstRowLastColumn="0" w:lastRowFirstColumn="0" w:lastRowLastColumn="0"/>
            </w:pPr>
            <w:r w:rsidRPr="007E3D21">
              <w:t>Primary and key secondary outcomes</w:t>
            </w:r>
          </w:p>
        </w:tc>
        <w:tc>
          <w:tcPr>
            <w:tcW w:w="1701" w:type="dxa"/>
          </w:tcPr>
          <w:p w14:paraId="53C24303" w14:textId="787FA0D1" w:rsidR="00512B67" w:rsidRPr="007E3D21" w:rsidRDefault="00CA076C" w:rsidP="005657B1">
            <w:pPr>
              <w:cnfStyle w:val="100000000000" w:firstRow="1" w:lastRow="0" w:firstColumn="0" w:lastColumn="0" w:oddVBand="0" w:evenVBand="0" w:oddHBand="0" w:evenHBand="0" w:firstRowFirstColumn="0" w:firstRowLastColumn="0" w:lastRowFirstColumn="0" w:lastRowLastColumn="0"/>
            </w:pPr>
            <w:r w:rsidRPr="007E3D21">
              <w:t>Number of participants randomised and treated</w:t>
            </w:r>
          </w:p>
        </w:tc>
      </w:tr>
      <w:tr w:rsidR="00EA04B2" w:rsidRPr="007E3D21" w14:paraId="52669147" w14:textId="2A1C1F1C" w:rsidTr="00512B67">
        <w:trPr>
          <w:trHeight w:val="94"/>
        </w:trPr>
        <w:tc>
          <w:tcPr>
            <w:cnfStyle w:val="001000000000" w:firstRow="0" w:lastRow="0" w:firstColumn="1" w:lastColumn="0" w:oddVBand="0" w:evenVBand="0" w:oddHBand="0" w:evenHBand="0" w:firstRowFirstColumn="0" w:firstRowLastColumn="0" w:lastRowFirstColumn="0" w:lastRowLastColumn="0"/>
            <w:tcW w:w="1980" w:type="dxa"/>
          </w:tcPr>
          <w:p w14:paraId="159B4494" w14:textId="05954034" w:rsidR="00EA04B2" w:rsidRPr="007E3D21" w:rsidRDefault="00EA04B2" w:rsidP="005657B1">
            <w:r w:rsidRPr="007E3D21">
              <w:t>PATHWAY</w:t>
            </w:r>
          </w:p>
        </w:tc>
        <w:tc>
          <w:tcPr>
            <w:tcW w:w="1701" w:type="dxa"/>
          </w:tcPr>
          <w:p w14:paraId="3FE42CD1"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RD/DB/PC</w:t>
            </w:r>
          </w:p>
          <w:p w14:paraId="2F982332"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52-week treatment &amp; 12-week follow-up</w:t>
            </w:r>
          </w:p>
          <w:p w14:paraId="00A2A6EE" w14:textId="7A8B03C3"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proofErr w:type="spellStart"/>
            <w:r w:rsidRPr="007E3D21">
              <w:t>Teze</w:t>
            </w:r>
            <w:proofErr w:type="spellEnd"/>
            <w:r w:rsidRPr="007E3D21">
              <w:t>: 70, 210 mg Q4W, 280 mg Q2W SC, placebo</w:t>
            </w:r>
          </w:p>
        </w:tc>
        <w:tc>
          <w:tcPr>
            <w:tcW w:w="1843" w:type="dxa"/>
          </w:tcPr>
          <w:p w14:paraId="7AEA9EAC" w14:textId="25FA3551"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Dose ranging study: effectiveness of 3 dose levels of </w:t>
            </w:r>
            <w:proofErr w:type="spellStart"/>
            <w:r w:rsidRPr="007E3D21">
              <w:t>tezepelumab</w:t>
            </w:r>
            <w:proofErr w:type="spellEnd"/>
            <w:r w:rsidRPr="007E3D21">
              <w:t xml:space="preserve"> on asthma exacerbations </w:t>
            </w:r>
          </w:p>
        </w:tc>
        <w:tc>
          <w:tcPr>
            <w:tcW w:w="1984" w:type="dxa"/>
          </w:tcPr>
          <w:p w14:paraId="22B03CA0"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Primary: Asthma exacerbations </w:t>
            </w:r>
          </w:p>
          <w:p w14:paraId="15D61EC1" w14:textId="5E128EA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Secondary: effect on lung function, symptoms and QOL</w:t>
            </w:r>
          </w:p>
        </w:tc>
        <w:tc>
          <w:tcPr>
            <w:tcW w:w="1701" w:type="dxa"/>
          </w:tcPr>
          <w:p w14:paraId="12A8C40D"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550 adults (18-75 yrs)</w:t>
            </w:r>
          </w:p>
          <w:p w14:paraId="6F75ECC7"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138 </w:t>
            </w:r>
            <w:proofErr w:type="spellStart"/>
            <w:r w:rsidRPr="007E3D21">
              <w:t>teze</w:t>
            </w:r>
            <w:proofErr w:type="spellEnd"/>
            <w:r w:rsidRPr="007E3D21">
              <w:t xml:space="preserve"> 70 mg</w:t>
            </w:r>
          </w:p>
          <w:p w14:paraId="1A098821"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137 </w:t>
            </w:r>
            <w:proofErr w:type="spellStart"/>
            <w:r w:rsidRPr="007E3D21">
              <w:t>teze</w:t>
            </w:r>
            <w:proofErr w:type="spellEnd"/>
            <w:r w:rsidRPr="007E3D21">
              <w:t xml:space="preserve"> 210 mg</w:t>
            </w:r>
          </w:p>
          <w:p w14:paraId="7AB81AF3"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137 </w:t>
            </w:r>
            <w:proofErr w:type="spellStart"/>
            <w:r w:rsidRPr="007E3D21">
              <w:t>teze</w:t>
            </w:r>
            <w:proofErr w:type="spellEnd"/>
            <w:r w:rsidRPr="007E3D21">
              <w:t xml:space="preserve"> 280 mg</w:t>
            </w:r>
          </w:p>
          <w:p w14:paraId="13E22C3F" w14:textId="03EEC8A1"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138 </w:t>
            </w:r>
            <w:proofErr w:type="gramStart"/>
            <w:r w:rsidRPr="007E3D21">
              <w:t>placebo</w:t>
            </w:r>
            <w:proofErr w:type="gramEnd"/>
          </w:p>
        </w:tc>
      </w:tr>
      <w:tr w:rsidR="00EA04B2" w:rsidRPr="007E3D21" w14:paraId="77A01BCB" w14:textId="507AC093" w:rsidTr="00512B67">
        <w:trPr>
          <w:trHeight w:val="187"/>
        </w:trPr>
        <w:tc>
          <w:tcPr>
            <w:cnfStyle w:val="001000000000" w:firstRow="0" w:lastRow="0" w:firstColumn="1" w:lastColumn="0" w:oddVBand="0" w:evenVBand="0" w:oddHBand="0" w:evenHBand="0" w:firstRowFirstColumn="0" w:firstRowLastColumn="0" w:lastRowFirstColumn="0" w:lastRowLastColumn="0"/>
            <w:tcW w:w="1980" w:type="dxa"/>
          </w:tcPr>
          <w:p w14:paraId="3C81AF2E" w14:textId="5D7D7F51" w:rsidR="00EA04B2" w:rsidRPr="007E3D21" w:rsidRDefault="00EA04B2" w:rsidP="005657B1">
            <w:r w:rsidRPr="007E3D21">
              <w:t>NAVIGATOR</w:t>
            </w:r>
          </w:p>
        </w:tc>
        <w:tc>
          <w:tcPr>
            <w:tcW w:w="1701" w:type="dxa"/>
          </w:tcPr>
          <w:p w14:paraId="421C3E6F"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RD/DB/PC</w:t>
            </w:r>
          </w:p>
          <w:p w14:paraId="5094060F"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52-week treatment &amp; 12-week follow-up</w:t>
            </w:r>
          </w:p>
          <w:p w14:paraId="562A5D8A" w14:textId="59B95034"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proofErr w:type="spellStart"/>
            <w:r w:rsidRPr="007E3D21">
              <w:t>Teze</w:t>
            </w:r>
            <w:proofErr w:type="spellEnd"/>
            <w:r w:rsidRPr="007E3D21">
              <w:t xml:space="preserve"> 210 mg Q4W SC or placebo</w:t>
            </w:r>
          </w:p>
        </w:tc>
        <w:tc>
          <w:tcPr>
            <w:tcW w:w="1843" w:type="dxa"/>
          </w:tcPr>
          <w:p w14:paraId="32534B34" w14:textId="416B9FCD"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Assess the effect of </w:t>
            </w:r>
            <w:proofErr w:type="spellStart"/>
            <w:r w:rsidRPr="007E3D21">
              <w:t>tezepelumab</w:t>
            </w:r>
            <w:proofErr w:type="spellEnd"/>
            <w:r w:rsidRPr="007E3D21">
              <w:t xml:space="preserve"> 210 mg SC Q4W on asthma exacerbations</w:t>
            </w:r>
          </w:p>
        </w:tc>
        <w:tc>
          <w:tcPr>
            <w:tcW w:w="1984" w:type="dxa"/>
          </w:tcPr>
          <w:p w14:paraId="08F79648"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Primary: Asthma exacerbations</w:t>
            </w:r>
          </w:p>
          <w:p w14:paraId="4078DC16" w14:textId="1D4CF411"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Secondary: effect on lung function, symptoms and QOL</w:t>
            </w:r>
          </w:p>
        </w:tc>
        <w:tc>
          <w:tcPr>
            <w:tcW w:w="1701" w:type="dxa"/>
          </w:tcPr>
          <w:p w14:paraId="7A936EC6"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1059 adults/adolescents </w:t>
            </w:r>
          </w:p>
          <w:p w14:paraId="050D9B2B"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528 </w:t>
            </w:r>
            <w:proofErr w:type="spellStart"/>
            <w:r w:rsidRPr="007E3D21">
              <w:t>teze</w:t>
            </w:r>
            <w:proofErr w:type="spellEnd"/>
          </w:p>
          <w:p w14:paraId="76067033"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531 </w:t>
            </w:r>
            <w:proofErr w:type="gramStart"/>
            <w:r w:rsidRPr="007E3D21">
              <w:t>placebo</w:t>
            </w:r>
            <w:proofErr w:type="gramEnd"/>
          </w:p>
          <w:p w14:paraId="103AA9F0" w14:textId="700B3B7A"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(82 subjects aged 12-17yr)</w:t>
            </w:r>
          </w:p>
        </w:tc>
      </w:tr>
      <w:tr w:rsidR="00EA04B2" w:rsidRPr="007E3D21" w14:paraId="5E9D78A2" w14:textId="41F92955" w:rsidTr="00512B67">
        <w:trPr>
          <w:trHeight w:val="159"/>
        </w:trPr>
        <w:tc>
          <w:tcPr>
            <w:cnfStyle w:val="001000000000" w:firstRow="0" w:lastRow="0" w:firstColumn="1" w:lastColumn="0" w:oddVBand="0" w:evenVBand="0" w:oddHBand="0" w:evenHBand="0" w:firstRowFirstColumn="0" w:firstRowLastColumn="0" w:lastRowFirstColumn="0" w:lastRowLastColumn="0"/>
            <w:tcW w:w="1980" w:type="dxa"/>
          </w:tcPr>
          <w:p w14:paraId="1F73879A" w14:textId="5D096248" w:rsidR="00EA04B2" w:rsidRPr="007E3D21" w:rsidRDefault="00EA04B2" w:rsidP="005657B1">
            <w:r w:rsidRPr="007E3D21">
              <w:t>SOURCE</w:t>
            </w:r>
          </w:p>
        </w:tc>
        <w:tc>
          <w:tcPr>
            <w:tcW w:w="1701" w:type="dxa"/>
          </w:tcPr>
          <w:p w14:paraId="3546C42A"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RD/DB/PC</w:t>
            </w:r>
          </w:p>
          <w:p w14:paraId="76E060F6"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48-week treatment </w:t>
            </w:r>
          </w:p>
          <w:p w14:paraId="2E25DE90" w14:textId="18F4B82D"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proofErr w:type="spellStart"/>
            <w:r w:rsidRPr="007E3D21">
              <w:t>Teze</w:t>
            </w:r>
            <w:proofErr w:type="spellEnd"/>
            <w:r w:rsidRPr="007E3D21">
              <w:t xml:space="preserve"> 210 mg Q4W SC or placebo</w:t>
            </w:r>
          </w:p>
        </w:tc>
        <w:tc>
          <w:tcPr>
            <w:tcW w:w="1843" w:type="dxa"/>
          </w:tcPr>
          <w:p w14:paraId="7DD7F5F4" w14:textId="20D46E9E"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Evaluate the effect of </w:t>
            </w:r>
            <w:proofErr w:type="spellStart"/>
            <w:r w:rsidRPr="007E3D21">
              <w:t>tezepelumab</w:t>
            </w:r>
            <w:proofErr w:type="spellEnd"/>
            <w:r w:rsidRPr="007E3D21">
              <w:t xml:space="preserve"> in reducing the OCS maintenance dose in asthmatic patients</w:t>
            </w:r>
          </w:p>
        </w:tc>
        <w:tc>
          <w:tcPr>
            <w:tcW w:w="1984" w:type="dxa"/>
          </w:tcPr>
          <w:p w14:paraId="2C3BF496"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Primary: Reduction of OCS dose</w:t>
            </w:r>
          </w:p>
          <w:p w14:paraId="610381F5" w14:textId="1322F21D"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Secondary: effect on exacerbations</w:t>
            </w:r>
          </w:p>
        </w:tc>
        <w:tc>
          <w:tcPr>
            <w:tcW w:w="1701" w:type="dxa"/>
          </w:tcPr>
          <w:p w14:paraId="79F5A756"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150 adults (18-80 years)</w:t>
            </w:r>
          </w:p>
          <w:p w14:paraId="60217D5C"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74 </w:t>
            </w:r>
            <w:proofErr w:type="spellStart"/>
            <w:r w:rsidRPr="007E3D21">
              <w:t>teze</w:t>
            </w:r>
            <w:proofErr w:type="spellEnd"/>
          </w:p>
          <w:p w14:paraId="0EB37B1F" w14:textId="7FD31AA5"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76 </w:t>
            </w:r>
            <w:proofErr w:type="gramStart"/>
            <w:r w:rsidRPr="007E3D21">
              <w:t>placebo</w:t>
            </w:r>
            <w:proofErr w:type="gramEnd"/>
          </w:p>
        </w:tc>
      </w:tr>
      <w:tr w:rsidR="00EA04B2" w:rsidRPr="007E3D21" w14:paraId="6E911D0D" w14:textId="569BE492" w:rsidTr="00512B67">
        <w:trPr>
          <w:trHeight w:val="122"/>
        </w:trPr>
        <w:tc>
          <w:tcPr>
            <w:cnfStyle w:val="001000000000" w:firstRow="0" w:lastRow="0" w:firstColumn="1" w:lastColumn="0" w:oddVBand="0" w:evenVBand="0" w:oddHBand="0" w:evenHBand="0" w:firstRowFirstColumn="0" w:firstRowLastColumn="0" w:lastRowFirstColumn="0" w:lastRowLastColumn="0"/>
            <w:tcW w:w="1980" w:type="dxa"/>
          </w:tcPr>
          <w:p w14:paraId="31063E05" w14:textId="1CF66CBB" w:rsidR="00EA04B2" w:rsidRPr="007E3D21" w:rsidRDefault="00EA04B2" w:rsidP="005657B1">
            <w:r w:rsidRPr="007E3D21">
              <w:t>PATH-HOME</w:t>
            </w:r>
          </w:p>
        </w:tc>
        <w:tc>
          <w:tcPr>
            <w:tcW w:w="1701" w:type="dxa"/>
          </w:tcPr>
          <w:p w14:paraId="7F4A6518"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RD/OL</w:t>
            </w:r>
          </w:p>
          <w:p w14:paraId="6415463F"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 xml:space="preserve">24-week treatment </w:t>
            </w:r>
          </w:p>
          <w:p w14:paraId="5786092D" w14:textId="7DE3D85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proofErr w:type="spellStart"/>
            <w:r w:rsidRPr="007E3D21">
              <w:t>Teze</w:t>
            </w:r>
            <w:proofErr w:type="spellEnd"/>
            <w:r w:rsidRPr="007E3D21">
              <w:t xml:space="preserve"> 210 mg Q4W SC administered by </w:t>
            </w:r>
            <w:proofErr w:type="spellStart"/>
            <w:r w:rsidR="00FA3415">
              <w:t>a</w:t>
            </w:r>
            <w:r w:rsidRPr="007E3D21">
              <w:t>PFS</w:t>
            </w:r>
            <w:proofErr w:type="spellEnd"/>
            <w:r w:rsidRPr="007E3D21">
              <w:t xml:space="preserve"> or Autoinjector by HCP / subjects </w:t>
            </w:r>
          </w:p>
        </w:tc>
        <w:tc>
          <w:tcPr>
            <w:tcW w:w="1843" w:type="dxa"/>
          </w:tcPr>
          <w:p w14:paraId="4C1AE880" w14:textId="213EA664"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Assess functionality and performance of 2 alternative methods of administration</w:t>
            </w:r>
          </w:p>
        </w:tc>
        <w:tc>
          <w:tcPr>
            <w:tcW w:w="1984" w:type="dxa"/>
          </w:tcPr>
          <w:p w14:paraId="3EAF1149" w14:textId="64DF4E52"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Primary: Successful administration with APFS or Autoinjector</w:t>
            </w:r>
          </w:p>
          <w:p w14:paraId="3F565895"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p>
        </w:tc>
        <w:tc>
          <w:tcPr>
            <w:tcW w:w="1701" w:type="dxa"/>
          </w:tcPr>
          <w:p w14:paraId="60B21F2E"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216 adults /adolescents</w:t>
            </w:r>
          </w:p>
          <w:p w14:paraId="2C630FA3" w14:textId="77777777"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111 APFS</w:t>
            </w:r>
          </w:p>
          <w:p w14:paraId="6F5BB794" w14:textId="307F7333"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105 Autoinjector</w:t>
            </w:r>
          </w:p>
          <w:p w14:paraId="359C9CF7" w14:textId="6FAFE022" w:rsidR="00EA04B2" w:rsidRPr="007E3D21" w:rsidRDefault="00EA04B2" w:rsidP="005657B1">
            <w:pPr>
              <w:cnfStyle w:val="000000000000" w:firstRow="0" w:lastRow="0" w:firstColumn="0" w:lastColumn="0" w:oddVBand="0" w:evenVBand="0" w:oddHBand="0" w:evenHBand="0" w:firstRowFirstColumn="0" w:firstRowLastColumn="0" w:lastRowFirstColumn="0" w:lastRowLastColumn="0"/>
            </w:pPr>
            <w:r w:rsidRPr="007E3D21">
              <w:t>(24 subjects aged 12-17yr)</w:t>
            </w:r>
          </w:p>
        </w:tc>
      </w:tr>
    </w:tbl>
    <w:p w14:paraId="5F76DBAD" w14:textId="3B0CB893" w:rsidR="002179DB" w:rsidRPr="002179DB" w:rsidRDefault="00FA3415" w:rsidP="00861CE2">
      <w:pPr>
        <w:pStyle w:val="TableDescription"/>
      </w:pPr>
      <w:proofErr w:type="spellStart"/>
      <w:r>
        <w:t>a</w:t>
      </w:r>
      <w:r w:rsidR="002179DB" w:rsidRPr="002179DB">
        <w:t>PFS</w:t>
      </w:r>
      <w:proofErr w:type="spellEnd"/>
      <w:r>
        <w:t xml:space="preserve"> =</w:t>
      </w:r>
      <w:r w:rsidR="002179DB" w:rsidRPr="002179DB">
        <w:t xml:space="preserve"> Accessorised prefilled syringe; DB</w:t>
      </w:r>
      <w:r>
        <w:t xml:space="preserve"> =</w:t>
      </w:r>
      <w:r w:rsidR="002179DB" w:rsidRPr="002179DB">
        <w:t xml:space="preserve"> Double-blind; </w:t>
      </w:r>
      <w:proofErr w:type="spellStart"/>
      <w:r w:rsidR="002179DB" w:rsidRPr="002179DB">
        <w:t>FeNO</w:t>
      </w:r>
      <w:proofErr w:type="spellEnd"/>
      <w:r>
        <w:t xml:space="preserve"> =</w:t>
      </w:r>
      <w:r w:rsidR="002179DB" w:rsidRPr="002179DB">
        <w:t xml:space="preserve"> Fraction Exhaled Nitric oxide; HCP</w:t>
      </w:r>
      <w:r>
        <w:t xml:space="preserve"> =</w:t>
      </w:r>
      <w:r w:rsidR="002179DB" w:rsidRPr="002179DB">
        <w:t xml:space="preserve"> Health care provider; </w:t>
      </w:r>
      <w:proofErr w:type="spellStart"/>
      <w:r w:rsidR="002179DB" w:rsidRPr="002179DB">
        <w:t>HRQoL</w:t>
      </w:r>
      <w:proofErr w:type="spellEnd"/>
      <w:r>
        <w:t xml:space="preserve"> =</w:t>
      </w:r>
      <w:r w:rsidR="002179DB" w:rsidRPr="002179DB">
        <w:t xml:space="preserve"> Health-related Quality of Life; OCS</w:t>
      </w:r>
      <w:r>
        <w:t xml:space="preserve"> =</w:t>
      </w:r>
      <w:r w:rsidR="002179DB" w:rsidRPr="002179DB">
        <w:t xml:space="preserve"> Oral corticosteroid, PC</w:t>
      </w:r>
      <w:r>
        <w:t xml:space="preserve"> =</w:t>
      </w:r>
      <w:r w:rsidR="002179DB" w:rsidRPr="002179DB">
        <w:t xml:space="preserve"> Placebo-controlled; Q2W</w:t>
      </w:r>
      <w:r>
        <w:t xml:space="preserve"> =</w:t>
      </w:r>
      <w:r w:rsidR="002179DB" w:rsidRPr="002179DB">
        <w:t xml:space="preserve"> Every 2 weeks; Q4W</w:t>
      </w:r>
      <w:r>
        <w:t xml:space="preserve"> =</w:t>
      </w:r>
      <w:r w:rsidR="002179DB" w:rsidRPr="002179DB">
        <w:t xml:space="preserve"> Every 4 weeks; RD</w:t>
      </w:r>
      <w:r>
        <w:t xml:space="preserve"> =</w:t>
      </w:r>
      <w:r w:rsidR="002179DB" w:rsidRPr="002179DB">
        <w:t xml:space="preserve"> Randomised design; SC</w:t>
      </w:r>
      <w:r>
        <w:t xml:space="preserve"> =</w:t>
      </w:r>
      <w:r w:rsidR="002179DB" w:rsidRPr="002179DB">
        <w:t xml:space="preserve"> Subcutaneous</w:t>
      </w:r>
      <w:r>
        <w:t xml:space="preserve">; </w:t>
      </w:r>
      <w:r w:rsidR="002179DB" w:rsidRPr="002179DB">
        <w:t>QOL</w:t>
      </w:r>
      <w:r>
        <w:t xml:space="preserve"> =</w:t>
      </w:r>
      <w:r w:rsidR="002179DB" w:rsidRPr="002179DB">
        <w:t xml:space="preserve"> Quality of life</w:t>
      </w:r>
      <w:r>
        <w:t>.</w:t>
      </w:r>
    </w:p>
    <w:p w14:paraId="70D75C0D" w14:textId="5646434D" w:rsidR="00BC099E" w:rsidRDefault="005657B1" w:rsidP="00AF70EF">
      <w:pPr>
        <w:pStyle w:val="Heading5"/>
      </w:pPr>
      <w:r>
        <w:lastRenderedPageBreak/>
        <w:t xml:space="preserve">Navigator and </w:t>
      </w:r>
      <w:r w:rsidRPr="002179DB">
        <w:t>pathway</w:t>
      </w:r>
    </w:p>
    <w:p w14:paraId="5223984D" w14:textId="36741A74" w:rsidR="002179DB" w:rsidRPr="002179DB" w:rsidRDefault="00BC099E" w:rsidP="00BC099E">
      <w:pPr>
        <w:pStyle w:val="Heading6"/>
        <w:rPr>
          <w:rFonts w:eastAsia="MS Mincho"/>
        </w:rPr>
      </w:pPr>
      <w:r>
        <w:t>S</w:t>
      </w:r>
      <w:r w:rsidR="002179DB" w:rsidRPr="002179DB">
        <w:t>tudy design</w:t>
      </w:r>
      <w:r>
        <w:t>s</w:t>
      </w:r>
    </w:p>
    <w:p w14:paraId="3A969106" w14:textId="7C108179" w:rsidR="002179DB" w:rsidRDefault="002179DB" w:rsidP="002179DB">
      <w:r w:rsidRPr="002179DB">
        <w:t>The PATHWAY and NAVIGATOR studies were well designed and conformed with regulatory guidance. The selection of patients and the outcome measures were consistent with the Guideline on the Clinical Investigation of Medicinal Products for the Treatment of Asthma (CHMP/EWP/2922/01 Rev. 1</w:t>
      </w:r>
      <w:r w:rsidR="00293376">
        <w:t>)</w:t>
      </w:r>
      <w:r w:rsidRPr="002179DB">
        <w:t xml:space="preserve">. </w:t>
      </w:r>
      <w:r w:rsidR="00293376">
        <w:t xml:space="preserve">The </w:t>
      </w:r>
      <w:r w:rsidRPr="002179DB">
        <w:t xml:space="preserve">NAVIGATOR </w:t>
      </w:r>
      <w:r w:rsidR="00293376">
        <w:t xml:space="preserve">study </w:t>
      </w:r>
      <w:r w:rsidRPr="002179DB">
        <w:t>included adults and adolescents aged 12</w:t>
      </w:r>
      <w:r w:rsidR="00293376">
        <w:t> years</w:t>
      </w:r>
      <w:r w:rsidRPr="002179DB">
        <w:t xml:space="preserve"> to 80</w:t>
      </w:r>
      <w:r w:rsidR="00293376">
        <w:t> </w:t>
      </w:r>
      <w:r w:rsidRPr="002179DB">
        <w:t>years, while PATHWAY included adults aged 18</w:t>
      </w:r>
      <w:r w:rsidR="00293376">
        <w:t xml:space="preserve"> years </w:t>
      </w:r>
      <w:r w:rsidRPr="002179DB">
        <w:t>to 75</w:t>
      </w:r>
      <w:r w:rsidR="00293376">
        <w:t> </w:t>
      </w:r>
      <w:r w:rsidRPr="002179DB">
        <w:t>years. Eligibility criteria (</w:t>
      </w:r>
      <w:r w:rsidR="00EF6C05">
        <w:fldChar w:fldCharType="begin"/>
      </w:r>
      <w:r w:rsidR="00EF6C05">
        <w:instrText xml:space="preserve"> REF _Ref204090258 \h </w:instrText>
      </w:r>
      <w:r w:rsidR="00EF6C05">
        <w:fldChar w:fldCharType="separate"/>
      </w:r>
      <w:r w:rsidR="005657B1">
        <w:t xml:space="preserve">Table </w:t>
      </w:r>
      <w:r w:rsidR="005657B1">
        <w:rPr>
          <w:noProof/>
        </w:rPr>
        <w:t>7</w:t>
      </w:r>
      <w:r w:rsidR="00EF6C05">
        <w:fldChar w:fldCharType="end"/>
      </w:r>
      <w:r w:rsidRPr="002179DB">
        <w:t xml:space="preserve">) included asthma which was inadequately controlled by stable dose medium/high dose inhaled corticosteroids and at least one controller </w:t>
      </w:r>
      <w:r w:rsidR="00525F29">
        <w:t xml:space="preserve">with or without </w:t>
      </w:r>
      <w:r w:rsidRPr="002179DB">
        <w:t>oral corticosteroids. Both studies also required a documented history of at least 2 severe asthma exacerbations (or 1 exacerbation resulting in hospitalisation in PATHWAY) in the 12</w:t>
      </w:r>
      <w:r w:rsidR="00525F29">
        <w:t> </w:t>
      </w:r>
      <w:r w:rsidRPr="002179DB">
        <w:t>months prior to study entry. Patients with well-controlled comorbid disease on a stable treatment regimen for 15</w:t>
      </w:r>
      <w:r w:rsidR="00525F29">
        <w:t> </w:t>
      </w:r>
      <w:r w:rsidRPr="002179DB">
        <w:t>days prior to Visit 1 were eligible.</w:t>
      </w:r>
    </w:p>
    <w:p w14:paraId="2164A875" w14:textId="494DB280" w:rsidR="00BB2D9F" w:rsidRDefault="00BB2D9F" w:rsidP="00347C86">
      <w:pPr>
        <w:pStyle w:val="TableTitle"/>
        <w:spacing w:before="240"/>
      </w:pPr>
      <w:bookmarkStart w:id="68" w:name="_Ref204090258"/>
      <w:r>
        <w:t xml:space="preserve">Table </w:t>
      </w:r>
      <w:r>
        <w:fldChar w:fldCharType="begin"/>
      </w:r>
      <w:r>
        <w:instrText xml:space="preserve"> SEQ Table \* ARABIC </w:instrText>
      </w:r>
      <w:r>
        <w:fldChar w:fldCharType="separate"/>
      </w:r>
      <w:r w:rsidR="005657B1">
        <w:rPr>
          <w:noProof/>
        </w:rPr>
        <w:t>7</w:t>
      </w:r>
      <w:r>
        <w:fldChar w:fldCharType="end"/>
      </w:r>
      <w:bookmarkEnd w:id="68"/>
      <w:r>
        <w:t xml:space="preserve">: </w:t>
      </w:r>
      <w:r w:rsidR="003301EC">
        <w:t xml:space="preserve">NAVIGATOR and </w:t>
      </w:r>
      <w:r>
        <w:t>PATHWAY asthma-related inclusion criteria</w:t>
      </w:r>
    </w:p>
    <w:tbl>
      <w:tblPr>
        <w:tblStyle w:val="TableTGAblue2023"/>
        <w:tblW w:w="9209" w:type="dxa"/>
        <w:tblLayout w:type="fixed"/>
        <w:tblLook w:val="04A0" w:firstRow="1" w:lastRow="0" w:firstColumn="1" w:lastColumn="0" w:noHBand="0" w:noVBand="1"/>
      </w:tblPr>
      <w:tblGrid>
        <w:gridCol w:w="1838"/>
        <w:gridCol w:w="1843"/>
        <w:gridCol w:w="1843"/>
        <w:gridCol w:w="1842"/>
        <w:gridCol w:w="1843"/>
      </w:tblGrid>
      <w:tr w:rsidR="00F95D30" w:rsidRPr="00F95D30" w14:paraId="1831C850" w14:textId="77777777" w:rsidTr="009E7010">
        <w:trPr>
          <w:cnfStyle w:val="100000000000" w:firstRow="1" w:lastRow="0" w:firstColumn="0" w:lastColumn="0" w:oddVBand="0" w:evenVBand="0" w:oddHBand="0"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838" w:type="dxa"/>
          </w:tcPr>
          <w:p w14:paraId="6C290C95" w14:textId="557BB3FA" w:rsidR="00F95D30" w:rsidRPr="00F95D30" w:rsidRDefault="00995663" w:rsidP="005657B1">
            <w:r>
              <w:t>Study</w:t>
            </w:r>
          </w:p>
        </w:tc>
        <w:tc>
          <w:tcPr>
            <w:tcW w:w="1843" w:type="dxa"/>
          </w:tcPr>
          <w:p w14:paraId="7DD4AAB5" w14:textId="7B9B4FD3" w:rsidR="00F95D30" w:rsidRPr="00F95D30" w:rsidRDefault="00995663" w:rsidP="005657B1">
            <w:pPr>
              <w:cnfStyle w:val="100000000000" w:firstRow="1" w:lastRow="0" w:firstColumn="0" w:lastColumn="0" w:oddVBand="0" w:evenVBand="0" w:oddHBand="0" w:evenHBand="0" w:firstRowFirstColumn="0" w:firstRowLastColumn="0" w:lastRowFirstColumn="0" w:lastRowLastColumn="0"/>
            </w:pPr>
            <w:r>
              <w:t>Asthma history</w:t>
            </w:r>
          </w:p>
        </w:tc>
        <w:tc>
          <w:tcPr>
            <w:tcW w:w="1843" w:type="dxa"/>
          </w:tcPr>
          <w:p w14:paraId="62A5E840" w14:textId="7F95349A" w:rsidR="00F95D30" w:rsidRPr="00F95D30" w:rsidRDefault="00995663" w:rsidP="005657B1">
            <w:pPr>
              <w:cnfStyle w:val="100000000000" w:firstRow="1" w:lastRow="0" w:firstColumn="0" w:lastColumn="0" w:oddVBand="0" w:evenVBand="0" w:oddHBand="0" w:evenHBand="0" w:firstRowFirstColumn="0" w:firstRowLastColumn="0" w:lastRowFirstColumn="0" w:lastRowLastColumn="0"/>
            </w:pPr>
            <w:r>
              <w:t>Baseline therapy</w:t>
            </w:r>
            <w:r w:rsidR="002622CF">
              <w:t xml:space="preserve"> </w:t>
            </w:r>
            <w:r w:rsidR="002622CF" w:rsidRPr="002622CF">
              <w:rPr>
                <w:vertAlign w:val="superscript"/>
              </w:rPr>
              <w:t>a</w:t>
            </w:r>
          </w:p>
        </w:tc>
        <w:tc>
          <w:tcPr>
            <w:tcW w:w="1842" w:type="dxa"/>
          </w:tcPr>
          <w:p w14:paraId="11CBBAE4" w14:textId="07F5836B" w:rsidR="00F95D30" w:rsidRPr="00F95D30" w:rsidRDefault="009E7010" w:rsidP="005657B1">
            <w:pPr>
              <w:cnfStyle w:val="100000000000" w:firstRow="1" w:lastRow="0" w:firstColumn="0" w:lastColumn="0" w:oddVBand="0" w:evenVBand="0" w:oddHBand="0" w:evenHBand="0" w:firstRowFirstColumn="0" w:firstRowLastColumn="0" w:lastRowFirstColumn="0" w:lastRowLastColumn="0"/>
            </w:pPr>
            <w:r>
              <w:t>Lung function</w:t>
            </w:r>
          </w:p>
        </w:tc>
        <w:tc>
          <w:tcPr>
            <w:tcW w:w="1843" w:type="dxa"/>
          </w:tcPr>
          <w:p w14:paraId="4FCD75EC" w14:textId="1FE65399" w:rsidR="00F95D30" w:rsidRPr="00F95D30" w:rsidRDefault="009E7010" w:rsidP="005657B1">
            <w:pPr>
              <w:cnfStyle w:val="100000000000" w:firstRow="1" w:lastRow="0" w:firstColumn="0" w:lastColumn="0" w:oddVBand="0" w:evenVBand="0" w:oddHBand="0" w:evenHBand="0" w:firstRowFirstColumn="0" w:firstRowLastColumn="0" w:lastRowFirstColumn="0" w:lastRowLastColumn="0"/>
            </w:pPr>
            <w:r>
              <w:t>Evidence of uncontrolled asthma</w:t>
            </w:r>
          </w:p>
        </w:tc>
      </w:tr>
      <w:tr w:rsidR="00F95D30" w:rsidRPr="007A1992" w14:paraId="64222376" w14:textId="77777777" w:rsidTr="009E7010">
        <w:trPr>
          <w:trHeight w:val="94"/>
        </w:trPr>
        <w:tc>
          <w:tcPr>
            <w:cnfStyle w:val="001000000000" w:firstRow="0" w:lastRow="0" w:firstColumn="1" w:lastColumn="0" w:oddVBand="0" w:evenVBand="0" w:oddHBand="0" w:evenHBand="0" w:firstRowFirstColumn="0" w:firstRowLastColumn="0" w:lastRowFirstColumn="0" w:lastRowLastColumn="0"/>
            <w:tcW w:w="1838" w:type="dxa"/>
          </w:tcPr>
          <w:p w14:paraId="48DE55EA" w14:textId="0E17E467" w:rsidR="00F95D30" w:rsidRPr="00127A74" w:rsidRDefault="009E7010" w:rsidP="005657B1">
            <w:r>
              <w:t>NAVIGATOR (Phase III)</w:t>
            </w:r>
          </w:p>
        </w:tc>
        <w:tc>
          <w:tcPr>
            <w:tcW w:w="1843" w:type="dxa"/>
          </w:tcPr>
          <w:p w14:paraId="75FFCF32" w14:textId="3ED0B42D" w:rsidR="009E7010" w:rsidRPr="00127A74" w:rsidRDefault="009E7010" w:rsidP="005657B1">
            <w:pPr>
              <w:cnfStyle w:val="000000000000" w:firstRow="0" w:lastRow="0" w:firstColumn="0" w:lastColumn="0" w:oddVBand="0" w:evenVBand="0" w:oddHBand="0" w:evenHBand="0" w:firstRowFirstColumn="0" w:firstRowLastColumn="0" w:lastRowFirstColumn="0" w:lastRowLastColumn="0"/>
            </w:pPr>
            <w:r>
              <w:t>Physician-diagnosed asthma for at least 12 months</w:t>
            </w:r>
            <w:r w:rsidR="005657B1">
              <w:t xml:space="preserve"> </w:t>
            </w:r>
            <w:r w:rsidR="00495C4F">
              <w:t>FEV</w:t>
            </w:r>
            <w:r w:rsidR="00495C4F" w:rsidRPr="00495C4F">
              <w:rPr>
                <w:vertAlign w:val="subscript"/>
              </w:rPr>
              <w:t>1</w:t>
            </w:r>
            <w:r w:rsidR="00495C4F">
              <w:rPr>
                <w:vertAlign w:val="subscript"/>
              </w:rPr>
              <w:t xml:space="preserve"> </w:t>
            </w:r>
            <w:r w:rsidR="00495C4F">
              <w:t>at least 12% and at least 200 mL</w:t>
            </w:r>
          </w:p>
        </w:tc>
        <w:tc>
          <w:tcPr>
            <w:tcW w:w="1843" w:type="dxa"/>
          </w:tcPr>
          <w:p w14:paraId="29D622A2" w14:textId="77777777" w:rsidR="00F95D30" w:rsidRDefault="00F651AF" w:rsidP="005657B1">
            <w:pPr>
              <w:cnfStyle w:val="000000000000" w:firstRow="0" w:lastRow="0" w:firstColumn="0" w:lastColumn="0" w:oddVBand="0" w:evenVBand="0" w:oddHBand="0" w:evenHBand="0" w:firstRowFirstColumn="0" w:firstRowLastColumn="0" w:lastRowFirstColumn="0" w:lastRowLastColumn="0"/>
            </w:pPr>
            <w:r>
              <w:t>MD or HD ICS for at least 12 months</w:t>
            </w:r>
          </w:p>
          <w:p w14:paraId="71BCAB72" w14:textId="6C41F933" w:rsidR="00D10F90" w:rsidRPr="00127A74" w:rsidRDefault="00D10F90" w:rsidP="005657B1">
            <w:pPr>
              <w:cnfStyle w:val="000000000000" w:firstRow="0" w:lastRow="0" w:firstColumn="0" w:lastColumn="0" w:oddVBand="0" w:evenVBand="0" w:oddHBand="0" w:evenHBand="0" w:firstRowFirstColumn="0" w:firstRowLastColumn="0" w:lastRowFirstColumn="0" w:lastRowLastColumn="0"/>
            </w:pPr>
            <w:r>
              <w:t>At least 1 additional maintenance therapy (LABA</w:t>
            </w:r>
            <w:r w:rsidR="009A7672">
              <w:t xml:space="preserve"> / </w:t>
            </w:r>
            <w:r>
              <w:t>LAMA</w:t>
            </w:r>
            <w:r w:rsidR="009A7672">
              <w:t xml:space="preserve"> / LTRA / etc) for at least 3 months</w:t>
            </w:r>
          </w:p>
        </w:tc>
        <w:tc>
          <w:tcPr>
            <w:tcW w:w="1842" w:type="dxa"/>
          </w:tcPr>
          <w:p w14:paraId="15558865" w14:textId="2DB440B0" w:rsidR="00F95D30" w:rsidRPr="00127A74" w:rsidRDefault="005035BE" w:rsidP="005657B1">
            <w:pPr>
              <w:cnfStyle w:val="000000000000" w:firstRow="0" w:lastRow="0" w:firstColumn="0" w:lastColumn="0" w:oddVBand="0" w:evenVBand="0" w:oddHBand="0" w:evenHBand="0" w:firstRowFirstColumn="0" w:firstRowLastColumn="0" w:lastRowFirstColumn="0" w:lastRowLastColumn="0"/>
            </w:pPr>
            <w:r>
              <w:t>Morning pre-BD FEV</w:t>
            </w:r>
            <w:r w:rsidRPr="005035BE">
              <w:rPr>
                <w:vertAlign w:val="subscript"/>
              </w:rPr>
              <w:t>1</w:t>
            </w:r>
            <w:r>
              <w:rPr>
                <w:vertAlign w:val="subscript"/>
              </w:rPr>
              <w:t xml:space="preserve"> </w:t>
            </w:r>
            <w:r>
              <w:t>less than 80% (90% for adolescent subjects) predicted normal</w:t>
            </w:r>
          </w:p>
        </w:tc>
        <w:tc>
          <w:tcPr>
            <w:tcW w:w="1843" w:type="dxa"/>
          </w:tcPr>
          <w:p w14:paraId="2C85AB99" w14:textId="77777777" w:rsidR="00F95D30" w:rsidRDefault="000A5C0C" w:rsidP="005657B1">
            <w:pPr>
              <w:cnfStyle w:val="000000000000" w:firstRow="0" w:lastRow="0" w:firstColumn="0" w:lastColumn="0" w:oddVBand="0" w:evenVBand="0" w:oddHBand="0" w:evenHBand="0" w:firstRowFirstColumn="0" w:firstRowLastColumn="0" w:lastRowFirstColumn="0" w:lastRowLastColumn="0"/>
            </w:pPr>
            <w:r>
              <w:t>At least 2 asthma exacerbations within 12 months</w:t>
            </w:r>
          </w:p>
          <w:p w14:paraId="4B5A5956" w14:textId="48C5485A" w:rsidR="004E7BA8" w:rsidRPr="00127A74" w:rsidRDefault="004E7BA8" w:rsidP="005657B1">
            <w:pPr>
              <w:cnfStyle w:val="000000000000" w:firstRow="0" w:lastRow="0" w:firstColumn="0" w:lastColumn="0" w:oddVBand="0" w:evenVBand="0" w:oddHBand="0" w:evenHBand="0" w:firstRowFirstColumn="0" w:firstRowLastColumn="0" w:lastRowFirstColumn="0" w:lastRowLastColumn="0"/>
            </w:pPr>
            <w:r>
              <w:t>ACQ-6 score at least 1.5 at screening and at randomisation</w:t>
            </w:r>
          </w:p>
        </w:tc>
      </w:tr>
      <w:tr w:rsidR="00F95D30" w:rsidRPr="007A1992" w14:paraId="731DC5A5" w14:textId="77777777" w:rsidTr="009E7010">
        <w:trPr>
          <w:trHeight w:val="187"/>
        </w:trPr>
        <w:tc>
          <w:tcPr>
            <w:cnfStyle w:val="001000000000" w:firstRow="0" w:lastRow="0" w:firstColumn="1" w:lastColumn="0" w:oddVBand="0" w:evenVBand="0" w:oddHBand="0" w:evenHBand="0" w:firstRowFirstColumn="0" w:firstRowLastColumn="0" w:lastRowFirstColumn="0" w:lastRowLastColumn="0"/>
            <w:tcW w:w="1838" w:type="dxa"/>
          </w:tcPr>
          <w:p w14:paraId="0CB7634D" w14:textId="499B12DC" w:rsidR="00F95D30" w:rsidRPr="00127A74" w:rsidRDefault="009E7010" w:rsidP="005657B1">
            <w:r>
              <w:t>PATHWAY (Phase IIb)</w:t>
            </w:r>
          </w:p>
        </w:tc>
        <w:tc>
          <w:tcPr>
            <w:tcW w:w="1843" w:type="dxa"/>
          </w:tcPr>
          <w:p w14:paraId="51FCEE58" w14:textId="77777777" w:rsidR="00F651AF" w:rsidRDefault="00F651AF" w:rsidP="005657B1">
            <w:pPr>
              <w:cnfStyle w:val="000000000000" w:firstRow="0" w:lastRow="0" w:firstColumn="0" w:lastColumn="0" w:oddVBand="0" w:evenVBand="0" w:oddHBand="0" w:evenHBand="0" w:firstRowFirstColumn="0" w:firstRowLastColumn="0" w:lastRowFirstColumn="0" w:lastRowLastColumn="0"/>
            </w:pPr>
            <w:r>
              <w:t>Physician-diagnosed asthma for at least 12 months</w:t>
            </w:r>
          </w:p>
          <w:p w14:paraId="5C4EB273" w14:textId="6F507B29" w:rsidR="00F95D30" w:rsidRPr="00127A74" w:rsidRDefault="00F651AF" w:rsidP="005657B1">
            <w:pPr>
              <w:cnfStyle w:val="000000000000" w:firstRow="0" w:lastRow="0" w:firstColumn="0" w:lastColumn="0" w:oddVBand="0" w:evenVBand="0" w:oddHBand="0" w:evenHBand="0" w:firstRowFirstColumn="0" w:firstRowLastColumn="0" w:lastRowFirstColumn="0" w:lastRowLastColumn="0"/>
            </w:pPr>
            <w:r>
              <w:t>FEV</w:t>
            </w:r>
            <w:r w:rsidRPr="00495C4F">
              <w:rPr>
                <w:vertAlign w:val="subscript"/>
              </w:rPr>
              <w:t>1</w:t>
            </w:r>
            <w:r>
              <w:rPr>
                <w:vertAlign w:val="subscript"/>
              </w:rPr>
              <w:t xml:space="preserve"> </w:t>
            </w:r>
            <w:r>
              <w:t>at least 12% and at least 200 mL</w:t>
            </w:r>
          </w:p>
        </w:tc>
        <w:tc>
          <w:tcPr>
            <w:tcW w:w="1843" w:type="dxa"/>
          </w:tcPr>
          <w:p w14:paraId="5220C0BD" w14:textId="69D3F7A9" w:rsidR="00F95D30" w:rsidRPr="00127A74" w:rsidRDefault="009A7672" w:rsidP="005657B1">
            <w:pPr>
              <w:cnfStyle w:val="000000000000" w:firstRow="0" w:lastRow="0" w:firstColumn="0" w:lastColumn="0" w:oddVBand="0" w:evenVBand="0" w:oddHBand="0" w:evenHBand="0" w:firstRowFirstColumn="0" w:firstRowLastColumn="0" w:lastRowFirstColumn="0" w:lastRowLastColumn="0"/>
            </w:pPr>
            <w:r>
              <w:t>MD or HD ICS and LABA for at least 6 months</w:t>
            </w:r>
          </w:p>
        </w:tc>
        <w:tc>
          <w:tcPr>
            <w:tcW w:w="1842" w:type="dxa"/>
          </w:tcPr>
          <w:p w14:paraId="0204DA4B" w14:textId="2057A07E" w:rsidR="00F95D30" w:rsidRPr="00127A74" w:rsidRDefault="005035BE" w:rsidP="005657B1">
            <w:pPr>
              <w:cnfStyle w:val="000000000000" w:firstRow="0" w:lastRow="0" w:firstColumn="0" w:lastColumn="0" w:oddVBand="0" w:evenVBand="0" w:oddHBand="0" w:evenHBand="0" w:firstRowFirstColumn="0" w:firstRowLastColumn="0" w:lastRowFirstColumn="0" w:lastRowLastColumn="0"/>
            </w:pPr>
            <w:r>
              <w:t>Morning pre-BD FEV</w:t>
            </w:r>
            <w:r w:rsidRPr="005035BE">
              <w:rPr>
                <w:vertAlign w:val="subscript"/>
              </w:rPr>
              <w:t>1</w:t>
            </w:r>
            <w:r w:rsidR="00B43FAF">
              <w:rPr>
                <w:vertAlign w:val="subscript"/>
              </w:rPr>
              <w:t xml:space="preserve"> </w:t>
            </w:r>
            <w:r w:rsidR="00B43FAF" w:rsidRPr="00B43FAF">
              <w:t>at least</w:t>
            </w:r>
            <w:r w:rsidRPr="00B43FAF">
              <w:t xml:space="preserve"> 40%</w:t>
            </w:r>
            <w:r w:rsidR="00B43FAF" w:rsidRPr="00B43FAF">
              <w:t xml:space="preserve"> </w:t>
            </w:r>
            <w:r w:rsidR="00B43FAF">
              <w:t xml:space="preserve">and </w:t>
            </w:r>
            <w:r w:rsidRPr="00B43FAF">
              <w:t>less th</w:t>
            </w:r>
            <w:r>
              <w:t xml:space="preserve">an 80% </w:t>
            </w:r>
            <w:r w:rsidR="000A5C0C">
              <w:t>predicted</w:t>
            </w:r>
            <w:r>
              <w:t xml:space="preserve"> normal</w:t>
            </w:r>
          </w:p>
        </w:tc>
        <w:tc>
          <w:tcPr>
            <w:tcW w:w="1843" w:type="dxa"/>
          </w:tcPr>
          <w:p w14:paraId="7732DBE3" w14:textId="60C995C2" w:rsidR="004E7BA8" w:rsidRDefault="004E7BA8" w:rsidP="005657B1">
            <w:pPr>
              <w:cnfStyle w:val="000000000000" w:firstRow="0" w:lastRow="0" w:firstColumn="0" w:lastColumn="0" w:oddVBand="0" w:evenVBand="0" w:oddHBand="0" w:evenHBand="0" w:firstRowFirstColumn="0" w:firstRowLastColumn="0" w:lastRowFirstColumn="0" w:lastRowLastColumn="0"/>
            </w:pPr>
            <w:r>
              <w:t>At least 2 asthma exacerbations or 1 severe with hospitalisation</w:t>
            </w:r>
            <w:r w:rsidR="00BB2D9F">
              <w:t xml:space="preserve"> </w:t>
            </w:r>
            <w:r>
              <w:t>within 12 months</w:t>
            </w:r>
          </w:p>
          <w:p w14:paraId="7B75D949" w14:textId="14F12C17" w:rsidR="00F95D30" w:rsidRPr="00127A74" w:rsidRDefault="004E7BA8" w:rsidP="005657B1">
            <w:pPr>
              <w:cnfStyle w:val="000000000000" w:firstRow="0" w:lastRow="0" w:firstColumn="0" w:lastColumn="0" w:oddVBand="0" w:evenVBand="0" w:oddHBand="0" w:evenHBand="0" w:firstRowFirstColumn="0" w:firstRowLastColumn="0" w:lastRowFirstColumn="0" w:lastRowLastColumn="0"/>
            </w:pPr>
            <w:r>
              <w:t xml:space="preserve">ACQ-6 score at least 1.5 </w:t>
            </w:r>
            <w:r w:rsidR="00BB2D9F">
              <w:t xml:space="preserve">twice during </w:t>
            </w:r>
            <w:r>
              <w:t>screening</w:t>
            </w:r>
          </w:p>
        </w:tc>
      </w:tr>
    </w:tbl>
    <w:p w14:paraId="765BA976" w14:textId="2568AA64" w:rsidR="002179DB" w:rsidRPr="002179DB" w:rsidRDefault="002179DB" w:rsidP="002622CF">
      <w:pPr>
        <w:pStyle w:val="TableDescription"/>
      </w:pPr>
      <w:proofErr w:type="spellStart"/>
      <w:r w:rsidRPr="00EF6C05">
        <w:t>a</w:t>
      </w:r>
      <w:proofErr w:type="spellEnd"/>
      <w:r w:rsidRPr="00EF6C05">
        <w:t xml:space="preserve"> </w:t>
      </w:r>
      <w:proofErr w:type="gramStart"/>
      <w:r w:rsidRPr="00EF6C05">
        <w:t>In</w:t>
      </w:r>
      <w:proofErr w:type="gramEnd"/>
      <w:r w:rsidRPr="00EF6C05">
        <w:t xml:space="preserve"> PATHAWY, MD defined as 250 to 500</w:t>
      </w:r>
      <w:r w:rsidR="007B7ED9" w:rsidRPr="00EF6C05">
        <w:t> </w:t>
      </w:r>
      <w:r w:rsidR="0060756F" w:rsidRPr="00EF6C05">
        <w:t>microgram</w:t>
      </w:r>
      <w:r w:rsidRPr="00EF6C05">
        <w:t xml:space="preserve"> fluticasone </w:t>
      </w:r>
      <w:r w:rsidR="00E54DCE" w:rsidRPr="00EF6C05">
        <w:t>dry powder inhaler</w:t>
      </w:r>
      <w:r w:rsidRPr="00EF6C05">
        <w:t xml:space="preserve"> or a total daily dose of 220 to</w:t>
      </w:r>
      <w:r w:rsidRPr="002179DB">
        <w:t xml:space="preserve"> 440</w:t>
      </w:r>
      <w:r w:rsidR="007B7ED9">
        <w:t> </w:t>
      </w:r>
      <w:r w:rsidR="00823E67">
        <w:t>microgram</w:t>
      </w:r>
      <w:r w:rsidRPr="002179DB">
        <w:t xml:space="preserve"> fluticasone </w:t>
      </w:r>
      <w:r w:rsidR="007B7ED9">
        <w:t>metered-dose inhaler</w:t>
      </w:r>
      <w:r w:rsidRPr="002179DB">
        <w:t xml:space="preserve"> or equivalent; in </w:t>
      </w:r>
      <w:r w:rsidR="00C10515">
        <w:t xml:space="preserve">NAVIGATOR, </w:t>
      </w:r>
      <w:r w:rsidRPr="002179DB">
        <w:t xml:space="preserve">MD or HD defined as </w:t>
      </w:r>
      <w:r w:rsidR="007B7ED9">
        <w:t>at least</w:t>
      </w:r>
      <w:r w:rsidRPr="002179DB">
        <w:t xml:space="preserve"> 500</w:t>
      </w:r>
      <w:r w:rsidR="007B7ED9">
        <w:t> microgram</w:t>
      </w:r>
      <w:r w:rsidRPr="002179DB">
        <w:t xml:space="preserve"> fluticasone propionate dry powder formulation equivalent total daily dose</w:t>
      </w:r>
      <w:r w:rsidR="00C10515">
        <w:t>.</w:t>
      </w:r>
    </w:p>
    <w:p w14:paraId="35810E60" w14:textId="47534DED" w:rsidR="002179DB" w:rsidRPr="002179DB" w:rsidRDefault="002179DB" w:rsidP="002622CF">
      <w:pPr>
        <w:pStyle w:val="TableDescription"/>
      </w:pPr>
      <w:r w:rsidRPr="002179DB">
        <w:t>ACQ-6</w:t>
      </w:r>
      <w:r w:rsidR="00D327DD">
        <w:t xml:space="preserve"> =</w:t>
      </w:r>
      <w:r w:rsidRPr="002179DB">
        <w:t xml:space="preserve"> Asthma Control Questionnaire 6; BD</w:t>
      </w:r>
      <w:r w:rsidR="00ED2140">
        <w:t xml:space="preserve"> = </w:t>
      </w:r>
      <w:r w:rsidRPr="002179DB">
        <w:t>Bronchodilator; FEV</w:t>
      </w:r>
      <w:r w:rsidRPr="00D327DD">
        <w:rPr>
          <w:vertAlign w:val="subscript"/>
        </w:rPr>
        <w:t>1</w:t>
      </w:r>
      <w:r w:rsidR="00ED2140">
        <w:t xml:space="preserve"> =</w:t>
      </w:r>
      <w:r w:rsidRPr="002179DB">
        <w:t xml:space="preserve"> Forced expiratory volume in 1 second; HD</w:t>
      </w:r>
      <w:r w:rsidR="00ED2140">
        <w:t xml:space="preserve"> = </w:t>
      </w:r>
      <w:r w:rsidRPr="002179DB">
        <w:t>High-dose; ICS</w:t>
      </w:r>
      <w:r w:rsidR="00ED2140">
        <w:t xml:space="preserve"> = </w:t>
      </w:r>
      <w:r w:rsidRPr="002179DB">
        <w:t>Inhaled corticosteroids; LABA</w:t>
      </w:r>
      <w:r w:rsidR="00ED2140">
        <w:t xml:space="preserve"> = </w:t>
      </w:r>
      <w:r w:rsidRPr="002179DB">
        <w:t>Long-acting beta 2-agonist; LAMA</w:t>
      </w:r>
      <w:r w:rsidR="00ED2140">
        <w:t xml:space="preserve"> = </w:t>
      </w:r>
      <w:r w:rsidRPr="002179DB">
        <w:t>Long-acting muscarinic antagonist; LTRA</w:t>
      </w:r>
      <w:r w:rsidR="00ED2140">
        <w:t xml:space="preserve"> = </w:t>
      </w:r>
      <w:r w:rsidRPr="002179DB">
        <w:t>Leukotriene receptor antagonist, MD</w:t>
      </w:r>
      <w:r w:rsidR="00ED2140">
        <w:t xml:space="preserve"> = </w:t>
      </w:r>
      <w:r w:rsidRPr="002179DB">
        <w:t>Medium-dose.</w:t>
      </w:r>
    </w:p>
    <w:p w14:paraId="2895B470" w14:textId="77777777" w:rsidR="00347C86" w:rsidRDefault="00347C86">
      <w:r>
        <w:br w:type="page"/>
      </w:r>
    </w:p>
    <w:p w14:paraId="58935F73" w14:textId="7FD1A436" w:rsidR="00FB37A8" w:rsidRDefault="002179DB" w:rsidP="002179DB">
      <w:r w:rsidRPr="002179DB">
        <w:lastRenderedPageBreak/>
        <w:t>The primary endpoint in NAVIGATOR and PATHWAY was AAER reduction over 52</w:t>
      </w:r>
      <w:r w:rsidR="001F65F9">
        <w:t> </w:t>
      </w:r>
      <w:r w:rsidRPr="002179DB">
        <w:t xml:space="preserve">weeks for </w:t>
      </w:r>
      <w:proofErr w:type="spellStart"/>
      <w:r w:rsidRPr="002179DB">
        <w:t>tezepelumab</w:t>
      </w:r>
      <w:proofErr w:type="spellEnd"/>
      <w:r w:rsidRPr="002179DB">
        <w:t xml:space="preserve"> versus placebo. Asthma exacerbations were defined as worsening of asthma leading to</w:t>
      </w:r>
      <w:r w:rsidR="00ED5430">
        <w:t>:</w:t>
      </w:r>
    </w:p>
    <w:p w14:paraId="41C67371" w14:textId="24899641" w:rsidR="00ED5430" w:rsidRDefault="002179DB" w:rsidP="00ED5430">
      <w:pPr>
        <w:pStyle w:val="Numberbullet0"/>
      </w:pPr>
      <w:r w:rsidRPr="002179DB">
        <w:t xml:space="preserve">temporary bolus/burst of systemic corticosteroids (or increase in stable dose) for </w:t>
      </w:r>
      <w:r w:rsidR="001F65F9">
        <w:t xml:space="preserve">at </w:t>
      </w:r>
      <w:r w:rsidR="00FB37A8">
        <w:t>least</w:t>
      </w:r>
      <w:r w:rsidRPr="002179DB">
        <w:t xml:space="preserve"> 3 consecutive days)</w:t>
      </w:r>
      <w:r w:rsidR="00E54DCE">
        <w:t>;</w:t>
      </w:r>
      <w:r w:rsidRPr="002179DB">
        <w:t xml:space="preserve"> and/or</w:t>
      </w:r>
    </w:p>
    <w:p w14:paraId="54555ED5" w14:textId="062298D1" w:rsidR="00ED5430" w:rsidRDefault="00ED5430" w:rsidP="00ED5430">
      <w:pPr>
        <w:pStyle w:val="Numberbullet0"/>
      </w:pPr>
      <w:r>
        <w:t>a</w:t>
      </w:r>
      <w:r w:rsidR="002179DB" w:rsidRPr="002179DB">
        <w:t xml:space="preserve">n </w:t>
      </w:r>
      <w:proofErr w:type="gramStart"/>
      <w:r w:rsidR="002179DB" w:rsidRPr="002179DB">
        <w:t>E</w:t>
      </w:r>
      <w:r w:rsidR="00F63B42">
        <w:t>mergency</w:t>
      </w:r>
      <w:proofErr w:type="gramEnd"/>
      <w:r w:rsidR="00F63B42">
        <w:t xml:space="preserve"> room</w:t>
      </w:r>
      <w:r w:rsidR="002179DB" w:rsidRPr="002179DB">
        <w:t xml:space="preserve"> or urgent care visit (</w:t>
      </w:r>
      <w:r w:rsidR="00E54DCE">
        <w:t xml:space="preserve">of less than </w:t>
      </w:r>
      <w:r w:rsidR="002179DB" w:rsidRPr="002179DB">
        <w:t>24</w:t>
      </w:r>
      <w:r w:rsidR="00F63B42">
        <w:t> </w:t>
      </w:r>
      <w:r w:rsidR="002179DB" w:rsidRPr="002179DB">
        <w:t xml:space="preserve">hours) that required systemic corticosteroids for </w:t>
      </w:r>
      <w:r w:rsidR="00F63B42">
        <w:t>at least</w:t>
      </w:r>
      <w:r w:rsidR="002179DB" w:rsidRPr="002179DB">
        <w:t xml:space="preserve"> 3 consecutive days; and/or</w:t>
      </w:r>
    </w:p>
    <w:p w14:paraId="7054574E" w14:textId="77777777" w:rsidR="00E54DCE" w:rsidRDefault="002179DB" w:rsidP="00ED5430">
      <w:pPr>
        <w:pStyle w:val="Numberbullet0"/>
      </w:pPr>
      <w:r w:rsidRPr="002179DB">
        <w:t>an in-patient hospitalisation (</w:t>
      </w:r>
      <w:r w:rsidR="00E54DCE">
        <w:t>of at least</w:t>
      </w:r>
      <w:r w:rsidRPr="002179DB">
        <w:t xml:space="preserve"> 24</w:t>
      </w:r>
      <w:r w:rsidR="00E54DCE">
        <w:t> </w:t>
      </w:r>
      <w:r w:rsidRPr="002179DB">
        <w:t>hours) for asthma.</w:t>
      </w:r>
    </w:p>
    <w:p w14:paraId="3311521E" w14:textId="345049A0" w:rsidR="002179DB" w:rsidRPr="002179DB" w:rsidRDefault="002179DB" w:rsidP="00E54DCE">
      <w:r w:rsidRPr="00ED446D">
        <w:t xml:space="preserve">This definition is consistent with </w:t>
      </w:r>
      <w:r w:rsidR="005C3B44" w:rsidRPr="00ED446D">
        <w:t xml:space="preserve">the </w:t>
      </w:r>
      <w:r w:rsidRPr="00ED446D">
        <w:t>E</w:t>
      </w:r>
      <w:r w:rsidR="005C3B44" w:rsidRPr="00ED446D">
        <w:t>uropean Respiratory Society</w:t>
      </w:r>
      <w:r w:rsidRPr="00ED446D">
        <w:t>/A</w:t>
      </w:r>
      <w:r w:rsidR="00ED446D" w:rsidRPr="00ED446D">
        <w:t>merican Thoracic Society</w:t>
      </w:r>
      <w:r w:rsidRPr="00ED446D">
        <w:t xml:space="preserve"> (Reddel 2009),</w:t>
      </w:r>
      <w:r w:rsidR="00C36EEE" w:rsidRPr="00ED446D">
        <w:rPr>
          <w:vertAlign w:val="superscript"/>
        </w:rPr>
        <w:fldChar w:fldCharType="begin"/>
      </w:r>
      <w:r w:rsidR="00C36EEE" w:rsidRPr="00ED446D">
        <w:rPr>
          <w:vertAlign w:val="superscript"/>
        </w:rPr>
        <w:instrText xml:space="preserve"> NOTEREF _Ref204090329 \h  \* MERGEFORMAT </w:instrText>
      </w:r>
      <w:r w:rsidR="00C36EEE" w:rsidRPr="00ED446D">
        <w:rPr>
          <w:vertAlign w:val="superscript"/>
        </w:rPr>
      </w:r>
      <w:r w:rsidR="00C36EEE" w:rsidRPr="00ED446D">
        <w:rPr>
          <w:vertAlign w:val="superscript"/>
        </w:rPr>
        <w:fldChar w:fldCharType="separate"/>
      </w:r>
      <w:r w:rsidR="005657B1">
        <w:rPr>
          <w:vertAlign w:val="superscript"/>
        </w:rPr>
        <w:t>6</w:t>
      </w:r>
      <w:r w:rsidR="00C36EEE" w:rsidRPr="00ED446D">
        <w:rPr>
          <w:vertAlign w:val="superscript"/>
        </w:rPr>
        <w:fldChar w:fldCharType="end"/>
      </w:r>
      <w:r w:rsidRPr="00ED446D">
        <w:t xml:space="preserve"> and GINA guidelines (GINA 2020).</w:t>
      </w:r>
      <w:r w:rsidR="00016E2C" w:rsidRPr="00ED446D">
        <w:rPr>
          <w:vertAlign w:val="superscript"/>
        </w:rPr>
        <w:fldChar w:fldCharType="begin"/>
      </w:r>
      <w:r w:rsidR="00016E2C" w:rsidRPr="00ED446D">
        <w:rPr>
          <w:vertAlign w:val="superscript"/>
        </w:rPr>
        <w:instrText xml:space="preserve"> NOTEREF _Ref204077210 \h  \* MERGEFORMAT </w:instrText>
      </w:r>
      <w:r w:rsidR="00016E2C" w:rsidRPr="00ED446D">
        <w:rPr>
          <w:vertAlign w:val="superscript"/>
        </w:rPr>
      </w:r>
      <w:r w:rsidR="00016E2C" w:rsidRPr="00ED446D">
        <w:rPr>
          <w:vertAlign w:val="superscript"/>
        </w:rPr>
        <w:fldChar w:fldCharType="separate"/>
      </w:r>
      <w:r w:rsidR="005657B1">
        <w:rPr>
          <w:vertAlign w:val="superscript"/>
        </w:rPr>
        <w:t>2</w:t>
      </w:r>
      <w:r w:rsidR="00016E2C" w:rsidRPr="00ED446D">
        <w:rPr>
          <w:vertAlign w:val="superscript"/>
        </w:rPr>
        <w:fldChar w:fldCharType="end"/>
      </w:r>
    </w:p>
    <w:p w14:paraId="3A880930" w14:textId="556DF624" w:rsidR="002179DB" w:rsidRPr="002179DB" w:rsidRDefault="002179DB" w:rsidP="002179DB">
      <w:r w:rsidRPr="002179DB">
        <w:t>NAVIGATOR included multiplicity-controlled key secondary endpoints [change in pre-</w:t>
      </w:r>
      <w:r w:rsidR="00E568FF">
        <w:t>bronchodilator</w:t>
      </w:r>
      <w:r w:rsidRPr="002179DB">
        <w:t xml:space="preserve"> FEV</w:t>
      </w:r>
      <w:r w:rsidRPr="000D4E17">
        <w:rPr>
          <w:vertAlign w:val="subscript"/>
        </w:rPr>
        <w:t>1</w:t>
      </w:r>
      <w:r w:rsidRPr="002179DB">
        <w:t>, Asthma Quality of Life Questionnaire for 12</w:t>
      </w:r>
      <w:r w:rsidR="00CD7F32">
        <w:t>+ years (</w:t>
      </w:r>
      <w:r w:rsidR="004216C9" w:rsidRPr="002179DB">
        <w:t>AQLQ(S)+12</w:t>
      </w:r>
      <w:r w:rsidR="00CD7F32">
        <w:t>)</w:t>
      </w:r>
      <w:r w:rsidR="004216C9" w:rsidRPr="002179DB">
        <w:t xml:space="preserve"> </w:t>
      </w:r>
      <w:r w:rsidRPr="002179DB">
        <w:t>score, ACQ-6 score, Asthma Symptom Diary</w:t>
      </w:r>
      <w:r w:rsidR="00EA453F">
        <w:t xml:space="preserve"> (ASD</w:t>
      </w:r>
      <w:r w:rsidRPr="002179DB">
        <w:t>) score, rescue medication use</w:t>
      </w:r>
      <w:r w:rsidR="00EA453F">
        <w:t>]</w:t>
      </w:r>
      <w:r w:rsidRPr="002179DB">
        <w:t>. PATHWAY included secondary analyses of pre-</w:t>
      </w:r>
      <w:r w:rsidR="00E568FF">
        <w:t>bronchodilator</w:t>
      </w:r>
      <w:r w:rsidRPr="002179DB">
        <w:t xml:space="preserve"> FEV</w:t>
      </w:r>
      <w:r w:rsidRPr="00EA453F">
        <w:rPr>
          <w:vertAlign w:val="subscript"/>
        </w:rPr>
        <w:t>1</w:t>
      </w:r>
      <w:r w:rsidRPr="002179DB">
        <w:t>, AQLQ(S)+12 score, and ACQ-6 score, and rescue medication use. In NAVIGATOR, the same endpoints were used in the enrolled adolescent population.</w:t>
      </w:r>
    </w:p>
    <w:p w14:paraId="0FD54A6F" w14:textId="09B6C31E" w:rsidR="002179DB" w:rsidRPr="002179DB" w:rsidRDefault="002179DB" w:rsidP="002179DB">
      <w:r w:rsidRPr="002179DB">
        <w:t>The studies consisted of a screening/run-in period of 5 to 6</w:t>
      </w:r>
      <w:r w:rsidR="0046129A">
        <w:t> </w:t>
      </w:r>
      <w:r w:rsidRPr="002179DB">
        <w:t xml:space="preserve">weeks, a treatment period of </w:t>
      </w:r>
      <w:r w:rsidRPr="00AF4B82">
        <w:t>52</w:t>
      </w:r>
      <w:r w:rsidR="0046129A" w:rsidRPr="00AF4B82">
        <w:t> </w:t>
      </w:r>
      <w:r w:rsidRPr="00AF4B82">
        <w:t>weeks, and a post-treatment follow-up period of 12</w:t>
      </w:r>
      <w:r w:rsidR="0046129A" w:rsidRPr="00AF4B82">
        <w:t> </w:t>
      </w:r>
      <w:r w:rsidRPr="00AF4B82">
        <w:t xml:space="preserve">weeks. During the treatment period, </w:t>
      </w:r>
      <w:proofErr w:type="spellStart"/>
      <w:r w:rsidR="00295C3F" w:rsidRPr="00AF4B82">
        <w:t>tezepelumab</w:t>
      </w:r>
      <w:proofErr w:type="spellEnd"/>
      <w:r w:rsidRPr="00AF4B82">
        <w:t xml:space="preserve"> was administered SC Q4W from Day</w:t>
      </w:r>
      <w:r w:rsidR="00A6255F" w:rsidRPr="00AF4B82">
        <w:t> </w:t>
      </w:r>
      <w:r w:rsidRPr="00AF4B82">
        <w:t>0 until Week</w:t>
      </w:r>
      <w:r w:rsidR="00A6255F" w:rsidRPr="00AF4B82">
        <w:t> </w:t>
      </w:r>
      <w:r w:rsidRPr="00AF4B82">
        <w:t xml:space="preserve">48. No </w:t>
      </w:r>
      <w:proofErr w:type="spellStart"/>
      <w:r w:rsidR="00295C3F" w:rsidRPr="00AF4B82">
        <w:t>tezepelumab</w:t>
      </w:r>
      <w:proofErr w:type="spellEnd"/>
      <w:r w:rsidRPr="00AF4B82">
        <w:t xml:space="preserve"> was</w:t>
      </w:r>
      <w:r w:rsidRPr="002179DB">
        <w:t xml:space="preserve"> administered at Week 52. Subjects who discontinued </w:t>
      </w:r>
      <w:proofErr w:type="spellStart"/>
      <w:r w:rsidR="00295C3F">
        <w:t>tezepelumab</w:t>
      </w:r>
      <w:proofErr w:type="spellEnd"/>
      <w:r w:rsidRPr="002179DB">
        <w:t xml:space="preserve"> during the study were encouraged to undergo appropriate study visits/procedures for the full 52-week period.</w:t>
      </w:r>
    </w:p>
    <w:p w14:paraId="04954F8E" w14:textId="63D5C421" w:rsidR="002179DB" w:rsidRPr="002179DB" w:rsidRDefault="006C14AB" w:rsidP="00BC099E">
      <w:pPr>
        <w:pStyle w:val="Heading6"/>
        <w:rPr>
          <w:rFonts w:eastAsiaTheme="minorHAnsi"/>
        </w:rPr>
      </w:pPr>
      <w:r>
        <w:rPr>
          <w:rFonts w:eastAsiaTheme="minorHAnsi"/>
        </w:rPr>
        <w:t>S</w:t>
      </w:r>
      <w:r w:rsidR="003A271C">
        <w:rPr>
          <w:rFonts w:eastAsiaTheme="minorHAnsi"/>
        </w:rPr>
        <w:t>tudy population data</w:t>
      </w:r>
      <w:r w:rsidR="003301EC">
        <w:rPr>
          <w:rFonts w:eastAsiaTheme="minorHAnsi"/>
        </w:rPr>
        <w:t xml:space="preserve"> summary</w:t>
      </w:r>
    </w:p>
    <w:p w14:paraId="6F19BC25" w14:textId="6952E09B" w:rsidR="002179DB" w:rsidRPr="002179DB" w:rsidRDefault="002179DB" w:rsidP="002179DB">
      <w:r w:rsidRPr="002179DB">
        <w:t xml:space="preserve">In NAVIGATOR, 1061 </w:t>
      </w:r>
      <w:r w:rsidR="003A271C">
        <w:t xml:space="preserve">subjects </w:t>
      </w:r>
      <w:r w:rsidRPr="002179DB">
        <w:t xml:space="preserve">were randomised and 1059 were treated (528 and 531 </w:t>
      </w:r>
      <w:proofErr w:type="spellStart"/>
      <w:r w:rsidRPr="002179DB">
        <w:t>tezepelumab</w:t>
      </w:r>
      <w:proofErr w:type="spellEnd"/>
      <w:r w:rsidRPr="002179DB">
        <w:t xml:space="preserve"> and placebo groups respectively). In PATHWAY, 550 subjects were randomised and treated (137 </w:t>
      </w:r>
      <w:proofErr w:type="spellStart"/>
      <w:r w:rsidRPr="002179DB">
        <w:t>tezepelumab</w:t>
      </w:r>
      <w:proofErr w:type="spellEnd"/>
      <w:r w:rsidRPr="002179DB">
        <w:t xml:space="preserve"> 210</w:t>
      </w:r>
      <w:r w:rsidR="001744D4">
        <w:t> </w:t>
      </w:r>
      <w:r w:rsidRPr="002179DB">
        <w:t xml:space="preserve">mg Q4W, 138 placebo); the remaining subjects in PATHWAY received </w:t>
      </w:r>
      <w:proofErr w:type="spellStart"/>
      <w:r w:rsidRPr="002179DB">
        <w:t>tezepelumab</w:t>
      </w:r>
      <w:proofErr w:type="spellEnd"/>
      <w:r w:rsidRPr="002179DB">
        <w:t xml:space="preserve"> 70</w:t>
      </w:r>
      <w:r w:rsidR="001744D4">
        <w:t> </w:t>
      </w:r>
      <w:r w:rsidRPr="002179DB">
        <w:t>mg Q4W or 280</w:t>
      </w:r>
      <w:r w:rsidR="001744D4">
        <w:t> </w:t>
      </w:r>
      <w:r w:rsidRPr="002179DB">
        <w:t>Q2W. A total of 95.6% and 89.8% subjects in NAVIGATOR and PATHWAY completed the study.</w:t>
      </w:r>
    </w:p>
    <w:p w14:paraId="3025CB08" w14:textId="7294285D" w:rsidR="002179DB" w:rsidRPr="002179DB" w:rsidRDefault="002179DB" w:rsidP="002179DB">
      <w:r w:rsidRPr="002179DB">
        <w:t>Demographic and baseline disease characteristics were generally balanced between the groups in both NAVIGATOR and PATHWAY. Most subjects were White (N</w:t>
      </w:r>
      <w:r w:rsidR="006B0EC2">
        <w:t xml:space="preserve">AVIGATOR </w:t>
      </w:r>
      <w:r w:rsidRPr="002179DB">
        <w:t>=</w:t>
      </w:r>
      <w:r w:rsidR="006B0EC2">
        <w:t xml:space="preserve"> </w:t>
      </w:r>
      <w:r w:rsidRPr="002179DB">
        <w:t>62%, P</w:t>
      </w:r>
      <w:r w:rsidR="006B0EC2">
        <w:t>ATHWAY </w:t>
      </w:r>
      <w:r w:rsidRPr="002179DB">
        <w:t>=</w:t>
      </w:r>
      <w:r w:rsidR="00382B4D">
        <w:t xml:space="preserve"> </w:t>
      </w:r>
      <w:r w:rsidRPr="002179DB">
        <w:t>92%) and female (N</w:t>
      </w:r>
      <w:r w:rsidR="00382B4D">
        <w:t xml:space="preserve">AVIGATOR </w:t>
      </w:r>
      <w:r w:rsidRPr="002179DB">
        <w:t>=</w:t>
      </w:r>
      <w:r w:rsidR="00382B4D">
        <w:t xml:space="preserve"> </w:t>
      </w:r>
      <w:r w:rsidRPr="002179DB">
        <w:t>64%, P</w:t>
      </w:r>
      <w:r w:rsidR="00382B4D">
        <w:t xml:space="preserve">ATHWAY </w:t>
      </w:r>
      <w:r w:rsidRPr="002179DB">
        <w:t>= 66%), although higher proportions of Black/African American (N</w:t>
      </w:r>
      <w:r w:rsidR="00382B4D">
        <w:t xml:space="preserve">AVIGATOR </w:t>
      </w:r>
      <w:r w:rsidRPr="002179DB">
        <w:t>=</w:t>
      </w:r>
      <w:r w:rsidR="00382B4D">
        <w:t xml:space="preserve"> </w:t>
      </w:r>
      <w:r w:rsidRPr="002179DB">
        <w:t>5.8%, P</w:t>
      </w:r>
      <w:r w:rsidR="00382B4D">
        <w:t xml:space="preserve">ATHWAY </w:t>
      </w:r>
      <w:r w:rsidRPr="002179DB">
        <w:t>=</w:t>
      </w:r>
      <w:r w:rsidR="00382B4D">
        <w:t xml:space="preserve"> </w:t>
      </w:r>
      <w:r w:rsidRPr="002179DB">
        <w:t>3.5%) and Asian (N</w:t>
      </w:r>
      <w:r w:rsidR="00382B4D">
        <w:t xml:space="preserve">AVIGATOR </w:t>
      </w:r>
      <w:r w:rsidRPr="002179DB">
        <w:t>=</w:t>
      </w:r>
      <w:r w:rsidR="00382B4D">
        <w:t xml:space="preserve"> </w:t>
      </w:r>
      <w:r w:rsidRPr="002179DB">
        <w:t>28%, P</w:t>
      </w:r>
      <w:r w:rsidR="00382B4D">
        <w:t xml:space="preserve">ATHWAY </w:t>
      </w:r>
      <w:r w:rsidRPr="002179DB">
        <w:t>=</w:t>
      </w:r>
      <w:r w:rsidR="00382B4D">
        <w:t xml:space="preserve"> </w:t>
      </w:r>
      <w:r w:rsidRPr="002179DB">
        <w:t>3.5%) subjects were included in the NAVIGATOR study. In NAVIGATOR, the mean age was 49.5</w:t>
      </w:r>
      <w:r w:rsidR="00001867">
        <w:t> </w:t>
      </w:r>
      <w:r w:rsidRPr="002179DB">
        <w:t>years, and the full analysis set included 82 (7.7%) adolescents aged 12 to 17 years. In PATHWAY, the mean age was 51.6</w:t>
      </w:r>
      <w:r w:rsidR="00001867">
        <w:t> </w:t>
      </w:r>
      <w:r w:rsidRPr="002179DB">
        <w:t>years. The mean BMI was similar in both studies (N</w:t>
      </w:r>
      <w:r w:rsidR="00001867">
        <w:t xml:space="preserve">AVIGATOR </w:t>
      </w:r>
      <w:r w:rsidRPr="002179DB">
        <w:t>=</w:t>
      </w:r>
      <w:r w:rsidR="00001867">
        <w:t xml:space="preserve"> </w:t>
      </w:r>
      <w:r w:rsidRPr="002179DB">
        <w:t>28.5, P</w:t>
      </w:r>
      <w:r w:rsidR="00001867">
        <w:t xml:space="preserve">ATHWAY </w:t>
      </w:r>
      <w:r w:rsidRPr="002179DB">
        <w:t>=</w:t>
      </w:r>
      <w:r w:rsidR="00001867">
        <w:t xml:space="preserve"> </w:t>
      </w:r>
      <w:r w:rsidRPr="002179DB">
        <w:t>28.2).</w:t>
      </w:r>
    </w:p>
    <w:p w14:paraId="2DFED6EA" w14:textId="0ACE14F2" w:rsidR="002179DB" w:rsidRPr="002179DB" w:rsidRDefault="002179DB" w:rsidP="002179DB">
      <w:r w:rsidRPr="002179DB">
        <w:t xml:space="preserve">Key respiratory and baseline biomarker characteristics were similar across treatment groups in each study and across studies. Subjects with both eosinophilic and non-eosinophilic asthma phenotypes were well represented in both studies; 58.4% in NAVIGATOR and 51.3% in PATHWAY had baseline blood eosinophils </w:t>
      </w:r>
      <w:r w:rsidR="00BB408E">
        <w:t>under</w:t>
      </w:r>
      <w:r w:rsidRPr="002179DB">
        <w:t xml:space="preserve"> 300</w:t>
      </w:r>
      <w:r w:rsidR="00BB408E">
        <w:t> </w:t>
      </w:r>
      <w:r w:rsidRPr="002179DB">
        <w:t>cells/</w:t>
      </w:r>
      <w:proofErr w:type="spellStart"/>
      <w:r w:rsidR="00483CD6">
        <w:t>μL</w:t>
      </w:r>
      <w:proofErr w:type="spellEnd"/>
      <w:r w:rsidRPr="002179DB">
        <w:t xml:space="preserve">, and 26.1% and 24.9% respectively, had levels </w:t>
      </w:r>
      <w:r w:rsidR="00DA76B5">
        <w:t xml:space="preserve">under </w:t>
      </w:r>
      <w:r w:rsidRPr="002179DB">
        <w:t>150</w:t>
      </w:r>
      <w:r w:rsidR="00DA76B5">
        <w:t> </w:t>
      </w:r>
      <w:r w:rsidRPr="002179DB">
        <w:t>cells/</w:t>
      </w:r>
      <w:proofErr w:type="spellStart"/>
      <w:r w:rsidRPr="002179DB">
        <w:t>μL</w:t>
      </w:r>
      <w:proofErr w:type="spellEnd"/>
      <w:r w:rsidR="00DA76B5">
        <w:t>.</w:t>
      </w:r>
    </w:p>
    <w:p w14:paraId="24879CA3" w14:textId="08AFF2D8" w:rsidR="002179DB" w:rsidRPr="002179DB" w:rsidRDefault="002179DB" w:rsidP="002179DB">
      <w:r w:rsidRPr="002179DB">
        <w:t>Virtually all subjects had at least 2</w:t>
      </w:r>
      <w:r w:rsidR="00483CD6">
        <w:t> </w:t>
      </w:r>
      <w:r w:rsidRPr="002179DB">
        <w:t>exacerbations in the 12</w:t>
      </w:r>
      <w:r w:rsidR="00483CD6">
        <w:t> </w:t>
      </w:r>
      <w:r w:rsidRPr="002179DB">
        <w:t>months prior to the study (N</w:t>
      </w:r>
      <w:r w:rsidR="00483CD6">
        <w:t xml:space="preserve">AVIGATOR </w:t>
      </w:r>
      <w:r w:rsidRPr="002179DB">
        <w:t>=</w:t>
      </w:r>
      <w:r w:rsidR="00483CD6">
        <w:t xml:space="preserve"> </w:t>
      </w:r>
      <w:r w:rsidRPr="002179DB">
        <w:t>99.9%, P</w:t>
      </w:r>
      <w:r w:rsidR="00483CD6">
        <w:t xml:space="preserve">ATHWAY </w:t>
      </w:r>
      <w:r w:rsidRPr="002179DB">
        <w:t>=</w:t>
      </w:r>
      <w:r w:rsidR="00483CD6">
        <w:t xml:space="preserve"> </w:t>
      </w:r>
      <w:r w:rsidRPr="002179DB">
        <w:t xml:space="preserve">98.2%). At baseline, approximately 75% of subjects in NAVIGATOR and 49% in PATHWAY were on high dose </w:t>
      </w:r>
      <w:r w:rsidR="007F15E4">
        <w:t>inhaled corticosteroids (</w:t>
      </w:r>
      <w:r w:rsidRPr="002179DB">
        <w:t>ICS</w:t>
      </w:r>
      <w:r w:rsidR="007F15E4">
        <w:t>)</w:t>
      </w:r>
      <w:r w:rsidRPr="002179DB">
        <w:t>, 99% and 100%, respectively, were on ICS/</w:t>
      </w:r>
      <w:r w:rsidR="002B6BF0">
        <w:t>l</w:t>
      </w:r>
      <w:r w:rsidR="00D63FDB" w:rsidRPr="002179DB">
        <w:t xml:space="preserve">ong-acting beta 2-agonist </w:t>
      </w:r>
      <w:r w:rsidR="00D63FDB">
        <w:t>(</w:t>
      </w:r>
      <w:r w:rsidRPr="002179DB">
        <w:t>LABA</w:t>
      </w:r>
      <w:r w:rsidR="00D63FDB">
        <w:t>)</w:t>
      </w:r>
      <w:r w:rsidRPr="002179DB">
        <w:t>, and approximately 9% of subjects in each study were on maintenance OCS. Mean baseline FEV</w:t>
      </w:r>
      <w:r w:rsidRPr="0057140F">
        <w:rPr>
          <w:vertAlign w:val="subscript"/>
        </w:rPr>
        <w:t>1</w:t>
      </w:r>
      <w:r w:rsidRPr="002179DB">
        <w:t xml:space="preserve"> % was 62.7% in </w:t>
      </w:r>
      <w:r w:rsidRPr="002179DB">
        <w:lastRenderedPageBreak/>
        <w:t>NAVIGATOR and 59.55% in PATHWAY. The mean ACQ-6 score was similar in the 2 studies (N</w:t>
      </w:r>
      <w:r w:rsidR="0057140F">
        <w:t xml:space="preserve">AVIGATOR </w:t>
      </w:r>
      <w:r w:rsidRPr="002179DB">
        <w:t>=</w:t>
      </w:r>
      <w:r w:rsidR="0057140F">
        <w:t xml:space="preserve"> </w:t>
      </w:r>
      <w:r w:rsidRPr="002179DB">
        <w:t>2.81, P</w:t>
      </w:r>
      <w:r w:rsidR="0057140F">
        <w:t xml:space="preserve">ATHWAY </w:t>
      </w:r>
      <w:r w:rsidRPr="002179DB">
        <w:t>=</w:t>
      </w:r>
      <w:r w:rsidR="0057140F">
        <w:t xml:space="preserve"> </w:t>
      </w:r>
      <w:r w:rsidRPr="002179DB">
        <w:t>2.68).</w:t>
      </w:r>
    </w:p>
    <w:p w14:paraId="2C11E814" w14:textId="14D931F7" w:rsidR="002179DB" w:rsidRPr="002179DB" w:rsidRDefault="006C14AB" w:rsidP="006C14AB">
      <w:pPr>
        <w:pStyle w:val="Heading6"/>
        <w:rPr>
          <w:rFonts w:eastAsiaTheme="minorHAnsi"/>
        </w:rPr>
      </w:pPr>
      <w:r>
        <w:rPr>
          <w:rFonts w:eastAsiaTheme="minorHAnsi"/>
        </w:rPr>
        <w:t>E</w:t>
      </w:r>
      <w:r w:rsidR="002F16FF">
        <w:rPr>
          <w:rFonts w:eastAsiaTheme="minorHAnsi"/>
        </w:rPr>
        <w:t>fficacy results</w:t>
      </w:r>
    </w:p>
    <w:p w14:paraId="4600FECA" w14:textId="4C148BF0" w:rsidR="002179DB" w:rsidRDefault="002179DB" w:rsidP="002179DB">
      <w:r w:rsidRPr="002179DB">
        <w:t xml:space="preserve">In both studies, </w:t>
      </w:r>
      <w:proofErr w:type="spellStart"/>
      <w:r w:rsidRPr="002179DB">
        <w:t>tezepelumab</w:t>
      </w:r>
      <w:proofErr w:type="spellEnd"/>
      <w:r w:rsidRPr="002179DB">
        <w:t xml:space="preserve"> 210</w:t>
      </w:r>
      <w:r w:rsidR="002D6FB6">
        <w:t> </w:t>
      </w:r>
      <w:r w:rsidRPr="002179DB">
        <w:t>mg Q4W treatment resulted in significant reductions in the rate of asthma exacerbations over 52</w:t>
      </w:r>
      <w:r w:rsidR="00CE28DC">
        <w:t> </w:t>
      </w:r>
      <w:r w:rsidRPr="002179DB">
        <w:t>weeks compared with placebo by 56% in NAVIGATOR (AAER ratio 0.44 [95% confidence interval (CI) 0.37, 0.53]; p &lt; 0.001) and 71% in PATHWAY (AAER ratio 0.29 [95% CI 0.16, 0.51]; p &lt; 0.001) (</w:t>
      </w:r>
      <w:r w:rsidR="00353AD5">
        <w:t>see table below</w:t>
      </w:r>
      <w:r w:rsidRPr="002179DB">
        <w:t>)</w:t>
      </w:r>
      <w:r w:rsidR="00CB39C5">
        <w:t>.</w:t>
      </w:r>
      <w:r w:rsidRPr="002179DB">
        <w:t xml:space="preserve"> In both studies, </w:t>
      </w:r>
      <w:proofErr w:type="spellStart"/>
      <w:r w:rsidRPr="002179DB">
        <w:t>tezepelumab</w:t>
      </w:r>
      <w:proofErr w:type="spellEnd"/>
      <w:r w:rsidRPr="002179DB">
        <w:t xml:space="preserve"> resulted in reductions in AAER in subjects with a baseline blood eosinophil count </w:t>
      </w:r>
      <w:r w:rsidR="00A130D9">
        <w:t>less than</w:t>
      </w:r>
      <w:r w:rsidRPr="002179DB">
        <w:t xml:space="preserve"> 300</w:t>
      </w:r>
      <w:r w:rsidR="00A130D9">
        <w:t> </w:t>
      </w:r>
      <w:r w:rsidRPr="002179DB">
        <w:t>cells/</w:t>
      </w:r>
      <w:proofErr w:type="spellStart"/>
      <w:r w:rsidRPr="002179DB">
        <w:t>μL</w:t>
      </w:r>
      <w:proofErr w:type="spellEnd"/>
      <w:r w:rsidRPr="002179DB">
        <w:t xml:space="preserve"> as well as in subjects with baseline eosinophils </w:t>
      </w:r>
      <w:r w:rsidR="00A130D9">
        <w:t>at and above</w:t>
      </w:r>
      <w:r w:rsidRPr="002179DB">
        <w:t xml:space="preserve"> 300</w:t>
      </w:r>
      <w:r w:rsidR="00A130D9">
        <w:t> </w:t>
      </w:r>
      <w:r w:rsidRPr="002179DB">
        <w:t>cells/</w:t>
      </w:r>
      <w:proofErr w:type="spellStart"/>
      <w:r w:rsidRPr="002179DB">
        <w:t>μL</w:t>
      </w:r>
      <w:proofErr w:type="spellEnd"/>
      <w:r w:rsidRPr="002179DB">
        <w:t>.</w:t>
      </w:r>
    </w:p>
    <w:p w14:paraId="152A188E" w14:textId="0A9C6913" w:rsidR="00532788" w:rsidRPr="002179DB" w:rsidRDefault="00532788" w:rsidP="00532788">
      <w:pPr>
        <w:pStyle w:val="TableTitle"/>
      </w:pPr>
      <w:r>
        <w:t xml:space="preserve">Table </w:t>
      </w:r>
      <w:r>
        <w:fldChar w:fldCharType="begin"/>
      </w:r>
      <w:r>
        <w:instrText xml:space="preserve"> SEQ Table \* ARABIC </w:instrText>
      </w:r>
      <w:r>
        <w:fldChar w:fldCharType="separate"/>
      </w:r>
      <w:r w:rsidR="005657B1">
        <w:rPr>
          <w:noProof/>
        </w:rPr>
        <w:t>8</w:t>
      </w:r>
      <w:r>
        <w:fldChar w:fldCharType="end"/>
      </w:r>
      <w:r>
        <w:t>: NAVIGATOR and PATHWAY annual asthma exacerbation rate ratio over 52 weeks</w:t>
      </w:r>
    </w:p>
    <w:p w14:paraId="140D4443" w14:textId="77777777" w:rsidR="002179DB" w:rsidRPr="002179DB" w:rsidRDefault="002179DB" w:rsidP="002179DB">
      <w:r w:rsidRPr="002179DB">
        <w:rPr>
          <w:noProof/>
        </w:rPr>
        <w:drawing>
          <wp:inline distT="0" distB="0" distL="0" distR="0" wp14:anchorId="5E2F99D6" wp14:editId="1B43AD44">
            <wp:extent cx="5731510" cy="2838450"/>
            <wp:effectExtent l="0" t="0" r="2540" b="0"/>
            <wp:docPr id="837872829" name="Picture 10" descr="Table 8: NAVIGATOR and PATHWAY annual asthma exacerbation rate ratio over 5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72829" name="Picture 10" descr="Table 8: NAVIGATOR and PATHWAY annual asthma exacerbation rate ratio over 52 weeks"/>
                    <pic:cNvPicPr/>
                  </pic:nvPicPr>
                  <pic:blipFill>
                    <a:blip r:embed="rId30">
                      <a:extLst>
                        <a:ext uri="{28A0092B-C50C-407E-A947-70E740481C1C}">
                          <a14:useLocalDpi xmlns:a14="http://schemas.microsoft.com/office/drawing/2010/main" val="0"/>
                        </a:ext>
                      </a:extLst>
                    </a:blip>
                    <a:stretch>
                      <a:fillRect/>
                    </a:stretch>
                  </pic:blipFill>
                  <pic:spPr>
                    <a:xfrm>
                      <a:off x="0" y="0"/>
                      <a:ext cx="5731510" cy="2838450"/>
                    </a:xfrm>
                    <a:prstGeom prst="rect">
                      <a:avLst/>
                    </a:prstGeom>
                  </pic:spPr>
                </pic:pic>
              </a:graphicData>
            </a:graphic>
          </wp:inline>
        </w:drawing>
      </w:r>
    </w:p>
    <w:p w14:paraId="5C008A8A" w14:textId="0F551AC5" w:rsidR="002179DB" w:rsidRPr="002179DB" w:rsidRDefault="002179DB" w:rsidP="0016654B">
      <w:pPr>
        <w:pStyle w:val="TableDescription"/>
      </w:pPr>
      <w:r w:rsidRPr="002179DB">
        <w:t xml:space="preserve">a Statistically significant under multiple testing procedure. b Nominal p-value. A rate ratio less than 1 favours </w:t>
      </w:r>
      <w:proofErr w:type="spellStart"/>
      <w:r w:rsidRPr="002179DB">
        <w:t>tezepelumab</w:t>
      </w:r>
      <w:proofErr w:type="spellEnd"/>
      <w:r w:rsidRPr="002179DB">
        <w:t>.</w:t>
      </w:r>
    </w:p>
    <w:p w14:paraId="1BCFC5EC" w14:textId="573F945A" w:rsidR="002179DB" w:rsidRPr="002179DB" w:rsidRDefault="002179DB" w:rsidP="0016654B">
      <w:pPr>
        <w:pStyle w:val="TableDescription"/>
      </w:pPr>
      <w:r w:rsidRPr="002179DB">
        <w:t>AAER</w:t>
      </w:r>
      <w:r w:rsidR="0016654B">
        <w:t xml:space="preserve"> = </w:t>
      </w:r>
      <w:r w:rsidRPr="002179DB">
        <w:t>Annualised asthma exacerbation rate; CI</w:t>
      </w:r>
      <w:r w:rsidR="0016654B">
        <w:t xml:space="preserve"> = </w:t>
      </w:r>
      <w:r w:rsidRPr="002179DB">
        <w:t>Confidence interval; ITT</w:t>
      </w:r>
      <w:r w:rsidR="0016654B">
        <w:t xml:space="preserve"> = </w:t>
      </w:r>
      <w:r w:rsidRPr="002179DB">
        <w:t>Intent-to treat; N</w:t>
      </w:r>
      <w:r w:rsidR="00A171AD">
        <w:t xml:space="preserve"> = </w:t>
      </w:r>
      <w:r w:rsidRPr="002179DB">
        <w:t>Number in treatment group; Q4W</w:t>
      </w:r>
      <w:r w:rsidR="00A171AD">
        <w:t xml:space="preserve"> = </w:t>
      </w:r>
      <w:r w:rsidRPr="002179DB">
        <w:t>Every 4 weeks.</w:t>
      </w:r>
    </w:p>
    <w:p w14:paraId="5EB5E060" w14:textId="04EB572E" w:rsidR="00B96D80" w:rsidRDefault="002179DB" w:rsidP="002179DB">
      <w:r w:rsidRPr="002179DB">
        <w:t xml:space="preserve">The AAER was notably higher in the </w:t>
      </w:r>
      <w:proofErr w:type="spellStart"/>
      <w:r w:rsidRPr="002179DB">
        <w:t>tezepelumab</w:t>
      </w:r>
      <w:proofErr w:type="spellEnd"/>
      <w:r w:rsidRPr="002179DB">
        <w:t xml:space="preserve"> group relative to the placebo group in PATHWAY compared with NAVIGATOR (71% v</w:t>
      </w:r>
      <w:r w:rsidR="00D90265">
        <w:t>ersus</w:t>
      </w:r>
      <w:r w:rsidRPr="002179DB">
        <w:t xml:space="preserve"> 56%, respectively). The </w:t>
      </w:r>
      <w:r w:rsidR="00D90265">
        <w:t>s</w:t>
      </w:r>
      <w:r w:rsidRPr="002179DB">
        <w:t xml:space="preserve">ponsor referred to differences between the </w:t>
      </w:r>
      <w:r w:rsidR="00D90265">
        <w:t>2</w:t>
      </w:r>
      <w:r w:rsidRPr="002179DB">
        <w:t xml:space="preserve"> studies that might account for the difference in the </w:t>
      </w:r>
      <w:proofErr w:type="spellStart"/>
      <w:r w:rsidRPr="002179DB">
        <w:t>tezepelumab</w:t>
      </w:r>
      <w:proofErr w:type="spellEnd"/>
      <w:r w:rsidRPr="002179DB">
        <w:t xml:space="preserve"> asthma exacerbation rates</w:t>
      </w:r>
      <w:r w:rsidR="00A90A68">
        <w:t xml:space="preserve"> (AER)</w:t>
      </w:r>
      <w:r w:rsidRPr="002179DB">
        <w:t>; including</w:t>
      </w:r>
      <w:r w:rsidR="00B96D80">
        <w:t>:</w:t>
      </w:r>
    </w:p>
    <w:p w14:paraId="33A86E65" w14:textId="77777777" w:rsidR="00B96D80" w:rsidRDefault="002179DB" w:rsidP="00B96D80">
      <w:pPr>
        <w:pStyle w:val="Numberbullet0"/>
        <w:numPr>
          <w:ilvl w:val="0"/>
          <w:numId w:val="21"/>
        </w:numPr>
      </w:pPr>
      <w:r w:rsidRPr="002179DB">
        <w:t>the smaller sample size for the 210</w:t>
      </w:r>
      <w:r w:rsidR="00B96D80">
        <w:t> </w:t>
      </w:r>
      <w:r w:rsidRPr="002179DB">
        <w:t>mg SC Q4W in PATHWAY (n</w:t>
      </w:r>
      <w:r w:rsidR="00B96D80">
        <w:t xml:space="preserve"> </w:t>
      </w:r>
      <w:r w:rsidRPr="002179DB">
        <w:t>=</w:t>
      </w:r>
      <w:r w:rsidR="00B96D80">
        <w:t xml:space="preserve"> </w:t>
      </w:r>
      <w:r w:rsidRPr="002179DB">
        <w:t>137) compared to NAVIGATOR (n</w:t>
      </w:r>
      <w:r w:rsidR="00B96D80">
        <w:t xml:space="preserve"> </w:t>
      </w:r>
      <w:r w:rsidRPr="002179DB">
        <w:t>=</w:t>
      </w:r>
      <w:r w:rsidR="00B96D80">
        <w:t xml:space="preserve"> </w:t>
      </w:r>
      <w:r w:rsidRPr="002179DB">
        <w:t>528)</w:t>
      </w:r>
    </w:p>
    <w:p w14:paraId="330F2452" w14:textId="7F587C22" w:rsidR="00ED5281" w:rsidRDefault="002179DB" w:rsidP="00B96D80">
      <w:pPr>
        <w:pStyle w:val="Numberbullet0"/>
        <w:numPr>
          <w:ilvl w:val="0"/>
          <w:numId w:val="21"/>
        </w:numPr>
      </w:pPr>
      <w:r w:rsidRPr="002179DB">
        <w:t>design changes made for NAVIGATOR to ensure a population with severe, uncontrolled asthma were at risk of experiencing exacerbations</w:t>
      </w:r>
      <w:r w:rsidR="008F0191">
        <w:t xml:space="preserve">; </w:t>
      </w:r>
      <w:r w:rsidRPr="002179DB">
        <w:t>these changes had an impact, as seen by a higher AAER being observed in the placebo group in NAVIGATOR (2.10) compared with PATHWAY (0.72)</w:t>
      </w:r>
      <w:r w:rsidR="00ED5281">
        <w:t>,</w:t>
      </w:r>
      <w:r w:rsidRPr="002179DB">
        <w:t xml:space="preserve"> and</w:t>
      </w:r>
    </w:p>
    <w:p w14:paraId="0CE8B6E5" w14:textId="1084B51F" w:rsidR="002179DB" w:rsidRPr="002179DB" w:rsidRDefault="002179DB" w:rsidP="00B96D80">
      <w:pPr>
        <w:pStyle w:val="Numberbullet0"/>
        <w:numPr>
          <w:ilvl w:val="0"/>
          <w:numId w:val="21"/>
        </w:numPr>
      </w:pPr>
      <w:r w:rsidRPr="002179DB">
        <w:t xml:space="preserve">noting that in studies with other biologics the exacerbation rate in the placebo arm is lower in subgroups with lower eosinophil counts compared with higher eosinophil counts. This trend was observed in NAVIGATOR, where the AER was lower in subjects with </w:t>
      </w:r>
      <w:r w:rsidR="00477D7D">
        <w:t>less than</w:t>
      </w:r>
      <w:r w:rsidRPr="002179DB">
        <w:t xml:space="preserve"> 300</w:t>
      </w:r>
      <w:r w:rsidR="00477D7D">
        <w:t> </w:t>
      </w:r>
      <w:r w:rsidRPr="002179DB">
        <w:t>eosinophils/µL in the placebo group than in the overall population (1.73 v</w:t>
      </w:r>
      <w:r w:rsidR="00477D7D">
        <w:t>ersus</w:t>
      </w:r>
      <w:r w:rsidRPr="002179DB">
        <w:t xml:space="preserve"> 2.10, respectively), but not in PATHWAY (0.80 v</w:t>
      </w:r>
      <w:r w:rsidR="00477D7D">
        <w:t>ersu</w:t>
      </w:r>
      <w:r w:rsidRPr="002179DB">
        <w:t>s 0.72, respectively)</w:t>
      </w:r>
      <w:r w:rsidR="00477D7D">
        <w:t>.</w:t>
      </w:r>
    </w:p>
    <w:p w14:paraId="56BD1F98" w14:textId="77777777" w:rsidR="002179DB" w:rsidRPr="002179DB" w:rsidRDefault="002179DB" w:rsidP="002179DB">
      <w:r w:rsidRPr="002179DB">
        <w:lastRenderedPageBreak/>
        <w:t xml:space="preserve">Tezepelumab also resulted in reductions in asthma exacerbation-related hospitalisation and emergency visits in both studies (rate ratio 0.21 [95% CI 0.12, 0.37] for NAVIGATOR; rate ratio 0.15 [95% CI 0.04, 0.58] for PATHWAY). The time to first exacerbation was longer for the </w:t>
      </w:r>
      <w:proofErr w:type="spellStart"/>
      <w:r w:rsidRPr="002179DB">
        <w:t>tezepelumab</w:t>
      </w:r>
      <w:proofErr w:type="spellEnd"/>
      <w:r w:rsidRPr="002179DB">
        <w:t xml:space="preserve"> group compared with placebo in NAVIGATOR (Hazard Ratio 0.59 [95% CI 0.50, 0.70]) and PATHWAY (Hazard ratio 0.45 [95% CI 0.26, 0.75]).</w:t>
      </w:r>
    </w:p>
    <w:p w14:paraId="3071F119" w14:textId="51C7DBFC" w:rsidR="002179DB" w:rsidRPr="002179DB" w:rsidRDefault="002179DB" w:rsidP="002179DB">
      <w:r w:rsidRPr="002179DB">
        <w:t xml:space="preserve">Regarding body weight, rate ratios (95% CI) of AAER over 52 weeks between the </w:t>
      </w:r>
      <w:proofErr w:type="spellStart"/>
      <w:r w:rsidRPr="002179DB">
        <w:t>tezepelumab</w:t>
      </w:r>
      <w:proofErr w:type="spellEnd"/>
      <w:r w:rsidRPr="002179DB">
        <w:t xml:space="preserve"> and placebo groups were similar: 0.42 (0.29 to 0.61), 0.45 (0.31 to 0.66), 0.49 (0.34 to 0.72), and 0.41 (0.28 to 0.60), respectively, for the first to the fourth body weight quartiles. Weight did not influence pre-bronchodilator FEV</w:t>
      </w:r>
      <w:r w:rsidRPr="009D7D12">
        <w:rPr>
          <w:vertAlign w:val="subscript"/>
        </w:rPr>
        <w:t>1</w:t>
      </w:r>
      <w:r w:rsidRPr="002179DB">
        <w:t xml:space="preserve"> response.</w:t>
      </w:r>
    </w:p>
    <w:p w14:paraId="1E3B0E9F" w14:textId="7D731802" w:rsidR="002179DB" w:rsidRPr="002179DB" w:rsidRDefault="002179DB" w:rsidP="002179DB">
      <w:r w:rsidRPr="002179DB">
        <w:t xml:space="preserve">The significant decrease in asthma exacerbations relative to placebo was independent of baseline eosinophil count, </w:t>
      </w:r>
      <w:proofErr w:type="spellStart"/>
      <w:r w:rsidRPr="002179DB">
        <w:t>FeNO</w:t>
      </w:r>
      <w:proofErr w:type="spellEnd"/>
      <w:r w:rsidRPr="002179DB">
        <w:t xml:space="preserve"> or allergic status (</w:t>
      </w:r>
      <w:r w:rsidR="00CD139D">
        <w:fldChar w:fldCharType="begin"/>
      </w:r>
      <w:r w:rsidR="00CD139D">
        <w:instrText xml:space="preserve"> REF _Ref204155467 \h </w:instrText>
      </w:r>
      <w:r w:rsidR="00CD139D">
        <w:fldChar w:fldCharType="separate"/>
      </w:r>
      <w:r w:rsidR="005657B1">
        <w:t xml:space="preserve">Figure </w:t>
      </w:r>
      <w:r w:rsidR="005657B1">
        <w:rPr>
          <w:noProof/>
        </w:rPr>
        <w:t>5</w:t>
      </w:r>
      <w:r w:rsidR="00CD139D">
        <w:fldChar w:fldCharType="end"/>
      </w:r>
      <w:r w:rsidR="00CD139D">
        <w:t xml:space="preserve">, </w:t>
      </w:r>
      <w:r w:rsidR="00CD139D">
        <w:fldChar w:fldCharType="begin"/>
      </w:r>
      <w:r w:rsidR="00CD139D">
        <w:instrText xml:space="preserve"> REF _Ref204155479 \h </w:instrText>
      </w:r>
      <w:r w:rsidR="00CD139D">
        <w:fldChar w:fldCharType="separate"/>
      </w:r>
      <w:r w:rsidR="005657B1">
        <w:t xml:space="preserve">Figure </w:t>
      </w:r>
      <w:r w:rsidR="005657B1">
        <w:rPr>
          <w:noProof/>
        </w:rPr>
        <w:t>6</w:t>
      </w:r>
      <w:r w:rsidR="00CD139D">
        <w:fldChar w:fldCharType="end"/>
      </w:r>
      <w:r w:rsidRPr="002179DB">
        <w:t>)</w:t>
      </w:r>
      <w:r w:rsidR="00CD139D">
        <w:t>.</w:t>
      </w:r>
      <w:r w:rsidRPr="002179DB">
        <w:t xml:space="preserve"> However, there was a greater benefit with </w:t>
      </w:r>
      <w:proofErr w:type="spellStart"/>
      <w:r w:rsidRPr="002179DB">
        <w:t>tezepelumab</w:t>
      </w:r>
      <w:proofErr w:type="spellEnd"/>
      <w:r w:rsidRPr="002179DB">
        <w:t xml:space="preserve"> with increasing levels of eosinophils and </w:t>
      </w:r>
      <w:proofErr w:type="spellStart"/>
      <w:r w:rsidRPr="002179DB">
        <w:t>FeNO</w:t>
      </w:r>
      <w:proofErr w:type="spellEnd"/>
      <w:r w:rsidRPr="002179DB">
        <w:t xml:space="preserve"> levels (</w:t>
      </w:r>
      <w:r w:rsidR="00CD139D">
        <w:fldChar w:fldCharType="begin"/>
      </w:r>
      <w:r w:rsidR="00CD139D">
        <w:instrText xml:space="preserve"> REF _Ref204155810 \h </w:instrText>
      </w:r>
      <w:r w:rsidR="00CD139D">
        <w:fldChar w:fldCharType="separate"/>
      </w:r>
      <w:r w:rsidR="005657B1">
        <w:t xml:space="preserve">Figure </w:t>
      </w:r>
      <w:r w:rsidR="005657B1">
        <w:rPr>
          <w:noProof/>
        </w:rPr>
        <w:t>7</w:t>
      </w:r>
      <w:r w:rsidR="00CD139D">
        <w:fldChar w:fldCharType="end"/>
      </w:r>
      <w:r w:rsidR="00CD139D">
        <w:t xml:space="preserve">) </w:t>
      </w:r>
      <w:r w:rsidRPr="002179DB">
        <w:t>but not IgE levels.</w:t>
      </w:r>
    </w:p>
    <w:p w14:paraId="6E73E36D" w14:textId="753D4AA8" w:rsidR="0059314A" w:rsidRDefault="0059314A" w:rsidP="00343302">
      <w:pPr>
        <w:pStyle w:val="FigureTitle"/>
      </w:pPr>
      <w:bookmarkStart w:id="69" w:name="_Ref204155467"/>
      <w:r>
        <w:t xml:space="preserve">Figure </w:t>
      </w:r>
      <w:r>
        <w:fldChar w:fldCharType="begin"/>
      </w:r>
      <w:r>
        <w:instrText xml:space="preserve"> SEQ Figure \* ARABIC </w:instrText>
      </w:r>
      <w:r>
        <w:fldChar w:fldCharType="separate"/>
      </w:r>
      <w:r w:rsidR="005657B1">
        <w:rPr>
          <w:noProof/>
        </w:rPr>
        <w:t>5</w:t>
      </w:r>
      <w:r>
        <w:fldChar w:fldCharType="end"/>
      </w:r>
      <w:bookmarkEnd w:id="69"/>
      <w:r>
        <w:t>: NAVIGATOR Annualised asthma exacerbation rate ratio over 52 weeks, negative binomial model</w:t>
      </w:r>
      <w:r w:rsidR="00343302">
        <w:t xml:space="preserve"> Forest plot by subgroups by baseline biomarkers (full analysis set)</w:t>
      </w:r>
    </w:p>
    <w:p w14:paraId="72C3EA25" w14:textId="6F0A1802" w:rsidR="002179DB" w:rsidRDefault="0059314A" w:rsidP="005657B1">
      <w:r>
        <w:rPr>
          <w:noProof/>
        </w:rPr>
        <w:drawing>
          <wp:inline distT="0" distB="0" distL="0" distR="0" wp14:anchorId="37BBF713" wp14:editId="6991B1CF">
            <wp:extent cx="5759450" cy="2882900"/>
            <wp:effectExtent l="0" t="0" r="0" b="0"/>
            <wp:docPr id="1252522146" name="Picture 1" descr="Figure 5: NAVIGATOR Annualised asthma exacerbation rate ratio over 52 weeks, negative binomial model Forest plot by subgroups by baseline biomarker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22146" name="Picture 1" descr="Figure 5: NAVIGATOR Annualised asthma exacerbation rate ratio over 52 weeks, negative binomial model Forest plot by subgroups by baseline biomarkers (full analysis set)"/>
                    <pic:cNvPicPr/>
                  </pic:nvPicPr>
                  <pic:blipFill>
                    <a:blip r:embed="rId31"/>
                    <a:stretch>
                      <a:fillRect/>
                    </a:stretch>
                  </pic:blipFill>
                  <pic:spPr>
                    <a:xfrm>
                      <a:off x="0" y="0"/>
                      <a:ext cx="5759450" cy="2882900"/>
                    </a:xfrm>
                    <a:prstGeom prst="rect">
                      <a:avLst/>
                    </a:prstGeom>
                  </pic:spPr>
                </pic:pic>
              </a:graphicData>
            </a:graphic>
          </wp:inline>
        </w:drawing>
      </w:r>
      <w:r w:rsidR="002179DB" w:rsidRPr="002179DB">
        <w:t>Rate ratio is displayed on the log scale. Dotted line represents no treatment difference. CI</w:t>
      </w:r>
      <w:r w:rsidR="008525E5">
        <w:t xml:space="preserve"> =</w:t>
      </w:r>
      <w:r w:rsidR="002179DB" w:rsidRPr="002179DB">
        <w:t xml:space="preserve"> Confidence interval; </w:t>
      </w:r>
      <w:proofErr w:type="spellStart"/>
      <w:r w:rsidR="002179DB" w:rsidRPr="002179DB">
        <w:t>FeNO</w:t>
      </w:r>
      <w:proofErr w:type="spellEnd"/>
      <w:r w:rsidR="008525E5">
        <w:t xml:space="preserve"> = </w:t>
      </w:r>
      <w:r w:rsidR="002179DB" w:rsidRPr="002179DB">
        <w:t>Fractional exhaled nitric oxide; IgE</w:t>
      </w:r>
      <w:r w:rsidR="008525E5">
        <w:t xml:space="preserve"> = </w:t>
      </w:r>
      <w:r w:rsidR="002179DB" w:rsidRPr="002179DB">
        <w:t>Immunoglobulin E; FEIA</w:t>
      </w:r>
      <w:r w:rsidR="008525E5">
        <w:t xml:space="preserve"> = </w:t>
      </w:r>
      <w:r w:rsidR="002179DB" w:rsidRPr="002179DB">
        <w:t>Fluorescence enzyme immunoassay; n</w:t>
      </w:r>
      <w:r w:rsidR="008525E5">
        <w:t xml:space="preserve"> = </w:t>
      </w:r>
      <w:r w:rsidR="002179DB" w:rsidRPr="002179DB">
        <w:t>Number of subjects in analysis; Q4W</w:t>
      </w:r>
      <w:r w:rsidR="008525E5">
        <w:t xml:space="preserve"> = </w:t>
      </w:r>
      <w:r w:rsidR="002179DB" w:rsidRPr="002179DB">
        <w:t xml:space="preserve">Every 4 weeks; </w:t>
      </w:r>
      <w:proofErr w:type="spellStart"/>
      <w:r w:rsidR="002179DB" w:rsidRPr="002179DB">
        <w:t>Teze</w:t>
      </w:r>
      <w:proofErr w:type="spellEnd"/>
      <w:r w:rsidR="008525E5">
        <w:t xml:space="preserve"> =</w:t>
      </w:r>
      <w:r w:rsidR="002179DB" w:rsidRPr="002179DB">
        <w:t xml:space="preserve"> Tezepelumab.</w:t>
      </w:r>
    </w:p>
    <w:p w14:paraId="13BC06AC" w14:textId="77777777" w:rsidR="00CD139D" w:rsidRPr="002179DB" w:rsidRDefault="00CD139D" w:rsidP="00CD139D"/>
    <w:p w14:paraId="223F2125" w14:textId="14638DD8" w:rsidR="00CD139D" w:rsidRPr="002179DB" w:rsidRDefault="00CD139D" w:rsidP="00CD139D">
      <w:pPr>
        <w:pStyle w:val="FigureTitle"/>
      </w:pPr>
      <w:bookmarkStart w:id="70" w:name="_Ref204155479"/>
      <w:r>
        <w:lastRenderedPageBreak/>
        <w:t xml:space="preserve">Figure </w:t>
      </w:r>
      <w:r>
        <w:fldChar w:fldCharType="begin"/>
      </w:r>
      <w:r>
        <w:instrText xml:space="preserve"> SEQ Figure \* ARABIC </w:instrText>
      </w:r>
      <w:r>
        <w:fldChar w:fldCharType="separate"/>
      </w:r>
      <w:r w:rsidR="005657B1">
        <w:rPr>
          <w:noProof/>
        </w:rPr>
        <w:t>6</w:t>
      </w:r>
      <w:r>
        <w:fldChar w:fldCharType="end"/>
      </w:r>
      <w:bookmarkEnd w:id="70"/>
      <w:r>
        <w:t>: PATHWAY Annualised asthma exacerbation rate ratio over 52 weeks, negative binomial model - Forest plot by subgroup by baseline biomarkers (ITT analysis set)</w:t>
      </w:r>
    </w:p>
    <w:p w14:paraId="1DA570EE" w14:textId="420D586D" w:rsidR="002179DB" w:rsidRPr="002179DB" w:rsidRDefault="00CD139D" w:rsidP="005657B1">
      <w:r>
        <w:rPr>
          <w:noProof/>
        </w:rPr>
        <w:drawing>
          <wp:inline distT="0" distB="0" distL="0" distR="0" wp14:anchorId="15062F15" wp14:editId="228F2A58">
            <wp:extent cx="5759450" cy="2667635"/>
            <wp:effectExtent l="0" t="0" r="0" b="0"/>
            <wp:docPr id="24471514" name="Picture 1" descr="Figure 6: PATHWAY Annualised asthma exacerbation rate ratio over 52 weeks, negative binomial model - Forest plot by subgroup by baseline biomarker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1514" name="Picture 1" descr="Figure 6: PATHWAY Annualised asthma exacerbation rate ratio over 52 weeks, negative binomial model - Forest plot by subgroup by baseline biomarkers (ITT analysis set)"/>
                    <pic:cNvPicPr/>
                  </pic:nvPicPr>
                  <pic:blipFill>
                    <a:blip r:embed="rId32"/>
                    <a:stretch>
                      <a:fillRect/>
                    </a:stretch>
                  </pic:blipFill>
                  <pic:spPr>
                    <a:xfrm>
                      <a:off x="0" y="0"/>
                      <a:ext cx="5759450" cy="2667635"/>
                    </a:xfrm>
                    <a:prstGeom prst="rect">
                      <a:avLst/>
                    </a:prstGeom>
                  </pic:spPr>
                </pic:pic>
              </a:graphicData>
            </a:graphic>
          </wp:inline>
        </w:drawing>
      </w:r>
    </w:p>
    <w:p w14:paraId="6EEA259D" w14:textId="61A00EE3" w:rsidR="002179DB" w:rsidRDefault="002179DB" w:rsidP="00CA5F69">
      <w:pPr>
        <w:pStyle w:val="FigureDescription"/>
      </w:pPr>
      <w:r w:rsidRPr="002179DB">
        <w:t>Rate ratio is displayed on the log scale. Dotted line represents no treatment difference. CI</w:t>
      </w:r>
      <w:r w:rsidR="00CA5F69">
        <w:t xml:space="preserve"> = </w:t>
      </w:r>
      <w:r w:rsidRPr="002179DB">
        <w:t xml:space="preserve">Confidence interval; </w:t>
      </w:r>
      <w:proofErr w:type="spellStart"/>
      <w:r w:rsidRPr="002179DB">
        <w:t>FeNO</w:t>
      </w:r>
      <w:proofErr w:type="spellEnd"/>
      <w:r w:rsidR="00CA5F69">
        <w:t xml:space="preserve"> = </w:t>
      </w:r>
      <w:r w:rsidRPr="002179DB">
        <w:t>Fractional exhaled nitric oxide; IgE</w:t>
      </w:r>
      <w:r w:rsidR="00CA5F69">
        <w:t xml:space="preserve"> = </w:t>
      </w:r>
      <w:r w:rsidRPr="002179DB">
        <w:t>Immunoglobulin E; FEIA</w:t>
      </w:r>
      <w:r w:rsidR="00CA5F69">
        <w:t xml:space="preserve"> = </w:t>
      </w:r>
      <w:r w:rsidRPr="002179DB">
        <w:t>Fluorescence enzyme immunoassay; n</w:t>
      </w:r>
      <w:r w:rsidR="00CA5F69">
        <w:t xml:space="preserve"> = </w:t>
      </w:r>
      <w:r w:rsidRPr="002179DB">
        <w:t>Number of subjects in analysis; Q4W</w:t>
      </w:r>
      <w:r w:rsidR="00CA5F69">
        <w:t xml:space="preserve"> = </w:t>
      </w:r>
      <w:r w:rsidRPr="002179DB">
        <w:t xml:space="preserve">Every 4 weeks; </w:t>
      </w:r>
      <w:proofErr w:type="spellStart"/>
      <w:r w:rsidRPr="002179DB">
        <w:t>Teze</w:t>
      </w:r>
      <w:proofErr w:type="spellEnd"/>
      <w:r w:rsidR="00CA5F69">
        <w:t xml:space="preserve"> = </w:t>
      </w:r>
      <w:r w:rsidRPr="002179DB">
        <w:t>Tezepelumab.</w:t>
      </w:r>
    </w:p>
    <w:p w14:paraId="32ED1DD3" w14:textId="77777777" w:rsidR="00DF1EE2" w:rsidRDefault="00DF1EE2" w:rsidP="00DF1EE2"/>
    <w:p w14:paraId="019E63B5" w14:textId="6E97CCB5" w:rsidR="00DF1EE2" w:rsidRDefault="00DF1EE2" w:rsidP="00DF1EE2">
      <w:pPr>
        <w:pStyle w:val="FigureTitle"/>
      </w:pPr>
      <w:bookmarkStart w:id="71" w:name="_Ref204155810"/>
      <w:r>
        <w:t xml:space="preserve">Figure </w:t>
      </w:r>
      <w:r>
        <w:fldChar w:fldCharType="begin"/>
      </w:r>
      <w:r>
        <w:instrText xml:space="preserve"> SEQ Figure \* ARABIC </w:instrText>
      </w:r>
      <w:r>
        <w:fldChar w:fldCharType="separate"/>
      </w:r>
      <w:r w:rsidR="005657B1">
        <w:rPr>
          <w:noProof/>
        </w:rPr>
        <w:t>7</w:t>
      </w:r>
      <w:r>
        <w:fldChar w:fldCharType="end"/>
      </w:r>
      <w:bookmarkEnd w:id="71"/>
      <w:r>
        <w:t>: NAVIGATOR Locally weighted regression and smoothing scatterplots (LOESS) of Annual asthma exacerbation rates over 52 weeks (95% confidence intervals) by Baseline Eosinophils and Fractional exhaled nitric oxide; planned treatment (full analysis set)</w:t>
      </w:r>
    </w:p>
    <w:p w14:paraId="528D9FEF" w14:textId="226B3E68" w:rsidR="00CD139D" w:rsidRDefault="00CD139D" w:rsidP="002179DB">
      <w:r>
        <w:rPr>
          <w:noProof/>
        </w:rPr>
        <w:drawing>
          <wp:inline distT="0" distB="0" distL="0" distR="0" wp14:anchorId="0745DA6D" wp14:editId="1D38DC32">
            <wp:extent cx="4589253" cy="4173336"/>
            <wp:effectExtent l="0" t="0" r="1905" b="0"/>
            <wp:docPr id="1640581132" name="Picture 1" descr="Figure 7: NAVIGATOR Locally weighted regression and smoothing scatterplots (LOESS) of Annual asthma exacerbation rates over 52 weeks (95% confidence intervals) by Baseline Eosinophils and Fractional exhaled nitric oxide; planned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81132" name="Picture 1" descr="Figure 7: NAVIGATOR Locally weighted regression and smoothing scatterplots (LOESS) of Annual asthma exacerbation rates over 52 weeks (95% confidence intervals) by Baseline Eosinophils and Fractional exhaled nitric oxide; planned treatment (full analysis set)"/>
                    <pic:cNvPicPr/>
                  </pic:nvPicPr>
                  <pic:blipFill>
                    <a:blip r:embed="rId33"/>
                    <a:stretch>
                      <a:fillRect/>
                    </a:stretch>
                  </pic:blipFill>
                  <pic:spPr>
                    <a:xfrm>
                      <a:off x="0" y="0"/>
                      <a:ext cx="4598292" cy="4181556"/>
                    </a:xfrm>
                    <a:prstGeom prst="rect">
                      <a:avLst/>
                    </a:prstGeom>
                  </pic:spPr>
                </pic:pic>
              </a:graphicData>
            </a:graphic>
          </wp:inline>
        </w:drawing>
      </w:r>
    </w:p>
    <w:p w14:paraId="1A1BEC2C" w14:textId="6FC4FB73" w:rsidR="002179DB" w:rsidRDefault="002179DB" w:rsidP="002179DB">
      <w:r w:rsidRPr="002179DB">
        <w:lastRenderedPageBreak/>
        <w:t xml:space="preserve">Treatment with </w:t>
      </w:r>
      <w:proofErr w:type="spellStart"/>
      <w:r w:rsidRPr="002179DB">
        <w:t>tezepelumab</w:t>
      </w:r>
      <w:proofErr w:type="spellEnd"/>
      <w:r w:rsidRPr="002179DB">
        <w:t xml:space="preserve"> resulted in improvements from baseline in NAVIGATOR and PATHWAY in secondary endpoints related to lung function, quality of life, asthma control and asthma symptoms that were each statistically significantly greater than placebo in NAVIGATOR. Similar changes were seen in PATHWAY (</w:t>
      </w:r>
      <w:r w:rsidR="00B537D8">
        <w:t>see table below.</w:t>
      </w:r>
      <w:r w:rsidRPr="002179DB">
        <w:t>)</w:t>
      </w:r>
    </w:p>
    <w:p w14:paraId="38A67F9F" w14:textId="06CE59AD" w:rsidR="00DF1EE2" w:rsidRPr="002179DB" w:rsidRDefault="00DF1EE2" w:rsidP="00DF1EE2">
      <w:pPr>
        <w:pStyle w:val="TableTitle"/>
      </w:pPr>
      <w:r>
        <w:t xml:space="preserve">Table </w:t>
      </w:r>
      <w:r>
        <w:fldChar w:fldCharType="begin"/>
      </w:r>
      <w:r>
        <w:instrText xml:space="preserve"> SEQ Table \* ARABIC </w:instrText>
      </w:r>
      <w:r>
        <w:fldChar w:fldCharType="separate"/>
      </w:r>
      <w:r w:rsidR="005657B1">
        <w:rPr>
          <w:noProof/>
        </w:rPr>
        <w:t>9</w:t>
      </w:r>
      <w:r>
        <w:fldChar w:fldCharType="end"/>
      </w:r>
      <w:r>
        <w:t>: NAVIGATOR and PATHWAY Summary results for key secondary efficacy endpoints</w:t>
      </w:r>
    </w:p>
    <w:p w14:paraId="011D1804" w14:textId="11888A68" w:rsidR="002179DB" w:rsidRPr="002179DB" w:rsidRDefault="00DF1EE2" w:rsidP="002179DB">
      <w:r w:rsidRPr="00DF1EE2">
        <w:rPr>
          <w:noProof/>
        </w:rPr>
        <w:drawing>
          <wp:inline distT="0" distB="0" distL="0" distR="0" wp14:anchorId="75219944" wp14:editId="02123C3D">
            <wp:extent cx="5305245" cy="2613433"/>
            <wp:effectExtent l="0" t="0" r="0" b="0"/>
            <wp:docPr id="138073846" name="Picture 1" descr="Table 9: NAVIGATOR and PATHWAY Summary results for key secondary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3846" name="Picture 1" descr="Table 9: NAVIGATOR and PATHWAY Summary results for key secondary efficacy endpoi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9659" cy="2615607"/>
                    </a:xfrm>
                    <a:prstGeom prst="rect">
                      <a:avLst/>
                    </a:prstGeom>
                    <a:noFill/>
                    <a:ln>
                      <a:noFill/>
                    </a:ln>
                  </pic:spPr>
                </pic:pic>
              </a:graphicData>
            </a:graphic>
          </wp:inline>
        </w:drawing>
      </w:r>
    </w:p>
    <w:p w14:paraId="542EFC03" w14:textId="77777777" w:rsidR="002179DB" w:rsidRPr="002179DB" w:rsidRDefault="002179DB" w:rsidP="00291608">
      <w:pPr>
        <w:pStyle w:val="TableDescription"/>
      </w:pPr>
      <w:r w:rsidRPr="002179DB">
        <w:t>a Statistically significant under multiple testing procedure.</w:t>
      </w:r>
    </w:p>
    <w:p w14:paraId="2986DF87" w14:textId="77777777" w:rsidR="002179DB" w:rsidRPr="002179DB" w:rsidRDefault="002179DB" w:rsidP="00291608">
      <w:pPr>
        <w:pStyle w:val="TableDescription"/>
      </w:pPr>
      <w:r w:rsidRPr="002179DB">
        <w:t>b Nominal p-values.</w:t>
      </w:r>
    </w:p>
    <w:p w14:paraId="3639F438" w14:textId="77777777" w:rsidR="002179DB" w:rsidRPr="002179DB" w:rsidRDefault="002179DB" w:rsidP="00291608">
      <w:pPr>
        <w:pStyle w:val="TableDescription"/>
      </w:pPr>
      <w:r w:rsidRPr="002179DB">
        <w:t xml:space="preserve">c </w:t>
      </w:r>
      <w:proofErr w:type="gramStart"/>
      <w:r w:rsidRPr="002179DB">
        <w:t>The</w:t>
      </w:r>
      <w:proofErr w:type="gramEnd"/>
      <w:r w:rsidRPr="002179DB">
        <w:t xml:space="preserve"> changes from baseline in the mean AQLQ(S)+12 and ACQ-6 scores were evaluated over time. For the Week 52 visit in PATHWAY, the ePRO device had to be manually triggered; however, many study sites did not perform this function, which resulted in considerably fewer subjects completing the questionnaire at the Week 52 visit. Therefore, Week 48 and 50 data (respectively) are presented for PATHWAY.</w:t>
      </w:r>
    </w:p>
    <w:p w14:paraId="685AC855" w14:textId="77777777" w:rsidR="002179DB" w:rsidRPr="002179DB" w:rsidRDefault="002179DB" w:rsidP="00291608">
      <w:pPr>
        <w:pStyle w:val="TableDescription"/>
      </w:pPr>
      <w:r w:rsidRPr="002179DB">
        <w:t>d ASD was evaluated in NAVIGATOR only.</w:t>
      </w:r>
    </w:p>
    <w:p w14:paraId="7DC4435C" w14:textId="0C6A4112" w:rsidR="002179DB" w:rsidRDefault="002179DB" w:rsidP="006C14AB">
      <w:pPr>
        <w:pStyle w:val="Heading6"/>
        <w:rPr>
          <w:rFonts w:eastAsia="TimesNewRoman"/>
        </w:rPr>
      </w:pPr>
      <w:r w:rsidRPr="002179DB">
        <w:rPr>
          <w:rFonts w:eastAsia="TimesNewRoman"/>
        </w:rPr>
        <w:t>P</w:t>
      </w:r>
      <w:r w:rsidR="005657B1" w:rsidRPr="002179DB">
        <w:rPr>
          <w:rFonts w:eastAsia="TimesNewRoman"/>
        </w:rPr>
        <w:t>athway</w:t>
      </w:r>
      <w:r w:rsidRPr="002179DB">
        <w:rPr>
          <w:rFonts w:eastAsia="TimesNewRoman"/>
        </w:rPr>
        <w:t xml:space="preserve"> </w:t>
      </w:r>
      <w:r w:rsidR="006C01CB">
        <w:rPr>
          <w:rFonts w:eastAsia="TimesNewRoman"/>
        </w:rPr>
        <w:t xml:space="preserve">- </w:t>
      </w:r>
      <w:r w:rsidRPr="002179DB">
        <w:rPr>
          <w:rFonts w:eastAsia="TimesNewRoman"/>
        </w:rPr>
        <w:t>Efficacy of doses</w:t>
      </w:r>
    </w:p>
    <w:p w14:paraId="6D59227F" w14:textId="48FE540F" w:rsidR="002179DB" w:rsidRPr="002179DB" w:rsidRDefault="002179DB" w:rsidP="002179DB">
      <w:r w:rsidRPr="002179DB">
        <w:t xml:space="preserve">All </w:t>
      </w:r>
      <w:proofErr w:type="spellStart"/>
      <w:r w:rsidRPr="002179DB">
        <w:t>tezepelumab</w:t>
      </w:r>
      <w:proofErr w:type="spellEnd"/>
      <w:r w:rsidRPr="002179DB">
        <w:t xml:space="preserve"> treatment groups were superior to placebo, and although there was no significant difference between the </w:t>
      </w:r>
      <w:proofErr w:type="spellStart"/>
      <w:r w:rsidRPr="002179DB">
        <w:t>tezepelumab</w:t>
      </w:r>
      <w:proofErr w:type="spellEnd"/>
      <w:r w:rsidRPr="002179DB">
        <w:t xml:space="preserve"> groups, the 210</w:t>
      </w:r>
      <w:r w:rsidR="008F1E85">
        <w:t> </w:t>
      </w:r>
      <w:r w:rsidRPr="002179DB">
        <w:t xml:space="preserve">mg </w:t>
      </w:r>
      <w:r w:rsidR="008F1E85">
        <w:t>Q4W</w:t>
      </w:r>
      <w:r w:rsidRPr="002179DB">
        <w:t xml:space="preserve"> had the lowest rate of exacerbations. The AAER (95% CI) was 0.72 (0.59 to 0.88) for placebo, 0.27 (0.19 to 0.38) for 70</w:t>
      </w:r>
      <w:r w:rsidR="00661E83">
        <w:t> </w:t>
      </w:r>
      <w:r w:rsidRPr="002179DB">
        <w:t xml:space="preserve">mg </w:t>
      </w:r>
      <w:r w:rsidR="00661E83">
        <w:t>Q4W</w:t>
      </w:r>
      <w:r w:rsidRPr="002179DB">
        <w:t xml:space="preserve">, 0.20 (0.13 to 0.30) for </w:t>
      </w:r>
      <w:r w:rsidR="00661E83">
        <w:t>210 mg</w:t>
      </w:r>
      <w:r w:rsidRPr="002179DB">
        <w:t xml:space="preserve"> </w:t>
      </w:r>
      <w:r w:rsidR="00661E83">
        <w:t>Q4W</w:t>
      </w:r>
      <w:r w:rsidRPr="002179DB">
        <w:t xml:space="preserve"> and 0.23 (0.16 to 0.34) for 280</w:t>
      </w:r>
      <w:r w:rsidR="002619A9">
        <w:t> </w:t>
      </w:r>
      <w:r w:rsidRPr="002179DB">
        <w:t xml:space="preserve">mg </w:t>
      </w:r>
      <w:r w:rsidR="00661E83">
        <w:t>Q2W</w:t>
      </w:r>
      <w:r w:rsidRPr="002179DB">
        <w:t xml:space="preserve">. In the subgroup analysis, the efficacy was maintained across all subgroups, including eosinophil count. For the </w:t>
      </w:r>
      <w:r w:rsidR="00661E83">
        <w:t>210 mg</w:t>
      </w:r>
      <w:r w:rsidRPr="002179DB">
        <w:t xml:space="preserve"> </w:t>
      </w:r>
      <w:r w:rsidR="00661E83">
        <w:t>Q4W</w:t>
      </w:r>
      <w:r w:rsidRPr="002179DB">
        <w:t xml:space="preserve"> dose the rate reduction (95% CI) compared to placebo was 60</w:t>
      </w:r>
      <w:r w:rsidR="002619A9">
        <w:t>%</w:t>
      </w:r>
      <w:r w:rsidRPr="002179DB">
        <w:t xml:space="preserve"> (15 to 81</w:t>
      </w:r>
      <w:r w:rsidR="002619A9">
        <w:t>%</w:t>
      </w:r>
      <w:r w:rsidRPr="002179DB">
        <w:t xml:space="preserve">) for </w:t>
      </w:r>
      <w:r w:rsidR="00233A3F">
        <w:t xml:space="preserve">the </w:t>
      </w:r>
      <w:r w:rsidRPr="002179DB">
        <w:t xml:space="preserve">eosinophil count </w:t>
      </w:r>
      <w:r w:rsidR="00233A3F">
        <w:t>of at least</w:t>
      </w:r>
      <w:r w:rsidR="00EC0626">
        <w:t xml:space="preserve"> </w:t>
      </w:r>
      <w:r w:rsidRPr="002179DB">
        <w:t>300</w:t>
      </w:r>
      <w:r w:rsidR="00EC0626">
        <w:t> </w:t>
      </w:r>
      <w:r w:rsidRPr="002179DB">
        <w:t>cells/</w:t>
      </w:r>
      <w:proofErr w:type="spellStart"/>
      <w:r w:rsidRPr="002179DB">
        <w:t>μL</w:t>
      </w:r>
      <w:proofErr w:type="spellEnd"/>
      <w:r w:rsidRPr="002179DB">
        <w:t xml:space="preserve"> group and 81</w:t>
      </w:r>
      <w:r w:rsidR="00EC0626">
        <w:t>%</w:t>
      </w:r>
      <w:r w:rsidRPr="002179DB">
        <w:t xml:space="preserve"> (54 to 92</w:t>
      </w:r>
      <w:r w:rsidR="00EC0626">
        <w:t>%</w:t>
      </w:r>
      <w:r w:rsidRPr="002179DB">
        <w:t xml:space="preserve">) for </w:t>
      </w:r>
      <w:r w:rsidR="00233A3F">
        <w:t xml:space="preserve">the </w:t>
      </w:r>
      <w:r w:rsidRPr="002179DB">
        <w:t xml:space="preserve">eosinophil count </w:t>
      </w:r>
      <w:r w:rsidR="00EC0626">
        <w:t xml:space="preserve">below </w:t>
      </w:r>
      <w:r w:rsidRPr="002179DB">
        <w:t>300</w:t>
      </w:r>
      <w:r w:rsidR="00EC0626">
        <w:t> </w:t>
      </w:r>
      <w:r w:rsidRPr="002179DB">
        <w:t>cells/</w:t>
      </w:r>
      <w:proofErr w:type="spellStart"/>
      <w:r w:rsidRPr="002179DB">
        <w:t>μL</w:t>
      </w:r>
      <w:proofErr w:type="spellEnd"/>
      <w:r w:rsidRPr="002179DB">
        <w:t xml:space="preserve"> group.</w:t>
      </w:r>
    </w:p>
    <w:p w14:paraId="0F8D4891" w14:textId="1701C9BF" w:rsidR="002179DB" w:rsidRPr="002179DB" w:rsidRDefault="002179DB" w:rsidP="002179DB">
      <w:r w:rsidRPr="002179DB">
        <w:t>Respiratory function improved in all treatment groups but improved most in the highest dose group (280</w:t>
      </w:r>
      <w:r w:rsidR="0030710D">
        <w:t> </w:t>
      </w:r>
      <w:r w:rsidRPr="002179DB">
        <w:t xml:space="preserve">mg </w:t>
      </w:r>
      <w:r w:rsidR="00661E83">
        <w:t>Q2W</w:t>
      </w:r>
      <w:r w:rsidRPr="002179DB">
        <w:t>)</w:t>
      </w:r>
      <w:r w:rsidR="0030710D">
        <w:t>.</w:t>
      </w:r>
      <w:r w:rsidRPr="002179DB">
        <w:t xml:space="preserve"> Improvements in pre-bronchodilator FEV</w:t>
      </w:r>
      <w:r w:rsidRPr="0030710D">
        <w:rPr>
          <w:vertAlign w:val="subscript"/>
        </w:rPr>
        <w:t>1</w:t>
      </w:r>
      <w:r w:rsidRPr="002179DB">
        <w:t xml:space="preserve"> were greater with eosinophil count </w:t>
      </w:r>
      <w:r w:rsidR="0030710D">
        <w:t xml:space="preserve">of at least </w:t>
      </w:r>
      <w:r w:rsidRPr="002179DB">
        <w:t>300</w:t>
      </w:r>
      <w:r w:rsidR="0030710D">
        <w:t> </w:t>
      </w:r>
      <w:r w:rsidRPr="002179DB">
        <w:t>cells/</w:t>
      </w:r>
      <w:proofErr w:type="spellStart"/>
      <w:r w:rsidRPr="002179DB">
        <w:t>μL</w:t>
      </w:r>
      <w:proofErr w:type="spellEnd"/>
      <w:r w:rsidRPr="002179DB">
        <w:t xml:space="preserve"> and </w:t>
      </w:r>
      <w:proofErr w:type="spellStart"/>
      <w:r w:rsidRPr="002179DB">
        <w:t>FeNO</w:t>
      </w:r>
      <w:proofErr w:type="spellEnd"/>
      <w:r w:rsidRPr="002179DB">
        <w:t xml:space="preserve"> </w:t>
      </w:r>
      <w:r w:rsidR="0030710D">
        <w:t xml:space="preserve">of at least </w:t>
      </w:r>
      <w:r w:rsidRPr="002179DB">
        <w:t>24</w:t>
      </w:r>
      <w:r w:rsidR="0030710D">
        <w:t> </w:t>
      </w:r>
      <w:r w:rsidRPr="002179DB">
        <w:t xml:space="preserve">ppb. For the </w:t>
      </w:r>
      <w:r w:rsidR="00661E83">
        <w:t>210 mg</w:t>
      </w:r>
      <w:r w:rsidRPr="002179DB">
        <w:t xml:space="preserve"> </w:t>
      </w:r>
      <w:r w:rsidR="00661E83">
        <w:t>Q4W</w:t>
      </w:r>
      <w:r w:rsidRPr="002179DB">
        <w:t xml:space="preserve"> dose level the </w:t>
      </w:r>
      <w:r w:rsidR="00EE52F7">
        <w:t>l</w:t>
      </w:r>
      <w:r w:rsidR="00D416ED" w:rsidRPr="00EE52F7">
        <w:t>east squares</w:t>
      </w:r>
      <w:r w:rsidRPr="00EE52F7">
        <w:t xml:space="preserve"> </w:t>
      </w:r>
      <w:r w:rsidR="00D416ED" w:rsidRPr="00EE52F7">
        <w:t xml:space="preserve">(LS) </w:t>
      </w:r>
      <w:r w:rsidRPr="00EE52F7">
        <w:t>mean difference (95% CI) in FEV</w:t>
      </w:r>
      <w:r w:rsidRPr="00EE52F7">
        <w:rPr>
          <w:vertAlign w:val="subscript"/>
        </w:rPr>
        <w:t>1</w:t>
      </w:r>
      <w:r w:rsidRPr="00EE52F7">
        <w:t xml:space="preserve"> compared to placebo was 0.205 (0.060 to</w:t>
      </w:r>
      <w:r w:rsidRPr="002179DB">
        <w:t xml:space="preserve"> 0.350) L for the eosinophil count </w:t>
      </w:r>
      <w:r w:rsidR="00DA7D8D">
        <w:t xml:space="preserve">at least </w:t>
      </w:r>
      <w:r w:rsidRPr="002179DB">
        <w:t>300</w:t>
      </w:r>
      <w:r w:rsidR="00DA7D8D">
        <w:t> </w:t>
      </w:r>
      <w:r w:rsidRPr="002179DB">
        <w:t>cells/</w:t>
      </w:r>
      <w:proofErr w:type="spellStart"/>
      <w:r w:rsidRPr="002179DB">
        <w:t>μL</w:t>
      </w:r>
      <w:proofErr w:type="spellEnd"/>
      <w:r w:rsidRPr="002179DB">
        <w:t xml:space="preserve"> group and 0.054 (</w:t>
      </w:r>
      <w:r w:rsidR="00DA7D8D">
        <w:t>−</w:t>
      </w:r>
      <w:r w:rsidRPr="002179DB">
        <w:t xml:space="preserve">0.082 to 0.191) L for the eosinophil count </w:t>
      </w:r>
      <w:r w:rsidR="00DA7D8D">
        <w:t xml:space="preserve">below </w:t>
      </w:r>
      <w:r w:rsidRPr="002179DB">
        <w:t>300</w:t>
      </w:r>
      <w:r w:rsidR="00DA7D8D">
        <w:t> </w:t>
      </w:r>
      <w:r w:rsidRPr="002179DB">
        <w:t>cells/</w:t>
      </w:r>
      <w:proofErr w:type="spellStart"/>
      <w:r w:rsidRPr="002179DB">
        <w:t>μL</w:t>
      </w:r>
      <w:proofErr w:type="spellEnd"/>
      <w:r w:rsidRPr="002179DB">
        <w:t xml:space="preserve"> group. For the </w:t>
      </w:r>
      <w:r w:rsidR="00661E83">
        <w:t>210 mg</w:t>
      </w:r>
      <w:r w:rsidRPr="002179DB">
        <w:t xml:space="preserve"> </w:t>
      </w:r>
      <w:r w:rsidR="00661E83">
        <w:t>Q4W</w:t>
      </w:r>
      <w:r w:rsidRPr="002179DB">
        <w:t xml:space="preserve"> dose level the LS mean difference (95% CI) in FEV</w:t>
      </w:r>
      <w:r w:rsidRPr="00DA7D8D">
        <w:rPr>
          <w:vertAlign w:val="subscript"/>
        </w:rPr>
        <w:t>1</w:t>
      </w:r>
      <w:r w:rsidRPr="002179DB">
        <w:t xml:space="preserve"> compared to placebo was 0.215 (0.054 to 0.375) L for the </w:t>
      </w:r>
      <w:proofErr w:type="spellStart"/>
      <w:r w:rsidRPr="002179DB">
        <w:t>FeNO</w:t>
      </w:r>
      <w:proofErr w:type="spellEnd"/>
      <w:r w:rsidRPr="002179DB">
        <w:t xml:space="preserve"> </w:t>
      </w:r>
      <w:r w:rsidR="00994F05">
        <w:t xml:space="preserve">of at least </w:t>
      </w:r>
      <w:r w:rsidRPr="002179DB">
        <w:t>24</w:t>
      </w:r>
      <w:r w:rsidR="00994F05">
        <w:t> </w:t>
      </w:r>
      <w:r w:rsidRPr="002179DB">
        <w:t>ppb group and 0.066 (</w:t>
      </w:r>
      <w:r w:rsidR="00994F05">
        <w:t>−</w:t>
      </w:r>
      <w:r w:rsidRPr="002179DB">
        <w:t xml:space="preserve">0.057 to 0.189) L for the </w:t>
      </w:r>
      <w:proofErr w:type="spellStart"/>
      <w:r w:rsidRPr="002179DB">
        <w:t>FeNO</w:t>
      </w:r>
      <w:proofErr w:type="spellEnd"/>
      <w:r w:rsidRPr="002179DB">
        <w:t xml:space="preserve"> </w:t>
      </w:r>
      <w:r w:rsidR="00994F05">
        <w:t xml:space="preserve">below </w:t>
      </w:r>
      <w:r w:rsidRPr="002179DB">
        <w:t>24</w:t>
      </w:r>
      <w:r w:rsidR="00994F05">
        <w:t> </w:t>
      </w:r>
      <w:r w:rsidRPr="002179DB">
        <w:t>ppb group.</w:t>
      </w:r>
    </w:p>
    <w:p w14:paraId="3A25A1D7" w14:textId="6AE2AEB9" w:rsidR="002179DB" w:rsidRPr="002179DB" w:rsidRDefault="002179DB" w:rsidP="00FF3D47">
      <w:pPr>
        <w:pStyle w:val="Heading7"/>
      </w:pPr>
      <w:r w:rsidRPr="002179DB">
        <w:t>Adolescent participants</w:t>
      </w:r>
    </w:p>
    <w:p w14:paraId="50BE93AA" w14:textId="0B6D4128" w:rsidR="002179DB" w:rsidRPr="002179DB" w:rsidRDefault="002179DB" w:rsidP="002179DB">
      <w:r w:rsidRPr="002179DB">
        <w:t xml:space="preserve">A total of 82 adolescents were included in the NAVIGATOR study with 41 adolescents in each treatment group. Baseline demographic characteristics for adolescent subjects were reasonably </w:t>
      </w:r>
      <w:r w:rsidRPr="002179DB">
        <w:lastRenderedPageBreak/>
        <w:t xml:space="preserve">well balanced in the </w:t>
      </w:r>
      <w:r w:rsidR="006031A0">
        <w:t>2</w:t>
      </w:r>
      <w:r w:rsidRPr="002179DB">
        <w:t xml:space="preserve"> treatment groups. Baseline demographic characteristics in the total adolescent population (n = 82) were: mean (SD) age = 14.7 (1.6) years; predominantly female = 53.7%; predominantly White = 70.7%; predominantly not Hispanic or Latino = 63.4%; mean (SD) height = 162.43 (8.50) cm; mean (SD) weight = 59.63 (14.13) kg; and mean (SD) BMI = 22.56 (5.0) kg/m</w:t>
      </w:r>
      <w:r w:rsidRPr="00E960F3">
        <w:rPr>
          <w:vertAlign w:val="superscript"/>
        </w:rPr>
        <w:t>2</w:t>
      </w:r>
      <w:r w:rsidRPr="002179DB">
        <w:t>. Approximately 50% of subjects were randomised in South America. No adolescent subjects were randomised in Australia.</w:t>
      </w:r>
    </w:p>
    <w:p w14:paraId="3A33C370" w14:textId="5A9D999D" w:rsidR="002179DB" w:rsidRPr="002179DB" w:rsidRDefault="002179DB" w:rsidP="002179DB">
      <w:r w:rsidRPr="002179DB">
        <w:t xml:space="preserve">In the adolescent subgroup, there was an imbalance in the proportion of subjects with blood eosinophil levels </w:t>
      </w:r>
      <w:r w:rsidR="00CB4E73">
        <w:t>below</w:t>
      </w:r>
      <w:r w:rsidRPr="002179DB">
        <w:t xml:space="preserve"> 300</w:t>
      </w:r>
      <w:r w:rsidR="00CB4E73">
        <w:t> </w:t>
      </w:r>
      <w:r w:rsidRPr="002179DB">
        <w:t>cells/</w:t>
      </w:r>
      <w:proofErr w:type="spellStart"/>
      <w:r w:rsidRPr="002179DB">
        <w:t>μL</w:t>
      </w:r>
      <w:proofErr w:type="spellEnd"/>
      <w:r w:rsidRPr="002179DB">
        <w:t xml:space="preserve"> (56.1% in the </w:t>
      </w:r>
      <w:proofErr w:type="spellStart"/>
      <w:r w:rsidRPr="002179DB">
        <w:t>tezepelumab</w:t>
      </w:r>
      <w:proofErr w:type="spellEnd"/>
      <w:r w:rsidRPr="002179DB">
        <w:t xml:space="preserve"> and 34.1% in the placebo), blood eosinophils </w:t>
      </w:r>
      <w:r w:rsidR="00CB4E73">
        <w:t>of at least</w:t>
      </w:r>
      <w:r w:rsidRPr="002179DB">
        <w:t xml:space="preserve"> 300</w:t>
      </w:r>
      <w:r w:rsidR="00CB4E73">
        <w:t> </w:t>
      </w:r>
      <w:r w:rsidRPr="002179DB">
        <w:t>cells/</w:t>
      </w:r>
      <w:proofErr w:type="spellStart"/>
      <w:r w:rsidRPr="002179DB">
        <w:t>μL</w:t>
      </w:r>
      <w:proofErr w:type="spellEnd"/>
      <w:r w:rsidRPr="002179DB">
        <w:t xml:space="preserve"> (43.9% in </w:t>
      </w:r>
      <w:proofErr w:type="spellStart"/>
      <w:r w:rsidRPr="002179DB">
        <w:t>tezepelumab</w:t>
      </w:r>
      <w:proofErr w:type="spellEnd"/>
      <w:r w:rsidRPr="002179DB">
        <w:t xml:space="preserve">, 65.9% in placebo), and blood eosinophils </w:t>
      </w:r>
      <w:r w:rsidR="00CB4E73">
        <w:t>below</w:t>
      </w:r>
      <w:r w:rsidRPr="002179DB">
        <w:t xml:space="preserve"> 150</w:t>
      </w:r>
      <w:r w:rsidR="00CB4E73">
        <w:t> </w:t>
      </w:r>
      <w:r w:rsidRPr="002179DB">
        <w:t>cells/</w:t>
      </w:r>
      <w:proofErr w:type="spellStart"/>
      <w:r w:rsidRPr="002179DB">
        <w:t>μL</w:t>
      </w:r>
      <w:proofErr w:type="spellEnd"/>
      <w:r w:rsidRPr="002179DB">
        <w:t xml:space="preserve"> (19.5% in the </w:t>
      </w:r>
      <w:proofErr w:type="spellStart"/>
      <w:r w:rsidRPr="002179DB">
        <w:t>tezepelumab</w:t>
      </w:r>
      <w:proofErr w:type="spellEnd"/>
      <w:r w:rsidRPr="002179DB">
        <w:t xml:space="preserve"> and 14.6% in the placebo). There was also an imbalance between treatment groups in </w:t>
      </w:r>
      <w:proofErr w:type="spellStart"/>
      <w:r w:rsidRPr="002179DB">
        <w:t>FeNO</w:t>
      </w:r>
      <w:proofErr w:type="spellEnd"/>
      <w:r w:rsidRPr="002179DB">
        <w:t xml:space="preserve"> levels, ICS dose, and perennial aeroallergen-specific IgE results, with 26.8% of subjects with </w:t>
      </w:r>
      <w:proofErr w:type="spellStart"/>
      <w:r w:rsidRPr="002179DB">
        <w:t>FeNO</w:t>
      </w:r>
      <w:proofErr w:type="spellEnd"/>
      <w:r w:rsidRPr="002179DB">
        <w:t xml:space="preserve"> </w:t>
      </w:r>
      <w:r w:rsidR="002A6E12">
        <w:t>below</w:t>
      </w:r>
      <w:r w:rsidRPr="002179DB">
        <w:t xml:space="preserve"> 25</w:t>
      </w:r>
      <w:r w:rsidR="002A6E12">
        <w:t> </w:t>
      </w:r>
      <w:r w:rsidRPr="002179DB">
        <w:t xml:space="preserve">ppb in the </w:t>
      </w:r>
      <w:proofErr w:type="spellStart"/>
      <w:r w:rsidRPr="002179DB">
        <w:t>tezepelumab</w:t>
      </w:r>
      <w:proofErr w:type="spellEnd"/>
      <w:r w:rsidRPr="002179DB">
        <w:t xml:space="preserve"> and 39.0% in the placebo group, 63.4% and 51.2% receiving medium-dose ICS in the </w:t>
      </w:r>
      <w:proofErr w:type="spellStart"/>
      <w:r w:rsidRPr="002179DB">
        <w:t>tezepelumab</w:t>
      </w:r>
      <w:proofErr w:type="spellEnd"/>
      <w:r w:rsidRPr="002179DB">
        <w:t xml:space="preserve"> and placebo groups, respectively, and 87.8% and 92.7% adolescents being positive for any perennial aeroallergen-specific IgE in the </w:t>
      </w:r>
      <w:proofErr w:type="spellStart"/>
      <w:r w:rsidRPr="002179DB">
        <w:t>tezepelumab</w:t>
      </w:r>
      <w:proofErr w:type="spellEnd"/>
      <w:r w:rsidRPr="002179DB">
        <w:t xml:space="preserve"> and placebo groups, respectively. One subject in the </w:t>
      </w:r>
      <w:proofErr w:type="spellStart"/>
      <w:r w:rsidRPr="002179DB">
        <w:t>tezepelumab</w:t>
      </w:r>
      <w:proofErr w:type="spellEnd"/>
      <w:r w:rsidRPr="002179DB">
        <w:t xml:space="preserve"> and 2 subjects in the placebo group had nasal polyps, and one subject in the </w:t>
      </w:r>
      <w:proofErr w:type="spellStart"/>
      <w:r w:rsidRPr="002179DB">
        <w:t>tezepelumab</w:t>
      </w:r>
      <w:proofErr w:type="spellEnd"/>
      <w:r w:rsidRPr="002179DB">
        <w:t xml:space="preserve"> group received maintenance OCS.</w:t>
      </w:r>
    </w:p>
    <w:p w14:paraId="6EDD81FE" w14:textId="6AD9E770" w:rsidR="002179DB" w:rsidRPr="002179DB" w:rsidRDefault="002179DB" w:rsidP="002179DB">
      <w:r w:rsidRPr="002179DB">
        <w:t xml:space="preserve">In the adolescent subgroup, there were no statistically significant differences between the </w:t>
      </w:r>
      <w:r w:rsidR="00747F00">
        <w:t>2</w:t>
      </w:r>
      <w:r w:rsidRPr="002179DB">
        <w:t xml:space="preserve"> treatments for the primary efficacy endpoint or any of the key secondary efficacy endpoints. However, the study was not powered to demonstrate a statistically significant difference in the endpoints in the adolescent population. Clinically meaningful numerical improvements were observed in favour of the </w:t>
      </w:r>
      <w:proofErr w:type="spellStart"/>
      <w:r w:rsidRPr="002179DB">
        <w:t>tezepelumab</w:t>
      </w:r>
      <w:proofErr w:type="spellEnd"/>
      <w:r w:rsidRPr="002179DB">
        <w:t xml:space="preserve"> group compared to the placebo group for the AAER and FEV</w:t>
      </w:r>
      <w:r w:rsidRPr="00B108C9">
        <w:rPr>
          <w:vertAlign w:val="subscript"/>
        </w:rPr>
        <w:t>1</w:t>
      </w:r>
      <w:r w:rsidRPr="002179DB">
        <w:t xml:space="preserve"> (AAER ratio 0.70 [95% CI 0.34,1.46]) and lung function (LS</w:t>
      </w:r>
      <w:r w:rsidR="00637763">
        <w:t xml:space="preserve"> m</w:t>
      </w:r>
      <w:r w:rsidRPr="002179DB">
        <w:t>ean change versus placebo was 0.17 L [95% CI -0.01, 0.35]) compared with placebo, with no differences versus placebo observed in the patient reported outcomes of ACQ-6, AQLQ(S)+12, or ASD (</w:t>
      </w:r>
      <w:r w:rsidR="00130834">
        <w:t>see table below</w:t>
      </w:r>
      <w:r w:rsidRPr="002179DB">
        <w:t>)</w:t>
      </w:r>
      <w:r w:rsidR="00130834">
        <w:t>.</w:t>
      </w:r>
    </w:p>
    <w:p w14:paraId="42D0D31A" w14:textId="039A5681" w:rsidR="002179DB" w:rsidRDefault="002179DB" w:rsidP="002179DB">
      <w:r w:rsidRPr="002179DB">
        <w:t xml:space="preserve">The numerical differences between </w:t>
      </w:r>
      <w:proofErr w:type="spellStart"/>
      <w:r w:rsidRPr="002179DB">
        <w:t>tezepelumab</w:t>
      </w:r>
      <w:proofErr w:type="spellEnd"/>
      <w:r w:rsidRPr="002179DB">
        <w:t xml:space="preserve"> and placebo for the primary efficacy and key secondary efficacy endpoints were greater in the </w:t>
      </w:r>
      <w:r w:rsidR="00130834">
        <w:t>2</w:t>
      </w:r>
      <w:r w:rsidRPr="002179DB">
        <w:t xml:space="preserve"> adult subgroups than in the adolescent subgroup, suggesting that </w:t>
      </w:r>
      <w:proofErr w:type="spellStart"/>
      <w:r w:rsidRPr="002179DB">
        <w:t>tezepelumab</w:t>
      </w:r>
      <w:proofErr w:type="spellEnd"/>
      <w:r w:rsidRPr="002179DB">
        <w:t xml:space="preserve"> is more effective for the treatment of adult subjects compared with adolescent subjects.</w:t>
      </w:r>
    </w:p>
    <w:p w14:paraId="764513D8" w14:textId="13E44B8D" w:rsidR="00DF1EE2" w:rsidRDefault="00127A61" w:rsidP="00127A61">
      <w:pPr>
        <w:pStyle w:val="TableTitle"/>
      </w:pPr>
      <w:r>
        <w:lastRenderedPageBreak/>
        <w:t xml:space="preserve">Table </w:t>
      </w:r>
      <w:r>
        <w:fldChar w:fldCharType="begin"/>
      </w:r>
      <w:r>
        <w:instrText xml:space="preserve"> SEQ Table \* ARABIC </w:instrText>
      </w:r>
      <w:r>
        <w:fldChar w:fldCharType="separate"/>
      </w:r>
      <w:r w:rsidR="005657B1">
        <w:rPr>
          <w:noProof/>
        </w:rPr>
        <w:t>10</w:t>
      </w:r>
      <w:r>
        <w:fldChar w:fldCharType="end"/>
      </w:r>
      <w:r>
        <w:t>: NAVIGATOR Primary and key secondary endpoints in adolescents (full analysis set)</w:t>
      </w:r>
    </w:p>
    <w:p w14:paraId="3D463B56" w14:textId="7C34959D" w:rsidR="00DF1EE2" w:rsidRDefault="00127A61" w:rsidP="002179DB">
      <w:r>
        <w:rPr>
          <w:noProof/>
        </w:rPr>
        <w:drawing>
          <wp:inline distT="0" distB="0" distL="0" distR="0" wp14:anchorId="085CAF22" wp14:editId="52C7DB23">
            <wp:extent cx="4951562" cy="3561631"/>
            <wp:effectExtent l="0" t="0" r="1905" b="1270"/>
            <wp:docPr id="1025096065" name="Picture 1" descr="Table 10: NAVIGATOR Primary and key secondary endpoints in adolescen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6065" name="Picture 1" descr="Table 10: NAVIGATOR Primary and key secondary endpoints in adolescents (full analysis set)"/>
                    <pic:cNvPicPr/>
                  </pic:nvPicPr>
                  <pic:blipFill>
                    <a:blip r:embed="rId35"/>
                    <a:stretch>
                      <a:fillRect/>
                    </a:stretch>
                  </pic:blipFill>
                  <pic:spPr>
                    <a:xfrm>
                      <a:off x="0" y="0"/>
                      <a:ext cx="4957912" cy="3566199"/>
                    </a:xfrm>
                    <a:prstGeom prst="rect">
                      <a:avLst/>
                    </a:prstGeom>
                  </pic:spPr>
                </pic:pic>
              </a:graphicData>
            </a:graphic>
          </wp:inline>
        </w:drawing>
      </w:r>
    </w:p>
    <w:p w14:paraId="415E8577" w14:textId="447CAD95" w:rsidR="00DF1EE2" w:rsidRDefault="00127A61" w:rsidP="00127A61">
      <w:pPr>
        <w:pStyle w:val="TableDescription"/>
      </w:pPr>
      <w:r w:rsidRPr="00127A61">
        <w:t xml:space="preserve">AAER </w:t>
      </w:r>
      <w:r>
        <w:t xml:space="preserve">= </w:t>
      </w:r>
      <w:r w:rsidRPr="00127A61">
        <w:t>annual asthma exacerbation rate; ACQ-6</w:t>
      </w:r>
      <w:r>
        <w:t xml:space="preserve"> = </w:t>
      </w:r>
      <w:r w:rsidRPr="00127A61">
        <w:t>Asthma Control Questionnaire-6; AQLQ(S)+12</w:t>
      </w:r>
      <w:r>
        <w:t xml:space="preserve"> = </w:t>
      </w:r>
      <w:r w:rsidRPr="00127A61">
        <w:t>Standardised</w:t>
      </w:r>
      <w:r>
        <w:t xml:space="preserve"> </w:t>
      </w:r>
      <w:r w:rsidRPr="00127A61">
        <w:t>Asthma Quality of Life Questionnaire for Ages 12 and Older; ASD</w:t>
      </w:r>
      <w:r>
        <w:t xml:space="preserve"> =</w:t>
      </w:r>
      <w:r w:rsidRPr="00127A61">
        <w:t xml:space="preserve"> Asthma Symptom Diary; CI</w:t>
      </w:r>
      <w:r>
        <w:t xml:space="preserve"> = </w:t>
      </w:r>
      <w:r w:rsidRPr="00127A61">
        <w:t>confidence</w:t>
      </w:r>
      <w:r>
        <w:t xml:space="preserve"> </w:t>
      </w:r>
      <w:r w:rsidRPr="00127A61">
        <w:t>interval; FEV1</w:t>
      </w:r>
      <w:r>
        <w:t xml:space="preserve"> = </w:t>
      </w:r>
      <w:r w:rsidRPr="00127A61">
        <w:t>forced exhalation volume in one second; LS</w:t>
      </w:r>
      <w:r>
        <w:t xml:space="preserve"> =</w:t>
      </w:r>
      <w:r w:rsidRPr="00127A61">
        <w:t xml:space="preserve"> least squares; Q4W</w:t>
      </w:r>
      <w:r>
        <w:t xml:space="preserve"> =</w:t>
      </w:r>
      <w:r w:rsidRPr="00127A61">
        <w:t xml:space="preserve"> every 4 weeks.</w:t>
      </w:r>
    </w:p>
    <w:p w14:paraId="7ED673B0" w14:textId="3F72E16B" w:rsidR="002179DB" w:rsidRPr="002179DB" w:rsidRDefault="002179DB" w:rsidP="002179DB">
      <w:r w:rsidRPr="002179DB">
        <w:t>An analysis of annual asthma exacerbation rate in adolescent participants was performed to adjust for differences between the treatment groups in these baseline characteristics. The results confirmed that there was no or minimal impact of any of these imbalances on the AAER treatment effect in adolescents or the other age groups.</w:t>
      </w:r>
    </w:p>
    <w:p w14:paraId="5E1C2C81" w14:textId="77777777" w:rsidR="00BE01C9" w:rsidRPr="00BE01C9" w:rsidRDefault="00BE01C9" w:rsidP="00FF3D47">
      <w:pPr>
        <w:pStyle w:val="Heading5"/>
        <w:rPr>
          <w:rFonts w:eastAsia="TimesNewRoman"/>
        </w:rPr>
      </w:pPr>
      <w:r w:rsidRPr="00BE01C9">
        <w:rPr>
          <w:rFonts w:eastAsia="TimesNewRoman"/>
        </w:rPr>
        <w:t>SOURCE</w:t>
      </w:r>
    </w:p>
    <w:p w14:paraId="79E42D79" w14:textId="2237A7B1" w:rsidR="00BE01C9" w:rsidRPr="00BE01C9" w:rsidRDefault="00BE01C9" w:rsidP="00BE01C9">
      <w:r w:rsidRPr="00BE01C9">
        <w:t>S</w:t>
      </w:r>
      <w:r w:rsidR="00F15C8C">
        <w:t>OURCE</w:t>
      </w:r>
      <w:r w:rsidRPr="00BE01C9">
        <w:t xml:space="preserve"> evaluated the efficacy and safety of </w:t>
      </w:r>
      <w:proofErr w:type="spellStart"/>
      <w:r w:rsidRPr="00BE01C9">
        <w:t>tezepelumab</w:t>
      </w:r>
      <w:proofErr w:type="spellEnd"/>
      <w:r w:rsidRPr="00BE01C9">
        <w:t xml:space="preserve"> in reducing oral corticosteroid use in 150 adults with OCS-dependent (</w:t>
      </w:r>
      <w:r w:rsidR="00444E4D">
        <w:t xml:space="preserve">at least </w:t>
      </w:r>
      <w:r w:rsidRPr="00BE01C9">
        <w:t>7.5</w:t>
      </w:r>
      <w:r w:rsidR="00444E4D">
        <w:t> mg and up</w:t>
      </w:r>
      <w:r w:rsidRPr="00BE01C9">
        <w:t xml:space="preserve"> to 30</w:t>
      </w:r>
      <w:r w:rsidR="00F15C8C">
        <w:t> </w:t>
      </w:r>
      <w:r w:rsidRPr="00BE01C9">
        <w:t xml:space="preserve">mg) asthma. Participants were also on high-dose ICS and a LABA. The primary efficacy measure was the categorised percent reduction in the daily OCS dose at </w:t>
      </w:r>
      <w:r w:rsidR="00B0225A">
        <w:t>W</w:t>
      </w:r>
      <w:r w:rsidRPr="00BE01C9">
        <w:t>eek</w:t>
      </w:r>
      <w:r w:rsidR="00B0225A">
        <w:t> </w:t>
      </w:r>
      <w:r w:rsidRPr="00BE01C9">
        <w:t xml:space="preserve">48 whilst maintaining asthma control. Secondary outcomes included </w:t>
      </w:r>
      <w:r w:rsidR="00B0225A">
        <w:t>AAER</w:t>
      </w:r>
      <w:r w:rsidRPr="00BE01C9">
        <w:t>, lung function, quality of life and symptoms.</w:t>
      </w:r>
    </w:p>
    <w:p w14:paraId="41B16847" w14:textId="0852BECC" w:rsidR="00BE01C9" w:rsidRPr="00BE01C9" w:rsidRDefault="00BE01C9" w:rsidP="00BE01C9">
      <w:r w:rsidRPr="00BE01C9">
        <w:t>Of 150 randomised</w:t>
      </w:r>
      <w:r w:rsidR="00B0225A">
        <w:t xml:space="preserve"> subjects</w:t>
      </w:r>
      <w:r w:rsidRPr="00BE01C9">
        <w:t xml:space="preserve"> (74 to </w:t>
      </w:r>
      <w:proofErr w:type="spellStart"/>
      <w:r w:rsidR="00B0225A">
        <w:t>t</w:t>
      </w:r>
      <w:r w:rsidRPr="00BE01C9">
        <w:t>ezepelumab</w:t>
      </w:r>
      <w:proofErr w:type="spellEnd"/>
      <w:r w:rsidRPr="00BE01C9">
        <w:t xml:space="preserve">, 76 </w:t>
      </w:r>
      <w:r w:rsidR="00B0225A">
        <w:t xml:space="preserve">to </w:t>
      </w:r>
      <w:r w:rsidRPr="00BE01C9">
        <w:t>placebo)</w:t>
      </w:r>
      <w:r w:rsidR="00011880">
        <w:t>,</w:t>
      </w:r>
      <w:r w:rsidRPr="00BE01C9">
        <w:t xml:space="preserve"> all were included in efficacy and safety analyses. There were 68 </w:t>
      </w:r>
      <w:r w:rsidR="00011880">
        <w:t xml:space="preserve">subjects </w:t>
      </w:r>
      <w:r w:rsidRPr="00BE01C9">
        <w:t xml:space="preserve">(91.9%) in the </w:t>
      </w:r>
      <w:proofErr w:type="spellStart"/>
      <w:r w:rsidRPr="00BE01C9">
        <w:t>tezepelumab</w:t>
      </w:r>
      <w:proofErr w:type="spellEnd"/>
      <w:r w:rsidRPr="00BE01C9">
        <w:t xml:space="preserve"> </w:t>
      </w:r>
      <w:r w:rsidR="00011880">
        <w:t xml:space="preserve">group </w:t>
      </w:r>
      <w:r w:rsidRPr="00BE01C9">
        <w:t xml:space="preserve">and 73 (96.1%) in the placebo </w:t>
      </w:r>
      <w:r w:rsidR="00011880">
        <w:t xml:space="preserve">group </w:t>
      </w:r>
      <w:r w:rsidRPr="00BE01C9">
        <w:t xml:space="preserve">who completed the study. There were </w:t>
      </w:r>
      <w:r w:rsidR="00011880">
        <w:t>8</w:t>
      </w:r>
      <w:r w:rsidRPr="00BE01C9">
        <w:t xml:space="preserve"> </w:t>
      </w:r>
      <w:r w:rsidR="00011880">
        <w:t xml:space="preserve">subjects </w:t>
      </w:r>
      <w:r w:rsidRPr="00BE01C9">
        <w:t xml:space="preserve">(10.8%) in the </w:t>
      </w:r>
      <w:proofErr w:type="spellStart"/>
      <w:r w:rsidRPr="00BE01C9">
        <w:t>tezepelumab</w:t>
      </w:r>
      <w:proofErr w:type="spellEnd"/>
      <w:r w:rsidRPr="00BE01C9">
        <w:t xml:space="preserve"> </w:t>
      </w:r>
      <w:r w:rsidR="00011880">
        <w:t xml:space="preserve">group </w:t>
      </w:r>
      <w:r w:rsidRPr="00BE01C9">
        <w:t xml:space="preserve">and </w:t>
      </w:r>
      <w:r w:rsidR="00011880">
        <w:t>5</w:t>
      </w:r>
      <w:r w:rsidRPr="00BE01C9">
        <w:t xml:space="preserve"> </w:t>
      </w:r>
      <w:r w:rsidR="00011880">
        <w:t xml:space="preserve">subjects </w:t>
      </w:r>
      <w:r w:rsidRPr="00BE01C9">
        <w:t xml:space="preserve">(6.6%) in the placebo </w:t>
      </w:r>
      <w:r w:rsidR="00011880">
        <w:t xml:space="preserve">group </w:t>
      </w:r>
      <w:r w:rsidRPr="00BE01C9">
        <w:t xml:space="preserve">who discontinued treatment, and one death in the </w:t>
      </w:r>
      <w:proofErr w:type="spellStart"/>
      <w:r w:rsidRPr="00BE01C9">
        <w:t>tezepelumab</w:t>
      </w:r>
      <w:proofErr w:type="spellEnd"/>
      <w:r w:rsidRPr="00BE01C9">
        <w:t xml:space="preserve"> group.</w:t>
      </w:r>
    </w:p>
    <w:p w14:paraId="4DFA463B" w14:textId="167CE262" w:rsidR="00BE01C9" w:rsidRPr="00BE01C9" w:rsidRDefault="00BE01C9" w:rsidP="00BE01C9">
      <w:r w:rsidRPr="00BE01C9">
        <w:t>Most participants were White (84%) and female (62.7%) with a median age of 53.4 years, a mean BMI of 28, median FEV</w:t>
      </w:r>
      <w:r w:rsidRPr="00AF230A">
        <w:rPr>
          <w:vertAlign w:val="subscript"/>
        </w:rPr>
        <w:t>1</w:t>
      </w:r>
      <w:r w:rsidRPr="00BE01C9">
        <w:t>/</w:t>
      </w:r>
      <w:r w:rsidR="00127A61">
        <w:t>forced vital capacity</w:t>
      </w:r>
      <w:r w:rsidRPr="00BE01C9">
        <w:t xml:space="preserve"> pre-bronchodilator of 52% and the median exacerbation frequency over the preceding 12 months was 2. All were treated with OCS (median 10</w:t>
      </w:r>
      <w:r w:rsidR="00670E5E">
        <w:t> </w:t>
      </w:r>
      <w:r w:rsidRPr="00BE01C9">
        <w:t xml:space="preserve">mg). Baseline characteristics were similar for the </w:t>
      </w:r>
      <w:r w:rsidR="00670E5E">
        <w:t>2</w:t>
      </w:r>
      <w:r w:rsidRPr="00BE01C9">
        <w:t xml:space="preserve"> treatment groups.</w:t>
      </w:r>
    </w:p>
    <w:p w14:paraId="1565287E" w14:textId="36845797" w:rsidR="00BE01C9" w:rsidRDefault="00BE01C9" w:rsidP="00BE01C9">
      <w:r w:rsidRPr="00BE01C9">
        <w:t xml:space="preserve">In terms of the primary efficacy outcome measure there was no significant difference between </w:t>
      </w:r>
      <w:proofErr w:type="spellStart"/>
      <w:r w:rsidRPr="00BE01C9">
        <w:t>tezepelumab</w:t>
      </w:r>
      <w:proofErr w:type="spellEnd"/>
      <w:r w:rsidRPr="00BE01C9">
        <w:t xml:space="preserve"> and placebo [</w:t>
      </w:r>
      <w:r w:rsidRPr="00784FD4">
        <w:t>O</w:t>
      </w:r>
      <w:r w:rsidR="00784FD4" w:rsidRPr="00784FD4">
        <w:t>dds Ratio (O</w:t>
      </w:r>
      <w:r w:rsidRPr="00784FD4">
        <w:t>R</w:t>
      </w:r>
      <w:r w:rsidR="00784FD4" w:rsidRPr="00784FD4">
        <w:t>)</w:t>
      </w:r>
      <w:r w:rsidRPr="00BE01C9">
        <w:t xml:space="preserve"> (95% CI) 1.28 (0.69 to 2.35), p = 0.434</w:t>
      </w:r>
      <w:r w:rsidR="002148E9">
        <w:t>]</w:t>
      </w:r>
      <w:r w:rsidRPr="00BE01C9">
        <w:t xml:space="preserve"> (</w:t>
      </w:r>
      <w:r w:rsidR="002148E9">
        <w:t>see table below</w:t>
      </w:r>
      <w:r w:rsidRPr="00BE01C9">
        <w:t>)</w:t>
      </w:r>
      <w:r w:rsidR="002148E9">
        <w:t>.</w:t>
      </w:r>
      <w:r w:rsidRPr="00BE01C9">
        <w:t xml:space="preserve"> There is a high rate of OCS reduction in both groups with 74% of </w:t>
      </w:r>
      <w:r w:rsidR="003A1D70">
        <w:t xml:space="preserve">the </w:t>
      </w:r>
      <w:proofErr w:type="spellStart"/>
      <w:r w:rsidR="003A1D70">
        <w:t>t</w:t>
      </w:r>
      <w:r w:rsidRPr="00BE01C9">
        <w:t>ezepelumab</w:t>
      </w:r>
      <w:proofErr w:type="spellEnd"/>
      <w:r w:rsidRPr="00BE01C9">
        <w:t xml:space="preserve"> </w:t>
      </w:r>
      <w:r w:rsidR="003A1D70">
        <w:t xml:space="preserve">group </w:t>
      </w:r>
      <w:r w:rsidRPr="00BE01C9">
        <w:t xml:space="preserve">and 70% of </w:t>
      </w:r>
      <w:r w:rsidR="003A1D70">
        <w:t xml:space="preserve">the </w:t>
      </w:r>
      <w:r w:rsidRPr="00BE01C9">
        <w:t xml:space="preserve">placebo </w:t>
      </w:r>
      <w:r w:rsidR="003A1D70">
        <w:t xml:space="preserve">group </w:t>
      </w:r>
      <w:r w:rsidRPr="00BE01C9">
        <w:t xml:space="preserve">having </w:t>
      </w:r>
      <w:r w:rsidR="003A1D70">
        <w:t xml:space="preserve">at least </w:t>
      </w:r>
      <w:r w:rsidRPr="00BE01C9">
        <w:t xml:space="preserve">50% reduction in their steroid dosage and 54% </w:t>
      </w:r>
      <w:r w:rsidRPr="00BE01C9">
        <w:lastRenderedPageBreak/>
        <w:t xml:space="preserve">and 46% having </w:t>
      </w:r>
      <w:r w:rsidR="003A1D70">
        <w:t>at least</w:t>
      </w:r>
      <w:r w:rsidRPr="00BE01C9">
        <w:t xml:space="preserve"> 90% reduction. There was no difference in mean daily exposure of systemic corticosteroids over 48</w:t>
      </w:r>
      <w:r w:rsidR="00410C26">
        <w:t> </w:t>
      </w:r>
      <w:r w:rsidRPr="00BE01C9">
        <w:t xml:space="preserve">weeks. However, there was benefit for patients with eosinophils </w:t>
      </w:r>
      <w:r w:rsidR="00410C26">
        <w:t xml:space="preserve">of at least </w:t>
      </w:r>
      <w:r w:rsidRPr="00BE01C9">
        <w:t>300</w:t>
      </w:r>
      <w:r w:rsidR="00410C26">
        <w:t> </w:t>
      </w:r>
      <w:r w:rsidRPr="00BE01C9">
        <w:t>cells/</w:t>
      </w:r>
      <w:proofErr w:type="spellStart"/>
      <w:r w:rsidRPr="00BE01C9">
        <w:t>μL</w:t>
      </w:r>
      <w:proofErr w:type="spellEnd"/>
      <w:r w:rsidRPr="00BE01C9">
        <w:t xml:space="preserve">, </w:t>
      </w:r>
      <w:r w:rsidR="00410C26">
        <w:t>[</w:t>
      </w:r>
      <w:r w:rsidRPr="00BE01C9">
        <w:t>OR (95% CI) 3.49 (1.16 to 10.49)</w:t>
      </w:r>
      <w:r w:rsidR="00DD083D">
        <w:t>]</w:t>
      </w:r>
      <w:r w:rsidRPr="00BE01C9">
        <w:t xml:space="preserve">, and eosinophils </w:t>
      </w:r>
      <w:r w:rsidR="00DD083D">
        <w:t xml:space="preserve">of at least </w:t>
      </w:r>
      <w:r w:rsidRPr="00BE01C9">
        <w:t>150</w:t>
      </w:r>
      <w:r w:rsidR="00DD083D">
        <w:t> </w:t>
      </w:r>
      <w:r w:rsidRPr="00BE01C9">
        <w:t>cells/</w:t>
      </w:r>
      <w:proofErr w:type="spellStart"/>
      <w:r w:rsidRPr="00BE01C9">
        <w:t>μL</w:t>
      </w:r>
      <w:proofErr w:type="spellEnd"/>
      <w:r w:rsidR="00DD083D">
        <w:t xml:space="preserve"> [OR </w:t>
      </w:r>
      <w:r w:rsidR="009D0E1E">
        <w:t xml:space="preserve">(95% CI) </w:t>
      </w:r>
      <w:r w:rsidRPr="00BE01C9">
        <w:t>2.58 (1.16 to 5.75)</w:t>
      </w:r>
      <w:r w:rsidR="009D0E1E">
        <w:t>]</w:t>
      </w:r>
      <w:r w:rsidRPr="00BE01C9">
        <w:t xml:space="preserve">. There was no subgroup effect for </w:t>
      </w:r>
      <w:proofErr w:type="spellStart"/>
      <w:r w:rsidRPr="00BE01C9">
        <w:t>FeNO</w:t>
      </w:r>
      <w:proofErr w:type="spellEnd"/>
      <w:r w:rsidRPr="00BE01C9">
        <w:t xml:space="preserve"> or IgE status.</w:t>
      </w:r>
    </w:p>
    <w:p w14:paraId="3C82DFE0" w14:textId="27C6B891" w:rsidR="00CA2135" w:rsidRPr="00BE01C9" w:rsidRDefault="00CA2135" w:rsidP="00CA2135">
      <w:pPr>
        <w:pStyle w:val="TableTitle"/>
      </w:pPr>
      <w:r>
        <w:t xml:space="preserve">Table </w:t>
      </w:r>
      <w:r>
        <w:fldChar w:fldCharType="begin"/>
      </w:r>
      <w:r>
        <w:instrText xml:space="preserve"> SEQ Table \* ARABIC </w:instrText>
      </w:r>
      <w:r>
        <w:fldChar w:fldCharType="separate"/>
      </w:r>
      <w:r w:rsidR="005657B1">
        <w:rPr>
          <w:noProof/>
        </w:rPr>
        <w:t>11</w:t>
      </w:r>
      <w:r>
        <w:fldChar w:fldCharType="end"/>
      </w:r>
      <w:r>
        <w:t>: SOURCE Proportion</w:t>
      </w:r>
      <w:r w:rsidRPr="00CA2135">
        <w:t xml:space="preserve"> of </w:t>
      </w:r>
      <w:r>
        <w:t>s</w:t>
      </w:r>
      <w:r w:rsidRPr="00CA2135">
        <w:t xml:space="preserve">ubjects in </w:t>
      </w:r>
      <w:r>
        <w:t>d</w:t>
      </w:r>
      <w:r w:rsidRPr="00CA2135">
        <w:t xml:space="preserve">ifferent </w:t>
      </w:r>
      <w:r>
        <w:t>c</w:t>
      </w:r>
      <w:r w:rsidRPr="00CA2135">
        <w:t xml:space="preserve">ategories </w:t>
      </w:r>
      <w:r>
        <w:t>b</w:t>
      </w:r>
      <w:r w:rsidRPr="00CA2135">
        <w:t xml:space="preserve">ased on % </w:t>
      </w:r>
      <w:r>
        <w:t>r</w:t>
      </w:r>
      <w:r w:rsidRPr="00CA2135">
        <w:t>eduction from Baseline in Final Daily OCS Dose at Week 48</w:t>
      </w:r>
      <w:r>
        <w:t xml:space="preserve"> - </w:t>
      </w:r>
      <w:r w:rsidRPr="00CA2135">
        <w:t>Proportional Odds Model, Planned Treatment (F</w:t>
      </w:r>
      <w:r>
        <w:t>ull analysis set</w:t>
      </w:r>
      <w:r w:rsidRPr="00CA2135">
        <w:t>)</w:t>
      </w:r>
    </w:p>
    <w:p w14:paraId="795FA962" w14:textId="77777777" w:rsidR="00BE01C9" w:rsidRPr="00BE01C9" w:rsidRDefault="00BE01C9" w:rsidP="00BE01C9">
      <w:r w:rsidRPr="00BE01C9">
        <w:rPr>
          <w:noProof/>
        </w:rPr>
        <w:drawing>
          <wp:inline distT="0" distB="0" distL="0" distR="0" wp14:anchorId="672413A1" wp14:editId="61133244">
            <wp:extent cx="5158596" cy="2100359"/>
            <wp:effectExtent l="0" t="0" r="4445" b="0"/>
            <wp:docPr id="1747309263" name="Picture 20" descr="Table 11: SOURCE Proportion of subjects in different categories based on % reduction from Baseline in Final Daily OCS Dose at Week 48 - Proportional Odds Model, Planned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09263" name="Picture 20" descr="Table 11: SOURCE Proportion of subjects in different categories based on % reduction from Baseline in Final Daily OCS Dose at Week 48 - Proportional Odds Model, Planned Treatment (Full analysis s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4688" cy="2102839"/>
                    </a:xfrm>
                    <a:prstGeom prst="rect">
                      <a:avLst/>
                    </a:prstGeom>
                    <a:noFill/>
                    <a:ln>
                      <a:noFill/>
                    </a:ln>
                  </pic:spPr>
                </pic:pic>
              </a:graphicData>
            </a:graphic>
          </wp:inline>
        </w:drawing>
      </w:r>
    </w:p>
    <w:p w14:paraId="65F210E8" w14:textId="655751ED" w:rsidR="00BE01C9" w:rsidRPr="00BE01C9" w:rsidRDefault="00BE01C9" w:rsidP="00BE01C9">
      <w:bookmarkStart w:id="72" w:name="_Toc290888504"/>
      <w:bookmarkStart w:id="73" w:name="_Toc416353720"/>
      <w:r w:rsidRPr="00BE01C9">
        <w:t xml:space="preserve">For the secondary endpoints, there was no significant difference in AAER overall, mean difference (95% CI) </w:t>
      </w:r>
      <w:r w:rsidR="007F0D36">
        <w:t>−</w:t>
      </w:r>
      <w:r w:rsidRPr="00BE01C9">
        <w:t>0.62 (</w:t>
      </w:r>
      <w:r w:rsidR="007F0D36">
        <w:t>−</w:t>
      </w:r>
      <w:r w:rsidRPr="00BE01C9">
        <w:t>1.40 to 0.15)</w:t>
      </w:r>
      <w:r w:rsidR="007F0D36">
        <w:t xml:space="preserve"> (</w:t>
      </w:r>
      <w:r w:rsidRPr="00BE01C9">
        <w:t>p=0.111</w:t>
      </w:r>
      <w:r w:rsidR="007F0D36">
        <w:t>)</w:t>
      </w:r>
      <w:r w:rsidRPr="00BE01C9">
        <w:t xml:space="preserve"> but, there was benefit for patients with eosinophils </w:t>
      </w:r>
      <w:r w:rsidR="007F0D36">
        <w:t xml:space="preserve">of at least </w:t>
      </w:r>
      <w:r w:rsidRPr="00BE01C9">
        <w:t>300</w:t>
      </w:r>
      <w:r w:rsidR="007F0D36">
        <w:t> </w:t>
      </w:r>
      <w:r w:rsidRPr="00BE01C9">
        <w:t>cells/</w:t>
      </w:r>
      <w:proofErr w:type="spellStart"/>
      <w:r w:rsidRPr="00BE01C9">
        <w:t>μL</w:t>
      </w:r>
      <w:proofErr w:type="spellEnd"/>
      <w:r w:rsidRPr="00BE01C9">
        <w:t xml:space="preserve">, difference (95% CI) </w:t>
      </w:r>
      <w:r w:rsidR="00ED4206">
        <w:t>−</w:t>
      </w:r>
      <w:r w:rsidRPr="00BE01C9">
        <w:t>2.08 (</w:t>
      </w:r>
      <w:r w:rsidR="00ED4206">
        <w:t>−</w:t>
      </w:r>
      <w:r w:rsidRPr="00BE01C9">
        <w:t xml:space="preserve">3.62 to </w:t>
      </w:r>
      <w:r w:rsidR="00ED4206">
        <w:t>−</w:t>
      </w:r>
      <w:r w:rsidRPr="00BE01C9">
        <w:t>0.53); rate ratio (95% CI) 0.29 (0.14 to 0.63). There was an increase in FEV</w:t>
      </w:r>
      <w:r w:rsidRPr="00ED4206">
        <w:rPr>
          <w:vertAlign w:val="subscript"/>
        </w:rPr>
        <w:t>1</w:t>
      </w:r>
      <w:r w:rsidRPr="00BE01C9">
        <w:t xml:space="preserve"> in the </w:t>
      </w:r>
      <w:proofErr w:type="spellStart"/>
      <w:r w:rsidRPr="00BE01C9">
        <w:t>tezepelumab</w:t>
      </w:r>
      <w:proofErr w:type="spellEnd"/>
      <w:r w:rsidRPr="00BE01C9">
        <w:t xml:space="preserve"> group relative to placebo: least squares mean difference (95% CI) 0.26 (0.13 to 0.39). The improvement was greater in the patients with higher eosinophil counts at baseline. Other secondary endpoints had similar findings.</w:t>
      </w:r>
    </w:p>
    <w:p w14:paraId="127F7B50" w14:textId="77777777" w:rsidR="00BE01C9" w:rsidRPr="00BE01C9" w:rsidRDefault="00BE01C9" w:rsidP="00BE01C9">
      <w:r w:rsidRPr="00BE01C9">
        <w:t xml:space="preserve">The failure of SOURCE to meet both its primary efficacy endpoint and key secondary efficacy endpoint raises uncertainty about whether </w:t>
      </w:r>
      <w:proofErr w:type="spellStart"/>
      <w:r w:rsidRPr="00BE01C9">
        <w:t>tezepelumab</w:t>
      </w:r>
      <w:proofErr w:type="spellEnd"/>
      <w:r w:rsidRPr="00BE01C9">
        <w:t xml:space="preserve"> should be used in patients on maintenance dose OCS.</w:t>
      </w:r>
    </w:p>
    <w:p w14:paraId="3FAA562C" w14:textId="2B575D16" w:rsidR="00BE01C9" w:rsidRPr="00BE01C9" w:rsidRDefault="005657B1" w:rsidP="00FF3D47">
      <w:pPr>
        <w:pStyle w:val="Heading5"/>
        <w:rPr>
          <w:rFonts w:eastAsia="MS Mincho"/>
        </w:rPr>
      </w:pPr>
      <w:r>
        <w:rPr>
          <w:rFonts w:eastAsia="MS Mincho"/>
        </w:rPr>
        <w:t>P</w:t>
      </w:r>
      <w:r w:rsidRPr="00BE01C9">
        <w:rPr>
          <w:rFonts w:eastAsia="MS Mincho"/>
        </w:rPr>
        <w:t xml:space="preserve">ath-home </w:t>
      </w:r>
      <w:r w:rsidR="00BE01C9" w:rsidRPr="00BE01C9">
        <w:rPr>
          <w:rFonts w:eastAsia="MS Mincho"/>
        </w:rPr>
        <w:t>(Study D518000011)</w:t>
      </w:r>
      <w:bookmarkEnd w:id="72"/>
      <w:bookmarkEnd w:id="73"/>
    </w:p>
    <w:p w14:paraId="04B8B2F9" w14:textId="18E38940" w:rsidR="00BE01C9" w:rsidRPr="00BE01C9" w:rsidRDefault="00BE01C9" w:rsidP="00BE01C9">
      <w:r w:rsidRPr="00BE01C9">
        <w:t xml:space="preserve">This study evaluated the functionality and performance of </w:t>
      </w:r>
      <w:r w:rsidR="00277B76">
        <w:t>2</w:t>
      </w:r>
      <w:r w:rsidRPr="00BE01C9">
        <w:t>methods of administration: accessorised pre-filled syringe (</w:t>
      </w:r>
      <w:proofErr w:type="spellStart"/>
      <w:r w:rsidR="007A4929">
        <w:t>a</w:t>
      </w:r>
      <w:r w:rsidRPr="00BE01C9">
        <w:t>PFS</w:t>
      </w:r>
      <w:proofErr w:type="spellEnd"/>
      <w:r w:rsidRPr="00BE01C9">
        <w:t>) or autoinjector in adolescents and adults. The primary outcome</w:t>
      </w:r>
      <w:r w:rsidR="004910C3">
        <w:t xml:space="preserve"> was</w:t>
      </w:r>
      <w:r w:rsidRPr="00BE01C9">
        <w:t xml:space="preserve"> successful administration</w:t>
      </w:r>
      <w:r w:rsidR="004910C3">
        <w:t>. M</w:t>
      </w:r>
      <w:r w:rsidRPr="00BE01C9">
        <w:t xml:space="preserve">etrics of asthma (ACQ-6) control were also collected. There were 216 people in the study: 111 to </w:t>
      </w:r>
      <w:proofErr w:type="spellStart"/>
      <w:r w:rsidR="007A4929">
        <w:t>a</w:t>
      </w:r>
      <w:r w:rsidRPr="00BE01C9">
        <w:t>PFS</w:t>
      </w:r>
      <w:proofErr w:type="spellEnd"/>
      <w:r w:rsidRPr="00BE01C9">
        <w:t xml:space="preserve"> and 105 to </w:t>
      </w:r>
      <w:r w:rsidR="007A4929">
        <w:t>autoinjector</w:t>
      </w:r>
      <w:r w:rsidRPr="00BE01C9">
        <w:t xml:space="preserve">, with 109 (98.2%) and 105 (100%) </w:t>
      </w:r>
      <w:r w:rsidR="00337CAF">
        <w:t xml:space="preserve">subjects </w:t>
      </w:r>
      <w:r w:rsidRPr="00BE01C9">
        <w:t xml:space="preserve">who completed the study. Patients received </w:t>
      </w:r>
      <w:r w:rsidR="00337CAF">
        <w:t>6</w:t>
      </w:r>
      <w:r w:rsidRPr="00BE01C9">
        <w:t xml:space="preserve"> SC doses of </w:t>
      </w:r>
      <w:proofErr w:type="spellStart"/>
      <w:r w:rsidRPr="00BE01C9">
        <w:t>tezepelumab</w:t>
      </w:r>
      <w:proofErr w:type="spellEnd"/>
      <w:r w:rsidRPr="00BE01C9">
        <w:t xml:space="preserve"> 201</w:t>
      </w:r>
      <w:r w:rsidR="00337CAF">
        <w:t> </w:t>
      </w:r>
      <w:r w:rsidRPr="00BE01C9">
        <w:t xml:space="preserve">mg SC at 4-week intervals. The </w:t>
      </w:r>
      <w:r w:rsidR="00337CAF">
        <w:t xml:space="preserve">2 </w:t>
      </w:r>
      <w:r w:rsidR="00430790">
        <w:t xml:space="preserve">subjects in the </w:t>
      </w:r>
      <w:proofErr w:type="spellStart"/>
      <w:r w:rsidR="00337CAF">
        <w:t>a</w:t>
      </w:r>
      <w:r w:rsidRPr="00BE01C9">
        <w:t>PFS</w:t>
      </w:r>
      <w:proofErr w:type="spellEnd"/>
      <w:r w:rsidRPr="00BE01C9">
        <w:t xml:space="preserve"> group who discontinued treatment did so because of </w:t>
      </w:r>
      <w:r w:rsidR="00430790">
        <w:t>adverse events (</w:t>
      </w:r>
      <w:r w:rsidRPr="00BE01C9">
        <w:t>AE</w:t>
      </w:r>
      <w:r w:rsidR="00430790">
        <w:t>)</w:t>
      </w:r>
      <w:r w:rsidRPr="00BE01C9">
        <w:t>.</w:t>
      </w:r>
    </w:p>
    <w:p w14:paraId="3CB6BDE5" w14:textId="5A0DD98F" w:rsidR="00BE01C9" w:rsidRPr="00BE01C9" w:rsidRDefault="00BE01C9" w:rsidP="00BE01C9">
      <w:r w:rsidRPr="00BE01C9">
        <w:t>The median age was 51</w:t>
      </w:r>
      <w:r w:rsidR="00891D5F">
        <w:t> </w:t>
      </w:r>
      <w:r w:rsidRPr="00BE01C9">
        <w:t>years, 50% were female, with 78% White. The median BMI was 28.4, the median FEV</w:t>
      </w:r>
      <w:r w:rsidRPr="00891D5F">
        <w:rPr>
          <w:vertAlign w:val="subscript"/>
        </w:rPr>
        <w:t>1</w:t>
      </w:r>
      <w:r w:rsidRPr="00BE01C9">
        <w:t xml:space="preserve"> was 71%, and over half (52.3%) had not had an asthma exacerbation in the preceding 12</w:t>
      </w:r>
      <w:r w:rsidR="00891D5F">
        <w:t> </w:t>
      </w:r>
      <w:r w:rsidRPr="00BE01C9">
        <w:t>months. Treatment groups were similar. All the patients were on ICS at medium to high dose, 98% were on LABA, and 4.6% were on oral corticosteroids.</w:t>
      </w:r>
    </w:p>
    <w:p w14:paraId="499FBFF3" w14:textId="4CBEEDA0" w:rsidR="00BE01C9" w:rsidRPr="00BE01C9" w:rsidRDefault="00BE01C9" w:rsidP="00BE01C9">
      <w:r w:rsidRPr="00BE01C9">
        <w:t xml:space="preserve">Nearly all healthcare professionals, subjects, and caregivers successfully administered </w:t>
      </w:r>
      <w:proofErr w:type="spellStart"/>
      <w:r w:rsidRPr="00BE01C9">
        <w:t>tezepelumab</w:t>
      </w:r>
      <w:proofErr w:type="spellEnd"/>
      <w:r w:rsidRPr="00BE01C9">
        <w:t xml:space="preserve"> using an </w:t>
      </w:r>
      <w:proofErr w:type="spellStart"/>
      <w:r w:rsidR="00B6587C">
        <w:t>a</w:t>
      </w:r>
      <w:r w:rsidRPr="00BE01C9">
        <w:t>PFS</w:t>
      </w:r>
      <w:proofErr w:type="spellEnd"/>
      <w:r w:rsidRPr="00BE01C9">
        <w:t xml:space="preserve"> or an </w:t>
      </w:r>
      <w:r w:rsidR="00B6587C">
        <w:t>autoinjector</w:t>
      </w:r>
      <w:r w:rsidRPr="00BE01C9">
        <w:t xml:space="preserve"> device. Overall success rate (95% CI) was 91.7</w:t>
      </w:r>
      <w:r w:rsidR="00455470">
        <w:t>%</w:t>
      </w:r>
      <w:r w:rsidRPr="00BE01C9">
        <w:t xml:space="preserve"> (85.05 to 95.60</w:t>
      </w:r>
      <w:r w:rsidR="00455470">
        <w:t>%</w:t>
      </w:r>
      <w:r w:rsidRPr="00BE01C9">
        <w:t xml:space="preserve">) for </w:t>
      </w:r>
      <w:proofErr w:type="spellStart"/>
      <w:r w:rsidR="00B6587C">
        <w:t>a</w:t>
      </w:r>
      <w:r w:rsidRPr="00BE01C9">
        <w:t>PFS</w:t>
      </w:r>
      <w:proofErr w:type="spellEnd"/>
      <w:r w:rsidRPr="00BE01C9">
        <w:t xml:space="preserve"> and 92.4</w:t>
      </w:r>
      <w:r w:rsidR="00455470">
        <w:t>%</w:t>
      </w:r>
      <w:r w:rsidRPr="00BE01C9">
        <w:t xml:space="preserve"> (85.68 to 96.09</w:t>
      </w:r>
      <w:r w:rsidR="00455470">
        <w:t>%</w:t>
      </w:r>
      <w:r w:rsidRPr="00BE01C9">
        <w:t xml:space="preserve">) for </w:t>
      </w:r>
      <w:r w:rsidR="00455470">
        <w:t>autoinjector</w:t>
      </w:r>
      <w:r w:rsidRPr="00BE01C9">
        <w:t xml:space="preserve">. There was improvement in ACQ-6 with treatment in both groups, with similar efficacy for both </w:t>
      </w:r>
      <w:r w:rsidRPr="00BE01C9">
        <w:lastRenderedPageBreak/>
        <w:t xml:space="preserve">administration devices. At Week 24, the mean ACQ-6 change from baseline was </w:t>
      </w:r>
      <w:r w:rsidR="00705737">
        <w:t>−</w:t>
      </w:r>
      <w:r w:rsidRPr="00BE01C9">
        <w:t xml:space="preserve">1.141 in the </w:t>
      </w:r>
      <w:proofErr w:type="spellStart"/>
      <w:r w:rsidR="00705737">
        <w:t>a</w:t>
      </w:r>
      <w:r w:rsidRPr="00BE01C9">
        <w:t>PFS</w:t>
      </w:r>
      <w:proofErr w:type="spellEnd"/>
      <w:r w:rsidRPr="00BE01C9">
        <w:t xml:space="preserve"> group and </w:t>
      </w:r>
      <w:r w:rsidR="00705737">
        <w:t>−</w:t>
      </w:r>
      <w:r w:rsidRPr="00BE01C9">
        <w:t xml:space="preserve">0.941 in the </w:t>
      </w:r>
      <w:r w:rsidR="00705737">
        <w:t>autoinjector</w:t>
      </w:r>
      <w:r w:rsidRPr="00BE01C9">
        <w:t xml:space="preserve"> group.</w:t>
      </w:r>
    </w:p>
    <w:p w14:paraId="0C1D1476" w14:textId="3B17A91C" w:rsidR="00BE01C9" w:rsidRPr="00BE01C9" w:rsidRDefault="00BE01C9" w:rsidP="00FF3D47">
      <w:pPr>
        <w:pStyle w:val="Heading5"/>
      </w:pPr>
      <w:r w:rsidRPr="00BE01C9">
        <w:t>D</w:t>
      </w:r>
      <w:r w:rsidR="005657B1" w:rsidRPr="00BE01C9">
        <w:t>estination</w:t>
      </w:r>
      <w:r w:rsidRPr="00BE01C9">
        <w:t xml:space="preserve"> (Study D5180C00018)</w:t>
      </w:r>
    </w:p>
    <w:p w14:paraId="52A6A96A" w14:textId="35A02295" w:rsidR="00BE01C9" w:rsidRPr="00BE01C9" w:rsidRDefault="00BE01C9" w:rsidP="00BE01C9">
      <w:r w:rsidRPr="00BE01C9">
        <w:t xml:space="preserve">DESTINATION is </w:t>
      </w:r>
      <w:proofErr w:type="gramStart"/>
      <w:r w:rsidRPr="00BE01C9">
        <w:t>a</w:t>
      </w:r>
      <w:proofErr w:type="gramEnd"/>
      <w:r w:rsidRPr="00BE01C9">
        <w:t xml:space="preserve"> LTE study. It is a Phase </w:t>
      </w:r>
      <w:r w:rsidR="005D7E31">
        <w:t>III</w:t>
      </w:r>
      <w:r w:rsidRPr="00BE01C9">
        <w:t xml:space="preserve">, multicentre, randomised, double-blind, placebo-controlled, parallel group study. The aim of this study was to evaluate the safety and tolerability of </w:t>
      </w:r>
      <w:proofErr w:type="spellStart"/>
      <w:r w:rsidRPr="00BE01C9">
        <w:t>tezepelumab</w:t>
      </w:r>
      <w:proofErr w:type="spellEnd"/>
      <w:r w:rsidRPr="00BE01C9">
        <w:t xml:space="preserve"> 210</w:t>
      </w:r>
      <w:r w:rsidR="00D111BE">
        <w:t> </w:t>
      </w:r>
      <w:r w:rsidRPr="00BE01C9">
        <w:t>mg Q4W in adults and adolescents for up to 2</w:t>
      </w:r>
      <w:r w:rsidR="00D111BE">
        <w:t> </w:t>
      </w:r>
      <w:r w:rsidRPr="00BE01C9">
        <w:t xml:space="preserve">continuous years (1 year predecessor studies; 1 year DESTINATION). Subjects who had </w:t>
      </w:r>
      <w:r w:rsidRPr="00295C3F">
        <w:t xml:space="preserve">continued to receive </w:t>
      </w:r>
      <w:proofErr w:type="spellStart"/>
      <w:r w:rsidR="0062797F" w:rsidRPr="00295C3F">
        <w:t>tezepelumab</w:t>
      </w:r>
      <w:proofErr w:type="spellEnd"/>
      <w:r w:rsidRPr="00295C3F">
        <w:t xml:space="preserve"> and attended the end of treatment (EOT) visit in NAVIGATOR</w:t>
      </w:r>
      <w:r w:rsidRPr="00BE01C9">
        <w:t xml:space="preserve"> (D5180C00007) or SOURCE (D5180C00009) were able to enrol if they fulfilled the inclusion/exclusion criteria. All subjects were re-randomised to maintain blinding.</w:t>
      </w:r>
    </w:p>
    <w:p w14:paraId="5EBE2A56" w14:textId="4609DFC9" w:rsidR="00BE01C9" w:rsidRPr="00BE01C9" w:rsidRDefault="00BE01C9" w:rsidP="00BE01C9">
      <w:r w:rsidRPr="00BE01C9">
        <w:t xml:space="preserve">Subjects previously randomised to </w:t>
      </w:r>
      <w:proofErr w:type="spellStart"/>
      <w:r w:rsidRPr="00BE01C9">
        <w:t>tezepelumab</w:t>
      </w:r>
      <w:proofErr w:type="spellEnd"/>
      <w:r w:rsidRPr="00BE01C9">
        <w:t xml:space="preserve"> remained on </w:t>
      </w:r>
      <w:proofErr w:type="spellStart"/>
      <w:r w:rsidRPr="00BE01C9">
        <w:t>tezepelumab</w:t>
      </w:r>
      <w:proofErr w:type="spellEnd"/>
      <w:r w:rsidRPr="00BE01C9">
        <w:t xml:space="preserve">. Subjects randomised to placebo in predecessor studies were re-randomised (1:1) to either </w:t>
      </w:r>
      <w:proofErr w:type="spellStart"/>
      <w:r w:rsidRPr="00BE01C9">
        <w:t>tezepelumab</w:t>
      </w:r>
      <w:proofErr w:type="spellEnd"/>
      <w:r w:rsidRPr="00BE01C9">
        <w:t xml:space="preserve"> or placebo. The last dose of </w:t>
      </w:r>
      <w:proofErr w:type="spellStart"/>
      <w:r w:rsidR="00295C3F">
        <w:t>tezepelumab</w:t>
      </w:r>
      <w:proofErr w:type="spellEnd"/>
      <w:r w:rsidRPr="00BE01C9">
        <w:t xml:space="preserve"> was administered at Week 100 and the EOT visit was conducted at Week 104. No </w:t>
      </w:r>
      <w:proofErr w:type="spellStart"/>
      <w:r w:rsidR="00295C3F">
        <w:t>tezepelumab</w:t>
      </w:r>
      <w:proofErr w:type="spellEnd"/>
      <w:r w:rsidRPr="00BE01C9">
        <w:t xml:space="preserve"> was administered at Week 104 or during the subsequent follow-up period. For subjects from the NAVIGATOR study there was an option to enter a 36-week Extended Follow-up period</w:t>
      </w:r>
      <w:r w:rsidR="00340A83">
        <w:t xml:space="preserve"> (</w:t>
      </w:r>
      <w:r w:rsidR="00340A83">
        <w:fldChar w:fldCharType="begin"/>
      </w:r>
      <w:r w:rsidR="00340A83">
        <w:instrText xml:space="preserve"> REF _Ref204161778 \h </w:instrText>
      </w:r>
      <w:r w:rsidR="00340A83">
        <w:fldChar w:fldCharType="separate"/>
      </w:r>
      <w:r w:rsidR="005657B1">
        <w:t xml:space="preserve">Figure </w:t>
      </w:r>
      <w:r w:rsidR="005657B1">
        <w:rPr>
          <w:noProof/>
        </w:rPr>
        <w:t>8</w:t>
      </w:r>
      <w:r w:rsidR="00340A83">
        <w:fldChar w:fldCharType="end"/>
      </w:r>
      <w:r w:rsidR="00340A83">
        <w:t>).</w:t>
      </w:r>
    </w:p>
    <w:p w14:paraId="406B157C" w14:textId="5B70B60C" w:rsidR="00BE01C9" w:rsidRPr="00BE01C9" w:rsidRDefault="00BE01C9" w:rsidP="00BE01C9">
      <w:r w:rsidRPr="00BE01C9">
        <w:t xml:space="preserve">There are 5 possible treatment groupings across each predecessor study and the LTE (DESTINATION) as shown in </w:t>
      </w:r>
      <w:r w:rsidR="00DF7614">
        <w:fldChar w:fldCharType="begin"/>
      </w:r>
      <w:r w:rsidR="00DF7614">
        <w:instrText xml:space="preserve"> REF _Ref204161778 \h </w:instrText>
      </w:r>
      <w:r w:rsidR="00DF7614">
        <w:fldChar w:fldCharType="separate"/>
      </w:r>
      <w:r w:rsidR="005657B1">
        <w:t xml:space="preserve">Figure </w:t>
      </w:r>
      <w:r w:rsidR="005657B1">
        <w:rPr>
          <w:noProof/>
        </w:rPr>
        <w:t>8</w:t>
      </w:r>
      <w:r w:rsidR="00DF7614">
        <w:fldChar w:fldCharType="end"/>
      </w:r>
      <w:r w:rsidR="00DF7614">
        <w:t>.</w:t>
      </w:r>
      <w:r w:rsidRPr="00BE01C9">
        <w:t xml:space="preserve"> The analysis sets are shown in </w:t>
      </w:r>
      <w:r w:rsidR="00DF7614">
        <w:fldChar w:fldCharType="begin"/>
      </w:r>
      <w:r w:rsidR="00DF7614">
        <w:instrText xml:space="preserve"> REF _Ref204245597 \h </w:instrText>
      </w:r>
      <w:r w:rsidR="00DF7614">
        <w:fldChar w:fldCharType="separate"/>
      </w:r>
      <w:r w:rsidR="005657B1">
        <w:t xml:space="preserve">Table </w:t>
      </w:r>
      <w:r w:rsidR="005657B1">
        <w:rPr>
          <w:noProof/>
        </w:rPr>
        <w:t>12</w:t>
      </w:r>
      <w:r w:rsidR="00DF7614">
        <w:fldChar w:fldCharType="end"/>
      </w:r>
      <w:r w:rsidR="00DF7614">
        <w:t>.</w:t>
      </w:r>
    </w:p>
    <w:p w14:paraId="1054BD8A" w14:textId="161DDD05" w:rsidR="00CA2135" w:rsidRPr="006A57C8" w:rsidRDefault="00CA2135" w:rsidP="00340A83">
      <w:pPr>
        <w:pStyle w:val="FigureTitle"/>
      </w:pPr>
      <w:bookmarkStart w:id="74" w:name="_Ref204161778"/>
      <w:bookmarkStart w:id="75" w:name="_Ref204245527"/>
      <w:r>
        <w:t xml:space="preserve">Figure </w:t>
      </w:r>
      <w:r>
        <w:fldChar w:fldCharType="begin"/>
      </w:r>
      <w:r>
        <w:instrText xml:space="preserve"> SEQ Figure \* ARABIC </w:instrText>
      </w:r>
      <w:r>
        <w:fldChar w:fldCharType="separate"/>
      </w:r>
      <w:r w:rsidR="005657B1">
        <w:rPr>
          <w:noProof/>
        </w:rPr>
        <w:t>8</w:t>
      </w:r>
      <w:r>
        <w:fldChar w:fldCharType="end"/>
      </w:r>
      <w:bookmarkEnd w:id="74"/>
      <w:r>
        <w:t>: DESTINATION flow chart of study design</w:t>
      </w:r>
      <w:bookmarkEnd w:id="75"/>
    </w:p>
    <w:p w14:paraId="54AD87C7" w14:textId="77777777" w:rsidR="00931234" w:rsidRDefault="00CA2135" w:rsidP="00931234">
      <w:r>
        <w:rPr>
          <w:noProof/>
        </w:rPr>
        <w:drawing>
          <wp:inline distT="0" distB="0" distL="0" distR="0" wp14:anchorId="512C7F18" wp14:editId="5ADE863D">
            <wp:extent cx="5141344" cy="3265065"/>
            <wp:effectExtent l="0" t="0" r="2540" b="0"/>
            <wp:docPr id="711356190" name="Picture 1" descr="Figure 8: DESTINATION flow chart of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56190" name="Picture 1" descr="Figure 8: DESTINATION flow chart of study design"/>
                    <pic:cNvPicPr/>
                  </pic:nvPicPr>
                  <pic:blipFill>
                    <a:blip r:embed="rId37"/>
                    <a:stretch>
                      <a:fillRect/>
                    </a:stretch>
                  </pic:blipFill>
                  <pic:spPr>
                    <a:xfrm>
                      <a:off x="0" y="0"/>
                      <a:ext cx="5145774" cy="3267878"/>
                    </a:xfrm>
                    <a:prstGeom prst="rect">
                      <a:avLst/>
                    </a:prstGeom>
                  </pic:spPr>
                </pic:pic>
              </a:graphicData>
            </a:graphic>
          </wp:inline>
        </w:drawing>
      </w:r>
    </w:p>
    <w:p w14:paraId="03D1557C" w14:textId="25D0C1F5" w:rsidR="00340A83" w:rsidRDefault="00340A83" w:rsidP="00931234">
      <w:r w:rsidRPr="006A57C8">
        <w:t>EOT</w:t>
      </w:r>
      <w:r>
        <w:t xml:space="preserve"> =</w:t>
      </w:r>
      <w:r w:rsidRPr="006A57C8">
        <w:t xml:space="preserve"> end-of-treatment; FU</w:t>
      </w:r>
      <w:r>
        <w:t xml:space="preserve"> = </w:t>
      </w:r>
      <w:r w:rsidRPr="006A57C8">
        <w:t>follow-up; LTE</w:t>
      </w:r>
      <w:r>
        <w:t xml:space="preserve"> = </w:t>
      </w:r>
      <w:r w:rsidRPr="006A57C8">
        <w:t>long-term extension; R</w:t>
      </w:r>
      <w:r>
        <w:t xml:space="preserve"> = </w:t>
      </w:r>
      <w:r w:rsidRPr="006A57C8">
        <w:t>randomisation; V</w:t>
      </w:r>
      <w:r>
        <w:t xml:space="preserve"> = </w:t>
      </w:r>
      <w:r w:rsidRPr="006A57C8">
        <w:t>visit(s).</w:t>
      </w:r>
    </w:p>
    <w:p w14:paraId="2ABABD80" w14:textId="77777777" w:rsidR="00340A83" w:rsidRDefault="00340A83" w:rsidP="00340A83"/>
    <w:p w14:paraId="75174E79" w14:textId="5B2BCF78" w:rsidR="00340A83" w:rsidRDefault="00340A83" w:rsidP="00340A83">
      <w:pPr>
        <w:pStyle w:val="FigureTitle"/>
      </w:pPr>
      <w:r>
        <w:lastRenderedPageBreak/>
        <w:t xml:space="preserve">Figure </w:t>
      </w:r>
      <w:r>
        <w:fldChar w:fldCharType="begin"/>
      </w:r>
      <w:r>
        <w:instrText xml:space="preserve"> SEQ Figure \* ARABIC </w:instrText>
      </w:r>
      <w:r>
        <w:fldChar w:fldCharType="separate"/>
      </w:r>
      <w:r w:rsidR="005657B1">
        <w:rPr>
          <w:noProof/>
        </w:rPr>
        <w:t>9</w:t>
      </w:r>
      <w:r>
        <w:fldChar w:fldCharType="end"/>
      </w:r>
      <w:r>
        <w:t>: DESTINATION treatment groupings</w:t>
      </w:r>
    </w:p>
    <w:p w14:paraId="676DCFF3" w14:textId="0F2E2105" w:rsidR="00340A83" w:rsidRDefault="00340A83" w:rsidP="00BF55E1">
      <w:r>
        <w:rPr>
          <w:noProof/>
        </w:rPr>
        <w:drawing>
          <wp:inline distT="0" distB="0" distL="0" distR="0" wp14:anchorId="77B57D2D" wp14:editId="6C8A071F">
            <wp:extent cx="4648510" cy="2406770"/>
            <wp:effectExtent l="0" t="0" r="0" b="0"/>
            <wp:docPr id="610322599" name="Picture 1" descr="Figure 9: DESTINATION treatment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22599" name="Picture 1" descr="Figure 9: DESTINATION treatment groupings"/>
                    <pic:cNvPicPr/>
                  </pic:nvPicPr>
                  <pic:blipFill>
                    <a:blip r:embed="rId38"/>
                    <a:stretch>
                      <a:fillRect/>
                    </a:stretch>
                  </pic:blipFill>
                  <pic:spPr>
                    <a:xfrm>
                      <a:off x="0" y="0"/>
                      <a:ext cx="4652680" cy="2408929"/>
                    </a:xfrm>
                    <a:prstGeom prst="rect">
                      <a:avLst/>
                    </a:prstGeom>
                  </pic:spPr>
                </pic:pic>
              </a:graphicData>
            </a:graphic>
          </wp:inline>
        </w:drawing>
      </w:r>
    </w:p>
    <w:p w14:paraId="79B9E195" w14:textId="7FBF4AB2" w:rsidR="00CE2022" w:rsidRPr="00CE2022" w:rsidRDefault="00CE2022" w:rsidP="00E76F31">
      <w:pPr>
        <w:pStyle w:val="Heading6"/>
      </w:pPr>
      <w:r w:rsidRPr="00CE2022">
        <w:t>Primary objective</w:t>
      </w:r>
    </w:p>
    <w:p w14:paraId="6B100437" w14:textId="2FB95241" w:rsidR="00CE2022" w:rsidRPr="00CE2022" w:rsidRDefault="00CE2022" w:rsidP="00E76F31">
      <w:pPr>
        <w:pStyle w:val="ListBullet"/>
      </w:pPr>
      <w:r w:rsidRPr="00CE2022">
        <w:t xml:space="preserve">To evaluate the long-term safety and tolerability of </w:t>
      </w:r>
      <w:proofErr w:type="spellStart"/>
      <w:r w:rsidRPr="00CE2022">
        <w:t>tezepelumab</w:t>
      </w:r>
      <w:proofErr w:type="spellEnd"/>
      <w:r w:rsidRPr="00CE2022">
        <w:t xml:space="preserve"> in subjects with severe asthma. The outcome variables used to assess the primary objective were exposure-adjusted </w:t>
      </w:r>
      <w:r w:rsidRPr="00340A83">
        <w:t>incidence rates per 100</w:t>
      </w:r>
      <w:r w:rsidR="00123A58" w:rsidRPr="00340A83">
        <w:t> </w:t>
      </w:r>
      <w:r w:rsidRPr="00340A83">
        <w:t xml:space="preserve">subject-years of </w:t>
      </w:r>
      <w:r w:rsidR="00DA725A">
        <w:t>adverse events (</w:t>
      </w:r>
      <w:r w:rsidRPr="00340A83">
        <w:t>AEs</w:t>
      </w:r>
      <w:r w:rsidR="00DA725A">
        <w:t>)</w:t>
      </w:r>
      <w:r w:rsidRPr="00340A83">
        <w:t xml:space="preserve"> and </w:t>
      </w:r>
      <w:r w:rsidR="00340A83" w:rsidRPr="00340A83">
        <w:t>serious adverse events (</w:t>
      </w:r>
      <w:r w:rsidRPr="00340A83">
        <w:t>SAEs</w:t>
      </w:r>
      <w:r w:rsidR="00340A83" w:rsidRPr="00340A83">
        <w:t>)</w:t>
      </w:r>
      <w:r w:rsidRPr="00340A83">
        <w:t xml:space="preserve"> over</w:t>
      </w:r>
      <w:r w:rsidRPr="00CE2022">
        <w:t xml:space="preserve"> 104</w:t>
      </w:r>
      <w:r w:rsidR="00340A83">
        <w:t> </w:t>
      </w:r>
      <w:r w:rsidRPr="00CE2022">
        <w:t>weeks (on-treatment period).</w:t>
      </w:r>
    </w:p>
    <w:p w14:paraId="607EB22E" w14:textId="559C0F22" w:rsidR="00CE2022" w:rsidRPr="00CE2022" w:rsidRDefault="00CE2022" w:rsidP="00E76F31">
      <w:pPr>
        <w:pStyle w:val="Heading6"/>
        <w:rPr>
          <w:rFonts w:eastAsia="TimesNewRoman"/>
        </w:rPr>
      </w:pPr>
      <w:r w:rsidRPr="00CE2022">
        <w:rPr>
          <w:rFonts w:eastAsia="TimesNewRoman"/>
        </w:rPr>
        <w:t>Secondary objective</w:t>
      </w:r>
    </w:p>
    <w:p w14:paraId="778686D1" w14:textId="1D530E8B" w:rsidR="00CE2022" w:rsidRPr="00CE2022" w:rsidRDefault="00CE2022" w:rsidP="00E76F31">
      <w:pPr>
        <w:pStyle w:val="ListBullet"/>
      </w:pPr>
      <w:r w:rsidRPr="00CE2022">
        <w:t xml:space="preserve">To assess the long-term effect of </w:t>
      </w:r>
      <w:r w:rsidR="00661E83">
        <w:t>210 mg</w:t>
      </w:r>
      <w:r w:rsidRPr="00CE2022">
        <w:t xml:space="preserve"> </w:t>
      </w:r>
      <w:proofErr w:type="spellStart"/>
      <w:r w:rsidRPr="00CE2022">
        <w:t>tezepelumab</w:t>
      </w:r>
      <w:proofErr w:type="spellEnd"/>
      <w:r w:rsidRPr="00CE2022">
        <w:t xml:space="preserve"> SC Q4W on asthma exacerbations in adult and adolescent subjects with severe uncontrolled asthma compared with placebo. The outcome variable use</w:t>
      </w:r>
      <w:r w:rsidR="00B364CF">
        <w:t>d</w:t>
      </w:r>
      <w:r w:rsidRPr="00CE2022">
        <w:t xml:space="preserve"> to assess the secondary objective was AAER over 104 weeks (Baseline at Week 0 in predecessor studies NAVIGATOR and SOURCE).</w:t>
      </w:r>
    </w:p>
    <w:p w14:paraId="7EEF06A5" w14:textId="5EFD8063" w:rsidR="00CE2022" w:rsidRPr="00CE2022" w:rsidRDefault="00CE2022" w:rsidP="00E76F31">
      <w:pPr>
        <w:pStyle w:val="Heading6"/>
        <w:rPr>
          <w:rFonts w:eastAsia="TimesNewRoman"/>
        </w:rPr>
      </w:pPr>
      <w:r w:rsidRPr="00CE2022">
        <w:rPr>
          <w:rFonts w:eastAsia="TimesNewRoman"/>
        </w:rPr>
        <w:t>Exploratory objectives</w:t>
      </w:r>
    </w:p>
    <w:p w14:paraId="32DED88F" w14:textId="58D3B8D8" w:rsidR="00CE2022" w:rsidRPr="00CE2022" w:rsidRDefault="00CE2022" w:rsidP="00E76F31">
      <w:pPr>
        <w:pStyle w:val="ListBullet"/>
      </w:pPr>
      <w:r w:rsidRPr="00CE2022">
        <w:t xml:space="preserve">Assessment of efficacy, immunogenicity, biomarkers, persistence of clinical effect and changes in PD effects for up to 40 weeks after the final dose of </w:t>
      </w:r>
      <w:r w:rsidR="000F2A2D">
        <w:t>Tezepelumab.</w:t>
      </w:r>
    </w:p>
    <w:p w14:paraId="2A26C017" w14:textId="17139CF4" w:rsidR="00CE2022" w:rsidRPr="00CE2022" w:rsidRDefault="00CE2022" w:rsidP="00E76F31">
      <w:pPr>
        <w:pStyle w:val="ListBullet"/>
      </w:pPr>
      <w:r w:rsidRPr="00CE2022">
        <w:t xml:space="preserve">Assess relationship between PK and clinical outcome/PD effects during the extended follow-up after final dose </w:t>
      </w:r>
      <w:r w:rsidR="000F2A2D">
        <w:t xml:space="preserve">of </w:t>
      </w:r>
      <w:proofErr w:type="spellStart"/>
      <w:r w:rsidR="000F2A2D">
        <w:t>t</w:t>
      </w:r>
      <w:r w:rsidRPr="00CE2022">
        <w:t>ezepelumab</w:t>
      </w:r>
      <w:proofErr w:type="spellEnd"/>
      <w:r w:rsidR="000F2A2D">
        <w:t>.</w:t>
      </w:r>
    </w:p>
    <w:p w14:paraId="2BA3F98A" w14:textId="6C2220E4" w:rsidR="00CE2022" w:rsidRPr="00CE2022" w:rsidRDefault="00CE2022" w:rsidP="00E76F31">
      <w:pPr>
        <w:pStyle w:val="ListBullet"/>
      </w:pPr>
      <w:r w:rsidRPr="00CE2022">
        <w:t xml:space="preserve">Assess subject-reported experience at Week 104 or discontinuation of </w:t>
      </w:r>
      <w:proofErr w:type="spellStart"/>
      <w:r w:rsidR="00295C3F">
        <w:t>tezepelumab</w:t>
      </w:r>
      <w:proofErr w:type="spellEnd"/>
      <w:r w:rsidRPr="00CE2022">
        <w:t>.</w:t>
      </w:r>
    </w:p>
    <w:p w14:paraId="19E7A092" w14:textId="24B90CF3" w:rsidR="00B364CF" w:rsidRPr="00F3003F" w:rsidRDefault="00B364CF" w:rsidP="00B364CF">
      <w:pPr>
        <w:pStyle w:val="TableTitle"/>
      </w:pPr>
      <w:bookmarkStart w:id="76" w:name="_Ref204245597"/>
      <w:r>
        <w:t xml:space="preserve">Table </w:t>
      </w:r>
      <w:r>
        <w:fldChar w:fldCharType="begin"/>
      </w:r>
      <w:r>
        <w:instrText xml:space="preserve"> SEQ Table \* ARABIC </w:instrText>
      </w:r>
      <w:r>
        <w:fldChar w:fldCharType="separate"/>
      </w:r>
      <w:r w:rsidR="005657B1">
        <w:rPr>
          <w:noProof/>
        </w:rPr>
        <w:t>12</w:t>
      </w:r>
      <w:r>
        <w:fldChar w:fldCharType="end"/>
      </w:r>
      <w:bookmarkEnd w:id="76"/>
      <w:r>
        <w:t>: DESTINATION analysis sets</w:t>
      </w:r>
    </w:p>
    <w:p w14:paraId="46D6A79F" w14:textId="7879EC73" w:rsidR="00CE2022" w:rsidRPr="00F3003F" w:rsidRDefault="00B364CF" w:rsidP="00F3003F">
      <w:r>
        <w:rPr>
          <w:noProof/>
        </w:rPr>
        <w:drawing>
          <wp:inline distT="0" distB="0" distL="0" distR="0" wp14:anchorId="7870FA99" wp14:editId="50B074B6">
            <wp:extent cx="5759450" cy="1617345"/>
            <wp:effectExtent l="0" t="0" r="0" b="1905"/>
            <wp:docPr id="1521743736" name="Picture 1" descr="Table 12: DESTINATION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43736" name="Picture 1" descr="Table 12: DESTINATION analysis sets"/>
                    <pic:cNvPicPr/>
                  </pic:nvPicPr>
                  <pic:blipFill>
                    <a:blip r:embed="rId39"/>
                    <a:stretch>
                      <a:fillRect/>
                    </a:stretch>
                  </pic:blipFill>
                  <pic:spPr>
                    <a:xfrm>
                      <a:off x="0" y="0"/>
                      <a:ext cx="5759450" cy="1617345"/>
                    </a:xfrm>
                    <a:prstGeom prst="rect">
                      <a:avLst/>
                    </a:prstGeom>
                  </pic:spPr>
                </pic:pic>
              </a:graphicData>
            </a:graphic>
          </wp:inline>
        </w:drawing>
      </w:r>
    </w:p>
    <w:p w14:paraId="64A59FCF" w14:textId="5B4FB58D" w:rsidR="004E5A73" w:rsidRPr="00F3003F" w:rsidRDefault="004E5A73" w:rsidP="00F3003F">
      <w:pPr>
        <w:pStyle w:val="TableDescription"/>
      </w:pPr>
      <w:r w:rsidRPr="00F3003F">
        <w:t>IP</w:t>
      </w:r>
      <w:r w:rsidR="00B364CF">
        <w:t xml:space="preserve"> =</w:t>
      </w:r>
      <w:r w:rsidRPr="00F3003F">
        <w:t xml:space="preserve"> investigational product; LTE</w:t>
      </w:r>
      <w:r w:rsidR="00B364CF">
        <w:t xml:space="preserve"> = </w:t>
      </w:r>
      <w:r w:rsidRPr="00F3003F">
        <w:t>long-term extension.</w:t>
      </w:r>
    </w:p>
    <w:p w14:paraId="40F0AD94" w14:textId="4C92D7A9" w:rsidR="004E5A73" w:rsidRDefault="004E5A73" w:rsidP="00F3003F">
      <w:r w:rsidRPr="00F3003F">
        <w:t xml:space="preserve">The first subject was enrolled in DESTINATION on 7 January 2019 and the last subject last visit for the final </w:t>
      </w:r>
      <w:r w:rsidR="00B364CF">
        <w:t>database lock was</w:t>
      </w:r>
      <w:r w:rsidRPr="00F3003F">
        <w:t xml:space="preserve"> 18 May 2022. A total of 951 subjects were randomised at 181 sites in 18 countries, with 827 subjects from NAVIGATOR (including 72 adolescents) and 124 </w:t>
      </w:r>
      <w:r w:rsidRPr="00F3003F">
        <w:lastRenderedPageBreak/>
        <w:t xml:space="preserve">subjects from SOURCE. One subject who received placebo in the predecessor study NAVIGATOR and was randomised into the </w:t>
      </w:r>
      <w:proofErr w:type="spellStart"/>
      <w:r w:rsidRPr="00F3003F">
        <w:t>tezepelumab</w:t>
      </w:r>
      <w:proofErr w:type="spellEnd"/>
      <w:r w:rsidRPr="00F3003F">
        <w:t xml:space="preserve"> group for DESTINATION, died during the DESTINATION run-in period prior to receiving treatment. Thus 950 subjects received treatment in DESTINATION LTE period.</w:t>
      </w:r>
    </w:p>
    <w:p w14:paraId="6C3FD763" w14:textId="5545DE92" w:rsidR="004E5A73" w:rsidRPr="00F3003F" w:rsidRDefault="004E5A73" w:rsidP="00F90A8D">
      <w:r w:rsidRPr="00F3003F">
        <w:t xml:space="preserve">Overall, the DESTINATION study population represented the intended population of severe, uncontrolled asthma and severe, OCS-dependent asthma derived from its predecessor studies NAVIGATOR and SOURCE, respectively. Demographic and baseline characteristics were well balanced across the Rand </w:t>
      </w:r>
      <w:proofErr w:type="spellStart"/>
      <w:r w:rsidRPr="00F3003F">
        <w:t>Teze</w:t>
      </w:r>
      <w:proofErr w:type="spellEnd"/>
      <w:r w:rsidR="00F90A8D">
        <w:t xml:space="preserve"> (</w:t>
      </w:r>
      <w:r w:rsidR="00F90A8D" w:rsidRPr="00F3003F">
        <w:t xml:space="preserve">all subjects randomised to </w:t>
      </w:r>
      <w:proofErr w:type="spellStart"/>
      <w:r w:rsidR="009347AC">
        <w:t>t</w:t>
      </w:r>
      <w:r w:rsidR="00F90A8D" w:rsidRPr="00F3003F">
        <w:t>ezepelumab</w:t>
      </w:r>
      <w:proofErr w:type="spellEnd"/>
      <w:r w:rsidR="00F90A8D" w:rsidRPr="00F3003F">
        <w:t xml:space="preserve"> in predecessor period</w:t>
      </w:r>
      <w:r w:rsidR="009347AC">
        <w:t xml:space="preserve">) and </w:t>
      </w:r>
      <w:r w:rsidRPr="00F3003F">
        <w:t xml:space="preserve">Rand </w:t>
      </w:r>
      <w:proofErr w:type="spellStart"/>
      <w:r w:rsidRPr="00F3003F">
        <w:t>P</w:t>
      </w:r>
      <w:r w:rsidR="009347AC">
        <w:t>bo</w:t>
      </w:r>
      <w:proofErr w:type="spellEnd"/>
      <w:r w:rsidRPr="00F3003F">
        <w:t xml:space="preserve"> </w:t>
      </w:r>
      <w:r w:rsidR="009347AC">
        <w:t>(</w:t>
      </w:r>
      <w:r w:rsidR="009347AC" w:rsidRPr="00F3003F">
        <w:t xml:space="preserve">all subjects randomised to placebo in predecessor period excluding data from long term extension period for subjects switched to </w:t>
      </w:r>
      <w:proofErr w:type="spellStart"/>
      <w:r w:rsidR="00213165">
        <w:t>tezepelumab</w:t>
      </w:r>
      <w:proofErr w:type="spellEnd"/>
      <w:r w:rsidR="00213165">
        <w:t>)</w:t>
      </w:r>
      <w:r w:rsidR="009347AC" w:rsidRPr="00F3003F">
        <w:t xml:space="preserve"> </w:t>
      </w:r>
      <w:r w:rsidRPr="00F3003F">
        <w:t>treatment groups. Compliance was high across all treatment groups and the effects of the COVID-19 pandemic on treatment compliance were minimal.</w:t>
      </w:r>
    </w:p>
    <w:p w14:paraId="6836DBE3" w14:textId="003BECAC" w:rsidR="004E5A73" w:rsidRPr="00F3003F" w:rsidRDefault="004E5A73" w:rsidP="00F3003F">
      <w:r w:rsidRPr="00F3003F">
        <w:t xml:space="preserve">Regarding AAER, this was reduced in the </w:t>
      </w:r>
      <w:proofErr w:type="spellStart"/>
      <w:r w:rsidRPr="00F3003F">
        <w:t>tezepelumab</w:t>
      </w:r>
      <w:proofErr w:type="spellEnd"/>
      <w:r w:rsidRPr="00F3003F">
        <w:t xml:space="preserve"> group compared to placebo across 104</w:t>
      </w:r>
      <w:r w:rsidR="00C761F9">
        <w:t> </w:t>
      </w:r>
      <w:r w:rsidRPr="00F3003F">
        <w:t>weeks for patients previously enrolled in NAVIGATOR (risk reduction [RR] 0.42; 95% CI 0.35, 0.51) (</w:t>
      </w:r>
      <w:r w:rsidR="006E393B">
        <w:fldChar w:fldCharType="begin"/>
      </w:r>
      <w:r w:rsidR="006E393B">
        <w:instrText xml:space="preserve"> REF _Ref204163916 \h </w:instrText>
      </w:r>
      <w:r w:rsidR="006E393B">
        <w:fldChar w:fldCharType="separate"/>
      </w:r>
      <w:r w:rsidR="005657B1">
        <w:t xml:space="preserve">Table </w:t>
      </w:r>
      <w:r w:rsidR="005657B1">
        <w:rPr>
          <w:noProof/>
        </w:rPr>
        <w:t>13</w:t>
      </w:r>
      <w:r w:rsidR="006E393B">
        <w:fldChar w:fldCharType="end"/>
      </w:r>
      <w:r w:rsidR="006E393B">
        <w:t>)</w:t>
      </w:r>
      <w:r w:rsidRPr="00F3003F">
        <w:t xml:space="preserve"> or SOURCE (RR 0.61; 95% CI 0.38, 0.96) (</w:t>
      </w:r>
      <w:r w:rsidR="006E393B">
        <w:fldChar w:fldCharType="begin"/>
      </w:r>
      <w:r w:rsidR="006E393B">
        <w:instrText xml:space="preserve"> REF _Ref204163936 \h </w:instrText>
      </w:r>
      <w:r w:rsidR="006E393B">
        <w:fldChar w:fldCharType="separate"/>
      </w:r>
      <w:r w:rsidR="005657B1">
        <w:t xml:space="preserve">Table </w:t>
      </w:r>
      <w:r w:rsidR="005657B1">
        <w:rPr>
          <w:noProof/>
        </w:rPr>
        <w:t>14</w:t>
      </w:r>
      <w:r w:rsidR="006E393B">
        <w:fldChar w:fldCharType="end"/>
      </w:r>
      <w:r w:rsidR="006E393B">
        <w:t>)</w:t>
      </w:r>
      <w:r w:rsidRPr="00F3003F">
        <w:t>.</w:t>
      </w:r>
    </w:p>
    <w:p w14:paraId="1B9E7519" w14:textId="3A40F731" w:rsidR="004E5A73" w:rsidRPr="00F3003F" w:rsidRDefault="004E5A73" w:rsidP="00F3003F">
      <w:r w:rsidRPr="00F3003F">
        <w:t xml:space="preserve">Clinically meaningful reductions in AAER versus placebo were observed across biomarker subgroups (blood eosinophils, </w:t>
      </w:r>
      <w:proofErr w:type="spellStart"/>
      <w:r w:rsidRPr="00F3003F">
        <w:t>FeNO</w:t>
      </w:r>
      <w:proofErr w:type="spellEnd"/>
      <w:r w:rsidRPr="00F3003F">
        <w:t xml:space="preserve">, IgE), with a greater magnitude of benefit with increasing baseline eosinophil counts. In SOURCE, 40 (66.7%) subjects on </w:t>
      </w:r>
      <w:proofErr w:type="spellStart"/>
      <w:r w:rsidRPr="00F3003F">
        <w:t>tezepelumab</w:t>
      </w:r>
      <w:proofErr w:type="spellEnd"/>
      <w:r w:rsidRPr="00F3003F">
        <w:t xml:space="preserve"> and 15 (46.9%) </w:t>
      </w:r>
      <w:r w:rsidR="00E71225">
        <w:t xml:space="preserve">subjects </w:t>
      </w:r>
      <w:r w:rsidRPr="00F3003F">
        <w:t>on placebo reduced their OCS dose to zero at Week 104.</w:t>
      </w:r>
    </w:p>
    <w:p w14:paraId="28FF0D8F" w14:textId="433A5974" w:rsidR="004E5A73" w:rsidRPr="00F3003F" w:rsidRDefault="004E5A73" w:rsidP="00F3003F">
      <w:r w:rsidRPr="00F3003F">
        <w:t>Improvements from baseline in the exploratory endpoints of pre-bronchodilator FEV</w:t>
      </w:r>
      <w:r w:rsidRPr="00E71225">
        <w:rPr>
          <w:vertAlign w:val="subscript"/>
        </w:rPr>
        <w:t>1</w:t>
      </w:r>
      <w:r w:rsidRPr="00F3003F">
        <w:t xml:space="preserve">, ACQ-6, and St. George’s Respiratory Questionnaire were observed in the </w:t>
      </w:r>
      <w:proofErr w:type="spellStart"/>
      <w:r w:rsidRPr="00F3003F">
        <w:t>tezepelumab</w:t>
      </w:r>
      <w:proofErr w:type="spellEnd"/>
      <w:r w:rsidRPr="00F3003F">
        <w:t xml:space="preserve"> treatment group compared to placebo through to </w:t>
      </w:r>
      <w:r w:rsidR="0088628F">
        <w:t>W</w:t>
      </w:r>
      <w:r w:rsidRPr="00F3003F">
        <w:t>eek 104.</w:t>
      </w:r>
    </w:p>
    <w:p w14:paraId="5BB7F9BE" w14:textId="6C6AD8C2" w:rsidR="004E5A73" w:rsidRPr="00F3003F" w:rsidRDefault="004E5A73" w:rsidP="00F3003F">
      <w:r w:rsidRPr="00F3003F">
        <w:t xml:space="preserve">For adolescent subjects, </w:t>
      </w:r>
      <w:proofErr w:type="spellStart"/>
      <w:r w:rsidRPr="00F3003F">
        <w:t>tezepelumab</w:t>
      </w:r>
      <w:proofErr w:type="spellEnd"/>
      <w:r w:rsidRPr="00F3003F">
        <w:t xml:space="preserve"> </w:t>
      </w:r>
      <w:r w:rsidR="00661E83">
        <w:t>210 mg</w:t>
      </w:r>
      <w:r w:rsidRPr="00F3003F">
        <w:t xml:space="preserve"> </w:t>
      </w:r>
      <w:r w:rsidR="0088628F">
        <w:t xml:space="preserve">SC </w:t>
      </w:r>
      <w:r w:rsidRPr="00F3003F">
        <w:t>Q4W treatment resulted in a reduction in the rate of asthma exacerbations by 28% compared to placebo over 104 weeks.</w:t>
      </w:r>
    </w:p>
    <w:p w14:paraId="0F5810FE" w14:textId="0B9E9D0E" w:rsidR="00E3282C" w:rsidRPr="00F3003F" w:rsidRDefault="00E3282C" w:rsidP="00E3282C">
      <w:pPr>
        <w:pStyle w:val="FigureTitle"/>
      </w:pPr>
      <w:bookmarkStart w:id="77" w:name="_Ref204163916"/>
      <w:r>
        <w:t xml:space="preserve">Table </w:t>
      </w:r>
      <w:r>
        <w:fldChar w:fldCharType="begin"/>
      </w:r>
      <w:r>
        <w:instrText xml:space="preserve"> SEQ Table \* ARABIC </w:instrText>
      </w:r>
      <w:r>
        <w:fldChar w:fldCharType="separate"/>
      </w:r>
      <w:r w:rsidR="005657B1">
        <w:rPr>
          <w:noProof/>
        </w:rPr>
        <w:t>13</w:t>
      </w:r>
      <w:r>
        <w:fldChar w:fldCharType="end"/>
      </w:r>
      <w:bookmarkEnd w:id="77"/>
      <w:r>
        <w:t>: DESTINATION Annual asthma exacerbation rate ratio over 104 weeks - negative binomial model. planned treatment, subjects from NAVIGATOR as predecessor (full analysis set)</w:t>
      </w:r>
    </w:p>
    <w:p w14:paraId="3CBD6BC1" w14:textId="77777777" w:rsidR="004E5A73" w:rsidRPr="00F3003F" w:rsidRDefault="004E5A73" w:rsidP="00F3003F">
      <w:r w:rsidRPr="00F3003F">
        <w:rPr>
          <w:noProof/>
        </w:rPr>
        <w:drawing>
          <wp:inline distT="0" distB="0" distL="0" distR="0" wp14:anchorId="57851534" wp14:editId="36E11B02">
            <wp:extent cx="5469147" cy="1617707"/>
            <wp:effectExtent l="0" t="0" r="0" b="1905"/>
            <wp:docPr id="1767177291" name="Picture 3" descr="Table 13: DESTINATION Annual asthma exacerbation rate ratio over 104 weeks - negative binomial model. planned treatment, subjects from NAVIGATOR as predecessor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77291" name="Picture 3" descr="Table 13: DESTINATION Annual asthma exacerbation rate ratio over 104 weeks - negative binomial model. planned treatment, subjects from NAVIGATOR as predecessor (full analysis set)"/>
                    <pic:cNvPicPr/>
                  </pic:nvPicPr>
                  <pic:blipFill>
                    <a:blip r:embed="rId40">
                      <a:extLst>
                        <a:ext uri="{28A0092B-C50C-407E-A947-70E740481C1C}">
                          <a14:useLocalDpi xmlns:a14="http://schemas.microsoft.com/office/drawing/2010/main" val="0"/>
                        </a:ext>
                      </a:extLst>
                    </a:blip>
                    <a:stretch>
                      <a:fillRect/>
                    </a:stretch>
                  </pic:blipFill>
                  <pic:spPr>
                    <a:xfrm>
                      <a:off x="0" y="0"/>
                      <a:ext cx="5497369" cy="1626055"/>
                    </a:xfrm>
                    <a:prstGeom prst="rect">
                      <a:avLst/>
                    </a:prstGeom>
                  </pic:spPr>
                </pic:pic>
              </a:graphicData>
            </a:graphic>
          </wp:inline>
        </w:drawing>
      </w:r>
    </w:p>
    <w:p w14:paraId="49DB9C7C" w14:textId="179A7896" w:rsidR="004E5A73" w:rsidRPr="00F3003F" w:rsidRDefault="004E5A73" w:rsidP="00F3003F">
      <w:pPr>
        <w:pStyle w:val="TableDescription"/>
      </w:pPr>
      <w:r w:rsidRPr="00F3003F">
        <w:t>CI</w:t>
      </w:r>
      <w:r w:rsidR="00873AC3">
        <w:t xml:space="preserve"> =</w:t>
      </w:r>
      <w:r w:rsidRPr="00F3003F">
        <w:t xml:space="preserve"> confidence interval; n</w:t>
      </w:r>
      <w:r w:rsidR="00873AC3">
        <w:t xml:space="preserve"> = </w:t>
      </w:r>
      <w:r w:rsidRPr="00F3003F">
        <w:t>number of subjects in analysis; FAS</w:t>
      </w:r>
      <w:r w:rsidR="00873AC3">
        <w:t xml:space="preserve"> </w:t>
      </w:r>
      <w:r w:rsidR="00F90A8D">
        <w:t xml:space="preserve">= </w:t>
      </w:r>
      <w:r w:rsidRPr="00F3003F">
        <w:t>Full analysis set; N</w:t>
      </w:r>
      <w:r w:rsidR="00F90A8D">
        <w:t xml:space="preserve"> = </w:t>
      </w:r>
      <w:r w:rsidRPr="00F3003F">
        <w:t xml:space="preserve">number of subjects in treatment group; Rand </w:t>
      </w:r>
      <w:proofErr w:type="spellStart"/>
      <w:r w:rsidRPr="00F3003F">
        <w:t>Pbo</w:t>
      </w:r>
      <w:proofErr w:type="spellEnd"/>
      <w:r w:rsidR="00F90A8D">
        <w:t xml:space="preserve"> = </w:t>
      </w:r>
      <w:r w:rsidRPr="00F3003F">
        <w:t xml:space="preserve">all subjects randomised to placebo in predecessor period excluding data from long term extension period for subjects switched to </w:t>
      </w:r>
      <w:proofErr w:type="spellStart"/>
      <w:r w:rsidRPr="00F3003F">
        <w:t>tezepelumab</w:t>
      </w:r>
      <w:proofErr w:type="spellEnd"/>
      <w:r w:rsidRPr="00F3003F">
        <w:t xml:space="preserve">; Rand </w:t>
      </w:r>
      <w:proofErr w:type="spellStart"/>
      <w:r w:rsidRPr="00F3003F">
        <w:t>Teze</w:t>
      </w:r>
      <w:proofErr w:type="spellEnd"/>
      <w:r w:rsidR="00F90A8D">
        <w:t xml:space="preserve"> = </w:t>
      </w:r>
      <w:r w:rsidRPr="00F3003F">
        <w:t>all subjects randomised to Tezepelumab in predecessor period.</w:t>
      </w:r>
    </w:p>
    <w:p w14:paraId="1858AA48" w14:textId="6B238F7F" w:rsidR="00E3282C" w:rsidRPr="00F3003F" w:rsidRDefault="00E3282C" w:rsidP="00E3282C">
      <w:pPr>
        <w:pStyle w:val="TableTitle"/>
      </w:pPr>
      <w:bookmarkStart w:id="78" w:name="_Ref204163936"/>
      <w:r>
        <w:lastRenderedPageBreak/>
        <w:t xml:space="preserve">Table </w:t>
      </w:r>
      <w:r>
        <w:fldChar w:fldCharType="begin"/>
      </w:r>
      <w:r>
        <w:instrText xml:space="preserve"> SEQ Table \* ARABIC </w:instrText>
      </w:r>
      <w:r>
        <w:fldChar w:fldCharType="separate"/>
      </w:r>
      <w:r w:rsidR="005657B1">
        <w:rPr>
          <w:noProof/>
        </w:rPr>
        <w:t>14</w:t>
      </w:r>
      <w:r>
        <w:fldChar w:fldCharType="end"/>
      </w:r>
      <w:bookmarkEnd w:id="78"/>
      <w:r>
        <w:t xml:space="preserve">: DESTINATION </w:t>
      </w:r>
      <w:r w:rsidRPr="00E3282C">
        <w:t xml:space="preserve">Annual asthma exacerbation rate ratio over 104 weeks - negative binomial model. planned treatment, subjects from </w:t>
      </w:r>
      <w:r>
        <w:t>SOURCE</w:t>
      </w:r>
      <w:r w:rsidRPr="00E3282C">
        <w:t xml:space="preserve"> as predecessor (full analysis set)</w:t>
      </w:r>
    </w:p>
    <w:p w14:paraId="250876CF" w14:textId="77777777" w:rsidR="004E5A73" w:rsidRPr="00F3003F" w:rsidRDefault="004E5A73" w:rsidP="00F3003F">
      <w:r w:rsidRPr="00F3003F">
        <w:rPr>
          <w:noProof/>
        </w:rPr>
        <w:drawing>
          <wp:inline distT="0" distB="0" distL="0" distR="0" wp14:anchorId="26E7929F" wp14:editId="621304AF">
            <wp:extent cx="5486400" cy="1832114"/>
            <wp:effectExtent l="0" t="0" r="0" b="0"/>
            <wp:docPr id="1494766727" name="Picture 4" descr="Table 14: DESTINATION Annual asthma exacerbation rate ratio over 104 weeks - negative binomial model. planned treatment, subjects from SOURCE as predecessor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66727" name="Picture 4" descr="Table 14: DESTINATION Annual asthma exacerbation rate ratio over 104 weeks - negative binomial model. planned treatment, subjects from SOURCE as predecessor (full analysis set)"/>
                    <pic:cNvPicPr/>
                  </pic:nvPicPr>
                  <pic:blipFill>
                    <a:blip r:embed="rId41">
                      <a:extLst>
                        <a:ext uri="{28A0092B-C50C-407E-A947-70E740481C1C}">
                          <a14:useLocalDpi xmlns:a14="http://schemas.microsoft.com/office/drawing/2010/main" val="0"/>
                        </a:ext>
                      </a:extLst>
                    </a:blip>
                    <a:stretch>
                      <a:fillRect/>
                    </a:stretch>
                  </pic:blipFill>
                  <pic:spPr>
                    <a:xfrm>
                      <a:off x="0" y="0"/>
                      <a:ext cx="5503518" cy="1837830"/>
                    </a:xfrm>
                    <a:prstGeom prst="rect">
                      <a:avLst/>
                    </a:prstGeom>
                  </pic:spPr>
                </pic:pic>
              </a:graphicData>
            </a:graphic>
          </wp:inline>
        </w:drawing>
      </w:r>
    </w:p>
    <w:p w14:paraId="50C2AD74" w14:textId="272FCC0E" w:rsidR="004E5A73" w:rsidRPr="00F3003F" w:rsidRDefault="004E5A73" w:rsidP="00F3003F">
      <w:pPr>
        <w:pStyle w:val="TableDescription"/>
      </w:pPr>
      <w:r w:rsidRPr="00F3003F">
        <w:t>CI</w:t>
      </w:r>
      <w:r w:rsidR="00213165">
        <w:t xml:space="preserve"> = </w:t>
      </w:r>
      <w:r w:rsidRPr="00F3003F">
        <w:t>confidence interval; n</w:t>
      </w:r>
      <w:r w:rsidR="00213165">
        <w:t xml:space="preserve"> = </w:t>
      </w:r>
      <w:r w:rsidRPr="00F3003F">
        <w:t>number of subjects in analysis; FAS</w:t>
      </w:r>
      <w:r w:rsidR="00213165">
        <w:t xml:space="preserve"> = </w:t>
      </w:r>
      <w:r w:rsidRPr="00F3003F">
        <w:t>Full analysis set; N</w:t>
      </w:r>
      <w:r w:rsidR="00213165">
        <w:t xml:space="preserve"> = </w:t>
      </w:r>
      <w:r w:rsidRPr="00F3003F">
        <w:t xml:space="preserve">number of subjects in treatment group; Rand </w:t>
      </w:r>
      <w:proofErr w:type="spellStart"/>
      <w:r w:rsidRPr="00F3003F">
        <w:t>Pbo</w:t>
      </w:r>
      <w:proofErr w:type="spellEnd"/>
      <w:r w:rsidR="00213165">
        <w:t xml:space="preserve"> = </w:t>
      </w:r>
      <w:r w:rsidRPr="00F3003F">
        <w:t xml:space="preserve">all subjects randomised to placebo in predecessor period excluding data from long term extension period for subjects switched to </w:t>
      </w:r>
      <w:proofErr w:type="spellStart"/>
      <w:r w:rsidRPr="00F3003F">
        <w:t>tezepelumab</w:t>
      </w:r>
      <w:proofErr w:type="spellEnd"/>
      <w:r w:rsidRPr="00F3003F">
        <w:t xml:space="preserve">; Rand </w:t>
      </w:r>
      <w:proofErr w:type="spellStart"/>
      <w:r w:rsidRPr="00F3003F">
        <w:t>Teze</w:t>
      </w:r>
      <w:proofErr w:type="spellEnd"/>
      <w:r w:rsidR="00213165">
        <w:t xml:space="preserve"> = </w:t>
      </w:r>
      <w:r w:rsidRPr="00F3003F">
        <w:t>all subjects randomised to Tezepelumab in predecessor period.</w:t>
      </w:r>
    </w:p>
    <w:p w14:paraId="437B379A" w14:textId="0E1C84D0" w:rsidR="00D15EB9" w:rsidRPr="00D15EB9" w:rsidRDefault="00D15EB9" w:rsidP="00D15EB9">
      <w:pPr>
        <w:pStyle w:val="Heading4"/>
      </w:pPr>
      <w:bookmarkStart w:id="79" w:name="_Toc230164566"/>
      <w:r w:rsidRPr="00D15EB9">
        <w:t>Safety</w:t>
      </w:r>
      <w:bookmarkEnd w:id="79"/>
    </w:p>
    <w:p w14:paraId="6910D91F" w14:textId="77777777" w:rsidR="00D15EB9" w:rsidRPr="00D15EB9" w:rsidRDefault="00D15EB9" w:rsidP="0017470E">
      <w:pPr>
        <w:pStyle w:val="Heading5"/>
      </w:pPr>
      <w:r w:rsidRPr="00D15EB9">
        <w:t>Patient exposure</w:t>
      </w:r>
    </w:p>
    <w:p w14:paraId="466673B8" w14:textId="77777777" w:rsidR="00D15EB9" w:rsidRPr="00D15EB9" w:rsidRDefault="00D15EB9" w:rsidP="00D15EB9">
      <w:r w:rsidRPr="00D15EB9">
        <w:t xml:space="preserve">The overall clinical development program included safety assessments for 2143 subjects with asthma administered at least 1 dose of </w:t>
      </w:r>
      <w:proofErr w:type="spellStart"/>
      <w:r w:rsidRPr="00D15EB9">
        <w:t>tezepelumab</w:t>
      </w:r>
      <w:proofErr w:type="spellEnd"/>
      <w:r w:rsidRPr="00D15EB9">
        <w:t xml:space="preserve"> or placebo, including 1326 subjects treated with </w:t>
      </w:r>
      <w:proofErr w:type="spellStart"/>
      <w:r w:rsidRPr="00D15EB9">
        <w:t>tezepelumab</w:t>
      </w:r>
      <w:proofErr w:type="spellEnd"/>
      <w:r w:rsidRPr="00D15EB9">
        <w:t xml:space="preserve"> representing over 1100 subject-years of exposure to </w:t>
      </w:r>
      <w:proofErr w:type="spellStart"/>
      <w:r w:rsidRPr="00D15EB9">
        <w:t>tezepelumab</w:t>
      </w:r>
      <w:proofErr w:type="spellEnd"/>
      <w:r w:rsidRPr="00D15EB9">
        <w:t xml:space="preserve"> at any dose. Two pools of study data were provided: the Primary Safety Pool and the Exposure Pool.</w:t>
      </w:r>
    </w:p>
    <w:p w14:paraId="6372448A" w14:textId="2BC789A7" w:rsidR="00D15EB9" w:rsidRPr="00D15EB9" w:rsidRDefault="00D15EB9" w:rsidP="0043717C">
      <w:pPr>
        <w:pStyle w:val="ListBullet"/>
      </w:pPr>
      <w:r w:rsidRPr="00D15EB9">
        <w:t xml:space="preserve">The Exposure Pool included 1289 subjects with asthma who received at least one dose of </w:t>
      </w:r>
      <w:proofErr w:type="spellStart"/>
      <w:r w:rsidRPr="00D15EB9">
        <w:t>tezepelumab</w:t>
      </w:r>
      <w:proofErr w:type="spellEnd"/>
      <w:r w:rsidRPr="00D15EB9">
        <w:t xml:space="preserve"> SC at doses of 70</w:t>
      </w:r>
      <w:r w:rsidR="007B63CE">
        <w:t> </w:t>
      </w:r>
      <w:r w:rsidRPr="00D15EB9">
        <w:t xml:space="preserve">mg, </w:t>
      </w:r>
      <w:r w:rsidR="00661E83">
        <w:t>210 mg</w:t>
      </w:r>
      <w:r w:rsidRPr="00D15EB9">
        <w:t xml:space="preserve"> or 280</w:t>
      </w:r>
      <w:r w:rsidR="007B63CE">
        <w:t> </w:t>
      </w:r>
      <w:r w:rsidRPr="00D15EB9">
        <w:t xml:space="preserve">mg Q2W, representing approximately 1107 subject-years of exposure. A total of 1104 subjects were exposed to </w:t>
      </w:r>
      <w:proofErr w:type="spellStart"/>
      <w:r w:rsidRPr="00D15EB9">
        <w:t>tezepelumab</w:t>
      </w:r>
      <w:proofErr w:type="spellEnd"/>
      <w:r w:rsidRPr="00D15EB9">
        <w:t xml:space="preserve"> doses of </w:t>
      </w:r>
      <w:r w:rsidR="00661E83">
        <w:t>210 mg</w:t>
      </w:r>
      <w:r w:rsidRPr="00D15EB9">
        <w:t xml:space="preserve"> SC Q4W or higher for 6 months (defined as </w:t>
      </w:r>
      <w:r w:rsidR="00D60A4D">
        <w:t>at least</w:t>
      </w:r>
      <w:r w:rsidRPr="00D15EB9">
        <w:t xml:space="preserve"> 20 weeks of dosing) and 787 subjects were exposed to </w:t>
      </w:r>
      <w:proofErr w:type="spellStart"/>
      <w:r w:rsidRPr="00D15EB9">
        <w:t>tezepelumab</w:t>
      </w:r>
      <w:proofErr w:type="spellEnd"/>
      <w:r w:rsidRPr="00D15EB9">
        <w:t xml:space="preserve"> doses of </w:t>
      </w:r>
      <w:r w:rsidR="00661E83">
        <w:t>210 mg</w:t>
      </w:r>
      <w:r w:rsidRPr="00D15EB9">
        <w:t xml:space="preserve"> SC Q4W or higher for one year (</w:t>
      </w:r>
      <w:r w:rsidR="00D60A4D">
        <w:t>at least</w:t>
      </w:r>
      <w:r w:rsidRPr="00D15EB9">
        <w:t xml:space="preserve"> 48 weeks of dosing).</w:t>
      </w:r>
    </w:p>
    <w:p w14:paraId="31BC5526" w14:textId="10DFCF58" w:rsidR="00D15EB9" w:rsidRDefault="00D15EB9" w:rsidP="0043717C">
      <w:pPr>
        <w:pStyle w:val="ListBullet"/>
      </w:pPr>
      <w:r w:rsidRPr="00D15EB9">
        <w:t xml:space="preserve">The Primary Safety Pool included 665 subjects who received </w:t>
      </w:r>
      <w:proofErr w:type="spellStart"/>
      <w:r w:rsidRPr="00D15EB9">
        <w:t>tezepelumab</w:t>
      </w:r>
      <w:proofErr w:type="spellEnd"/>
      <w:r w:rsidRPr="00D15EB9">
        <w:t xml:space="preserve"> </w:t>
      </w:r>
      <w:r w:rsidR="00661E83">
        <w:t>210 mg</w:t>
      </w:r>
      <w:r w:rsidRPr="00D15EB9">
        <w:t xml:space="preserve"> SC Q4W for up to one year, representing approximately 640 subject-years of exposure.</w:t>
      </w:r>
    </w:p>
    <w:p w14:paraId="211B65AD" w14:textId="4BAF0C79" w:rsidR="00D15EB9" w:rsidRPr="00D15EB9" w:rsidRDefault="00D15EB9" w:rsidP="00D15EB9">
      <w:bookmarkStart w:id="80" w:name="_Hlk113347923"/>
      <w:r w:rsidRPr="00D15EB9">
        <w:t xml:space="preserve">The Primary Safety Pool (for integrated summary of safety) </w:t>
      </w:r>
      <w:bookmarkEnd w:id="80"/>
      <w:r w:rsidRPr="00D15EB9">
        <w:t xml:space="preserve">consists of data from the asthma exacerbation studies NAVIGATOR and PATHWAY for the </w:t>
      </w:r>
      <w:r w:rsidR="00661E83">
        <w:t>210 mg</w:t>
      </w:r>
      <w:r w:rsidRPr="00D15EB9">
        <w:t xml:space="preserve"> Q4W SC dose and placebo groups. These studies have similar design and inclusion/exclusion criteria, the same treatment duration and same safety endpoints and compatible frequency and timing of safety assessments. There were 1334 people who received treatment, 665 in the </w:t>
      </w:r>
      <w:proofErr w:type="spellStart"/>
      <w:r w:rsidRPr="00D15EB9">
        <w:t>tezepelumab</w:t>
      </w:r>
      <w:proofErr w:type="spellEnd"/>
      <w:r w:rsidRPr="00D15EB9">
        <w:t xml:space="preserve"> </w:t>
      </w:r>
      <w:r w:rsidR="00661E83">
        <w:t>210 mg</w:t>
      </w:r>
      <w:r w:rsidRPr="00D15EB9">
        <w:t xml:space="preserve"> Q4W group and 669 in the placebo group. Of these 91% completed treatment and 90.7% completed treatment and the study. The mean duration of exposure was similar in both groups: 349.63 </w:t>
      </w:r>
      <w:r w:rsidR="004F0B5A">
        <w:t xml:space="preserve">days </w:t>
      </w:r>
      <w:r w:rsidRPr="00D15EB9">
        <w:t xml:space="preserve">(SD: 65.62; range 15.0 to 404.0 days) in </w:t>
      </w:r>
      <w:proofErr w:type="spellStart"/>
      <w:r w:rsidRPr="00D15EB9">
        <w:t>tezepelumab</w:t>
      </w:r>
      <w:proofErr w:type="spellEnd"/>
      <w:r w:rsidRPr="00D15EB9">
        <w:t xml:space="preserve"> group and 348.03 </w:t>
      </w:r>
      <w:r w:rsidR="00ED27F3">
        <w:t xml:space="preserve">days </w:t>
      </w:r>
      <w:r w:rsidRPr="00D15EB9">
        <w:t>(SD: 71.74; range 29.0 to 397.0 days) in the placebo group, with 615 subjects receiving at least 48</w:t>
      </w:r>
      <w:r w:rsidR="00ED27F3">
        <w:t> </w:t>
      </w:r>
      <w:r w:rsidRPr="00D15EB9">
        <w:t xml:space="preserve">weeks of cumulative drug exposure to </w:t>
      </w:r>
      <w:proofErr w:type="spellStart"/>
      <w:r w:rsidRPr="00D15EB9">
        <w:t>tezepelumab</w:t>
      </w:r>
      <w:proofErr w:type="spellEnd"/>
      <w:r w:rsidRPr="00D15EB9">
        <w:t xml:space="preserve"> </w:t>
      </w:r>
      <w:r w:rsidR="00661E83">
        <w:t>210 mg</w:t>
      </w:r>
      <w:r w:rsidRPr="00D15EB9">
        <w:t xml:space="preserve"> Q4W.</w:t>
      </w:r>
    </w:p>
    <w:p w14:paraId="331873A4" w14:textId="298B0F56" w:rsidR="00D15EB9" w:rsidRPr="00D15EB9" w:rsidRDefault="00D15EB9" w:rsidP="00D15EB9">
      <w:r w:rsidRPr="00D15EB9">
        <w:t xml:space="preserve">Adverse event data from SOURCE, and PATH-HOME, were not integrated in the Primary Safety Pool. This is because the SOURCE design incorporated a planned reduction of OCS which could confound the interpretation of results, and PATH-HOME was not </w:t>
      </w:r>
      <w:r w:rsidR="00ED27F3">
        <w:t xml:space="preserve">a </w:t>
      </w:r>
      <w:r w:rsidRPr="00D15EB9">
        <w:t>placebo-controlled study, used different study methods and the length of study was shorter.</w:t>
      </w:r>
    </w:p>
    <w:p w14:paraId="4C193398" w14:textId="30E16104" w:rsidR="00D15EB9" w:rsidRPr="00D15EB9" w:rsidRDefault="00D15EB9" w:rsidP="00D15EB9">
      <w:r w:rsidRPr="00D15EB9">
        <w:lastRenderedPageBreak/>
        <w:t xml:space="preserve">In SOURCE, 74 people received </w:t>
      </w:r>
      <w:proofErr w:type="spellStart"/>
      <w:r w:rsidRPr="00D15EB9">
        <w:t>tezepelumab</w:t>
      </w:r>
      <w:proofErr w:type="spellEnd"/>
      <w:r w:rsidRPr="00D15EB9">
        <w:t xml:space="preserve"> 210</w:t>
      </w:r>
      <w:r w:rsidR="00ED27F3">
        <w:t> </w:t>
      </w:r>
      <w:r w:rsidRPr="00D15EB9">
        <w:t xml:space="preserve">mg Q4W, the </w:t>
      </w:r>
      <w:r w:rsidR="00ED27F3">
        <w:t>m</w:t>
      </w:r>
      <w:r w:rsidRPr="00D15EB9">
        <w:t>edian (range) exposure in this group was 337.5 (24 to 344) days and total exposure was 64.57 patient-years. A total of 91.3% of subjects completed treatment and 94.0% completed the study.</w:t>
      </w:r>
    </w:p>
    <w:p w14:paraId="7DDD1FF6" w14:textId="180D359A" w:rsidR="00D15EB9" w:rsidRPr="00D15EB9" w:rsidRDefault="00D15EB9" w:rsidP="00D15EB9">
      <w:r w:rsidRPr="00D15EB9">
        <w:t xml:space="preserve">In PATH-HOME 216 patients were exposed to </w:t>
      </w:r>
      <w:proofErr w:type="spellStart"/>
      <w:r w:rsidRPr="00D15EB9">
        <w:t>tezepelumab</w:t>
      </w:r>
      <w:proofErr w:type="spellEnd"/>
      <w:r w:rsidRPr="00D15EB9">
        <w:t xml:space="preserve"> </w:t>
      </w:r>
      <w:r w:rsidR="00661E83">
        <w:t>210 mg</w:t>
      </w:r>
      <w:r w:rsidRPr="00D15EB9">
        <w:t xml:space="preserve"> </w:t>
      </w:r>
      <w:r w:rsidR="00661E83">
        <w:t>Q4W</w:t>
      </w:r>
      <w:r w:rsidRPr="00D15EB9">
        <w:t xml:space="preserve"> for </w:t>
      </w:r>
      <w:r w:rsidR="00ED27F3">
        <w:t>6</w:t>
      </w:r>
      <w:r w:rsidRPr="00D15EB9">
        <w:t xml:space="preserve"> doses.</w:t>
      </w:r>
    </w:p>
    <w:p w14:paraId="27202717" w14:textId="7E3053C7" w:rsidR="00D15EB9" w:rsidRPr="00D15EB9" w:rsidRDefault="00D15EB9" w:rsidP="00D15EB9">
      <w:r w:rsidRPr="00D15EB9">
        <w:t xml:space="preserve">In CASCADE 116 subjects were randomised and included in the analyses (59 to </w:t>
      </w:r>
      <w:proofErr w:type="spellStart"/>
      <w:r w:rsidRPr="00D15EB9">
        <w:t>tezepelumab</w:t>
      </w:r>
      <w:proofErr w:type="spellEnd"/>
      <w:r w:rsidRPr="00D15EB9">
        <w:t xml:space="preserve"> </w:t>
      </w:r>
      <w:r w:rsidR="00661E83">
        <w:t>210 mg</w:t>
      </w:r>
      <w:r w:rsidRPr="00D15EB9">
        <w:t xml:space="preserve"> SC Q4W and 57 to placebo) and a total of 112 subjects completed treatment and completed the study (56 [94.9%] in the </w:t>
      </w:r>
      <w:proofErr w:type="spellStart"/>
      <w:r w:rsidRPr="00D15EB9">
        <w:t>tezepelumab</w:t>
      </w:r>
      <w:proofErr w:type="spellEnd"/>
      <w:r w:rsidRPr="00D15EB9">
        <w:t xml:space="preserve"> group and 56 [98.2%] in the placebo group).</w:t>
      </w:r>
    </w:p>
    <w:p w14:paraId="1788679D" w14:textId="7688A994" w:rsidR="00D15EB9" w:rsidRPr="00D15EB9" w:rsidRDefault="00D15EB9" w:rsidP="00D15EB9">
      <w:r w:rsidRPr="00D15EB9">
        <w:t xml:space="preserve">Additionally, the long-term safety extension study DESTINATION, based on pooled exposure data for subjects from both predecessor studies (NAVIGATOR and SOURCE), included a total of 839 subjects in the </w:t>
      </w:r>
      <w:proofErr w:type="spellStart"/>
      <w:r w:rsidRPr="00D15EB9">
        <w:t>tezepelumab</w:t>
      </w:r>
      <w:proofErr w:type="spellEnd"/>
      <w:r w:rsidRPr="00D15EB9">
        <w:t xml:space="preserve"> group who were exposed to </w:t>
      </w:r>
      <w:proofErr w:type="spellStart"/>
      <w:r w:rsidRPr="00D15EB9">
        <w:t>tezepelumab</w:t>
      </w:r>
      <w:proofErr w:type="spellEnd"/>
      <w:r w:rsidRPr="00D15EB9">
        <w:t xml:space="preserve"> with an overall mean duration of exposure of 558.7 days (range: 24 to 796 days).</w:t>
      </w:r>
    </w:p>
    <w:p w14:paraId="66FBA5BC" w14:textId="77777777" w:rsidR="00D15EB9" w:rsidRPr="00D15EB9" w:rsidRDefault="00D15EB9" w:rsidP="0017470E">
      <w:pPr>
        <w:pStyle w:val="Heading5"/>
        <w:rPr>
          <w:rFonts w:eastAsia="TimesNewRoman"/>
        </w:rPr>
      </w:pPr>
      <w:r w:rsidRPr="00D15EB9">
        <w:rPr>
          <w:rFonts w:eastAsia="TimesNewRoman"/>
        </w:rPr>
        <w:t>Adverse events</w:t>
      </w:r>
    </w:p>
    <w:p w14:paraId="763F70B8" w14:textId="77777777" w:rsidR="00ED27F3" w:rsidRDefault="00D15EB9" w:rsidP="0017470E">
      <w:pPr>
        <w:pStyle w:val="Heading6"/>
        <w:rPr>
          <w:rFonts w:eastAsia="TimesNewRoman"/>
        </w:rPr>
      </w:pPr>
      <w:r w:rsidRPr="00D15EB9">
        <w:rPr>
          <w:rFonts w:eastAsia="TimesNewRoman"/>
        </w:rPr>
        <w:t>Integrated safety analysis</w:t>
      </w:r>
    </w:p>
    <w:p w14:paraId="5F1203DF" w14:textId="443D4848" w:rsidR="00D15EB9" w:rsidRPr="00D15EB9" w:rsidRDefault="00D15EB9" w:rsidP="00ED27F3">
      <w:pPr>
        <w:pStyle w:val="Heading7"/>
        <w:rPr>
          <w:rFonts w:eastAsia="TimesNewRoman"/>
        </w:rPr>
      </w:pPr>
      <w:r w:rsidRPr="00D15EB9">
        <w:rPr>
          <w:rFonts w:eastAsia="TimesNewRoman"/>
        </w:rPr>
        <w:t xml:space="preserve">Primary </w:t>
      </w:r>
      <w:r w:rsidR="00247131">
        <w:rPr>
          <w:rFonts w:eastAsia="TimesNewRoman"/>
        </w:rPr>
        <w:t>S</w:t>
      </w:r>
      <w:r w:rsidRPr="00D15EB9">
        <w:rPr>
          <w:rFonts w:eastAsia="TimesNewRoman"/>
        </w:rPr>
        <w:t xml:space="preserve">afety </w:t>
      </w:r>
      <w:r w:rsidR="00247131">
        <w:rPr>
          <w:rFonts w:eastAsia="TimesNewRoman"/>
        </w:rPr>
        <w:t>P</w:t>
      </w:r>
      <w:r w:rsidRPr="00D15EB9">
        <w:rPr>
          <w:rFonts w:eastAsia="TimesNewRoman"/>
        </w:rPr>
        <w:t xml:space="preserve">ool </w:t>
      </w:r>
      <w:r w:rsidR="00ED27F3">
        <w:rPr>
          <w:rFonts w:eastAsia="TimesNewRoman"/>
        </w:rPr>
        <w:t xml:space="preserve">- </w:t>
      </w:r>
      <w:r w:rsidRPr="00D15EB9">
        <w:rPr>
          <w:rFonts w:eastAsia="TimesNewRoman"/>
        </w:rPr>
        <w:t>NAVIGATOR and PATHWAY subjects</w:t>
      </w:r>
    </w:p>
    <w:p w14:paraId="512B7567" w14:textId="746E4892" w:rsidR="00D15EB9" w:rsidRPr="00D15EB9" w:rsidRDefault="00D15EB9" w:rsidP="00D15EB9">
      <w:r w:rsidRPr="00D15EB9">
        <w:t>The Primary Safety Pool included 1336 randomised subjects, of whom 1334 received treatment, (665</w:t>
      </w:r>
      <w:r w:rsidR="00ED27F3">
        <w:t xml:space="preserve"> on</w:t>
      </w:r>
      <w:r w:rsidRPr="00D15EB9">
        <w:t xml:space="preserve"> </w:t>
      </w:r>
      <w:proofErr w:type="spellStart"/>
      <w:r w:rsidRPr="00D15EB9">
        <w:t>tezepelumab</w:t>
      </w:r>
      <w:proofErr w:type="spellEnd"/>
      <w:r w:rsidRPr="00D15EB9">
        <w:t xml:space="preserve"> </w:t>
      </w:r>
      <w:r w:rsidR="00661E83">
        <w:t>210 mg</w:t>
      </w:r>
      <w:r w:rsidRPr="00D15EB9">
        <w:t xml:space="preserve"> Q4W, 669</w:t>
      </w:r>
      <w:r w:rsidR="00ED27F3">
        <w:t xml:space="preserve"> on</w:t>
      </w:r>
      <w:r w:rsidRPr="00D15EB9">
        <w:t xml:space="preserve"> placebo); these 1334 subjects comprise the safety analysis set. Of these 1216 (91.0%) completed treatment as planned and 1212 (90.7%) completed the study. The mean duration of exposure was similar in both groups: 349.63 </w:t>
      </w:r>
      <w:r w:rsidR="00ED27F3">
        <w:t xml:space="preserve">days </w:t>
      </w:r>
      <w:r w:rsidRPr="00D15EB9">
        <w:t xml:space="preserve">(SD: 65.62) range (15.0 to 404.0 days) in the </w:t>
      </w:r>
      <w:proofErr w:type="spellStart"/>
      <w:r w:rsidRPr="00D15EB9">
        <w:t>tezepelumab</w:t>
      </w:r>
      <w:proofErr w:type="spellEnd"/>
      <w:r w:rsidRPr="00D15EB9">
        <w:t xml:space="preserve"> group and 348.03 </w:t>
      </w:r>
      <w:r w:rsidR="00ED27F3">
        <w:t xml:space="preserve">days </w:t>
      </w:r>
      <w:r w:rsidRPr="00D15EB9">
        <w:t>(SD: 71.74) range (29.0 to 397.0 days) in the placebo group.</w:t>
      </w:r>
    </w:p>
    <w:p w14:paraId="0B43BFC5" w14:textId="5A4C4CD7" w:rsidR="00D15EB9" w:rsidRDefault="00D15EB9" w:rsidP="00D15EB9">
      <w:proofErr w:type="gramStart"/>
      <w:r w:rsidRPr="00D15EB9">
        <w:t>The majority of</w:t>
      </w:r>
      <w:proofErr w:type="gramEnd"/>
      <w:r w:rsidRPr="00D15EB9">
        <w:t xml:space="preserve"> subjects in the Primary Safety Pool were White (68.2%), female (63.9%), not Hispanic or Latino (87.6%) and the average BMI was 28.49 kg/m</w:t>
      </w:r>
      <w:r w:rsidRPr="00ED27F3">
        <w:rPr>
          <w:vertAlign w:val="superscript"/>
        </w:rPr>
        <w:t>2</w:t>
      </w:r>
      <w:r w:rsidRPr="00D15EB9">
        <w:t xml:space="preserve"> with over 30% of subjects in each of the BMI Index Groups 18.5 to </w:t>
      </w:r>
      <w:r w:rsidR="00ED27F3">
        <w:t>less than</w:t>
      </w:r>
      <w:r w:rsidRPr="00D15EB9">
        <w:t xml:space="preserve"> 25, </w:t>
      </w:r>
      <w:r w:rsidR="00ED27F3">
        <w:t xml:space="preserve">at least </w:t>
      </w:r>
      <w:r w:rsidRPr="00D15EB9">
        <w:t>25 to 30</w:t>
      </w:r>
      <w:r w:rsidR="00ED27F3">
        <w:t>,</w:t>
      </w:r>
      <w:r w:rsidRPr="00D15EB9">
        <w:t xml:space="preserve"> and </w:t>
      </w:r>
      <w:r w:rsidR="00ED27F3">
        <w:t>over</w:t>
      </w:r>
      <w:r w:rsidRPr="00D15EB9">
        <w:t xml:space="preserve"> 30 kg/m</w:t>
      </w:r>
      <w:r w:rsidRPr="00ED27F3">
        <w:rPr>
          <w:vertAlign w:val="superscript"/>
        </w:rPr>
        <w:t>2</w:t>
      </w:r>
      <w:r w:rsidRPr="00D15EB9">
        <w:t xml:space="preserve">. The mean age was 50.1 years (range: 12 to 80 years); 82 (6.1%) were </w:t>
      </w:r>
      <w:r w:rsidR="00ED27F3">
        <w:t>aged at least</w:t>
      </w:r>
      <w:r w:rsidRPr="00D15EB9">
        <w:t xml:space="preserve"> 12 </w:t>
      </w:r>
      <w:r w:rsidR="00ED27F3">
        <w:t xml:space="preserve">years </w:t>
      </w:r>
      <w:r w:rsidRPr="00D15EB9">
        <w:t>to 17 years (</w:t>
      </w:r>
      <w:r w:rsidR="00ED27F3">
        <w:t xml:space="preserve">that is, </w:t>
      </w:r>
      <w:r w:rsidRPr="00D15EB9">
        <w:t xml:space="preserve">adolescents) and 213 (16.0%) were </w:t>
      </w:r>
      <w:r w:rsidR="00ED27F3">
        <w:t xml:space="preserve">at least </w:t>
      </w:r>
      <w:r w:rsidRPr="00D15EB9">
        <w:t xml:space="preserve">65 </w:t>
      </w:r>
      <w:r w:rsidR="00ED27F3">
        <w:t xml:space="preserve">years </w:t>
      </w:r>
      <w:r w:rsidRPr="00D15EB9">
        <w:t>to 80 years old.</w:t>
      </w:r>
    </w:p>
    <w:p w14:paraId="4120A9C1" w14:textId="7711EB69" w:rsidR="00D15EB9" w:rsidRPr="00D15EB9" w:rsidRDefault="00D15EB9" w:rsidP="00D15EB9">
      <w:r w:rsidRPr="00D15EB9">
        <w:t xml:space="preserve">The proportion of subjects with eosinophils </w:t>
      </w:r>
      <w:r w:rsidR="00ED27F3">
        <w:t>less than</w:t>
      </w:r>
      <w:r w:rsidRPr="00D15EB9">
        <w:t xml:space="preserve"> 300</w:t>
      </w:r>
      <w:r w:rsidR="00ED27F3">
        <w:t> </w:t>
      </w:r>
      <w:r w:rsidRPr="00D15EB9">
        <w:t xml:space="preserve">cells/µL was similar between groups (57.0% in the </w:t>
      </w:r>
      <w:proofErr w:type="spellStart"/>
      <w:r w:rsidRPr="00D15EB9">
        <w:t>tezepelumab</w:t>
      </w:r>
      <w:proofErr w:type="spellEnd"/>
      <w:r w:rsidRPr="00D15EB9">
        <w:t xml:space="preserve"> group and 57.1% in the placebo group), as was the proportion of subjects with baseline </w:t>
      </w:r>
      <w:proofErr w:type="spellStart"/>
      <w:r w:rsidRPr="00D15EB9">
        <w:t>FeNO</w:t>
      </w:r>
      <w:proofErr w:type="spellEnd"/>
      <w:r w:rsidRPr="00D15EB9">
        <w:t xml:space="preserve"> levels of </w:t>
      </w:r>
      <w:r w:rsidR="00DA725A">
        <w:t>less than</w:t>
      </w:r>
      <w:r w:rsidRPr="00D15EB9">
        <w:t xml:space="preserve"> 25</w:t>
      </w:r>
      <w:r w:rsidR="00DA725A">
        <w:t> </w:t>
      </w:r>
      <w:r w:rsidRPr="00D15EB9">
        <w:t xml:space="preserve">ppb (43.8% in the </w:t>
      </w:r>
      <w:proofErr w:type="spellStart"/>
      <w:r w:rsidRPr="00D15EB9">
        <w:t>tezepelumab</w:t>
      </w:r>
      <w:proofErr w:type="spellEnd"/>
      <w:r w:rsidRPr="00D15EB9">
        <w:t xml:space="preserve"> group and 43.9% in the placebo group). The majority (63.2% overall) had 2</w:t>
      </w:r>
      <w:r w:rsidR="00DA725A">
        <w:t> </w:t>
      </w:r>
      <w:r w:rsidRPr="00D15EB9">
        <w:t>exacerbations in the 12</w:t>
      </w:r>
      <w:r w:rsidR="00DA725A">
        <w:t> </w:t>
      </w:r>
      <w:r w:rsidRPr="00D15EB9">
        <w:t>months prior to randomisation, 20.9% had 3</w:t>
      </w:r>
      <w:r w:rsidR="00DA725A">
        <w:t> </w:t>
      </w:r>
      <w:r w:rsidRPr="00D15EB9">
        <w:t xml:space="preserve">exacerbations, and 15.4% had 4 or more exacerbations in this </w:t>
      </w:r>
      <w:proofErr w:type="gramStart"/>
      <w:r w:rsidRPr="00D15EB9">
        <w:t>time period</w:t>
      </w:r>
      <w:proofErr w:type="gramEnd"/>
      <w:r w:rsidRPr="00D15EB9">
        <w:t>; with a mean of 2.7 (SD 1.4) exacerbations in both groups in the 12</w:t>
      </w:r>
      <w:r w:rsidR="00DA725A">
        <w:t> </w:t>
      </w:r>
      <w:r w:rsidRPr="00D15EB9">
        <w:t>months prior to randomisation. Baseline disease characteristics, and treatments were similar across groups.</w:t>
      </w:r>
    </w:p>
    <w:p w14:paraId="1D1D2C01" w14:textId="77777777" w:rsidR="00D15EB9" w:rsidRPr="00D15EB9" w:rsidRDefault="00D15EB9" w:rsidP="00D15EB9">
      <w:r w:rsidRPr="00D15EB9">
        <w:t>Time periods for the safety data include:</w:t>
      </w:r>
    </w:p>
    <w:p w14:paraId="032DE282" w14:textId="058125D7" w:rsidR="00D15EB9" w:rsidRPr="00D15EB9" w:rsidRDefault="00D15EB9" w:rsidP="00F27B65">
      <w:pPr>
        <w:pStyle w:val="ListBullet"/>
      </w:pPr>
      <w:r w:rsidRPr="00D15EB9">
        <w:t>On-study period: AEs in the on-study period were defined as those with onset between day of first dose of study treatment and the day of study completion or withdrawal date</w:t>
      </w:r>
    </w:p>
    <w:p w14:paraId="125734ED" w14:textId="3F5C6AD0" w:rsidR="00D15EB9" w:rsidRPr="00D15EB9" w:rsidRDefault="00D15EB9" w:rsidP="00F27B65">
      <w:pPr>
        <w:pStyle w:val="ListBullet"/>
      </w:pPr>
      <w:r w:rsidRPr="00D15EB9">
        <w:t xml:space="preserve">On-treatment period: AEs in the on-treatment period were defined as those with onset between day of first dose of study treatment and the earliest of the following dates: date of last dose of </w:t>
      </w:r>
      <w:proofErr w:type="spellStart"/>
      <w:r w:rsidR="00295C3F">
        <w:t>tezepelumab</w:t>
      </w:r>
      <w:proofErr w:type="spellEnd"/>
      <w:r w:rsidRPr="00D15EB9">
        <w:t xml:space="preserve"> + 33 days, date of death, or date of study withdrawal.</w:t>
      </w:r>
    </w:p>
    <w:p w14:paraId="36961535" w14:textId="433981CF" w:rsidR="00D15EB9" w:rsidRDefault="00D15EB9" w:rsidP="00D15EB9">
      <w:r w:rsidRPr="00D15EB9">
        <w:t xml:space="preserve">The overall incidence of AEs was similar between the </w:t>
      </w:r>
      <w:proofErr w:type="spellStart"/>
      <w:r w:rsidRPr="00D15EB9">
        <w:t>tezepelumab</w:t>
      </w:r>
      <w:proofErr w:type="spellEnd"/>
      <w:r w:rsidRPr="00D15EB9">
        <w:t xml:space="preserve"> and placebo groups; 74.6% and 76.5% respectively (</w:t>
      </w:r>
      <w:r w:rsidR="00DD4179">
        <w:fldChar w:fldCharType="begin"/>
      </w:r>
      <w:r w:rsidR="00DD4179">
        <w:instrText xml:space="preserve"> REF _Ref204165266 \h </w:instrText>
      </w:r>
      <w:r w:rsidR="00DD4179">
        <w:fldChar w:fldCharType="separate"/>
      </w:r>
      <w:r w:rsidR="005657B1">
        <w:t xml:space="preserve">Table </w:t>
      </w:r>
      <w:r w:rsidR="005657B1">
        <w:rPr>
          <w:noProof/>
        </w:rPr>
        <w:t>15</w:t>
      </w:r>
      <w:r w:rsidR="00DD4179">
        <w:fldChar w:fldCharType="end"/>
      </w:r>
      <w:r w:rsidR="00DD4179">
        <w:t>)</w:t>
      </w:r>
      <w:r w:rsidR="006E393B">
        <w:t>.</w:t>
      </w:r>
      <w:r w:rsidRPr="00D15EB9">
        <w:t xml:space="preserve"> </w:t>
      </w:r>
      <w:proofErr w:type="gramStart"/>
      <w:r w:rsidRPr="00D15EB9">
        <w:t>The majority of</w:t>
      </w:r>
      <w:proofErr w:type="gramEnd"/>
      <w:r w:rsidRPr="00D15EB9">
        <w:t xml:space="preserve"> on-treatment AEs in the </w:t>
      </w:r>
      <w:proofErr w:type="spellStart"/>
      <w:r w:rsidRPr="00D15EB9">
        <w:t>tezepelumab</w:t>
      </w:r>
      <w:proofErr w:type="spellEnd"/>
      <w:r w:rsidRPr="00D15EB9">
        <w:t xml:space="preserve"> </w:t>
      </w:r>
      <w:r w:rsidR="00661E83">
        <w:t>210 mg</w:t>
      </w:r>
      <w:r w:rsidRPr="00D15EB9">
        <w:t xml:space="preserve"> SC Q4W and placebo groups were considered mild or moderate in intensity and were not considered causally related to </w:t>
      </w:r>
      <w:proofErr w:type="spellStart"/>
      <w:r w:rsidR="00295C3F">
        <w:t>tezepelumab</w:t>
      </w:r>
      <w:proofErr w:type="spellEnd"/>
      <w:r w:rsidRPr="00D15EB9">
        <w:t xml:space="preserve"> based per the Investigators’ assessment.</w:t>
      </w:r>
    </w:p>
    <w:p w14:paraId="3FA2670A" w14:textId="7490D67B" w:rsidR="00DD4179" w:rsidRPr="00D15EB9" w:rsidRDefault="00DD4179" w:rsidP="00DD4179">
      <w:r w:rsidRPr="00D15EB9">
        <w:lastRenderedPageBreak/>
        <w:t xml:space="preserve">The incidence of SAEs in the on-treatment period was 8.6% in </w:t>
      </w:r>
      <w:proofErr w:type="spellStart"/>
      <w:r w:rsidRPr="00D15EB9">
        <w:t>tezepelumab</w:t>
      </w:r>
      <w:proofErr w:type="spellEnd"/>
      <w:r w:rsidRPr="00D15EB9">
        <w:t xml:space="preserve">-treated subjects and 13.0% in placebo-treated subjects. Asthma was the </w:t>
      </w:r>
      <w:proofErr w:type="gramStart"/>
      <w:r w:rsidRPr="00D15EB9">
        <w:t>most commonly reported</w:t>
      </w:r>
      <w:proofErr w:type="gramEnd"/>
      <w:r w:rsidRPr="00D15EB9">
        <w:t xml:space="preserve"> SAE in both groups (2.3% and 6.9% of subjects in the </w:t>
      </w:r>
      <w:proofErr w:type="spellStart"/>
      <w:r w:rsidRPr="00D15EB9">
        <w:t>tezepelumab</w:t>
      </w:r>
      <w:proofErr w:type="spellEnd"/>
      <w:r w:rsidRPr="00D15EB9">
        <w:t xml:space="preserve"> and placebo groups, respectively). Apart from asthma, no SAE </w:t>
      </w:r>
      <w:r w:rsidRPr="00FC12B9">
        <w:t>Preferred Term (PT)</w:t>
      </w:r>
      <w:r w:rsidRPr="00D15EB9">
        <w:t xml:space="preserve"> was reported in </w:t>
      </w:r>
      <w:r>
        <w:t>more than</w:t>
      </w:r>
      <w:r w:rsidRPr="00D15EB9">
        <w:t xml:space="preserve"> 2 subjects in the </w:t>
      </w:r>
      <w:proofErr w:type="spellStart"/>
      <w:r w:rsidRPr="00D15EB9">
        <w:t>tezepelumab</w:t>
      </w:r>
      <w:proofErr w:type="spellEnd"/>
      <w:r w:rsidRPr="00D15EB9">
        <w:t xml:space="preserve"> group. The incidence of SAEs considered causally related to </w:t>
      </w:r>
      <w:proofErr w:type="spellStart"/>
      <w:r>
        <w:t>tezepelumab</w:t>
      </w:r>
      <w:proofErr w:type="spellEnd"/>
      <w:r w:rsidRPr="00D15EB9">
        <w:t xml:space="preserve"> was 0.9% in the </w:t>
      </w:r>
      <w:proofErr w:type="spellStart"/>
      <w:r w:rsidRPr="00D15EB9">
        <w:t>tezepelumab</w:t>
      </w:r>
      <w:proofErr w:type="spellEnd"/>
      <w:r w:rsidRPr="00D15EB9">
        <w:t xml:space="preserve"> group and 0.7% in the placebo group. The incidence of AEs leading to discontinuation of </w:t>
      </w:r>
      <w:proofErr w:type="spellStart"/>
      <w:r>
        <w:t>tezepelumab</w:t>
      </w:r>
      <w:proofErr w:type="spellEnd"/>
      <w:r w:rsidRPr="00D15EB9">
        <w:t xml:space="preserve"> in the </w:t>
      </w:r>
      <w:proofErr w:type="spellStart"/>
      <w:r w:rsidRPr="00D15EB9">
        <w:t>tezepelumab</w:t>
      </w:r>
      <w:proofErr w:type="spellEnd"/>
      <w:r w:rsidRPr="00D15EB9">
        <w:t>, and placebo groups was 2.0% and 3.0%, respectively.</w:t>
      </w:r>
    </w:p>
    <w:p w14:paraId="5457C140" w14:textId="77777777" w:rsidR="00DD4179" w:rsidRPr="00D15EB9" w:rsidRDefault="00DD4179" w:rsidP="00DD4179">
      <w:r w:rsidRPr="00D15EB9">
        <w:t xml:space="preserve">There were no deaths in the </w:t>
      </w:r>
      <w:proofErr w:type="spellStart"/>
      <w:r w:rsidRPr="00D15EB9">
        <w:t>tezepelumab</w:t>
      </w:r>
      <w:proofErr w:type="spellEnd"/>
      <w:r w:rsidRPr="00D15EB9">
        <w:t xml:space="preserve"> </w:t>
      </w:r>
      <w:r>
        <w:t>210 mg</w:t>
      </w:r>
      <w:r w:rsidRPr="00D15EB9">
        <w:t xml:space="preserve"> group. There were 2 deaths in the placebo group (</w:t>
      </w:r>
      <w:r w:rsidRPr="00FC12B9">
        <w:t>PT: Death; PT: Cardiac failure</w:t>
      </w:r>
      <w:r w:rsidRPr="00D15EB9">
        <w:t xml:space="preserve">); both were in the on-study period of the NAVIGATOR </w:t>
      </w:r>
      <w:proofErr w:type="gramStart"/>
      <w:r w:rsidRPr="00D15EB9">
        <w:t>study</w:t>
      </w:r>
      <w:proofErr w:type="gramEnd"/>
      <w:r w:rsidRPr="00D15EB9">
        <w:t xml:space="preserve"> and neither was considered related to </w:t>
      </w:r>
      <w:proofErr w:type="spellStart"/>
      <w:r>
        <w:t>tezepelumab</w:t>
      </w:r>
      <w:proofErr w:type="spellEnd"/>
      <w:r w:rsidRPr="00D15EB9">
        <w:t xml:space="preserve"> by the investigator.</w:t>
      </w:r>
    </w:p>
    <w:p w14:paraId="328F8D4F" w14:textId="5C881A06" w:rsidR="006E393B" w:rsidRDefault="00DD4179" w:rsidP="00DD4179">
      <w:pPr>
        <w:pStyle w:val="TableTitle"/>
      </w:pPr>
      <w:bookmarkStart w:id="81" w:name="_Ref204165266"/>
      <w:r>
        <w:t xml:space="preserve">Table </w:t>
      </w:r>
      <w:r>
        <w:fldChar w:fldCharType="begin"/>
      </w:r>
      <w:r>
        <w:instrText xml:space="preserve"> SEQ Table \* ARABIC </w:instrText>
      </w:r>
      <w:r>
        <w:fldChar w:fldCharType="separate"/>
      </w:r>
      <w:r w:rsidR="005657B1">
        <w:rPr>
          <w:noProof/>
        </w:rPr>
        <w:t>15</w:t>
      </w:r>
      <w:r>
        <w:fldChar w:fldCharType="end"/>
      </w:r>
      <w:bookmarkEnd w:id="81"/>
      <w:r>
        <w:t>: Adverse events - any category - reported during on-treatment period (</w:t>
      </w:r>
      <w:r w:rsidR="00247131">
        <w:t>Primary Safety Pool)</w:t>
      </w:r>
    </w:p>
    <w:p w14:paraId="79CC758F" w14:textId="31896021" w:rsidR="006E393B" w:rsidRDefault="00DD4179" w:rsidP="00D15EB9">
      <w:r>
        <w:rPr>
          <w:rFonts w:ascii="Calibri" w:eastAsia="TimesNewRoman" w:hAnsi="Calibri" w:cs="Calibri"/>
          <w:b/>
          <w:bCs/>
          <w:noProof/>
        </w:rPr>
        <w:drawing>
          <wp:inline distT="0" distB="0" distL="0" distR="0" wp14:anchorId="7E39A06F" wp14:editId="2B2E92A8">
            <wp:extent cx="5731510" cy="1559859"/>
            <wp:effectExtent l="0" t="0" r="2540" b="2540"/>
            <wp:docPr id="1402893179" name="Picture 1" descr="Table 15: Adverse events - any category - reported during on-treatment period (Primary Safet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93179" name="Picture 1" descr="Table 15: Adverse events - any category - reported during on-treatment period (Primary Safety Pool)"/>
                    <pic:cNvPicPr/>
                  </pic:nvPicPr>
                  <pic:blipFill>
                    <a:blip r:embed="rId42">
                      <a:extLst>
                        <a:ext uri="{28A0092B-C50C-407E-A947-70E740481C1C}">
                          <a14:useLocalDpi xmlns:a14="http://schemas.microsoft.com/office/drawing/2010/main" val="0"/>
                        </a:ext>
                      </a:extLst>
                    </a:blip>
                    <a:stretch>
                      <a:fillRect/>
                    </a:stretch>
                  </pic:blipFill>
                  <pic:spPr>
                    <a:xfrm>
                      <a:off x="0" y="0"/>
                      <a:ext cx="5737816" cy="1561575"/>
                    </a:xfrm>
                    <a:prstGeom prst="rect">
                      <a:avLst/>
                    </a:prstGeom>
                  </pic:spPr>
                </pic:pic>
              </a:graphicData>
            </a:graphic>
          </wp:inline>
        </w:drawing>
      </w:r>
    </w:p>
    <w:p w14:paraId="061019ED" w14:textId="77777777" w:rsidR="00DD4179" w:rsidRPr="009013B1" w:rsidRDefault="00DD4179" w:rsidP="00DD4179">
      <w:pPr>
        <w:pStyle w:val="TableDescription"/>
      </w:pPr>
      <w:r w:rsidRPr="009013B1">
        <w:rPr>
          <w:vertAlign w:val="superscript"/>
        </w:rPr>
        <w:t xml:space="preserve">a </w:t>
      </w:r>
      <w:r w:rsidRPr="009013B1">
        <w:t>Subjects with multiple events in the same category are counted only once in that category. Subjects with events in &gt; 1 category are counted once in each category. Includes events with an onset date between the date of first dose of IP and minimum (date of last dose of IP + 33 days, date of death, date of study withdrawal).</w:t>
      </w:r>
    </w:p>
    <w:p w14:paraId="32BF575D" w14:textId="7F5D4F46" w:rsidR="00DD4179" w:rsidRPr="000F1DE0" w:rsidRDefault="00DD4179" w:rsidP="00DD4179">
      <w:pPr>
        <w:pStyle w:val="TableDescription"/>
      </w:pPr>
      <w:r w:rsidRPr="009013B1">
        <w:t>AE</w:t>
      </w:r>
      <w:r>
        <w:t xml:space="preserve"> =</w:t>
      </w:r>
      <w:r w:rsidRPr="009013B1">
        <w:t xml:space="preserve"> adverse event; IP</w:t>
      </w:r>
      <w:r>
        <w:t xml:space="preserve"> = </w:t>
      </w:r>
      <w:r w:rsidRPr="009013B1">
        <w:t>investigational product; N</w:t>
      </w:r>
      <w:r>
        <w:t xml:space="preserve"> = </w:t>
      </w:r>
      <w:r w:rsidRPr="009013B1">
        <w:t>number of subjects in treatment group; Q4W</w:t>
      </w:r>
      <w:r>
        <w:t xml:space="preserve"> = </w:t>
      </w:r>
      <w:r w:rsidRPr="009013B1">
        <w:t>every 4 weeks; SAE</w:t>
      </w:r>
      <w:r>
        <w:t xml:space="preserve"> = </w:t>
      </w:r>
      <w:r w:rsidRPr="009013B1">
        <w:t xml:space="preserve">serious AE; </w:t>
      </w:r>
      <w:proofErr w:type="spellStart"/>
      <w:r w:rsidRPr="009013B1">
        <w:t>Teze</w:t>
      </w:r>
      <w:proofErr w:type="spellEnd"/>
      <w:r>
        <w:t xml:space="preserve"> = </w:t>
      </w:r>
      <w:r w:rsidRPr="009013B1">
        <w:t>Tezepelumab.</w:t>
      </w:r>
    </w:p>
    <w:p w14:paraId="17373C50" w14:textId="59420595" w:rsidR="00D15EB9" w:rsidRPr="00D15EB9" w:rsidRDefault="00D15EB9" w:rsidP="00D15EB9">
      <w:r w:rsidRPr="00D15EB9">
        <w:t xml:space="preserve">The 4 most common AEs reported in the </w:t>
      </w:r>
      <w:proofErr w:type="spellStart"/>
      <w:r w:rsidRPr="00D15EB9">
        <w:t>tezepelumab</w:t>
      </w:r>
      <w:proofErr w:type="spellEnd"/>
      <w:r w:rsidRPr="00D15EB9">
        <w:t xml:space="preserve"> group were nasopharyngitis, upper respiratory tract infection, headache, and asthma, reported by 19.5%, 9.3%, 7.8%, and 7.4% of subjects respectively, compared with 19.1%, 13.3%, 7.5%, and 15.7% subjects in the placebo group (</w:t>
      </w:r>
      <w:r w:rsidR="00D94F7C">
        <w:fldChar w:fldCharType="begin"/>
      </w:r>
      <w:r w:rsidR="00D94F7C">
        <w:instrText xml:space="preserve"> REF _Ref204165977 \h </w:instrText>
      </w:r>
      <w:r w:rsidR="00D94F7C">
        <w:fldChar w:fldCharType="separate"/>
      </w:r>
      <w:r w:rsidR="005657B1">
        <w:t xml:space="preserve">Table </w:t>
      </w:r>
      <w:r w:rsidR="005657B1">
        <w:rPr>
          <w:noProof/>
        </w:rPr>
        <w:t>16</w:t>
      </w:r>
      <w:r w:rsidR="00D94F7C">
        <w:fldChar w:fldCharType="end"/>
      </w:r>
      <w:r w:rsidRPr="00D15EB9">
        <w:t>)</w:t>
      </w:r>
      <w:r w:rsidR="00D94F7C">
        <w:t>.</w:t>
      </w:r>
      <w:r w:rsidRPr="00D15EB9">
        <w:t xml:space="preserve"> The incidence of injection site reactions was low and comparable across both treatment arms in the </w:t>
      </w:r>
      <w:bookmarkStart w:id="82" w:name="_Hlk181126097"/>
      <w:r w:rsidR="00247131">
        <w:t>P</w:t>
      </w:r>
      <w:r w:rsidRPr="00D15EB9">
        <w:t xml:space="preserve">rimary </w:t>
      </w:r>
      <w:r w:rsidR="00247131">
        <w:t>S</w:t>
      </w:r>
      <w:r w:rsidRPr="00D15EB9">
        <w:t xml:space="preserve">afety </w:t>
      </w:r>
      <w:r w:rsidR="00247131">
        <w:t>P</w:t>
      </w:r>
      <w:r w:rsidRPr="00D15EB9">
        <w:t xml:space="preserve">ool </w:t>
      </w:r>
      <w:bookmarkEnd w:id="82"/>
      <w:r w:rsidRPr="00D15EB9">
        <w:t xml:space="preserve">(3.8% and 3.1% in the </w:t>
      </w:r>
      <w:proofErr w:type="spellStart"/>
      <w:r w:rsidRPr="00D15EB9">
        <w:t>tezepelumab</w:t>
      </w:r>
      <w:proofErr w:type="spellEnd"/>
      <w:r w:rsidRPr="00D15EB9">
        <w:t xml:space="preserve"> and placebo groups respectively).</w:t>
      </w:r>
    </w:p>
    <w:p w14:paraId="3D1186A7" w14:textId="355BDDB1" w:rsidR="00D15EB9" w:rsidRPr="00D15EB9" w:rsidRDefault="00D15EB9" w:rsidP="00D15EB9">
      <w:r w:rsidRPr="00D15EB9">
        <w:t>Incidences of most AEs were similar across groups, except for upper respiratory infection, asthma, and sinusitis, which were higher in the placebo group. (13.3</w:t>
      </w:r>
      <w:r w:rsidR="00DD4179">
        <w:t>%</w:t>
      </w:r>
      <w:r w:rsidRPr="00D15EB9">
        <w:t xml:space="preserve"> v</w:t>
      </w:r>
      <w:r w:rsidR="00DD4179">
        <w:t>ersu</w:t>
      </w:r>
      <w:r w:rsidRPr="00D15EB9">
        <w:t>s 9.3</w:t>
      </w:r>
      <w:r w:rsidR="00DD4179">
        <w:t>%</w:t>
      </w:r>
      <w:r w:rsidRPr="00D15EB9">
        <w:t>; 15.7</w:t>
      </w:r>
      <w:r w:rsidR="00DD4179">
        <w:t>%</w:t>
      </w:r>
      <w:r w:rsidRPr="00D15EB9">
        <w:t xml:space="preserve"> </w:t>
      </w:r>
      <w:r w:rsidR="00DD4179">
        <w:t>versus</w:t>
      </w:r>
      <w:r w:rsidRPr="00D15EB9">
        <w:t xml:space="preserve"> 7.4</w:t>
      </w:r>
      <w:r w:rsidR="00DD4179">
        <w:t>%</w:t>
      </w:r>
      <w:r w:rsidRPr="00D15EB9">
        <w:t>; 6.3</w:t>
      </w:r>
      <w:r w:rsidR="00DD4179">
        <w:t>%</w:t>
      </w:r>
      <w:r w:rsidRPr="00D15EB9">
        <w:t xml:space="preserve"> v</w:t>
      </w:r>
      <w:r w:rsidR="00DD4179">
        <w:t>ersu</w:t>
      </w:r>
      <w:r w:rsidRPr="00D15EB9">
        <w:t>s 3.5</w:t>
      </w:r>
      <w:r w:rsidR="00DD4179">
        <w:t>%,</w:t>
      </w:r>
      <w:r w:rsidRPr="00D15EB9">
        <w:t xml:space="preserve"> respectively) (</w:t>
      </w:r>
      <w:r w:rsidR="00D94F7C">
        <w:fldChar w:fldCharType="begin"/>
      </w:r>
      <w:r w:rsidR="00D94F7C">
        <w:instrText xml:space="preserve"> REF _Ref204165977 \h </w:instrText>
      </w:r>
      <w:r w:rsidR="00D94F7C">
        <w:fldChar w:fldCharType="separate"/>
      </w:r>
      <w:r w:rsidR="005657B1">
        <w:t xml:space="preserve">Table </w:t>
      </w:r>
      <w:r w:rsidR="005657B1">
        <w:rPr>
          <w:noProof/>
        </w:rPr>
        <w:t>16</w:t>
      </w:r>
      <w:r w:rsidR="00D94F7C">
        <w:fldChar w:fldCharType="end"/>
      </w:r>
      <w:r w:rsidRPr="00D15EB9">
        <w:t>)</w:t>
      </w:r>
      <w:r w:rsidR="00DD4179">
        <w:t>.</w:t>
      </w:r>
    </w:p>
    <w:p w14:paraId="64679A58" w14:textId="01B7C149" w:rsidR="00D15EB9" w:rsidRPr="00D15EB9" w:rsidRDefault="00D15EB9" w:rsidP="00D15EB9">
      <w:r w:rsidRPr="00D15EB9">
        <w:t>Most AEs were mild</w:t>
      </w:r>
      <w:r w:rsidR="00DD4179">
        <w:t xml:space="preserve"> or </w:t>
      </w:r>
      <w:r w:rsidRPr="00D15EB9">
        <w:t xml:space="preserve">moderate. Severe infections were uncommon, and no opportunistic infections </w:t>
      </w:r>
      <w:r w:rsidR="00DD4179">
        <w:t xml:space="preserve">were </w:t>
      </w:r>
      <w:r w:rsidRPr="00D15EB9">
        <w:t xml:space="preserve">reported. The AE profile of </w:t>
      </w:r>
      <w:proofErr w:type="spellStart"/>
      <w:r w:rsidRPr="00D15EB9">
        <w:t>tezepelumab</w:t>
      </w:r>
      <w:proofErr w:type="spellEnd"/>
      <w:r w:rsidRPr="00D15EB9">
        <w:t xml:space="preserve"> was consistent across all pre-defined subgroups including baseline blood eosinophil count, allergic status</w:t>
      </w:r>
      <w:r w:rsidR="00DD4179">
        <w:t>,</w:t>
      </w:r>
      <w:r w:rsidRPr="00D15EB9">
        <w:t xml:space="preserve"> baseline ICS dose, baseline OCS dose, age, gender, BMI, race, country, and region.</w:t>
      </w:r>
    </w:p>
    <w:p w14:paraId="1E65EF68" w14:textId="407459EF" w:rsidR="00D94F7C" w:rsidRPr="00D15EB9" w:rsidRDefault="00D94F7C" w:rsidP="00D94F7C">
      <w:pPr>
        <w:pStyle w:val="TableTitle"/>
      </w:pPr>
      <w:bookmarkStart w:id="83" w:name="_Ref204165977"/>
      <w:r>
        <w:lastRenderedPageBreak/>
        <w:t xml:space="preserve">Table </w:t>
      </w:r>
      <w:r>
        <w:fldChar w:fldCharType="begin"/>
      </w:r>
      <w:r>
        <w:instrText xml:space="preserve"> SEQ Table \* ARABIC </w:instrText>
      </w:r>
      <w:r>
        <w:fldChar w:fldCharType="separate"/>
      </w:r>
      <w:r w:rsidR="005657B1">
        <w:rPr>
          <w:noProof/>
        </w:rPr>
        <w:t>16</w:t>
      </w:r>
      <w:r>
        <w:fldChar w:fldCharType="end"/>
      </w:r>
      <w:bookmarkEnd w:id="83"/>
      <w:r>
        <w:t xml:space="preserve">: </w:t>
      </w:r>
      <w:r w:rsidRPr="00D94F7C">
        <w:t>Most common adverse event (frequency of 3%</w:t>
      </w:r>
      <w:r>
        <w:t xml:space="preserve"> or higher</w:t>
      </w:r>
      <w:r w:rsidRPr="00D94F7C">
        <w:t xml:space="preserve">) reported during the on-treatment period by Preferred Term (Primary </w:t>
      </w:r>
      <w:r w:rsidR="00247131">
        <w:t>S</w:t>
      </w:r>
      <w:r w:rsidRPr="00D94F7C">
        <w:t xml:space="preserve">afety </w:t>
      </w:r>
      <w:r w:rsidR="00247131">
        <w:t>P</w:t>
      </w:r>
      <w:r w:rsidRPr="00D94F7C">
        <w:t>ool, Safety analysis set)</w:t>
      </w:r>
    </w:p>
    <w:p w14:paraId="0BCCC5AC" w14:textId="77777777" w:rsidR="00D15EB9" w:rsidRPr="00D15EB9" w:rsidRDefault="00D15EB9" w:rsidP="00D15EB9">
      <w:r w:rsidRPr="00D15EB9">
        <w:rPr>
          <w:noProof/>
        </w:rPr>
        <w:drawing>
          <wp:inline distT="0" distB="0" distL="0" distR="0" wp14:anchorId="5347E8D2" wp14:editId="08619AC0">
            <wp:extent cx="5538159" cy="3346235"/>
            <wp:effectExtent l="0" t="0" r="5715" b="6985"/>
            <wp:docPr id="1330949357" name="Picture 2" descr="Table 16: Most common adverse event (frequency of 3% or higher) reported during the on-treatment period by Preferred Term (Primary Safety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49357" name="Picture 2" descr="Table 16: Most common adverse event (frequency of 3% or higher) reported during the on-treatment period by Preferred Term (Primary Safety Pool, Safety analysis set)"/>
                    <pic:cNvPicPr/>
                  </pic:nvPicPr>
                  <pic:blipFill>
                    <a:blip r:embed="rId43">
                      <a:extLst>
                        <a:ext uri="{28A0092B-C50C-407E-A947-70E740481C1C}">
                          <a14:useLocalDpi xmlns:a14="http://schemas.microsoft.com/office/drawing/2010/main" val="0"/>
                        </a:ext>
                      </a:extLst>
                    </a:blip>
                    <a:stretch>
                      <a:fillRect/>
                    </a:stretch>
                  </pic:blipFill>
                  <pic:spPr>
                    <a:xfrm>
                      <a:off x="0" y="0"/>
                      <a:ext cx="5551019" cy="3354005"/>
                    </a:xfrm>
                    <a:prstGeom prst="rect">
                      <a:avLst/>
                    </a:prstGeom>
                  </pic:spPr>
                </pic:pic>
              </a:graphicData>
            </a:graphic>
          </wp:inline>
        </w:drawing>
      </w:r>
    </w:p>
    <w:p w14:paraId="49C81440" w14:textId="77777777" w:rsidR="00D15EB9" w:rsidRPr="00D15EB9" w:rsidRDefault="00D15EB9" w:rsidP="002A519B">
      <w:pPr>
        <w:pStyle w:val="TableDescription"/>
      </w:pPr>
      <w:r w:rsidRPr="00D15EB9">
        <w:t xml:space="preserve">a Number (%) of subjects with AEs, sorted by decreasing frequency for preferred term in subjects treated with </w:t>
      </w:r>
      <w:proofErr w:type="spellStart"/>
      <w:r w:rsidRPr="00D15EB9">
        <w:t>tezepelumab</w:t>
      </w:r>
      <w:proofErr w:type="spellEnd"/>
      <w:r w:rsidRPr="00D15EB9">
        <w:t xml:space="preserve">. Subjects with multiple events in the same preferred term are counted only once in that preferred term. Subjects with events in more than 1 preferred term are counted once in each of those preferred terms. Includes adverse events with an onset date between the date of first dose of IP and minimum (date of last dose of IP + 33 days, date of death, date of study withdrawal). </w:t>
      </w:r>
    </w:p>
    <w:p w14:paraId="1BBDC101" w14:textId="6F51DD79" w:rsidR="00D15EB9" w:rsidRPr="00D15EB9" w:rsidRDefault="00D15EB9" w:rsidP="002A519B">
      <w:pPr>
        <w:pStyle w:val="TableDescription"/>
      </w:pPr>
      <w:r w:rsidRPr="00D15EB9">
        <w:t>AE</w:t>
      </w:r>
      <w:r w:rsidR="00D94F7C">
        <w:t xml:space="preserve"> = </w:t>
      </w:r>
      <w:r w:rsidRPr="00D15EB9">
        <w:t>adverse event; IP</w:t>
      </w:r>
      <w:r w:rsidR="00D94F7C">
        <w:t xml:space="preserve"> = </w:t>
      </w:r>
      <w:r w:rsidRPr="00D15EB9">
        <w:t>Investigational product; N</w:t>
      </w:r>
      <w:r w:rsidR="00D94F7C">
        <w:t xml:space="preserve"> = </w:t>
      </w:r>
      <w:r w:rsidRPr="00D15EB9">
        <w:t>number of subjects in treatment group; Q4W</w:t>
      </w:r>
      <w:r w:rsidR="00D94F7C">
        <w:t xml:space="preserve"> = </w:t>
      </w:r>
      <w:r w:rsidRPr="00D15EB9">
        <w:t xml:space="preserve">Every 4 weeks; </w:t>
      </w:r>
      <w:proofErr w:type="spellStart"/>
      <w:r w:rsidRPr="00D15EB9">
        <w:t>Teze</w:t>
      </w:r>
      <w:proofErr w:type="spellEnd"/>
      <w:r w:rsidR="00D94F7C">
        <w:t xml:space="preserve"> = </w:t>
      </w:r>
      <w:r w:rsidRPr="00D15EB9">
        <w:t>Tezepelumab.</w:t>
      </w:r>
    </w:p>
    <w:p w14:paraId="59A21077" w14:textId="77777777" w:rsidR="00D15EB9" w:rsidRPr="00D15EB9" w:rsidRDefault="00D15EB9" w:rsidP="00ED27F3">
      <w:pPr>
        <w:pStyle w:val="Heading7"/>
        <w:rPr>
          <w:rFonts w:eastAsiaTheme="minorHAnsi"/>
        </w:rPr>
      </w:pPr>
      <w:r w:rsidRPr="00D15EB9">
        <w:rPr>
          <w:rFonts w:eastAsiaTheme="minorHAnsi"/>
        </w:rPr>
        <w:t>PATHWAY</w:t>
      </w:r>
    </w:p>
    <w:p w14:paraId="395E7B8C" w14:textId="18E5671C" w:rsidR="00D15EB9" w:rsidRDefault="00D15EB9" w:rsidP="00D15EB9">
      <w:r w:rsidRPr="00D15EB9">
        <w:t>T</w:t>
      </w:r>
      <w:r w:rsidR="00D94F7C">
        <w:t>reatment-emergent adverse events</w:t>
      </w:r>
      <w:r w:rsidRPr="00D15EB9">
        <w:t xml:space="preserve"> </w:t>
      </w:r>
      <w:r w:rsidR="00D94F7C">
        <w:t xml:space="preserve">(TEAEs) </w:t>
      </w:r>
      <w:r w:rsidRPr="00D15EB9">
        <w:t xml:space="preserve">were reported in 65.9% patients in the placebo, 67.4% in the </w:t>
      </w:r>
      <w:proofErr w:type="spellStart"/>
      <w:r w:rsidRPr="00D15EB9">
        <w:t>tezepelumab</w:t>
      </w:r>
      <w:proofErr w:type="spellEnd"/>
      <w:r w:rsidRPr="00D15EB9">
        <w:t xml:space="preserve"> 70</w:t>
      </w:r>
      <w:r w:rsidR="00D94F7C">
        <w:t> </w:t>
      </w:r>
      <w:r w:rsidRPr="00D15EB9">
        <w:t xml:space="preserve">mg </w:t>
      </w:r>
      <w:r w:rsidR="00661E83">
        <w:t>Q4W</w:t>
      </w:r>
      <w:r w:rsidRPr="00D15EB9">
        <w:t xml:space="preserve">, 65.7% in </w:t>
      </w:r>
      <w:r w:rsidR="00661E83">
        <w:t>210 mg</w:t>
      </w:r>
      <w:r w:rsidRPr="00D15EB9">
        <w:t xml:space="preserve"> </w:t>
      </w:r>
      <w:r w:rsidR="00661E83">
        <w:t>Q4W</w:t>
      </w:r>
      <w:r w:rsidRPr="00D15EB9">
        <w:t xml:space="preserve"> and 65.0% in the 280</w:t>
      </w:r>
      <w:r w:rsidR="00D94F7C">
        <w:t> </w:t>
      </w:r>
      <w:r w:rsidRPr="00D15EB9">
        <w:t xml:space="preserve">mg </w:t>
      </w:r>
      <w:r w:rsidR="00661E83">
        <w:t>Q2W</w:t>
      </w:r>
      <w:r w:rsidRPr="00D15EB9">
        <w:t>. The most frequent TEAEs were asthma, nasopharyngitis, bronchitis and headache, and were mild or moderate. There were no dose effects for TEAEs.</w:t>
      </w:r>
    </w:p>
    <w:p w14:paraId="78B68D49" w14:textId="77777777" w:rsidR="00D15EB9" w:rsidRPr="00D15EB9" w:rsidRDefault="00D15EB9" w:rsidP="00ED27F3">
      <w:pPr>
        <w:pStyle w:val="Heading7"/>
        <w:rPr>
          <w:rFonts w:eastAsia="TimesNewRoman"/>
        </w:rPr>
      </w:pPr>
      <w:r w:rsidRPr="00D15EB9">
        <w:rPr>
          <w:rFonts w:eastAsia="TimesNewRoman"/>
        </w:rPr>
        <w:t>SOURCE</w:t>
      </w:r>
    </w:p>
    <w:p w14:paraId="0E572B26" w14:textId="4316403B" w:rsidR="00D15EB9" w:rsidRPr="00D15EB9" w:rsidRDefault="004C3475" w:rsidP="00D15EB9">
      <w:r w:rsidRPr="00D15EB9">
        <w:t>T</w:t>
      </w:r>
      <w:r>
        <w:t>reatment-emergent adverse events</w:t>
      </w:r>
      <w:r w:rsidRPr="00D15EB9">
        <w:t xml:space="preserve"> </w:t>
      </w:r>
      <w:r w:rsidR="00D15EB9" w:rsidRPr="00D15EB9">
        <w:t xml:space="preserve">were reported in 53 (71.6%) patients in the </w:t>
      </w:r>
      <w:proofErr w:type="spellStart"/>
      <w:r w:rsidR="00D15EB9" w:rsidRPr="00D15EB9">
        <w:t>tezepelumab</w:t>
      </w:r>
      <w:proofErr w:type="spellEnd"/>
      <w:r w:rsidR="00D15EB9" w:rsidRPr="00D15EB9">
        <w:t xml:space="preserve"> group and 65 (85.5%) </w:t>
      </w:r>
      <w:r>
        <w:t xml:space="preserve">patients </w:t>
      </w:r>
      <w:r w:rsidR="00D15EB9" w:rsidRPr="00D15EB9">
        <w:t>in the placebo</w:t>
      </w:r>
      <w:r>
        <w:t xml:space="preserve"> group</w:t>
      </w:r>
      <w:r w:rsidR="00D15EB9" w:rsidRPr="00D15EB9">
        <w:t xml:space="preserve">. The most frequent TEAEs were nasopharyngitis and upper respiratory tract infection. Most were of mild or moderate severity. The most frequently reported AE of severe intensity was the </w:t>
      </w:r>
      <w:r w:rsidR="00D15EB9" w:rsidRPr="00FC12B9">
        <w:t>PT</w:t>
      </w:r>
      <w:r w:rsidR="00D15EB9" w:rsidRPr="00D15EB9">
        <w:t xml:space="preserve"> of asthma, reported in 3 (4.1%) </w:t>
      </w:r>
      <w:r>
        <w:t xml:space="preserve">subjects </w:t>
      </w:r>
      <w:r w:rsidR="00D15EB9" w:rsidRPr="00D15EB9">
        <w:t xml:space="preserve">and 8 (10.5%) subjects in the </w:t>
      </w:r>
      <w:proofErr w:type="spellStart"/>
      <w:r w:rsidR="00D15EB9" w:rsidRPr="00D15EB9">
        <w:t>tezepelumab</w:t>
      </w:r>
      <w:proofErr w:type="spellEnd"/>
      <w:r w:rsidR="00D15EB9" w:rsidRPr="00D15EB9">
        <w:t xml:space="preserve"> and placebo groups, respectively.</w:t>
      </w:r>
    </w:p>
    <w:p w14:paraId="411F0D92" w14:textId="77777777" w:rsidR="00D15EB9" w:rsidRPr="00D15EB9" w:rsidRDefault="00D15EB9" w:rsidP="00ED27F3">
      <w:pPr>
        <w:pStyle w:val="Heading7"/>
        <w:rPr>
          <w:rFonts w:eastAsia="TimesNewRoman"/>
        </w:rPr>
      </w:pPr>
      <w:r w:rsidRPr="00D15EB9">
        <w:rPr>
          <w:rFonts w:eastAsia="TimesNewRoman"/>
        </w:rPr>
        <w:t>PATH-HOME</w:t>
      </w:r>
    </w:p>
    <w:p w14:paraId="5F587FCA" w14:textId="33EACD04" w:rsidR="00D15EB9" w:rsidRPr="00D15EB9" w:rsidRDefault="004C3475" w:rsidP="00D15EB9">
      <w:r w:rsidRPr="00D15EB9">
        <w:t>T</w:t>
      </w:r>
      <w:r>
        <w:t>reatment-emergent adverse events</w:t>
      </w:r>
      <w:r w:rsidRPr="00D15EB9">
        <w:t xml:space="preserve"> </w:t>
      </w:r>
      <w:r w:rsidR="00D15EB9" w:rsidRPr="00D15EB9">
        <w:t xml:space="preserve">were reported in 52 (46.8%) patients in the </w:t>
      </w:r>
      <w:proofErr w:type="spellStart"/>
      <w:r>
        <w:t>a</w:t>
      </w:r>
      <w:r w:rsidR="00D15EB9" w:rsidRPr="00D15EB9">
        <w:t>PFS</w:t>
      </w:r>
      <w:proofErr w:type="spellEnd"/>
      <w:r w:rsidR="00D15EB9" w:rsidRPr="00D15EB9">
        <w:t xml:space="preserve"> group and 55 (52.4%) in the </w:t>
      </w:r>
      <w:r>
        <w:t>autoinjector group</w:t>
      </w:r>
      <w:r w:rsidR="00D15EB9" w:rsidRPr="00D15EB9">
        <w:t>. The most frequent TEAEs were nasopharyngitis, upper respiratory tract infection and asthma. There were no TEAEs related to device malfunction.</w:t>
      </w:r>
    </w:p>
    <w:p w14:paraId="639EAB64" w14:textId="77777777" w:rsidR="00A87E5E" w:rsidRDefault="00A87E5E">
      <w:pPr>
        <w:rPr>
          <w:rFonts w:ascii="Arial" w:eastAsia="MS Mincho" w:hAnsi="Arial" w:cs="Times New Roman"/>
          <w:b/>
          <w:bCs/>
          <w:i/>
          <w:color w:val="001871"/>
          <w:sz w:val="26"/>
          <w:szCs w:val="26"/>
        </w:rPr>
      </w:pPr>
      <w:r>
        <w:rPr>
          <w:rFonts w:eastAsia="MS Mincho"/>
        </w:rPr>
        <w:br w:type="page"/>
      </w:r>
    </w:p>
    <w:p w14:paraId="612B5BD8" w14:textId="2862713B" w:rsidR="00D15EB9" w:rsidRPr="00D15EB9" w:rsidRDefault="00D15EB9" w:rsidP="0098496C">
      <w:pPr>
        <w:pStyle w:val="Heading5"/>
        <w:rPr>
          <w:rFonts w:eastAsia="MS Mincho"/>
        </w:rPr>
      </w:pPr>
      <w:r w:rsidRPr="00D15EB9">
        <w:rPr>
          <w:rFonts w:eastAsia="MS Mincho"/>
        </w:rPr>
        <w:lastRenderedPageBreak/>
        <w:t>Treatment related adverse events (adverse drug reactions)</w:t>
      </w:r>
    </w:p>
    <w:p w14:paraId="576F6A26" w14:textId="0AA508CB" w:rsidR="00D15EB9" w:rsidRPr="00D15EB9" w:rsidRDefault="00D15EB9" w:rsidP="00D15EB9">
      <w:r w:rsidRPr="00D15EB9">
        <w:t xml:space="preserve">The number of subjects and incidence of AEs assessed as related to </w:t>
      </w:r>
      <w:proofErr w:type="spellStart"/>
      <w:r w:rsidR="004C3475">
        <w:t>tezepelumab</w:t>
      </w:r>
      <w:proofErr w:type="spellEnd"/>
      <w:r w:rsidRPr="00D15EB9">
        <w:t xml:space="preserve">, as judged by the investigator, during the on-treatment period was 60 (9.0%) subjects in the </w:t>
      </w:r>
      <w:proofErr w:type="spellStart"/>
      <w:r w:rsidRPr="00D15EB9">
        <w:t>tezepelumab</w:t>
      </w:r>
      <w:proofErr w:type="spellEnd"/>
      <w:r w:rsidRPr="00D15EB9">
        <w:t xml:space="preserve"> group and 54 (8.1%) in the placebo group.</w:t>
      </w:r>
    </w:p>
    <w:p w14:paraId="6848173B" w14:textId="6C0369FC" w:rsidR="00D15EB9" w:rsidRPr="00D15EB9" w:rsidRDefault="00D15EB9" w:rsidP="00D15EB9">
      <w:r w:rsidRPr="00D15EB9">
        <w:t>In NAVIGATOR treatment</w:t>
      </w:r>
      <w:r w:rsidR="004C3475">
        <w:t>-</w:t>
      </w:r>
      <w:r w:rsidRPr="00D15EB9">
        <w:t xml:space="preserve">related TEAEs were reported in 46 (8.7%) patients in the </w:t>
      </w:r>
      <w:proofErr w:type="spellStart"/>
      <w:r w:rsidRPr="00D15EB9">
        <w:t>tezepelumab</w:t>
      </w:r>
      <w:proofErr w:type="spellEnd"/>
      <w:r w:rsidRPr="00D15EB9">
        <w:t xml:space="preserve"> group and 43 (8.1%) in the placebo</w:t>
      </w:r>
      <w:r w:rsidR="004C3475">
        <w:t xml:space="preserve"> group</w:t>
      </w:r>
      <w:r w:rsidRPr="00D15EB9">
        <w:t xml:space="preserve">; most frequently being injection site erythema (8 [1.5%] in </w:t>
      </w:r>
      <w:proofErr w:type="spellStart"/>
      <w:r w:rsidRPr="00D15EB9">
        <w:t>tezepelumab</w:t>
      </w:r>
      <w:proofErr w:type="spellEnd"/>
      <w:r w:rsidRPr="00D15EB9">
        <w:t xml:space="preserve"> </w:t>
      </w:r>
      <w:r w:rsidR="004C3475">
        <w:t xml:space="preserve">group </w:t>
      </w:r>
      <w:r w:rsidRPr="00D15EB9">
        <w:t>and 10 [1.9%] in placebo</w:t>
      </w:r>
      <w:r w:rsidR="004C3475">
        <w:t xml:space="preserve"> group</w:t>
      </w:r>
      <w:r w:rsidRPr="00D15EB9">
        <w:t>) and headache (8</w:t>
      </w:r>
      <w:r w:rsidR="004C3475">
        <w:t> </w:t>
      </w:r>
      <w:r w:rsidRPr="00D15EB9">
        <w:t xml:space="preserve">[1.5%] in </w:t>
      </w:r>
      <w:proofErr w:type="spellStart"/>
      <w:r w:rsidRPr="00D15EB9">
        <w:t>tezepelumab</w:t>
      </w:r>
      <w:proofErr w:type="spellEnd"/>
      <w:r w:rsidRPr="00D15EB9">
        <w:t xml:space="preserve"> group and 5 [0.9%] </w:t>
      </w:r>
      <w:r w:rsidR="004C3475">
        <w:t xml:space="preserve">in </w:t>
      </w:r>
      <w:r w:rsidRPr="00D15EB9">
        <w:t>placebo</w:t>
      </w:r>
      <w:r w:rsidR="004C3475">
        <w:t xml:space="preserve"> group</w:t>
      </w:r>
      <w:r w:rsidRPr="00D15EB9">
        <w:t xml:space="preserve">). Injection site reactions were reported </w:t>
      </w:r>
      <w:r w:rsidR="004C3475">
        <w:t xml:space="preserve">by </w:t>
      </w:r>
      <w:r w:rsidRPr="00D15EB9">
        <w:t xml:space="preserve">8 (1.5%) </w:t>
      </w:r>
      <w:r w:rsidR="004C3475">
        <w:t xml:space="preserve">subjects </w:t>
      </w:r>
      <w:r w:rsidRPr="00D15EB9">
        <w:t xml:space="preserve">in the </w:t>
      </w:r>
      <w:proofErr w:type="spellStart"/>
      <w:r w:rsidRPr="00D15EB9">
        <w:t>tezepelumab</w:t>
      </w:r>
      <w:proofErr w:type="spellEnd"/>
      <w:r w:rsidRPr="00D15EB9">
        <w:t xml:space="preserve"> </w:t>
      </w:r>
      <w:r w:rsidR="004C3475">
        <w:t xml:space="preserve">group </w:t>
      </w:r>
      <w:r w:rsidRPr="00D15EB9">
        <w:t xml:space="preserve">and 5 (0.9%) </w:t>
      </w:r>
      <w:r w:rsidR="004C3475">
        <w:t xml:space="preserve">subjects </w:t>
      </w:r>
      <w:r w:rsidRPr="00D15EB9">
        <w:t>in the placebo</w:t>
      </w:r>
      <w:r w:rsidR="004C3475">
        <w:t xml:space="preserve"> group</w:t>
      </w:r>
      <w:r w:rsidRPr="00D15EB9">
        <w:t>.</w:t>
      </w:r>
    </w:p>
    <w:p w14:paraId="30B03410" w14:textId="5755886C" w:rsidR="00D15EB9" w:rsidRPr="00D15EB9" w:rsidRDefault="00D15EB9" w:rsidP="00D15EB9">
      <w:r w:rsidRPr="00D15EB9">
        <w:t>In PATHWAY treatment</w:t>
      </w:r>
      <w:r w:rsidR="004C3475">
        <w:t>-</w:t>
      </w:r>
      <w:r w:rsidRPr="00D15EB9">
        <w:t xml:space="preserve">related TEAEs were reported in 11 (8.0%) patients in the placebo group, 14 (10.1%) </w:t>
      </w:r>
      <w:r w:rsidR="004C3475">
        <w:t xml:space="preserve">patients </w:t>
      </w:r>
      <w:r w:rsidRPr="00D15EB9">
        <w:t xml:space="preserve">in the </w:t>
      </w:r>
      <w:proofErr w:type="spellStart"/>
      <w:r w:rsidRPr="00D15EB9">
        <w:t>tezepelumab</w:t>
      </w:r>
      <w:proofErr w:type="spellEnd"/>
      <w:r w:rsidRPr="00D15EB9">
        <w:t xml:space="preserve"> 70</w:t>
      </w:r>
      <w:r w:rsidR="004C3475">
        <w:t> </w:t>
      </w:r>
      <w:r w:rsidRPr="00D15EB9">
        <w:t xml:space="preserve">mg </w:t>
      </w:r>
      <w:r w:rsidR="00661E83">
        <w:t>Q4W</w:t>
      </w:r>
      <w:r w:rsidR="004C3475">
        <w:t xml:space="preserve"> group</w:t>
      </w:r>
      <w:r w:rsidRPr="00D15EB9">
        <w:t xml:space="preserve">, 14 (10.2%) </w:t>
      </w:r>
      <w:r w:rsidR="004C3475">
        <w:t xml:space="preserve">patients </w:t>
      </w:r>
      <w:r w:rsidRPr="00D15EB9">
        <w:t xml:space="preserve">in the </w:t>
      </w:r>
      <w:r w:rsidR="00661E83">
        <w:t>210 mg</w:t>
      </w:r>
      <w:r w:rsidRPr="00D15EB9">
        <w:t xml:space="preserve"> </w:t>
      </w:r>
      <w:r w:rsidR="00661E83">
        <w:t>Q4W</w:t>
      </w:r>
      <w:r w:rsidRPr="00D15EB9">
        <w:t xml:space="preserve"> </w:t>
      </w:r>
      <w:r w:rsidR="004C3475">
        <w:t xml:space="preserve">group </w:t>
      </w:r>
      <w:r w:rsidRPr="00D15EB9">
        <w:t xml:space="preserve">and 12 (8.8%) </w:t>
      </w:r>
      <w:r w:rsidR="004C3475">
        <w:t xml:space="preserve">patients </w:t>
      </w:r>
      <w:r w:rsidRPr="00D15EB9">
        <w:t>in the 280</w:t>
      </w:r>
      <w:r w:rsidR="004C3475">
        <w:t> </w:t>
      </w:r>
      <w:r w:rsidRPr="00D15EB9">
        <w:t xml:space="preserve">mg </w:t>
      </w:r>
      <w:r w:rsidR="00661E83">
        <w:t>Q2W</w:t>
      </w:r>
      <w:r w:rsidR="004C3475">
        <w:t xml:space="preserve"> group</w:t>
      </w:r>
      <w:r w:rsidRPr="00D15EB9">
        <w:t>. There was no pattern to the treatment related TEAEs</w:t>
      </w:r>
      <w:r w:rsidR="004C3475">
        <w:t>.</w:t>
      </w:r>
    </w:p>
    <w:p w14:paraId="72CA066D" w14:textId="19774046" w:rsidR="00D15EB9" w:rsidRPr="00D15EB9" w:rsidRDefault="00D15EB9" w:rsidP="00D15EB9">
      <w:r w:rsidRPr="00D15EB9">
        <w:t xml:space="preserve">In SOURCE there were </w:t>
      </w:r>
      <w:r w:rsidR="004C3475">
        <w:t xml:space="preserve">3 </w:t>
      </w:r>
      <w:r w:rsidRPr="00D15EB9">
        <w:t>treatment</w:t>
      </w:r>
      <w:r w:rsidR="004C3475">
        <w:t>-</w:t>
      </w:r>
      <w:r w:rsidRPr="00D15EB9">
        <w:t xml:space="preserve">related TEAEs reported in </w:t>
      </w:r>
      <w:r w:rsidR="004C3475">
        <w:t>3</w:t>
      </w:r>
      <w:r w:rsidRPr="00D15EB9">
        <w:t xml:space="preserve"> (4.1%) patients in the </w:t>
      </w:r>
      <w:proofErr w:type="spellStart"/>
      <w:r w:rsidRPr="00D15EB9">
        <w:t>tezepelumab</w:t>
      </w:r>
      <w:proofErr w:type="spellEnd"/>
      <w:r w:rsidRPr="00D15EB9">
        <w:t xml:space="preserve"> group (myalgia, erythema, pyrexia) and </w:t>
      </w:r>
      <w:r w:rsidR="004C3475">
        <w:t xml:space="preserve">10 events </w:t>
      </w:r>
      <w:r w:rsidRPr="00D15EB9">
        <w:t xml:space="preserve">in </w:t>
      </w:r>
      <w:r w:rsidR="004C3475">
        <w:t>4 patients</w:t>
      </w:r>
      <w:r w:rsidRPr="00D15EB9">
        <w:t xml:space="preserve"> (5.3%) in the placebo</w:t>
      </w:r>
      <w:r w:rsidR="004C3475">
        <w:t xml:space="preserve"> group</w:t>
      </w:r>
      <w:r w:rsidRPr="00D15EB9">
        <w:t xml:space="preserve">. There were no injection site reactions reported in the </w:t>
      </w:r>
      <w:proofErr w:type="spellStart"/>
      <w:r w:rsidRPr="00D15EB9">
        <w:t>tezepelumab</w:t>
      </w:r>
      <w:proofErr w:type="spellEnd"/>
      <w:r w:rsidRPr="00D15EB9">
        <w:t xml:space="preserve"> group.</w:t>
      </w:r>
    </w:p>
    <w:p w14:paraId="4B6581C7" w14:textId="688C4F93" w:rsidR="00D15EB9" w:rsidRPr="00D15EB9" w:rsidRDefault="00D15EB9" w:rsidP="00D15EB9">
      <w:r w:rsidRPr="00D15EB9">
        <w:t xml:space="preserve">In PATH-HOME there were no injection site reactions with </w:t>
      </w:r>
      <w:proofErr w:type="spellStart"/>
      <w:proofErr w:type="gramStart"/>
      <w:r w:rsidR="004C3475">
        <w:t>a</w:t>
      </w:r>
      <w:r w:rsidRPr="00D15EB9">
        <w:t>PFS</w:t>
      </w:r>
      <w:proofErr w:type="spellEnd"/>
      <w:proofErr w:type="gramEnd"/>
      <w:r w:rsidRPr="00D15EB9">
        <w:t xml:space="preserve"> but </w:t>
      </w:r>
      <w:r w:rsidR="004C3475">
        <w:t>10</w:t>
      </w:r>
      <w:r w:rsidRPr="00D15EB9">
        <w:t xml:space="preserve"> </w:t>
      </w:r>
      <w:r w:rsidR="004C3475">
        <w:t xml:space="preserve">reactions </w:t>
      </w:r>
      <w:r w:rsidRPr="00D15EB9">
        <w:t xml:space="preserve">were reported in </w:t>
      </w:r>
      <w:r w:rsidR="004C3475">
        <w:t>6</w:t>
      </w:r>
      <w:r w:rsidRPr="00D15EB9">
        <w:t xml:space="preserve"> (2.8%) patients with </w:t>
      </w:r>
      <w:r w:rsidR="004C3475">
        <w:t>the autoinjector</w:t>
      </w:r>
      <w:r w:rsidRPr="00D15EB9">
        <w:t>: pain (3 reports), erythema (2), swelling (2), bruising (1), papule (1) and urticaria (1).</w:t>
      </w:r>
    </w:p>
    <w:p w14:paraId="103084A4" w14:textId="77777777" w:rsidR="00D15EB9" w:rsidRPr="00D15EB9" w:rsidRDefault="00D15EB9" w:rsidP="0098496C">
      <w:pPr>
        <w:pStyle w:val="Heading5"/>
        <w:rPr>
          <w:rFonts w:eastAsia="MS Mincho"/>
        </w:rPr>
      </w:pPr>
      <w:r w:rsidRPr="00D15EB9">
        <w:rPr>
          <w:rFonts w:eastAsia="MS Mincho"/>
        </w:rPr>
        <w:t>Deaths and other serious adverse events and adverse events of special interest</w:t>
      </w:r>
    </w:p>
    <w:p w14:paraId="305D36C9" w14:textId="5B56E9FC" w:rsidR="00D15EB9" w:rsidRPr="00D15EB9" w:rsidRDefault="00D15EB9" w:rsidP="00D15EB9">
      <w:r w:rsidRPr="00D15EB9">
        <w:t xml:space="preserve">In the </w:t>
      </w:r>
      <w:r w:rsidR="00247131">
        <w:t>P</w:t>
      </w:r>
      <w:r w:rsidRPr="00D15EB9">
        <w:t xml:space="preserve">rimary </w:t>
      </w:r>
      <w:r w:rsidR="00247131">
        <w:t>S</w:t>
      </w:r>
      <w:r w:rsidRPr="00D15EB9">
        <w:t xml:space="preserve">afety </w:t>
      </w:r>
      <w:r w:rsidR="00247131">
        <w:t>P</w:t>
      </w:r>
      <w:r w:rsidRPr="00D15EB9">
        <w:t>ool, there were no deaths reported during the on-treatment period. However, deaths were reported in the individual study reports. In PATHWAY there was one death in the 70</w:t>
      </w:r>
      <w:r w:rsidR="004C3475">
        <w:t> </w:t>
      </w:r>
      <w:r w:rsidRPr="00D15EB9">
        <w:t>mg Q4W group (</w:t>
      </w:r>
      <w:r w:rsidR="004C3475">
        <w:t>c</w:t>
      </w:r>
      <w:r w:rsidRPr="00D15EB9">
        <w:t>erebrovascular accident). In N</w:t>
      </w:r>
      <w:r w:rsidR="004C3475">
        <w:t>AVIGATOR</w:t>
      </w:r>
      <w:r w:rsidRPr="00D15EB9">
        <w:t xml:space="preserve"> there were 2 deaths in the placebo group (unknown cause, heart failure), both occurring during the follow</w:t>
      </w:r>
      <w:r w:rsidR="0034335C">
        <w:t>-</w:t>
      </w:r>
      <w:r w:rsidRPr="00D15EB9">
        <w:t xml:space="preserve">up period. In SOURCE there was one death in the </w:t>
      </w:r>
      <w:proofErr w:type="spellStart"/>
      <w:r w:rsidRPr="00D15EB9">
        <w:t>tezepelumab</w:t>
      </w:r>
      <w:proofErr w:type="spellEnd"/>
      <w:r w:rsidRPr="00D15EB9">
        <w:t xml:space="preserve"> group (cardiac arrest).</w:t>
      </w:r>
    </w:p>
    <w:p w14:paraId="030B8122" w14:textId="3C33D917" w:rsidR="00D15EB9" w:rsidRPr="00D15EB9" w:rsidRDefault="00D15EB9" w:rsidP="00D15EB9">
      <w:r w:rsidRPr="00D15EB9">
        <w:t xml:space="preserve">In the </w:t>
      </w:r>
      <w:r w:rsidR="0034335C">
        <w:t>P</w:t>
      </w:r>
      <w:r w:rsidRPr="00D15EB9">
        <w:t xml:space="preserve">rimary </w:t>
      </w:r>
      <w:r w:rsidR="0034335C">
        <w:t>S</w:t>
      </w:r>
      <w:r w:rsidRPr="00D15EB9">
        <w:t xml:space="preserve">afety </w:t>
      </w:r>
      <w:r w:rsidR="0034335C">
        <w:t>P</w:t>
      </w:r>
      <w:r w:rsidRPr="00D15EB9">
        <w:t xml:space="preserve">ool, SAEs were reported in 57 (8.6%) patients in the </w:t>
      </w:r>
      <w:proofErr w:type="spellStart"/>
      <w:r w:rsidRPr="00D15EB9">
        <w:t>tezepelumab</w:t>
      </w:r>
      <w:proofErr w:type="spellEnd"/>
      <w:r w:rsidRPr="00D15EB9">
        <w:t xml:space="preserve"> group and 87 (13.0%) </w:t>
      </w:r>
      <w:r w:rsidR="0034335C">
        <w:t xml:space="preserve">patients </w:t>
      </w:r>
      <w:r w:rsidRPr="00D15EB9">
        <w:t xml:space="preserve">in the placebo </w:t>
      </w:r>
      <w:r w:rsidR="0034335C">
        <w:t xml:space="preserve">group </w:t>
      </w:r>
      <w:r w:rsidRPr="00D15EB9">
        <w:t xml:space="preserve">during the on-treatment period. Asthma was the most frequent SAE and was more frequent in the placebo group (6.9%) compared to 2.3% in the </w:t>
      </w:r>
      <w:proofErr w:type="spellStart"/>
      <w:r w:rsidRPr="00D15EB9">
        <w:t>tezepelumab</w:t>
      </w:r>
      <w:proofErr w:type="spellEnd"/>
      <w:r w:rsidRPr="00D15EB9">
        <w:t xml:space="preserve"> group. Infections occurred in approximately 2% of each group. Eleven subjects reported malignancies (6 subjects [0.9%] in the </w:t>
      </w:r>
      <w:proofErr w:type="spellStart"/>
      <w:r w:rsidRPr="00D15EB9">
        <w:t>tezepelumab</w:t>
      </w:r>
      <w:proofErr w:type="spellEnd"/>
      <w:r w:rsidRPr="00D15EB9">
        <w:t xml:space="preserve"> group and 5 subjects [0.7%] in the placebo group). Hypersensitivity reactions were reported in 56 subjects (8.4%) in the </w:t>
      </w:r>
      <w:proofErr w:type="spellStart"/>
      <w:r w:rsidRPr="00D15EB9">
        <w:t>tezepelumab</w:t>
      </w:r>
      <w:proofErr w:type="spellEnd"/>
      <w:r w:rsidRPr="00D15EB9">
        <w:t xml:space="preserve"> group and 58 </w:t>
      </w:r>
      <w:r w:rsidR="0034335C">
        <w:t xml:space="preserve">subjects </w:t>
      </w:r>
      <w:r w:rsidRPr="00D15EB9">
        <w:t>(8.7%) in the placebo group; of these, only 3 subjects reported serious AEs of hypersensitivity reaction (1</w:t>
      </w:r>
      <w:r w:rsidR="0034335C">
        <w:t xml:space="preserve"> in</w:t>
      </w:r>
      <w:r w:rsidRPr="00D15EB9">
        <w:t xml:space="preserve"> </w:t>
      </w:r>
      <w:proofErr w:type="spellStart"/>
      <w:r w:rsidRPr="00D15EB9">
        <w:t>tezepelumab</w:t>
      </w:r>
      <w:proofErr w:type="spellEnd"/>
      <w:r w:rsidRPr="00D15EB9">
        <w:t xml:space="preserve"> group and 2 </w:t>
      </w:r>
      <w:r w:rsidR="0034335C">
        <w:t xml:space="preserve">in </w:t>
      </w:r>
      <w:r w:rsidRPr="00D15EB9">
        <w:t xml:space="preserve">placebo group). A single event of Guillain-Barré syndrome was reported in the PATHWAY study, occurring in the </w:t>
      </w:r>
      <w:proofErr w:type="spellStart"/>
      <w:r w:rsidRPr="00D15EB9">
        <w:t>tezepelumab</w:t>
      </w:r>
      <w:proofErr w:type="spellEnd"/>
      <w:r w:rsidRPr="00D15EB9">
        <w:t xml:space="preserve"> </w:t>
      </w:r>
      <w:r w:rsidR="00661E83">
        <w:t>210 mg</w:t>
      </w:r>
      <w:r w:rsidRPr="00D15EB9">
        <w:t xml:space="preserve"> Q4W treatment group.</w:t>
      </w:r>
    </w:p>
    <w:p w14:paraId="6B65AD19" w14:textId="78764BBE" w:rsidR="00D15EB9" w:rsidRPr="00D15EB9" w:rsidRDefault="00D15EB9" w:rsidP="00D15EB9">
      <w:r w:rsidRPr="00D15EB9">
        <w:t xml:space="preserve">The majority (133 out of 144) of subjects experiencing SAEs in the Primary Safety Pool experienced SAEs that were not considered related to </w:t>
      </w:r>
      <w:proofErr w:type="spellStart"/>
      <w:r w:rsidR="00295C3F">
        <w:t>tezepelumab</w:t>
      </w:r>
      <w:proofErr w:type="spellEnd"/>
      <w:r w:rsidRPr="00D15EB9">
        <w:t xml:space="preserve"> as assessed by the investigator. The proportion of subjects with SAEs considered causally related to </w:t>
      </w:r>
      <w:proofErr w:type="spellStart"/>
      <w:r w:rsidR="00295C3F">
        <w:t>tezepelumab</w:t>
      </w:r>
      <w:proofErr w:type="spellEnd"/>
      <w:r w:rsidRPr="00D15EB9">
        <w:t xml:space="preserve"> by the investigator was low across the </w:t>
      </w:r>
      <w:proofErr w:type="spellStart"/>
      <w:r w:rsidRPr="00D15EB9">
        <w:t>tezepelumab</w:t>
      </w:r>
      <w:proofErr w:type="spellEnd"/>
      <w:r w:rsidRPr="00D15EB9">
        <w:t xml:space="preserve"> (0.9% [6 subjects]) and placebo (0.7% [5</w:t>
      </w:r>
      <w:r w:rsidR="0034335C">
        <w:t> </w:t>
      </w:r>
      <w:r w:rsidRPr="00D15EB9">
        <w:t>subjects]) groups.</w:t>
      </w:r>
    </w:p>
    <w:p w14:paraId="3006E871" w14:textId="77777777" w:rsidR="00A87E5E" w:rsidRDefault="00A87E5E">
      <w:r>
        <w:br w:type="page"/>
      </w:r>
    </w:p>
    <w:p w14:paraId="36AE7752" w14:textId="4FEF7276" w:rsidR="00D15EB9" w:rsidRPr="00D15EB9" w:rsidRDefault="00D15EB9" w:rsidP="00D15EB9">
      <w:r w:rsidRPr="00D15EB9">
        <w:lastRenderedPageBreak/>
        <w:t xml:space="preserve">In SOURCE SAEs were seen in 11 (14.9%) patients in the </w:t>
      </w:r>
      <w:proofErr w:type="spellStart"/>
      <w:r w:rsidRPr="00D15EB9">
        <w:t>tezepelumab</w:t>
      </w:r>
      <w:proofErr w:type="spellEnd"/>
      <w:r w:rsidRPr="00D15EB9">
        <w:t xml:space="preserve"> </w:t>
      </w:r>
      <w:r w:rsidR="0034335C">
        <w:t xml:space="preserve">group </w:t>
      </w:r>
      <w:r w:rsidRPr="00D15EB9">
        <w:t>and 16 (21.1%) in the placebo</w:t>
      </w:r>
      <w:r w:rsidR="0034335C">
        <w:t xml:space="preserve"> group</w:t>
      </w:r>
      <w:r w:rsidRPr="00D15EB9">
        <w:t xml:space="preserve">. Asthma was the most common SAE and more frequent in the placebo </w:t>
      </w:r>
      <w:r w:rsidR="0034335C">
        <w:t xml:space="preserve">group </w:t>
      </w:r>
      <w:r w:rsidRPr="00D15EB9">
        <w:t xml:space="preserve">(13.2%) compared to 2.7% patients in the </w:t>
      </w:r>
      <w:proofErr w:type="spellStart"/>
      <w:r w:rsidRPr="00D15EB9">
        <w:t>tezepelumab</w:t>
      </w:r>
      <w:proofErr w:type="spellEnd"/>
      <w:r w:rsidRPr="00D15EB9">
        <w:t xml:space="preserve"> group. One case of breast cancer was reported in the </w:t>
      </w:r>
      <w:proofErr w:type="spellStart"/>
      <w:r w:rsidRPr="00D15EB9">
        <w:t>tezepelumab</w:t>
      </w:r>
      <w:proofErr w:type="spellEnd"/>
      <w:r w:rsidRPr="00D15EB9">
        <w:t xml:space="preserve"> group. Four subjects discontinued treatment with </w:t>
      </w:r>
      <w:proofErr w:type="spellStart"/>
      <w:r w:rsidR="00295C3F">
        <w:t>tezepelumab</w:t>
      </w:r>
      <w:proofErr w:type="spellEnd"/>
      <w:r w:rsidRPr="00D15EB9">
        <w:t xml:space="preserve"> due to an SAE, 2 (2.7%) in the </w:t>
      </w:r>
      <w:proofErr w:type="spellStart"/>
      <w:r w:rsidRPr="00D15EB9">
        <w:t>tezepelumab</w:t>
      </w:r>
      <w:proofErr w:type="spellEnd"/>
      <w:r w:rsidRPr="00D15EB9">
        <w:t xml:space="preserve"> </w:t>
      </w:r>
      <w:r w:rsidR="0034335C">
        <w:t xml:space="preserve">group </w:t>
      </w:r>
      <w:r w:rsidRPr="00D15EB9">
        <w:t>(PTs: invasive breast carcinoma; acute kidney injury) and 2 (2.6%) in the placebo group (PTs: headache, arthritis)</w:t>
      </w:r>
      <w:r w:rsidR="0034335C">
        <w:t>.</w:t>
      </w:r>
    </w:p>
    <w:p w14:paraId="5E244A19" w14:textId="5BE5329E" w:rsidR="00D15EB9" w:rsidRPr="00D15EB9" w:rsidRDefault="00D15EB9" w:rsidP="00D15EB9">
      <w:r w:rsidRPr="00D15EB9">
        <w:t xml:space="preserve">In PATH-HOME SAEs were reported in </w:t>
      </w:r>
      <w:r w:rsidR="0034335C">
        <w:t>3</w:t>
      </w:r>
      <w:r w:rsidRPr="00D15EB9">
        <w:t xml:space="preserve"> (2.7%) patients in each group; in the </w:t>
      </w:r>
      <w:proofErr w:type="spellStart"/>
      <w:r w:rsidR="0034335C">
        <w:t>a</w:t>
      </w:r>
      <w:r w:rsidRPr="00D15EB9">
        <w:t>PFS</w:t>
      </w:r>
      <w:proofErr w:type="spellEnd"/>
      <w:r w:rsidRPr="00D15EB9">
        <w:t xml:space="preserve"> (renal colic, diverticulitis, urinary tract infection) and in the </w:t>
      </w:r>
      <w:r w:rsidR="0034335C">
        <w:t>autoinjector</w:t>
      </w:r>
      <w:r w:rsidRPr="00D15EB9">
        <w:t xml:space="preserve"> group (asthma, asthma/pneumothorax/varicella, asthma/psychogenic seizure).</w:t>
      </w:r>
    </w:p>
    <w:p w14:paraId="313B7B99" w14:textId="183F1793" w:rsidR="00D15EB9" w:rsidRPr="00D15EB9" w:rsidRDefault="00D15EB9" w:rsidP="00D15EB9">
      <w:r w:rsidRPr="00D15EB9">
        <w:t xml:space="preserve">Across these studies, there were no anaphylactic or serious allergic reactions considered causally related to </w:t>
      </w:r>
      <w:proofErr w:type="spellStart"/>
      <w:r w:rsidRPr="00D15EB9">
        <w:t>tezepelumab</w:t>
      </w:r>
      <w:proofErr w:type="spellEnd"/>
      <w:r w:rsidRPr="00D15EB9">
        <w:t xml:space="preserve"> by the investigator, and there were no reports of immune complex disease, opportunistic infections, or helminth infections with </w:t>
      </w:r>
      <w:proofErr w:type="spellStart"/>
      <w:r w:rsidRPr="00D15EB9">
        <w:t>tezepelumab</w:t>
      </w:r>
      <w:proofErr w:type="spellEnd"/>
      <w:r w:rsidRPr="00D15EB9">
        <w:t xml:space="preserve"> treatment. Clinical laboratory evaluations were assessed on an individual study basis in the </w:t>
      </w:r>
      <w:proofErr w:type="spellStart"/>
      <w:r w:rsidRPr="00D15EB9">
        <w:t>tezepelumab</w:t>
      </w:r>
      <w:proofErr w:type="spellEnd"/>
      <w:r w:rsidRPr="00D15EB9">
        <w:t xml:space="preserve"> asthma program. Overall, there were no clinically meaningful mean changes over time in haematology (except for the recognised PD effects of </w:t>
      </w:r>
      <w:proofErr w:type="spellStart"/>
      <w:r w:rsidRPr="00D15EB9">
        <w:t>tezepelumab</w:t>
      </w:r>
      <w:proofErr w:type="spellEnd"/>
      <w:r w:rsidRPr="00D15EB9">
        <w:t xml:space="preserve"> on lowering blood eosinophil counts and serum IgE levels) and clinical chemistry parameters, and no notable differences were observed between </w:t>
      </w:r>
      <w:proofErr w:type="spellStart"/>
      <w:r w:rsidRPr="00D15EB9">
        <w:t>tezepelumab</w:t>
      </w:r>
      <w:proofErr w:type="spellEnd"/>
      <w:r w:rsidRPr="00D15EB9">
        <w:t xml:space="preserve"> and placebo treatment groups in the studies, NAVIGATOR, PATHWAY, and SOURCE. There was no clinical meaningful effect of </w:t>
      </w:r>
      <w:proofErr w:type="spellStart"/>
      <w:r w:rsidRPr="00D15EB9">
        <w:t>tezepelumab</w:t>
      </w:r>
      <w:proofErr w:type="spellEnd"/>
      <w:r w:rsidRPr="00D15EB9">
        <w:t xml:space="preserve"> treatment on other immunoglobulin isotypes, </w:t>
      </w:r>
      <w:r w:rsidR="0034335C">
        <w:t xml:space="preserve">that is, </w:t>
      </w:r>
      <w:r w:rsidRPr="00D15EB9">
        <w:t>IgA, IgG, and IgM.</w:t>
      </w:r>
    </w:p>
    <w:p w14:paraId="5201603E" w14:textId="77777777" w:rsidR="00D15EB9" w:rsidRPr="00D15EB9" w:rsidRDefault="00D15EB9" w:rsidP="0098496C">
      <w:pPr>
        <w:pStyle w:val="Heading5"/>
        <w:rPr>
          <w:rFonts w:eastAsia="MS Mincho"/>
        </w:rPr>
      </w:pPr>
      <w:r w:rsidRPr="00D15EB9">
        <w:rPr>
          <w:rFonts w:eastAsia="MS Mincho"/>
        </w:rPr>
        <w:t>Discontinuations due to adverse events</w:t>
      </w:r>
    </w:p>
    <w:p w14:paraId="19D60530" w14:textId="1E5B0A35" w:rsidR="00D15EB9" w:rsidRPr="00D15EB9" w:rsidRDefault="00D15EB9" w:rsidP="00D15EB9">
      <w:r w:rsidRPr="00D15EB9">
        <w:t xml:space="preserve">In the </w:t>
      </w:r>
      <w:r w:rsidR="003443B5">
        <w:t>P</w:t>
      </w:r>
      <w:r w:rsidRPr="00D15EB9">
        <w:t xml:space="preserve">rimary </w:t>
      </w:r>
      <w:r w:rsidR="003443B5">
        <w:t>S</w:t>
      </w:r>
      <w:r w:rsidRPr="00D15EB9">
        <w:t xml:space="preserve">afety </w:t>
      </w:r>
      <w:r w:rsidR="003443B5">
        <w:t>P</w:t>
      </w:r>
      <w:r w:rsidRPr="00D15EB9">
        <w:t xml:space="preserve">ool, discontinuations due to AEs were reported in 13 (2.0%) patients in the </w:t>
      </w:r>
      <w:proofErr w:type="spellStart"/>
      <w:r w:rsidRPr="00D15EB9">
        <w:t>tezepelumab</w:t>
      </w:r>
      <w:proofErr w:type="spellEnd"/>
      <w:r w:rsidRPr="00D15EB9">
        <w:t xml:space="preserve"> group and 20 (3.0%) in the placebo</w:t>
      </w:r>
      <w:r w:rsidR="003443B5">
        <w:t xml:space="preserve"> group</w:t>
      </w:r>
      <w:r w:rsidRPr="00D15EB9">
        <w:t>. The majority were not thought to be related to the investigational product.</w:t>
      </w:r>
    </w:p>
    <w:p w14:paraId="4291D409" w14:textId="768C3FE0" w:rsidR="00D15EB9" w:rsidRPr="00D15EB9" w:rsidRDefault="00D15EB9" w:rsidP="00D15EB9">
      <w:r w:rsidRPr="00D15EB9">
        <w:t xml:space="preserve">In NAVIGATOR discontinuations due to AE were reported in 11 (2.1%) patients in the </w:t>
      </w:r>
      <w:proofErr w:type="spellStart"/>
      <w:r w:rsidRPr="00D15EB9">
        <w:t>tezepelumab</w:t>
      </w:r>
      <w:proofErr w:type="spellEnd"/>
      <w:r w:rsidRPr="00D15EB9">
        <w:t xml:space="preserve"> </w:t>
      </w:r>
      <w:r w:rsidR="003443B5">
        <w:t xml:space="preserve">group </w:t>
      </w:r>
      <w:r w:rsidRPr="00D15EB9">
        <w:t>and 19 (3.6%) in the placebo</w:t>
      </w:r>
      <w:r w:rsidR="003443B5">
        <w:t xml:space="preserve"> group</w:t>
      </w:r>
      <w:r w:rsidRPr="00D15EB9">
        <w:t xml:space="preserve">. Two patients in the </w:t>
      </w:r>
      <w:proofErr w:type="spellStart"/>
      <w:r w:rsidRPr="00D15EB9">
        <w:t>tezepelumab</w:t>
      </w:r>
      <w:proofErr w:type="spellEnd"/>
      <w:r w:rsidRPr="00D15EB9">
        <w:t xml:space="preserve"> group discontinued because of malignant melanoma and </w:t>
      </w:r>
      <w:r w:rsidR="003443B5">
        <w:t>2</w:t>
      </w:r>
      <w:r w:rsidRPr="00D15EB9">
        <w:t xml:space="preserve"> in the placebo group discontinued because of basal cell carcinoma. Four patients in the placebo group discontinued because of asthma and </w:t>
      </w:r>
      <w:r w:rsidR="003443B5">
        <w:t xml:space="preserve">2 patients </w:t>
      </w:r>
      <w:r w:rsidRPr="00D15EB9">
        <w:t>because of allergic rhinitis.</w:t>
      </w:r>
    </w:p>
    <w:p w14:paraId="6F802FB0" w14:textId="0FF438E2" w:rsidR="00D15EB9" w:rsidRPr="00D15EB9" w:rsidRDefault="00D15EB9" w:rsidP="00D15EB9">
      <w:r w:rsidRPr="00D15EB9">
        <w:t xml:space="preserve">In SOURCE AEs leading to discontinuation were reported in </w:t>
      </w:r>
      <w:r w:rsidR="003443B5">
        <w:t>2</w:t>
      </w:r>
      <w:r w:rsidRPr="00D15EB9">
        <w:t xml:space="preserve"> (2.7%) patients in the </w:t>
      </w:r>
      <w:proofErr w:type="spellStart"/>
      <w:r w:rsidRPr="00D15EB9">
        <w:t>tezepelumab</w:t>
      </w:r>
      <w:proofErr w:type="spellEnd"/>
      <w:r w:rsidRPr="00D15EB9">
        <w:t xml:space="preserve"> group (invasive breast cancer, acute kidney injury) and </w:t>
      </w:r>
      <w:r w:rsidR="003443B5">
        <w:t>2</w:t>
      </w:r>
      <w:r w:rsidRPr="00D15EB9">
        <w:t xml:space="preserve"> (2.6%) in the placebo</w:t>
      </w:r>
      <w:r w:rsidR="003443B5">
        <w:t xml:space="preserve"> group</w:t>
      </w:r>
      <w:r w:rsidRPr="00D15EB9">
        <w:t xml:space="preserve"> (headache, arthritis).</w:t>
      </w:r>
    </w:p>
    <w:p w14:paraId="23B26BA6" w14:textId="79525CDC" w:rsidR="00D15EB9" w:rsidRPr="00D15EB9" w:rsidRDefault="00D15EB9" w:rsidP="00D15EB9">
      <w:r w:rsidRPr="00D15EB9">
        <w:t xml:space="preserve">In PATHWAY discontinuation due to AE was reported in one patient in the placebo group, none in the </w:t>
      </w:r>
      <w:proofErr w:type="spellStart"/>
      <w:r w:rsidRPr="00D15EB9">
        <w:t>tezepelumab</w:t>
      </w:r>
      <w:proofErr w:type="spellEnd"/>
      <w:r w:rsidRPr="00D15EB9">
        <w:t xml:space="preserve"> 70</w:t>
      </w:r>
      <w:r w:rsidR="00D56D43">
        <w:t> </w:t>
      </w:r>
      <w:r w:rsidRPr="00D15EB9">
        <w:t xml:space="preserve">mg </w:t>
      </w:r>
      <w:r w:rsidR="00661E83">
        <w:t>Q4W</w:t>
      </w:r>
      <w:r w:rsidR="00D56D43">
        <w:t xml:space="preserve"> group</w:t>
      </w:r>
      <w:r w:rsidRPr="00D15EB9">
        <w:t xml:space="preserve">, </w:t>
      </w:r>
      <w:r w:rsidR="00D56D43">
        <w:t>2 patients</w:t>
      </w:r>
      <w:r w:rsidRPr="00D15EB9">
        <w:t xml:space="preserve"> in the </w:t>
      </w:r>
      <w:r w:rsidR="00661E83">
        <w:t>210 mg</w:t>
      </w:r>
      <w:r w:rsidRPr="00D15EB9">
        <w:t xml:space="preserve"> </w:t>
      </w:r>
      <w:r w:rsidR="00661E83">
        <w:t>Q4W</w:t>
      </w:r>
      <w:r w:rsidRPr="00D15EB9">
        <w:t xml:space="preserve"> and </w:t>
      </w:r>
      <w:r w:rsidR="00D56D43">
        <w:t>3 patients</w:t>
      </w:r>
      <w:r w:rsidRPr="00D15EB9">
        <w:t xml:space="preserve"> in the 280</w:t>
      </w:r>
      <w:r w:rsidR="00D56D43">
        <w:t> </w:t>
      </w:r>
      <w:r w:rsidRPr="00D15EB9">
        <w:t xml:space="preserve">mg </w:t>
      </w:r>
      <w:r w:rsidR="00661E83">
        <w:t>Q2W</w:t>
      </w:r>
      <w:r w:rsidR="00D56D43">
        <w:t xml:space="preserve"> group</w:t>
      </w:r>
      <w:r w:rsidRPr="00D15EB9">
        <w:t>. There was no pattern to the discontinuations due to AEs.</w:t>
      </w:r>
    </w:p>
    <w:p w14:paraId="0ED88AC3" w14:textId="40B2B596" w:rsidR="00D15EB9" w:rsidRDefault="00D15EB9" w:rsidP="00D15EB9">
      <w:r w:rsidRPr="00D15EB9">
        <w:t xml:space="preserve">In PATH-HOME AEs leading to discontinuation were reported in </w:t>
      </w:r>
      <w:r w:rsidR="00D56D43">
        <w:t>2</w:t>
      </w:r>
      <w:r w:rsidRPr="00D15EB9">
        <w:t xml:space="preserve"> (1.8%) patients in the </w:t>
      </w:r>
      <w:proofErr w:type="spellStart"/>
      <w:r w:rsidR="00D56D43">
        <w:t>a</w:t>
      </w:r>
      <w:r w:rsidRPr="00D15EB9">
        <w:t>PFS</w:t>
      </w:r>
      <w:proofErr w:type="spellEnd"/>
      <w:r w:rsidRPr="00D15EB9">
        <w:t xml:space="preserve"> group (pain in extremity, pancreatitis) and none in the </w:t>
      </w:r>
      <w:r w:rsidR="00D56D43">
        <w:t>autoinjector group</w:t>
      </w:r>
      <w:r w:rsidRPr="00D15EB9">
        <w:t>.</w:t>
      </w:r>
    </w:p>
    <w:p w14:paraId="24500AF2" w14:textId="67E6A7E4" w:rsidR="00D15EB9" w:rsidRPr="00D15EB9" w:rsidRDefault="00D15EB9" w:rsidP="0098496C">
      <w:pPr>
        <w:pStyle w:val="Heading5"/>
        <w:rPr>
          <w:rFonts w:eastAsia="TimesNewRoman,Bold"/>
        </w:rPr>
      </w:pPr>
      <w:r w:rsidRPr="00D15EB9">
        <w:rPr>
          <w:rFonts w:eastAsia="TimesNewRoman,Bold"/>
        </w:rPr>
        <w:t xml:space="preserve">Adverse </w:t>
      </w:r>
      <w:r w:rsidR="00931234" w:rsidRPr="00D15EB9">
        <w:rPr>
          <w:rFonts w:eastAsia="TimesNewRoman,Bold"/>
        </w:rPr>
        <w:t>events of special interest</w:t>
      </w:r>
    </w:p>
    <w:p w14:paraId="2DC0B0EB" w14:textId="77777777" w:rsidR="00D15EB9" w:rsidRPr="00D15EB9" w:rsidRDefault="00D15EB9" w:rsidP="00D15EB9">
      <w:r w:rsidRPr="00D15EB9">
        <w:t>In the Primary Safety Pool:</w:t>
      </w:r>
    </w:p>
    <w:p w14:paraId="544FFA64" w14:textId="472A5385" w:rsidR="00D15EB9" w:rsidRPr="00D15EB9" w:rsidRDefault="00D15EB9" w:rsidP="00706B7F">
      <w:pPr>
        <w:pStyle w:val="ListBullet"/>
      </w:pPr>
      <w:r w:rsidRPr="00D15EB9">
        <w:t xml:space="preserve">the incidence of SAEs reported in the Infections and Infestations </w:t>
      </w:r>
      <w:r w:rsidR="00A94BE6">
        <w:t>system organ class (</w:t>
      </w:r>
      <w:r w:rsidRPr="00A94BE6">
        <w:t>SOC</w:t>
      </w:r>
      <w:r w:rsidR="00A94BE6">
        <w:t>)</w:t>
      </w:r>
      <w:r w:rsidRPr="00D15EB9">
        <w:t xml:space="preserve"> was similar between the </w:t>
      </w:r>
      <w:proofErr w:type="spellStart"/>
      <w:r w:rsidRPr="00D15EB9">
        <w:t>tezepelumab</w:t>
      </w:r>
      <w:proofErr w:type="spellEnd"/>
      <w:r w:rsidRPr="00D15EB9">
        <w:t xml:space="preserve"> (n</w:t>
      </w:r>
      <w:r w:rsidR="00247131">
        <w:t xml:space="preserve"> </w:t>
      </w:r>
      <w:r w:rsidRPr="00D15EB9">
        <w:t>=</w:t>
      </w:r>
      <w:r w:rsidR="00247131">
        <w:t xml:space="preserve"> </w:t>
      </w:r>
      <w:r w:rsidRPr="00D15EB9">
        <w:t>13</w:t>
      </w:r>
      <w:r w:rsidR="00247131">
        <w:t>;</w:t>
      </w:r>
      <w:r w:rsidRPr="00D15EB9">
        <w:t xml:space="preserve"> 2%) and placebo (n</w:t>
      </w:r>
      <w:r w:rsidR="00247131">
        <w:t xml:space="preserve"> </w:t>
      </w:r>
      <w:r w:rsidRPr="00D15EB9">
        <w:t>=</w:t>
      </w:r>
      <w:r w:rsidR="00247131">
        <w:t xml:space="preserve"> </w:t>
      </w:r>
      <w:r w:rsidRPr="00D15EB9">
        <w:t>15</w:t>
      </w:r>
      <w:r w:rsidR="00247131">
        <w:t>;</w:t>
      </w:r>
      <w:r w:rsidRPr="00D15EB9">
        <w:t xml:space="preserve"> 2.2%) groups</w:t>
      </w:r>
      <w:r w:rsidR="00247131">
        <w:t>.</w:t>
      </w:r>
    </w:p>
    <w:p w14:paraId="1B45B20F" w14:textId="7A21E41B" w:rsidR="00D15EB9" w:rsidRPr="00D15EB9" w:rsidRDefault="00D15EB9" w:rsidP="00706B7F">
      <w:pPr>
        <w:pStyle w:val="ListBullet"/>
      </w:pPr>
      <w:r w:rsidRPr="00D15EB9">
        <w:t>No event of opportunistic infection w</w:t>
      </w:r>
      <w:r w:rsidR="00247131">
        <w:t>as</w:t>
      </w:r>
      <w:r w:rsidRPr="00D15EB9">
        <w:t xml:space="preserve"> reported.</w:t>
      </w:r>
    </w:p>
    <w:p w14:paraId="5BCCBA38" w14:textId="18C3B94F" w:rsidR="00D15EB9" w:rsidRPr="00D15EB9" w:rsidRDefault="00D15EB9" w:rsidP="00706B7F">
      <w:pPr>
        <w:pStyle w:val="ListBullet"/>
      </w:pPr>
      <w:r w:rsidRPr="00D15EB9">
        <w:t>No event of helminth infection w</w:t>
      </w:r>
      <w:r w:rsidR="00247131">
        <w:t>as</w:t>
      </w:r>
      <w:r w:rsidRPr="00D15EB9">
        <w:t xml:space="preserve"> reported.</w:t>
      </w:r>
    </w:p>
    <w:p w14:paraId="5810EF34" w14:textId="21AAB8D9" w:rsidR="00D15EB9" w:rsidRPr="00D15EB9" w:rsidRDefault="00D15EB9" w:rsidP="00706B7F">
      <w:pPr>
        <w:pStyle w:val="ListBullet"/>
      </w:pPr>
      <w:r w:rsidRPr="00D15EB9">
        <w:lastRenderedPageBreak/>
        <w:t>No anaphylactic or serious allergic reaction that w</w:t>
      </w:r>
      <w:r w:rsidR="00247131">
        <w:t>as</w:t>
      </w:r>
      <w:r w:rsidRPr="00D15EB9">
        <w:t xml:space="preserve"> considered causally related to </w:t>
      </w:r>
      <w:proofErr w:type="spellStart"/>
      <w:r w:rsidRPr="00D15EB9">
        <w:t>tezepelumab</w:t>
      </w:r>
      <w:proofErr w:type="spellEnd"/>
      <w:r w:rsidRPr="00D15EB9">
        <w:t xml:space="preserve"> occurred. Hypersensitivity reactions were similar in both groups: 56 (8.4%) in the </w:t>
      </w:r>
      <w:proofErr w:type="spellStart"/>
      <w:r w:rsidRPr="00D15EB9">
        <w:t>tezepelumab</w:t>
      </w:r>
      <w:proofErr w:type="spellEnd"/>
      <w:r w:rsidRPr="00D15EB9">
        <w:t xml:space="preserve"> </w:t>
      </w:r>
      <w:r w:rsidR="00247131">
        <w:t xml:space="preserve">group </w:t>
      </w:r>
      <w:r w:rsidRPr="00D15EB9">
        <w:t>and 58 (8.7%) in the placebo group.</w:t>
      </w:r>
    </w:p>
    <w:p w14:paraId="1CB57735" w14:textId="1C54D293" w:rsidR="00D15EB9" w:rsidRPr="00D15EB9" w:rsidRDefault="00D15EB9" w:rsidP="00706B7F">
      <w:pPr>
        <w:pStyle w:val="ListBullet"/>
      </w:pPr>
      <w:r w:rsidRPr="00D15EB9">
        <w:t xml:space="preserve">Eleven subjects reported a malignancy: 6 subjects (0.9%) in the </w:t>
      </w:r>
      <w:proofErr w:type="spellStart"/>
      <w:r w:rsidRPr="00D15EB9">
        <w:t>tezepelumab</w:t>
      </w:r>
      <w:proofErr w:type="spellEnd"/>
      <w:r w:rsidRPr="00D15EB9">
        <w:t xml:space="preserve"> group and 5 subjects (0.7%) in the placebo group. One case of malignant melanoma in situ in the </w:t>
      </w:r>
      <w:proofErr w:type="spellStart"/>
      <w:r w:rsidRPr="00D15EB9">
        <w:t>tezepelumab</w:t>
      </w:r>
      <w:proofErr w:type="spellEnd"/>
      <w:r w:rsidRPr="00D15EB9">
        <w:t xml:space="preserve"> group </w:t>
      </w:r>
      <w:proofErr w:type="gramStart"/>
      <w:r w:rsidRPr="00D15EB9">
        <w:t>was considered to be</w:t>
      </w:r>
      <w:proofErr w:type="gramEnd"/>
      <w:r w:rsidRPr="00D15EB9">
        <w:t xml:space="preserve"> causally related to </w:t>
      </w:r>
      <w:proofErr w:type="spellStart"/>
      <w:r w:rsidR="00295C3F">
        <w:t>tezepelumab</w:t>
      </w:r>
      <w:proofErr w:type="spellEnd"/>
      <w:r w:rsidRPr="00D15EB9">
        <w:t xml:space="preserve"> by the investigator.</w:t>
      </w:r>
    </w:p>
    <w:p w14:paraId="78AAF382" w14:textId="2D822630" w:rsidR="00D15EB9" w:rsidRPr="00D15EB9" w:rsidRDefault="00D15EB9" w:rsidP="00706B7F">
      <w:pPr>
        <w:pStyle w:val="ListBullet"/>
      </w:pPr>
      <w:r w:rsidRPr="00D15EB9">
        <w:t xml:space="preserve">Forty-six subjects experienced injection site reactions (25 subjects [3.8%] and 21 subjects [3.1%] in the </w:t>
      </w:r>
      <w:proofErr w:type="spellStart"/>
      <w:r w:rsidRPr="00D15EB9">
        <w:t>tezepelumab</w:t>
      </w:r>
      <w:proofErr w:type="spellEnd"/>
      <w:r w:rsidRPr="00D15EB9">
        <w:t xml:space="preserve"> and placebo groups, respectively).</w:t>
      </w:r>
    </w:p>
    <w:p w14:paraId="514CB876" w14:textId="2AF6B2CF" w:rsidR="00D15EB9" w:rsidRPr="00D15EB9" w:rsidRDefault="00D15EB9" w:rsidP="00706B7F">
      <w:pPr>
        <w:pStyle w:val="ListBullet"/>
      </w:pPr>
      <w:r w:rsidRPr="00D15EB9">
        <w:t xml:space="preserve">One event of Guillain-Barré syndrome occurred (PATHWAY) in the </w:t>
      </w:r>
      <w:proofErr w:type="spellStart"/>
      <w:r w:rsidRPr="00D15EB9">
        <w:t>tezepelumab</w:t>
      </w:r>
      <w:proofErr w:type="spellEnd"/>
      <w:r w:rsidRPr="00D15EB9">
        <w:t xml:space="preserve"> group. The event was considered causally related to </w:t>
      </w:r>
      <w:proofErr w:type="spellStart"/>
      <w:r w:rsidR="00295C3F">
        <w:t>tezepelumab</w:t>
      </w:r>
      <w:proofErr w:type="spellEnd"/>
      <w:r w:rsidRPr="00D15EB9">
        <w:t xml:space="preserve"> by the investigator but not by the sponsor.</w:t>
      </w:r>
      <w:bookmarkStart w:id="84" w:name="_Toc174522530"/>
    </w:p>
    <w:p w14:paraId="074D78FD" w14:textId="5100D9AA" w:rsidR="00D15EB9" w:rsidRPr="00D15EB9" w:rsidRDefault="00D15EB9" w:rsidP="00D15EB9">
      <w:r w:rsidRPr="00D15EB9">
        <w:t>In NAVIGATOR – Adolescents</w:t>
      </w:r>
      <w:bookmarkEnd w:id="84"/>
      <w:r w:rsidRPr="00D15EB9">
        <w:t xml:space="preserve"> subjects (n=82)</w:t>
      </w:r>
      <w:r w:rsidR="00247131">
        <w:t>:</w:t>
      </w:r>
    </w:p>
    <w:p w14:paraId="42272786" w14:textId="74FFD29B" w:rsidR="00D15EB9" w:rsidRPr="00D15EB9" w:rsidRDefault="00D15EB9" w:rsidP="00706B7F">
      <w:pPr>
        <w:pStyle w:val="ListBullet"/>
      </w:pPr>
      <w:r w:rsidRPr="00D15EB9">
        <w:t xml:space="preserve">The AE profile of </w:t>
      </w:r>
      <w:proofErr w:type="spellStart"/>
      <w:r w:rsidRPr="00D15EB9">
        <w:t>tezepelumab</w:t>
      </w:r>
      <w:proofErr w:type="spellEnd"/>
      <w:r w:rsidRPr="00D15EB9">
        <w:t xml:space="preserve"> was generally similar in adolescents </w:t>
      </w:r>
      <w:bookmarkStart w:id="85" w:name="_Ref269204367"/>
      <w:bookmarkStart w:id="86" w:name="_Ref271195835"/>
      <w:bookmarkStart w:id="87" w:name="_Ref271195841"/>
      <w:bookmarkStart w:id="88" w:name="_Toc272414660"/>
      <w:bookmarkStart w:id="89" w:name="_Toc290888511"/>
      <w:bookmarkStart w:id="90" w:name="_Toc416353727"/>
      <w:bookmarkStart w:id="91" w:name="_Toc421005283"/>
      <w:bookmarkStart w:id="92" w:name="_Toc432079160"/>
      <w:bookmarkStart w:id="93" w:name="_Toc432080733"/>
      <w:bookmarkEnd w:id="85"/>
      <w:bookmarkEnd w:id="86"/>
      <w:bookmarkEnd w:id="87"/>
      <w:bookmarkEnd w:id="88"/>
      <w:bookmarkEnd w:id="89"/>
      <w:bookmarkEnd w:id="90"/>
      <w:bookmarkEnd w:id="91"/>
      <w:bookmarkEnd w:id="92"/>
      <w:bookmarkEnd w:id="93"/>
      <w:r w:rsidRPr="00D15EB9">
        <w:t>to that seen in adults</w:t>
      </w:r>
      <w:r w:rsidR="00247131">
        <w:t>.</w:t>
      </w:r>
    </w:p>
    <w:p w14:paraId="7324208F" w14:textId="796FCC63" w:rsidR="00D15EB9" w:rsidRPr="00D15EB9" w:rsidRDefault="00D15EB9" w:rsidP="00706B7F">
      <w:pPr>
        <w:pStyle w:val="ListBullet"/>
      </w:pPr>
      <w:r w:rsidRPr="00D15EB9">
        <w:t>A</w:t>
      </w:r>
      <w:r w:rsidR="00247131">
        <w:t>dverse events</w:t>
      </w:r>
      <w:r w:rsidRPr="00D15EB9">
        <w:t xml:space="preserve"> (on-treatment period) were </w:t>
      </w:r>
      <w:r w:rsidR="00247131">
        <w:t>30 (</w:t>
      </w:r>
      <w:r w:rsidRPr="00D15EB9">
        <w:t>73.2%</w:t>
      </w:r>
      <w:r w:rsidR="00247131">
        <w:t xml:space="preserve">) in the </w:t>
      </w:r>
      <w:proofErr w:type="spellStart"/>
      <w:r w:rsidR="00247131">
        <w:t>tezepelumab</w:t>
      </w:r>
      <w:proofErr w:type="spellEnd"/>
      <w:r w:rsidR="00247131">
        <w:t xml:space="preserve"> group </w:t>
      </w:r>
      <w:r w:rsidRPr="00D15EB9">
        <w:t>v</w:t>
      </w:r>
      <w:r w:rsidR="00247131">
        <w:t>ersus</w:t>
      </w:r>
      <w:r w:rsidRPr="00D15EB9">
        <w:t xml:space="preserve"> </w:t>
      </w:r>
      <w:r w:rsidR="00247131">
        <w:t>29 (</w:t>
      </w:r>
      <w:r w:rsidRPr="00D15EB9">
        <w:t>70.7%</w:t>
      </w:r>
      <w:r w:rsidR="00247131">
        <w:t>) in p</w:t>
      </w:r>
      <w:r w:rsidRPr="00D15EB9">
        <w:t>lacebo</w:t>
      </w:r>
      <w:r w:rsidR="00247131">
        <w:t xml:space="preserve"> group</w:t>
      </w:r>
      <w:r w:rsidRPr="00D15EB9">
        <w:t xml:space="preserve"> subjects; most commonly nasopharyngitis (19.5% v</w:t>
      </w:r>
      <w:r w:rsidR="00247131">
        <w:t>ersu</w:t>
      </w:r>
      <w:r w:rsidRPr="00D15EB9">
        <w:t>s 12.5%); upper respiratory tract infection (14.6% v</w:t>
      </w:r>
      <w:r w:rsidR="00247131">
        <w:t>ersu</w:t>
      </w:r>
      <w:r w:rsidRPr="00D15EB9">
        <w:t>s 7.3%); rhinitis (9.8% v</w:t>
      </w:r>
      <w:r w:rsidR="00247131">
        <w:t>ersu</w:t>
      </w:r>
      <w:r w:rsidRPr="00D15EB9">
        <w:t>s 2.4%); pharyngitis (7.3% v</w:t>
      </w:r>
      <w:r w:rsidR="00247131">
        <w:t>ersu</w:t>
      </w:r>
      <w:r w:rsidRPr="00D15EB9">
        <w:t>s 4.9%); and viral upper respiratory tract infection (7.3% v</w:t>
      </w:r>
      <w:r w:rsidR="00247131">
        <w:t>ersu</w:t>
      </w:r>
      <w:r w:rsidRPr="00D15EB9">
        <w:t>s 4.9%).</w:t>
      </w:r>
    </w:p>
    <w:p w14:paraId="4C0208D5" w14:textId="28AB3796" w:rsidR="00D15EB9" w:rsidRPr="00D15EB9" w:rsidRDefault="00D15EB9" w:rsidP="00D15EB9">
      <w:r w:rsidRPr="00D15EB9">
        <w:t>In SOURCE</w:t>
      </w:r>
      <w:r w:rsidR="00247131">
        <w:t>:</w:t>
      </w:r>
    </w:p>
    <w:p w14:paraId="0519A907" w14:textId="204E34DC" w:rsidR="00D15EB9" w:rsidRPr="00D15EB9" w:rsidRDefault="00D15EB9" w:rsidP="00706B7F">
      <w:pPr>
        <w:pStyle w:val="ListBullet"/>
      </w:pPr>
      <w:r w:rsidRPr="00D15EB9">
        <w:t>There w</w:t>
      </w:r>
      <w:r w:rsidR="00247131">
        <w:t>as</w:t>
      </w:r>
      <w:r w:rsidRPr="00D15EB9">
        <w:t xml:space="preserve"> no report of adrenal crisis. A total of 3 subjects reported adrenal insufficiency during the on-treatment period, 2 (2.7%) in </w:t>
      </w:r>
      <w:proofErr w:type="spellStart"/>
      <w:r w:rsidRPr="00D15EB9">
        <w:t>tezepelumab</w:t>
      </w:r>
      <w:proofErr w:type="spellEnd"/>
      <w:r w:rsidRPr="00D15EB9">
        <w:t xml:space="preserve"> </w:t>
      </w:r>
      <w:r w:rsidR="00247131">
        <w:t xml:space="preserve">group </w:t>
      </w:r>
      <w:r w:rsidRPr="00D15EB9">
        <w:t>and 1 (1.3%) in placebo group.</w:t>
      </w:r>
    </w:p>
    <w:p w14:paraId="44761642" w14:textId="33F25A07" w:rsidR="00D15EB9" w:rsidRPr="00D15EB9" w:rsidRDefault="00D15EB9" w:rsidP="00D15EB9">
      <w:r w:rsidRPr="00D15EB9">
        <w:t>In PATH</w:t>
      </w:r>
      <w:r w:rsidR="00247131">
        <w:t>-HOME:</w:t>
      </w:r>
    </w:p>
    <w:p w14:paraId="0140BBF8" w14:textId="77777777" w:rsidR="00D15EB9" w:rsidRPr="00D15EB9" w:rsidRDefault="00D15EB9" w:rsidP="00706B7F">
      <w:pPr>
        <w:pStyle w:val="ListBullet"/>
      </w:pPr>
      <w:r w:rsidRPr="00D15EB9">
        <w:t xml:space="preserve">The safety profile was consistent with that seen in other </w:t>
      </w:r>
      <w:proofErr w:type="spellStart"/>
      <w:r w:rsidRPr="00D15EB9">
        <w:t>tezepelumab</w:t>
      </w:r>
      <w:proofErr w:type="spellEnd"/>
      <w:r w:rsidRPr="00D15EB9">
        <w:t xml:space="preserve"> studies that used the single-dose vial presentation.</w:t>
      </w:r>
    </w:p>
    <w:p w14:paraId="2B77D257" w14:textId="33DBB28A" w:rsidR="00D15EB9" w:rsidRPr="00D15EB9" w:rsidRDefault="00D15EB9" w:rsidP="00D15EB9">
      <w:r w:rsidRPr="00D15EB9">
        <w:t>In CASCADE</w:t>
      </w:r>
      <w:r w:rsidR="00E95C55">
        <w:t>:</w:t>
      </w:r>
    </w:p>
    <w:p w14:paraId="2ECD24C1" w14:textId="0E5D30A0" w:rsidR="00D15EB9" w:rsidRPr="00D15EB9" w:rsidRDefault="00D15EB9" w:rsidP="00706B7F">
      <w:pPr>
        <w:pStyle w:val="ListBullet"/>
      </w:pPr>
      <w:r w:rsidRPr="00D15EB9">
        <w:t>The safety profile observed was consistent with that observed in the Primary Safety Pool.</w:t>
      </w:r>
    </w:p>
    <w:p w14:paraId="0F07DA98" w14:textId="6066F537" w:rsidR="00D15EB9" w:rsidRPr="00D15EB9" w:rsidRDefault="00D15EB9" w:rsidP="00D15EB9">
      <w:r w:rsidRPr="00D15EB9">
        <w:t xml:space="preserve">In the </w:t>
      </w:r>
      <w:r w:rsidR="00E95C55">
        <w:t>6</w:t>
      </w:r>
      <w:r w:rsidRPr="00D15EB9">
        <w:t xml:space="preserve"> Phase </w:t>
      </w:r>
      <w:r w:rsidR="00E95C55">
        <w:t>I</w:t>
      </w:r>
      <w:r w:rsidRPr="00D15EB9">
        <w:t xml:space="preserve"> studies</w:t>
      </w:r>
      <w:r w:rsidR="00E95C55">
        <w:t>:</w:t>
      </w:r>
    </w:p>
    <w:p w14:paraId="3B59A637" w14:textId="736BC1ED" w:rsidR="00D15EB9" w:rsidRPr="00D15EB9" w:rsidRDefault="00D15EB9" w:rsidP="00706B7F">
      <w:pPr>
        <w:pStyle w:val="ListBullet"/>
      </w:pPr>
      <w:r w:rsidRPr="00D15EB9">
        <w:t>Tezepelumab was well tolerated when administered as single or multiple doses IV up to 700</w:t>
      </w:r>
      <w:r w:rsidR="00E95C55">
        <w:t> </w:t>
      </w:r>
      <w:r w:rsidRPr="00D15EB9">
        <w:t xml:space="preserve">mg, and the safety and tolerability profile of single SC doses administered using </w:t>
      </w:r>
      <w:proofErr w:type="spellStart"/>
      <w:r w:rsidR="00E95C55">
        <w:t>a</w:t>
      </w:r>
      <w:r w:rsidRPr="00D15EB9">
        <w:t>PFS</w:t>
      </w:r>
      <w:proofErr w:type="spellEnd"/>
      <w:r w:rsidRPr="00D15EB9">
        <w:t xml:space="preserve"> or </w:t>
      </w:r>
      <w:r w:rsidR="00E95C55">
        <w:t>autoinjector</w:t>
      </w:r>
      <w:r w:rsidRPr="00D15EB9">
        <w:t xml:space="preserve"> was found to be </w:t>
      </w:r>
      <w:proofErr w:type="gramStart"/>
      <w:r w:rsidRPr="00D15EB9">
        <w:t>similar to</w:t>
      </w:r>
      <w:proofErr w:type="gramEnd"/>
      <w:r w:rsidRPr="00D15EB9">
        <w:t xml:space="preserve"> that of </w:t>
      </w:r>
      <w:proofErr w:type="spellStart"/>
      <w:r w:rsidRPr="00D15EB9">
        <w:t>tezepelumab</w:t>
      </w:r>
      <w:proofErr w:type="spellEnd"/>
      <w:r w:rsidRPr="00D15EB9">
        <w:t xml:space="preserve"> when administered using the single-dose vial presentation, with no additional safety concerns raised.</w:t>
      </w:r>
    </w:p>
    <w:p w14:paraId="524C4ACD" w14:textId="77777777" w:rsidR="00846BAA" w:rsidRDefault="00846BAA">
      <w:pPr>
        <w:rPr>
          <w:rFonts w:ascii="Arial" w:eastAsia="Times New Roman" w:hAnsi="Arial" w:cs="Times New Roman"/>
          <w:b/>
          <w:bCs/>
          <w:i/>
          <w:color w:val="001871"/>
          <w:sz w:val="26"/>
          <w:szCs w:val="26"/>
        </w:rPr>
      </w:pPr>
      <w:r>
        <w:br w:type="page"/>
      </w:r>
    </w:p>
    <w:p w14:paraId="794A5585" w14:textId="7B8C5957" w:rsidR="00D15EB9" w:rsidRPr="00D15EB9" w:rsidRDefault="00D15EB9" w:rsidP="00706B7F">
      <w:pPr>
        <w:pStyle w:val="Heading5"/>
      </w:pPr>
      <w:r w:rsidRPr="00D15EB9">
        <w:lastRenderedPageBreak/>
        <w:t>Selected adverse events of regulatory interest</w:t>
      </w:r>
    </w:p>
    <w:p w14:paraId="1A95AFF7" w14:textId="19CA5F99" w:rsidR="00846BAA" w:rsidRDefault="00D15EB9">
      <w:r w:rsidRPr="00D15EB9">
        <w:t xml:space="preserve">In addition to the </w:t>
      </w:r>
      <w:r w:rsidR="008F3AB2">
        <w:t>adverse events of special interest</w:t>
      </w:r>
      <w:r w:rsidRPr="00D15EB9">
        <w:t xml:space="preserve"> described above, other selected AEs of </w:t>
      </w:r>
      <w:proofErr w:type="gramStart"/>
      <w:r w:rsidRPr="00D15EB9">
        <w:t>particular regulatory</w:t>
      </w:r>
      <w:proofErr w:type="gramEnd"/>
      <w:r w:rsidRPr="00D15EB9">
        <w:t xml:space="preserve"> interest in the Primary Safety Pool have been reviewed and are summarised here (</w:t>
      </w:r>
      <w:r w:rsidR="008F3AB2">
        <w:t xml:space="preserve">that is, </w:t>
      </w:r>
      <w:r w:rsidRPr="00D15EB9">
        <w:t>cardiac, vascular, haematological, hepatobiliary, renal and dermatological).</w:t>
      </w:r>
    </w:p>
    <w:p w14:paraId="5F4421C0" w14:textId="250060FE" w:rsidR="00D15EB9" w:rsidRPr="00D15EB9" w:rsidRDefault="00D15EB9" w:rsidP="00D15EB9">
      <w:r w:rsidRPr="00D15EB9">
        <w:t xml:space="preserve">Whilst the incidence of any Cardiac disorders by SOC were similar in subjects in the </w:t>
      </w:r>
      <w:r w:rsidR="008F3AB2">
        <w:t>2</w:t>
      </w:r>
      <w:r w:rsidRPr="00D15EB9">
        <w:t xml:space="preserve"> treatment groups, the incidence of SAE by SOC Cardiac disorders was numerically greater in the </w:t>
      </w:r>
      <w:proofErr w:type="spellStart"/>
      <w:r w:rsidRPr="00D15EB9">
        <w:t>tezepelumab</w:t>
      </w:r>
      <w:proofErr w:type="spellEnd"/>
      <w:r w:rsidRPr="00D15EB9">
        <w:t xml:space="preserve"> group than in the placebo group. The greater incidence of serious cardiac adverse events in the </w:t>
      </w:r>
      <w:proofErr w:type="spellStart"/>
      <w:r w:rsidRPr="00D15EB9">
        <w:t>tezepelumab</w:t>
      </w:r>
      <w:proofErr w:type="spellEnd"/>
      <w:r w:rsidRPr="00D15EB9">
        <w:t xml:space="preserve"> group compared with the placebo group occurred in the context of SAEs (any events) occurring more frequently in subjects in the placebo group than in the </w:t>
      </w:r>
      <w:proofErr w:type="spellStart"/>
      <w:r w:rsidRPr="00D15EB9">
        <w:t>tezepelumab</w:t>
      </w:r>
      <w:proofErr w:type="spellEnd"/>
      <w:r w:rsidRPr="00D15EB9">
        <w:t xml:space="preserve"> group. The greater incidence of serious cardiac adverse events reported in the </w:t>
      </w:r>
      <w:proofErr w:type="spellStart"/>
      <w:r w:rsidRPr="00D15EB9">
        <w:t>tezepelumab</w:t>
      </w:r>
      <w:proofErr w:type="spellEnd"/>
      <w:r w:rsidRPr="00D15EB9">
        <w:t xml:space="preserve"> group in the Primary Safety Pool appears to have been the trigger for the extensive investigation of these events undertaken by the </w:t>
      </w:r>
      <w:r w:rsidR="008F3AB2">
        <w:t>s</w:t>
      </w:r>
      <w:r w:rsidRPr="00D15EB9">
        <w:t xml:space="preserve">ponsor in the </w:t>
      </w:r>
      <w:r w:rsidR="008F3AB2">
        <w:t>LTE</w:t>
      </w:r>
      <w:r w:rsidRPr="00D15EB9">
        <w:t xml:space="preserve"> study (DESTINATION</w:t>
      </w:r>
      <w:r w:rsidR="008F3AB2">
        <w:t>).</w:t>
      </w:r>
    </w:p>
    <w:p w14:paraId="53CFAF65" w14:textId="77777777" w:rsidR="00D15EB9" w:rsidRPr="00D15EB9" w:rsidRDefault="00D15EB9" w:rsidP="00D15EB9">
      <w:r w:rsidRPr="00D15EB9">
        <w:t xml:space="preserve">Vascular disorders by SOC in the on-treatment period were reported in 35 (5.3%) subjects in the </w:t>
      </w:r>
      <w:proofErr w:type="spellStart"/>
      <w:r w:rsidRPr="00D15EB9">
        <w:t>tezepelumab</w:t>
      </w:r>
      <w:proofErr w:type="spellEnd"/>
      <w:r w:rsidRPr="00D15EB9">
        <w:t xml:space="preserve"> group and 39 (5.8%) subjects in the placebo group.</w:t>
      </w:r>
    </w:p>
    <w:p w14:paraId="61889E11" w14:textId="77777777" w:rsidR="00D15EB9" w:rsidRPr="00D15EB9" w:rsidRDefault="00D15EB9" w:rsidP="00D15EB9">
      <w:r w:rsidRPr="00D15EB9">
        <w:t xml:space="preserve">Blood and lymphatic disorders by SOC in the on-treatment period were reported in 7 (1.1%) subjects in the </w:t>
      </w:r>
      <w:proofErr w:type="spellStart"/>
      <w:r w:rsidRPr="00D15EB9">
        <w:t>tezepelumab</w:t>
      </w:r>
      <w:proofErr w:type="spellEnd"/>
      <w:r w:rsidRPr="00D15EB9">
        <w:t xml:space="preserve"> group and 8 (1.2%) subjects in the placebo group.</w:t>
      </w:r>
    </w:p>
    <w:p w14:paraId="5124CCFD" w14:textId="77777777" w:rsidR="00D15EB9" w:rsidRPr="00D15EB9" w:rsidRDefault="00D15EB9" w:rsidP="00D15EB9">
      <w:r w:rsidRPr="00D15EB9">
        <w:t xml:space="preserve">Hepatobiliary disorders by SOC in the on-treatment period were reported in 6 (0.9%) subjects in the </w:t>
      </w:r>
      <w:proofErr w:type="spellStart"/>
      <w:r w:rsidRPr="00D15EB9">
        <w:t>tezepelumab</w:t>
      </w:r>
      <w:proofErr w:type="spellEnd"/>
      <w:r w:rsidRPr="00D15EB9">
        <w:t xml:space="preserve"> group and 7 (1.0%) subjects in the placebo group.</w:t>
      </w:r>
    </w:p>
    <w:p w14:paraId="0BD8E572" w14:textId="77777777" w:rsidR="00D15EB9" w:rsidRPr="00D15EB9" w:rsidRDefault="00D15EB9" w:rsidP="00D15EB9">
      <w:r w:rsidRPr="00D15EB9">
        <w:t xml:space="preserve">Renal and urinary disorders by SOC in the on-treatment period were reported in 15 (2.3%) subjects in the </w:t>
      </w:r>
      <w:proofErr w:type="spellStart"/>
      <w:r w:rsidRPr="00D15EB9">
        <w:t>tezepelumab</w:t>
      </w:r>
      <w:proofErr w:type="spellEnd"/>
      <w:r w:rsidRPr="00D15EB9">
        <w:t xml:space="preserve"> group and 14 (2.1%) subjects in the placebo group.</w:t>
      </w:r>
    </w:p>
    <w:p w14:paraId="1AE71098" w14:textId="77777777" w:rsidR="00D15EB9" w:rsidRPr="00D15EB9" w:rsidRDefault="00D15EB9" w:rsidP="00D15EB9">
      <w:r w:rsidRPr="00D15EB9">
        <w:t xml:space="preserve">Skin and subcutaneous tissue disorders by SOC were reported in 54 (8.1%) subjects in the </w:t>
      </w:r>
      <w:proofErr w:type="spellStart"/>
      <w:r w:rsidRPr="00D15EB9">
        <w:t>tezepelumab</w:t>
      </w:r>
      <w:proofErr w:type="spellEnd"/>
      <w:r w:rsidRPr="00D15EB9">
        <w:t xml:space="preserve"> group and 54 (8.1%) subjects in the placebo group.</w:t>
      </w:r>
    </w:p>
    <w:p w14:paraId="2D746A51" w14:textId="6C7C01B0" w:rsidR="00D15EB9" w:rsidRPr="00D15EB9" w:rsidRDefault="00D15EB9" w:rsidP="00706B7F">
      <w:pPr>
        <w:pStyle w:val="Heading5"/>
        <w:rPr>
          <w:rFonts w:eastAsia="Verdana,Bold"/>
        </w:rPr>
      </w:pPr>
      <w:r w:rsidRPr="00D15EB9">
        <w:rPr>
          <w:rFonts w:eastAsia="Verdana,Bold"/>
        </w:rPr>
        <w:t xml:space="preserve">Clinical </w:t>
      </w:r>
      <w:r w:rsidR="00931234" w:rsidRPr="00D15EB9">
        <w:rPr>
          <w:rFonts w:eastAsia="Verdana,Bold"/>
        </w:rPr>
        <w:t>l</w:t>
      </w:r>
      <w:r w:rsidRPr="00D15EB9">
        <w:rPr>
          <w:rFonts w:eastAsia="Verdana,Bold"/>
        </w:rPr>
        <w:t>aboratory values and vital signs</w:t>
      </w:r>
    </w:p>
    <w:p w14:paraId="661F69C2" w14:textId="5CE66A31" w:rsidR="00D15EB9" w:rsidRDefault="00D15EB9" w:rsidP="00D15EB9">
      <w:r w:rsidRPr="00D15EB9">
        <w:t xml:space="preserve">There were no clinically meaningful abnormalities in clinical chemistry parameters or urinalysis. Haematology findings were also generally minor and balanced between treatment groups. However, there was a clinically meaningful decrease in the mean values of circulating eosinophils in subjects receiving </w:t>
      </w:r>
      <w:proofErr w:type="spellStart"/>
      <w:r w:rsidRPr="00D15EB9">
        <w:t>tezepelumab</w:t>
      </w:r>
      <w:proofErr w:type="spellEnd"/>
      <w:r w:rsidRPr="00D15EB9">
        <w:t xml:space="preserve"> compared with placebo. There were no clinically meaningful changes in vital signs or </w:t>
      </w:r>
      <w:r w:rsidR="00576E48">
        <w:t>electrocardiogram</w:t>
      </w:r>
      <w:r w:rsidRPr="00D15EB9">
        <w:t xml:space="preserve"> findings over time and no meaningful differences between the </w:t>
      </w:r>
      <w:r w:rsidR="00576E48">
        <w:t>2</w:t>
      </w:r>
      <w:r w:rsidRPr="00D15EB9">
        <w:t xml:space="preserve"> treatment groups.</w:t>
      </w:r>
    </w:p>
    <w:p w14:paraId="5E292A7D" w14:textId="6897F037" w:rsidR="00D15EB9" w:rsidRPr="00D15EB9" w:rsidRDefault="00D15EB9" w:rsidP="00706B7F">
      <w:pPr>
        <w:pStyle w:val="Heading5"/>
        <w:rPr>
          <w:rFonts w:eastAsia="MS Mincho"/>
        </w:rPr>
      </w:pPr>
      <w:bookmarkStart w:id="94" w:name="_Hlk107574629"/>
      <w:r w:rsidRPr="00D15EB9">
        <w:rPr>
          <w:rFonts w:eastAsia="MS Mincho"/>
        </w:rPr>
        <w:t>Immunogenicity</w:t>
      </w:r>
    </w:p>
    <w:bookmarkEnd w:id="94"/>
    <w:p w14:paraId="6C4FF6A4" w14:textId="442CD984" w:rsidR="00D15EB9" w:rsidRPr="00D15EB9" w:rsidRDefault="00D15EB9" w:rsidP="00D15EB9">
      <w:r w:rsidRPr="00D15EB9">
        <w:t xml:space="preserve">Overall, </w:t>
      </w:r>
      <w:r w:rsidR="00C80813">
        <w:t>ADA</w:t>
      </w:r>
      <w:r w:rsidRPr="00D15EB9">
        <w:t xml:space="preserve"> to </w:t>
      </w:r>
      <w:proofErr w:type="spellStart"/>
      <w:r w:rsidRPr="00D15EB9">
        <w:t>tezepelumab</w:t>
      </w:r>
      <w:proofErr w:type="spellEnd"/>
      <w:r w:rsidRPr="00D15EB9">
        <w:t xml:space="preserve"> were detected in only a small percentage of subjects and did not have a discernible clinical effect. Neutralising antibodies were detected in only one subject who received </w:t>
      </w:r>
      <w:proofErr w:type="spellStart"/>
      <w:r w:rsidRPr="00D15EB9">
        <w:t>tezepelumab</w:t>
      </w:r>
      <w:proofErr w:type="spellEnd"/>
      <w:r w:rsidRPr="00D15EB9">
        <w:t xml:space="preserve"> (and </w:t>
      </w:r>
      <w:r w:rsidR="00C80813">
        <w:t>one</w:t>
      </w:r>
      <w:r w:rsidRPr="00D15EB9">
        <w:t xml:space="preserve"> placebo subject)</w:t>
      </w:r>
      <w:r w:rsidR="00C80813">
        <w:t>.</w:t>
      </w:r>
    </w:p>
    <w:p w14:paraId="52B5EDBC" w14:textId="0C9DE20B" w:rsidR="00D15EB9" w:rsidRPr="00D15EB9" w:rsidRDefault="00D15EB9" w:rsidP="00D15EB9">
      <w:r w:rsidRPr="00D15EB9">
        <w:t>In PATHWAY, 12 (2.9%</w:t>
      </w:r>
      <w:r w:rsidR="00C80813">
        <w:t>) patients</w:t>
      </w:r>
      <w:r w:rsidRPr="00D15EB9">
        <w:t xml:space="preserve"> in the </w:t>
      </w:r>
      <w:proofErr w:type="spellStart"/>
      <w:r w:rsidRPr="00D15EB9">
        <w:t>tezepelumab</w:t>
      </w:r>
      <w:proofErr w:type="spellEnd"/>
      <w:r w:rsidRPr="00D15EB9">
        <w:t xml:space="preserve"> groups and 13 (9.4%) </w:t>
      </w:r>
      <w:r w:rsidR="00C80813">
        <w:t xml:space="preserve">patients </w:t>
      </w:r>
      <w:r w:rsidRPr="00D15EB9">
        <w:t xml:space="preserve">in the placebo </w:t>
      </w:r>
      <w:r w:rsidR="00C80813">
        <w:t xml:space="preserve">group </w:t>
      </w:r>
      <w:r w:rsidRPr="00D15EB9">
        <w:t>were positive for ADA at any time during the study.</w:t>
      </w:r>
    </w:p>
    <w:p w14:paraId="286E1E63" w14:textId="4D281352" w:rsidR="00D15EB9" w:rsidRPr="00D15EB9" w:rsidRDefault="00D15EB9" w:rsidP="00D15EB9">
      <w:r w:rsidRPr="00D15EB9">
        <w:t>In NAVIGATOR</w:t>
      </w:r>
      <w:r w:rsidR="00C80813">
        <w:t>,</w:t>
      </w:r>
      <w:r w:rsidRPr="00D15EB9">
        <w:t xml:space="preserve"> 26 (4.9%) patients in the </w:t>
      </w:r>
      <w:proofErr w:type="spellStart"/>
      <w:r w:rsidRPr="00D15EB9">
        <w:t>tezepelumab</w:t>
      </w:r>
      <w:proofErr w:type="spellEnd"/>
      <w:r w:rsidRPr="00D15EB9">
        <w:t xml:space="preserve"> group and 44 (8.3%) </w:t>
      </w:r>
      <w:r w:rsidR="00C80813">
        <w:t xml:space="preserve">patients </w:t>
      </w:r>
      <w:r w:rsidRPr="00D15EB9">
        <w:t xml:space="preserve">in the placebo were positive for ADA at any time during the study. There were 9 (1.7%) patients in the </w:t>
      </w:r>
      <w:proofErr w:type="spellStart"/>
      <w:r w:rsidRPr="00D15EB9">
        <w:t>tezepelumab</w:t>
      </w:r>
      <w:proofErr w:type="spellEnd"/>
      <w:r w:rsidRPr="00D15EB9">
        <w:t xml:space="preserve"> group and 18 (3.4%) </w:t>
      </w:r>
      <w:r w:rsidR="00C80813">
        <w:t xml:space="preserve">patients </w:t>
      </w:r>
      <w:r w:rsidRPr="00D15EB9">
        <w:t xml:space="preserve">in the placebo </w:t>
      </w:r>
      <w:r w:rsidR="00C80813">
        <w:t xml:space="preserve">group </w:t>
      </w:r>
      <w:r w:rsidRPr="00D15EB9">
        <w:t xml:space="preserve">with treatment emergent ADA. Neutralising antibodies to </w:t>
      </w:r>
      <w:proofErr w:type="spellStart"/>
      <w:r w:rsidRPr="00D15EB9">
        <w:t>tezepelumab</w:t>
      </w:r>
      <w:proofErr w:type="spellEnd"/>
      <w:r w:rsidRPr="00D15EB9">
        <w:t xml:space="preserve"> were identified </w:t>
      </w:r>
      <w:r w:rsidR="00C80813">
        <w:t>in one</w:t>
      </w:r>
      <w:r w:rsidRPr="00D15EB9">
        <w:t xml:space="preserve"> subject in each group.</w:t>
      </w:r>
    </w:p>
    <w:p w14:paraId="239094AF" w14:textId="193E283C" w:rsidR="00D15EB9" w:rsidRPr="00D15EB9" w:rsidRDefault="00D15EB9" w:rsidP="00D15EB9">
      <w:r w:rsidRPr="00D15EB9">
        <w:t>In SOURCE</w:t>
      </w:r>
      <w:r w:rsidR="00C80813">
        <w:t>, 3</w:t>
      </w:r>
      <w:r w:rsidRPr="00D15EB9">
        <w:t xml:space="preserve"> (4.1%) patients in the </w:t>
      </w:r>
      <w:proofErr w:type="spellStart"/>
      <w:r w:rsidRPr="00D15EB9">
        <w:t>tezepelumab</w:t>
      </w:r>
      <w:proofErr w:type="spellEnd"/>
      <w:r w:rsidRPr="00D15EB9">
        <w:t xml:space="preserve"> group and </w:t>
      </w:r>
      <w:r w:rsidR="00C80813">
        <w:t>2</w:t>
      </w:r>
      <w:r w:rsidRPr="00D15EB9">
        <w:t xml:space="preserve"> (2.6%) </w:t>
      </w:r>
      <w:r w:rsidR="00C80813">
        <w:t xml:space="preserve">patients </w:t>
      </w:r>
      <w:r w:rsidRPr="00D15EB9">
        <w:t xml:space="preserve">in the placebo </w:t>
      </w:r>
      <w:r w:rsidR="00C80813">
        <w:t xml:space="preserve">group had </w:t>
      </w:r>
      <w:r w:rsidRPr="00D15EB9">
        <w:t xml:space="preserve">detectable ADA at any time during the study; one (1.4%) patient in the </w:t>
      </w:r>
      <w:proofErr w:type="spellStart"/>
      <w:r w:rsidRPr="00D15EB9">
        <w:t>tezepelumab</w:t>
      </w:r>
      <w:proofErr w:type="spellEnd"/>
      <w:r w:rsidRPr="00D15EB9">
        <w:t xml:space="preserve"> group </w:t>
      </w:r>
      <w:r w:rsidR="00C80813">
        <w:t>had</w:t>
      </w:r>
      <w:r w:rsidRPr="00D15EB9">
        <w:t xml:space="preserve"> treatment</w:t>
      </w:r>
      <w:r w:rsidR="00C80813">
        <w:t>-</w:t>
      </w:r>
      <w:r w:rsidRPr="00D15EB9">
        <w:t>emergent ADA</w:t>
      </w:r>
      <w:r w:rsidR="00C80813">
        <w:t>.</w:t>
      </w:r>
    </w:p>
    <w:p w14:paraId="7CA4B372" w14:textId="54EE2F31" w:rsidR="00D15EB9" w:rsidRPr="00D15EB9" w:rsidRDefault="00D15EB9" w:rsidP="00D15EB9">
      <w:r w:rsidRPr="00D15EB9">
        <w:lastRenderedPageBreak/>
        <w:t>In PATH-HOME</w:t>
      </w:r>
      <w:r w:rsidR="00C80813">
        <w:t>,</w:t>
      </w:r>
      <w:r w:rsidRPr="00D15EB9">
        <w:t xml:space="preserve"> </w:t>
      </w:r>
      <w:r w:rsidR="00247131">
        <w:t>2</w:t>
      </w:r>
      <w:r w:rsidRPr="00D15EB9">
        <w:t xml:space="preserve"> (1.8%) patients in the </w:t>
      </w:r>
      <w:proofErr w:type="spellStart"/>
      <w:r w:rsidR="00247131">
        <w:t>a</w:t>
      </w:r>
      <w:r w:rsidRPr="00D15EB9">
        <w:t>PFS</w:t>
      </w:r>
      <w:proofErr w:type="spellEnd"/>
      <w:r w:rsidRPr="00D15EB9">
        <w:t xml:space="preserve"> group and 11 (10.5%) </w:t>
      </w:r>
      <w:r w:rsidR="00C80813">
        <w:t xml:space="preserve">patients </w:t>
      </w:r>
      <w:r w:rsidRPr="00D15EB9">
        <w:t xml:space="preserve">in the </w:t>
      </w:r>
      <w:r w:rsidR="00247131">
        <w:t>autoinjector group</w:t>
      </w:r>
      <w:r w:rsidRPr="00D15EB9">
        <w:t xml:space="preserve"> were positive for ADA at some stage during the study; </w:t>
      </w:r>
      <w:r w:rsidR="00247131">
        <w:t>2</w:t>
      </w:r>
      <w:r w:rsidRPr="00D15EB9">
        <w:t xml:space="preserve"> (1.8%) patients in </w:t>
      </w:r>
      <w:proofErr w:type="spellStart"/>
      <w:r w:rsidR="00247131">
        <w:t>a</w:t>
      </w:r>
      <w:r w:rsidRPr="00D15EB9">
        <w:t>PFS</w:t>
      </w:r>
      <w:proofErr w:type="spellEnd"/>
      <w:r w:rsidRPr="00D15EB9">
        <w:t xml:space="preserve"> group and </w:t>
      </w:r>
      <w:r w:rsidR="00247131">
        <w:t>8</w:t>
      </w:r>
      <w:r w:rsidRPr="00D15EB9">
        <w:t xml:space="preserve"> (7.6%) </w:t>
      </w:r>
      <w:r w:rsidR="00247131">
        <w:t xml:space="preserve">patients </w:t>
      </w:r>
      <w:r w:rsidRPr="00D15EB9">
        <w:t xml:space="preserve">in the </w:t>
      </w:r>
      <w:r w:rsidR="00247131">
        <w:t>autoinjector group</w:t>
      </w:r>
      <w:r w:rsidRPr="00D15EB9">
        <w:t xml:space="preserve"> </w:t>
      </w:r>
      <w:r w:rsidR="00C80813">
        <w:t>became</w:t>
      </w:r>
      <w:r w:rsidRPr="00D15EB9">
        <w:t xml:space="preserve"> treatment</w:t>
      </w:r>
      <w:r w:rsidR="00247131">
        <w:t>-</w:t>
      </w:r>
      <w:r w:rsidRPr="00D15EB9">
        <w:t>emergent positive for ADA during the study.</w:t>
      </w:r>
    </w:p>
    <w:p w14:paraId="55850D41" w14:textId="684BC1DE" w:rsidR="00D15EB9" w:rsidRPr="00D15EB9" w:rsidRDefault="00D15EB9" w:rsidP="00D15EB9">
      <w:r w:rsidRPr="00D15EB9">
        <w:t xml:space="preserve">In DESTINATION for subjects who received </w:t>
      </w:r>
      <w:proofErr w:type="spellStart"/>
      <w:r w:rsidRPr="00D15EB9">
        <w:t>tezepelumab</w:t>
      </w:r>
      <w:proofErr w:type="spellEnd"/>
      <w:r w:rsidRPr="00D15EB9">
        <w:t xml:space="preserve"> in both the predecessor period and the LTE period and continued in the </w:t>
      </w:r>
      <w:r w:rsidR="00E95C55">
        <w:t>extended follow-up (</w:t>
      </w:r>
      <w:r w:rsidRPr="00D15EB9">
        <w:t>EFU</w:t>
      </w:r>
      <w:r w:rsidR="00E95C55">
        <w:t>)</w:t>
      </w:r>
      <w:r w:rsidRPr="00D15EB9">
        <w:t xml:space="preserve"> period</w:t>
      </w:r>
      <w:r w:rsidR="00C80813">
        <w:t xml:space="preserve">, treatment-emergent </w:t>
      </w:r>
      <w:r w:rsidRPr="00D15EB9">
        <w:t>ADA positive (ADA incidence) results were</w:t>
      </w:r>
      <w:r w:rsidR="00C80813">
        <w:t xml:space="preserve"> found for</w:t>
      </w:r>
      <w:r w:rsidRPr="00D15EB9">
        <w:t xml:space="preserve"> 2</w:t>
      </w:r>
      <w:r w:rsidR="00C80813">
        <w:t xml:space="preserve"> of </w:t>
      </w:r>
      <w:r w:rsidRPr="00D15EB9">
        <w:t>287 (0.7%) subjects in the predecessor, 1</w:t>
      </w:r>
      <w:r w:rsidR="00C80813">
        <w:t xml:space="preserve"> of </w:t>
      </w:r>
      <w:r w:rsidRPr="00D15EB9">
        <w:t xml:space="preserve">285 (0.4%) </w:t>
      </w:r>
      <w:r w:rsidR="00C80813">
        <w:t xml:space="preserve">subjects </w:t>
      </w:r>
      <w:r w:rsidRPr="00D15EB9">
        <w:t>in the LTE</w:t>
      </w:r>
      <w:r w:rsidR="00C80813">
        <w:t>,</w:t>
      </w:r>
      <w:r w:rsidRPr="00D15EB9">
        <w:t xml:space="preserve"> and 5</w:t>
      </w:r>
      <w:r w:rsidR="00C80813">
        <w:t xml:space="preserve"> of </w:t>
      </w:r>
      <w:r w:rsidRPr="00D15EB9">
        <w:t xml:space="preserve">282 (1.8%) subjects in the EFU periods. Those who received placebo in both predecessor and LTE periods and continued in the EFU period, </w:t>
      </w:r>
      <w:r w:rsidR="00C80813">
        <w:t xml:space="preserve">treatment-emergent </w:t>
      </w:r>
      <w:r w:rsidRPr="00D15EB9">
        <w:t>ADA positive results were reported in 7</w:t>
      </w:r>
      <w:r w:rsidR="00C80813">
        <w:t xml:space="preserve"> of </w:t>
      </w:r>
      <w:r w:rsidRPr="00D15EB9">
        <w:t>136 (5.1%) subjects in the predecessor period, 6</w:t>
      </w:r>
      <w:r w:rsidR="00C80813">
        <w:t xml:space="preserve"> of </w:t>
      </w:r>
      <w:r w:rsidRPr="00D15EB9">
        <w:t>135 (4.4%) subjects in the LTE period</w:t>
      </w:r>
      <w:r w:rsidR="00C80813">
        <w:t>,</w:t>
      </w:r>
      <w:r w:rsidRPr="00D15EB9">
        <w:t xml:space="preserve"> and 10</w:t>
      </w:r>
      <w:r w:rsidR="00C80813">
        <w:t xml:space="preserve"> of </w:t>
      </w:r>
      <w:r w:rsidRPr="00D15EB9">
        <w:t xml:space="preserve">136 (7.4%) subjects in </w:t>
      </w:r>
      <w:r w:rsidRPr="00C80813">
        <w:t>the EFU period. No treatment</w:t>
      </w:r>
      <w:r w:rsidR="00C80813" w:rsidRPr="00C80813">
        <w:t>-</w:t>
      </w:r>
      <w:r w:rsidRPr="00C80813">
        <w:t>induced antibodies (n</w:t>
      </w:r>
      <w:r w:rsidR="00C80813" w:rsidRPr="00C80813">
        <w:t>eutralising antibody</w:t>
      </w:r>
      <w:r w:rsidRPr="00C80813">
        <w:t xml:space="preserve"> incidence) were</w:t>
      </w:r>
      <w:r w:rsidRPr="00D15EB9">
        <w:t xml:space="preserve"> detected in the </w:t>
      </w:r>
      <w:r w:rsidR="00C80813">
        <w:t>3</w:t>
      </w:r>
      <w:r w:rsidRPr="00D15EB9">
        <w:t xml:space="preserve"> study periods in subjects who received </w:t>
      </w:r>
      <w:proofErr w:type="spellStart"/>
      <w:r w:rsidRPr="00D15EB9">
        <w:t>tezepelumab</w:t>
      </w:r>
      <w:proofErr w:type="spellEnd"/>
      <w:r w:rsidRPr="00D15EB9">
        <w:t xml:space="preserve"> or placebo.</w:t>
      </w:r>
    </w:p>
    <w:p w14:paraId="6C5A65BB" w14:textId="4655C6E2" w:rsidR="00D15EB9" w:rsidRPr="00D15EB9" w:rsidRDefault="00D15EB9" w:rsidP="00706B7F">
      <w:pPr>
        <w:pStyle w:val="Heading5"/>
        <w:rPr>
          <w:rFonts w:eastAsia="TimesNewRoman"/>
        </w:rPr>
      </w:pPr>
      <w:r w:rsidRPr="00D15EB9">
        <w:rPr>
          <w:rFonts w:eastAsia="Verdana,Bold"/>
        </w:rPr>
        <w:t xml:space="preserve">Use in </w:t>
      </w:r>
      <w:r w:rsidR="00931234" w:rsidRPr="00D15EB9">
        <w:rPr>
          <w:rFonts w:eastAsia="Verdana,Bold"/>
        </w:rPr>
        <w:t>pregnancy and lactation</w:t>
      </w:r>
    </w:p>
    <w:p w14:paraId="62FD9F15" w14:textId="77777777" w:rsidR="00D15EB9" w:rsidRPr="00D15EB9" w:rsidRDefault="00D15EB9" w:rsidP="00D15EB9">
      <w:r w:rsidRPr="00D15EB9">
        <w:t xml:space="preserve">Monoclonal antibodies are transported across the placenta as pregnancy progresses; </w:t>
      </w:r>
      <w:proofErr w:type="gramStart"/>
      <w:r w:rsidRPr="00D15EB9">
        <w:t>thus</w:t>
      </w:r>
      <w:proofErr w:type="gramEnd"/>
      <w:r w:rsidRPr="00D15EB9">
        <w:t xml:space="preserve"> potential effects are likely to be greater during the second and third trimester of pregnancy.</w:t>
      </w:r>
    </w:p>
    <w:p w14:paraId="36CCD50D" w14:textId="18C849DE" w:rsidR="00D15EB9" w:rsidRPr="00D15EB9" w:rsidRDefault="00D15EB9" w:rsidP="00D15EB9">
      <w:r w:rsidRPr="00D15EB9">
        <w:t xml:space="preserve">Eleven patients in the pivotal asthma studies reported pregnancies, 4 in PATHWAY (2 in </w:t>
      </w:r>
      <w:r w:rsidR="00661E83">
        <w:t>210 mg</w:t>
      </w:r>
      <w:r w:rsidRPr="00D15EB9">
        <w:t xml:space="preserve"> Q4W, 2 in 280</w:t>
      </w:r>
      <w:r w:rsidR="00C80813">
        <w:t> </w:t>
      </w:r>
      <w:r w:rsidRPr="00D15EB9">
        <w:t xml:space="preserve">mg Q2W group, all during on-treatment period) and 7 in NAVIGATOR (3 in the </w:t>
      </w:r>
      <w:r w:rsidR="00661E83">
        <w:t>210 mg</w:t>
      </w:r>
      <w:r w:rsidRPr="00D15EB9">
        <w:t xml:space="preserve"> Q4W group [2 during on-treatment period] and 4 in the placebo </w:t>
      </w:r>
      <w:r w:rsidR="00C80813">
        <w:t xml:space="preserve">group </w:t>
      </w:r>
      <w:r w:rsidRPr="00D15EB9">
        <w:t>[2 during on-treatment period]). Seven patients delivered healthy, full-term infants. One patient (PATHWAY 280</w:t>
      </w:r>
      <w:r w:rsidR="00C80813">
        <w:t> </w:t>
      </w:r>
      <w:r w:rsidRPr="00D15EB9">
        <w:t>mg</w:t>
      </w:r>
      <w:r w:rsidR="00C80813">
        <w:t xml:space="preserve"> Q2W</w:t>
      </w:r>
      <w:r w:rsidRPr="00D15EB9">
        <w:t xml:space="preserve">) delivered pre-term twins after experiencing an SAE of pre-eclampsia. One patient (PATHWAY </w:t>
      </w:r>
      <w:proofErr w:type="spellStart"/>
      <w:r w:rsidRPr="00D15EB9">
        <w:t>tezepelumab</w:t>
      </w:r>
      <w:proofErr w:type="spellEnd"/>
      <w:r w:rsidRPr="00D15EB9">
        <w:t xml:space="preserve"> 280</w:t>
      </w:r>
      <w:r w:rsidR="00C80813">
        <w:t> </w:t>
      </w:r>
      <w:r w:rsidRPr="00D15EB9">
        <w:t>mg</w:t>
      </w:r>
      <w:r w:rsidR="00C80813">
        <w:t xml:space="preserve"> Q2W</w:t>
      </w:r>
      <w:r w:rsidRPr="00D15EB9">
        <w:t xml:space="preserve">) had a spontaneous abortion at 11 weeks. Two patients in NAVIGATOR had spontaneous abortions (6 </w:t>
      </w:r>
      <w:r w:rsidR="00C80813">
        <w:t>and</w:t>
      </w:r>
      <w:r w:rsidRPr="00D15EB9">
        <w:t xml:space="preserve"> 9 weeks), both patients were in the </w:t>
      </w:r>
      <w:proofErr w:type="spellStart"/>
      <w:r w:rsidRPr="00D15EB9">
        <w:t>tezepelumab</w:t>
      </w:r>
      <w:proofErr w:type="spellEnd"/>
      <w:r w:rsidRPr="00D15EB9">
        <w:t xml:space="preserve"> </w:t>
      </w:r>
      <w:r w:rsidR="00661E83">
        <w:t>210 mg</w:t>
      </w:r>
      <w:r w:rsidRPr="00D15EB9">
        <w:t xml:space="preserve"> </w:t>
      </w:r>
      <w:r w:rsidR="00C80813">
        <w:t xml:space="preserve">Q4W </w:t>
      </w:r>
      <w:r w:rsidRPr="00D15EB9">
        <w:t>group, one became pregnant during the on-treatment period.</w:t>
      </w:r>
    </w:p>
    <w:p w14:paraId="6B162731" w14:textId="56C68969" w:rsidR="00D15EB9" w:rsidRPr="00D15EB9" w:rsidRDefault="00D15EB9" w:rsidP="00D15EB9">
      <w:r w:rsidRPr="00D15EB9">
        <w:t xml:space="preserve">It is unknown whether </w:t>
      </w:r>
      <w:proofErr w:type="spellStart"/>
      <w:r w:rsidRPr="00D15EB9">
        <w:t>tezepelumab</w:t>
      </w:r>
      <w:proofErr w:type="spellEnd"/>
      <w:r w:rsidRPr="00D15EB9">
        <w:t xml:space="preserve"> is excreted in human milk</w:t>
      </w:r>
      <w:r w:rsidR="00C80813">
        <w:t>.</w:t>
      </w:r>
    </w:p>
    <w:p w14:paraId="4BEA69FA" w14:textId="77777777" w:rsidR="00D15EB9" w:rsidRPr="00D15EB9" w:rsidRDefault="00D15EB9" w:rsidP="00D15EB9">
      <w:r w:rsidRPr="00D15EB9">
        <w:t xml:space="preserve">No fertility studies have been conducted with </w:t>
      </w:r>
      <w:proofErr w:type="spellStart"/>
      <w:r w:rsidRPr="00D15EB9">
        <w:t>tezepelumab</w:t>
      </w:r>
      <w:proofErr w:type="spellEnd"/>
      <w:r w:rsidRPr="00D15EB9">
        <w:t xml:space="preserve"> in humans or animals.</w:t>
      </w:r>
    </w:p>
    <w:p w14:paraId="7AF07A4D" w14:textId="77777777" w:rsidR="00D15EB9" w:rsidRPr="00D15EB9" w:rsidRDefault="00D15EB9" w:rsidP="00706B7F">
      <w:pPr>
        <w:pStyle w:val="Heading4"/>
      </w:pPr>
      <w:bookmarkStart w:id="95" w:name="_Toc230164567"/>
      <w:r w:rsidRPr="00D15EB9">
        <w:t>DESTINATION LTE study (D5180C00018)</w:t>
      </w:r>
      <w:bookmarkEnd w:id="95"/>
    </w:p>
    <w:p w14:paraId="7690DE0C" w14:textId="66B2E5C8" w:rsidR="00D15EB9" w:rsidRPr="00D15EB9" w:rsidRDefault="00D15EB9" w:rsidP="00D15EB9">
      <w:r w:rsidRPr="00D15EB9">
        <w:t xml:space="preserve">DESTINATION is a </w:t>
      </w:r>
      <w:r w:rsidR="00DF7614">
        <w:t>P</w:t>
      </w:r>
      <w:r w:rsidRPr="00D15EB9">
        <w:t xml:space="preserve">hase </w:t>
      </w:r>
      <w:r w:rsidR="00DF7614">
        <w:t>III</w:t>
      </w:r>
      <w:r w:rsidRPr="00D15EB9">
        <w:t>, multicentre, double-blind, placebo controlled, parallel group extension study (</w:t>
      </w:r>
      <w:r w:rsidR="00DF7614">
        <w:t>d</w:t>
      </w:r>
      <w:r w:rsidRPr="00D15EB9">
        <w:t xml:space="preserve">atabase lock on 30 June 2022). The primary objective of DESTINATION is to evaluate safety and tolerability of </w:t>
      </w:r>
      <w:proofErr w:type="spellStart"/>
      <w:r w:rsidRPr="00D15EB9">
        <w:t>tezepelumab</w:t>
      </w:r>
      <w:proofErr w:type="spellEnd"/>
      <w:r w:rsidRPr="00D15EB9">
        <w:t xml:space="preserve"> in adult and adolescent patients with severe asthma over 104</w:t>
      </w:r>
      <w:r w:rsidR="00DF7614">
        <w:t> </w:t>
      </w:r>
      <w:r w:rsidRPr="00D15EB9">
        <w:t xml:space="preserve">weeks. For those who rolled over from the NAVIGATOR study, there was an option to enter a </w:t>
      </w:r>
      <w:proofErr w:type="gramStart"/>
      <w:r w:rsidRPr="00D15EB9">
        <w:t>36</w:t>
      </w:r>
      <w:r w:rsidR="00DF7614">
        <w:t> </w:t>
      </w:r>
      <w:r w:rsidRPr="00D15EB9">
        <w:t>week</w:t>
      </w:r>
      <w:proofErr w:type="gramEnd"/>
      <w:r w:rsidRPr="00D15EB9">
        <w:t xml:space="preserve"> follow</w:t>
      </w:r>
      <w:r w:rsidR="00DF7614">
        <w:t>-</w:t>
      </w:r>
      <w:r w:rsidRPr="00D15EB9">
        <w:t xml:space="preserve">up (as opposed to a </w:t>
      </w:r>
      <w:proofErr w:type="gramStart"/>
      <w:r w:rsidRPr="00D15EB9">
        <w:t>12</w:t>
      </w:r>
      <w:r w:rsidR="00DF7614">
        <w:t> </w:t>
      </w:r>
      <w:r w:rsidRPr="00D15EB9">
        <w:t>week</w:t>
      </w:r>
      <w:proofErr w:type="gramEnd"/>
      <w:r w:rsidRPr="00D15EB9">
        <w:t xml:space="preserve"> follow</w:t>
      </w:r>
      <w:r w:rsidR="00DF7614">
        <w:t>-</w:t>
      </w:r>
      <w:r w:rsidRPr="00D15EB9">
        <w:t>up)</w:t>
      </w:r>
      <w:r w:rsidR="00DF7614">
        <w:t>.</w:t>
      </w:r>
    </w:p>
    <w:p w14:paraId="2EA358CA" w14:textId="7287D7A8" w:rsidR="00D15EB9" w:rsidRPr="00D15EB9" w:rsidRDefault="00D15EB9" w:rsidP="00D15EB9">
      <w:r w:rsidRPr="00D15EB9">
        <w:t>Subjects who completed NAVIGATOR (n</w:t>
      </w:r>
      <w:r w:rsidR="00DF7614">
        <w:t xml:space="preserve"> </w:t>
      </w:r>
      <w:r w:rsidRPr="00D15EB9">
        <w:t>=</w:t>
      </w:r>
      <w:r w:rsidR="00DF7614">
        <w:t xml:space="preserve"> </w:t>
      </w:r>
      <w:r w:rsidRPr="00D15EB9">
        <w:t>1014</w:t>
      </w:r>
      <w:r w:rsidR="00DF7614">
        <w:t>;</w:t>
      </w:r>
      <w:r w:rsidRPr="00D15EB9">
        <w:t xml:space="preserve"> 827 included in DESTINATION) or SOURCE (n</w:t>
      </w:r>
      <w:r w:rsidR="00DF7614">
        <w:t> </w:t>
      </w:r>
      <w:r w:rsidRPr="00D15EB9">
        <w:t>=</w:t>
      </w:r>
      <w:r w:rsidR="00DF7614">
        <w:t> </w:t>
      </w:r>
      <w:r w:rsidRPr="00D15EB9">
        <w:t>135</w:t>
      </w:r>
      <w:r w:rsidR="00DF7614">
        <w:t>;</w:t>
      </w:r>
      <w:r w:rsidRPr="00D15EB9">
        <w:t xml:space="preserve"> 124 included in DESTINATION) predecessor studies were eligible for DESTINATION</w:t>
      </w:r>
      <w:r w:rsidR="0022622B">
        <w:t xml:space="preserve"> (</w:t>
      </w:r>
      <w:r w:rsidR="0022622B">
        <w:fldChar w:fldCharType="begin"/>
      </w:r>
      <w:r w:rsidR="0022622B">
        <w:instrText xml:space="preserve"> REF _Ref204161778 \h </w:instrText>
      </w:r>
      <w:r w:rsidR="0022622B">
        <w:fldChar w:fldCharType="separate"/>
      </w:r>
      <w:r w:rsidR="005657B1">
        <w:t xml:space="preserve">Figure </w:t>
      </w:r>
      <w:r w:rsidR="005657B1">
        <w:rPr>
          <w:noProof/>
        </w:rPr>
        <w:t>8</w:t>
      </w:r>
      <w:r w:rsidR="0022622B">
        <w:fldChar w:fldCharType="end"/>
      </w:r>
      <w:r w:rsidR="0022622B">
        <w:t>)</w:t>
      </w:r>
      <w:r w:rsidRPr="00D15EB9">
        <w:t>. No Japanese sites participated in DESTINATION. Some other study centres also chose not to participate in DESTINATION. Of those subjects enrolled in DESTINATION, 876 (NAVIGATOR n</w:t>
      </w:r>
      <w:r w:rsidR="0022622B">
        <w:t xml:space="preserve"> </w:t>
      </w:r>
      <w:r w:rsidRPr="00D15EB9">
        <w:t>=</w:t>
      </w:r>
      <w:r w:rsidR="0022622B">
        <w:t xml:space="preserve"> </w:t>
      </w:r>
      <w:r w:rsidRPr="00D15EB9">
        <w:t>798</w:t>
      </w:r>
      <w:r w:rsidR="0022622B">
        <w:t>;</w:t>
      </w:r>
      <w:r w:rsidRPr="00D15EB9">
        <w:t xml:space="preserve"> SOURCE n</w:t>
      </w:r>
      <w:r w:rsidR="0022622B">
        <w:t xml:space="preserve"> </w:t>
      </w:r>
      <w:r w:rsidRPr="00D15EB9">
        <w:t>=</w:t>
      </w:r>
      <w:r w:rsidR="0022622B">
        <w:t xml:space="preserve"> </w:t>
      </w:r>
      <w:r w:rsidRPr="00D15EB9">
        <w:t>109) completed the 104</w:t>
      </w:r>
      <w:r w:rsidR="0022622B">
        <w:t> </w:t>
      </w:r>
      <w:r w:rsidRPr="00D15EB9">
        <w:t>weeks of treatment, and 74% of those who completed 104</w:t>
      </w:r>
      <w:r w:rsidR="0022622B">
        <w:t> </w:t>
      </w:r>
      <w:r w:rsidRPr="00D15EB9">
        <w:t xml:space="preserve">weeks of treatment from NAVIGATOR were included in the </w:t>
      </w:r>
      <w:r w:rsidR="0022622B">
        <w:t>EFU.</w:t>
      </w:r>
    </w:p>
    <w:p w14:paraId="4B91FC8C" w14:textId="0F915924" w:rsidR="00D15EB9" w:rsidRDefault="00D15EB9" w:rsidP="00D15EB9">
      <w:r w:rsidRPr="00D15EB9">
        <w:t>The COVID-19 pandemic was ongoing during this study; with 6.5% experiencing at least one study disruption (missed/altered study visits/measurements) due to the pandemic. Additional analyses conducted to assess the impact of the COVID-19 pandemic on the primary objective and on a secondary objective (FEV</w:t>
      </w:r>
      <w:r w:rsidRPr="0022622B">
        <w:rPr>
          <w:vertAlign w:val="subscript"/>
        </w:rPr>
        <w:t>1</w:t>
      </w:r>
      <w:r w:rsidRPr="00D15EB9">
        <w:t xml:space="preserve">) showed results </w:t>
      </w:r>
      <w:proofErr w:type="gramStart"/>
      <w:r w:rsidRPr="00D15EB9">
        <w:t>similar to</w:t>
      </w:r>
      <w:proofErr w:type="gramEnd"/>
      <w:r w:rsidRPr="00D15EB9">
        <w:t xml:space="preserve"> the primary analysis.</w:t>
      </w:r>
    </w:p>
    <w:p w14:paraId="3A92656B" w14:textId="14297EE5" w:rsidR="00D15EB9" w:rsidRPr="00D15EB9" w:rsidRDefault="00D15EB9" w:rsidP="00706B7F">
      <w:pPr>
        <w:pStyle w:val="Heading5"/>
        <w:rPr>
          <w:rFonts w:eastAsia="TimesNewRoman"/>
        </w:rPr>
      </w:pPr>
      <w:r w:rsidRPr="00D15EB9">
        <w:rPr>
          <w:rFonts w:eastAsia="TimesNewRoman"/>
        </w:rPr>
        <w:lastRenderedPageBreak/>
        <w:t xml:space="preserve">Analysis sets in </w:t>
      </w:r>
      <w:r w:rsidR="00914CA0">
        <w:rPr>
          <w:rFonts w:eastAsia="TimesNewRoman"/>
        </w:rPr>
        <w:t>DESTINATION</w:t>
      </w:r>
    </w:p>
    <w:p w14:paraId="1D499C8E" w14:textId="2436A244" w:rsidR="00D15EB9" w:rsidRPr="00914CA0" w:rsidRDefault="00D15EB9" w:rsidP="00D15EB9">
      <w:pPr>
        <w:rPr>
          <w:strike/>
        </w:rPr>
      </w:pPr>
      <w:r w:rsidRPr="00D15EB9">
        <w:t>The datasets used in the analysis of the DESTINATION study are complex. These datasets are defined by the definitions of the analysis sets and the time periods. The protocol allowed for a 12-week or a 36-week follow-up period, commencing 33</w:t>
      </w:r>
      <w:r w:rsidR="00914CA0">
        <w:t> </w:t>
      </w:r>
      <w:r w:rsidRPr="00D15EB9">
        <w:t>days after the final dose</w:t>
      </w:r>
      <w:r w:rsidR="00914CA0">
        <w:t xml:space="preserve"> </w:t>
      </w:r>
      <w:r w:rsidRPr="00D15EB9">
        <w:t>(</w:t>
      </w:r>
      <w:r w:rsidR="00914CA0">
        <w:fldChar w:fldCharType="begin"/>
      </w:r>
      <w:r w:rsidR="00914CA0">
        <w:instrText xml:space="preserve"> REF _Ref204161778 \h </w:instrText>
      </w:r>
      <w:r w:rsidR="00914CA0">
        <w:fldChar w:fldCharType="separate"/>
      </w:r>
      <w:r w:rsidR="005657B1">
        <w:t xml:space="preserve">Figure </w:t>
      </w:r>
      <w:r w:rsidR="005657B1">
        <w:rPr>
          <w:noProof/>
        </w:rPr>
        <w:t>8</w:t>
      </w:r>
      <w:r w:rsidR="00914CA0">
        <w:fldChar w:fldCharType="end"/>
      </w:r>
      <w:r w:rsidRPr="00D15EB9">
        <w:t>)</w:t>
      </w:r>
      <w:r w:rsidR="00914CA0">
        <w:t>.</w:t>
      </w:r>
      <w:r w:rsidRPr="00D15EB9">
        <w:t xml:space="preserve"> </w:t>
      </w:r>
    </w:p>
    <w:p w14:paraId="2C07AF88" w14:textId="77777777" w:rsidR="00D15EB9" w:rsidRPr="00D15EB9" w:rsidRDefault="00D15EB9" w:rsidP="00706B7F">
      <w:pPr>
        <w:pStyle w:val="Heading5"/>
        <w:rPr>
          <w:rFonts w:eastAsia="TimesNewRoman"/>
        </w:rPr>
      </w:pPr>
      <w:bookmarkStart w:id="96" w:name="_Hlk106632895"/>
      <w:r w:rsidRPr="00D15EB9">
        <w:rPr>
          <w:rFonts w:eastAsia="TimesNewRoman"/>
        </w:rPr>
        <w:t>Extent of exposure</w:t>
      </w:r>
    </w:p>
    <w:bookmarkEnd w:id="96"/>
    <w:p w14:paraId="3DE5B3DF" w14:textId="35B5C167" w:rsidR="00D15EB9" w:rsidRPr="00D15EB9" w:rsidRDefault="00D15EB9" w:rsidP="00D15EB9">
      <w:r w:rsidRPr="00D15EB9">
        <w:t xml:space="preserve">A total of 839 subjects (1282.9 patient-years) were exposed to </w:t>
      </w:r>
      <w:proofErr w:type="spellStart"/>
      <w:r w:rsidRPr="00D15EB9">
        <w:t>tezepelumab</w:t>
      </w:r>
      <w:proofErr w:type="spellEnd"/>
      <w:r w:rsidRPr="00D15EB9">
        <w:t xml:space="preserve">; and 607 (799.0 patient-years) to placebo. The mean duration of exposure to </w:t>
      </w:r>
      <w:proofErr w:type="spellStart"/>
      <w:r w:rsidRPr="00D15EB9">
        <w:t>tezepelumab</w:t>
      </w:r>
      <w:proofErr w:type="spellEnd"/>
      <w:r w:rsidRPr="00D15EB9">
        <w:t xml:space="preserve"> in the All Teze</w:t>
      </w:r>
      <w:r w:rsidR="00914CA0">
        <w:t>pelumab</w:t>
      </w:r>
      <w:r w:rsidRPr="00D15EB9">
        <w:t xml:space="preserve"> group (N = 839) was 558.7 (SD: 202.7) days; range of 24 to 796 days. The total exposure to </w:t>
      </w:r>
      <w:proofErr w:type="spellStart"/>
      <w:r w:rsidRPr="00D15EB9">
        <w:t>tezepelumab</w:t>
      </w:r>
      <w:proofErr w:type="spellEnd"/>
      <w:r w:rsidRPr="00D15EB9">
        <w:t xml:space="preserve"> was 1283.27 subject years, comprising 575.62 subject-years from treatment of 602 subjects in the predecessor period and 708.94 subject-years from treatment of 712 subjects in the LTE period, respectively.</w:t>
      </w:r>
    </w:p>
    <w:p w14:paraId="30324615" w14:textId="77777777" w:rsidR="00D15EB9" w:rsidRPr="00D15EB9" w:rsidRDefault="00D15EB9" w:rsidP="00706B7F">
      <w:pPr>
        <w:pStyle w:val="Heading5"/>
        <w:rPr>
          <w:rFonts w:eastAsia="TimesNewRoman"/>
        </w:rPr>
      </w:pPr>
      <w:r w:rsidRPr="00D15EB9">
        <w:rPr>
          <w:rFonts w:eastAsia="TimesNewRoman"/>
        </w:rPr>
        <w:t>Overall summary of adverse events including serious adverse events and deaths</w:t>
      </w:r>
    </w:p>
    <w:p w14:paraId="13B765D4" w14:textId="35686CF1" w:rsidR="00D15EB9" w:rsidRPr="00D15EB9" w:rsidRDefault="00D15EB9" w:rsidP="00D15EB9">
      <w:r w:rsidRPr="00D15EB9">
        <w:t xml:space="preserve">The primary objective of DESTINATION is </w:t>
      </w:r>
      <w:r w:rsidR="00914CA0">
        <w:t>‘t</w:t>
      </w:r>
      <w:r w:rsidRPr="00D15EB9">
        <w:t xml:space="preserve">o evaluate the long-term safety and tolerability of </w:t>
      </w:r>
      <w:proofErr w:type="spellStart"/>
      <w:r w:rsidRPr="00D15EB9">
        <w:t>tezepelumab</w:t>
      </w:r>
      <w:proofErr w:type="spellEnd"/>
      <w:r w:rsidRPr="00D15EB9">
        <w:t xml:space="preserve"> in severe asthma subjects</w:t>
      </w:r>
      <w:r w:rsidR="00914CA0">
        <w:t>’</w:t>
      </w:r>
      <w:r w:rsidRPr="00D15EB9">
        <w:t xml:space="preserve"> using as the primary outcome variable</w:t>
      </w:r>
      <w:r w:rsidR="00914CA0">
        <w:t xml:space="preserve"> ‘e</w:t>
      </w:r>
      <w:r w:rsidRPr="00D15EB9">
        <w:t>xposure-adjusted incidence rates of AEs/SAEs over 104</w:t>
      </w:r>
      <w:r w:rsidR="00914CA0">
        <w:t> </w:t>
      </w:r>
      <w:proofErr w:type="gramStart"/>
      <w:r w:rsidRPr="00D15EB9">
        <w:t>weeks</w:t>
      </w:r>
      <w:r w:rsidR="00914CA0">
        <w:t>’</w:t>
      </w:r>
      <w:proofErr w:type="gramEnd"/>
      <w:r w:rsidRPr="00D15EB9">
        <w:t>. This is the on-treatment period (refers to 104-week planned treatment period). The on-study period is the planned treatment period and planned follow</w:t>
      </w:r>
      <w:r w:rsidR="00914CA0">
        <w:t>-</w:t>
      </w:r>
      <w:r w:rsidRPr="00D15EB9">
        <w:t>up. Hence, the on-treatment period includes 33</w:t>
      </w:r>
      <w:r w:rsidR="00914CA0">
        <w:t> </w:t>
      </w:r>
      <w:r w:rsidRPr="00D15EB9">
        <w:t xml:space="preserve">days after the last dose of </w:t>
      </w:r>
      <w:proofErr w:type="spellStart"/>
      <w:r w:rsidRPr="00D15EB9">
        <w:t>tezepelumab</w:t>
      </w:r>
      <w:proofErr w:type="spellEnd"/>
      <w:r w:rsidRPr="00D15EB9">
        <w:t>; the on-study period includes up to 36</w:t>
      </w:r>
      <w:r w:rsidR="00914CA0">
        <w:t> </w:t>
      </w:r>
      <w:r w:rsidRPr="00D15EB9">
        <w:t>weeks after the last dose.</w:t>
      </w:r>
    </w:p>
    <w:p w14:paraId="7DCA3374" w14:textId="0AEBA7AE" w:rsidR="00D15EB9" w:rsidRPr="00D15EB9" w:rsidRDefault="00D15EB9" w:rsidP="00D15EB9">
      <w:r w:rsidRPr="00D15EB9">
        <w:t xml:space="preserve">In DESTINATION, </w:t>
      </w:r>
      <w:proofErr w:type="spellStart"/>
      <w:r w:rsidRPr="00D15EB9">
        <w:t>tezepelumab</w:t>
      </w:r>
      <w:proofErr w:type="spellEnd"/>
      <w:r w:rsidRPr="00D15EB9">
        <w:t xml:space="preserve"> was generally well tolerated for up to 104</w:t>
      </w:r>
      <w:r w:rsidR="00914CA0">
        <w:t> </w:t>
      </w:r>
      <w:r w:rsidRPr="00D15EB9">
        <w:t xml:space="preserve">weeks of treatment. The exposure-adjusted incidence rates of AEs were similar between the </w:t>
      </w:r>
      <w:proofErr w:type="spellStart"/>
      <w:r w:rsidRPr="00D15EB9">
        <w:t>tezepelumab</w:t>
      </w:r>
      <w:proofErr w:type="spellEnd"/>
      <w:r w:rsidRPr="00D15EB9">
        <w:t xml:space="preserve"> and placebo groups. </w:t>
      </w:r>
      <w:proofErr w:type="gramStart"/>
      <w:r w:rsidRPr="00D15EB9">
        <w:t>The majority of</w:t>
      </w:r>
      <w:proofErr w:type="gramEnd"/>
      <w:r w:rsidRPr="00D15EB9">
        <w:t xml:space="preserve"> AEs were mild to moderate in severity, with nasopharyngitis being the most common AE is both groups. For the most part incidence of AEs in DESTINATION was </w:t>
      </w:r>
      <w:proofErr w:type="gramStart"/>
      <w:r w:rsidRPr="00D15EB9">
        <w:t>similar to</w:t>
      </w:r>
      <w:proofErr w:type="gramEnd"/>
      <w:r w:rsidRPr="00D15EB9">
        <w:t xml:space="preserve"> that observed in the predecessor studies. However, despite the AEs being balanced between treatment groups and similar to the predecessor studies, there are more deaths for </w:t>
      </w:r>
      <w:proofErr w:type="spellStart"/>
      <w:r w:rsidRPr="00D15EB9">
        <w:t>tezepelumab</w:t>
      </w:r>
      <w:proofErr w:type="spellEnd"/>
      <w:r w:rsidRPr="00D15EB9">
        <w:t xml:space="preserve"> versus placebo [NAVIGATOR (incidence rate 0.76 v</w:t>
      </w:r>
      <w:r w:rsidR="00914CA0">
        <w:t>ersu</w:t>
      </w:r>
      <w:r w:rsidRPr="00D15EB9">
        <w:t>s 0.14) and SOURCE (incidence rate 1.55 v</w:t>
      </w:r>
      <w:r w:rsidR="00914CA0">
        <w:t>ersu</w:t>
      </w:r>
      <w:r w:rsidRPr="00D15EB9">
        <w:t>s 0.00] (</w:t>
      </w:r>
      <w:r w:rsidR="00AE722B">
        <w:fldChar w:fldCharType="begin"/>
      </w:r>
      <w:r w:rsidR="00AE722B">
        <w:instrText xml:space="preserve"> REF _Ref204246723 \h </w:instrText>
      </w:r>
      <w:r w:rsidR="00AE722B">
        <w:fldChar w:fldCharType="separate"/>
      </w:r>
      <w:r w:rsidR="005657B1">
        <w:t xml:space="preserve">Table </w:t>
      </w:r>
      <w:r w:rsidR="005657B1">
        <w:rPr>
          <w:noProof/>
        </w:rPr>
        <w:t>17</w:t>
      </w:r>
      <w:r w:rsidR="00AE722B">
        <w:fldChar w:fldCharType="end"/>
      </w:r>
      <w:r w:rsidRPr="00D15EB9">
        <w:t xml:space="preserve">). There were also more Cardiac disorders observed in the </w:t>
      </w:r>
      <w:proofErr w:type="spellStart"/>
      <w:r w:rsidR="00914CA0">
        <w:t>t</w:t>
      </w:r>
      <w:r w:rsidRPr="00D15EB9">
        <w:t>ezepelumab</w:t>
      </w:r>
      <w:proofErr w:type="spellEnd"/>
      <w:r w:rsidRPr="00D15EB9">
        <w:t xml:space="preserve"> group compared to placebo in both NAVIGATOR (incidence rate 0.87 v</w:t>
      </w:r>
      <w:r w:rsidR="00914CA0">
        <w:t>ersu</w:t>
      </w:r>
      <w:r w:rsidRPr="00D15EB9">
        <w:t xml:space="preserve">s 0.00) and SOURCE (incidence rate 3.09 </w:t>
      </w:r>
      <w:r w:rsidR="00914CA0">
        <w:t>versus</w:t>
      </w:r>
      <w:r w:rsidRPr="00D15EB9">
        <w:t xml:space="preserve"> 0.00).</w:t>
      </w:r>
    </w:p>
    <w:p w14:paraId="5124E73F" w14:textId="472ACB2E" w:rsidR="00D15EB9" w:rsidRPr="00D15EB9" w:rsidRDefault="00D15EB9" w:rsidP="00D15EB9">
      <w:r w:rsidRPr="00D15EB9">
        <w:t>Safety data from the 36-week EFU period (in which subjects were followed-up for up to 40</w:t>
      </w:r>
      <w:r w:rsidR="00914CA0">
        <w:t> </w:t>
      </w:r>
      <w:r w:rsidRPr="00D15EB9">
        <w:t xml:space="preserve">weeks after receiving their last dose of </w:t>
      </w:r>
      <w:proofErr w:type="spellStart"/>
      <w:r w:rsidRPr="00D15EB9">
        <w:t>tezepelumab</w:t>
      </w:r>
      <w:proofErr w:type="spellEnd"/>
      <w:r w:rsidRPr="00D15EB9">
        <w:t>) did not indicate the occurrence of any specific AEs or pattern of AEs of concern arising off-treatment.</w:t>
      </w:r>
    </w:p>
    <w:p w14:paraId="0FC82A57" w14:textId="6DD1A393" w:rsidR="00D15EB9" w:rsidRDefault="00D15EB9" w:rsidP="00D15EB9">
      <w:r w:rsidRPr="00D15EB9">
        <w:t xml:space="preserve">For respiratory, mediastinal, and thoracic disorders there were fewer events in the </w:t>
      </w:r>
      <w:proofErr w:type="spellStart"/>
      <w:r w:rsidRPr="00D15EB9">
        <w:t>tezepelumab</w:t>
      </w:r>
      <w:proofErr w:type="spellEnd"/>
      <w:r w:rsidRPr="00D15EB9">
        <w:t xml:space="preserve"> group versus placebo (NAVIGATOR: incidence rate 1.74 and 6.29</w:t>
      </w:r>
      <w:r w:rsidR="00914CA0">
        <w:t>;</w:t>
      </w:r>
      <w:r w:rsidRPr="00D15EB9">
        <w:t xml:space="preserve"> SOURCE: </w:t>
      </w:r>
      <w:r w:rsidR="00914CA0">
        <w:t xml:space="preserve">incidence rate </w:t>
      </w:r>
      <w:r w:rsidRPr="00D15EB9">
        <w:t>10.00 and 2.32). This imbalance was also observed in predecessor studies and driven by higher rates of SAE of asthma in the placebo</w:t>
      </w:r>
      <w:r w:rsidR="00914CA0">
        <w:t xml:space="preserve"> groups</w:t>
      </w:r>
      <w:r w:rsidRPr="00D15EB9">
        <w:t>.</w:t>
      </w:r>
    </w:p>
    <w:p w14:paraId="467668C8" w14:textId="46361A68" w:rsidR="00183CB3" w:rsidRDefault="00AE722B" w:rsidP="00AE722B">
      <w:pPr>
        <w:pStyle w:val="TableTitle"/>
      </w:pPr>
      <w:bookmarkStart w:id="97" w:name="_Ref204246723"/>
      <w:r>
        <w:lastRenderedPageBreak/>
        <w:t xml:space="preserve">Table </w:t>
      </w:r>
      <w:r>
        <w:fldChar w:fldCharType="begin"/>
      </w:r>
      <w:r>
        <w:instrText xml:space="preserve"> SEQ Table \* ARABIC </w:instrText>
      </w:r>
      <w:r>
        <w:fldChar w:fldCharType="separate"/>
      </w:r>
      <w:r w:rsidR="005657B1">
        <w:rPr>
          <w:noProof/>
        </w:rPr>
        <w:t>17</w:t>
      </w:r>
      <w:r>
        <w:fldChar w:fldCharType="end"/>
      </w:r>
      <w:bookmarkEnd w:id="97"/>
      <w:r>
        <w:t>: DESTINATION Adverse events (any category) r</w:t>
      </w:r>
      <w:r w:rsidRPr="00AE722B">
        <w:t xml:space="preserve">eported </w:t>
      </w:r>
      <w:r>
        <w:t>d</w:t>
      </w:r>
      <w:r w:rsidRPr="00AE722B">
        <w:t xml:space="preserve">uring </w:t>
      </w:r>
      <w:r>
        <w:t>o</w:t>
      </w:r>
      <w:r w:rsidRPr="00AE722B">
        <w:t>n-</w:t>
      </w:r>
      <w:r>
        <w:t>t</w:t>
      </w:r>
      <w:r w:rsidRPr="00AE722B">
        <w:t xml:space="preserve">reatment </w:t>
      </w:r>
      <w:r>
        <w:t>p</w:t>
      </w:r>
      <w:r w:rsidRPr="00AE722B">
        <w:t xml:space="preserve">eriod for </w:t>
      </w:r>
      <w:r>
        <w:t>s</w:t>
      </w:r>
      <w:r w:rsidRPr="00AE722B">
        <w:t>ubjects from NAVIGATOR and SOURCE as Predecessor (</w:t>
      </w:r>
      <w:r>
        <w:t xml:space="preserve">Safety </w:t>
      </w:r>
      <w:r w:rsidRPr="00AE722B">
        <w:t>analysis set)</w:t>
      </w:r>
    </w:p>
    <w:p w14:paraId="47177A9D" w14:textId="42C9152A" w:rsidR="001F4DE1" w:rsidRDefault="00B63BE3" w:rsidP="00D15EB9">
      <w:r>
        <w:rPr>
          <w:noProof/>
        </w:rPr>
        <w:drawing>
          <wp:inline distT="0" distB="0" distL="0" distR="0" wp14:anchorId="373DC9B2" wp14:editId="1BC87013">
            <wp:extent cx="5759450" cy="2199005"/>
            <wp:effectExtent l="0" t="0" r="0" b="0"/>
            <wp:docPr id="2068398860" name="Picture 1" descr="Table 17: DESTINATION Adverse events (any category) reported during on-treatment period for subjects from NAVIGATOR and SOURCE as Predecessor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98860" name="Picture 1" descr="Table 17: DESTINATION Adverse events (any category) reported during on-treatment period for subjects from NAVIGATOR and SOURCE as Predecessor (Safety analysis set)"/>
                    <pic:cNvPicPr/>
                  </pic:nvPicPr>
                  <pic:blipFill>
                    <a:blip r:embed="rId44"/>
                    <a:stretch>
                      <a:fillRect/>
                    </a:stretch>
                  </pic:blipFill>
                  <pic:spPr>
                    <a:xfrm>
                      <a:off x="0" y="0"/>
                      <a:ext cx="5759450" cy="2199005"/>
                    </a:xfrm>
                    <a:prstGeom prst="rect">
                      <a:avLst/>
                    </a:prstGeom>
                  </pic:spPr>
                </pic:pic>
              </a:graphicData>
            </a:graphic>
          </wp:inline>
        </w:drawing>
      </w:r>
    </w:p>
    <w:p w14:paraId="5543734F" w14:textId="1D4F04E5" w:rsidR="00D15EB9" w:rsidRPr="00D15EB9" w:rsidRDefault="00A8552E" w:rsidP="00B63BE3">
      <w:pPr>
        <w:pStyle w:val="TableDescription"/>
      </w:pPr>
      <w:r>
        <w:t>a =</w:t>
      </w:r>
      <w:r w:rsidR="00B63BE3">
        <w:t xml:space="preserve"> </w:t>
      </w:r>
      <w:r w:rsidR="00D15EB9" w:rsidRPr="00D15EB9">
        <w:t xml:space="preserve">Subjects with multiple events in the same category are counted only once in that category. Subjects with events in more than 1 category are counted once in each of those categories. b </w:t>
      </w:r>
      <w:r>
        <w:t xml:space="preserve">= </w:t>
      </w:r>
      <w:r w:rsidR="00D15EB9" w:rsidRPr="00D15EB9">
        <w:t>Number of subjects with AEs/SAEs divided by total time at risk across all subjects in given treatment group, multiplied by 100.</w:t>
      </w:r>
    </w:p>
    <w:p w14:paraId="17AB84BA" w14:textId="01F96DF4" w:rsidR="00D15EB9" w:rsidRPr="00D15EB9" w:rsidRDefault="00D15EB9" w:rsidP="00B63BE3">
      <w:pPr>
        <w:pStyle w:val="TableDescription"/>
      </w:pPr>
      <w:r w:rsidRPr="00D15EB9">
        <w:t>Includes adverse events with an onset date between the date of first dose of IP and minimum (date of last dose of IP + 33 days, date of death, date of study withdrawal, day prior to start of another biologic). AE</w:t>
      </w:r>
      <w:r w:rsidR="001360AB">
        <w:t xml:space="preserve"> = </w:t>
      </w:r>
      <w:r w:rsidRPr="00D15EB9">
        <w:t>adverse event; IP</w:t>
      </w:r>
      <w:r w:rsidR="001360AB">
        <w:t xml:space="preserve"> = </w:t>
      </w:r>
      <w:r w:rsidRPr="00D15EB9">
        <w:t>investigational product; LTE</w:t>
      </w:r>
      <w:r w:rsidR="001360AB">
        <w:t xml:space="preserve"> = </w:t>
      </w:r>
      <w:r w:rsidRPr="00D15EB9">
        <w:t>long term extension; N</w:t>
      </w:r>
      <w:r w:rsidR="001360AB">
        <w:t xml:space="preserve">= </w:t>
      </w:r>
      <w:r w:rsidRPr="00D15EB9">
        <w:t xml:space="preserve">number of subjects in treatment group; Rand </w:t>
      </w:r>
      <w:proofErr w:type="spellStart"/>
      <w:r w:rsidRPr="00D15EB9">
        <w:t>Teze</w:t>
      </w:r>
      <w:proofErr w:type="spellEnd"/>
      <w:r w:rsidR="001360AB">
        <w:t xml:space="preserve"> = </w:t>
      </w:r>
      <w:r w:rsidRPr="00D15EB9">
        <w:t xml:space="preserve">all subjects randomised to </w:t>
      </w:r>
      <w:proofErr w:type="spellStart"/>
      <w:r w:rsidRPr="00D15EB9">
        <w:t>tezepelumab</w:t>
      </w:r>
      <w:proofErr w:type="spellEnd"/>
      <w:r w:rsidRPr="00D15EB9">
        <w:t xml:space="preserve"> in predecessor period; Rand </w:t>
      </w:r>
      <w:proofErr w:type="spellStart"/>
      <w:r w:rsidRPr="00D15EB9">
        <w:t>Pbo</w:t>
      </w:r>
      <w:proofErr w:type="spellEnd"/>
      <w:r w:rsidR="001360AB">
        <w:t xml:space="preserve"> = </w:t>
      </w:r>
      <w:r w:rsidRPr="00D15EB9">
        <w:t xml:space="preserve">all subjects randomised to placebo in predecessor period, excluding data from LTE period for subjects switched to </w:t>
      </w:r>
      <w:proofErr w:type="spellStart"/>
      <w:r w:rsidRPr="00D15EB9">
        <w:t>tezepelumab</w:t>
      </w:r>
      <w:proofErr w:type="spellEnd"/>
      <w:r w:rsidRPr="00D15EB9">
        <w:t>; SAE</w:t>
      </w:r>
      <w:r w:rsidR="001360AB">
        <w:t xml:space="preserve"> = </w:t>
      </w:r>
      <w:r w:rsidRPr="00D15EB9">
        <w:t>serious AE; SAF</w:t>
      </w:r>
      <w:r w:rsidR="001360AB">
        <w:t xml:space="preserve"> = </w:t>
      </w:r>
      <w:r w:rsidRPr="00D15EB9">
        <w:t>safety analysis set.</w:t>
      </w:r>
    </w:p>
    <w:p w14:paraId="2A0FA40C" w14:textId="579B38D5" w:rsidR="00D15EB9" w:rsidRPr="00D15EB9" w:rsidRDefault="00D15EB9" w:rsidP="00D15EB9">
      <w:r w:rsidRPr="00D15EB9">
        <w:t xml:space="preserve">In the on-study period there are approximately 60 additional subject-years at risk per group for subjects from NAVIGATOR compared to the equivalent on-treatment subject-years at risk in the Rand </w:t>
      </w:r>
      <w:proofErr w:type="spellStart"/>
      <w:r w:rsidRPr="00D15EB9">
        <w:t>Teze</w:t>
      </w:r>
      <w:proofErr w:type="spellEnd"/>
      <w:r w:rsidRPr="00D15EB9">
        <w:t xml:space="preserve"> and Rand </w:t>
      </w:r>
      <w:proofErr w:type="spellStart"/>
      <w:r w:rsidRPr="00D15EB9">
        <w:t>Pbo</w:t>
      </w:r>
      <w:proofErr w:type="spellEnd"/>
      <w:r w:rsidRPr="00D15EB9">
        <w:t xml:space="preserve"> groups.</w:t>
      </w:r>
      <w:r w:rsidR="00AE722B">
        <w:rPr>
          <w:rStyle w:val="FootnoteReference"/>
        </w:rPr>
        <w:footnoteReference w:id="18"/>
      </w:r>
      <w:r w:rsidR="00AE722B">
        <w:t xml:space="preserve"> </w:t>
      </w:r>
      <w:r w:rsidRPr="00D15EB9">
        <w:t xml:space="preserve">There was still a numerical imbalance in the exposure-adjusted </w:t>
      </w:r>
      <w:r w:rsidR="00AE722B">
        <w:t>incidence rate</w:t>
      </w:r>
      <w:r w:rsidRPr="00D15EB9">
        <w:t xml:space="preserve"> of deaths on-study, with incidence rates of 0.82 [8 deaths] and 0.66 [5</w:t>
      </w:r>
      <w:r w:rsidR="00AE722B">
        <w:t> </w:t>
      </w:r>
      <w:r w:rsidRPr="00D15EB9">
        <w:t xml:space="preserve">deaths] per 100-subject-years in the Rand </w:t>
      </w:r>
      <w:proofErr w:type="spellStart"/>
      <w:r w:rsidRPr="00D15EB9">
        <w:t>Teze</w:t>
      </w:r>
      <w:proofErr w:type="spellEnd"/>
      <w:r w:rsidRPr="00D15EB9">
        <w:t xml:space="preserve"> and Rand </w:t>
      </w:r>
      <w:proofErr w:type="spellStart"/>
      <w:r w:rsidRPr="00D15EB9">
        <w:t>Pbo</w:t>
      </w:r>
      <w:proofErr w:type="spellEnd"/>
      <w:r w:rsidRPr="00D15EB9">
        <w:t xml:space="preserve"> groups, respectively.</w:t>
      </w:r>
    </w:p>
    <w:p w14:paraId="351516FC" w14:textId="4A9D038C" w:rsidR="00D15EB9" w:rsidRPr="00D15EB9" w:rsidRDefault="00D15EB9" w:rsidP="00D15EB9">
      <w:r w:rsidRPr="00D15EB9">
        <w:t>From SOURCE in on</w:t>
      </w:r>
      <w:r w:rsidR="00AE722B">
        <w:t>-</w:t>
      </w:r>
      <w:r w:rsidRPr="00D15EB9">
        <w:t xml:space="preserve">study period there is approximately 15 additional subject-years at risk per group compared to the equivalent subject-years at risk on-treatment in the Rand </w:t>
      </w:r>
      <w:proofErr w:type="spellStart"/>
      <w:r w:rsidRPr="00D15EB9">
        <w:t>Teze</w:t>
      </w:r>
      <w:proofErr w:type="spellEnd"/>
      <w:r w:rsidRPr="00D15EB9">
        <w:t xml:space="preserve"> and Rand </w:t>
      </w:r>
      <w:proofErr w:type="spellStart"/>
      <w:r w:rsidRPr="00D15EB9">
        <w:t>Pbo</w:t>
      </w:r>
      <w:proofErr w:type="spellEnd"/>
      <w:r w:rsidRPr="00D15EB9">
        <w:t xml:space="preserve"> groups. The results for the on-study data were consistent with the previously reported results for the on-treatment data for the high-level AE categories. The number of deaths reported from SOURCE were the same in the on-treatment and updated on-study periods for the Rand </w:t>
      </w:r>
      <w:proofErr w:type="spellStart"/>
      <w:r w:rsidRPr="00D15EB9">
        <w:t>Teze</w:t>
      </w:r>
      <w:proofErr w:type="spellEnd"/>
      <w:r w:rsidRPr="00D15EB9">
        <w:t xml:space="preserve"> and Rand </w:t>
      </w:r>
      <w:proofErr w:type="spellStart"/>
      <w:r w:rsidRPr="00D15EB9">
        <w:t>Pbo</w:t>
      </w:r>
      <w:proofErr w:type="spellEnd"/>
      <w:r w:rsidRPr="00D15EB9">
        <w:t xml:space="preserve"> groups</w:t>
      </w:r>
      <w:r w:rsidR="00AE722B">
        <w:t>.</w:t>
      </w:r>
    </w:p>
    <w:p w14:paraId="051F84FC" w14:textId="2F250D71" w:rsidR="00D15EB9" w:rsidRDefault="00D15EB9" w:rsidP="00D15EB9">
      <w:r w:rsidRPr="00D15EB9">
        <w:t xml:space="preserve">The main safety signals from DESTINATION relate to the numerical imbalance for SAEs occurring in the SOC of Cardiac disorder and for AEs with a fatal outcome, with the exposure-adjusted incidence rate being higher in </w:t>
      </w:r>
      <w:proofErr w:type="spellStart"/>
      <w:r w:rsidRPr="00D15EB9">
        <w:t>tezepelumab</w:t>
      </w:r>
      <w:proofErr w:type="spellEnd"/>
      <w:r w:rsidRPr="00D15EB9">
        <w:t xml:space="preserve">-treated subjects compared with placebo-treated subjects for both </w:t>
      </w:r>
      <w:r w:rsidR="00AE722B">
        <w:t>AE</w:t>
      </w:r>
      <w:r w:rsidRPr="00D15EB9">
        <w:t xml:space="preserve"> categories in both the on-treatment and on-study periods.</w:t>
      </w:r>
    </w:p>
    <w:p w14:paraId="253D7D4F" w14:textId="6F7A6770" w:rsidR="00D15EB9" w:rsidRPr="00D15EB9" w:rsidRDefault="00D15EB9" w:rsidP="00706B7F">
      <w:pPr>
        <w:pStyle w:val="Heading5"/>
      </w:pPr>
      <w:r w:rsidRPr="00D15EB9">
        <w:t>Deaths</w:t>
      </w:r>
    </w:p>
    <w:p w14:paraId="42FCF74C" w14:textId="2F228A5A" w:rsidR="00D15EB9" w:rsidRPr="00D15EB9" w:rsidRDefault="00D15EB9" w:rsidP="00D15EB9">
      <w:r w:rsidRPr="00D15EB9">
        <w:t xml:space="preserve">More deaths occurred in the </w:t>
      </w:r>
      <w:proofErr w:type="spellStart"/>
      <w:r w:rsidRPr="00D15EB9">
        <w:t>tezepelumab</w:t>
      </w:r>
      <w:proofErr w:type="spellEnd"/>
      <w:r w:rsidRPr="00D15EB9">
        <w:t xml:space="preserve"> treatment groups compared with placebo in the on-treatment and on-study periods. For subjects from NAVIGATOR, </w:t>
      </w:r>
      <w:r w:rsidR="00E737ED">
        <w:t>2</w:t>
      </w:r>
      <w:r w:rsidRPr="00D15EB9">
        <w:t xml:space="preserve"> deaths occurred in the placebo group in the predecessor period and one subject (placebo group) died during the run-in period of DESTINATION prior to receiving </w:t>
      </w:r>
      <w:proofErr w:type="spellStart"/>
      <w:r w:rsidRPr="00D15EB9">
        <w:t>tezepelumab</w:t>
      </w:r>
      <w:proofErr w:type="spellEnd"/>
      <w:r w:rsidRPr="00D15EB9">
        <w:t xml:space="preserve">. In the long-term extension period, there </w:t>
      </w:r>
      <w:r w:rsidRPr="00E54C9F">
        <w:t xml:space="preserve">were 8 deaths in the </w:t>
      </w:r>
      <w:proofErr w:type="spellStart"/>
      <w:r w:rsidRPr="00E54C9F">
        <w:t>Teze+Teze</w:t>
      </w:r>
      <w:proofErr w:type="spellEnd"/>
      <w:r w:rsidRPr="00E54C9F">
        <w:t xml:space="preserve"> group, 1 death in the </w:t>
      </w:r>
      <w:proofErr w:type="spellStart"/>
      <w:r w:rsidRPr="00E54C9F">
        <w:t>Pbo+Teze</w:t>
      </w:r>
      <w:proofErr w:type="spellEnd"/>
      <w:r w:rsidRPr="00E54C9F">
        <w:t xml:space="preserve"> group, and 2 deaths in the </w:t>
      </w:r>
      <w:proofErr w:type="spellStart"/>
      <w:r w:rsidRPr="00E54C9F">
        <w:t>Pbo+Pbo</w:t>
      </w:r>
      <w:proofErr w:type="spellEnd"/>
      <w:r w:rsidRPr="00E54C9F">
        <w:t xml:space="preserve"> group. Two deaths were also reported in the </w:t>
      </w:r>
      <w:proofErr w:type="spellStart"/>
      <w:r w:rsidRPr="00E54C9F">
        <w:t>tezepelumab</w:t>
      </w:r>
      <w:proofErr w:type="spellEnd"/>
      <w:r w:rsidRPr="00E54C9F">
        <w:t xml:space="preserve"> group from NAVIGATOR</w:t>
      </w:r>
      <w:r w:rsidRPr="00D15EB9">
        <w:t xml:space="preserve"> </w:t>
      </w:r>
      <w:r w:rsidRPr="00D15EB9">
        <w:lastRenderedPageBreak/>
        <w:t xml:space="preserve">during the ongoing EFU period. For subjects from SOURCE, one death in the </w:t>
      </w:r>
      <w:proofErr w:type="spellStart"/>
      <w:r w:rsidRPr="00D15EB9">
        <w:t>Teze+Teze</w:t>
      </w:r>
      <w:proofErr w:type="spellEnd"/>
      <w:r w:rsidRPr="00D15EB9">
        <w:t xml:space="preserve"> group occurred in the LTE period and </w:t>
      </w:r>
      <w:r w:rsidR="00E737ED">
        <w:t>one</w:t>
      </w:r>
      <w:r w:rsidRPr="00D15EB9">
        <w:t xml:space="preserve"> death occurred in the </w:t>
      </w:r>
      <w:proofErr w:type="spellStart"/>
      <w:r w:rsidRPr="00D15EB9">
        <w:t>tezepelumab</w:t>
      </w:r>
      <w:proofErr w:type="spellEnd"/>
      <w:r w:rsidRPr="00D15EB9">
        <w:t xml:space="preserve"> group in the predecessor study.</w:t>
      </w:r>
    </w:p>
    <w:p w14:paraId="7DA7EFE7" w14:textId="178FB41C" w:rsidR="00D15EB9" w:rsidRPr="00D15EB9" w:rsidRDefault="00D15EB9" w:rsidP="00D15EB9">
      <w:r w:rsidRPr="00D15EB9">
        <w:t xml:space="preserve">For AEs with a fatal outcome, the exposure-adjusted incidence rate per 100 subject-years in the safety analysis set was greater in the All </w:t>
      </w:r>
      <w:proofErr w:type="spellStart"/>
      <w:r w:rsidRPr="00D15EB9">
        <w:t>Teze</w:t>
      </w:r>
      <w:proofErr w:type="spellEnd"/>
      <w:r w:rsidRPr="00D15EB9">
        <w:t xml:space="preserve"> group versus the Rand </w:t>
      </w:r>
      <w:proofErr w:type="spellStart"/>
      <w:r w:rsidRPr="00D15EB9">
        <w:t>Pbo</w:t>
      </w:r>
      <w:proofErr w:type="spellEnd"/>
      <w:r w:rsidRPr="00D15EB9">
        <w:t xml:space="preserve"> group (</w:t>
      </w:r>
      <w:r w:rsidR="00E737ED">
        <w:fldChar w:fldCharType="begin"/>
      </w:r>
      <w:r w:rsidR="00E737ED">
        <w:instrText xml:space="preserve"> REF _Ref204254017 \h </w:instrText>
      </w:r>
      <w:r w:rsidR="00E737ED">
        <w:fldChar w:fldCharType="separate"/>
      </w:r>
      <w:r w:rsidR="005657B1" w:rsidRPr="00772902">
        <w:t xml:space="preserve">Table </w:t>
      </w:r>
      <w:r w:rsidR="005657B1">
        <w:rPr>
          <w:noProof/>
        </w:rPr>
        <w:t>18</w:t>
      </w:r>
      <w:r w:rsidR="00E737ED">
        <w:fldChar w:fldCharType="end"/>
      </w:r>
      <w:r w:rsidR="00E737ED">
        <w:t>)</w:t>
      </w:r>
      <w:r w:rsidRPr="00D15EB9">
        <w:t xml:space="preserve"> in both the on-treatment period (IR = 0.78, 10 [1.2%] subjects v</w:t>
      </w:r>
      <w:r w:rsidR="00E737ED">
        <w:t>ersu</w:t>
      </w:r>
      <w:r w:rsidRPr="00D15EB9">
        <w:t>s IR=0.13, 1 [0.2%] subject, respectively) and the on-study period (IR = 0.80, 11 [1.3%] subjects v</w:t>
      </w:r>
      <w:r w:rsidR="00E737ED">
        <w:t>ersu</w:t>
      </w:r>
      <w:r w:rsidRPr="00D15EB9">
        <w:t>s IR=0.58, 5 [0.8%] subjects, respectively).</w:t>
      </w:r>
    </w:p>
    <w:p w14:paraId="2EAB7432" w14:textId="2C9F9368" w:rsidR="00D15EB9" w:rsidRPr="00D15EB9" w:rsidRDefault="00D15EB9" w:rsidP="00D15EB9">
      <w:r w:rsidRPr="00D15EB9">
        <w:t xml:space="preserve">The exposure-adjusted incidence rate difference per 100 subject years (95% CI) between the All </w:t>
      </w:r>
      <w:proofErr w:type="spellStart"/>
      <w:r w:rsidRPr="00D15EB9">
        <w:t>Teze</w:t>
      </w:r>
      <w:proofErr w:type="spellEnd"/>
      <w:r w:rsidRPr="00D15EB9">
        <w:t xml:space="preserve"> versus the Rand </w:t>
      </w:r>
      <w:proofErr w:type="spellStart"/>
      <w:r w:rsidRPr="00D15EB9">
        <w:t>Pbo</w:t>
      </w:r>
      <w:proofErr w:type="spellEnd"/>
      <w:r w:rsidRPr="00D15EB9">
        <w:t xml:space="preserve"> groups in the safety analysis sets was 0.65 (95%: CI 0.02, 1.32) for the on-treatment period and 0.22 (95%: CI </w:t>
      </w:r>
      <w:r w:rsidR="00E737ED">
        <w:t>−</w:t>
      </w:r>
      <w:r w:rsidRPr="00D15EB9">
        <w:t xml:space="preserve">0.61, 0.94) for the on-study period. Based on the 95% CIs, the difference between the All </w:t>
      </w:r>
      <w:proofErr w:type="spellStart"/>
      <w:r w:rsidRPr="00D15EB9">
        <w:t>Teze</w:t>
      </w:r>
      <w:proofErr w:type="spellEnd"/>
      <w:r w:rsidRPr="00D15EB9">
        <w:t xml:space="preserve"> and Rand </w:t>
      </w:r>
      <w:proofErr w:type="spellStart"/>
      <w:r w:rsidRPr="00D15EB9">
        <w:t>Pbo</w:t>
      </w:r>
      <w:proofErr w:type="spellEnd"/>
      <w:r w:rsidRPr="00D15EB9">
        <w:t xml:space="preserve"> groups for fatal AEs was nominally statistically significant in the on-treatment period (excluded zero) but not in the on-study period (included zero).</w:t>
      </w:r>
    </w:p>
    <w:p w14:paraId="185B3E8E" w14:textId="19B5C85B" w:rsidR="00E737ED" w:rsidRPr="00D15EB9" w:rsidRDefault="00E737ED" w:rsidP="00E737ED">
      <w:pPr>
        <w:pStyle w:val="TableTitle"/>
      </w:pPr>
      <w:bookmarkStart w:id="98" w:name="_Ref204254017"/>
      <w:r w:rsidRPr="00772902">
        <w:t xml:space="preserve">Table </w:t>
      </w:r>
      <w:r w:rsidRPr="00772902">
        <w:fldChar w:fldCharType="begin"/>
      </w:r>
      <w:r w:rsidRPr="00772902">
        <w:instrText xml:space="preserve"> SEQ Table \* ARABIC </w:instrText>
      </w:r>
      <w:r w:rsidRPr="00772902">
        <w:fldChar w:fldCharType="separate"/>
      </w:r>
      <w:r w:rsidR="005657B1">
        <w:rPr>
          <w:noProof/>
        </w:rPr>
        <w:t>18</w:t>
      </w:r>
      <w:r w:rsidRPr="00772902">
        <w:fldChar w:fldCharType="end"/>
      </w:r>
      <w:bookmarkEnd w:id="98"/>
      <w:r w:rsidRPr="00772902">
        <w:t>: DESTINATION Summary of deaths and cardiac disorder SOC serious adverse</w:t>
      </w:r>
      <w:r>
        <w:t xml:space="preserve"> events</w:t>
      </w:r>
      <w:r w:rsidRPr="00E737ED">
        <w:t xml:space="preserve"> by </w:t>
      </w:r>
      <w:r>
        <w:t>t</w:t>
      </w:r>
      <w:r w:rsidRPr="00E737ED">
        <w:t>reatment</w:t>
      </w:r>
    </w:p>
    <w:p w14:paraId="3E4F1597" w14:textId="190FFE04" w:rsidR="0029369F" w:rsidRDefault="00194131" w:rsidP="0029369F">
      <w:pPr>
        <w:pStyle w:val="TableDescription"/>
      </w:pPr>
      <w:r>
        <w:rPr>
          <w:noProof/>
        </w:rPr>
        <w:drawing>
          <wp:inline distT="0" distB="0" distL="0" distR="0" wp14:anchorId="15908F69" wp14:editId="477A73F7">
            <wp:extent cx="5759450" cy="2839085"/>
            <wp:effectExtent l="0" t="0" r="0" b="0"/>
            <wp:docPr id="1005171869" name="Picture 1" descr="Table 18: DESTINATION Summary of deaths and cardiac disorder SOC serious adverse events b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1869" name="Picture 1" descr="Table 18: DESTINATION Summary of deaths and cardiac disorder SOC serious adverse events by treatment"/>
                    <pic:cNvPicPr/>
                  </pic:nvPicPr>
                  <pic:blipFill>
                    <a:blip r:embed="rId45"/>
                    <a:stretch>
                      <a:fillRect/>
                    </a:stretch>
                  </pic:blipFill>
                  <pic:spPr>
                    <a:xfrm>
                      <a:off x="0" y="0"/>
                      <a:ext cx="5759450" cy="2839085"/>
                    </a:xfrm>
                    <a:prstGeom prst="rect">
                      <a:avLst/>
                    </a:prstGeom>
                  </pic:spPr>
                </pic:pic>
              </a:graphicData>
            </a:graphic>
          </wp:inline>
        </w:drawing>
      </w:r>
    </w:p>
    <w:p w14:paraId="6E5E2335" w14:textId="4A806F28" w:rsidR="00D15EB9" w:rsidRPr="00D15EB9" w:rsidRDefault="00D15EB9" w:rsidP="0029369F">
      <w:pPr>
        <w:pStyle w:val="TableDescription"/>
      </w:pPr>
      <w:r w:rsidRPr="00D15EB9">
        <w:t xml:space="preserve">Rand Teze = All subjects randomised to </w:t>
      </w:r>
      <w:proofErr w:type="spellStart"/>
      <w:r w:rsidRPr="00D15EB9">
        <w:t>tezepelumab</w:t>
      </w:r>
      <w:proofErr w:type="spellEnd"/>
      <w:r w:rsidRPr="00D15EB9">
        <w:t xml:space="preserve"> in predecessor period; Rand </w:t>
      </w:r>
      <w:proofErr w:type="spellStart"/>
      <w:r w:rsidRPr="00D15EB9">
        <w:t>Pbo</w:t>
      </w:r>
      <w:proofErr w:type="spellEnd"/>
      <w:r w:rsidRPr="00D15EB9">
        <w:t xml:space="preserve"> = All subjects randomised to placebo in predecessor period excluding data from long-term extension period for subjects re-randomised to receive </w:t>
      </w:r>
      <w:proofErr w:type="spellStart"/>
      <w:r w:rsidRPr="00D15EB9">
        <w:t>tezepelumab</w:t>
      </w:r>
      <w:proofErr w:type="spellEnd"/>
      <w:r w:rsidRPr="00D15EB9">
        <w:t>; SAEs = Serious adverse events; AEs = Adverse events; SOC = System, Organ, Class; IR = Exposure-adjusted incidence rate per 100 subject years; IRD = Incidence rate difference</w:t>
      </w:r>
      <w:r w:rsidR="0029369F">
        <w:t>.</w:t>
      </w:r>
    </w:p>
    <w:p w14:paraId="2C798F22" w14:textId="1FFA3685" w:rsidR="00D15EB9" w:rsidRPr="00D15EB9" w:rsidRDefault="00D15EB9" w:rsidP="00D15EB9">
      <w:r w:rsidRPr="00D15EB9">
        <w:t xml:space="preserve">In the All </w:t>
      </w:r>
      <w:proofErr w:type="spellStart"/>
      <w:r w:rsidRPr="00D15EB9">
        <w:t>Teze</w:t>
      </w:r>
      <w:proofErr w:type="spellEnd"/>
      <w:r w:rsidRPr="00D15EB9">
        <w:t xml:space="preserve"> group, there were 10 fatal AEs in the on-treatment period and 11 fatal AEs in the on-study period. In the All </w:t>
      </w:r>
      <w:proofErr w:type="spellStart"/>
      <w:r w:rsidRPr="00D15EB9">
        <w:t>Teze</w:t>
      </w:r>
      <w:proofErr w:type="spellEnd"/>
      <w:r w:rsidRPr="00D15EB9">
        <w:t xml:space="preserve"> group, the only additional fatal AE in the on-study period compared with the on-treatment period was </w:t>
      </w:r>
      <w:r w:rsidR="00761AC6">
        <w:t>one</w:t>
      </w:r>
      <w:r w:rsidRPr="00D15EB9">
        <w:t xml:space="preserve"> fatal event of septic shock. Two additional deaths were reported during the 36-week EFU period for subjects continuing in this period from NAVIGATOR: </w:t>
      </w:r>
      <w:r w:rsidR="00761AC6">
        <w:t>one</w:t>
      </w:r>
      <w:r w:rsidRPr="00D15EB9">
        <w:t xml:space="preserve"> subject in the </w:t>
      </w:r>
      <w:proofErr w:type="spellStart"/>
      <w:r w:rsidRPr="00D15EB9">
        <w:t>Pbo+Teze</w:t>
      </w:r>
      <w:proofErr w:type="spellEnd"/>
      <w:r w:rsidRPr="00D15EB9">
        <w:t xml:space="preserve"> group (PT sudden death) and </w:t>
      </w:r>
      <w:r w:rsidR="00761AC6">
        <w:t>one</w:t>
      </w:r>
      <w:r w:rsidRPr="00D15EB9">
        <w:t xml:space="preserve"> subject in the </w:t>
      </w:r>
      <w:proofErr w:type="spellStart"/>
      <w:r w:rsidRPr="00D15EB9">
        <w:t>Teze+Teze</w:t>
      </w:r>
      <w:proofErr w:type="spellEnd"/>
      <w:r w:rsidRPr="00D15EB9">
        <w:t xml:space="preserve"> group (PT COVID-19 pneumonia). Neither of these </w:t>
      </w:r>
      <w:r w:rsidR="00761AC6">
        <w:t>2</w:t>
      </w:r>
      <w:r w:rsidRPr="00D15EB9">
        <w:t xml:space="preserve"> events </w:t>
      </w:r>
      <w:proofErr w:type="gramStart"/>
      <w:r w:rsidRPr="00D15EB9">
        <w:t>were considered to be</w:t>
      </w:r>
      <w:proofErr w:type="gramEnd"/>
      <w:r w:rsidRPr="00D15EB9">
        <w:t xml:space="preserve"> related to </w:t>
      </w:r>
      <w:proofErr w:type="spellStart"/>
      <w:r w:rsidR="00295C3F">
        <w:t>tezepelumab</w:t>
      </w:r>
      <w:proofErr w:type="spellEnd"/>
      <w:r w:rsidRPr="00D15EB9">
        <w:t xml:space="preserve"> by the Investigator.</w:t>
      </w:r>
    </w:p>
    <w:p w14:paraId="3288C6AF" w14:textId="77777777" w:rsidR="005D1F56" w:rsidRDefault="00D15EB9" w:rsidP="00D15EB9">
      <w:r w:rsidRPr="00D15EB9">
        <w:t xml:space="preserve">Apart from the single events of </w:t>
      </w:r>
      <w:r w:rsidR="00761AC6">
        <w:t>‘</w:t>
      </w:r>
      <w:r w:rsidRPr="00D15EB9">
        <w:t>malignancy death</w:t>
      </w:r>
      <w:r w:rsidR="00761AC6">
        <w:t>’</w:t>
      </w:r>
      <w:r w:rsidRPr="00D15EB9">
        <w:t xml:space="preserve">, the deaths in DESTINATION can </w:t>
      </w:r>
      <w:proofErr w:type="gramStart"/>
      <w:r w:rsidRPr="00D15EB9">
        <w:t>be considered to be</w:t>
      </w:r>
      <w:proofErr w:type="gramEnd"/>
      <w:r w:rsidRPr="00D15EB9">
        <w:t xml:space="preserve"> grouped in 2 main topics, fatal infections and fatal cardiac events and/or </w:t>
      </w:r>
      <w:r w:rsidR="00A13593" w:rsidRPr="00D15EB9">
        <w:t xml:space="preserve">major </w:t>
      </w:r>
      <w:r w:rsidR="00A13593" w:rsidRPr="00E54C9F">
        <w:t>adverse cardiovascular events (MACE)</w:t>
      </w:r>
      <w:r w:rsidRPr="00E54C9F">
        <w:t>. COVID</w:t>
      </w:r>
      <w:r w:rsidR="00761AC6" w:rsidRPr="00E54C9F">
        <w:t>-19</w:t>
      </w:r>
      <w:r w:rsidRPr="00E54C9F">
        <w:t xml:space="preserve"> related fatalities were generally balanced</w:t>
      </w:r>
      <w:r w:rsidRPr="00D15EB9">
        <w:t xml:space="preserve"> across the treatment groups.</w:t>
      </w:r>
    </w:p>
    <w:p w14:paraId="720E4290" w14:textId="1480BB00" w:rsidR="00D15EB9" w:rsidRPr="00D15EB9" w:rsidRDefault="00D15EB9" w:rsidP="00D15EB9">
      <w:r w:rsidRPr="00D15EB9">
        <w:t xml:space="preserve">The 95% CI for the exposure-adjusted incidence rate difference between the All </w:t>
      </w:r>
      <w:proofErr w:type="spellStart"/>
      <w:r w:rsidRPr="00D15EB9">
        <w:t>Teze</w:t>
      </w:r>
      <w:proofErr w:type="spellEnd"/>
      <w:r w:rsidRPr="00D15EB9">
        <w:t xml:space="preserve"> v</w:t>
      </w:r>
      <w:r w:rsidR="00761AC6">
        <w:t>ersu</w:t>
      </w:r>
      <w:r w:rsidRPr="00D15EB9">
        <w:t xml:space="preserve">s Rand </w:t>
      </w:r>
      <w:proofErr w:type="spellStart"/>
      <w:r w:rsidRPr="00D15EB9">
        <w:t>Pbo</w:t>
      </w:r>
      <w:proofErr w:type="spellEnd"/>
      <w:r w:rsidRPr="00D15EB9">
        <w:t xml:space="preserve"> groups for the on-treatment (</w:t>
      </w:r>
      <w:r w:rsidR="00772902">
        <w:t>safety analysis set</w:t>
      </w:r>
      <w:r w:rsidRPr="00D15EB9">
        <w:t xml:space="preserve">) and on-study (SAF) analyses used the </w:t>
      </w:r>
      <w:r w:rsidRPr="00D15EB9">
        <w:lastRenderedPageBreak/>
        <w:t>Miettinen and Nurminen’s score method. Two additional statistical analyses, using methodology proposed by the clinical evaluator during review of the initial application in place of the Miettinen and Nurminen’s score method (</w:t>
      </w:r>
      <w:proofErr w:type="spellStart"/>
      <w:r w:rsidRPr="00D15EB9">
        <w:t>logrank</w:t>
      </w:r>
      <w:proofErr w:type="spellEnd"/>
      <w:r w:rsidRPr="00D15EB9">
        <w:t xml:space="preserve"> method and Cox proportional hazards) were conducted by the </w:t>
      </w:r>
      <w:r w:rsidR="00761AC6">
        <w:t>s</w:t>
      </w:r>
      <w:r w:rsidRPr="00D15EB9">
        <w:t xml:space="preserve">ponsor for the All </w:t>
      </w:r>
      <w:proofErr w:type="spellStart"/>
      <w:r w:rsidRPr="00D15EB9">
        <w:t>Teze</w:t>
      </w:r>
      <w:proofErr w:type="spellEnd"/>
      <w:r w:rsidRPr="00D15EB9">
        <w:t xml:space="preserve"> v</w:t>
      </w:r>
      <w:r w:rsidR="00761AC6">
        <w:t>ersu</w:t>
      </w:r>
      <w:r w:rsidRPr="00D15EB9">
        <w:t xml:space="preserve">s Rand </w:t>
      </w:r>
      <w:proofErr w:type="spellStart"/>
      <w:r w:rsidRPr="00D15EB9">
        <w:t>Pbo</w:t>
      </w:r>
      <w:proofErr w:type="spellEnd"/>
      <w:r w:rsidRPr="00D15EB9">
        <w:t xml:space="preserve"> comparison.</w:t>
      </w:r>
    </w:p>
    <w:p w14:paraId="281C733E" w14:textId="5E97A91B" w:rsidR="00D15EB9" w:rsidRDefault="00D15EB9" w:rsidP="00D15EB9">
      <w:r w:rsidRPr="00D15EB9">
        <w:t>In the log-rank test of deaths, the separation of Kaplan-Meier survival curves was not statistically significant for either the on-study (p=0.717) or the on-treatment (p=0.089) periods (</w:t>
      </w:r>
      <w:r w:rsidR="00761AC6">
        <w:t>see figure below</w:t>
      </w:r>
      <w:r w:rsidRPr="00D15EB9">
        <w:t>), respectively.</w:t>
      </w:r>
    </w:p>
    <w:p w14:paraId="4924D130" w14:textId="2B31EB83" w:rsidR="00761AC6" w:rsidRPr="00D15EB9" w:rsidRDefault="00761AC6" w:rsidP="00761AC6">
      <w:pPr>
        <w:pStyle w:val="TableTitle"/>
      </w:pPr>
      <w:r>
        <w:t xml:space="preserve">Figure </w:t>
      </w:r>
      <w:r>
        <w:fldChar w:fldCharType="begin"/>
      </w:r>
      <w:r>
        <w:instrText xml:space="preserve"> SEQ Figure \* ARABIC </w:instrText>
      </w:r>
      <w:r>
        <w:fldChar w:fldCharType="separate"/>
      </w:r>
      <w:r w:rsidR="005657B1">
        <w:rPr>
          <w:noProof/>
        </w:rPr>
        <w:t>10</w:t>
      </w:r>
      <w:r>
        <w:fldChar w:fldCharType="end"/>
      </w:r>
      <w:r>
        <w:t>: NAVIGATOR and SOURCE Time to death (days) on-treatment or on-study (Safety analysis set)</w:t>
      </w:r>
    </w:p>
    <w:p w14:paraId="05D83630" w14:textId="77777777" w:rsidR="00D15EB9" w:rsidRPr="00D15EB9" w:rsidRDefault="00D15EB9" w:rsidP="00A13593">
      <w:pPr>
        <w:keepNext/>
      </w:pPr>
      <w:r w:rsidRPr="00D15EB9">
        <w:t>On treatment</w:t>
      </w:r>
    </w:p>
    <w:p w14:paraId="52A38443" w14:textId="77777777" w:rsidR="00D15EB9" w:rsidRPr="00D15EB9" w:rsidRDefault="00D15EB9" w:rsidP="00D15EB9">
      <w:r w:rsidRPr="00D15EB9">
        <w:rPr>
          <w:noProof/>
        </w:rPr>
        <w:drawing>
          <wp:inline distT="0" distB="0" distL="0" distR="0" wp14:anchorId="22E07576" wp14:editId="6A0378C4">
            <wp:extent cx="4933950" cy="2708564"/>
            <wp:effectExtent l="0" t="0" r="0" b="0"/>
            <wp:docPr id="1724515325" name="Picture 8" descr="Figure 10: NAVIGATOR and SOURCE Time to death (days) on-treatment or on-study (Safety analysis set). O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15325" name="Picture 8" descr="Figure 10: NAVIGATOR and SOURCE Time to death (days) on-treatment or on-study (Safety analysis set). On treatment"/>
                    <pic:cNvPicPr/>
                  </pic:nvPicPr>
                  <pic:blipFill>
                    <a:blip r:embed="rId46">
                      <a:extLst>
                        <a:ext uri="{28A0092B-C50C-407E-A947-70E740481C1C}">
                          <a14:useLocalDpi xmlns:a14="http://schemas.microsoft.com/office/drawing/2010/main" val="0"/>
                        </a:ext>
                      </a:extLst>
                    </a:blip>
                    <a:stretch>
                      <a:fillRect/>
                    </a:stretch>
                  </pic:blipFill>
                  <pic:spPr>
                    <a:xfrm>
                      <a:off x="0" y="0"/>
                      <a:ext cx="4935579" cy="2709458"/>
                    </a:xfrm>
                    <a:prstGeom prst="rect">
                      <a:avLst/>
                    </a:prstGeom>
                  </pic:spPr>
                </pic:pic>
              </a:graphicData>
            </a:graphic>
          </wp:inline>
        </w:drawing>
      </w:r>
    </w:p>
    <w:p w14:paraId="6615DA5A" w14:textId="77777777" w:rsidR="00D15EB9" w:rsidRPr="00D15EB9" w:rsidRDefault="00D15EB9" w:rsidP="00A13593">
      <w:pPr>
        <w:keepNext/>
      </w:pPr>
      <w:r w:rsidRPr="00D15EB9">
        <w:t>On study</w:t>
      </w:r>
    </w:p>
    <w:p w14:paraId="6F668AA1" w14:textId="77777777" w:rsidR="00D15EB9" w:rsidRPr="00D15EB9" w:rsidRDefault="00D15EB9" w:rsidP="00D15EB9">
      <w:r w:rsidRPr="00D15EB9">
        <w:rPr>
          <w:noProof/>
        </w:rPr>
        <w:drawing>
          <wp:inline distT="0" distB="0" distL="0" distR="0" wp14:anchorId="5CAE08BB" wp14:editId="2397E1B2">
            <wp:extent cx="5305425" cy="2736272"/>
            <wp:effectExtent l="0" t="0" r="0" b="6985"/>
            <wp:docPr id="351740633" name="Picture 5" descr="Figure 10: NAVIGATOR and SOURCE Time to death (days) on-treatment or on-study (Safety analysis set). O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40633" name="Picture 5" descr="Figure 10: NAVIGATOR and SOURCE Time to death (days) on-treatment or on-study (Safety analysis set). On study"/>
                    <pic:cNvPicPr/>
                  </pic:nvPicPr>
                  <pic:blipFill>
                    <a:blip r:embed="rId47">
                      <a:extLst>
                        <a:ext uri="{28A0092B-C50C-407E-A947-70E740481C1C}">
                          <a14:useLocalDpi xmlns:a14="http://schemas.microsoft.com/office/drawing/2010/main" val="0"/>
                        </a:ext>
                      </a:extLst>
                    </a:blip>
                    <a:stretch>
                      <a:fillRect/>
                    </a:stretch>
                  </pic:blipFill>
                  <pic:spPr>
                    <a:xfrm>
                      <a:off x="0" y="0"/>
                      <a:ext cx="5355939" cy="2762325"/>
                    </a:xfrm>
                    <a:prstGeom prst="rect">
                      <a:avLst/>
                    </a:prstGeom>
                  </pic:spPr>
                </pic:pic>
              </a:graphicData>
            </a:graphic>
          </wp:inline>
        </w:drawing>
      </w:r>
    </w:p>
    <w:p w14:paraId="4BE13DD2" w14:textId="41BFBF48" w:rsidR="00D15EB9" w:rsidRDefault="00D15EB9" w:rsidP="00D15EB9">
      <w:r w:rsidRPr="00D15EB9">
        <w:t xml:space="preserve">When results were analysed using a Cox proportional hazards model for the on-treatment period: hazard ratio 4.99 (95% CI: 0.64, 39.22); p = 0.126; 10 (1.19%) deaths in the All </w:t>
      </w:r>
      <w:proofErr w:type="spellStart"/>
      <w:r w:rsidRPr="00D15EB9">
        <w:t>Teze</w:t>
      </w:r>
      <w:proofErr w:type="spellEnd"/>
      <w:r w:rsidRPr="00D15EB9">
        <w:t xml:space="preserve"> group (n=839) and 1 (0.16%) death in the Rand </w:t>
      </w:r>
      <w:proofErr w:type="spellStart"/>
      <w:r w:rsidRPr="00D15EB9">
        <w:t>Pbo</w:t>
      </w:r>
      <w:proofErr w:type="spellEnd"/>
      <w:r w:rsidRPr="00D15EB9">
        <w:t xml:space="preserve"> group (</w:t>
      </w:r>
      <w:r w:rsidR="00772902">
        <w:fldChar w:fldCharType="begin"/>
      </w:r>
      <w:r w:rsidR="00772902">
        <w:instrText xml:space="preserve"> REF _Ref204257120 \h </w:instrText>
      </w:r>
      <w:r w:rsidR="00772902">
        <w:fldChar w:fldCharType="separate"/>
      </w:r>
      <w:r w:rsidR="005657B1">
        <w:t xml:space="preserve">Table </w:t>
      </w:r>
      <w:r w:rsidR="005657B1">
        <w:rPr>
          <w:noProof/>
        </w:rPr>
        <w:t>19</w:t>
      </w:r>
      <w:r w:rsidR="00772902">
        <w:fldChar w:fldCharType="end"/>
      </w:r>
      <w:r w:rsidRPr="00D15EB9">
        <w:t>)</w:t>
      </w:r>
      <w:r w:rsidR="00A13593">
        <w:t>.</w:t>
      </w:r>
      <w:r w:rsidRPr="00D15EB9">
        <w:t xml:space="preserve"> The Cox proportional hazard ratio showed that the risk of death on-treatment was approximately 5-times greater in the All </w:t>
      </w:r>
      <w:proofErr w:type="spellStart"/>
      <w:r w:rsidRPr="00D15EB9">
        <w:t>Teze</w:t>
      </w:r>
      <w:proofErr w:type="spellEnd"/>
      <w:r w:rsidRPr="00D15EB9">
        <w:t xml:space="preserve"> group relative to the Rand </w:t>
      </w:r>
      <w:proofErr w:type="spellStart"/>
      <w:r w:rsidRPr="00D15EB9">
        <w:t>Pbo</w:t>
      </w:r>
      <w:proofErr w:type="spellEnd"/>
      <w:r w:rsidRPr="00D15EB9">
        <w:t xml:space="preserve"> group, although the ratio was not statistically significant and the 95% CI was wide.</w:t>
      </w:r>
    </w:p>
    <w:p w14:paraId="74C2B079" w14:textId="54C80801" w:rsidR="00A13593" w:rsidRPr="00D15EB9" w:rsidRDefault="00A13593" w:rsidP="00A13593">
      <w:pPr>
        <w:pStyle w:val="TableTitle"/>
      </w:pPr>
      <w:bookmarkStart w:id="99" w:name="_Ref204257120"/>
      <w:r>
        <w:lastRenderedPageBreak/>
        <w:t xml:space="preserve">Table </w:t>
      </w:r>
      <w:r>
        <w:fldChar w:fldCharType="begin"/>
      </w:r>
      <w:r>
        <w:instrText xml:space="preserve"> SEQ Table \* ARABIC </w:instrText>
      </w:r>
      <w:r>
        <w:fldChar w:fldCharType="separate"/>
      </w:r>
      <w:r w:rsidR="005657B1">
        <w:rPr>
          <w:noProof/>
        </w:rPr>
        <w:t>19</w:t>
      </w:r>
      <w:r>
        <w:fldChar w:fldCharType="end"/>
      </w:r>
      <w:bookmarkEnd w:id="99"/>
      <w:r>
        <w:t xml:space="preserve">: DESTINATION Time to death (days), Cox Proportional Hazards Model, </w:t>
      </w:r>
      <w:proofErr w:type="gramStart"/>
      <w:r>
        <w:t>on-treatment</w:t>
      </w:r>
      <w:proofErr w:type="gramEnd"/>
      <w:r>
        <w:t xml:space="preserve"> (subjects from NAVIGATOR and SOURCE)</w:t>
      </w:r>
    </w:p>
    <w:p w14:paraId="6F2273B1" w14:textId="77777777" w:rsidR="00D15EB9" w:rsidRPr="00D15EB9" w:rsidRDefault="00D15EB9" w:rsidP="00931234">
      <w:r w:rsidRPr="00D15EB9">
        <w:rPr>
          <w:noProof/>
        </w:rPr>
        <w:drawing>
          <wp:inline distT="0" distB="0" distL="0" distR="0" wp14:anchorId="471EF542" wp14:editId="1E5748E7">
            <wp:extent cx="5044853" cy="762000"/>
            <wp:effectExtent l="0" t="0" r="3810" b="0"/>
            <wp:docPr id="307675444" name="Picture 7" descr="Table 19: DESTINATION Time to death (days), Cox Proportional Hazards Model, on-treatment (subjects from NAVIGATOR and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5444" name="Picture 7" descr="Table 19: DESTINATION Time to death (days), Cox Proportional Hazards Model, on-treatment (subjects from NAVIGATOR and SOURCE)"/>
                    <pic:cNvPicPr/>
                  </pic:nvPicPr>
                  <pic:blipFill>
                    <a:blip r:embed="rId48">
                      <a:extLst>
                        <a:ext uri="{28A0092B-C50C-407E-A947-70E740481C1C}">
                          <a14:useLocalDpi xmlns:a14="http://schemas.microsoft.com/office/drawing/2010/main" val="0"/>
                        </a:ext>
                      </a:extLst>
                    </a:blip>
                    <a:stretch>
                      <a:fillRect/>
                    </a:stretch>
                  </pic:blipFill>
                  <pic:spPr>
                    <a:xfrm>
                      <a:off x="0" y="0"/>
                      <a:ext cx="5078290" cy="767050"/>
                    </a:xfrm>
                    <a:prstGeom prst="rect">
                      <a:avLst/>
                    </a:prstGeom>
                  </pic:spPr>
                </pic:pic>
              </a:graphicData>
            </a:graphic>
          </wp:inline>
        </w:drawing>
      </w:r>
    </w:p>
    <w:p w14:paraId="17BD47A9" w14:textId="5E3FFB72" w:rsidR="00D15EB9" w:rsidRPr="00D15EB9" w:rsidRDefault="00D15EB9" w:rsidP="00194131">
      <w:pPr>
        <w:pStyle w:val="TableDescription"/>
      </w:pPr>
      <w:r w:rsidRPr="00D15EB9">
        <w:t xml:space="preserve">Hazard ratio, 95% CIs for Hazard ratio, and p-values are estimated using a Cox regression model with treatment and predecessor study as covariates. A hazard ratio less than 1 favours Tezepelumab. All </w:t>
      </w:r>
      <w:proofErr w:type="spellStart"/>
      <w:r w:rsidRPr="00D15EB9">
        <w:t>Teze</w:t>
      </w:r>
      <w:proofErr w:type="spellEnd"/>
      <w:r w:rsidRPr="00D15EB9">
        <w:t xml:space="preserve"> = Rand </w:t>
      </w:r>
      <w:proofErr w:type="spellStart"/>
      <w:r w:rsidRPr="00D15EB9">
        <w:t>Teze</w:t>
      </w:r>
      <w:proofErr w:type="spellEnd"/>
      <w:r w:rsidRPr="00D15EB9">
        <w:t xml:space="preserve"> + switchers who received at least one dose of </w:t>
      </w:r>
      <w:proofErr w:type="spellStart"/>
      <w:r w:rsidRPr="00D15EB9">
        <w:t>Teze</w:t>
      </w:r>
      <w:proofErr w:type="spellEnd"/>
      <w:r w:rsidRPr="00D15EB9">
        <w:t xml:space="preserve">. Subjects switching from Placebo to </w:t>
      </w:r>
      <w:proofErr w:type="spellStart"/>
      <w:r w:rsidRPr="00D15EB9">
        <w:t>Teze</w:t>
      </w:r>
      <w:proofErr w:type="spellEnd"/>
      <w:r w:rsidRPr="00D15EB9">
        <w:t xml:space="preserve"> are counted in both the Rand </w:t>
      </w:r>
      <w:proofErr w:type="spellStart"/>
      <w:r w:rsidRPr="00D15EB9">
        <w:t>Pbo</w:t>
      </w:r>
      <w:proofErr w:type="spellEnd"/>
      <w:r w:rsidRPr="00D15EB9">
        <w:t xml:space="preserve"> and All </w:t>
      </w:r>
      <w:proofErr w:type="spellStart"/>
      <w:r w:rsidRPr="00D15EB9">
        <w:t>Teze</w:t>
      </w:r>
      <w:proofErr w:type="spellEnd"/>
      <w:r w:rsidRPr="00D15EB9">
        <w:t xml:space="preserve"> groups. There are 840 on planned treatment for All </w:t>
      </w:r>
      <w:proofErr w:type="spellStart"/>
      <w:r w:rsidRPr="00D15EB9">
        <w:t>Teze</w:t>
      </w:r>
      <w:proofErr w:type="spellEnd"/>
      <w:r w:rsidRPr="00D15EB9">
        <w:t xml:space="preserve">, while </w:t>
      </w:r>
      <w:proofErr w:type="gramStart"/>
      <w:r w:rsidRPr="00D15EB9">
        <w:t>actually only</w:t>
      </w:r>
      <w:proofErr w:type="gramEnd"/>
      <w:r w:rsidRPr="00D15EB9">
        <w:t xml:space="preserve"> 839 were treated. CI</w:t>
      </w:r>
      <w:r w:rsidR="00194131">
        <w:t xml:space="preserve"> = </w:t>
      </w:r>
      <w:r w:rsidRPr="00D15EB9">
        <w:t>Confidence interval.</w:t>
      </w:r>
    </w:p>
    <w:p w14:paraId="5372E9B2" w14:textId="671B8921" w:rsidR="00D15EB9" w:rsidRPr="00D15EB9" w:rsidRDefault="00D15EB9" w:rsidP="00D15EB9">
      <w:r w:rsidRPr="00D15EB9">
        <w:t xml:space="preserve">Fatality case report information was provided by the sponsor. On review of the case reports for patients who died, </w:t>
      </w:r>
      <w:proofErr w:type="gramStart"/>
      <w:r w:rsidRPr="00D15EB9">
        <w:t>it is clear that for</w:t>
      </w:r>
      <w:proofErr w:type="gramEnd"/>
      <w:r w:rsidRPr="00D15EB9">
        <w:t xml:space="preserve"> many participants the cause of death has been deduced </w:t>
      </w:r>
      <w:r w:rsidR="00A13593">
        <w:t xml:space="preserve">from </w:t>
      </w:r>
      <w:r w:rsidRPr="00D15EB9">
        <w:t xml:space="preserve">the clinical details including prior morbidities, and not from autopsy. Of the 16 deaths, 11 stated there was no autopsy performed despite several of these having an unknown cause of death or having natural causes or sudden death listed. Only </w:t>
      </w:r>
      <w:r w:rsidR="00A13593">
        <w:t>one</w:t>
      </w:r>
      <w:r w:rsidRPr="00D15EB9">
        <w:t xml:space="preserve"> subject is recorded as having had an autopsy, and in the remaining 4 fatalities it is unclear whether an autopsy was undertaken.</w:t>
      </w:r>
    </w:p>
    <w:p w14:paraId="7A7C408E" w14:textId="77777777" w:rsidR="00D15EB9" w:rsidRPr="00D15EB9" w:rsidRDefault="00D15EB9" w:rsidP="00D15EB9">
      <w:r w:rsidRPr="00D15EB9">
        <w:t>Most subjects did not have autopsies performed, giving the multinational nature of the study, and the varying requirements at the local level. The cause of death has been determined by the best available information. Thus, potential for misclassification for cause of death is present.</w:t>
      </w:r>
    </w:p>
    <w:p w14:paraId="0BC58133" w14:textId="183905B8" w:rsidR="00D15EB9" w:rsidRPr="00D15EB9" w:rsidRDefault="00D15EB9" w:rsidP="00A13593">
      <w:pPr>
        <w:pStyle w:val="Heading6"/>
      </w:pPr>
      <w:r w:rsidRPr="00D15EB9">
        <w:t>Summary</w:t>
      </w:r>
    </w:p>
    <w:p w14:paraId="32FA2D83" w14:textId="190D3CA8" w:rsidR="00D15EB9" w:rsidRPr="00D15EB9" w:rsidRDefault="00D15EB9" w:rsidP="00D15EB9">
      <w:r w:rsidRPr="00D15EB9">
        <w:t xml:space="preserve">The study was not powered to demonstrate statistical significance between the All </w:t>
      </w:r>
      <w:proofErr w:type="spellStart"/>
      <w:r w:rsidRPr="00D15EB9">
        <w:t>Teze</w:t>
      </w:r>
      <w:proofErr w:type="spellEnd"/>
      <w:r w:rsidRPr="00D15EB9">
        <w:t xml:space="preserve"> and Rand </w:t>
      </w:r>
      <w:proofErr w:type="spellStart"/>
      <w:r w:rsidRPr="00D15EB9">
        <w:t>Pbo</w:t>
      </w:r>
      <w:proofErr w:type="spellEnd"/>
      <w:r w:rsidRPr="00D15EB9">
        <w:t xml:space="preserve"> groups. </w:t>
      </w:r>
      <w:r w:rsidR="006A2971">
        <w:t>T</w:t>
      </w:r>
      <w:r w:rsidRPr="00D15EB9">
        <w:t xml:space="preserve">he exposure-adjusted incidence rate for fatal AEs in DESTINATION was consistently numerically higher in the All </w:t>
      </w:r>
      <w:proofErr w:type="spellStart"/>
      <w:r w:rsidRPr="00D15EB9">
        <w:t>Teze</w:t>
      </w:r>
      <w:proofErr w:type="spellEnd"/>
      <w:r w:rsidRPr="00D15EB9">
        <w:t xml:space="preserve"> group than in Rand </w:t>
      </w:r>
      <w:proofErr w:type="spellStart"/>
      <w:r w:rsidRPr="00D15EB9">
        <w:t>Pbo</w:t>
      </w:r>
      <w:proofErr w:type="spellEnd"/>
      <w:r w:rsidRPr="00D15EB9">
        <w:t xml:space="preserve"> group irrespective of the analytical method used, although none have reached statistical significance.</w:t>
      </w:r>
    </w:p>
    <w:p w14:paraId="42B0C5F8" w14:textId="1A234628" w:rsidR="00D15EB9" w:rsidRPr="00D15EB9" w:rsidRDefault="00D15EB9" w:rsidP="00D15EB9">
      <w:r w:rsidRPr="00D15EB9">
        <w:t xml:space="preserve">The exposure-adjusted incidence rate per 100 subject-years on-treatment was nominally statistically significantly greater in the All </w:t>
      </w:r>
      <w:proofErr w:type="spellStart"/>
      <w:r w:rsidRPr="00D15EB9">
        <w:t>Teze</w:t>
      </w:r>
      <w:proofErr w:type="spellEnd"/>
      <w:r w:rsidRPr="00D15EB9">
        <w:t xml:space="preserve"> group than in the Rand </w:t>
      </w:r>
      <w:proofErr w:type="spellStart"/>
      <w:r w:rsidRPr="00D15EB9">
        <w:t>Pbo</w:t>
      </w:r>
      <w:proofErr w:type="spellEnd"/>
      <w:r w:rsidRPr="00D15EB9">
        <w:t xml:space="preserve"> group. Furthermore, the Cox proportional hazard ratio showed that the risk of death on-treatment was approximately 5-times greater in the All </w:t>
      </w:r>
      <w:proofErr w:type="spellStart"/>
      <w:r w:rsidRPr="00D15EB9">
        <w:t>Teze</w:t>
      </w:r>
      <w:proofErr w:type="spellEnd"/>
      <w:r w:rsidRPr="00D15EB9">
        <w:t xml:space="preserve"> group relative to the Rand </w:t>
      </w:r>
      <w:proofErr w:type="spellStart"/>
      <w:r w:rsidRPr="00D15EB9">
        <w:t>Pbo</w:t>
      </w:r>
      <w:proofErr w:type="spellEnd"/>
      <w:r w:rsidRPr="00D15EB9">
        <w:t xml:space="preserve"> group, although the ratio was not statistically significant, and the 95% CI was wide. In addition, non-statistically significant separation of the Kaplan-Meier curves in favour of the </w:t>
      </w:r>
      <w:proofErr w:type="spellStart"/>
      <w:r w:rsidRPr="00D15EB9">
        <w:t>tezepelumab</w:t>
      </w:r>
      <w:proofErr w:type="spellEnd"/>
      <w:r w:rsidRPr="00D15EB9">
        <w:t xml:space="preserve"> group relative to the placebo group occurred in both the on-treatment and on-study periods and separation continued over the duration of the study.</w:t>
      </w:r>
    </w:p>
    <w:p w14:paraId="12A78A99" w14:textId="2BDCB068" w:rsidR="00D15EB9" w:rsidRPr="00D15EB9" w:rsidRDefault="00D15EB9" w:rsidP="00D15EB9">
      <w:r w:rsidRPr="000A0E59">
        <w:t xml:space="preserve">Based on the results of the statistical analyses, it is uncertain whether a causal relationship between </w:t>
      </w:r>
      <w:proofErr w:type="spellStart"/>
      <w:r w:rsidRPr="000A0E59">
        <w:t>tezepelumab</w:t>
      </w:r>
      <w:proofErr w:type="spellEnd"/>
      <w:r w:rsidRPr="000A0E59">
        <w:t xml:space="preserve"> and fatal AEs exists. </w:t>
      </w:r>
    </w:p>
    <w:p w14:paraId="407CB858" w14:textId="122F95C8" w:rsidR="00D15EB9" w:rsidRPr="00D15EB9" w:rsidRDefault="00D15EB9" w:rsidP="00A13593">
      <w:pPr>
        <w:pStyle w:val="Heading5"/>
      </w:pPr>
      <w:r w:rsidRPr="00D15EB9">
        <w:t xml:space="preserve">Cardiac disorder </w:t>
      </w:r>
      <w:r w:rsidRPr="00D15EB9">
        <w:rPr>
          <w:rFonts w:eastAsia="TimesNewRoman"/>
        </w:rPr>
        <w:t>serious adverse events</w:t>
      </w:r>
    </w:p>
    <w:p w14:paraId="0BB8DA9E" w14:textId="1036B4C1" w:rsidR="00D15EB9" w:rsidRPr="00D15EB9" w:rsidRDefault="00D15EB9" w:rsidP="00D15EB9">
      <w:r w:rsidRPr="00D15EB9">
        <w:t>There were numerical differences in SAEs in the SOC of Cardiac disorders and I</w:t>
      </w:r>
      <w:r w:rsidR="00772902">
        <w:t>ndependent Adjudication Committee</w:t>
      </w:r>
      <w:r w:rsidRPr="00D15EB9">
        <w:t>-adjudicated MACE</w:t>
      </w:r>
      <w:r w:rsidR="00772902">
        <w:t>s</w:t>
      </w:r>
      <w:r w:rsidRPr="00D15EB9">
        <w:t xml:space="preserve"> observed in DESTINATION, with subjects treated with </w:t>
      </w:r>
      <w:proofErr w:type="spellStart"/>
      <w:r w:rsidRPr="00D15EB9">
        <w:t>tezepelumab</w:t>
      </w:r>
      <w:proofErr w:type="spellEnd"/>
      <w:r w:rsidRPr="00D15EB9">
        <w:t xml:space="preserve"> reporting more serious cardiac events compared with subjects treated with placebo. The exposure-adjusted incidence rate per 100 subject-years for SAEs in the Cardiac disorders SOC was greater in the All </w:t>
      </w:r>
      <w:proofErr w:type="spellStart"/>
      <w:r w:rsidRPr="00D15EB9">
        <w:t>Teze</w:t>
      </w:r>
      <w:proofErr w:type="spellEnd"/>
      <w:r w:rsidRPr="00D15EB9">
        <w:t xml:space="preserve"> group compared with the Rand </w:t>
      </w:r>
      <w:proofErr w:type="spellStart"/>
      <w:r w:rsidRPr="00D15EB9">
        <w:t>Pbo</w:t>
      </w:r>
      <w:proofErr w:type="spellEnd"/>
      <w:r w:rsidRPr="00D15EB9">
        <w:t xml:space="preserve"> in both the on-treatment period (104</w:t>
      </w:r>
      <w:r w:rsidR="00772902">
        <w:t> </w:t>
      </w:r>
      <w:r w:rsidRPr="00D15EB9">
        <w:t>weeks) and on-study period (104</w:t>
      </w:r>
      <w:r w:rsidR="00772902">
        <w:t> </w:t>
      </w:r>
      <w:r w:rsidRPr="00D15EB9">
        <w:t>weeks on treatment + 12</w:t>
      </w:r>
      <w:r w:rsidR="00772902">
        <w:t> </w:t>
      </w:r>
      <w:r w:rsidRPr="00D15EB9">
        <w:t xml:space="preserve">weeks </w:t>
      </w:r>
      <w:r w:rsidR="00E54C9F">
        <w:t>subsequent follow-up</w:t>
      </w:r>
      <w:r w:rsidRPr="00D15EB9">
        <w:t>) (</w:t>
      </w:r>
      <w:r w:rsidR="00E54C9F">
        <w:fldChar w:fldCharType="begin"/>
      </w:r>
      <w:r w:rsidR="00E54C9F">
        <w:instrText xml:space="preserve"> REF _Ref204254017 \h </w:instrText>
      </w:r>
      <w:r w:rsidR="00E54C9F">
        <w:fldChar w:fldCharType="separate"/>
      </w:r>
      <w:r w:rsidR="005657B1" w:rsidRPr="00772902">
        <w:t xml:space="preserve">Table </w:t>
      </w:r>
      <w:r w:rsidR="005657B1">
        <w:rPr>
          <w:noProof/>
        </w:rPr>
        <w:t>18</w:t>
      </w:r>
      <w:r w:rsidR="00E54C9F">
        <w:fldChar w:fldCharType="end"/>
      </w:r>
      <w:r w:rsidRPr="00D15EB9">
        <w:t>)</w:t>
      </w:r>
      <w:r w:rsidR="00772902">
        <w:t>.</w:t>
      </w:r>
    </w:p>
    <w:p w14:paraId="4DA7A049" w14:textId="70F54EE8" w:rsidR="00D15EB9" w:rsidRPr="00D15EB9" w:rsidRDefault="00D15EB9" w:rsidP="00D15EB9">
      <w:r w:rsidRPr="00D15EB9">
        <w:t xml:space="preserve">With regards to cardiac disorder SAEs, on treatment, there were 17 events in the </w:t>
      </w:r>
      <w:proofErr w:type="spellStart"/>
      <w:r w:rsidRPr="00D15EB9">
        <w:t>tezepelumab</w:t>
      </w:r>
      <w:proofErr w:type="spellEnd"/>
      <w:r w:rsidRPr="00D15EB9">
        <w:t xml:space="preserve"> group, IR (95% CI) 1.33 (0.77 to 2.12) /100 patient-years and none in the placebo, IR (95% CI) </w:t>
      </w:r>
      <w:r w:rsidRPr="00D15EB9">
        <w:lastRenderedPageBreak/>
        <w:t>0.00 (0.00 to 0.37) /100 patient-years (</w:t>
      </w:r>
      <w:r w:rsidR="00E54C9F">
        <w:fldChar w:fldCharType="begin"/>
      </w:r>
      <w:r w:rsidR="00E54C9F">
        <w:instrText xml:space="preserve"> REF _Ref204254017 \h </w:instrText>
      </w:r>
      <w:r w:rsidR="00E54C9F">
        <w:fldChar w:fldCharType="separate"/>
      </w:r>
      <w:r w:rsidR="005657B1" w:rsidRPr="00772902">
        <w:t xml:space="preserve">Table </w:t>
      </w:r>
      <w:r w:rsidR="005657B1">
        <w:rPr>
          <w:noProof/>
        </w:rPr>
        <w:t>18</w:t>
      </w:r>
      <w:r w:rsidR="00E54C9F">
        <w:fldChar w:fldCharType="end"/>
      </w:r>
      <w:r w:rsidRPr="00D15EB9">
        <w:t>)</w:t>
      </w:r>
      <w:r w:rsidR="000E5E95">
        <w:t>.</w:t>
      </w:r>
      <w:r w:rsidRPr="00D15EB9">
        <w:t xml:space="preserve"> Comparing the </w:t>
      </w:r>
      <w:r w:rsidR="000E5E95">
        <w:t>s</w:t>
      </w:r>
      <w:r w:rsidRPr="00D15EB9">
        <w:t>ponsor’s 95% CI there is a statistically significant difference between the treatment groups.</w:t>
      </w:r>
    </w:p>
    <w:p w14:paraId="32BCF5E6" w14:textId="7388FFEA" w:rsidR="00D15EB9" w:rsidRPr="00D15EB9" w:rsidRDefault="00D15EB9" w:rsidP="00D15EB9">
      <w:r w:rsidRPr="00D15EB9">
        <w:t xml:space="preserve">On-study, there were 18 cardiac disorder SAEs in the </w:t>
      </w:r>
      <w:proofErr w:type="spellStart"/>
      <w:r w:rsidRPr="00D15EB9">
        <w:t>tezepelumab</w:t>
      </w:r>
      <w:proofErr w:type="spellEnd"/>
      <w:r w:rsidRPr="00D15EB9">
        <w:t xml:space="preserve">, IR (95% CI) 1.30 (0.77 to 2.06) </w:t>
      </w:r>
      <w:r w:rsidR="000E5E95">
        <w:t xml:space="preserve">per </w:t>
      </w:r>
      <w:r w:rsidRPr="00D15EB9">
        <w:t xml:space="preserve">100 patient-years and </w:t>
      </w:r>
      <w:r w:rsidR="000E5E95">
        <w:t>2</w:t>
      </w:r>
      <w:r w:rsidRPr="00D15EB9">
        <w:t xml:space="preserve"> in the placebo, IR (95% CI) 0.23 (0.03 to 0.83) </w:t>
      </w:r>
      <w:r w:rsidR="000E5E95">
        <w:t xml:space="preserve">per </w:t>
      </w:r>
      <w:r w:rsidRPr="00E54C9F">
        <w:t>100</w:t>
      </w:r>
      <w:r w:rsidR="000E5E95" w:rsidRPr="00E54C9F">
        <w:t> </w:t>
      </w:r>
      <w:r w:rsidRPr="00E54C9F">
        <w:t xml:space="preserve">patient-years. The incidence rate ratio (IRR) (95% CI) was 5.66 (1.35 to 50.33), </w:t>
      </w:r>
      <w:r w:rsidR="000E5E95" w:rsidRPr="00E54C9F">
        <w:t>2</w:t>
      </w:r>
      <w:r w:rsidRPr="00E54C9F">
        <w:t>-sided p-</w:t>
      </w:r>
      <w:r w:rsidRPr="00D15EB9">
        <w:t xml:space="preserve">value 0.0059, indicating a clinically and statistically significant increase in cardiac disorder SAEs, for the on-study data, with </w:t>
      </w:r>
      <w:proofErr w:type="spellStart"/>
      <w:r w:rsidRPr="00D15EB9">
        <w:t>tezepelumab</w:t>
      </w:r>
      <w:proofErr w:type="spellEnd"/>
      <w:r w:rsidRPr="00D15EB9">
        <w:t>.</w:t>
      </w:r>
    </w:p>
    <w:p w14:paraId="1632492E" w14:textId="77777777" w:rsidR="00D15EB9" w:rsidRPr="00D15EB9" w:rsidRDefault="00D15EB9" w:rsidP="00D15EB9">
      <w:r w:rsidRPr="00D15EB9">
        <w:t>The exposure-adjusted incidence rate differences per 100 subject-years for SAEs in the Cardiac disorders SOC in the on-treatment and on study periods (SAF) were:</w:t>
      </w:r>
    </w:p>
    <w:p w14:paraId="222E2E46" w14:textId="42E087D9" w:rsidR="00D15EB9" w:rsidRPr="00D15EB9" w:rsidRDefault="00D15EB9" w:rsidP="000E5E95">
      <w:pPr>
        <w:pStyle w:val="ListBullet"/>
      </w:pPr>
      <w:proofErr w:type="gramStart"/>
      <w:r w:rsidRPr="00D15EB9">
        <w:t>On-treatment</w:t>
      </w:r>
      <w:proofErr w:type="gramEnd"/>
      <w:r w:rsidRPr="00D15EB9">
        <w:t xml:space="preserve">: Rand </w:t>
      </w:r>
      <w:proofErr w:type="spellStart"/>
      <w:r w:rsidRPr="00D15EB9">
        <w:t>Teze</w:t>
      </w:r>
      <w:proofErr w:type="spellEnd"/>
      <w:r w:rsidRPr="00D15EB9">
        <w:t xml:space="preserve"> v</w:t>
      </w:r>
      <w:r w:rsidR="000E5E95">
        <w:t>ersu</w:t>
      </w:r>
      <w:r w:rsidRPr="00D15EB9">
        <w:t xml:space="preserve">s Rand </w:t>
      </w:r>
      <w:proofErr w:type="spellStart"/>
      <w:r w:rsidRPr="00D15EB9">
        <w:t>Pbo</w:t>
      </w:r>
      <w:proofErr w:type="spellEnd"/>
      <w:r w:rsidRPr="00D15EB9">
        <w:t xml:space="preserve"> 1.15 (0.66, 1.99); All </w:t>
      </w:r>
      <w:proofErr w:type="spellStart"/>
      <w:r w:rsidRPr="00D15EB9">
        <w:t>Teze</w:t>
      </w:r>
      <w:proofErr w:type="spellEnd"/>
      <w:r w:rsidRPr="00D15EB9">
        <w:t xml:space="preserve"> vs Rand </w:t>
      </w:r>
      <w:proofErr w:type="spellStart"/>
      <w:r w:rsidRPr="00D15EB9">
        <w:t>Pbo</w:t>
      </w:r>
      <w:proofErr w:type="spellEnd"/>
      <w:r w:rsidRPr="00D15EB9">
        <w:t xml:space="preserve"> 1.33 (0.83, 2.11)</w:t>
      </w:r>
    </w:p>
    <w:p w14:paraId="60B1EE9F" w14:textId="1581B153" w:rsidR="00D15EB9" w:rsidRPr="00D15EB9" w:rsidRDefault="00D15EB9" w:rsidP="000E5E95">
      <w:pPr>
        <w:pStyle w:val="ListBullet"/>
      </w:pPr>
      <w:proofErr w:type="gramStart"/>
      <w:r w:rsidRPr="00D15EB9">
        <w:t>On-study</w:t>
      </w:r>
      <w:proofErr w:type="gramEnd"/>
      <w:r w:rsidRPr="00D15EB9">
        <w:t xml:space="preserve">: Rand </w:t>
      </w:r>
      <w:proofErr w:type="spellStart"/>
      <w:r w:rsidRPr="00D15EB9">
        <w:t>Teze</w:t>
      </w:r>
      <w:proofErr w:type="spellEnd"/>
      <w:r w:rsidRPr="00D15EB9">
        <w:t xml:space="preserve"> v</w:t>
      </w:r>
      <w:r w:rsidR="000E5E95">
        <w:t>ersu</w:t>
      </w:r>
      <w:r w:rsidRPr="00D15EB9">
        <w:t xml:space="preserve">s Rand </w:t>
      </w:r>
      <w:proofErr w:type="spellStart"/>
      <w:r w:rsidRPr="00D15EB9">
        <w:t>Pbo</w:t>
      </w:r>
      <w:proofErr w:type="spellEnd"/>
      <w:r w:rsidRPr="00D15EB9">
        <w:t xml:space="preserve"> 0.93 (0.20, 1.77); All </w:t>
      </w:r>
      <w:proofErr w:type="spellStart"/>
      <w:r w:rsidRPr="00D15EB9">
        <w:t>Teze</w:t>
      </w:r>
      <w:proofErr w:type="spellEnd"/>
      <w:r w:rsidRPr="00D15EB9">
        <w:t xml:space="preserve"> vs Rand </w:t>
      </w:r>
      <w:proofErr w:type="spellStart"/>
      <w:r w:rsidRPr="00D15EB9">
        <w:t>Pbo</w:t>
      </w:r>
      <w:proofErr w:type="spellEnd"/>
      <w:r w:rsidRPr="00D15EB9">
        <w:t xml:space="preserve"> 1.07 (0.35, 1.86)</w:t>
      </w:r>
      <w:r w:rsidR="000E5E95">
        <w:t>.</w:t>
      </w:r>
    </w:p>
    <w:p w14:paraId="56BDE75F" w14:textId="77777777" w:rsidR="000E5E95" w:rsidRDefault="00D15EB9" w:rsidP="00D15EB9">
      <w:r w:rsidRPr="00D15EB9">
        <w:t>In both periods, the exposure adjusted incidence rate differences were nominally statistically significant for both pairwise comparisons, as the 95% CIs for both differences excluded zero.</w:t>
      </w:r>
    </w:p>
    <w:p w14:paraId="4BDC02BE" w14:textId="5A498350" w:rsidR="00D15EB9" w:rsidRDefault="00D15EB9" w:rsidP="00D15EB9">
      <w:r w:rsidRPr="00D15EB9">
        <w:t xml:space="preserve">Most subjects in DESTINATION were at </w:t>
      </w:r>
      <w:r w:rsidR="00997506">
        <w:t>cardiovascular</w:t>
      </w:r>
      <w:r w:rsidRPr="00D15EB9">
        <w:t xml:space="preserve"> risk at baseline. Consequently, the observed numerical imbalance in serious adverse events between the </w:t>
      </w:r>
      <w:r w:rsidR="00997506">
        <w:t>2</w:t>
      </w:r>
      <w:r w:rsidRPr="00D15EB9">
        <w:t xml:space="preserve"> treatment groups is unlikely to be due to an imbalance in baseline risk factors for CV disease. There were no data for the incidence of serious cardiac adverse events in subjects with low risk of </w:t>
      </w:r>
      <w:r w:rsidR="00997506">
        <w:t>cardiovascular</w:t>
      </w:r>
      <w:r w:rsidRPr="00D15EB9">
        <w:t xml:space="preserve"> events.</w:t>
      </w:r>
    </w:p>
    <w:p w14:paraId="526208F7" w14:textId="1EABDA56" w:rsidR="00D15EB9" w:rsidRPr="00D15EB9" w:rsidRDefault="00D15EB9" w:rsidP="00D15EB9">
      <w:r w:rsidRPr="00D15EB9">
        <w:t>Despite numerical imbalances in rates of cardiac disorders and fatal events, there was no apparent pattern in type of cardiac disorder SAEs or fatal events (</w:t>
      </w:r>
      <w:r w:rsidR="00990645">
        <w:fldChar w:fldCharType="begin"/>
      </w:r>
      <w:r w:rsidR="00990645">
        <w:instrText xml:space="preserve"> REF _Ref204352153 \h </w:instrText>
      </w:r>
      <w:r w:rsidR="00990645">
        <w:fldChar w:fldCharType="separate"/>
      </w:r>
      <w:r w:rsidR="005657B1">
        <w:t xml:space="preserve">Table </w:t>
      </w:r>
      <w:r w:rsidR="005657B1">
        <w:rPr>
          <w:noProof/>
        </w:rPr>
        <w:t>20</w:t>
      </w:r>
      <w:r w:rsidR="00990645">
        <w:fldChar w:fldCharType="end"/>
      </w:r>
      <w:r w:rsidRPr="00D15EB9">
        <w:t>)</w:t>
      </w:r>
      <w:r w:rsidR="0023550B">
        <w:t>.</w:t>
      </w:r>
      <w:r w:rsidRPr="00D15EB9">
        <w:t xml:space="preserve"> However, the cardiac disorder SAEs reported by the </w:t>
      </w:r>
      <w:r w:rsidR="0023550B">
        <w:t>s</w:t>
      </w:r>
      <w:r w:rsidRPr="00D15EB9">
        <w:t xml:space="preserve">ponsor can predominantly be attributable to coronary vascular disease. Coronary vascular disease can lead to myocardial infarction, arrhythmias, and heart failure. These data raise concerns that </w:t>
      </w:r>
      <w:proofErr w:type="spellStart"/>
      <w:r w:rsidRPr="00D15EB9">
        <w:t>tezepelumab</w:t>
      </w:r>
      <w:proofErr w:type="spellEnd"/>
      <w:r w:rsidRPr="00D15EB9">
        <w:t xml:space="preserve"> may be associated with an increased risk of coronary vascular disease. This would likely have been unexpected from the known pharmacology of </w:t>
      </w:r>
      <w:proofErr w:type="spellStart"/>
      <w:r w:rsidRPr="00D15EB9">
        <w:t>tezepelumab</w:t>
      </w:r>
      <w:proofErr w:type="spellEnd"/>
      <w:r w:rsidRPr="00D15EB9">
        <w:t xml:space="preserve">. </w:t>
      </w:r>
    </w:p>
    <w:p w14:paraId="15FED2AF" w14:textId="4D1F0403" w:rsidR="00D15EB9" w:rsidRPr="00D15EB9" w:rsidRDefault="00D15EB9" w:rsidP="00D15EB9">
      <w:r w:rsidRPr="00D15EB9">
        <w:t xml:space="preserve">All </w:t>
      </w:r>
      <w:proofErr w:type="spellStart"/>
      <w:r w:rsidRPr="00D15EB9">
        <w:t>tezepelumab</w:t>
      </w:r>
      <w:proofErr w:type="spellEnd"/>
      <w:r w:rsidRPr="00D15EB9">
        <w:t xml:space="preserve"> treated subjects who experienced a Cardiac disorder SAE had a </w:t>
      </w:r>
      <w:r w:rsidR="0023550B">
        <w:t>cardiovascular</w:t>
      </w:r>
      <w:r w:rsidRPr="00D15EB9">
        <w:t xml:space="preserve"> disorder or another </w:t>
      </w:r>
      <w:r w:rsidR="0023550B">
        <w:t>cardiovascular</w:t>
      </w:r>
      <w:r w:rsidRPr="00D15EB9">
        <w:t xml:space="preserve"> risk factor at baseline, with all having at least 2 risk factors, and over half having at least 5 cardiovascular risk factors at baseline. Similarly, the 2 placebo subjects also had risk factors with one having </w:t>
      </w:r>
      <w:r w:rsidR="0023550B">
        <w:t>2</w:t>
      </w:r>
      <w:r w:rsidRPr="00D15EB9">
        <w:t xml:space="preserve"> risk factors and the other having </w:t>
      </w:r>
      <w:r w:rsidR="0023550B">
        <w:t>6</w:t>
      </w:r>
      <w:r w:rsidRPr="00D15EB9">
        <w:t xml:space="preserve"> risk factors at baseline.</w:t>
      </w:r>
    </w:p>
    <w:p w14:paraId="6BE54D14" w14:textId="271F3A03" w:rsidR="00D15EB9" w:rsidRPr="00D15EB9" w:rsidRDefault="00D15EB9" w:rsidP="00D15EB9">
      <w:r w:rsidRPr="00D15EB9">
        <w:t>Furthermore, similar percentages of subjects in each group (</w:t>
      </w:r>
      <w:r w:rsidR="00990645">
        <w:fldChar w:fldCharType="begin"/>
      </w:r>
      <w:r w:rsidR="00990645">
        <w:instrText xml:space="preserve"> REF _Ref204352167 \h </w:instrText>
      </w:r>
      <w:r w:rsidR="00990645">
        <w:fldChar w:fldCharType="separate"/>
      </w:r>
      <w:r w:rsidR="005657B1">
        <w:t xml:space="preserve">Table </w:t>
      </w:r>
      <w:r w:rsidR="005657B1">
        <w:rPr>
          <w:noProof/>
        </w:rPr>
        <w:t>21</w:t>
      </w:r>
      <w:r w:rsidR="00990645">
        <w:fldChar w:fldCharType="end"/>
      </w:r>
      <w:r w:rsidRPr="00D15EB9">
        <w:t xml:space="preserve">) in DESTINATION were at </w:t>
      </w:r>
      <w:r w:rsidR="0023550B">
        <w:t>cardiovascular</w:t>
      </w:r>
      <w:r w:rsidRPr="00D15EB9">
        <w:t xml:space="preserve"> risk at baseline (9.6% </w:t>
      </w:r>
      <w:proofErr w:type="spellStart"/>
      <w:r w:rsidRPr="00D15EB9">
        <w:t>tezepelumab</w:t>
      </w:r>
      <w:proofErr w:type="spellEnd"/>
      <w:r w:rsidRPr="00D15EB9">
        <w:t xml:space="preserve">, 10.7% placebo and 10.2% all </w:t>
      </w:r>
      <w:proofErr w:type="spellStart"/>
      <w:r w:rsidRPr="00D15EB9">
        <w:t>tezepelumab</w:t>
      </w:r>
      <w:proofErr w:type="spellEnd"/>
      <w:r w:rsidRPr="00D15EB9">
        <w:t xml:space="preserve"> groups). Consequently, the observed numerical imbalance in serious adverse events between the </w:t>
      </w:r>
      <w:r w:rsidR="0023550B">
        <w:t>2</w:t>
      </w:r>
      <w:r w:rsidRPr="00D15EB9">
        <w:t xml:space="preserve"> treatment groups is unlikely to be due to an imbalance in baseline risk factors for </w:t>
      </w:r>
      <w:r w:rsidR="0023550B">
        <w:t>cardiovascular</w:t>
      </w:r>
      <w:r w:rsidRPr="00D15EB9">
        <w:t xml:space="preserve"> disease. There were no data for the incidence of serious cardiac adverse events in subjects with low risk of </w:t>
      </w:r>
      <w:r w:rsidR="0023550B">
        <w:t>cardiovascular</w:t>
      </w:r>
      <w:r w:rsidRPr="00D15EB9">
        <w:t xml:space="preserve"> events.</w:t>
      </w:r>
      <w:bookmarkStart w:id="100" w:name="Table_14_3"/>
    </w:p>
    <w:p w14:paraId="72E4BEF9" w14:textId="606C05B5" w:rsidR="0023550B" w:rsidRPr="00D15EB9" w:rsidRDefault="0023550B" w:rsidP="0023550B">
      <w:pPr>
        <w:pStyle w:val="TableTitle"/>
      </w:pPr>
      <w:bookmarkStart w:id="101" w:name="_Ref204352153"/>
      <w:bookmarkEnd w:id="100"/>
      <w:r>
        <w:lastRenderedPageBreak/>
        <w:t xml:space="preserve">Table </w:t>
      </w:r>
      <w:r>
        <w:fldChar w:fldCharType="begin"/>
      </w:r>
      <w:r>
        <w:instrText xml:space="preserve"> SEQ Table \* ARABIC </w:instrText>
      </w:r>
      <w:r>
        <w:fldChar w:fldCharType="separate"/>
      </w:r>
      <w:r w:rsidR="005657B1">
        <w:rPr>
          <w:noProof/>
        </w:rPr>
        <w:t>20</w:t>
      </w:r>
      <w:r>
        <w:fldChar w:fldCharType="end"/>
      </w:r>
      <w:bookmarkEnd w:id="101"/>
      <w:r>
        <w:t>: DESTINATION Serious adverse events report on-treatment with SOC of Cardiac Disorders by Preferred Term – subjects from NAVIGATOR and SOURCE (Safety analysis set)</w:t>
      </w:r>
    </w:p>
    <w:p w14:paraId="3F01FAF0" w14:textId="77777777" w:rsidR="00D15EB9" w:rsidRPr="00D15EB9" w:rsidRDefault="00D15EB9" w:rsidP="00D15EB9">
      <w:r w:rsidRPr="00D15EB9">
        <w:rPr>
          <w:noProof/>
        </w:rPr>
        <w:drawing>
          <wp:inline distT="0" distB="0" distL="0" distR="0" wp14:anchorId="19DDB4FE" wp14:editId="3C011093">
            <wp:extent cx="5931719" cy="3191773"/>
            <wp:effectExtent l="0" t="0" r="0" b="8890"/>
            <wp:docPr id="1373289392" name="Picture 12" descr="Table 20: DESTINATION Serious adverse events report on-treatment with SOC of Cardiac Disorders by Preferred Term – subjects from NAVIGATOR and SOURC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89392" name="Picture 12" descr="Table 20: DESTINATION Serious adverse events report on-treatment with SOC of Cardiac Disorders by Preferred Term – subjects from NAVIGATOR and SOURCE (Safety analysis set)"/>
                    <pic:cNvPicPr/>
                  </pic:nvPicPr>
                  <pic:blipFill>
                    <a:blip r:embed="rId49">
                      <a:extLst>
                        <a:ext uri="{28A0092B-C50C-407E-A947-70E740481C1C}">
                          <a14:useLocalDpi xmlns:a14="http://schemas.microsoft.com/office/drawing/2010/main" val="0"/>
                        </a:ext>
                      </a:extLst>
                    </a:blip>
                    <a:stretch>
                      <a:fillRect/>
                    </a:stretch>
                  </pic:blipFill>
                  <pic:spPr>
                    <a:xfrm>
                      <a:off x="0" y="0"/>
                      <a:ext cx="5965103" cy="3209736"/>
                    </a:xfrm>
                    <a:prstGeom prst="rect">
                      <a:avLst/>
                    </a:prstGeom>
                  </pic:spPr>
                </pic:pic>
              </a:graphicData>
            </a:graphic>
          </wp:inline>
        </w:drawing>
      </w:r>
    </w:p>
    <w:p w14:paraId="4A049278" w14:textId="77777777" w:rsidR="00D15EB9" w:rsidRPr="00D15EB9" w:rsidRDefault="00D15EB9" w:rsidP="00194131">
      <w:pPr>
        <w:pStyle w:val="TableDescription"/>
      </w:pPr>
      <w:r w:rsidRPr="00D15EB9">
        <w:t>a Number (</w:t>
      </w:r>
      <w:proofErr w:type="gramStart"/>
      <w:r w:rsidRPr="00D15EB9">
        <w:t>%)with</w:t>
      </w:r>
      <w:proofErr w:type="gramEnd"/>
      <w:r w:rsidRPr="00D15EB9">
        <w:t xml:space="preserve"> AEs, sorted using international order for Preferred Term (PT) by decreasing frequency in those treated with </w:t>
      </w:r>
      <w:proofErr w:type="spellStart"/>
      <w:r w:rsidRPr="00D15EB9">
        <w:t>tezepelumab</w:t>
      </w:r>
      <w:proofErr w:type="spellEnd"/>
      <w:r w:rsidRPr="00D15EB9">
        <w:t>.</w:t>
      </w:r>
    </w:p>
    <w:p w14:paraId="2C73D1CC" w14:textId="77777777" w:rsidR="00D15EB9" w:rsidRPr="00D15EB9" w:rsidRDefault="00D15EB9" w:rsidP="00194131">
      <w:pPr>
        <w:pStyle w:val="TableDescription"/>
      </w:pPr>
      <w:r w:rsidRPr="00D15EB9">
        <w:t>b Number of subjects with AEs divided by the total time at risk across all subjects in given treatment groups, multiplied by 100.</w:t>
      </w:r>
    </w:p>
    <w:p w14:paraId="72444E88" w14:textId="77777777" w:rsidR="00D15EB9" w:rsidRPr="00D15EB9" w:rsidRDefault="00D15EB9" w:rsidP="00194131">
      <w:pPr>
        <w:pStyle w:val="TableDescription"/>
      </w:pPr>
      <w:r w:rsidRPr="00D15EB9">
        <w:t xml:space="preserve">c </w:t>
      </w:r>
      <w:proofErr w:type="gramStart"/>
      <w:r w:rsidRPr="00D15EB9">
        <w:t>The</w:t>
      </w:r>
      <w:proofErr w:type="gramEnd"/>
      <w:r w:rsidRPr="00D15EB9">
        <w:t xml:space="preserve"> 95% CI of the incidence rate difference is based on the Miettinen and Nurminen's score method.</w:t>
      </w:r>
    </w:p>
    <w:p w14:paraId="4185A5ED" w14:textId="7211A66E" w:rsidR="00D15EB9" w:rsidRDefault="00D15EB9" w:rsidP="00194131">
      <w:pPr>
        <w:pStyle w:val="TableDescription"/>
      </w:pPr>
      <w:r w:rsidRPr="00D15EB9">
        <w:t xml:space="preserve">A subject can have one or more PTs reported under a given SOC. For each PT, the number and percentage of subjects reporting at least one occurrence will be presented, </w:t>
      </w:r>
      <w:r w:rsidR="00FA3415">
        <w:t>t</w:t>
      </w:r>
      <w:r w:rsidRPr="00D15EB9">
        <w:t>ie, for a subject multiple occurrences of an AE will only be counted once.</w:t>
      </w:r>
    </w:p>
    <w:p w14:paraId="0C792ABE" w14:textId="500D30FB" w:rsidR="0023550B" w:rsidRPr="00D15EB9" w:rsidRDefault="0023550B" w:rsidP="0023550B">
      <w:pPr>
        <w:pStyle w:val="TableTitle"/>
      </w:pPr>
      <w:bookmarkStart w:id="102" w:name="_Ref204352167"/>
      <w:r>
        <w:t xml:space="preserve">Table </w:t>
      </w:r>
      <w:r>
        <w:fldChar w:fldCharType="begin"/>
      </w:r>
      <w:r>
        <w:instrText xml:space="preserve"> SEQ Table \* ARABIC </w:instrText>
      </w:r>
      <w:r>
        <w:fldChar w:fldCharType="separate"/>
      </w:r>
      <w:r w:rsidR="005657B1">
        <w:rPr>
          <w:noProof/>
        </w:rPr>
        <w:t>21</w:t>
      </w:r>
      <w:r>
        <w:fldChar w:fldCharType="end"/>
      </w:r>
      <w:bookmarkEnd w:id="102"/>
      <w:r>
        <w:t>: Summary of baseline cardiovascular disorders and risk factors - subjects from both NAVIGATOR and SOURCE (Safety analysis set)</w:t>
      </w:r>
    </w:p>
    <w:p w14:paraId="60DD2408" w14:textId="77777777" w:rsidR="00D15EB9" w:rsidRPr="00D15EB9" w:rsidRDefault="00D15EB9" w:rsidP="00D15EB9">
      <w:r w:rsidRPr="00D15EB9">
        <w:rPr>
          <w:noProof/>
        </w:rPr>
        <w:drawing>
          <wp:inline distT="0" distB="0" distL="0" distR="0" wp14:anchorId="5214D94C" wp14:editId="45D860A3">
            <wp:extent cx="5751978" cy="1122218"/>
            <wp:effectExtent l="0" t="0" r="1270" b="1905"/>
            <wp:docPr id="110467738" name="Picture 1" descr="Table 21: Summary of baseline cardiovascular disorders and risk factors - subjects from both NAVIGATOR and SOURC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7738" name="Picture 1" descr="Table 21: Summary of baseline cardiovascular disorders and risk factors - subjects from both NAVIGATOR and SOURCE (Safety analysis set)"/>
                    <pic:cNvPicPr/>
                  </pic:nvPicPr>
                  <pic:blipFill>
                    <a:blip r:embed="rId50">
                      <a:extLst>
                        <a:ext uri="{28A0092B-C50C-407E-A947-70E740481C1C}">
                          <a14:useLocalDpi xmlns:a14="http://schemas.microsoft.com/office/drawing/2010/main" val="0"/>
                        </a:ext>
                      </a:extLst>
                    </a:blip>
                    <a:stretch>
                      <a:fillRect/>
                    </a:stretch>
                  </pic:blipFill>
                  <pic:spPr>
                    <a:xfrm>
                      <a:off x="0" y="0"/>
                      <a:ext cx="5813468" cy="1134215"/>
                    </a:xfrm>
                    <a:prstGeom prst="rect">
                      <a:avLst/>
                    </a:prstGeom>
                  </pic:spPr>
                </pic:pic>
              </a:graphicData>
            </a:graphic>
          </wp:inline>
        </w:drawing>
      </w:r>
    </w:p>
    <w:p w14:paraId="1EBC2BB0" w14:textId="05C2E6D4" w:rsidR="00D15EB9" w:rsidRPr="00D15EB9" w:rsidRDefault="00D15EB9" w:rsidP="00D15EB9">
      <w:r w:rsidRPr="00D15EB9">
        <w:t xml:space="preserve">The </w:t>
      </w:r>
      <w:r w:rsidR="0023550B">
        <w:t>s</w:t>
      </w:r>
      <w:r w:rsidRPr="00D15EB9">
        <w:t xml:space="preserve">ponsor’s Cardiovascular Safety Knowledge Group (CV SKG), a consultant group within AstraZeneca, independently reviewed the full package of available data relating to the serious cardiac events observed in DESTINATION. In particular, the CV SKG was requested to </w:t>
      </w:r>
      <w:r w:rsidR="00BB3DD6">
        <w:t>‘</w:t>
      </w:r>
      <w:r w:rsidRPr="00D15EB9">
        <w:t xml:space="preserve">undertake a review of the cardiovascular safety data from the DESTINATION trial, and in particular consider the observed numerical imbalance in SAEs in the SOC cardiac disorders that was seen between </w:t>
      </w:r>
      <w:proofErr w:type="spellStart"/>
      <w:r w:rsidRPr="00D15EB9">
        <w:t>tezepelumab</w:t>
      </w:r>
      <w:proofErr w:type="spellEnd"/>
      <w:r w:rsidRPr="00D15EB9">
        <w:t xml:space="preserve"> and placebo treatment arms, 17 v</w:t>
      </w:r>
      <w:r w:rsidR="00BB3DD6">
        <w:t>ersu</w:t>
      </w:r>
      <w:r w:rsidRPr="00D15EB9">
        <w:t>s 0, respectively on</w:t>
      </w:r>
      <w:r w:rsidR="00BB3DD6">
        <w:t>-</w:t>
      </w:r>
      <w:r w:rsidRPr="00D15EB9">
        <w:t>treatment (18 v</w:t>
      </w:r>
      <w:r w:rsidR="00BB3DD6">
        <w:t>ersus</w:t>
      </w:r>
      <w:r w:rsidRPr="00D15EB9">
        <w:t xml:space="preserve"> 2, respectively on</w:t>
      </w:r>
      <w:r w:rsidR="00BB3DD6">
        <w:t>-</w:t>
      </w:r>
      <w:r w:rsidRPr="00D15EB9">
        <w:t>study)</w:t>
      </w:r>
      <w:r w:rsidR="00BB3DD6">
        <w:t>’</w:t>
      </w:r>
      <w:r w:rsidRPr="00D15EB9">
        <w:t>.</w:t>
      </w:r>
    </w:p>
    <w:p w14:paraId="33E4BE2E" w14:textId="7E5A7FE4" w:rsidR="00D15EB9" w:rsidRPr="00D15EB9" w:rsidRDefault="00BB3DD6" w:rsidP="00A13593">
      <w:pPr>
        <w:pStyle w:val="Heading6"/>
      </w:pPr>
      <w:r>
        <w:lastRenderedPageBreak/>
        <w:t>S</w:t>
      </w:r>
      <w:r w:rsidR="00D15EB9" w:rsidRPr="00D15EB9">
        <w:t xml:space="preserve">ummary conclusions of the </w:t>
      </w:r>
      <w:proofErr w:type="spellStart"/>
      <w:r w:rsidR="00931234">
        <w:t>astrazeneca</w:t>
      </w:r>
      <w:proofErr w:type="spellEnd"/>
      <w:r w:rsidR="00931234">
        <w:t xml:space="preserve"> </w:t>
      </w:r>
      <w:r w:rsidR="00931234" w:rsidRPr="00D15EB9">
        <w:t>cardiovascular safety knowledge group</w:t>
      </w:r>
      <w:r w:rsidRPr="00D15EB9">
        <w:t xml:space="preserve"> </w:t>
      </w:r>
      <w:r w:rsidR="00D15EB9" w:rsidRPr="00D15EB9">
        <w:t>(1 April 2022</w:t>
      </w:r>
      <w:r>
        <w:t>)</w:t>
      </w:r>
    </w:p>
    <w:p w14:paraId="6960A9E0" w14:textId="31629679" w:rsidR="00D15EB9" w:rsidRPr="006C6A67" w:rsidRDefault="00D15EB9" w:rsidP="00931234">
      <w:r w:rsidRPr="006C6A67">
        <w:t>Following review of the available data the CV SKG finds the variable cardiac event types in the SAEs of SOC cardiac disorders in the DESTINATION study having variable onset times speak against a common pathway or a common pathophysiological mechanism.</w:t>
      </w:r>
    </w:p>
    <w:p w14:paraId="3C61D4EF" w14:textId="2E3374B4" w:rsidR="00D15EB9" w:rsidRPr="006C6A67" w:rsidRDefault="00D15EB9" w:rsidP="00931234">
      <w:r w:rsidRPr="006C6A67">
        <w:t xml:space="preserve">Seven of the SAE events seem not to be truly treatment emergent events, instead it seems they are cardiac disorders discovered by other medical reasons, and there is currently no known biological plausibility associated with </w:t>
      </w:r>
      <w:proofErr w:type="spellStart"/>
      <w:r w:rsidRPr="006C6A67">
        <w:t>tezepelumab</w:t>
      </w:r>
      <w:proofErr w:type="spellEnd"/>
      <w:r w:rsidRPr="006C6A67">
        <w:t xml:space="preserve"> that would indicate that the treatment is associated with or has contributed to an increase in the number of SOC cardiac disorders SAEs.</w:t>
      </w:r>
    </w:p>
    <w:p w14:paraId="1032B782" w14:textId="32384020" w:rsidR="00D15EB9" w:rsidRPr="006C6A67" w:rsidRDefault="00D15EB9" w:rsidP="00931234">
      <w:r w:rsidRPr="006C6A67">
        <w:t xml:space="preserve">The finding of zero SAEs in SOC cardiac disorders in the placebo treatment arm (on treatment) of the DESTINATION study seems to be an outlying result which is supported by the </w:t>
      </w:r>
      <w:r w:rsidR="00BB3DD6" w:rsidRPr="006C6A67">
        <w:t xml:space="preserve">[real world evidence] </w:t>
      </w:r>
      <w:r w:rsidRPr="006C6A67">
        <w:t>RWE data when considering the patient population with inclusion also of elderly patients, having severe asthma and prevalence of multiple CV risk factors at baseline.</w:t>
      </w:r>
    </w:p>
    <w:p w14:paraId="04B6B22C" w14:textId="2DAAA97B" w:rsidR="00D15EB9" w:rsidRPr="006C6A67" w:rsidRDefault="00D15EB9" w:rsidP="00931234">
      <w:r w:rsidRPr="006C6A67">
        <w:t>After the adjudication of all deaths by the independent committee the cause of death had changed in comparison with the Investigators assessments and assigned preferred terms in a few patients in the treatment groups and they were considered to have died due to sudden cardiac death, a CV death, according to the adjudication.</w:t>
      </w:r>
    </w:p>
    <w:p w14:paraId="6FDE0172" w14:textId="0B229D28" w:rsidR="00D15EB9" w:rsidRPr="006C6A67" w:rsidRDefault="00D15EB9" w:rsidP="00931234">
      <w:r w:rsidRPr="006C6A67">
        <w:t xml:space="preserve">The incidence rates of the investigator reported SAE cardiac disorders events including myocardial infarction were similar or lower in the </w:t>
      </w:r>
      <w:proofErr w:type="spellStart"/>
      <w:r w:rsidRPr="006C6A67">
        <w:t>tezepelumab</w:t>
      </w:r>
      <w:proofErr w:type="spellEnd"/>
      <w:r w:rsidRPr="006C6A67">
        <w:t xml:space="preserve"> arm of the DESTINATION study compared to what would be expected in this population of asthma patients according to the RWE data.</w:t>
      </w:r>
    </w:p>
    <w:p w14:paraId="32EA6CD9" w14:textId="7C46E5F6" w:rsidR="00D15EB9" w:rsidRPr="00D15EB9" w:rsidRDefault="00D15EB9" w:rsidP="00D15EB9">
      <w:r w:rsidRPr="00D15EB9">
        <w:t>The sponsor also noted the following:</w:t>
      </w:r>
    </w:p>
    <w:p w14:paraId="665E932D" w14:textId="59792292" w:rsidR="00D15EB9" w:rsidRPr="00D15EB9" w:rsidRDefault="00D15EB9" w:rsidP="00250CBF">
      <w:pPr>
        <w:pStyle w:val="ListBullet"/>
      </w:pPr>
      <w:r w:rsidRPr="00D15EB9">
        <w:t xml:space="preserve">Based on assessment of data from the </w:t>
      </w:r>
      <w:proofErr w:type="spellStart"/>
      <w:r w:rsidRPr="00D15EB9">
        <w:t>tezepelumab</w:t>
      </w:r>
      <w:proofErr w:type="spellEnd"/>
      <w:r w:rsidRPr="00D15EB9">
        <w:t xml:space="preserve"> program and published literature, the </w:t>
      </w:r>
      <w:r w:rsidR="00BB3DD6">
        <w:t>s</w:t>
      </w:r>
      <w:r w:rsidRPr="00D15EB9">
        <w:t>ponsor stated that it has not identified a plausible mechanism by which blocking TSLP would lead to cardiac pathophysiology.</w:t>
      </w:r>
    </w:p>
    <w:p w14:paraId="55411716" w14:textId="2B83C311" w:rsidR="00D15EB9" w:rsidRPr="00D15EB9" w:rsidRDefault="00D15EB9" w:rsidP="00250CBF">
      <w:pPr>
        <w:pStyle w:val="ListBullet"/>
      </w:pPr>
      <w:r w:rsidRPr="00D15EB9">
        <w:t xml:space="preserve">The </w:t>
      </w:r>
      <w:r w:rsidR="00BB3DD6">
        <w:t>s</w:t>
      </w:r>
      <w:r w:rsidRPr="00D15EB9">
        <w:t xml:space="preserve">ponsor reports that no cardiac safety concerns were identified in the </w:t>
      </w:r>
      <w:proofErr w:type="spellStart"/>
      <w:r w:rsidRPr="00D15EB9">
        <w:t>tezepelumab</w:t>
      </w:r>
      <w:proofErr w:type="spellEnd"/>
      <w:r w:rsidRPr="00D15EB9">
        <w:t xml:space="preserve"> safety pharmacology study, nonclinical toxicology studies, or tissue cross-reactivity study with human and cynomolgus monkey tissues.</w:t>
      </w:r>
    </w:p>
    <w:p w14:paraId="3D1F9CDB" w14:textId="0E4649F3" w:rsidR="00D15EB9" w:rsidRPr="00D15EB9" w:rsidRDefault="00D15EB9" w:rsidP="00250CBF">
      <w:pPr>
        <w:pStyle w:val="ListBullet"/>
      </w:pPr>
      <w:r w:rsidRPr="00D15EB9">
        <w:t xml:space="preserve">The </w:t>
      </w:r>
      <w:r w:rsidR="00BB3DD6">
        <w:t>s</w:t>
      </w:r>
      <w:r w:rsidRPr="00D15EB9">
        <w:t xml:space="preserve">ponsor reported that review of the available published data has shown that patients with severe asthma are at increased risk of experiencing </w:t>
      </w:r>
      <w:r w:rsidR="00BB3DD6">
        <w:t>cardiovascular</w:t>
      </w:r>
      <w:r w:rsidRPr="00D15EB9">
        <w:t xml:space="preserve"> events</w:t>
      </w:r>
      <w:r w:rsidR="007E4D0F">
        <w:t>.</w:t>
      </w:r>
    </w:p>
    <w:p w14:paraId="00D14CB0" w14:textId="655C1420" w:rsidR="00D15EB9" w:rsidRPr="00D15EB9" w:rsidRDefault="00D15EB9" w:rsidP="00250CBF">
      <w:pPr>
        <w:pStyle w:val="ListBullet"/>
      </w:pPr>
      <w:r w:rsidRPr="00D15EB9">
        <w:t xml:space="preserve">The </w:t>
      </w:r>
      <w:r w:rsidR="00BB3DD6">
        <w:t>s</w:t>
      </w:r>
      <w:r w:rsidRPr="00D15EB9">
        <w:t xml:space="preserve">ponsor argues that </w:t>
      </w:r>
      <w:r w:rsidR="00BB3DD6">
        <w:t>‘</w:t>
      </w:r>
      <w:r w:rsidRPr="00D15EB9">
        <w:t xml:space="preserve">Incidence rates of Cardiac disorder SOC SAEs with </w:t>
      </w:r>
      <w:proofErr w:type="spellStart"/>
      <w:r w:rsidRPr="00D15EB9">
        <w:t>tezepelumab</w:t>
      </w:r>
      <w:proofErr w:type="spellEnd"/>
      <w:r w:rsidRPr="00D15EB9">
        <w:t xml:space="preserve"> were consistent with what has been estimated based on published data with other biological medicines evaluated in severe asthma </w:t>
      </w:r>
      <w:proofErr w:type="gramStart"/>
      <w:r w:rsidRPr="00D15EB9">
        <w:t>populations</w:t>
      </w:r>
      <w:r w:rsidR="00BB3DD6">
        <w:t>’</w:t>
      </w:r>
      <w:proofErr w:type="gramEnd"/>
      <w:r w:rsidRPr="00D15EB9">
        <w:t>.</w:t>
      </w:r>
    </w:p>
    <w:p w14:paraId="7877A838" w14:textId="77777777" w:rsidR="00D15EB9" w:rsidRPr="00D15EB9" w:rsidRDefault="00D15EB9" w:rsidP="00250CBF">
      <w:pPr>
        <w:pStyle w:val="ListBullet"/>
      </w:pPr>
      <w:r w:rsidRPr="00D15EB9">
        <w:t>The sponsor provided data on background rates of cardiac events in a severe asthma population using real world data.</w:t>
      </w:r>
    </w:p>
    <w:p w14:paraId="217D5399" w14:textId="70E5F2E1" w:rsidR="00D15EB9" w:rsidRPr="00D15EB9" w:rsidRDefault="00D15EB9" w:rsidP="00250CBF">
      <w:pPr>
        <w:pStyle w:val="ListBullet"/>
      </w:pPr>
      <w:r w:rsidRPr="00D15EB9">
        <w:t xml:space="preserve">The sponsor also provided detail regarding how other regulatory agencies </w:t>
      </w:r>
      <w:r w:rsidR="00BB3DD6">
        <w:t xml:space="preserve">in the USA, Europe </w:t>
      </w:r>
      <w:r w:rsidRPr="00D15EB9">
        <w:t>and Canada have addressed the safety concerns from DESTINATION.</w:t>
      </w:r>
    </w:p>
    <w:p w14:paraId="6106E69B" w14:textId="77777777" w:rsidR="00BB3DD6" w:rsidRDefault="00D15EB9" w:rsidP="00250CBF">
      <w:pPr>
        <w:pStyle w:val="ListBullet"/>
      </w:pPr>
      <w:r w:rsidRPr="00D15EB9">
        <w:t xml:space="preserve">The incidence of cardiac SAEs is higher with </w:t>
      </w:r>
      <w:proofErr w:type="spellStart"/>
      <w:r w:rsidRPr="00D15EB9">
        <w:t>tezepelumab</w:t>
      </w:r>
      <w:proofErr w:type="spellEnd"/>
      <w:r w:rsidRPr="00D15EB9">
        <w:t xml:space="preserve"> than with placebo.</w:t>
      </w:r>
    </w:p>
    <w:p w14:paraId="5FFCDF22" w14:textId="34EAE01F" w:rsidR="00D15EB9" w:rsidRPr="00D15EB9" w:rsidRDefault="00D15EB9" w:rsidP="00BB3DD6">
      <w:pPr>
        <w:pStyle w:val="Heading6"/>
      </w:pPr>
      <w:r w:rsidRPr="00D15EB9">
        <w:t>Summary</w:t>
      </w:r>
    </w:p>
    <w:p w14:paraId="0309114B" w14:textId="0A653A0E" w:rsidR="00D15EB9" w:rsidRDefault="00D15EB9" w:rsidP="00D15EB9">
      <w:r w:rsidRPr="00D15EB9">
        <w:t xml:space="preserve">Most subjects in DESTINATION were at </w:t>
      </w:r>
      <w:r w:rsidR="00BB3DD6">
        <w:t>cardiovascular</w:t>
      </w:r>
      <w:r w:rsidRPr="00D15EB9">
        <w:t xml:space="preserve"> risk at baseline. Consequently, the observed numerical imbalance in serious adverse events between the </w:t>
      </w:r>
      <w:r w:rsidR="00BB3DD6">
        <w:t>2</w:t>
      </w:r>
      <w:r w:rsidRPr="00D15EB9">
        <w:t xml:space="preserve"> treatment groups is unlikely to be due to an imbalance in baseline risk factors for </w:t>
      </w:r>
      <w:r w:rsidR="00BB3DD6">
        <w:t>cardiovascular</w:t>
      </w:r>
      <w:r w:rsidRPr="00D15EB9">
        <w:t xml:space="preserve"> disease. The CV</w:t>
      </w:r>
      <w:r w:rsidR="00BB3DD6">
        <w:t> </w:t>
      </w:r>
      <w:r w:rsidRPr="00D15EB9">
        <w:t xml:space="preserve">SKG’s opinion does not alter </w:t>
      </w:r>
      <w:r w:rsidR="00BB3DD6">
        <w:t xml:space="preserve">or </w:t>
      </w:r>
      <w:r w:rsidRPr="00D15EB9">
        <w:t xml:space="preserve">explain the imbalance in serious cardiac events between </w:t>
      </w:r>
      <w:proofErr w:type="spellStart"/>
      <w:r w:rsidR="00BB3DD6">
        <w:t>tezepelumab</w:t>
      </w:r>
      <w:proofErr w:type="spellEnd"/>
      <w:r w:rsidR="00BB3DD6">
        <w:t>-</w:t>
      </w:r>
      <w:r w:rsidRPr="00D15EB9">
        <w:t>treated patients and placebo</w:t>
      </w:r>
      <w:r w:rsidR="00BB3DD6">
        <w:t>-</w:t>
      </w:r>
      <w:r w:rsidRPr="00D15EB9">
        <w:t xml:space="preserve">treated patients. There remains a clinically </w:t>
      </w:r>
      <w:r w:rsidRPr="00D15EB9">
        <w:lastRenderedPageBreak/>
        <w:t>meaningful increased risk of serious cardiac events, which is unexplained. The significance of this remains uncertain.</w:t>
      </w:r>
    </w:p>
    <w:p w14:paraId="0DE919FB" w14:textId="397F39AB" w:rsidR="00D15EB9" w:rsidRPr="00D15EB9" w:rsidRDefault="00D15EB9" w:rsidP="00065C54">
      <w:pPr>
        <w:pStyle w:val="Heading5"/>
      </w:pPr>
      <w:bookmarkStart w:id="103" w:name="_Toc241374326"/>
      <w:bookmarkStart w:id="104" w:name="_Ref272333048"/>
      <w:bookmarkStart w:id="105" w:name="_Toc272414679"/>
      <w:bookmarkStart w:id="106" w:name="_Toc290888543"/>
      <w:bookmarkStart w:id="107" w:name="_Toc416353758"/>
      <w:bookmarkStart w:id="108" w:name="_Toc421005301"/>
      <w:bookmarkStart w:id="109" w:name="_Toc432079182"/>
      <w:bookmarkStart w:id="110" w:name="_Toc432080755"/>
      <w:bookmarkStart w:id="111" w:name="_Toc174522533"/>
      <w:r w:rsidRPr="00D15EB9">
        <w:t>Post marketing experience</w:t>
      </w:r>
      <w:bookmarkEnd w:id="103"/>
      <w:bookmarkEnd w:id="104"/>
      <w:bookmarkEnd w:id="105"/>
      <w:bookmarkEnd w:id="106"/>
      <w:bookmarkEnd w:id="107"/>
      <w:bookmarkEnd w:id="108"/>
      <w:bookmarkEnd w:id="109"/>
      <w:bookmarkEnd w:id="110"/>
      <w:bookmarkEnd w:id="111"/>
    </w:p>
    <w:p w14:paraId="42965A59" w14:textId="65D39B0B" w:rsidR="00D15EB9" w:rsidRPr="00D15EB9" w:rsidRDefault="00D15EB9" w:rsidP="00D15EB9">
      <w:r w:rsidRPr="00D15EB9">
        <w:t xml:space="preserve">The post-marketing data for </w:t>
      </w:r>
      <w:proofErr w:type="spellStart"/>
      <w:r w:rsidRPr="00D15EB9">
        <w:t>tezepelumab</w:t>
      </w:r>
      <w:proofErr w:type="spellEnd"/>
      <w:r w:rsidRPr="00D15EB9">
        <w:t xml:space="preserve"> for the treatment of severe asthma are limited. The currently available post-marketing safety data are consistent with the clinical trial safety data included in the re-submission. No new or unexpected clinically significant safety signals have emerged from the limited post-marketing data.</w:t>
      </w:r>
    </w:p>
    <w:p w14:paraId="1D14E09A" w14:textId="295711A7" w:rsidR="00D15EB9" w:rsidRPr="00D15EB9" w:rsidRDefault="00D15EB9" w:rsidP="00065C54">
      <w:pPr>
        <w:pStyle w:val="Heading5"/>
      </w:pPr>
      <w:r w:rsidRPr="00D15EB9">
        <w:t>Additional information provided by sponsor</w:t>
      </w:r>
    </w:p>
    <w:p w14:paraId="44F9265F" w14:textId="7E83A587" w:rsidR="00D15EB9" w:rsidRPr="00D15EB9" w:rsidRDefault="00D15EB9" w:rsidP="00D15EB9">
      <w:r w:rsidRPr="00D15EB9">
        <w:t xml:space="preserve">Opinion letters from </w:t>
      </w:r>
      <w:r w:rsidR="00650F68">
        <w:t>4</w:t>
      </w:r>
      <w:r w:rsidRPr="00D15EB9">
        <w:t xml:space="preserve"> Australian key opinion leaders </w:t>
      </w:r>
      <w:r w:rsidR="00650F68">
        <w:t>were provided by the s</w:t>
      </w:r>
      <w:r w:rsidRPr="00D15EB9">
        <w:t>ponsor</w:t>
      </w:r>
      <w:r w:rsidR="000A0E59">
        <w:t xml:space="preserve"> in support of the registration of Tezspire</w:t>
      </w:r>
      <w:r w:rsidR="00650F68">
        <w:t>.</w:t>
      </w:r>
    </w:p>
    <w:p w14:paraId="2858B006" w14:textId="5A163858" w:rsidR="00C22214" w:rsidRDefault="00C22214" w:rsidP="00C22214">
      <w:pPr>
        <w:pStyle w:val="Heading3"/>
        <w:rPr>
          <w:lang w:eastAsia="en-AU"/>
        </w:rPr>
      </w:pPr>
      <w:bookmarkStart w:id="112" w:name="_Toc314842514"/>
      <w:bookmarkStart w:id="113" w:name="_Toc103679298"/>
      <w:bookmarkStart w:id="114" w:name="_Toc230164568"/>
      <w:r>
        <w:rPr>
          <w:lang w:eastAsia="en-AU"/>
        </w:rPr>
        <w:t>Risk management plan</w:t>
      </w:r>
      <w:bookmarkEnd w:id="112"/>
      <w:bookmarkEnd w:id="113"/>
      <w:bookmarkEnd w:id="114"/>
    </w:p>
    <w:p w14:paraId="39F3CD1D" w14:textId="2D8E7415" w:rsidR="0072003B" w:rsidRPr="00BD5DBD" w:rsidRDefault="00C22214" w:rsidP="00C22214">
      <w:pPr>
        <w:rPr>
          <w:szCs w:val="22"/>
        </w:rPr>
      </w:pPr>
      <w:bookmarkStart w:id="115" w:name="_Toc247691531"/>
      <w:bookmarkStart w:id="116" w:name="_Toc314842515"/>
      <w:r w:rsidRPr="00BD5DBD">
        <w:rPr>
          <w:szCs w:val="22"/>
        </w:rPr>
        <w:t xml:space="preserve">The summary of safety concerns and their associated risk monitoring and mitigation strategies </w:t>
      </w:r>
      <w:r w:rsidR="00797032">
        <w:rPr>
          <w:szCs w:val="22"/>
        </w:rPr>
        <w:t>is presented</w:t>
      </w:r>
      <w:r w:rsidRPr="00BD5DBD">
        <w:rPr>
          <w:szCs w:val="22"/>
        </w:rPr>
        <w:t xml:space="preserve"> in</w:t>
      </w:r>
      <w:r w:rsidR="00650F68">
        <w:rPr>
          <w:szCs w:val="22"/>
        </w:rPr>
        <w:t xml:space="preserve"> </w:t>
      </w:r>
      <w:r w:rsidR="00650F68">
        <w:rPr>
          <w:szCs w:val="22"/>
        </w:rPr>
        <w:fldChar w:fldCharType="begin"/>
      </w:r>
      <w:r w:rsidR="00650F68">
        <w:rPr>
          <w:szCs w:val="22"/>
        </w:rPr>
        <w:instrText xml:space="preserve"> REF _Ref97629131 \h </w:instrText>
      </w:r>
      <w:r w:rsidR="00650F68">
        <w:rPr>
          <w:szCs w:val="22"/>
        </w:rPr>
      </w:r>
      <w:r w:rsidR="00650F68">
        <w:rPr>
          <w:szCs w:val="22"/>
        </w:rPr>
        <w:fldChar w:fldCharType="separate"/>
      </w:r>
      <w:r w:rsidR="005657B1">
        <w:t xml:space="preserve">Table </w:t>
      </w:r>
      <w:r w:rsidR="005657B1">
        <w:rPr>
          <w:noProof/>
        </w:rPr>
        <w:t>22</w:t>
      </w:r>
      <w:r w:rsidR="00650F68">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w:t>
      </w:r>
      <w:r w:rsidR="00650F68">
        <w:rPr>
          <w:szCs w:val="22"/>
        </w:rPr>
        <w:t>risk management plan (</w:t>
      </w:r>
      <w:r w:rsidR="0072003B" w:rsidRPr="00BD5DBD">
        <w:rPr>
          <w:szCs w:val="22"/>
        </w:rPr>
        <w:t>RMP</w:t>
      </w:r>
      <w:r w:rsidR="00650F68">
        <w:rPr>
          <w:szCs w:val="22"/>
        </w:rPr>
        <w:t>)</w:t>
      </w:r>
      <w:r w:rsidR="0072003B" w:rsidRPr="00BD5DBD">
        <w:rPr>
          <w:szCs w:val="22"/>
        </w:rPr>
        <w:t xml:space="preserve">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40171120" w:rsidR="006A277A" w:rsidRDefault="00C22214" w:rsidP="00C22214">
      <w:pPr>
        <w:pStyle w:val="TableTitle"/>
      </w:pPr>
      <w:bookmarkStart w:id="117" w:name="_Ref97629131"/>
      <w:r>
        <w:t xml:space="preserve">Table </w:t>
      </w:r>
      <w:r w:rsidR="007F1E37">
        <w:fldChar w:fldCharType="begin"/>
      </w:r>
      <w:r w:rsidR="007F1E37">
        <w:instrText xml:space="preserve"> SEQ Table \* ARABIC </w:instrText>
      </w:r>
      <w:r w:rsidR="007F1E37">
        <w:fldChar w:fldCharType="separate"/>
      </w:r>
      <w:r w:rsidR="005657B1">
        <w:rPr>
          <w:noProof/>
        </w:rPr>
        <w:t>22</w:t>
      </w:r>
      <w:r w:rsidR="007F1E37">
        <w:rPr>
          <w:noProof/>
        </w:rPr>
        <w:fldChar w:fldCharType="end"/>
      </w:r>
      <w:bookmarkEnd w:id="117"/>
      <w:r>
        <w:t>: Summary of safety concerns</w:t>
      </w:r>
    </w:p>
    <w:tbl>
      <w:tblPr>
        <w:tblStyle w:val="TableTGAblue2023"/>
        <w:tblW w:w="9067" w:type="dxa"/>
        <w:tblLayout w:type="fixed"/>
        <w:tblLook w:val="04A0" w:firstRow="1" w:lastRow="0" w:firstColumn="1" w:lastColumn="0" w:noHBand="0" w:noVBand="1"/>
      </w:tblPr>
      <w:tblGrid>
        <w:gridCol w:w="1980"/>
        <w:gridCol w:w="1984"/>
        <w:gridCol w:w="1134"/>
        <w:gridCol w:w="1418"/>
        <w:gridCol w:w="1134"/>
        <w:gridCol w:w="1417"/>
      </w:tblGrid>
      <w:tr w:rsidR="00127A74" w:rsidRPr="007A1992" w14:paraId="359A0C59" w14:textId="77777777" w:rsidTr="00E91F1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0D14EC" w:rsidRDefault="00127A74" w:rsidP="00931234">
            <w:r w:rsidRPr="004B0FB3">
              <w:t>Summary</w:t>
            </w:r>
            <w:r w:rsidRPr="000D14EC">
              <w:t xml:space="preserve"> of safety concerns</w:t>
            </w:r>
          </w:p>
        </w:tc>
        <w:tc>
          <w:tcPr>
            <w:tcW w:w="2552" w:type="dxa"/>
            <w:gridSpan w:val="2"/>
          </w:tcPr>
          <w:p w14:paraId="596694C9" w14:textId="77777777" w:rsidR="00127A74" w:rsidRPr="000D14EC" w:rsidRDefault="00127A74" w:rsidP="00931234">
            <w:pPr>
              <w:cnfStyle w:val="100000000000" w:firstRow="1" w:lastRow="0" w:firstColumn="0" w:lastColumn="0" w:oddVBand="0" w:evenVBand="0" w:oddHBand="0" w:evenHBand="0" w:firstRowFirstColumn="0" w:firstRowLastColumn="0" w:lastRowFirstColumn="0" w:lastRowLastColumn="0"/>
            </w:pPr>
            <w:r w:rsidRPr="000D14EC">
              <w:t>Pharmacovigilance</w:t>
            </w:r>
          </w:p>
        </w:tc>
        <w:tc>
          <w:tcPr>
            <w:tcW w:w="2551" w:type="dxa"/>
            <w:gridSpan w:val="2"/>
          </w:tcPr>
          <w:p w14:paraId="4F66CB82" w14:textId="77777777" w:rsidR="00127A74" w:rsidRPr="000D14EC" w:rsidRDefault="00127A74" w:rsidP="00931234">
            <w:pPr>
              <w:cnfStyle w:val="100000000000" w:firstRow="1" w:lastRow="0" w:firstColumn="0" w:lastColumn="0" w:oddVBand="0" w:evenVBand="0" w:oddHBand="0" w:evenHBand="0" w:firstRowFirstColumn="0" w:firstRowLastColumn="0" w:lastRowFirstColumn="0" w:lastRowLastColumn="0"/>
            </w:pPr>
            <w:r w:rsidRPr="000D14EC">
              <w:t>Risk minimisation</w:t>
            </w:r>
          </w:p>
        </w:tc>
      </w:tr>
      <w:tr w:rsidR="00127A74" w:rsidRPr="007A1992" w14:paraId="12411E68" w14:textId="77777777" w:rsidTr="00E91F11">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1D88F2A" w14:textId="77777777" w:rsidR="00127A74" w:rsidRPr="000D14EC" w:rsidRDefault="00127A74" w:rsidP="00931234"/>
        </w:tc>
        <w:tc>
          <w:tcPr>
            <w:tcW w:w="1134" w:type="dxa"/>
            <w:shd w:val="clear" w:color="auto" w:fill="DEEAF6"/>
          </w:tcPr>
          <w:p w14:paraId="1BF9407C" w14:textId="77777777" w:rsidR="00127A74" w:rsidRPr="000D14EC" w:rsidRDefault="00127A74" w:rsidP="00931234">
            <w:pPr>
              <w:cnfStyle w:val="000000000000" w:firstRow="0" w:lastRow="0" w:firstColumn="0" w:lastColumn="0" w:oddVBand="0" w:evenVBand="0" w:oddHBand="0" w:evenHBand="0" w:firstRowFirstColumn="0" w:firstRowLastColumn="0" w:lastRowFirstColumn="0" w:lastRowLastColumn="0"/>
            </w:pPr>
            <w:r w:rsidRPr="000D14EC">
              <w:t>Routine</w:t>
            </w:r>
          </w:p>
        </w:tc>
        <w:tc>
          <w:tcPr>
            <w:tcW w:w="1418" w:type="dxa"/>
            <w:shd w:val="clear" w:color="auto" w:fill="DEEAF6"/>
          </w:tcPr>
          <w:p w14:paraId="442BA332" w14:textId="77777777" w:rsidR="00127A74" w:rsidRPr="000D14EC" w:rsidRDefault="00127A74" w:rsidP="00931234">
            <w:pPr>
              <w:cnfStyle w:val="000000000000" w:firstRow="0" w:lastRow="0" w:firstColumn="0" w:lastColumn="0" w:oddVBand="0" w:evenVBand="0" w:oddHBand="0" w:evenHBand="0" w:firstRowFirstColumn="0" w:firstRowLastColumn="0" w:lastRowFirstColumn="0" w:lastRowLastColumn="0"/>
            </w:pPr>
            <w:r w:rsidRPr="000D14EC">
              <w:t>Additional</w:t>
            </w:r>
          </w:p>
        </w:tc>
        <w:tc>
          <w:tcPr>
            <w:tcW w:w="1134" w:type="dxa"/>
            <w:shd w:val="clear" w:color="auto" w:fill="DEEAF6"/>
          </w:tcPr>
          <w:p w14:paraId="5920A04F" w14:textId="77777777" w:rsidR="00127A74" w:rsidRPr="000D14EC" w:rsidRDefault="00127A74" w:rsidP="00931234">
            <w:pPr>
              <w:cnfStyle w:val="000000000000" w:firstRow="0" w:lastRow="0" w:firstColumn="0" w:lastColumn="0" w:oddVBand="0" w:evenVBand="0" w:oddHBand="0" w:evenHBand="0" w:firstRowFirstColumn="0" w:firstRowLastColumn="0" w:lastRowFirstColumn="0" w:lastRowLastColumn="0"/>
            </w:pPr>
            <w:r w:rsidRPr="000D14EC">
              <w:t>Routine</w:t>
            </w:r>
          </w:p>
        </w:tc>
        <w:tc>
          <w:tcPr>
            <w:tcW w:w="1417" w:type="dxa"/>
            <w:shd w:val="clear" w:color="auto" w:fill="DEEAF6"/>
          </w:tcPr>
          <w:p w14:paraId="53B2ED29" w14:textId="77777777" w:rsidR="00127A74" w:rsidRPr="000D14EC" w:rsidRDefault="00127A74" w:rsidP="00931234">
            <w:pPr>
              <w:cnfStyle w:val="000000000000" w:firstRow="0" w:lastRow="0" w:firstColumn="0" w:lastColumn="0" w:oddVBand="0" w:evenVBand="0" w:oddHBand="0" w:evenHBand="0" w:firstRowFirstColumn="0" w:firstRowLastColumn="0" w:lastRowFirstColumn="0" w:lastRowLastColumn="0"/>
            </w:pPr>
            <w:r w:rsidRPr="000D14EC">
              <w:t>Additional</w:t>
            </w:r>
          </w:p>
        </w:tc>
      </w:tr>
      <w:tr w:rsidR="00F0390D" w:rsidRPr="007A1992" w14:paraId="05599231" w14:textId="77777777" w:rsidTr="00456D7C">
        <w:trPr>
          <w:trHeight w:val="137"/>
        </w:trPr>
        <w:tc>
          <w:tcPr>
            <w:cnfStyle w:val="001000000000" w:firstRow="0" w:lastRow="0" w:firstColumn="1" w:lastColumn="0" w:oddVBand="0" w:evenVBand="0" w:oddHBand="0" w:evenHBand="0" w:firstRowFirstColumn="0" w:firstRowLastColumn="0" w:lastRowFirstColumn="0" w:lastRowLastColumn="0"/>
            <w:tcW w:w="1980" w:type="dxa"/>
          </w:tcPr>
          <w:p w14:paraId="67382D75" w14:textId="77777777" w:rsidR="00F0390D" w:rsidRPr="00127A74" w:rsidRDefault="00F0390D" w:rsidP="00931234">
            <w:pPr>
              <w:rPr>
                <w:bCs/>
              </w:rPr>
            </w:pPr>
            <w:r w:rsidRPr="00127A74">
              <w:rPr>
                <w:bCs/>
              </w:rPr>
              <w:t>Important identified risks</w:t>
            </w:r>
          </w:p>
        </w:tc>
        <w:tc>
          <w:tcPr>
            <w:tcW w:w="1984" w:type="dxa"/>
          </w:tcPr>
          <w:p w14:paraId="7134CBC0" w14:textId="5AD22709"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t>None</w:t>
            </w:r>
          </w:p>
        </w:tc>
        <w:tc>
          <w:tcPr>
            <w:tcW w:w="1134" w:type="dxa"/>
          </w:tcPr>
          <w:p w14:paraId="11797452" w14:textId="4701897E"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7B703318" w14:textId="191262B2"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9147AD">
              <w:t>−</w:t>
            </w:r>
          </w:p>
        </w:tc>
        <w:tc>
          <w:tcPr>
            <w:tcW w:w="1134" w:type="dxa"/>
          </w:tcPr>
          <w:p w14:paraId="1A652099" w14:textId="716107A0"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9147AD">
              <w:t>−</w:t>
            </w:r>
          </w:p>
        </w:tc>
        <w:tc>
          <w:tcPr>
            <w:tcW w:w="1417" w:type="dxa"/>
          </w:tcPr>
          <w:p w14:paraId="34A0513E" w14:textId="326E7179"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9147AD">
              <w:t>−</w:t>
            </w:r>
          </w:p>
        </w:tc>
      </w:tr>
      <w:tr w:rsidR="00F0390D" w:rsidRPr="007A1992" w14:paraId="176B93B3" w14:textId="77777777" w:rsidTr="00456D7C">
        <w:trPr>
          <w:trHeight w:val="159"/>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77F0DB3E" w14:textId="77777777" w:rsidR="00F0390D" w:rsidRPr="00127A74" w:rsidRDefault="00F0390D" w:rsidP="00931234">
            <w:pPr>
              <w:rPr>
                <w:bCs/>
              </w:rPr>
            </w:pPr>
            <w:r w:rsidRPr="00127A74">
              <w:rPr>
                <w:bCs/>
              </w:rPr>
              <w:t>Important potential risks</w:t>
            </w:r>
          </w:p>
        </w:tc>
        <w:tc>
          <w:tcPr>
            <w:tcW w:w="1984" w:type="dxa"/>
          </w:tcPr>
          <w:p w14:paraId="6E17E14A" w14:textId="67C6E88E"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t>Serious infection</w:t>
            </w:r>
          </w:p>
        </w:tc>
        <w:tc>
          <w:tcPr>
            <w:tcW w:w="1134" w:type="dxa"/>
          </w:tcPr>
          <w:p w14:paraId="252AD92F" w14:textId="566CD7A6"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F83BBD">
              <w:rPr>
                <w:rFonts w:ascii="Wingdings" w:eastAsia="Wingdings" w:hAnsi="Wingdings" w:cs="Wingdings"/>
              </w:rPr>
              <w:t>ü</w:t>
            </w:r>
          </w:p>
        </w:tc>
        <w:tc>
          <w:tcPr>
            <w:tcW w:w="1418" w:type="dxa"/>
          </w:tcPr>
          <w:p w14:paraId="77DA98F1" w14:textId="5690F67E" w:rsidR="00F0390D" w:rsidRPr="002451C2" w:rsidRDefault="00720289" w:rsidP="00931234">
            <w:pPr>
              <w:cnfStyle w:val="000000000000" w:firstRow="0" w:lastRow="0" w:firstColumn="0" w:lastColumn="0" w:oddVBand="0" w:evenVBand="0" w:oddHBand="0" w:evenHBand="0" w:firstRowFirstColumn="0" w:firstRowLastColumn="0" w:lastRowFirstColumn="0" w:lastRowLastColumn="0"/>
            </w:pPr>
            <w:r w:rsidRPr="00F83BBD">
              <w:rPr>
                <w:rFonts w:ascii="Wingdings" w:eastAsia="Wingdings" w:hAnsi="Wingdings" w:cs="Wingdings"/>
              </w:rPr>
              <w:t>ü</w:t>
            </w:r>
            <w:r w:rsidR="00A16693">
              <w:t>*</w:t>
            </w:r>
          </w:p>
        </w:tc>
        <w:tc>
          <w:tcPr>
            <w:tcW w:w="1134" w:type="dxa"/>
          </w:tcPr>
          <w:p w14:paraId="182A5096" w14:textId="79EA421E"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F83BBD">
              <w:rPr>
                <w:rFonts w:ascii="Wingdings" w:eastAsia="Wingdings" w:hAnsi="Wingdings" w:cs="Wingdings"/>
              </w:rPr>
              <w:t>ü</w:t>
            </w:r>
          </w:p>
        </w:tc>
        <w:tc>
          <w:tcPr>
            <w:tcW w:w="1417" w:type="dxa"/>
          </w:tcPr>
          <w:p w14:paraId="2A6247DC" w14:textId="31DD5FEB"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5160DB">
              <w:t>−</w:t>
            </w:r>
          </w:p>
        </w:tc>
      </w:tr>
      <w:tr w:rsidR="00F0390D" w:rsidRPr="007A1992" w14:paraId="1D3B7AB5" w14:textId="77777777" w:rsidTr="00456D7C">
        <w:trPr>
          <w:trHeight w:val="122"/>
        </w:trPr>
        <w:tc>
          <w:tcPr>
            <w:cnfStyle w:val="001000000000" w:firstRow="0" w:lastRow="0" w:firstColumn="1" w:lastColumn="0" w:oddVBand="0" w:evenVBand="0" w:oddHBand="0" w:evenHBand="0" w:firstRowFirstColumn="0" w:firstRowLastColumn="0" w:lastRowFirstColumn="0" w:lastRowLastColumn="0"/>
            <w:tcW w:w="1980" w:type="dxa"/>
            <w:vMerge/>
          </w:tcPr>
          <w:p w14:paraId="150DE62A" w14:textId="77777777" w:rsidR="00F0390D" w:rsidRPr="00127A74" w:rsidRDefault="00F0390D" w:rsidP="00931234">
            <w:pPr>
              <w:rPr>
                <w:bCs/>
              </w:rPr>
            </w:pPr>
          </w:p>
        </w:tc>
        <w:tc>
          <w:tcPr>
            <w:tcW w:w="1984" w:type="dxa"/>
          </w:tcPr>
          <w:p w14:paraId="51438C35" w14:textId="18B1A9CF"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t>Serious cardiac events</w:t>
            </w:r>
          </w:p>
        </w:tc>
        <w:tc>
          <w:tcPr>
            <w:tcW w:w="1134" w:type="dxa"/>
          </w:tcPr>
          <w:p w14:paraId="2766BAE0" w14:textId="2899E7CD"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F83BBD">
              <w:rPr>
                <w:rFonts w:ascii="Wingdings" w:eastAsia="Wingdings" w:hAnsi="Wingdings" w:cs="Wingdings"/>
              </w:rPr>
              <w:t>ü</w:t>
            </w:r>
          </w:p>
        </w:tc>
        <w:tc>
          <w:tcPr>
            <w:tcW w:w="1418" w:type="dxa"/>
          </w:tcPr>
          <w:p w14:paraId="2B1BF340" w14:textId="77F0AFBC"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F83BBD">
              <w:rPr>
                <w:rFonts w:ascii="Wingdings" w:eastAsia="Wingdings" w:hAnsi="Wingdings" w:cs="Wingdings"/>
              </w:rPr>
              <w:t>ü</w:t>
            </w:r>
            <w:r w:rsidR="00A16693">
              <w:t>*</w:t>
            </w:r>
            <w:r w:rsidR="00E04D9B">
              <w:t xml:space="preserve"> ‡</w:t>
            </w:r>
          </w:p>
        </w:tc>
        <w:tc>
          <w:tcPr>
            <w:tcW w:w="1134" w:type="dxa"/>
          </w:tcPr>
          <w:p w14:paraId="6A4FA9DA" w14:textId="2AF7688B"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F83BBD">
              <w:rPr>
                <w:rFonts w:ascii="Wingdings" w:eastAsia="Wingdings" w:hAnsi="Wingdings" w:cs="Wingdings"/>
              </w:rPr>
              <w:t>ü</w:t>
            </w:r>
          </w:p>
        </w:tc>
        <w:tc>
          <w:tcPr>
            <w:tcW w:w="1417" w:type="dxa"/>
          </w:tcPr>
          <w:p w14:paraId="0D33F49A" w14:textId="14B587ED"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5160DB">
              <w:t>−</w:t>
            </w:r>
          </w:p>
        </w:tc>
      </w:tr>
      <w:tr w:rsidR="00F0390D" w:rsidRPr="007A1992" w14:paraId="6879DD51" w14:textId="77777777" w:rsidTr="00456D7C">
        <w:trPr>
          <w:trHeight w:val="112"/>
        </w:trPr>
        <w:tc>
          <w:tcPr>
            <w:cnfStyle w:val="001000000000" w:firstRow="0" w:lastRow="0" w:firstColumn="1" w:lastColumn="0" w:oddVBand="0" w:evenVBand="0" w:oddHBand="0" w:evenHBand="0" w:firstRowFirstColumn="0" w:firstRowLastColumn="0" w:lastRowFirstColumn="0" w:lastRowLastColumn="0"/>
            <w:tcW w:w="1980" w:type="dxa"/>
            <w:vMerge/>
          </w:tcPr>
          <w:p w14:paraId="0DDF4587" w14:textId="77777777" w:rsidR="00F0390D" w:rsidRPr="00127A74" w:rsidRDefault="00F0390D" w:rsidP="00931234">
            <w:pPr>
              <w:rPr>
                <w:bCs/>
              </w:rPr>
            </w:pPr>
          </w:p>
        </w:tc>
        <w:tc>
          <w:tcPr>
            <w:tcW w:w="1984" w:type="dxa"/>
          </w:tcPr>
          <w:p w14:paraId="497B025E" w14:textId="7E659601"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t>Malignancy</w:t>
            </w:r>
          </w:p>
        </w:tc>
        <w:tc>
          <w:tcPr>
            <w:tcW w:w="1134" w:type="dxa"/>
          </w:tcPr>
          <w:p w14:paraId="0F169E14" w14:textId="335E7DEA"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F83BBD">
              <w:rPr>
                <w:rFonts w:ascii="Wingdings" w:eastAsia="Wingdings" w:hAnsi="Wingdings" w:cs="Wingdings"/>
              </w:rPr>
              <w:t>ü</w:t>
            </w:r>
          </w:p>
        </w:tc>
        <w:tc>
          <w:tcPr>
            <w:tcW w:w="1418" w:type="dxa"/>
          </w:tcPr>
          <w:p w14:paraId="71BB1524" w14:textId="346BFBBB"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F83BBD">
              <w:rPr>
                <w:rFonts w:ascii="Wingdings" w:eastAsia="Wingdings" w:hAnsi="Wingdings" w:cs="Wingdings"/>
              </w:rPr>
              <w:t>ü</w:t>
            </w:r>
            <w:r w:rsidR="00A16693">
              <w:t>*</w:t>
            </w:r>
          </w:p>
        </w:tc>
        <w:tc>
          <w:tcPr>
            <w:tcW w:w="1134" w:type="dxa"/>
          </w:tcPr>
          <w:p w14:paraId="312708E7" w14:textId="7431639B"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418D6574" w14:textId="132C4280"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5160DB">
              <w:t>−</w:t>
            </w:r>
          </w:p>
        </w:tc>
      </w:tr>
      <w:tr w:rsidR="00F0390D" w:rsidRPr="007A1992" w14:paraId="74C5E610" w14:textId="77777777" w:rsidTr="00456D7C">
        <w:trPr>
          <w:trHeight w:val="178"/>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262C65E3" w14:textId="77777777" w:rsidR="00F0390D" w:rsidRPr="00127A74" w:rsidRDefault="00F0390D" w:rsidP="00931234">
            <w:pPr>
              <w:rPr>
                <w:bCs/>
              </w:rPr>
            </w:pPr>
            <w:r w:rsidRPr="00127A74">
              <w:rPr>
                <w:bCs/>
              </w:rPr>
              <w:t>Missing information</w:t>
            </w:r>
          </w:p>
        </w:tc>
        <w:tc>
          <w:tcPr>
            <w:tcW w:w="1984" w:type="dxa"/>
          </w:tcPr>
          <w:p w14:paraId="104D79CD" w14:textId="6907D59C"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t>Use in pregnant and breast-feeding women</w:t>
            </w:r>
          </w:p>
        </w:tc>
        <w:tc>
          <w:tcPr>
            <w:tcW w:w="1134" w:type="dxa"/>
          </w:tcPr>
          <w:p w14:paraId="07467A21" w14:textId="4B1136B3"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F83BBD">
              <w:rPr>
                <w:rFonts w:ascii="Wingdings" w:eastAsia="Wingdings" w:hAnsi="Wingdings" w:cs="Wingdings"/>
              </w:rPr>
              <w:t>ü</w:t>
            </w:r>
          </w:p>
        </w:tc>
        <w:tc>
          <w:tcPr>
            <w:tcW w:w="1418" w:type="dxa"/>
          </w:tcPr>
          <w:p w14:paraId="35C7F07F" w14:textId="3EE17485"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F83BBD">
              <w:rPr>
                <w:rFonts w:ascii="Wingdings" w:eastAsia="Wingdings" w:hAnsi="Wingdings" w:cs="Wingdings"/>
              </w:rPr>
              <w:t>ü</w:t>
            </w:r>
            <w:r w:rsidR="00E04D9B">
              <w:t>†</w:t>
            </w:r>
          </w:p>
        </w:tc>
        <w:tc>
          <w:tcPr>
            <w:tcW w:w="1134" w:type="dxa"/>
          </w:tcPr>
          <w:p w14:paraId="52620DEE" w14:textId="702D2A31"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F83BBD">
              <w:rPr>
                <w:rFonts w:ascii="Wingdings" w:eastAsia="Wingdings" w:hAnsi="Wingdings" w:cs="Wingdings"/>
              </w:rPr>
              <w:t>ü</w:t>
            </w:r>
          </w:p>
        </w:tc>
        <w:tc>
          <w:tcPr>
            <w:tcW w:w="1417" w:type="dxa"/>
          </w:tcPr>
          <w:p w14:paraId="16BD3C7B" w14:textId="23FFF335"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5160DB">
              <w:t>−</w:t>
            </w:r>
          </w:p>
        </w:tc>
      </w:tr>
      <w:tr w:rsidR="00F0390D" w:rsidRPr="007A1992" w14:paraId="7D0EBB55" w14:textId="77777777" w:rsidTr="00456D7C">
        <w:trPr>
          <w:trHeight w:val="103"/>
        </w:trPr>
        <w:tc>
          <w:tcPr>
            <w:cnfStyle w:val="001000000000" w:firstRow="0" w:lastRow="0" w:firstColumn="1" w:lastColumn="0" w:oddVBand="0" w:evenVBand="0" w:oddHBand="0" w:evenHBand="0" w:firstRowFirstColumn="0" w:firstRowLastColumn="0" w:lastRowFirstColumn="0" w:lastRowLastColumn="0"/>
            <w:tcW w:w="1980" w:type="dxa"/>
            <w:vMerge/>
          </w:tcPr>
          <w:p w14:paraId="51B1B281" w14:textId="77777777" w:rsidR="00F0390D" w:rsidRPr="00127A74" w:rsidRDefault="00F0390D" w:rsidP="00931234"/>
        </w:tc>
        <w:tc>
          <w:tcPr>
            <w:tcW w:w="1984" w:type="dxa"/>
          </w:tcPr>
          <w:p w14:paraId="2919CCF1" w14:textId="496CF86C"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t>Long-term use</w:t>
            </w:r>
          </w:p>
        </w:tc>
        <w:tc>
          <w:tcPr>
            <w:tcW w:w="1134" w:type="dxa"/>
          </w:tcPr>
          <w:p w14:paraId="5DD7F75D" w14:textId="6E6C4FCF"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F83BBD">
              <w:rPr>
                <w:rFonts w:ascii="Wingdings" w:eastAsia="Wingdings" w:hAnsi="Wingdings" w:cs="Wingdings"/>
              </w:rPr>
              <w:t>ü</w:t>
            </w:r>
          </w:p>
        </w:tc>
        <w:tc>
          <w:tcPr>
            <w:tcW w:w="1418" w:type="dxa"/>
          </w:tcPr>
          <w:p w14:paraId="4139A55E" w14:textId="2DA510F2"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F83BBD">
              <w:rPr>
                <w:rFonts w:ascii="Wingdings" w:eastAsia="Wingdings" w:hAnsi="Wingdings" w:cs="Wingdings"/>
              </w:rPr>
              <w:t>ü</w:t>
            </w:r>
            <w:r w:rsidR="00A16693">
              <w:t>*</w:t>
            </w:r>
          </w:p>
        </w:tc>
        <w:tc>
          <w:tcPr>
            <w:tcW w:w="1134" w:type="dxa"/>
          </w:tcPr>
          <w:p w14:paraId="5B89E748" w14:textId="618A70F6"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547A90B8" w14:textId="2D21EF67" w:rsidR="00F0390D" w:rsidRPr="00127A74" w:rsidRDefault="00F0390D" w:rsidP="00931234">
            <w:pPr>
              <w:cnfStyle w:val="000000000000" w:firstRow="0" w:lastRow="0" w:firstColumn="0" w:lastColumn="0" w:oddVBand="0" w:evenVBand="0" w:oddHBand="0" w:evenHBand="0" w:firstRowFirstColumn="0" w:firstRowLastColumn="0" w:lastRowFirstColumn="0" w:lastRowLastColumn="0"/>
            </w:pPr>
            <w:r w:rsidRPr="005160DB">
              <w:t>−</w:t>
            </w:r>
          </w:p>
        </w:tc>
      </w:tr>
    </w:tbl>
    <w:p w14:paraId="36AB652D" w14:textId="71B8CDF7" w:rsidR="005251E4" w:rsidRDefault="00650F68" w:rsidP="00650F68">
      <w:pPr>
        <w:pStyle w:val="TableDescription"/>
        <w:numPr>
          <w:ilvl w:val="0"/>
          <w:numId w:val="34"/>
        </w:numPr>
        <w:ind w:left="142" w:hanging="142"/>
      </w:pPr>
      <w:r>
        <w:t xml:space="preserve">= </w:t>
      </w:r>
      <w:r w:rsidR="0040539D">
        <w:t>Phase III study; †</w:t>
      </w:r>
      <w:r w:rsidR="00FE7A1C">
        <w:t xml:space="preserve"> </w:t>
      </w:r>
      <w:r>
        <w:t xml:space="preserve">= </w:t>
      </w:r>
      <w:r w:rsidR="000F4709">
        <w:t>Database study of use and safety; ‡</w:t>
      </w:r>
      <w:r w:rsidR="00FE7A1C">
        <w:t xml:space="preserve"> </w:t>
      </w:r>
      <w:r>
        <w:t xml:space="preserve">= </w:t>
      </w:r>
      <w:proofErr w:type="gramStart"/>
      <w:r w:rsidR="000F4709">
        <w:t>Post-authorisation</w:t>
      </w:r>
      <w:proofErr w:type="gramEnd"/>
      <w:r w:rsidR="000F4709">
        <w:t xml:space="preserve"> safety study</w:t>
      </w:r>
      <w:r w:rsidR="0040539D">
        <w:t xml:space="preserve"> </w:t>
      </w:r>
    </w:p>
    <w:p w14:paraId="5D4D6EE0" w14:textId="44DD40CF" w:rsidR="00CE2915" w:rsidRPr="00CE2915" w:rsidRDefault="00CE2915" w:rsidP="00CE2915">
      <w:r w:rsidRPr="00CE2915">
        <w:t>The RMP evaluat</w:t>
      </w:r>
      <w:r>
        <w:t>ion</w:t>
      </w:r>
      <w:r w:rsidRPr="00CE2915">
        <w:t xml:space="preserve"> noted the following:</w:t>
      </w:r>
    </w:p>
    <w:p w14:paraId="7EA36B67" w14:textId="706C572F" w:rsidR="00CE2915" w:rsidRPr="00CE2915" w:rsidRDefault="00CE2915" w:rsidP="00CE2915">
      <w:pPr>
        <w:pStyle w:val="ListBullet"/>
      </w:pPr>
      <w:r>
        <w:t>t</w:t>
      </w:r>
      <w:r w:rsidRPr="00CE2915">
        <w:t>he pharmacovigilance plan is acceptable from an RMP perspective</w:t>
      </w:r>
    </w:p>
    <w:p w14:paraId="5E5C3B10" w14:textId="14F9675E" w:rsidR="00CE2915" w:rsidRPr="00CE2915" w:rsidRDefault="00CE2915" w:rsidP="00CE2915">
      <w:pPr>
        <w:pStyle w:val="ListBullet"/>
      </w:pPr>
      <w:r>
        <w:t>r</w:t>
      </w:r>
      <w:r w:rsidRPr="00CE2915">
        <w:t xml:space="preserve">outine risk minimisation measures are planned to be implemented. The Instructions for Use document will be included in the product pack. No additional risk minimisation measures have been proposed. The risk minimisation plan is acceptable from an RMP perspective. </w:t>
      </w:r>
    </w:p>
    <w:p w14:paraId="1352BD57" w14:textId="5882149E" w:rsidR="00CE2915" w:rsidRPr="00CE2915" w:rsidRDefault="00CE2915" w:rsidP="00CE2915">
      <w:r w:rsidRPr="00CE2915">
        <w:t>The clinical evaluat</w:t>
      </w:r>
      <w:r w:rsidR="00A14851">
        <w:t>ion</w:t>
      </w:r>
      <w:r w:rsidRPr="00CE2915">
        <w:t xml:space="preserve"> and the </w:t>
      </w:r>
      <w:r w:rsidR="00A14851">
        <w:t>D</w:t>
      </w:r>
      <w:r w:rsidRPr="00CE2915">
        <w:t>elegate recommended to include serious cardiac events and fatal adverse events as important identified risks in the summary of safety concerns. Once the summary of safety concerns is updated, the revised ASA should be provided for review.</w:t>
      </w:r>
    </w:p>
    <w:p w14:paraId="683674FD" w14:textId="77777777" w:rsidR="00CE2915" w:rsidRPr="00CE2915" w:rsidRDefault="00CE2915" w:rsidP="00CE2915">
      <w:r w:rsidRPr="00CE2915">
        <w:t xml:space="preserve">As part of routine pharmacovigilance, the sponsor proposes using post-marketing targeted follow-up questionnaires for new important potential risks: Serious infections, Serious cardiac </w:t>
      </w:r>
      <w:r w:rsidRPr="00CE2915">
        <w:lastRenderedPageBreak/>
        <w:t>events, and Malignancies. Additionally, the sponsor is undertaking study D5180C00024 (SUNRISE) study and study D5180c00021 (DIRECTION) study.</w:t>
      </w:r>
    </w:p>
    <w:p w14:paraId="16E5DFAA" w14:textId="25A49F67" w:rsidR="00032A0F" w:rsidRPr="00105814" w:rsidRDefault="00032A0F" w:rsidP="003B149C">
      <w:pPr>
        <w:rPr>
          <w:rFonts w:eastAsia="Cambria" w:cs="Times New Roman"/>
          <w:i/>
          <w:szCs w:val="22"/>
        </w:rPr>
      </w:pPr>
      <w:r w:rsidRPr="00105814">
        <w:t>The RMP evaluation recommended conditions of registration relating to the versions of the risk management plan, requirement for periodic safety update reports, and inclusion of the medicine in the Black Triangle Scheme.</w:t>
      </w:r>
    </w:p>
    <w:p w14:paraId="74A4F87F" w14:textId="65FB46F7" w:rsidR="00C22214" w:rsidRDefault="00C22214" w:rsidP="00C22214">
      <w:pPr>
        <w:pStyle w:val="Heading3"/>
      </w:pPr>
      <w:bookmarkStart w:id="118" w:name="_Toc103679299"/>
      <w:bookmarkStart w:id="119" w:name="_Toc230164569"/>
      <w:r>
        <w:t>Risk-benefit analysis</w:t>
      </w:r>
      <w:bookmarkEnd w:id="115"/>
      <w:bookmarkEnd w:id="116"/>
      <w:bookmarkEnd w:id="118"/>
      <w:bookmarkEnd w:id="119"/>
    </w:p>
    <w:p w14:paraId="77DE2655" w14:textId="77777777" w:rsidR="00C22214" w:rsidRDefault="00C22214" w:rsidP="00C22214">
      <w:pPr>
        <w:pStyle w:val="Heading4"/>
      </w:pPr>
      <w:bookmarkStart w:id="120" w:name="_Toc98931932"/>
      <w:bookmarkStart w:id="121" w:name="_Toc230164570"/>
      <w:r>
        <w:t>Delegate’s considerations</w:t>
      </w:r>
      <w:bookmarkEnd w:id="120"/>
      <w:bookmarkEnd w:id="121"/>
    </w:p>
    <w:p w14:paraId="121F755B" w14:textId="77777777" w:rsidR="00DD081E" w:rsidRPr="00DD081E" w:rsidRDefault="00DD081E" w:rsidP="00DD081E">
      <w:pPr>
        <w:pStyle w:val="Heading5"/>
      </w:pPr>
      <w:r w:rsidRPr="00DD081E">
        <w:t>Discussion</w:t>
      </w:r>
    </w:p>
    <w:p w14:paraId="5BE5D2E3" w14:textId="47DBD717" w:rsidR="00DD081E" w:rsidRPr="00DD081E" w:rsidRDefault="00DD081E" w:rsidP="00DD081E">
      <w:r w:rsidRPr="00DD081E">
        <w:t>Asthma is a common heterogenous chronic respiratory condition with up to 10% of patients having severe treatment resistant asthma. Severe asthma represents a socioeconomic burden with mortality, morbidity, quality of life and healthcare costs. Optimal asthma management aims to achieve and maintain disease control, thereby improving the person’s current quality of life and reducing the future risk (risk of adverse outcomes such as exacerbations, poor control, accelerated decline in lung function and side-effects of treatment).</w:t>
      </w:r>
      <w:r w:rsidR="00761FEF" w:rsidRPr="00761FEF">
        <w:rPr>
          <w:vertAlign w:val="superscript"/>
        </w:rPr>
        <w:fldChar w:fldCharType="begin"/>
      </w:r>
      <w:r w:rsidR="00761FEF" w:rsidRPr="00761FEF">
        <w:rPr>
          <w:vertAlign w:val="superscript"/>
        </w:rPr>
        <w:instrText xml:space="preserve"> NOTEREF _Ref204090329 \h </w:instrText>
      </w:r>
      <w:r w:rsidR="00761FEF">
        <w:rPr>
          <w:vertAlign w:val="superscript"/>
        </w:rPr>
        <w:instrText xml:space="preserve"> \* MERGEFORMAT </w:instrText>
      </w:r>
      <w:r w:rsidR="00761FEF" w:rsidRPr="00761FEF">
        <w:rPr>
          <w:vertAlign w:val="superscript"/>
        </w:rPr>
      </w:r>
      <w:r w:rsidR="00761FEF" w:rsidRPr="00761FEF">
        <w:rPr>
          <w:vertAlign w:val="superscript"/>
        </w:rPr>
        <w:fldChar w:fldCharType="separate"/>
      </w:r>
      <w:r w:rsidR="005657B1">
        <w:rPr>
          <w:vertAlign w:val="superscript"/>
        </w:rPr>
        <w:t>6</w:t>
      </w:r>
      <w:r w:rsidR="00761FEF" w:rsidRPr="00761FEF">
        <w:rPr>
          <w:vertAlign w:val="superscript"/>
        </w:rPr>
        <w:fldChar w:fldCharType="end"/>
      </w:r>
      <w:r w:rsidRPr="00DD081E">
        <w:t xml:space="preserve"> There is an ever-increasing number of available treatments for asthma, including 4 currently approved biologic therapies in Australia. Tezepelumab is a new monoclonal antibody which targets thymic stromal lymphopoietin (TSLP), an epithelial cell derived cytokine that occupies an upstream position in the asthma inflammatory pathway.</w:t>
      </w:r>
    </w:p>
    <w:p w14:paraId="1AD83C76" w14:textId="77777777" w:rsidR="00DD081E" w:rsidRPr="00DD081E" w:rsidRDefault="00DD081E" w:rsidP="00DD081E">
      <w:pPr>
        <w:pStyle w:val="Heading6"/>
        <w:rPr>
          <w:rFonts w:eastAsiaTheme="minorHAnsi"/>
        </w:rPr>
      </w:pPr>
      <w:bookmarkStart w:id="122" w:name="_Toc174522519"/>
      <w:r w:rsidRPr="00DD081E">
        <w:rPr>
          <w:rFonts w:eastAsiaTheme="minorHAnsi"/>
        </w:rPr>
        <w:t>Pharmacology</w:t>
      </w:r>
    </w:p>
    <w:p w14:paraId="18C2976D" w14:textId="77777777" w:rsidR="00761FEF" w:rsidRDefault="00DD081E" w:rsidP="00DD081E">
      <w:r w:rsidRPr="00DD081E">
        <w:t xml:space="preserve">The pharmacokinetics (PK) and pharmacodynamics (PD) of </w:t>
      </w:r>
      <w:proofErr w:type="spellStart"/>
      <w:r w:rsidRPr="00DD081E">
        <w:t>tezepelumab</w:t>
      </w:r>
      <w:proofErr w:type="spellEnd"/>
      <w:r w:rsidRPr="00DD081E">
        <w:t xml:space="preserve"> have been adequately described in healthy adults, and in adolescents and adults with moderate to severe asthma.</w:t>
      </w:r>
    </w:p>
    <w:p w14:paraId="777D0CB4" w14:textId="1F725176" w:rsidR="00DD081E" w:rsidRPr="00DD081E" w:rsidRDefault="00DD081E" w:rsidP="00DD081E">
      <w:r w:rsidRPr="00DD081E">
        <w:t xml:space="preserve">The PK of </w:t>
      </w:r>
      <w:proofErr w:type="spellStart"/>
      <w:r w:rsidRPr="00DD081E">
        <w:t>tezepelumab</w:t>
      </w:r>
      <w:proofErr w:type="spellEnd"/>
      <w:r w:rsidRPr="00DD081E">
        <w:t xml:space="preserve"> were dose-proportional following administration of SC doses ranging from 2.1</w:t>
      </w:r>
      <w:r w:rsidR="00FB12DE">
        <w:t> mg</w:t>
      </w:r>
      <w:r w:rsidRPr="00DD081E">
        <w:t xml:space="preserve"> to 420</w:t>
      </w:r>
      <w:r w:rsidR="00FB12DE">
        <w:t> </w:t>
      </w:r>
      <w:r w:rsidRPr="00DD081E">
        <w:t>mg and IV doses ranging from 210</w:t>
      </w:r>
      <w:r w:rsidR="00FB12DE">
        <w:t> mg</w:t>
      </w:r>
      <w:r w:rsidRPr="00DD081E">
        <w:t xml:space="preserve"> to 700</w:t>
      </w:r>
      <w:r w:rsidR="00FB12DE">
        <w:t> </w:t>
      </w:r>
      <w:r w:rsidRPr="00DD081E">
        <w:t xml:space="preserve">mg. </w:t>
      </w:r>
      <w:r w:rsidR="00FB12DE">
        <w:t xml:space="preserve">The </w:t>
      </w:r>
      <w:r w:rsidR="00FB12DE" w:rsidRPr="00E20371">
        <w:t xml:space="preserve">maximum observed serum concentration </w:t>
      </w:r>
      <w:r w:rsidRPr="00DD081E">
        <w:t>was reached in 3</w:t>
      </w:r>
      <w:r w:rsidR="00FB12DE">
        <w:t xml:space="preserve"> </w:t>
      </w:r>
      <w:r w:rsidRPr="00DD081E">
        <w:t xml:space="preserve">to 10 days. Bioavailability was comparable when single dose </w:t>
      </w:r>
      <w:proofErr w:type="spellStart"/>
      <w:r w:rsidRPr="00DD081E">
        <w:t>tezepelumab</w:t>
      </w:r>
      <w:proofErr w:type="spellEnd"/>
      <w:r w:rsidRPr="00DD081E">
        <w:t xml:space="preserve"> </w:t>
      </w:r>
      <w:r w:rsidR="00661E83">
        <w:t>210 mg</w:t>
      </w:r>
      <w:r w:rsidRPr="00DD081E">
        <w:t xml:space="preserve"> was administered SC at different injection sites (abdomen, thigh, or upper arm) or using different devices. After repeat administration SC every 4 weeks, serum </w:t>
      </w:r>
      <w:proofErr w:type="spellStart"/>
      <w:r w:rsidRPr="00DD081E">
        <w:t>tezepelumab</w:t>
      </w:r>
      <w:proofErr w:type="spellEnd"/>
      <w:r w:rsidRPr="00DD081E">
        <w:t xml:space="preserve"> concentrations approached steady state by 12</w:t>
      </w:r>
      <w:r w:rsidR="00FB12DE">
        <w:t> </w:t>
      </w:r>
      <w:r w:rsidRPr="00DD081E">
        <w:t xml:space="preserve">weeks. After repeated SC administration of </w:t>
      </w:r>
      <w:proofErr w:type="spellStart"/>
      <w:r w:rsidRPr="00DD081E">
        <w:t>tezepelumab</w:t>
      </w:r>
      <w:proofErr w:type="spellEnd"/>
      <w:r w:rsidRPr="00DD081E">
        <w:t xml:space="preserve"> </w:t>
      </w:r>
      <w:r w:rsidR="00661E83">
        <w:t>210 mg</w:t>
      </w:r>
      <w:r w:rsidRPr="00DD081E">
        <w:t xml:space="preserve"> SC Q4W, mean steady-state concentrations were maintained until Week</w:t>
      </w:r>
      <w:r w:rsidR="00FB12DE">
        <w:t> </w:t>
      </w:r>
      <w:r w:rsidRPr="00DD081E">
        <w:t xml:space="preserve">104. The rate of elimination was in accordance with the elimination half-life of </w:t>
      </w:r>
      <w:proofErr w:type="spellStart"/>
      <w:r w:rsidRPr="00DD081E">
        <w:t>tezepelumab</w:t>
      </w:r>
      <w:proofErr w:type="spellEnd"/>
      <w:r w:rsidRPr="00DD081E">
        <w:t xml:space="preserve"> (25.5 days).</w:t>
      </w:r>
    </w:p>
    <w:p w14:paraId="135D3BD2" w14:textId="4D941B49" w:rsidR="00DD081E" w:rsidRPr="00DD081E" w:rsidRDefault="00DD081E" w:rsidP="00DD081E">
      <w:r w:rsidRPr="00DD081E">
        <w:t>There was no clinically relevant effect of age (</w:t>
      </w:r>
      <w:r w:rsidR="00FB12DE">
        <w:t xml:space="preserve">from </w:t>
      </w:r>
      <w:r w:rsidRPr="00DD081E">
        <w:t>12 years</w:t>
      </w:r>
      <w:r w:rsidR="00FB12DE">
        <w:t xml:space="preserve"> of age and older</w:t>
      </w:r>
      <w:r w:rsidRPr="00DD081E">
        <w:t>), sex, race, geographic region, weight, BMI, renal or hepatic disease, asthma severity, biomarker level or medication usage.</w:t>
      </w:r>
    </w:p>
    <w:p w14:paraId="7ACCA673" w14:textId="48374581" w:rsidR="00DD081E" w:rsidRDefault="00DD081E" w:rsidP="00DD081E">
      <w:r w:rsidRPr="00DD081E">
        <w:t xml:space="preserve">Results from clinical studies of </w:t>
      </w:r>
      <w:proofErr w:type="spellStart"/>
      <w:r w:rsidRPr="00DD081E">
        <w:t>tezepelumab</w:t>
      </w:r>
      <w:proofErr w:type="spellEnd"/>
      <w:r w:rsidRPr="00DD081E">
        <w:t xml:space="preserve"> in subjects with severe asthma demonstrated that the levels of inflammatory biomarkers (</w:t>
      </w:r>
      <w:r w:rsidR="00FB12DE">
        <w:t xml:space="preserve">for example, </w:t>
      </w:r>
      <w:r w:rsidRPr="00DD081E">
        <w:t xml:space="preserve">blood eosinophil counts, </w:t>
      </w:r>
      <w:proofErr w:type="spellStart"/>
      <w:r w:rsidRPr="00DD081E">
        <w:t>FeNO</w:t>
      </w:r>
      <w:proofErr w:type="spellEnd"/>
      <w:r w:rsidRPr="00DD081E">
        <w:t>, and total serum IgE) and cytokines (</w:t>
      </w:r>
      <w:r w:rsidR="00FB12DE">
        <w:t xml:space="preserve">for example, </w:t>
      </w:r>
      <w:r w:rsidRPr="00DD081E">
        <w:t xml:space="preserve">serum IL-5 and serum IL-13), decreased following treatment with </w:t>
      </w:r>
      <w:proofErr w:type="spellStart"/>
      <w:r w:rsidRPr="00DD081E">
        <w:t>tezepelumab</w:t>
      </w:r>
      <w:proofErr w:type="spellEnd"/>
      <w:r w:rsidRPr="00DD081E">
        <w:t xml:space="preserve"> compared with placebo. In addition, </w:t>
      </w:r>
      <w:proofErr w:type="spellStart"/>
      <w:r w:rsidRPr="00DD081E">
        <w:t>tezepelumab</w:t>
      </w:r>
      <w:proofErr w:type="spellEnd"/>
      <w:r w:rsidRPr="00DD081E">
        <w:t xml:space="preserve"> reduced airway inflammation, as measured by decreases in bronchial submucosal eosinophils compared with placebo. Tezepelumab </w:t>
      </w:r>
      <w:r w:rsidR="00FB12DE">
        <w:t>ADA</w:t>
      </w:r>
      <w:r w:rsidRPr="00DD081E">
        <w:t xml:space="preserve"> had no effects on the PK, PD (blood eosinophil counts, </w:t>
      </w:r>
      <w:proofErr w:type="spellStart"/>
      <w:r w:rsidRPr="00DD081E">
        <w:t>FeNO</w:t>
      </w:r>
      <w:proofErr w:type="spellEnd"/>
      <w:r w:rsidRPr="00DD081E">
        <w:t xml:space="preserve"> levels, and total serum IgE levels), efficacy (AAER and FEV</w:t>
      </w:r>
      <w:r w:rsidRPr="00FB12DE">
        <w:rPr>
          <w:vertAlign w:val="subscript"/>
        </w:rPr>
        <w:t>1</w:t>
      </w:r>
      <w:r w:rsidRPr="00DD081E">
        <w:t xml:space="preserve">), or safety of </w:t>
      </w:r>
      <w:proofErr w:type="spellStart"/>
      <w:r w:rsidRPr="00DD081E">
        <w:t>tezepelumab</w:t>
      </w:r>
      <w:proofErr w:type="spellEnd"/>
      <w:r w:rsidRPr="00DD081E">
        <w:t xml:space="preserve">. The humoral immune response following seasonal influenza vaccination was generally similar between the </w:t>
      </w:r>
      <w:proofErr w:type="spellStart"/>
      <w:r w:rsidRPr="00DD081E">
        <w:t>tezepelumab</w:t>
      </w:r>
      <w:proofErr w:type="spellEnd"/>
      <w:r w:rsidRPr="00DD081E">
        <w:t xml:space="preserve"> and placebo groups in adolescent and young adult subjects with moderate to severe asthma.</w:t>
      </w:r>
    </w:p>
    <w:p w14:paraId="181A8EB4" w14:textId="5C53295E" w:rsidR="00DD081E" w:rsidRPr="00DD081E" w:rsidRDefault="00DD081E" w:rsidP="00DD081E">
      <w:pPr>
        <w:pStyle w:val="Heading6"/>
        <w:rPr>
          <w:rFonts w:eastAsiaTheme="minorHAnsi"/>
        </w:rPr>
      </w:pPr>
      <w:r w:rsidRPr="00DD081E">
        <w:rPr>
          <w:rFonts w:eastAsiaTheme="minorHAnsi"/>
        </w:rPr>
        <w:lastRenderedPageBreak/>
        <w:t>Efficacy</w:t>
      </w:r>
    </w:p>
    <w:p w14:paraId="4DE14BDB" w14:textId="7923AE2B" w:rsidR="00DD081E" w:rsidRPr="00DD081E" w:rsidRDefault="00DD081E" w:rsidP="00DD081E">
      <w:r w:rsidRPr="00DD081E">
        <w:t xml:space="preserve">For efficacy interpretation of treatments in asthma, measures of exacerbation frequency, lung function and symptoms are important and are used to assess current control and future risk. The following are thought to be the </w:t>
      </w:r>
      <w:bookmarkStart w:id="123" w:name="_Hlk107674754"/>
      <w:r w:rsidRPr="00DD081E">
        <w:t>minimal clinically important difference</w:t>
      </w:r>
      <w:bookmarkEnd w:id="123"/>
      <w:r w:rsidRPr="00DD081E">
        <w:t xml:space="preserve">: </w:t>
      </w:r>
      <w:r w:rsidR="008D0CEB" w:rsidRPr="00DD081E">
        <w:t xml:space="preserve">annualised asthma exacerbations </w:t>
      </w:r>
      <w:r w:rsidR="008D0CEB">
        <w:t>rate (</w:t>
      </w:r>
      <w:r w:rsidRPr="00DD081E">
        <w:t>AAER</w:t>
      </w:r>
      <w:r w:rsidR="008D0CEB">
        <w:t>)</w:t>
      </w:r>
      <w:r w:rsidRPr="00DD081E">
        <w:t xml:space="preserve"> reduction </w:t>
      </w:r>
      <w:r w:rsidR="00FB12DE">
        <w:t>at least</w:t>
      </w:r>
      <w:r w:rsidRPr="00DD081E">
        <w:t xml:space="preserve"> 20% to 40%</w:t>
      </w:r>
      <w:r w:rsidR="00FB12DE">
        <w:t>,</w:t>
      </w:r>
      <w:bookmarkStart w:id="124" w:name="_Ref204333057"/>
      <w:r w:rsidR="00FB12DE">
        <w:rPr>
          <w:rStyle w:val="FootnoteReference"/>
        </w:rPr>
        <w:footnoteReference w:id="19"/>
      </w:r>
      <w:bookmarkEnd w:id="124"/>
      <w:r w:rsidRPr="00DD081E">
        <w:t xml:space="preserve"> FEV</w:t>
      </w:r>
      <w:r w:rsidRPr="00FB12DE">
        <w:rPr>
          <w:vertAlign w:val="subscript"/>
        </w:rPr>
        <w:t>1</w:t>
      </w:r>
      <w:r w:rsidRPr="00DD081E">
        <w:t xml:space="preserve"> change </w:t>
      </w:r>
      <w:r w:rsidR="00FB12DE">
        <w:t>at least</w:t>
      </w:r>
      <w:r w:rsidRPr="00DD081E">
        <w:t xml:space="preserve"> 0.1 to 0.2</w:t>
      </w:r>
      <w:r w:rsidR="00FB12DE">
        <w:t> </w:t>
      </w:r>
      <w:r w:rsidRPr="00DD081E">
        <w:t>L and/or 10%</w:t>
      </w:r>
      <w:r w:rsidR="00FB12DE">
        <w:t>,</w:t>
      </w:r>
      <w:r w:rsidR="00FB12DE" w:rsidRPr="00FB12DE">
        <w:rPr>
          <w:vertAlign w:val="superscript"/>
        </w:rPr>
        <w:fldChar w:fldCharType="begin"/>
      </w:r>
      <w:r w:rsidR="00FB12DE" w:rsidRPr="00FB12DE">
        <w:rPr>
          <w:vertAlign w:val="superscript"/>
        </w:rPr>
        <w:instrText xml:space="preserve"> NOTEREF _Ref204090329 \h </w:instrText>
      </w:r>
      <w:r w:rsidR="00FB12DE">
        <w:rPr>
          <w:vertAlign w:val="superscript"/>
        </w:rPr>
        <w:instrText xml:space="preserve"> \* MERGEFORMAT </w:instrText>
      </w:r>
      <w:r w:rsidR="00FB12DE" w:rsidRPr="00FB12DE">
        <w:rPr>
          <w:vertAlign w:val="superscript"/>
        </w:rPr>
      </w:r>
      <w:r w:rsidR="00FB12DE" w:rsidRPr="00FB12DE">
        <w:rPr>
          <w:vertAlign w:val="superscript"/>
        </w:rPr>
        <w:fldChar w:fldCharType="separate"/>
      </w:r>
      <w:r w:rsidR="005657B1">
        <w:rPr>
          <w:vertAlign w:val="superscript"/>
        </w:rPr>
        <w:t>6</w:t>
      </w:r>
      <w:r w:rsidR="00FB12DE" w:rsidRPr="00FB12DE">
        <w:rPr>
          <w:vertAlign w:val="superscript"/>
        </w:rPr>
        <w:fldChar w:fldCharType="end"/>
      </w:r>
      <w:r w:rsidR="00FB12DE" w:rsidRPr="00FB12DE">
        <w:rPr>
          <w:vertAlign w:val="superscript"/>
        </w:rPr>
        <w:t xml:space="preserve"> </w:t>
      </w:r>
      <w:r w:rsidR="00FB12DE" w:rsidRPr="00FB12DE">
        <w:rPr>
          <w:vertAlign w:val="superscript"/>
        </w:rPr>
        <w:fldChar w:fldCharType="begin"/>
      </w:r>
      <w:r w:rsidR="00FB12DE" w:rsidRPr="00FB12DE">
        <w:rPr>
          <w:vertAlign w:val="superscript"/>
        </w:rPr>
        <w:instrText xml:space="preserve"> NOTEREF _Ref204333057 \h </w:instrText>
      </w:r>
      <w:r w:rsidR="00FB12DE">
        <w:rPr>
          <w:vertAlign w:val="superscript"/>
        </w:rPr>
        <w:instrText xml:space="preserve"> \* MERGEFORMAT </w:instrText>
      </w:r>
      <w:r w:rsidR="00FB12DE" w:rsidRPr="00FB12DE">
        <w:rPr>
          <w:vertAlign w:val="superscript"/>
        </w:rPr>
      </w:r>
      <w:r w:rsidR="00FB12DE" w:rsidRPr="00FB12DE">
        <w:rPr>
          <w:vertAlign w:val="superscript"/>
        </w:rPr>
        <w:fldChar w:fldCharType="separate"/>
      </w:r>
      <w:r w:rsidR="005657B1">
        <w:rPr>
          <w:vertAlign w:val="superscript"/>
        </w:rPr>
        <w:t>19</w:t>
      </w:r>
      <w:r w:rsidR="00FB12DE" w:rsidRPr="00FB12DE">
        <w:rPr>
          <w:vertAlign w:val="superscript"/>
        </w:rPr>
        <w:fldChar w:fldCharType="end"/>
      </w:r>
      <w:r w:rsidRPr="00DD081E">
        <w:t xml:space="preserve"> change in AQLQ(S)+12 total score and in each domain of at </w:t>
      </w:r>
      <w:r w:rsidR="00FB12DE">
        <w:t>least −</w:t>
      </w:r>
      <w:r w:rsidRPr="00DD081E">
        <w:t>0.5 units</w:t>
      </w:r>
      <w:r w:rsidR="00FB12DE">
        <w:t>,</w:t>
      </w:r>
      <w:r w:rsidR="00FB12DE">
        <w:rPr>
          <w:rStyle w:val="FootnoteReference"/>
        </w:rPr>
        <w:footnoteReference w:id="20"/>
      </w:r>
      <w:r w:rsidRPr="00DD081E">
        <w:t xml:space="preserve"> </w:t>
      </w:r>
      <w:r w:rsidR="008D0CEB" w:rsidRPr="008D0CEB">
        <w:rPr>
          <w:vertAlign w:val="superscript"/>
        </w:rPr>
        <w:fldChar w:fldCharType="begin"/>
      </w:r>
      <w:r w:rsidR="008D0CEB" w:rsidRPr="008D0CEB">
        <w:rPr>
          <w:vertAlign w:val="superscript"/>
        </w:rPr>
        <w:instrText xml:space="preserve"> NOTEREF _Ref204090329 \h </w:instrText>
      </w:r>
      <w:r w:rsidR="008D0CEB">
        <w:rPr>
          <w:vertAlign w:val="superscript"/>
        </w:rPr>
        <w:instrText xml:space="preserve"> \* MERGEFORMAT </w:instrText>
      </w:r>
      <w:r w:rsidR="008D0CEB" w:rsidRPr="008D0CEB">
        <w:rPr>
          <w:vertAlign w:val="superscript"/>
        </w:rPr>
      </w:r>
      <w:r w:rsidR="008D0CEB" w:rsidRPr="008D0CEB">
        <w:rPr>
          <w:vertAlign w:val="superscript"/>
        </w:rPr>
        <w:fldChar w:fldCharType="separate"/>
      </w:r>
      <w:r w:rsidR="005657B1">
        <w:rPr>
          <w:vertAlign w:val="superscript"/>
        </w:rPr>
        <w:t>6</w:t>
      </w:r>
      <w:r w:rsidR="008D0CEB" w:rsidRPr="008D0CEB">
        <w:rPr>
          <w:vertAlign w:val="superscript"/>
        </w:rPr>
        <w:fldChar w:fldCharType="end"/>
      </w:r>
      <w:r w:rsidRPr="00DD081E">
        <w:t xml:space="preserve">, and changes in ACQ-6 and ASD total scores of at least </w:t>
      </w:r>
      <w:r w:rsidR="008D0CEB">
        <w:t>−</w:t>
      </w:r>
      <w:r w:rsidRPr="00DD081E">
        <w:t>0.5</w:t>
      </w:r>
      <w:r w:rsidR="008D0CEB">
        <w:t> </w:t>
      </w:r>
      <w:r w:rsidRPr="00DD081E">
        <w:t>units</w:t>
      </w:r>
      <w:r w:rsidR="008D0CEB">
        <w:t>.</w:t>
      </w:r>
      <w:r w:rsidR="008D0CEB">
        <w:rPr>
          <w:rStyle w:val="FootnoteReference"/>
        </w:rPr>
        <w:footnoteReference w:id="21"/>
      </w:r>
      <w:r w:rsidRPr="00DD081E">
        <w:t xml:space="preserve"> </w:t>
      </w:r>
      <w:r w:rsidR="008D0CEB" w:rsidRPr="008D0CEB">
        <w:rPr>
          <w:vertAlign w:val="superscript"/>
        </w:rPr>
        <w:fldChar w:fldCharType="begin"/>
      </w:r>
      <w:r w:rsidR="008D0CEB" w:rsidRPr="008D0CEB">
        <w:rPr>
          <w:vertAlign w:val="superscript"/>
        </w:rPr>
        <w:instrText xml:space="preserve"> NOTEREF _Ref204333057 \h </w:instrText>
      </w:r>
      <w:r w:rsidR="008D0CEB">
        <w:rPr>
          <w:vertAlign w:val="superscript"/>
        </w:rPr>
        <w:instrText xml:space="preserve"> \* MERGEFORMAT </w:instrText>
      </w:r>
      <w:r w:rsidR="008D0CEB" w:rsidRPr="008D0CEB">
        <w:rPr>
          <w:vertAlign w:val="superscript"/>
        </w:rPr>
      </w:r>
      <w:r w:rsidR="008D0CEB" w:rsidRPr="008D0CEB">
        <w:rPr>
          <w:vertAlign w:val="superscript"/>
        </w:rPr>
        <w:fldChar w:fldCharType="separate"/>
      </w:r>
      <w:r w:rsidR="005657B1">
        <w:rPr>
          <w:vertAlign w:val="superscript"/>
        </w:rPr>
        <w:t>19</w:t>
      </w:r>
      <w:r w:rsidR="008D0CEB" w:rsidRPr="008D0CEB">
        <w:rPr>
          <w:vertAlign w:val="superscript"/>
        </w:rPr>
        <w:fldChar w:fldCharType="end"/>
      </w:r>
    </w:p>
    <w:p w14:paraId="572800CD" w14:textId="2464139B" w:rsidR="00DD081E" w:rsidRPr="00DD081E" w:rsidRDefault="00DD081E" w:rsidP="00DD081E">
      <w:bookmarkStart w:id="125" w:name="_Hlk107755351"/>
      <w:r w:rsidRPr="00DD081E">
        <w:t>Tezepelumab (210</w:t>
      </w:r>
      <w:r w:rsidR="008D0CEB">
        <w:t> </w:t>
      </w:r>
      <w:r w:rsidRPr="00DD081E">
        <w:t>mg) treatment over 1</w:t>
      </w:r>
      <w:r w:rsidR="008D0CEB">
        <w:t> </w:t>
      </w:r>
      <w:r w:rsidRPr="00DD081E">
        <w:t xml:space="preserve">year resulted in statistically significant and clinically meaningful reductions in the rate of annualised asthma exacerbations compared to placebo in both the NAVIGATOR (56% reduction) and PATHWAY (71% reductions) studies. Treatment with </w:t>
      </w:r>
      <w:proofErr w:type="spellStart"/>
      <w:r w:rsidRPr="00DD081E">
        <w:t>tezepelumab</w:t>
      </w:r>
      <w:proofErr w:type="spellEnd"/>
      <w:r w:rsidRPr="00DD081E">
        <w:t xml:space="preserve"> resulted in reductions in subjects with both low and high blood eosinophil counts, although there is a higher rate of reduction associated with higher eosinophil counts. Similar findings are present for allergic status and </w:t>
      </w:r>
      <w:proofErr w:type="spellStart"/>
      <w:r w:rsidRPr="00DD081E">
        <w:t>F</w:t>
      </w:r>
      <w:r w:rsidR="008D0CEB">
        <w:t>e</w:t>
      </w:r>
      <w:r w:rsidRPr="00DD081E">
        <w:t>NO</w:t>
      </w:r>
      <w:proofErr w:type="spellEnd"/>
      <w:r w:rsidRPr="00DD081E">
        <w:t xml:space="preserve"> levels. Reductions in AAER are seen out to 2</w:t>
      </w:r>
      <w:r w:rsidR="008D0CEB">
        <w:t> </w:t>
      </w:r>
      <w:r w:rsidRPr="00DD081E">
        <w:t xml:space="preserve">years of continuous treatment with </w:t>
      </w:r>
      <w:proofErr w:type="spellStart"/>
      <w:r w:rsidRPr="00DD081E">
        <w:t>tezepelumab</w:t>
      </w:r>
      <w:proofErr w:type="spellEnd"/>
      <w:r w:rsidRPr="00DD081E">
        <w:t xml:space="preserve"> in the NAVIGATOR study (58% reduction).</w:t>
      </w:r>
    </w:p>
    <w:p w14:paraId="34B3960F" w14:textId="51CC3220" w:rsidR="00DD081E" w:rsidRPr="00DD081E" w:rsidRDefault="00DD081E" w:rsidP="00DD081E">
      <w:r w:rsidRPr="00DD081E">
        <w:t>Adolescent subjects also had reductions in AAER, although the magnitude of the response was less (30% at 52</w:t>
      </w:r>
      <w:r w:rsidR="00AE653C">
        <w:t> </w:t>
      </w:r>
      <w:r w:rsidRPr="00DD081E">
        <w:t>weeks, 28% at 104</w:t>
      </w:r>
      <w:r w:rsidR="00AE653C">
        <w:t> </w:t>
      </w:r>
      <w:r w:rsidRPr="00DD081E">
        <w:t>weeks) than that seen in adults.</w:t>
      </w:r>
    </w:p>
    <w:p w14:paraId="68909244" w14:textId="1BFB8FF1" w:rsidR="00DD081E" w:rsidRPr="00DD081E" w:rsidRDefault="00DD081E" w:rsidP="00DD081E">
      <w:r w:rsidRPr="00DD081E">
        <w:t xml:space="preserve">In terms of key secondary outcomes, at </w:t>
      </w:r>
      <w:r w:rsidR="00AE653C">
        <w:t>W</w:t>
      </w:r>
      <w:r w:rsidRPr="00DD081E">
        <w:t>eek</w:t>
      </w:r>
      <w:r w:rsidR="00AE653C">
        <w:t> </w:t>
      </w:r>
      <w:r w:rsidRPr="00DD081E">
        <w:t xml:space="preserve">52, </w:t>
      </w:r>
      <w:proofErr w:type="spellStart"/>
      <w:r w:rsidR="00AE653C">
        <w:t>t</w:t>
      </w:r>
      <w:r w:rsidRPr="00DD081E">
        <w:t>ezepelumab</w:t>
      </w:r>
      <w:proofErr w:type="spellEnd"/>
      <w:r w:rsidRPr="00DD081E">
        <w:t xml:space="preserve"> resulted in a mean increase of pre</w:t>
      </w:r>
      <w:r w:rsidR="00AE653C">
        <w:t>-</w:t>
      </w:r>
      <w:r w:rsidRPr="00DD081E">
        <w:t>bronchodilator FEV</w:t>
      </w:r>
      <w:r w:rsidRPr="00AE653C">
        <w:rPr>
          <w:vertAlign w:val="subscript"/>
        </w:rPr>
        <w:t>1</w:t>
      </w:r>
      <w:r w:rsidRPr="00DD081E">
        <w:t xml:space="preserve"> by 0.13</w:t>
      </w:r>
      <w:r w:rsidR="00AE653C">
        <w:t> L</w:t>
      </w:r>
      <w:r w:rsidRPr="00DD081E">
        <w:t xml:space="preserve"> in both studies, a mean difference in the ACQ-6 of </w:t>
      </w:r>
      <w:r w:rsidR="00AE653C">
        <w:t>−</w:t>
      </w:r>
      <w:r w:rsidRPr="00DD081E">
        <w:t xml:space="preserve">0.33 in NAVIGATOR and </w:t>
      </w:r>
      <w:r w:rsidR="00AE653C">
        <w:t>−</w:t>
      </w:r>
      <w:r w:rsidRPr="00DD081E">
        <w:t xml:space="preserve">0.36 in PATHWAY and a mean difference in AQLQ(S)+12 of </w:t>
      </w:r>
      <w:r w:rsidR="00AE653C">
        <w:t>−</w:t>
      </w:r>
      <w:r w:rsidRPr="00DD081E">
        <w:t xml:space="preserve">0.33 in both studies. The mean reduction in ASD in NAVIGATOR was </w:t>
      </w:r>
      <w:r w:rsidR="00AE653C">
        <w:t>−</w:t>
      </w:r>
      <w:r w:rsidRPr="00DD081E">
        <w:t xml:space="preserve">0.11. These improvements persisted through to </w:t>
      </w:r>
      <w:r w:rsidR="00AE653C">
        <w:t>W</w:t>
      </w:r>
      <w:r w:rsidRPr="00DD081E">
        <w:t>eek</w:t>
      </w:r>
      <w:r w:rsidR="00AE653C">
        <w:t> </w:t>
      </w:r>
      <w:r w:rsidRPr="00DD081E">
        <w:t>104.</w:t>
      </w:r>
    </w:p>
    <w:bookmarkEnd w:id="125"/>
    <w:p w14:paraId="0D482C39" w14:textId="76427D21" w:rsidR="00DD081E" w:rsidRPr="00DD081E" w:rsidRDefault="00DD081E" w:rsidP="00DD081E">
      <w:r w:rsidRPr="00DD081E">
        <w:t xml:space="preserve">In the oral corticosteroid reduction study SOURCE, there was no significant difference between </w:t>
      </w:r>
      <w:proofErr w:type="spellStart"/>
      <w:r w:rsidRPr="00DD081E">
        <w:t>tezepelumab</w:t>
      </w:r>
      <w:proofErr w:type="spellEnd"/>
      <w:r w:rsidRPr="00DD081E">
        <w:t xml:space="preserve"> and placebo subjects in terms of reduction in OCS usage. In both groups there is a high rate of OCS dosage reduction with 74% of </w:t>
      </w:r>
      <w:proofErr w:type="spellStart"/>
      <w:r w:rsidR="00AE653C">
        <w:t>t</w:t>
      </w:r>
      <w:r w:rsidRPr="00DD081E">
        <w:t>ezepelumab</w:t>
      </w:r>
      <w:proofErr w:type="spellEnd"/>
      <w:r w:rsidRPr="00DD081E">
        <w:t xml:space="preserve"> </w:t>
      </w:r>
      <w:r w:rsidR="00AE653C">
        <w:t xml:space="preserve">patients </w:t>
      </w:r>
      <w:r w:rsidRPr="00DD081E">
        <w:t xml:space="preserve">and 70% of placebo </w:t>
      </w:r>
      <w:r w:rsidR="00AE653C">
        <w:t xml:space="preserve">patients </w:t>
      </w:r>
      <w:r w:rsidRPr="00DD081E">
        <w:t xml:space="preserve">reducing their dose by at least 50% and about half of subjects (54% and 46% respectively) reducing their dose by </w:t>
      </w:r>
      <w:r w:rsidR="00AE653C">
        <w:t>at least</w:t>
      </w:r>
      <w:r w:rsidRPr="00DD081E">
        <w:t xml:space="preserve"> 90%. Over the </w:t>
      </w:r>
      <w:r w:rsidR="00AE653C">
        <w:t>2</w:t>
      </w:r>
      <w:r w:rsidRPr="00DD081E">
        <w:t xml:space="preserve">-year treatment period, 67% of subjects on </w:t>
      </w:r>
      <w:proofErr w:type="spellStart"/>
      <w:r w:rsidRPr="00DD081E">
        <w:t>tezepelumab</w:t>
      </w:r>
      <w:proofErr w:type="spellEnd"/>
      <w:r w:rsidRPr="00DD081E">
        <w:t xml:space="preserve"> and 47% </w:t>
      </w:r>
      <w:r w:rsidR="00AE653C">
        <w:t xml:space="preserve">of subjects </w:t>
      </w:r>
      <w:r w:rsidRPr="00DD081E">
        <w:t>on placebo reduced their OCS dose to zero by Week</w:t>
      </w:r>
      <w:r w:rsidR="00AE653C">
        <w:t> </w:t>
      </w:r>
      <w:r w:rsidRPr="00DD081E">
        <w:t xml:space="preserve">104. However, there was a benefit for patients with higher eosinophil levels. There was no subgroup effect for </w:t>
      </w:r>
      <w:proofErr w:type="spellStart"/>
      <w:r w:rsidRPr="00DD081E">
        <w:t>FeNO</w:t>
      </w:r>
      <w:proofErr w:type="spellEnd"/>
      <w:r w:rsidRPr="00DD081E">
        <w:t xml:space="preserve"> or IgE status. Regarding secondary endpoints, there was no difference in AAER, but changes in FEV</w:t>
      </w:r>
      <w:r w:rsidRPr="00AE653C">
        <w:rPr>
          <w:vertAlign w:val="subscript"/>
        </w:rPr>
        <w:t>1</w:t>
      </w:r>
      <w:r w:rsidRPr="00DD081E">
        <w:t xml:space="preserve"> (0.26L), ASQ-6 (</w:t>
      </w:r>
      <w:r w:rsidR="00AE653C">
        <w:t>−</w:t>
      </w:r>
      <w:r w:rsidRPr="00DD081E">
        <w:t>0.37), AQLQ(S)+12 (+ 0.36) and ASD (</w:t>
      </w:r>
      <w:r w:rsidR="00AE653C">
        <w:t>−</w:t>
      </w:r>
      <w:r w:rsidRPr="00DD081E">
        <w:t>0.25) were seen.</w:t>
      </w:r>
      <w:bookmarkEnd w:id="122"/>
    </w:p>
    <w:p w14:paraId="24D5414E" w14:textId="77777777" w:rsidR="00DD081E" w:rsidRPr="00DD081E" w:rsidRDefault="00DD081E" w:rsidP="00DD081E">
      <w:pPr>
        <w:pStyle w:val="Heading6"/>
        <w:rPr>
          <w:rFonts w:eastAsia="TimesNewRoman"/>
        </w:rPr>
      </w:pPr>
      <w:r w:rsidRPr="00DD081E">
        <w:rPr>
          <w:rFonts w:eastAsia="TimesNewRoman"/>
        </w:rPr>
        <w:t>Safety</w:t>
      </w:r>
    </w:p>
    <w:p w14:paraId="24370276" w14:textId="3127023A" w:rsidR="00DD081E" w:rsidRPr="00DD081E" w:rsidRDefault="00DD081E" w:rsidP="00DD081E">
      <w:r w:rsidRPr="00DD081E">
        <w:t>In the Primary Safety Pool (NAVIGATOR and PATHWAY subjects) and the SOURCE and PATH</w:t>
      </w:r>
      <w:r w:rsidR="00AE653C">
        <w:t>-</w:t>
      </w:r>
      <w:r w:rsidRPr="00DD081E">
        <w:t>HOME studies, over up to 12</w:t>
      </w:r>
      <w:r w:rsidR="00AE653C">
        <w:t> </w:t>
      </w:r>
      <w:r w:rsidRPr="00DD081E">
        <w:t xml:space="preserve">months of treatment, </w:t>
      </w:r>
      <w:proofErr w:type="spellStart"/>
      <w:r w:rsidRPr="00DD081E">
        <w:t>tezepelumab</w:t>
      </w:r>
      <w:proofErr w:type="spellEnd"/>
      <w:r w:rsidRPr="00DD081E">
        <w:t xml:space="preserve"> appeared to have a favourable safety profile. The rates of TEAEs, treatment related TEAEs, SAEs and withdrawals due to AE were similar in </w:t>
      </w:r>
      <w:proofErr w:type="spellStart"/>
      <w:r w:rsidRPr="00DD081E">
        <w:t>tezepelumab</w:t>
      </w:r>
      <w:proofErr w:type="spellEnd"/>
      <w:r w:rsidRPr="00DD081E">
        <w:t xml:space="preserve"> and placebo groups. The most frequently reported TEAEs were nasopharyngitis, upper respiratory tract infection and asthma. Most adverse events were mild or moderate in severity.</w:t>
      </w:r>
    </w:p>
    <w:p w14:paraId="6D663A63" w14:textId="70415C45" w:rsidR="00DD081E" w:rsidRPr="00DD081E" w:rsidRDefault="00DD081E" w:rsidP="00DD081E">
      <w:r w:rsidRPr="00DD081E">
        <w:t xml:space="preserve">The DESTINATION study provides safety and efficacy data out to 2 years of continuous treatment. Whilst the incidence of AEs was generally balanced between groups, there is a higher incidence rate of deaths </w:t>
      </w:r>
      <w:bookmarkStart w:id="126" w:name="_Hlk107744068"/>
      <w:r w:rsidRPr="00DD081E">
        <w:t>(on</w:t>
      </w:r>
      <w:r w:rsidR="00AE653C">
        <w:t>-</w:t>
      </w:r>
      <w:r w:rsidRPr="00DD081E">
        <w:t xml:space="preserve">treatment: </w:t>
      </w:r>
      <w:proofErr w:type="spellStart"/>
      <w:r w:rsidRPr="00DD081E">
        <w:t>tezepelumab</w:t>
      </w:r>
      <w:proofErr w:type="spellEnd"/>
      <w:r w:rsidRPr="00DD081E">
        <w:t xml:space="preserve"> 0.78, placebo 0.13; on</w:t>
      </w:r>
      <w:r w:rsidR="00AE653C">
        <w:t>-</w:t>
      </w:r>
      <w:r w:rsidRPr="00DD081E">
        <w:t xml:space="preserve">study: </w:t>
      </w:r>
      <w:proofErr w:type="spellStart"/>
      <w:r w:rsidR="00AE653C">
        <w:lastRenderedPageBreak/>
        <w:t>tezepelumab</w:t>
      </w:r>
      <w:proofErr w:type="spellEnd"/>
      <w:r w:rsidR="00AE653C">
        <w:t> </w:t>
      </w:r>
      <w:r w:rsidRPr="00DD081E">
        <w:t xml:space="preserve">0.8, placebo 0.58) </w:t>
      </w:r>
      <w:bookmarkEnd w:id="126"/>
      <w:r w:rsidRPr="00DD081E">
        <w:t>and serious cardiac disorder events (on</w:t>
      </w:r>
      <w:r w:rsidR="00AE653C">
        <w:t>-</w:t>
      </w:r>
      <w:r w:rsidRPr="00DD081E">
        <w:t xml:space="preserve">treatment: </w:t>
      </w:r>
      <w:proofErr w:type="spellStart"/>
      <w:r w:rsidR="00AE653C">
        <w:t>tezepelumab</w:t>
      </w:r>
      <w:proofErr w:type="spellEnd"/>
      <w:r w:rsidR="00AE653C">
        <w:t> </w:t>
      </w:r>
      <w:r w:rsidRPr="00DD081E">
        <w:t>1.33, placebo 0.00; on</w:t>
      </w:r>
      <w:r w:rsidR="00AE653C">
        <w:t>-</w:t>
      </w:r>
      <w:r w:rsidRPr="00DD081E">
        <w:t xml:space="preserve">study: </w:t>
      </w:r>
      <w:proofErr w:type="spellStart"/>
      <w:r w:rsidRPr="00DD081E">
        <w:t>tezepelumab</w:t>
      </w:r>
      <w:proofErr w:type="spellEnd"/>
      <w:r w:rsidRPr="00DD081E">
        <w:t xml:space="preserve"> 1.30, </w:t>
      </w:r>
      <w:proofErr w:type="spellStart"/>
      <w:r w:rsidRPr="00DD081E">
        <w:t>tezepelumab</w:t>
      </w:r>
      <w:proofErr w:type="spellEnd"/>
      <w:r w:rsidRPr="00DD081E">
        <w:t xml:space="preserve"> 0.23) in the subjects treated with </w:t>
      </w:r>
      <w:proofErr w:type="spellStart"/>
      <w:r w:rsidRPr="00DD081E">
        <w:t>tezepelumab</w:t>
      </w:r>
      <w:proofErr w:type="spellEnd"/>
      <w:r w:rsidRPr="00DD081E">
        <w:t>.</w:t>
      </w:r>
    </w:p>
    <w:p w14:paraId="05DAD9C9" w14:textId="3508AECC" w:rsidR="00DD081E" w:rsidRPr="00DD081E" w:rsidRDefault="00DD081E" w:rsidP="00DD081E">
      <w:r w:rsidRPr="00DD081E">
        <w:t xml:space="preserve">The sponsor has conducted an in-depth evaluation of the DESTINATION cardiac events and deaths, has assessed supportive clinical and nonclinical information from the </w:t>
      </w:r>
      <w:proofErr w:type="spellStart"/>
      <w:r w:rsidRPr="00DD081E">
        <w:t>tezepelumab</w:t>
      </w:r>
      <w:proofErr w:type="spellEnd"/>
      <w:r w:rsidRPr="00DD081E">
        <w:t xml:space="preserve"> program, and has contextualised the DESTINATION data by evaluating the literature, </w:t>
      </w:r>
      <w:r w:rsidR="00AE653C">
        <w:t>real-world data</w:t>
      </w:r>
      <w:r w:rsidRPr="00DD081E">
        <w:t xml:space="preserve"> in a severe asthma population, and data from other asthma biologic clinical trials in severe asthma patients.</w:t>
      </w:r>
    </w:p>
    <w:p w14:paraId="37E1A433" w14:textId="6A70B7EF" w:rsidR="00DD081E" w:rsidRPr="00DD081E" w:rsidRDefault="00DD081E" w:rsidP="00C810C2">
      <w:pPr>
        <w:pStyle w:val="Heading7"/>
        <w:spacing w:after="120"/>
      </w:pPr>
      <w:r w:rsidRPr="00DD081E">
        <w:t>Significance of the safety findings</w:t>
      </w:r>
    </w:p>
    <w:p w14:paraId="3973FEDD" w14:textId="5D6CCAC2" w:rsidR="00B620F3" w:rsidRDefault="00DD081E" w:rsidP="00B26915">
      <w:pPr>
        <w:rPr>
          <w:rFonts w:ascii="Calibri" w:hAnsi="Calibri" w:cs="Calibri"/>
          <w:lang w:eastAsia="ja-JP"/>
        </w:rPr>
      </w:pPr>
      <w:r>
        <w:t xml:space="preserve">The benefit-risk balance for </w:t>
      </w:r>
      <w:proofErr w:type="spellStart"/>
      <w:r>
        <w:t>tezepelumab</w:t>
      </w:r>
      <w:proofErr w:type="spellEnd"/>
      <w:r>
        <w:t xml:space="preserve"> is likely positive but remains uncertain. </w:t>
      </w:r>
      <w:bookmarkStart w:id="127" w:name="_Hlk113382754"/>
      <w:r>
        <w:t xml:space="preserve">While significant clinical benefit in terms of a reduced rate of asthma exacerbations has been demonstrated, along with improvements in key measures of lung function and symptom control, </w:t>
      </w:r>
      <w:bookmarkStart w:id="128" w:name="_Hlk113377159"/>
      <w:r>
        <w:t xml:space="preserve">there is an unexplained higher number of deaths and cardiac disorder serious adverse events in </w:t>
      </w:r>
      <w:proofErr w:type="spellStart"/>
      <w:r w:rsidR="00A338C7">
        <w:t>tezepelumab</w:t>
      </w:r>
      <w:proofErr w:type="spellEnd"/>
      <w:r w:rsidR="00A338C7">
        <w:t>-</w:t>
      </w:r>
      <w:r>
        <w:t xml:space="preserve">treated subjects </w:t>
      </w:r>
      <w:bookmarkEnd w:id="128"/>
      <w:r>
        <w:t xml:space="preserve">compared to placebo subjects in DESTINATION, that is apparent in the second year of treatment. The incident rate ratios for on-treatment deaths and on-treatment and on-study cardiac disorder serious adverse events shows a significant difference between the groups. Notably the trend persists despite multiple statistical analyses. However, it is also noted that the study was not powered to demonstrate statistical significance between the All </w:t>
      </w:r>
      <w:proofErr w:type="spellStart"/>
      <w:r>
        <w:t>Teze</w:t>
      </w:r>
      <w:proofErr w:type="spellEnd"/>
      <w:r>
        <w:t xml:space="preserve"> and Rand </w:t>
      </w:r>
      <w:proofErr w:type="spellStart"/>
      <w:r>
        <w:t>Pbo</w:t>
      </w:r>
      <w:proofErr w:type="spellEnd"/>
      <w:r>
        <w:t xml:space="preserve"> groups. Furthermore, no causal relationship between </w:t>
      </w:r>
      <w:proofErr w:type="spellStart"/>
      <w:r>
        <w:t>tezepelumab</w:t>
      </w:r>
      <w:proofErr w:type="spellEnd"/>
      <w:r>
        <w:t xml:space="preserve"> and these events has been established, nor has a patient population at risk of these events been identified. </w:t>
      </w:r>
      <w:r w:rsidR="00080C2F">
        <w:t xml:space="preserve">The sponsor </w:t>
      </w:r>
      <w:r w:rsidR="007D2EA7">
        <w:t>stated</w:t>
      </w:r>
      <w:r w:rsidR="00080C2F">
        <w:t xml:space="preserve"> that w</w:t>
      </w:r>
      <w:r w:rsidR="00877529" w:rsidRPr="00877529">
        <w:t xml:space="preserve">hile there is an imbalance in cardiac events, no causal relationship has been identified between </w:t>
      </w:r>
      <w:proofErr w:type="spellStart"/>
      <w:r w:rsidR="00877529" w:rsidRPr="00877529">
        <w:t>tezepelumab</w:t>
      </w:r>
      <w:proofErr w:type="spellEnd"/>
      <w:r w:rsidR="00877529" w:rsidRPr="00877529">
        <w:t xml:space="preserve"> and cardiac disorders or fatal events and benefits of </w:t>
      </w:r>
      <w:proofErr w:type="spellStart"/>
      <w:r w:rsidR="00877529" w:rsidRPr="00877529">
        <w:t>tezepelumab</w:t>
      </w:r>
      <w:proofErr w:type="spellEnd"/>
      <w:r w:rsidR="00877529" w:rsidRPr="00877529">
        <w:t xml:space="preserve"> were maintained over 104 weeks of treatment.</w:t>
      </w:r>
      <w:r w:rsidR="008F25BD">
        <w:t xml:space="preserve"> </w:t>
      </w:r>
    </w:p>
    <w:bookmarkEnd w:id="127"/>
    <w:p w14:paraId="4D509F66" w14:textId="749ABDD4" w:rsidR="00DD081E" w:rsidRPr="00DD081E" w:rsidRDefault="00DD081E" w:rsidP="00DD081E">
      <w:r>
        <w:t xml:space="preserve">The actual numbers of deaths and serious adverse cardiac events are small. The </w:t>
      </w:r>
      <w:r w:rsidR="00A338C7">
        <w:t>s</w:t>
      </w:r>
      <w:r>
        <w:t xml:space="preserve">ponsor has stated that </w:t>
      </w:r>
      <w:r w:rsidR="00A338C7">
        <w:t>‘</w:t>
      </w:r>
      <w:r>
        <w:t xml:space="preserve">Despite numerical imbalances in rates of cardiac disorders and fatal events, there was no apparent pattern in type of cardiac disorder SAEs or fatal </w:t>
      </w:r>
      <w:proofErr w:type="gramStart"/>
      <w:r>
        <w:t>events</w:t>
      </w:r>
      <w:proofErr w:type="gramEnd"/>
      <w:r>
        <w:t xml:space="preserve"> and cardiac disorder SAEs were not considered by the investigator to be causally related to the use of </w:t>
      </w:r>
      <w:proofErr w:type="spellStart"/>
      <w:r>
        <w:t>tezepelumab</w:t>
      </w:r>
      <w:proofErr w:type="spellEnd"/>
      <w:r w:rsidR="00A338C7">
        <w:t>’</w:t>
      </w:r>
      <w:r>
        <w:t xml:space="preserve">. </w:t>
      </w:r>
      <w:r w:rsidR="000A0E59">
        <w:t>T</w:t>
      </w:r>
      <w:r>
        <w:t xml:space="preserve">he sponsor has extensively investigated the numerical imbalances noting the </w:t>
      </w:r>
      <w:r w:rsidR="00A338C7">
        <w:t>‘</w:t>
      </w:r>
      <w:r>
        <w:t xml:space="preserve">imbalance in deaths was not statistically or clinically persuasive, and that the deaths may be explained by other </w:t>
      </w:r>
      <w:proofErr w:type="gramStart"/>
      <w:r>
        <w:t>factors</w:t>
      </w:r>
      <w:r w:rsidR="00A338C7">
        <w:t>’</w:t>
      </w:r>
      <w:proofErr w:type="gramEnd"/>
      <w:r>
        <w:t xml:space="preserve">. Nevertheless, given that the </w:t>
      </w:r>
      <w:proofErr w:type="spellStart"/>
      <w:r w:rsidR="00A338C7">
        <w:t>t</w:t>
      </w:r>
      <w:r>
        <w:t>ezepelumab</w:t>
      </w:r>
      <w:proofErr w:type="spellEnd"/>
      <w:r>
        <w:t xml:space="preserve"> groups and the placebo groups were well matched at baseline, these results raise the possibility of an unacceptable risk for some/all </w:t>
      </w:r>
      <w:r w:rsidR="00A338C7">
        <w:t xml:space="preserve">patients </w:t>
      </w:r>
      <w:r>
        <w:t xml:space="preserve">with severe asthma who receive treatment with </w:t>
      </w:r>
      <w:proofErr w:type="spellStart"/>
      <w:r w:rsidR="00A338C7">
        <w:t>t</w:t>
      </w:r>
      <w:r>
        <w:t>ezepelumab</w:t>
      </w:r>
      <w:proofErr w:type="spellEnd"/>
      <w:r>
        <w:t>.</w:t>
      </w:r>
    </w:p>
    <w:p w14:paraId="28FFF029" w14:textId="3884801E" w:rsidR="00DD081E" w:rsidRPr="00DD081E" w:rsidRDefault="00DD081E" w:rsidP="00DD081E">
      <w:r w:rsidRPr="00DD081E">
        <w:t xml:space="preserve">The </w:t>
      </w:r>
      <w:r w:rsidR="00A338C7">
        <w:t>s</w:t>
      </w:r>
      <w:r w:rsidRPr="00DD081E">
        <w:t xml:space="preserve">ponsor noted that there is no identified plausible mechanism by which blocking thymic stromal lymphopoietin (TSLP) would lead to cardiac pathophysiology. A literature review to assess the potential for the </w:t>
      </w:r>
      <w:proofErr w:type="spellStart"/>
      <w:r w:rsidRPr="00DD081E">
        <w:t>tezepelumab</w:t>
      </w:r>
      <w:proofErr w:type="spellEnd"/>
      <w:r w:rsidRPr="00DD081E">
        <w:t xml:space="preserve"> (anti-TSLP </w:t>
      </w:r>
      <w:proofErr w:type="spellStart"/>
      <w:r w:rsidRPr="00DD081E">
        <w:t>mAb</w:t>
      </w:r>
      <w:proofErr w:type="spellEnd"/>
      <w:r w:rsidRPr="00DD081E">
        <w:t xml:space="preserve">) mechanism to detrimentally impact the heart concluded that </w:t>
      </w:r>
      <w:r w:rsidR="00A338C7">
        <w:t>‘</w:t>
      </w:r>
      <w:r w:rsidRPr="00DD081E">
        <w:t>published literature is largely based on murine models and relevance to human pathophysiology is not known</w:t>
      </w:r>
      <w:r w:rsidR="00A338C7">
        <w:t>’</w:t>
      </w:r>
      <w:r w:rsidRPr="00DD081E">
        <w:t>. A study of the human proteome assessed human TSLPR and TSLP RNA expression in 3 datasets representing the human ventricle and atrium.</w:t>
      </w:r>
      <w:r w:rsidR="00A338C7">
        <w:rPr>
          <w:rStyle w:val="FootnoteReference"/>
        </w:rPr>
        <w:footnoteReference w:id="22"/>
      </w:r>
      <w:r w:rsidRPr="00DD081E">
        <w:t xml:space="preserve"> The study found very low expression of TSLP and TSLPR, suggesting that signalling via the TSLP receptor pathway in these tissues is very unlikely.</w:t>
      </w:r>
    </w:p>
    <w:p w14:paraId="7DAD2224" w14:textId="0A47E13A" w:rsidR="00DD081E" w:rsidRPr="00DD081E" w:rsidRDefault="00DD081E" w:rsidP="00DD081E">
      <w:bookmarkStart w:id="129" w:name="_Hlk111732412"/>
      <w:r w:rsidRPr="00DD081E">
        <w:t xml:space="preserve">The absence of TSLP expression in cardiac tissue does not exclude alternative mechanisms, such as an immunologically mediated mechanism. Emerging evidence indicates that components of type 2 immunity are involved in facilitating the healing process after tissue injury. Low eosinophil and lymphocyte counts were strongly associated with increased short-term incidence of heart failure and coronary death in a healthy population of 775,231 individuals aged 30 years </w:t>
      </w:r>
      <w:r w:rsidRPr="00DD081E">
        <w:lastRenderedPageBreak/>
        <w:t>or older.</w:t>
      </w:r>
      <w:r w:rsidR="009B0CAD">
        <w:rPr>
          <w:rStyle w:val="FootnoteReference"/>
        </w:rPr>
        <w:footnoteReference w:id="23"/>
      </w:r>
      <w:r w:rsidRPr="00DD081E">
        <w:t xml:space="preserve"> Other studies have shown a beneficial role of eosinophils in </w:t>
      </w:r>
      <w:proofErr w:type="spellStart"/>
      <w:r w:rsidRPr="00DD081E">
        <w:t>infarcting</w:t>
      </w:r>
      <w:proofErr w:type="spellEnd"/>
      <w:r w:rsidRPr="00DD081E">
        <w:t xml:space="preserve"> hearts by producing IL</w:t>
      </w:r>
      <w:r w:rsidR="00EE2E4B">
        <w:t>-</w:t>
      </w:r>
      <w:r w:rsidRPr="00DD081E">
        <w:t>4, and other molecules, mitigating the cardiac inflammatory cell profile, limiting cardiomyocyte apoptosis, modulating fibroblast activity, and regulating post-</w:t>
      </w:r>
      <w:r w:rsidR="00EE2E4B">
        <w:t>myocardial infarction</w:t>
      </w:r>
      <w:r w:rsidRPr="00DD081E">
        <w:t xml:space="preserve"> heart inflammatory cell adhesion and infiltration.</w:t>
      </w:r>
      <w:r w:rsidR="00EE2E4B">
        <w:rPr>
          <w:rStyle w:val="FootnoteReference"/>
        </w:rPr>
        <w:footnoteReference w:id="24"/>
      </w:r>
      <w:r w:rsidRPr="00DD081E">
        <w:t xml:space="preserve"> </w:t>
      </w:r>
      <w:r w:rsidR="00EE2E4B">
        <w:rPr>
          <w:rStyle w:val="FootnoteReference"/>
        </w:rPr>
        <w:footnoteReference w:id="25"/>
      </w:r>
      <w:r w:rsidRPr="00DD081E">
        <w:t xml:space="preserve"> Low eosinophil counts independently predicts cardiovascular death and correlates negatively with death rates.</w:t>
      </w:r>
      <w:r w:rsidR="00EE2E4B">
        <w:rPr>
          <w:rStyle w:val="FootnoteReference"/>
        </w:rPr>
        <w:footnoteReference w:id="26"/>
      </w:r>
    </w:p>
    <w:p w14:paraId="7603C9B1" w14:textId="20AA18CF" w:rsidR="00DD081E" w:rsidRPr="00DD081E" w:rsidRDefault="00DD081E" w:rsidP="00DD081E">
      <w:r w:rsidRPr="00DD081E">
        <w:t xml:space="preserve">The </w:t>
      </w:r>
      <w:r w:rsidR="00AF27EB">
        <w:t>s</w:t>
      </w:r>
      <w:r w:rsidRPr="00DD081E">
        <w:t xml:space="preserve">ponsor also noted that no cardiac safety concerns were identified in the </w:t>
      </w:r>
      <w:proofErr w:type="spellStart"/>
      <w:r w:rsidRPr="00DD081E">
        <w:t>tezepelumab</w:t>
      </w:r>
      <w:proofErr w:type="spellEnd"/>
      <w:r w:rsidRPr="00DD081E">
        <w:t xml:space="preserve"> safety pharmacology study, nonclinical toxicology studies, or tissue cross-reactivity study with human and cynomolgus monkey tissues. This does not exclude a possible causative mechanism in humans.</w:t>
      </w:r>
    </w:p>
    <w:p w14:paraId="0A5D8D01" w14:textId="0CCF1973" w:rsidR="00DD081E" w:rsidRPr="00DD081E" w:rsidRDefault="00DD081E" w:rsidP="00DD081E">
      <w:bookmarkStart w:id="130" w:name="_Hlk113375844"/>
      <w:r w:rsidRPr="00DD081E">
        <w:t xml:space="preserve">The </w:t>
      </w:r>
      <w:r w:rsidR="00AF27EB">
        <w:t>s</w:t>
      </w:r>
      <w:r w:rsidRPr="00DD081E">
        <w:t xml:space="preserve">ponsor also presented data for other biological treatments for asthma. On review of this information, these show that the rate of cardiac SAEs with </w:t>
      </w:r>
      <w:proofErr w:type="spellStart"/>
      <w:r w:rsidRPr="00DD081E">
        <w:t>tezepelumab</w:t>
      </w:r>
      <w:proofErr w:type="spellEnd"/>
      <w:r w:rsidRPr="00DD081E">
        <w:t xml:space="preserve"> is </w:t>
      </w:r>
      <w:proofErr w:type="gramStart"/>
      <w:r w:rsidRPr="00DD081E">
        <w:t>similar to</w:t>
      </w:r>
      <w:proofErr w:type="gramEnd"/>
      <w:r w:rsidRPr="00DD081E">
        <w:t xml:space="preserve"> other biological treatments for asthma</w:t>
      </w:r>
      <w:bookmarkEnd w:id="130"/>
      <w:r w:rsidRPr="00DD081E">
        <w:t xml:space="preserve">. This raises the possibility that medications which impact on type 2 inflammation may impact on </w:t>
      </w:r>
      <w:bookmarkStart w:id="131" w:name="_Hlk113376613"/>
      <w:r w:rsidRPr="00DD081E">
        <w:t>cardiac disorder SAEs</w:t>
      </w:r>
      <w:bookmarkEnd w:id="131"/>
      <w:r w:rsidRPr="00DD081E">
        <w:t xml:space="preserve">. Thus, rather than demonstrating no effect for </w:t>
      </w:r>
      <w:proofErr w:type="spellStart"/>
      <w:r w:rsidRPr="00DD081E">
        <w:t>tezepelumab</w:t>
      </w:r>
      <w:proofErr w:type="spellEnd"/>
      <w:r w:rsidRPr="00DD081E">
        <w:t>, it may be that other available biologics also are associated with an increased risk of cardiac disorder SAEs. Dupilumab and omalizumab also have statistically significant increased rates of cardiac disorder SAEs compared to placebo, and there be is a dose effect with dupilumab</w:t>
      </w:r>
      <w:r w:rsidR="00114AED">
        <w:t>.</w:t>
      </w:r>
    </w:p>
    <w:p w14:paraId="41F72306" w14:textId="5B4CF01E" w:rsidR="00DD081E" w:rsidRPr="00DD081E" w:rsidRDefault="00DD081E" w:rsidP="00DD081E">
      <w:r w:rsidRPr="00DD081E">
        <w:t xml:space="preserve">The placebo rate observed in DESTINATION was lower than that observed in placebo-treated subjects in other AstraZeneca trials conducted in populations with severe uncontrolled asthma. </w:t>
      </w:r>
      <w:r w:rsidRPr="00990645">
        <w:t>While this was the case for EXCELS, MENSA and the Pooled placebo database, it was not true for the placebo rate observed with dupilumab in QUEST. In QUEST, the exposure-adjusted incidence</w:t>
      </w:r>
      <w:r w:rsidRPr="00DD081E">
        <w:t xml:space="preserve"> rate per 100</w:t>
      </w:r>
      <w:r w:rsidR="003F7413">
        <w:t> </w:t>
      </w:r>
      <w:r w:rsidRPr="00DD081E">
        <w:t xml:space="preserve">subject-years in the placebo group was zero, which was the same incidence rate observed for placebo in DESTINATION. In the </w:t>
      </w:r>
      <w:proofErr w:type="spellStart"/>
      <w:r w:rsidRPr="00DD081E">
        <w:t>tezepelumab</w:t>
      </w:r>
      <w:proofErr w:type="spellEnd"/>
      <w:r w:rsidRPr="00DD081E">
        <w:t>, dupilumab and mepolizumab studies, the exposure-adjusted incidence rates per 100 subject-years were lower in the placebo group than in the active biologic comparator treatment group. Overall, the results suggest that there may be a class-effect relating to serious adverse events for biological agents used to treat asthma.</w:t>
      </w:r>
    </w:p>
    <w:p w14:paraId="410777D8" w14:textId="146D0A22" w:rsidR="00DD081E" w:rsidRPr="00DD081E" w:rsidRDefault="00DD081E" w:rsidP="00DD081E">
      <w:r w:rsidRPr="00DD081E">
        <w:t xml:space="preserve">Given the unexpected finding of an increased risk of mortality and cardiac disorder serious adverse events in </w:t>
      </w:r>
      <w:proofErr w:type="spellStart"/>
      <w:r w:rsidR="003F7413">
        <w:t>tezepelumab</w:t>
      </w:r>
      <w:proofErr w:type="spellEnd"/>
      <w:r w:rsidR="003F7413">
        <w:t>-</w:t>
      </w:r>
      <w:r w:rsidRPr="00DD081E">
        <w:t xml:space="preserve">treated subjects (and in other participants receiving biologics for severe asthma), and that these all occurred in participants </w:t>
      </w:r>
      <w:r w:rsidR="003F7413">
        <w:t>who</w:t>
      </w:r>
      <w:r w:rsidRPr="00DD081E">
        <w:t xml:space="preserve"> had underlying risk factors</w:t>
      </w:r>
      <w:r w:rsidR="003F7413">
        <w:t>,</w:t>
      </w:r>
      <w:r w:rsidRPr="00DD081E">
        <w:t xml:space="preserve"> that a causal relationship has been missed</w:t>
      </w:r>
      <w:bookmarkEnd w:id="129"/>
      <w:r w:rsidRPr="00DD081E">
        <w:t xml:space="preserve"> and warrants further consideration. It is also acknowledged that the identified numerical imbalance is a chance finding.</w:t>
      </w:r>
    </w:p>
    <w:p w14:paraId="568D6B11" w14:textId="5C32890F" w:rsidR="00DD081E" w:rsidRPr="00DD081E" w:rsidRDefault="00DD081E" w:rsidP="00DD081E">
      <w:proofErr w:type="gramStart"/>
      <w:r w:rsidRPr="00DD081E">
        <w:t>In order to</w:t>
      </w:r>
      <w:proofErr w:type="gramEnd"/>
      <w:r w:rsidRPr="00DD081E">
        <w:t xml:space="preserve"> further characterise risks associated with </w:t>
      </w:r>
      <w:proofErr w:type="spellStart"/>
      <w:r w:rsidRPr="00DD081E">
        <w:t>tezepelumab</w:t>
      </w:r>
      <w:proofErr w:type="spellEnd"/>
      <w:r w:rsidRPr="00DD081E">
        <w:t xml:space="preserve"> a post marketing questionnaire will be </w:t>
      </w:r>
      <w:proofErr w:type="gramStart"/>
      <w:r w:rsidRPr="00DD081E">
        <w:t>utilised</w:t>
      </w:r>
      <w:proofErr w:type="gramEnd"/>
      <w:r w:rsidRPr="00DD081E">
        <w:t xml:space="preserve"> and the </w:t>
      </w:r>
      <w:r w:rsidR="00E54C9F">
        <w:t>s</w:t>
      </w:r>
      <w:r w:rsidRPr="00DD081E">
        <w:t xml:space="preserve">ponsor will continue to collect serious infections </w:t>
      </w:r>
      <w:r w:rsidR="00E54C9F">
        <w:t>and</w:t>
      </w:r>
      <w:r w:rsidRPr="00DD081E">
        <w:t xml:space="preserve"> cardiac events from the following ongoing studies:</w:t>
      </w:r>
    </w:p>
    <w:p w14:paraId="0A513D9A" w14:textId="2FCABC7E" w:rsidR="00DD081E" w:rsidRPr="00DD081E" w:rsidRDefault="00DD081E" w:rsidP="00B5748A">
      <w:pPr>
        <w:pStyle w:val="ListBullet"/>
      </w:pPr>
      <w:r w:rsidRPr="00DD081E">
        <w:t>SUNRISE [OCS reduction study in severe asthma; 28-week treatment period with 12-week safety follow up; planned N = 207</w:t>
      </w:r>
      <w:r w:rsidR="00E54C9F">
        <w:t>,</w:t>
      </w:r>
      <w:r w:rsidRPr="00DD081E">
        <w:t xml:space="preserve"> randomised 2:1])</w:t>
      </w:r>
    </w:p>
    <w:p w14:paraId="69B4E8ED" w14:textId="397A9C4B" w:rsidR="00DD081E" w:rsidRPr="00DD081E" w:rsidRDefault="00DD081E" w:rsidP="00B5748A">
      <w:pPr>
        <w:pStyle w:val="ListBullet"/>
      </w:pPr>
      <w:r w:rsidRPr="00DD081E">
        <w:t>DIRECTION [China/Asia regional efficacy and safety study in severe asthma; 52-week treatment period with 12-week safety follow-up; planned N =404</w:t>
      </w:r>
      <w:r w:rsidR="00E54C9F">
        <w:t>,</w:t>
      </w:r>
      <w:r w:rsidRPr="00DD081E">
        <w:t xml:space="preserve"> randomised 1:1]).</w:t>
      </w:r>
    </w:p>
    <w:p w14:paraId="5E72A92F" w14:textId="77777777" w:rsidR="00E54C9F" w:rsidRDefault="00DD081E" w:rsidP="00DD081E">
      <w:r w:rsidRPr="00DD081E">
        <w:lastRenderedPageBreak/>
        <w:t>The sponsor has stated the following</w:t>
      </w:r>
      <w:r w:rsidR="00E54C9F">
        <w:t>:</w:t>
      </w:r>
    </w:p>
    <w:p w14:paraId="3370FCFD" w14:textId="77777777" w:rsidR="00E54C9F" w:rsidRPr="00B26915" w:rsidRDefault="00DD081E" w:rsidP="00E54C9F">
      <w:pPr>
        <w:ind w:left="720"/>
        <w:rPr>
          <w:szCs w:val="22"/>
        </w:rPr>
      </w:pPr>
      <w:r w:rsidRPr="00B26915">
        <w:rPr>
          <w:szCs w:val="22"/>
        </w:rPr>
        <w:t xml:space="preserve">The DIRECTION study supports previous assessments of benefit risk for </w:t>
      </w:r>
      <w:proofErr w:type="spellStart"/>
      <w:r w:rsidRPr="00B26915">
        <w:rPr>
          <w:szCs w:val="22"/>
        </w:rPr>
        <w:t>tezepelumab</w:t>
      </w:r>
      <w:proofErr w:type="spellEnd"/>
      <w:r w:rsidRPr="00B26915">
        <w:rPr>
          <w:szCs w:val="22"/>
        </w:rPr>
        <w:t xml:space="preserve">. This study is ongoing. Preliminary analysis following the primary database lock containing data from all patients who completed their 52-week assessment showed that the overall incidence rates of serious cardiac events were low. A total of 1 (0.5%) and 1 (0.5%) of subjects in the </w:t>
      </w:r>
      <w:proofErr w:type="spellStart"/>
      <w:r w:rsidRPr="00B26915">
        <w:rPr>
          <w:szCs w:val="22"/>
        </w:rPr>
        <w:t>tezepelumab</w:t>
      </w:r>
      <w:proofErr w:type="spellEnd"/>
      <w:r w:rsidRPr="00B26915">
        <w:rPr>
          <w:szCs w:val="22"/>
        </w:rPr>
        <w:t xml:space="preserve"> and placebo groups respectively experienced a serious cardiac event during the on-treatment period. The incidence rates for serious cardiac events were 0.51 per 100 PY and 0.54 per 100 PY in the </w:t>
      </w:r>
      <w:proofErr w:type="spellStart"/>
      <w:r w:rsidRPr="00B26915">
        <w:rPr>
          <w:szCs w:val="22"/>
        </w:rPr>
        <w:t>tezepelumab</w:t>
      </w:r>
      <w:proofErr w:type="spellEnd"/>
      <w:r w:rsidRPr="00B26915">
        <w:rPr>
          <w:szCs w:val="22"/>
        </w:rPr>
        <w:t xml:space="preserve"> and placebo groups, respectively (data on file). Thus, there was no imbalance in the rate of serious cardiac events in the DIRECTION study.</w:t>
      </w:r>
    </w:p>
    <w:p w14:paraId="5C58BDD6" w14:textId="0A6DDAD6" w:rsidR="00DD081E" w:rsidRPr="00DD081E" w:rsidRDefault="00DD081E" w:rsidP="00DD081E">
      <w:r w:rsidRPr="00DD081E">
        <w:t>Final study reports are not yet available.</w:t>
      </w:r>
    </w:p>
    <w:p w14:paraId="5377B09B" w14:textId="77777777" w:rsidR="00DD081E" w:rsidRPr="00DD081E" w:rsidRDefault="00DD081E" w:rsidP="00B5748A">
      <w:pPr>
        <w:pStyle w:val="Heading6"/>
      </w:pPr>
      <w:r w:rsidRPr="00DD081E">
        <w:t>Conclusion</w:t>
      </w:r>
    </w:p>
    <w:p w14:paraId="31BEF96F" w14:textId="05AB2113" w:rsidR="00DD081E" w:rsidRPr="00DD081E" w:rsidRDefault="00DD081E" w:rsidP="00DD081E">
      <w:r w:rsidRPr="00DD081E">
        <w:t xml:space="preserve">The benefit-risk balance for </w:t>
      </w:r>
      <w:proofErr w:type="spellStart"/>
      <w:r w:rsidRPr="00DD081E">
        <w:t>tezepelumab</w:t>
      </w:r>
      <w:proofErr w:type="spellEnd"/>
      <w:r w:rsidRPr="00DD081E">
        <w:t xml:space="preserve"> given the proposed usage is currently uncertain. Whilst significant clinical benefits are evident, there is an unexplained mortality and cardiac disorder serious adverse events risk in </w:t>
      </w:r>
      <w:proofErr w:type="spellStart"/>
      <w:r w:rsidRPr="00DD081E">
        <w:t>tezepelumab</w:t>
      </w:r>
      <w:proofErr w:type="spellEnd"/>
      <w:r w:rsidRPr="00DD081E">
        <w:t xml:space="preserve"> treated subjects.</w:t>
      </w:r>
    </w:p>
    <w:p w14:paraId="3916F296" w14:textId="77777777" w:rsidR="00C22214" w:rsidRDefault="00C22214" w:rsidP="00C22214">
      <w:pPr>
        <w:pStyle w:val="Heading4"/>
      </w:pPr>
      <w:bookmarkStart w:id="132" w:name="_Toc98931933"/>
      <w:bookmarkStart w:id="133" w:name="_Toc230164571"/>
      <w:r w:rsidRPr="00D23139">
        <w:t>Proposed action</w:t>
      </w:r>
      <w:bookmarkEnd w:id="132"/>
      <w:bookmarkEnd w:id="133"/>
    </w:p>
    <w:p w14:paraId="0BB67167" w14:textId="2AA09C8D" w:rsidR="00B5748A" w:rsidRPr="00DD081E" w:rsidRDefault="00B5748A" w:rsidP="00B5748A">
      <w:r w:rsidRPr="00DD081E">
        <w:t xml:space="preserve">It is not possible for the </w:t>
      </w:r>
      <w:r w:rsidR="00E54C9F">
        <w:t>D</w:t>
      </w:r>
      <w:r w:rsidRPr="00DD081E">
        <w:t xml:space="preserve">elegate to make a final decision as to approval </w:t>
      </w:r>
      <w:r>
        <w:t xml:space="preserve">or </w:t>
      </w:r>
      <w:r w:rsidRPr="00DD081E">
        <w:t>non</w:t>
      </w:r>
      <w:r>
        <w:t>-</w:t>
      </w:r>
      <w:r w:rsidRPr="00DD081E">
        <w:t xml:space="preserve">approval of </w:t>
      </w:r>
      <w:proofErr w:type="spellStart"/>
      <w:r w:rsidRPr="00DD081E">
        <w:t>tezepelumab</w:t>
      </w:r>
      <w:proofErr w:type="spellEnd"/>
      <w:r w:rsidRPr="00DD081E">
        <w:t xml:space="preserve">, currently given the safety concerns. Pending advice from </w:t>
      </w:r>
      <w:r w:rsidR="00E54C9F">
        <w:t xml:space="preserve">the </w:t>
      </w:r>
      <w:r w:rsidRPr="00DD081E">
        <w:t>ACM, a decision will be made.</w:t>
      </w:r>
    </w:p>
    <w:p w14:paraId="71292B05" w14:textId="77777777" w:rsidR="00B5748A" w:rsidRPr="00DD081E" w:rsidRDefault="00B5748A" w:rsidP="00B5748A">
      <w:r w:rsidRPr="00DD081E">
        <w:t xml:space="preserve">If </w:t>
      </w:r>
      <w:proofErr w:type="spellStart"/>
      <w:r w:rsidRPr="00DD081E">
        <w:t>tezepelumab</w:t>
      </w:r>
      <w:proofErr w:type="spellEnd"/>
      <w:r w:rsidRPr="00DD081E">
        <w:t xml:space="preserve"> is approved the wording of the indication will be reviewed. The following is suggested (proposed changes are underlined):</w:t>
      </w:r>
    </w:p>
    <w:p w14:paraId="4C8155DB" w14:textId="77777777" w:rsidR="00B5748A" w:rsidRPr="00760A27" w:rsidRDefault="00B5748A" w:rsidP="009C3FA2">
      <w:pPr>
        <w:ind w:left="720"/>
      </w:pPr>
      <w:r w:rsidRPr="00DD081E">
        <w:t xml:space="preserve">Tezspire is indicated as an add-on maintenance treatment in adults and adolescents 12 years and older with severe </w:t>
      </w:r>
      <w:r w:rsidRPr="00760A27">
        <w:t>asthma who are inadequately controlled despite optimally managed asthma including high dose inhaled corticosteroids plus another non steroid medicinal product for maintenance treatment.</w:t>
      </w:r>
    </w:p>
    <w:p w14:paraId="18C795C4" w14:textId="110C2F36" w:rsidR="00B5748A" w:rsidRPr="00DD081E" w:rsidRDefault="00B5748A" w:rsidP="00B5748A">
      <w:r w:rsidRPr="00DD081E">
        <w:t xml:space="preserve">Advice regarding the indication wording will be sought from the ACM and subsequently negotiated with the </w:t>
      </w:r>
      <w:r w:rsidR="00883A77">
        <w:t>s</w:t>
      </w:r>
      <w:r w:rsidRPr="00DD081E">
        <w:t>ponsor.</w:t>
      </w:r>
    </w:p>
    <w:p w14:paraId="318CFABC" w14:textId="2C7519A3" w:rsidR="00C22214" w:rsidRPr="00F73346" w:rsidRDefault="00C22214" w:rsidP="00C22214">
      <w:pPr>
        <w:pStyle w:val="Heading4"/>
      </w:pPr>
      <w:bookmarkStart w:id="134" w:name="_Toc98931936"/>
      <w:bookmarkStart w:id="135" w:name="_Toc230164572"/>
      <w:bookmarkStart w:id="136" w:name="_Toc247691532"/>
      <w:bookmarkStart w:id="137" w:name="_Toc314842516"/>
      <w:r w:rsidRPr="00F73346">
        <w:t>Advisory Committee considerations</w:t>
      </w:r>
      <w:bookmarkEnd w:id="134"/>
      <w:bookmarkEnd w:id="135"/>
    </w:p>
    <w:p w14:paraId="087BB9CB" w14:textId="11003ADB" w:rsidR="00C22214" w:rsidRPr="00BD5DBD" w:rsidRDefault="00C22214" w:rsidP="00C22214">
      <w:pPr>
        <w:rPr>
          <w:bCs/>
          <w:szCs w:val="22"/>
        </w:rPr>
      </w:pPr>
      <w:r w:rsidRPr="00BD5DBD">
        <w:rPr>
          <w:bCs/>
          <w:szCs w:val="22"/>
        </w:rPr>
        <w:t xml:space="preserve">The </w:t>
      </w:r>
      <w:hyperlink r:id="rId51"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373F2D9D" w14:textId="4EEEBAD1" w:rsidR="000E49AB" w:rsidRPr="00114AED" w:rsidRDefault="000E49AB" w:rsidP="00760A27">
      <w:pPr>
        <w:pStyle w:val="Numberbullet0"/>
        <w:numPr>
          <w:ilvl w:val="0"/>
          <w:numId w:val="35"/>
        </w:numPr>
        <w:ind w:left="357" w:hanging="357"/>
        <w:rPr>
          <w:b/>
          <w:bCs/>
          <w:i/>
          <w:iCs/>
          <w:szCs w:val="22"/>
        </w:rPr>
      </w:pPr>
      <w:r w:rsidRPr="00114AED">
        <w:rPr>
          <w:b/>
          <w:bCs/>
          <w:i/>
          <w:iCs/>
          <w:szCs w:val="22"/>
        </w:rPr>
        <w:t xml:space="preserve">Could the ACM provide advice on the level of risk they believe would be associated with the use of </w:t>
      </w:r>
      <w:proofErr w:type="spellStart"/>
      <w:r w:rsidRPr="00114AED">
        <w:rPr>
          <w:b/>
          <w:bCs/>
          <w:i/>
          <w:iCs/>
          <w:szCs w:val="22"/>
        </w:rPr>
        <w:t>tezepelumab</w:t>
      </w:r>
      <w:proofErr w:type="spellEnd"/>
      <w:r w:rsidRPr="00114AED">
        <w:rPr>
          <w:b/>
          <w:bCs/>
          <w:i/>
          <w:iCs/>
          <w:szCs w:val="22"/>
        </w:rPr>
        <w:t xml:space="preserve"> in severe asthma in Australia? </w:t>
      </w:r>
    </w:p>
    <w:p w14:paraId="0DC5B8FA" w14:textId="1DD9B5CD" w:rsidR="000E49AB" w:rsidRPr="000E49AB" w:rsidRDefault="000E49AB" w:rsidP="000E49AB">
      <w:r w:rsidRPr="000E49AB">
        <w:t>The ACM advised that there is a potential increased risk of adverse cardiac events with long term use. The absolute risk is likely to be very small.</w:t>
      </w:r>
    </w:p>
    <w:p w14:paraId="75561999" w14:textId="5F30165F" w:rsidR="000E49AB" w:rsidRPr="000E49AB" w:rsidRDefault="000E49AB" w:rsidP="000E49AB">
      <w:r w:rsidRPr="000E49AB">
        <w:t xml:space="preserve">The ACM acknowledged the challenge of balancing the </w:t>
      </w:r>
      <w:r w:rsidR="00E87E9A">
        <w:t>2</w:t>
      </w:r>
      <w:r w:rsidRPr="000E49AB">
        <w:t xml:space="preserve"> aspects of </w:t>
      </w:r>
      <w:proofErr w:type="spellStart"/>
      <w:r w:rsidRPr="000E49AB">
        <w:t>tezepelumab</w:t>
      </w:r>
      <w:proofErr w:type="spellEnd"/>
      <w:r w:rsidRPr="000E49AB">
        <w:t xml:space="preserve"> treatment: increased risk of death from non-asthma causes against the reduced risk of death from asthma.</w:t>
      </w:r>
    </w:p>
    <w:p w14:paraId="0320E711" w14:textId="52D72FC6" w:rsidR="000E49AB" w:rsidRPr="00760A27" w:rsidRDefault="000E49AB" w:rsidP="00760A27">
      <w:pPr>
        <w:pStyle w:val="Numberbullet0"/>
        <w:numPr>
          <w:ilvl w:val="0"/>
          <w:numId w:val="35"/>
        </w:numPr>
        <w:ind w:left="357" w:hanging="357"/>
        <w:rPr>
          <w:b/>
          <w:bCs/>
          <w:i/>
          <w:iCs/>
          <w:szCs w:val="22"/>
        </w:rPr>
      </w:pPr>
      <w:r w:rsidRPr="00760A27">
        <w:rPr>
          <w:b/>
          <w:bCs/>
          <w:i/>
          <w:iCs/>
          <w:szCs w:val="22"/>
        </w:rPr>
        <w:t xml:space="preserve">Please comment on the relevance of the numerical increase in deaths/cardiac SAE in the </w:t>
      </w:r>
      <w:proofErr w:type="spellStart"/>
      <w:r w:rsidRPr="00760A27">
        <w:rPr>
          <w:b/>
          <w:bCs/>
          <w:i/>
          <w:iCs/>
          <w:szCs w:val="22"/>
        </w:rPr>
        <w:t>tezepelumab</w:t>
      </w:r>
      <w:proofErr w:type="spellEnd"/>
      <w:r w:rsidRPr="00760A27">
        <w:rPr>
          <w:b/>
          <w:bCs/>
          <w:i/>
          <w:iCs/>
          <w:szCs w:val="22"/>
        </w:rPr>
        <w:t xml:space="preserve"> group.</w:t>
      </w:r>
    </w:p>
    <w:p w14:paraId="4902F605" w14:textId="53DABAAB" w:rsidR="000E49AB" w:rsidRPr="000E49AB" w:rsidRDefault="000E49AB" w:rsidP="000E49AB">
      <w:r w:rsidRPr="000E49AB">
        <w:lastRenderedPageBreak/>
        <w:t xml:space="preserve">On-study, there were 18 cardiac disorder SAEs in the </w:t>
      </w:r>
      <w:proofErr w:type="spellStart"/>
      <w:r w:rsidRPr="000E49AB">
        <w:t>tezepelumab</w:t>
      </w:r>
      <w:proofErr w:type="spellEnd"/>
      <w:r w:rsidRPr="000E49AB">
        <w:t xml:space="preserve"> group, with incidence rate 1.30 (95% CI 0.77, 2.06) per 100 patient-years and </w:t>
      </w:r>
      <w:r w:rsidR="00DB40CC">
        <w:t>2</w:t>
      </w:r>
      <w:r w:rsidRPr="000E49AB">
        <w:t xml:space="preserve"> in the placebo group, with incidence rate 0.23 (95% CI 0.03, 0.83) per 100 patient-years. The incidence rate ratio was 5.66 (95% CI 1.35, 50.33), </w:t>
      </w:r>
      <w:r w:rsidR="00DB40CC">
        <w:t>2</w:t>
      </w:r>
      <w:r w:rsidRPr="000E49AB">
        <w:t xml:space="preserve">-sided p-value 0.0059, indicating a clinically and statistically significant increase in cardiac disorder SAEs, for the on-study data, with </w:t>
      </w:r>
      <w:proofErr w:type="spellStart"/>
      <w:r w:rsidRPr="000E49AB">
        <w:t>tezepelumab</w:t>
      </w:r>
      <w:proofErr w:type="spellEnd"/>
      <w:r w:rsidRPr="000E49AB">
        <w:t>.</w:t>
      </w:r>
    </w:p>
    <w:p w14:paraId="11A4E766" w14:textId="122E50E2" w:rsidR="000E49AB" w:rsidRPr="000E49AB" w:rsidRDefault="000E49AB" w:rsidP="000E49AB">
      <w:r w:rsidRPr="000E49AB">
        <w:t xml:space="preserve">The ACM viewed the numerical increase in deaths/cardiac SAE as a potential association with long term use of </w:t>
      </w:r>
      <w:proofErr w:type="spellStart"/>
      <w:r w:rsidRPr="000E49AB">
        <w:t>tezepelumab</w:t>
      </w:r>
      <w:proofErr w:type="spellEnd"/>
      <w:r w:rsidRPr="000E49AB">
        <w:t>. Although the sponsor postulated that events (and hence risk) occurred mostly in people with cardiac risk factors, there was in fact no difference in the number of cardiac risk factors between people on drug and people on placebo</w:t>
      </w:r>
      <w:r w:rsidR="003D33FC">
        <w:t>.</w:t>
      </w:r>
    </w:p>
    <w:p w14:paraId="7E4DF5C3" w14:textId="15E1A0A5" w:rsidR="000E49AB" w:rsidRPr="000E49AB" w:rsidRDefault="000E49AB" w:rsidP="000E49AB">
      <w:r w:rsidRPr="000E49AB">
        <w:t xml:space="preserve">The ACM advised that ‘numerical imbalance’ should be replaced in the PI with ‘more deaths and serious adverse cardiac events’ in patients taking </w:t>
      </w:r>
      <w:proofErr w:type="spellStart"/>
      <w:r w:rsidRPr="000E49AB">
        <w:t>tezepelumab</w:t>
      </w:r>
      <w:proofErr w:type="spellEnd"/>
      <w:r w:rsidRPr="000E49AB">
        <w:t>. The treatment groups in randomised trials were balanced with respect to cardiovascular risk factors, and so ‘imbalance’ is seeking to minimise the relevance of the observations.</w:t>
      </w:r>
    </w:p>
    <w:p w14:paraId="02134E50" w14:textId="0FDA4582" w:rsidR="000E49AB" w:rsidRDefault="000E49AB" w:rsidP="002B3F4A">
      <w:r w:rsidRPr="000E49AB">
        <w:t xml:space="preserve">The ACM advised that </w:t>
      </w:r>
      <w:proofErr w:type="gramStart"/>
      <w:r w:rsidRPr="000E49AB">
        <w:t>in order to</w:t>
      </w:r>
      <w:proofErr w:type="gramEnd"/>
      <w:r w:rsidRPr="000E49AB">
        <w:t xml:space="preserve"> raise prescriber awareness a boxed warning should be included in the PI. The ACM suggested the following text:</w:t>
      </w:r>
    </w:p>
    <w:p w14:paraId="18B78DA1" w14:textId="6A1622A6" w:rsidR="00B84425" w:rsidRPr="00B84425" w:rsidRDefault="00B84425" w:rsidP="002B3F4A">
      <w:pPr>
        <w:ind w:left="720"/>
      </w:pPr>
      <w:r w:rsidRPr="00B84425">
        <w:t>More deaths and cardiovascular adverse events were seen in the people on drug than on placebo. Prescription of this medication should occur after individual risk profile assessment and patient-centred shared decision making. Post hoc data analysis revealed that these events mostly occurred in people over the age of 50, with a cardiovascular diagnosis or cardiovascular risk factor. The difference in events compared with placebo was present despite a similar spread of cardiovascular risk factors and diagnoses between the drug and the placebo groups at baseline. It is unknown whether goal directed treatment of cardiovascular risk factors reduces this association. Whilst a known mechanism is not currently recognised, the possibility that these events reflect an unintended medication side effect remains.</w:t>
      </w:r>
    </w:p>
    <w:p w14:paraId="54C12264" w14:textId="78E050F0" w:rsidR="00B84425" w:rsidRPr="00B84425" w:rsidRDefault="00B84425" w:rsidP="00B84425">
      <w:r w:rsidRPr="00B84425">
        <w:t>The ACM acknowledged that better asthma control, especially reduced corticosteroid use, is likely to have a long-term benefit by reducing cardiac disease.</w:t>
      </w:r>
    </w:p>
    <w:p w14:paraId="10514C6B" w14:textId="5FF87037" w:rsidR="00B84425" w:rsidRPr="00760A27" w:rsidRDefault="00B84425" w:rsidP="00760A27">
      <w:pPr>
        <w:pStyle w:val="Numberbullet0"/>
        <w:numPr>
          <w:ilvl w:val="0"/>
          <w:numId w:val="35"/>
        </w:numPr>
        <w:ind w:left="357" w:hanging="357"/>
        <w:rPr>
          <w:b/>
          <w:bCs/>
          <w:i/>
          <w:iCs/>
          <w:szCs w:val="22"/>
        </w:rPr>
      </w:pPr>
      <w:r w:rsidRPr="00760A27">
        <w:rPr>
          <w:b/>
          <w:bCs/>
          <w:i/>
          <w:iCs/>
          <w:szCs w:val="22"/>
        </w:rPr>
        <w:t xml:space="preserve">What is the ACM’s advice regarding whether to approve/not approve the registration of </w:t>
      </w:r>
      <w:proofErr w:type="spellStart"/>
      <w:r w:rsidRPr="00760A27">
        <w:rPr>
          <w:b/>
          <w:bCs/>
          <w:i/>
          <w:iCs/>
          <w:szCs w:val="22"/>
        </w:rPr>
        <w:t>tezepelumab</w:t>
      </w:r>
      <w:proofErr w:type="spellEnd"/>
      <w:r w:rsidRPr="00760A27">
        <w:rPr>
          <w:b/>
          <w:bCs/>
          <w:i/>
          <w:iCs/>
          <w:szCs w:val="22"/>
        </w:rPr>
        <w:t>?</w:t>
      </w:r>
    </w:p>
    <w:p w14:paraId="42EA0E6A" w14:textId="680A1D1D" w:rsidR="00B84425" w:rsidRPr="00B84425" w:rsidRDefault="00B84425" w:rsidP="00B84425">
      <w:r w:rsidRPr="00B84425">
        <w:t xml:space="preserve">The ACM, on balance, supported the approval of </w:t>
      </w:r>
      <w:proofErr w:type="spellStart"/>
      <w:r w:rsidRPr="00B84425">
        <w:t>tezepelumab</w:t>
      </w:r>
      <w:proofErr w:type="spellEnd"/>
      <w:r w:rsidRPr="00B84425">
        <w:t xml:space="preserve">. The medicine provides significant benefit as an add-on therapy to people with severe asthma not controlled on medium dose </w:t>
      </w:r>
      <w:r w:rsidR="00533989" w:rsidRPr="008C085D">
        <w:t>inhaled cort</w:t>
      </w:r>
      <w:r w:rsidR="008C085D" w:rsidRPr="008C085D">
        <w:t>icosteroid</w:t>
      </w:r>
      <w:r w:rsidRPr="00B84425">
        <w:t>/</w:t>
      </w:r>
      <w:r w:rsidR="00FF5FC8" w:rsidRPr="008C085D">
        <w:t>long-</w:t>
      </w:r>
      <w:r w:rsidR="00533989" w:rsidRPr="008C085D">
        <w:t>acting beta-agonist</w:t>
      </w:r>
      <w:r w:rsidRPr="00B84425">
        <w:t>.</w:t>
      </w:r>
    </w:p>
    <w:p w14:paraId="2837E0E2" w14:textId="44AB19D8" w:rsidR="00B84425" w:rsidRPr="00760A27" w:rsidRDefault="00B84425" w:rsidP="00760A27">
      <w:pPr>
        <w:pStyle w:val="Numberbullet0"/>
        <w:numPr>
          <w:ilvl w:val="0"/>
          <w:numId w:val="35"/>
        </w:numPr>
        <w:ind w:left="357" w:hanging="357"/>
        <w:rPr>
          <w:b/>
          <w:bCs/>
          <w:i/>
          <w:iCs/>
          <w:szCs w:val="22"/>
        </w:rPr>
      </w:pPr>
      <w:r w:rsidRPr="00760A27">
        <w:rPr>
          <w:b/>
          <w:bCs/>
          <w:i/>
          <w:iCs/>
          <w:szCs w:val="22"/>
        </w:rPr>
        <w:t>Would the ACM please advise regarding the inclusion of adolescents (</w:t>
      </w:r>
      <w:proofErr w:type="gramStart"/>
      <w:r w:rsidRPr="00760A27">
        <w:rPr>
          <w:b/>
          <w:bCs/>
          <w:i/>
          <w:iCs/>
          <w:szCs w:val="22"/>
        </w:rPr>
        <w:t>12</w:t>
      </w:r>
      <w:r w:rsidR="008C085D" w:rsidRPr="00760A27">
        <w:rPr>
          <w:b/>
          <w:bCs/>
          <w:i/>
          <w:iCs/>
          <w:szCs w:val="22"/>
        </w:rPr>
        <w:t xml:space="preserve"> to </w:t>
      </w:r>
      <w:r w:rsidRPr="00760A27">
        <w:rPr>
          <w:b/>
          <w:bCs/>
          <w:i/>
          <w:iCs/>
          <w:szCs w:val="22"/>
        </w:rPr>
        <w:t>17</w:t>
      </w:r>
      <w:r w:rsidR="008C085D" w:rsidRPr="00760A27">
        <w:rPr>
          <w:b/>
          <w:bCs/>
          <w:i/>
          <w:iCs/>
          <w:szCs w:val="22"/>
        </w:rPr>
        <w:t xml:space="preserve"> year olds</w:t>
      </w:r>
      <w:proofErr w:type="gramEnd"/>
      <w:r w:rsidRPr="00760A27">
        <w:rPr>
          <w:b/>
          <w:bCs/>
          <w:i/>
          <w:iCs/>
          <w:szCs w:val="22"/>
        </w:rPr>
        <w:t>) in the proposed indication. How (if at all) does the safety possibility affect this.</w:t>
      </w:r>
    </w:p>
    <w:p w14:paraId="5EB7A88A" w14:textId="145F8D3F" w:rsidR="00B84425" w:rsidRPr="00B84425" w:rsidRDefault="00B84425" w:rsidP="00B84425">
      <w:r w:rsidRPr="00B84425">
        <w:t>The ACM advised that adolescents should be included in the proposed indication. This is consistent with trial data, although only 6% of participants were in this age group.</w:t>
      </w:r>
    </w:p>
    <w:p w14:paraId="46C9A6AD" w14:textId="5697EFAC" w:rsidR="00B84425" w:rsidRPr="00B84425" w:rsidRDefault="00B84425" w:rsidP="00B84425">
      <w:r w:rsidRPr="00B84425">
        <w:t>The ACM noted that long-term use (in adolescents as well as adults) is an area of missing information and should be stated clearly in the PI.</w:t>
      </w:r>
    </w:p>
    <w:p w14:paraId="410C24F2" w14:textId="2EDB4CA5" w:rsidR="00B84425" w:rsidRPr="00760A27" w:rsidRDefault="00B84425" w:rsidP="00760A27">
      <w:pPr>
        <w:pStyle w:val="Numberbullet0"/>
        <w:numPr>
          <w:ilvl w:val="0"/>
          <w:numId w:val="35"/>
        </w:numPr>
        <w:ind w:left="357" w:hanging="357"/>
        <w:rPr>
          <w:b/>
          <w:bCs/>
          <w:i/>
          <w:iCs/>
          <w:szCs w:val="22"/>
        </w:rPr>
      </w:pPr>
      <w:r w:rsidRPr="00760A27">
        <w:rPr>
          <w:b/>
          <w:bCs/>
          <w:i/>
          <w:iCs/>
          <w:szCs w:val="22"/>
        </w:rPr>
        <w:t xml:space="preserve">If approved – what is the ACM’s advice regarding which groups of patients would benefit most from </w:t>
      </w:r>
      <w:proofErr w:type="spellStart"/>
      <w:r w:rsidRPr="00760A27">
        <w:rPr>
          <w:b/>
          <w:bCs/>
          <w:i/>
          <w:iCs/>
          <w:szCs w:val="22"/>
        </w:rPr>
        <w:t>tezepelumab</w:t>
      </w:r>
      <w:proofErr w:type="spellEnd"/>
      <w:r w:rsidRPr="00760A27">
        <w:rPr>
          <w:b/>
          <w:bCs/>
          <w:i/>
          <w:iCs/>
          <w:szCs w:val="22"/>
        </w:rPr>
        <w:t>? (</w:t>
      </w:r>
      <w:r w:rsidR="00504FF6" w:rsidRPr="00760A27">
        <w:rPr>
          <w:b/>
          <w:bCs/>
          <w:i/>
          <w:iCs/>
          <w:szCs w:val="22"/>
        </w:rPr>
        <w:t xml:space="preserve">for example, </w:t>
      </w:r>
      <w:r w:rsidRPr="00760A27">
        <w:rPr>
          <w:b/>
          <w:bCs/>
          <w:i/>
          <w:iCs/>
          <w:szCs w:val="22"/>
        </w:rPr>
        <w:t xml:space="preserve">only those with low </w:t>
      </w:r>
      <w:r w:rsidR="00D560C0" w:rsidRPr="00760A27">
        <w:rPr>
          <w:b/>
          <w:bCs/>
          <w:i/>
          <w:iCs/>
          <w:szCs w:val="22"/>
        </w:rPr>
        <w:t>cardiovascular system</w:t>
      </w:r>
      <w:r w:rsidRPr="00760A27">
        <w:rPr>
          <w:b/>
          <w:bCs/>
          <w:i/>
          <w:iCs/>
          <w:szCs w:val="22"/>
        </w:rPr>
        <w:t xml:space="preserve"> risk, those not on oral steroids, only those on high dose </w:t>
      </w:r>
      <w:r w:rsidR="0077724A" w:rsidRPr="00760A27">
        <w:rPr>
          <w:b/>
          <w:bCs/>
          <w:i/>
          <w:iCs/>
          <w:szCs w:val="22"/>
        </w:rPr>
        <w:t>inhaled corticosteroid</w:t>
      </w:r>
      <w:r w:rsidRPr="00760A27">
        <w:rPr>
          <w:b/>
          <w:bCs/>
          <w:i/>
          <w:iCs/>
          <w:szCs w:val="22"/>
        </w:rPr>
        <w:t xml:space="preserve"> etc)</w:t>
      </w:r>
    </w:p>
    <w:p w14:paraId="2C967D56" w14:textId="1DD26BFC" w:rsidR="00B84425" w:rsidRPr="00B84425" w:rsidRDefault="00B84425" w:rsidP="00B84425">
      <w:r w:rsidRPr="00B84425">
        <w:t>The ACM advised that benefit would be greatest in those with persistent type 2 inflammation.</w:t>
      </w:r>
    </w:p>
    <w:p w14:paraId="24531F0A" w14:textId="1EEFAAF6" w:rsidR="00B84425" w:rsidRPr="00760A27" w:rsidRDefault="00B84425" w:rsidP="00760A27">
      <w:pPr>
        <w:pStyle w:val="Numberbullet0"/>
        <w:numPr>
          <w:ilvl w:val="0"/>
          <w:numId w:val="35"/>
        </w:numPr>
        <w:ind w:left="357" w:hanging="357"/>
        <w:rPr>
          <w:b/>
          <w:bCs/>
          <w:i/>
          <w:iCs/>
          <w:szCs w:val="22"/>
        </w:rPr>
      </w:pPr>
      <w:r w:rsidRPr="00760A27">
        <w:rPr>
          <w:b/>
          <w:bCs/>
          <w:i/>
          <w:iCs/>
          <w:szCs w:val="22"/>
        </w:rPr>
        <w:t>Please provide advice on the wording of the proposed indication. Specifically, what should be stated regarding current asthma treatment. (</w:t>
      </w:r>
      <w:r w:rsidR="00375B33" w:rsidRPr="00760A27">
        <w:rPr>
          <w:b/>
          <w:bCs/>
          <w:i/>
          <w:iCs/>
          <w:szCs w:val="22"/>
        </w:rPr>
        <w:t>P</w:t>
      </w:r>
      <w:r w:rsidRPr="00760A27">
        <w:rPr>
          <w:b/>
          <w:bCs/>
          <w:i/>
          <w:iCs/>
          <w:szCs w:val="22"/>
        </w:rPr>
        <w:t xml:space="preserve">lease consider the Australian Asthma guideline). Should it be </w:t>
      </w:r>
      <w:proofErr w:type="gramStart"/>
      <w:r w:rsidRPr="00760A27">
        <w:rPr>
          <w:b/>
          <w:bCs/>
          <w:i/>
          <w:iCs/>
          <w:szCs w:val="22"/>
        </w:rPr>
        <w:t>similar to</w:t>
      </w:r>
      <w:proofErr w:type="gramEnd"/>
      <w:r w:rsidRPr="00760A27">
        <w:rPr>
          <w:b/>
          <w:bCs/>
          <w:i/>
          <w:iCs/>
          <w:szCs w:val="22"/>
        </w:rPr>
        <w:t xml:space="preserve"> what is proposed? Or perhaps despite maximal inhaled therapy (incl</w:t>
      </w:r>
      <w:r w:rsidR="00375B33" w:rsidRPr="00760A27">
        <w:rPr>
          <w:b/>
          <w:bCs/>
          <w:i/>
          <w:iCs/>
          <w:szCs w:val="22"/>
        </w:rPr>
        <w:t xml:space="preserve">uding medium </w:t>
      </w:r>
      <w:r w:rsidRPr="00760A27">
        <w:rPr>
          <w:b/>
          <w:bCs/>
          <w:i/>
          <w:iCs/>
          <w:szCs w:val="22"/>
        </w:rPr>
        <w:t xml:space="preserve">or high dose </w:t>
      </w:r>
      <w:r w:rsidR="00375B33" w:rsidRPr="00760A27">
        <w:rPr>
          <w:b/>
          <w:bCs/>
          <w:i/>
          <w:iCs/>
          <w:szCs w:val="22"/>
        </w:rPr>
        <w:t>inhaled corti</w:t>
      </w:r>
      <w:r w:rsidR="00BE242B" w:rsidRPr="00760A27">
        <w:rPr>
          <w:b/>
          <w:bCs/>
          <w:i/>
          <w:iCs/>
          <w:szCs w:val="22"/>
        </w:rPr>
        <w:t>costeroid</w:t>
      </w:r>
      <w:r w:rsidRPr="00760A27">
        <w:rPr>
          <w:b/>
          <w:bCs/>
          <w:i/>
          <w:iCs/>
          <w:szCs w:val="22"/>
        </w:rPr>
        <w:t>)?</w:t>
      </w:r>
    </w:p>
    <w:p w14:paraId="130B12A5" w14:textId="3DE76D67" w:rsidR="00B84425" w:rsidRPr="00B84425" w:rsidRDefault="00B84425" w:rsidP="00B84425">
      <w:r w:rsidRPr="00B84425">
        <w:lastRenderedPageBreak/>
        <w:t xml:space="preserve">The ACM advised that the indication should refer to ‘optimal therapy including medium dose inhaled corticosteroids plus another non steroid medicinal product’, rather than referring to ‘optimally managed asthma’. Mention of high dose </w:t>
      </w:r>
      <w:r w:rsidR="00BE242B">
        <w:t>inhaled corticosteroid</w:t>
      </w:r>
      <w:r w:rsidRPr="00B84425">
        <w:t xml:space="preserve"> should be eschewed as they do not necessarily improve asthma control.</w:t>
      </w:r>
    </w:p>
    <w:p w14:paraId="2AD6EEF4" w14:textId="2490F145" w:rsidR="00B84425" w:rsidRPr="00B84425" w:rsidRDefault="00B84425" w:rsidP="00B84425">
      <w:r w:rsidRPr="00B84425">
        <w:t>‘Severe asthma’ should be defined in the PI, consistent with the Australian Asthma Handbook.</w:t>
      </w:r>
    </w:p>
    <w:p w14:paraId="1299C429" w14:textId="7BBD74C5" w:rsidR="00B84425" w:rsidRPr="00B84425" w:rsidRDefault="00B84425" w:rsidP="00B84425">
      <w:r w:rsidRPr="00B84425">
        <w:t>‘Inadequate control despite treatment’ should be defined in the PI as either ACQ5 &gt;</w:t>
      </w:r>
      <w:r w:rsidR="00A15BF9">
        <w:t> </w:t>
      </w:r>
      <w:r w:rsidRPr="00B84425">
        <w:t>2.0</w:t>
      </w:r>
      <w:r w:rsidR="00A15BF9">
        <w:t>,</w:t>
      </w:r>
      <w:r w:rsidRPr="00B84425">
        <w:t xml:space="preserve"> or </w:t>
      </w:r>
      <w:r w:rsidR="00A15BF9">
        <w:t>one</w:t>
      </w:r>
      <w:r w:rsidRPr="00B84425">
        <w:t xml:space="preserve"> or more exacerbations requiring prednisone.</w:t>
      </w:r>
    </w:p>
    <w:p w14:paraId="3007113E" w14:textId="15C069D2" w:rsidR="00B84425" w:rsidRPr="00760A27" w:rsidRDefault="00B84425" w:rsidP="00760A27">
      <w:pPr>
        <w:pStyle w:val="Numberbullet0"/>
        <w:numPr>
          <w:ilvl w:val="0"/>
          <w:numId w:val="35"/>
        </w:numPr>
        <w:ind w:left="357" w:hanging="357"/>
        <w:rPr>
          <w:b/>
          <w:bCs/>
          <w:i/>
          <w:iCs/>
          <w:szCs w:val="22"/>
        </w:rPr>
      </w:pPr>
      <w:r w:rsidRPr="00B84425">
        <w:t xml:space="preserve"> </w:t>
      </w:r>
      <w:r w:rsidRPr="00760A27">
        <w:rPr>
          <w:b/>
          <w:bCs/>
          <w:i/>
          <w:iCs/>
          <w:szCs w:val="22"/>
        </w:rPr>
        <w:t>Please comment on adequacy of RMP, and/or suggest any additions.</w:t>
      </w:r>
    </w:p>
    <w:p w14:paraId="5541495B" w14:textId="2E35B35C" w:rsidR="00B84425" w:rsidRPr="00B84425" w:rsidRDefault="00B84425" w:rsidP="00B84425">
      <w:r w:rsidRPr="00B84425">
        <w:t>The ACM were supportive of strong pharmacovigilance measures with this product.</w:t>
      </w:r>
    </w:p>
    <w:p w14:paraId="32C0B93F" w14:textId="44A80EA3" w:rsidR="000E49AB" w:rsidRDefault="00B84425" w:rsidP="00B84425">
      <w:r w:rsidRPr="00B84425">
        <w:t>The ACM advised that serious cardiac events, including fatal events, should be considered an identified risk rather than a potential risk. The ACM additionally advised that a boxed warning would be appropriate to communicate these risks to patients and prescribers.</w:t>
      </w:r>
    </w:p>
    <w:p w14:paraId="30EAB7F7" w14:textId="29F8D6D4" w:rsidR="00B84425" w:rsidRPr="00760A27" w:rsidRDefault="00B84425" w:rsidP="00760A27">
      <w:pPr>
        <w:pStyle w:val="Numberbullet0"/>
        <w:numPr>
          <w:ilvl w:val="0"/>
          <w:numId w:val="35"/>
        </w:numPr>
        <w:ind w:left="357" w:hanging="357"/>
        <w:rPr>
          <w:b/>
          <w:bCs/>
          <w:i/>
          <w:iCs/>
          <w:szCs w:val="22"/>
        </w:rPr>
      </w:pPr>
      <w:r w:rsidRPr="00760A27">
        <w:rPr>
          <w:b/>
          <w:bCs/>
          <w:i/>
          <w:iCs/>
          <w:szCs w:val="22"/>
        </w:rPr>
        <w:t xml:space="preserve">The committee is also requested to provide advice on any other issues that may be relevant to a decision on </w:t>
      </w:r>
      <w:proofErr w:type="gramStart"/>
      <w:r w:rsidRPr="00760A27">
        <w:rPr>
          <w:b/>
          <w:bCs/>
          <w:i/>
          <w:iCs/>
          <w:szCs w:val="22"/>
        </w:rPr>
        <w:t>whether or not</w:t>
      </w:r>
      <w:proofErr w:type="gramEnd"/>
      <w:r w:rsidRPr="00760A27">
        <w:rPr>
          <w:b/>
          <w:bCs/>
          <w:i/>
          <w:iCs/>
          <w:szCs w:val="22"/>
        </w:rPr>
        <w:t xml:space="preserve"> to approve this application.</w:t>
      </w:r>
    </w:p>
    <w:p w14:paraId="37A042B1" w14:textId="43D2BC91" w:rsidR="00B84425" w:rsidRPr="00B84425" w:rsidRDefault="00B84425" w:rsidP="00B84425">
      <w:r w:rsidRPr="00B84425">
        <w:t>The ACM suggested that the PI should include stopping rules for non-responders.</w:t>
      </w:r>
    </w:p>
    <w:p w14:paraId="674F74D5" w14:textId="1A2B507A" w:rsidR="000E49AB" w:rsidRDefault="00B84425" w:rsidP="00B84425">
      <w:r w:rsidRPr="00B84425">
        <w:t>The ACM suggested that consideration be given to a wider review of post-market data for other monoclonal antibodies for the treatment of asthma regarding risk of cardiac events, infection and malignancy.</w:t>
      </w:r>
    </w:p>
    <w:p w14:paraId="5291EA2A" w14:textId="44801B99" w:rsidR="00C22214" w:rsidRPr="00F73346" w:rsidRDefault="008D56CA" w:rsidP="00C22214">
      <w:pPr>
        <w:pStyle w:val="Heading5"/>
      </w:pPr>
      <w:r>
        <w:t>A</w:t>
      </w:r>
      <w:r w:rsidR="004A45D4">
        <w:t>dvisory committee c</w:t>
      </w:r>
      <w:r w:rsidR="00C22214" w:rsidRPr="00F73346">
        <w:t>onclusion</w:t>
      </w:r>
    </w:p>
    <w:p w14:paraId="00DBDEE6" w14:textId="6B55C8B7" w:rsidR="0073588D" w:rsidRPr="0073588D" w:rsidRDefault="0073588D" w:rsidP="0073588D">
      <w:r w:rsidRPr="0073588D">
        <w:t>The ACM considered this product to have an overall positive benefit-risk profile for the indication:</w:t>
      </w:r>
    </w:p>
    <w:p w14:paraId="0E02CC8A" w14:textId="649DDEC5" w:rsidR="0073588D" w:rsidRPr="0073588D" w:rsidRDefault="0073588D" w:rsidP="0073588D">
      <w:pPr>
        <w:ind w:left="720"/>
      </w:pPr>
      <w:r w:rsidRPr="0073588D">
        <w:t xml:space="preserve">Tezspire is indicated as an add-on maintenance treatment in adults and adolescents 12 years and older with severe asthma who are inadequately controlled despite optimal therapy including medium </w:t>
      </w:r>
      <w:r w:rsidR="00886D84">
        <w:t xml:space="preserve">dose </w:t>
      </w:r>
      <w:r w:rsidRPr="0073588D">
        <w:t>inhaled corticosteroids plus another non steroid medicinal product for maintenance treatment.</w:t>
      </w:r>
    </w:p>
    <w:p w14:paraId="27C2801C" w14:textId="18A393CF" w:rsidR="0073588D" w:rsidRDefault="0073588D" w:rsidP="0073588D">
      <w:pPr>
        <w:ind w:left="720"/>
      </w:pPr>
      <w:r w:rsidRPr="0073588D">
        <w:t xml:space="preserve">The effect of </w:t>
      </w:r>
      <w:proofErr w:type="spellStart"/>
      <w:r w:rsidRPr="0073588D">
        <w:t>tezepelumab</w:t>
      </w:r>
      <w:proofErr w:type="spellEnd"/>
      <w:r w:rsidRPr="0073588D">
        <w:t xml:space="preserve"> may not be evident in those with eosinophil count</w:t>
      </w:r>
      <w:r w:rsidR="00886D84">
        <w:t xml:space="preserve"> </w:t>
      </w:r>
      <w:r w:rsidRPr="0073588D">
        <w:t>&lt;</w:t>
      </w:r>
      <w:r w:rsidR="00886D84">
        <w:t> </w:t>
      </w:r>
      <w:r w:rsidRPr="0073588D">
        <w:t>150</w:t>
      </w:r>
      <w:r w:rsidR="00886D84">
        <w:t> </w:t>
      </w:r>
      <w:r w:rsidRPr="0073588D">
        <w:t>cells/</w:t>
      </w:r>
      <w:proofErr w:type="spellStart"/>
      <w:r w:rsidRPr="0073588D">
        <w:t>μL</w:t>
      </w:r>
      <w:proofErr w:type="spellEnd"/>
      <w:r w:rsidRPr="0073588D">
        <w:t xml:space="preserve"> and fractional exhaled nitric oxide (</w:t>
      </w:r>
      <w:proofErr w:type="spellStart"/>
      <w:r w:rsidRPr="0073588D">
        <w:t>FeNO</w:t>
      </w:r>
      <w:proofErr w:type="spellEnd"/>
      <w:r w:rsidRPr="0073588D">
        <w:t>) below 25</w:t>
      </w:r>
      <w:r w:rsidR="00B249E8">
        <w:t> </w:t>
      </w:r>
      <w:r w:rsidRPr="0073588D">
        <w:t>ppb</w:t>
      </w:r>
      <w:r>
        <w:t>.</w:t>
      </w:r>
    </w:p>
    <w:p w14:paraId="307F236C" w14:textId="7FD19BD3" w:rsidR="00C22214" w:rsidRPr="002E238E" w:rsidRDefault="0046285C" w:rsidP="00C22214">
      <w:pPr>
        <w:pStyle w:val="Heading2"/>
      </w:pPr>
      <w:bookmarkStart w:id="138" w:name="_Toc103679300"/>
      <w:bookmarkStart w:id="139" w:name="_Toc230164573"/>
      <w:r>
        <w:t>Assessment</w:t>
      </w:r>
      <w:r w:rsidR="00190853">
        <w:t xml:space="preserve"> </w:t>
      </w:r>
      <w:r>
        <w:t>o</w:t>
      </w:r>
      <w:r w:rsidR="00C22214">
        <w:t>utcome</w:t>
      </w:r>
      <w:bookmarkEnd w:id="136"/>
      <w:bookmarkEnd w:id="137"/>
      <w:bookmarkEnd w:id="138"/>
      <w:bookmarkEnd w:id="139"/>
    </w:p>
    <w:p w14:paraId="4EF22939" w14:textId="075165EC" w:rsidR="00C22214" w:rsidRPr="0017005C" w:rsidRDefault="00C22214" w:rsidP="0006104E">
      <w:r w:rsidRPr="0017005C">
        <w:t xml:space="preserve">Based on </w:t>
      </w:r>
      <w:r w:rsidR="00C3206C">
        <w:t>the assessment</w:t>
      </w:r>
      <w:r w:rsidRPr="0017005C">
        <w:t xml:space="preserve"> of quality, safety, and efficacy, the TGA </w:t>
      </w:r>
      <w:r w:rsidR="00B46DFB">
        <w:t>decided to</w:t>
      </w:r>
      <w:r w:rsidRPr="0017005C">
        <w:t xml:space="preserve"> regist</w:t>
      </w:r>
      <w:r w:rsidR="00B46DFB">
        <w:t>er</w:t>
      </w:r>
      <w:r w:rsidRPr="0017005C">
        <w:t xml:space="preserve"> </w:t>
      </w:r>
      <w:r w:rsidR="00883A77" w:rsidRPr="00065839">
        <w:t>T</w:t>
      </w:r>
      <w:r w:rsidR="00883A77">
        <w:t>ezspire</w:t>
      </w:r>
      <w:r w:rsidR="00883A77" w:rsidRPr="00065839">
        <w:t xml:space="preserve"> (</w:t>
      </w:r>
      <w:proofErr w:type="spellStart"/>
      <w:r w:rsidR="00883A77">
        <w:t>tezepelumab</w:t>
      </w:r>
      <w:proofErr w:type="spellEnd"/>
      <w:r w:rsidR="00883A77" w:rsidRPr="00065839">
        <w:t xml:space="preserve">) </w:t>
      </w:r>
      <w:r w:rsidR="00883A77">
        <w:t>210 mg in 1.91 mL solution for injection in prefilled syringe and prefilled pen</w:t>
      </w:r>
      <w:r w:rsidRPr="0017005C">
        <w:t>, indicated for</w:t>
      </w:r>
      <w:r w:rsidR="00BC776A">
        <w:t>:</w:t>
      </w:r>
    </w:p>
    <w:p w14:paraId="3B245AB5" w14:textId="21E57479" w:rsidR="00C22214" w:rsidRPr="00BD5DBD" w:rsidRDefault="00BC776A" w:rsidP="00605C05">
      <w:pPr>
        <w:pStyle w:val="Indication"/>
      </w:pPr>
      <w:r w:rsidRPr="00A07109">
        <w:rPr>
          <w:szCs w:val="22"/>
        </w:rPr>
        <w:t>TEZSPIRE is indicated as an add-on maintenance treatment in patients aged 12 years</w:t>
      </w:r>
      <w:r w:rsidRPr="002C7179">
        <w:rPr>
          <w:szCs w:val="22"/>
        </w:rPr>
        <w:t xml:space="preserve"> </w:t>
      </w:r>
      <w:r w:rsidRPr="00A07109">
        <w:rPr>
          <w:szCs w:val="22"/>
        </w:rPr>
        <w:t>and older with severe asthma who are inadequately controlled despite optimal therapy</w:t>
      </w:r>
      <w:r w:rsidRPr="002C7179">
        <w:rPr>
          <w:szCs w:val="22"/>
        </w:rPr>
        <w:t xml:space="preserve"> </w:t>
      </w:r>
      <w:r w:rsidRPr="00A07109">
        <w:rPr>
          <w:szCs w:val="22"/>
        </w:rPr>
        <w:t>including medium or high dose inhaled corticosteroids plus another non-steroidal</w:t>
      </w:r>
      <w:r w:rsidRPr="002C7179">
        <w:rPr>
          <w:szCs w:val="22"/>
        </w:rPr>
        <w:t xml:space="preserve"> medicinal product for maintenance treatment.</w:t>
      </w:r>
    </w:p>
    <w:p w14:paraId="0D732DA4" w14:textId="6C766B75" w:rsidR="00854D98" w:rsidRPr="00D23139" w:rsidRDefault="00854D98" w:rsidP="00035FB1">
      <w:pPr>
        <w:pStyle w:val="Heading3"/>
      </w:pPr>
      <w:bookmarkStart w:id="140" w:name="_Toc103679301"/>
      <w:bookmarkStart w:id="141" w:name="_Toc230164574"/>
      <w:r w:rsidRPr="00D23139">
        <w:t>Specific conditions of registration</w:t>
      </w:r>
      <w:bookmarkEnd w:id="140"/>
      <w:bookmarkEnd w:id="141"/>
    </w:p>
    <w:p w14:paraId="1443D49D" w14:textId="39CFD8A6" w:rsidR="00F01507" w:rsidRDefault="00F01507">
      <w:pPr>
        <w:pStyle w:val="ListBullet"/>
      </w:pPr>
      <w:r>
        <w:t>Tezspire (</w:t>
      </w:r>
      <w:proofErr w:type="spellStart"/>
      <w:r>
        <w:t>tezepelumab</w:t>
      </w:r>
      <w:proofErr w:type="spellEnd"/>
      <w:r>
        <w:t>) is to be included in the Black Triangle Scheme. The PI and CMI for Tezspire must include the black triangle symbol and mandatory accompanying text for 5 years, which starts from the date of first supply of the product.</w:t>
      </w:r>
    </w:p>
    <w:p w14:paraId="17EF5785" w14:textId="10ADA3C8" w:rsidR="00F01507" w:rsidRDefault="00F01507">
      <w:pPr>
        <w:pStyle w:val="ListBullet"/>
      </w:pPr>
      <w:r>
        <w:lastRenderedPageBreak/>
        <w:t>The Tezspire EU-Risk Management Plan (RMP) (Version 2; Succession 2, dated 23 January 2023; DLP 31 August 2022), with Australia-Specific Annex (Version 2; Succession 2, dated 18</w:t>
      </w:r>
      <w:r w:rsidR="008E733B">
        <w:t> </w:t>
      </w:r>
      <w:r>
        <w:t>July 2024), included with submission PM-2023-05365-1-5, and any subsequent revisions, as agreed with the TGA will be implemented in Australia.</w:t>
      </w:r>
    </w:p>
    <w:p w14:paraId="7891E4F5" w14:textId="2F478F25" w:rsidR="00F01507" w:rsidRDefault="00F01507">
      <w:pPr>
        <w:pStyle w:val="ListBullet"/>
      </w:pPr>
      <w:r>
        <w:t>An obligatory component of risk management plans is routine pharmacovigilance.</w:t>
      </w:r>
      <w:r w:rsidR="00D127F5">
        <w:t xml:space="preserve"> </w:t>
      </w:r>
      <w:r>
        <w:t>Routine pharmacovigilance includes the submission of periodic safety update reports</w:t>
      </w:r>
      <w:r w:rsidR="00D127F5">
        <w:t xml:space="preserve"> </w:t>
      </w:r>
      <w:r>
        <w:t>(PSURs).</w:t>
      </w:r>
    </w:p>
    <w:p w14:paraId="7704016E" w14:textId="3A54ABBA" w:rsidR="00F01507" w:rsidRDefault="00F01507" w:rsidP="00D3795B">
      <w:pPr>
        <w:pStyle w:val="ListBullet"/>
        <w:numPr>
          <w:ilvl w:val="0"/>
          <w:numId w:val="0"/>
        </w:numPr>
        <w:ind w:left="360"/>
      </w:pPr>
      <w:r>
        <w:t>Reports are to be provided in line with the current published list of EU reference dates</w:t>
      </w:r>
      <w:r w:rsidR="00D127F5">
        <w:t xml:space="preserve"> </w:t>
      </w:r>
      <w:r>
        <w:t>and frequency of submission of PSURs until the period covered by such reports is not</w:t>
      </w:r>
      <w:r w:rsidR="00D127F5">
        <w:t xml:space="preserve"> </w:t>
      </w:r>
      <w:r>
        <w:t xml:space="preserve">less than </w:t>
      </w:r>
      <w:r w:rsidR="00E77EF4">
        <w:t>3 </w:t>
      </w:r>
      <w:r>
        <w:t>years from the date of th</w:t>
      </w:r>
      <w:r w:rsidR="00E77EF4">
        <w:t>e</w:t>
      </w:r>
      <w:r>
        <w:t xml:space="preserve"> approval letter. Each report must be</w:t>
      </w:r>
      <w:r w:rsidR="00D127F5">
        <w:t xml:space="preserve"> </w:t>
      </w:r>
      <w:r>
        <w:t xml:space="preserve">submitted within </w:t>
      </w:r>
      <w:r w:rsidR="00E77EF4">
        <w:t>90</w:t>
      </w:r>
      <w:r>
        <w:t xml:space="preserve"> calendar days of the data lock point for that report.</w:t>
      </w:r>
    </w:p>
    <w:p w14:paraId="3146D7D6" w14:textId="1D055A04" w:rsidR="00F01507" w:rsidRDefault="00F01507" w:rsidP="00D3795B">
      <w:pPr>
        <w:pStyle w:val="ListBullet"/>
        <w:numPr>
          <w:ilvl w:val="0"/>
          <w:numId w:val="0"/>
        </w:numPr>
        <w:ind w:left="360"/>
      </w:pPr>
      <w:r>
        <w:t>The reports are to at least meet the requirements for PSURs as described in the</w:t>
      </w:r>
      <w:r w:rsidR="00E77EF4">
        <w:t xml:space="preserve"> </w:t>
      </w:r>
      <w:r>
        <w:t>European Medicines Agency’s Guideline on good pharmacovigilance practices (GVP)</w:t>
      </w:r>
      <w:r w:rsidR="00D3795B">
        <w:t xml:space="preserve"> </w:t>
      </w:r>
      <w:r>
        <w:t>Module VII-periodic safety update report (Rev 1), Part VII.B Structures and processes.</w:t>
      </w:r>
      <w:r w:rsidR="00D3795B">
        <w:t xml:space="preserve"> </w:t>
      </w:r>
      <w:r>
        <w:t>Note that submission of a PSUR does not constitute an application to vary the</w:t>
      </w:r>
      <w:r w:rsidR="00D3795B">
        <w:t xml:space="preserve"> </w:t>
      </w:r>
      <w:r>
        <w:t>registration.</w:t>
      </w:r>
    </w:p>
    <w:p w14:paraId="05D2E791" w14:textId="7FF7C5CD" w:rsidR="00F01507" w:rsidRDefault="00F01507" w:rsidP="00F01507">
      <w:pPr>
        <w:pStyle w:val="ListBullet"/>
      </w:pPr>
      <w:r>
        <w:t>Laboratory testing &amp; compliance with Certified Product Details</w:t>
      </w:r>
    </w:p>
    <w:p w14:paraId="737445AD" w14:textId="47B9F212" w:rsidR="00F01507" w:rsidRDefault="00F01507" w:rsidP="00BF6676">
      <w:pPr>
        <w:pStyle w:val="Numberbullet2"/>
      </w:pPr>
      <w:r>
        <w:t>All batches of T</w:t>
      </w:r>
      <w:r w:rsidR="007C2FAA">
        <w:t>e</w:t>
      </w:r>
      <w:r w:rsidR="00FA3415">
        <w:t>z</w:t>
      </w:r>
      <w:r w:rsidR="007C2FAA">
        <w:t>spire</w:t>
      </w:r>
      <w:r>
        <w:t xml:space="preserve"> </w:t>
      </w:r>
      <w:r w:rsidR="007C2FAA">
        <w:t>(</w:t>
      </w:r>
      <w:proofErr w:type="spellStart"/>
      <w:r w:rsidR="007C2FAA">
        <w:t>tezepelumab</w:t>
      </w:r>
      <w:proofErr w:type="spellEnd"/>
      <w:r w:rsidR="007C2FAA">
        <w:t>)</w:t>
      </w:r>
      <w:r>
        <w:t xml:space="preserve"> 210</w:t>
      </w:r>
      <w:r w:rsidR="007C2FAA">
        <w:t> </w:t>
      </w:r>
      <w:r>
        <w:t>mg in 1.91</w:t>
      </w:r>
      <w:r w:rsidR="007C2FAA">
        <w:t> </w:t>
      </w:r>
      <w:r>
        <w:t>mL (110</w:t>
      </w:r>
      <w:r w:rsidR="007C2FAA">
        <w:t> </w:t>
      </w:r>
      <w:r>
        <w:t>mg/mL) solution</w:t>
      </w:r>
      <w:r w:rsidR="009C442B">
        <w:t xml:space="preserve"> </w:t>
      </w:r>
      <w:r>
        <w:t>for injection prefilled syringe, and T</w:t>
      </w:r>
      <w:r w:rsidR="007C2FAA">
        <w:t>ezspire</w:t>
      </w:r>
      <w:r>
        <w:t xml:space="preserve"> </w:t>
      </w:r>
      <w:r w:rsidR="007C2FAA">
        <w:t>(Tezepelumab)</w:t>
      </w:r>
      <w:r>
        <w:t xml:space="preserve"> 210</w:t>
      </w:r>
      <w:r w:rsidR="007C2FAA">
        <w:t> </w:t>
      </w:r>
      <w:r>
        <w:t>mg in 1.91</w:t>
      </w:r>
      <w:r w:rsidR="007C2FAA">
        <w:t> </w:t>
      </w:r>
      <w:r>
        <w:t>mL (110</w:t>
      </w:r>
      <w:r w:rsidR="007C2FAA">
        <w:t> </w:t>
      </w:r>
      <w:r>
        <w:t>mg/mL) solution for injection prefilled pen supplied in Australia must comply with</w:t>
      </w:r>
      <w:r w:rsidR="009C442B">
        <w:t xml:space="preserve"> </w:t>
      </w:r>
      <w:r>
        <w:t>the product details and specifications approved during evaluation and detailed in the</w:t>
      </w:r>
      <w:r w:rsidR="009C442B">
        <w:t xml:space="preserve"> </w:t>
      </w:r>
      <w:r>
        <w:t>Certified Product Details (CPD).</w:t>
      </w:r>
    </w:p>
    <w:p w14:paraId="19F85BE9" w14:textId="60E8E356" w:rsidR="00F01507" w:rsidRDefault="00F01507" w:rsidP="00BF6676">
      <w:pPr>
        <w:pStyle w:val="Numberbullet2"/>
      </w:pPr>
      <w:r>
        <w:t xml:space="preserve">When requested by the TGA, the </w:t>
      </w:r>
      <w:r w:rsidR="00D2222D">
        <w:t>s</w:t>
      </w:r>
      <w:r>
        <w:t>ponsor should be prepared to provide product</w:t>
      </w:r>
      <w:r w:rsidR="009C442B">
        <w:t xml:space="preserve"> </w:t>
      </w:r>
      <w:r>
        <w:t>samples, specified reference materials and documentary evidence to enable the TGA</w:t>
      </w:r>
      <w:r w:rsidR="009C442B">
        <w:t xml:space="preserve"> </w:t>
      </w:r>
      <w:r>
        <w:t xml:space="preserve">to conduct laboratory testing on the </w:t>
      </w:r>
      <w:r w:rsidR="00D2222D">
        <w:t>p</w:t>
      </w:r>
      <w:r>
        <w:t>roduct. Outcomes of laboratory testing are</w:t>
      </w:r>
      <w:r w:rsidR="009C442B">
        <w:t xml:space="preserve"> </w:t>
      </w:r>
      <w:r>
        <w:t xml:space="preserve">published biannually in the TGA Database of Laboratory Testing Results </w:t>
      </w:r>
      <w:hyperlink r:id="rId52" w:history="1">
        <w:r w:rsidR="00650DCC" w:rsidRPr="00C87BBD">
          <w:rPr>
            <w:rStyle w:val="Hyperlink"/>
          </w:rPr>
          <w:t>http://www.tga.gov.au/ws-labs-index</w:t>
        </w:r>
      </w:hyperlink>
      <w:r w:rsidR="00650DCC">
        <w:t xml:space="preserve"> </w:t>
      </w:r>
      <w:r>
        <w:t xml:space="preserve"> and periodically in testing reports on the TGA</w:t>
      </w:r>
      <w:r w:rsidR="00650DCC">
        <w:t xml:space="preserve"> </w:t>
      </w:r>
      <w:r>
        <w:t>website.</w:t>
      </w:r>
    </w:p>
    <w:p w14:paraId="67EAA7F3" w14:textId="2D0C5B1F" w:rsidR="00F01507" w:rsidRDefault="00F01507" w:rsidP="00F01507">
      <w:pPr>
        <w:pStyle w:val="ListBullet"/>
      </w:pPr>
      <w:r>
        <w:t>Certified Product Details</w:t>
      </w:r>
    </w:p>
    <w:p w14:paraId="76F0155B" w14:textId="7EF8B16F" w:rsidR="00F01507" w:rsidRDefault="00F01507" w:rsidP="00BF6676">
      <w:pPr>
        <w:pStyle w:val="ListBullet2"/>
      </w:pPr>
      <w:r>
        <w:t>The Certified Product Details (CPD), as described in Guidance 7: Certified Product</w:t>
      </w:r>
      <w:r w:rsidR="00650DCC">
        <w:t xml:space="preserve"> </w:t>
      </w:r>
      <w:r>
        <w:t>Details of the Australian Regulatory Guidelines for Prescription Medicines (ARGPM),</w:t>
      </w:r>
      <w:r w:rsidR="00650DCC">
        <w:t xml:space="preserve"> </w:t>
      </w:r>
      <w:r>
        <w:t>in PDF format, for the above products should be provided upon registration of these</w:t>
      </w:r>
      <w:r w:rsidR="00650DCC">
        <w:t xml:space="preserve"> </w:t>
      </w:r>
      <w:r>
        <w:t>therapeutic goods. In addition, an updated CPD should be provided when changes to</w:t>
      </w:r>
      <w:r w:rsidR="00650DCC">
        <w:t xml:space="preserve"> </w:t>
      </w:r>
      <w:r>
        <w:t>finished product specifications and test methods are approved in a Category 3</w:t>
      </w:r>
      <w:r w:rsidR="00650DCC">
        <w:t xml:space="preserve"> </w:t>
      </w:r>
      <w:r>
        <w:t>application or notified through a self-assessable change.</w:t>
      </w:r>
    </w:p>
    <w:p w14:paraId="310F3D18" w14:textId="17727178" w:rsidR="00F01507" w:rsidRDefault="00F01507" w:rsidP="00BF6676">
      <w:pPr>
        <w:pStyle w:val="ListBullet2"/>
      </w:pPr>
      <w:r>
        <w:t>A template for preparation of CPD for biological prescription medicines can be</w:t>
      </w:r>
      <w:r w:rsidR="00650DCC">
        <w:t xml:space="preserve"> </w:t>
      </w:r>
      <w:r>
        <w:t>obtained from the TGA website</w:t>
      </w:r>
    </w:p>
    <w:p w14:paraId="26782C1C" w14:textId="4573528A" w:rsidR="00F01507" w:rsidRDefault="00F01507" w:rsidP="00BF6676">
      <w:pPr>
        <w:pStyle w:val="ListBullet2"/>
      </w:pPr>
      <w:r>
        <w:t>[for the form] https://www.tga.gov.au/form/certified-product-details-cpdbiological-prescription-medicines</w:t>
      </w:r>
    </w:p>
    <w:p w14:paraId="6B40F414" w14:textId="77777777" w:rsidR="00F01507" w:rsidRDefault="00F01507" w:rsidP="00BF6676">
      <w:pPr>
        <w:pStyle w:val="ListBullet2"/>
      </w:pPr>
      <w:r>
        <w:t>[for the CPD guidance] https://www.tga.gov.au/guidance-7-certified-product-details</w:t>
      </w:r>
    </w:p>
    <w:p w14:paraId="02E10751" w14:textId="7C03B197" w:rsidR="00F01507" w:rsidRDefault="00F01507">
      <w:pPr>
        <w:pStyle w:val="ListBullet"/>
      </w:pPr>
      <w:r>
        <w:t>The following study reports are to be submitted to the TGA as soon as they are</w:t>
      </w:r>
      <w:r w:rsidR="00650DCC">
        <w:t xml:space="preserve"> </w:t>
      </w:r>
      <w:r>
        <w:t>available</w:t>
      </w:r>
    </w:p>
    <w:p w14:paraId="0DE265BA" w14:textId="725342A2" w:rsidR="00F01507" w:rsidRPr="00650DCC" w:rsidRDefault="00F01507" w:rsidP="00650DCC">
      <w:pPr>
        <w:pStyle w:val="ListBullet2"/>
      </w:pPr>
      <w:r w:rsidRPr="00650DCC">
        <w:t>Study D5180C00024 (SUNRISE)</w:t>
      </w:r>
    </w:p>
    <w:p w14:paraId="4057BCA6" w14:textId="768AA6DE" w:rsidR="00F01507" w:rsidRPr="00650DCC" w:rsidRDefault="00F01507" w:rsidP="00650DCC">
      <w:pPr>
        <w:pStyle w:val="ListBullet2"/>
      </w:pPr>
      <w:r w:rsidRPr="00650DCC">
        <w:t>Study D5180c00021 (DIRECTION).</w:t>
      </w:r>
    </w:p>
    <w:p w14:paraId="0F9C1952" w14:textId="223425E3" w:rsidR="00BA657C" w:rsidRPr="00BA657C" w:rsidRDefault="00BA657C" w:rsidP="00931234">
      <w:pPr>
        <w:pStyle w:val="Heading2"/>
      </w:pPr>
      <w:bookmarkStart w:id="142" w:name="_Toc230164575"/>
      <w:bookmarkStart w:id="143" w:name="_Toc196738290"/>
      <w:r w:rsidRPr="00BA657C">
        <w:lastRenderedPageBreak/>
        <w:t>Product Information and Consumer Medicine Information</w:t>
      </w:r>
      <w:bookmarkEnd w:id="142"/>
      <w:r w:rsidRPr="00BA657C">
        <w:t xml:space="preserve"> </w:t>
      </w:r>
      <w:bookmarkEnd w:id="143"/>
    </w:p>
    <w:p w14:paraId="40740B65" w14:textId="7A46151F" w:rsidR="00C22214" w:rsidRPr="008B4DA3" w:rsidRDefault="004D0933" w:rsidP="00035FB1">
      <w:bookmarkStart w:id="144" w:name="_Hlk200021736"/>
      <w:r w:rsidRPr="004D0933">
        <w:t xml:space="preserve">For the most recent Product Information (PI) and Consumer Medicines Information (CMI), please refer to the TGA </w:t>
      </w:r>
      <w:hyperlink r:id="rId53" w:history="1">
        <w:r w:rsidRPr="004D0933">
          <w:rPr>
            <w:rStyle w:val="Hyperlink"/>
          </w:rPr>
          <w:t>PI/CMI search facility.</w:t>
        </w:r>
      </w:hyperlink>
      <w:bookmarkEnd w:id="144"/>
    </w:p>
    <w:p w14:paraId="53357BF3" w14:textId="276457B5" w:rsidR="00C22214" w:rsidRDefault="00C22214" w:rsidP="00C22214">
      <w:pPr>
        <w:rPr>
          <w:lang w:eastAsia="ja-JP"/>
        </w:rPr>
        <w:sectPr w:rsidR="00C22214" w:rsidSect="007452E8">
          <w:headerReference w:type="default" r:id="rId54"/>
          <w:footerReference w:type="default" r:id="rId5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EC7C1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Pr="00974927" w:rsidRDefault="00F02AEC">
            <w:pPr>
              <w:pStyle w:val="Address"/>
              <w:jc w:val="center"/>
              <w:rPr>
                <w:sz w:val="22"/>
                <w:szCs w:val="22"/>
                <w:lang w:val="fr-FR"/>
              </w:rPr>
            </w:pPr>
            <w:proofErr w:type="gramStart"/>
            <w:r w:rsidRPr="00974927">
              <w:rPr>
                <w:lang w:val="fr-FR"/>
              </w:rPr>
              <w:t>Email:</w:t>
            </w:r>
            <w:proofErr w:type="gramEnd"/>
            <w:r w:rsidRPr="00974927">
              <w:rPr>
                <w:lang w:val="fr-FR"/>
              </w:rPr>
              <w:t xml:space="preserve"> </w:t>
            </w:r>
            <w:hyperlink r:id="rId56" w:history="1">
              <w:r w:rsidRPr="00974927">
                <w:rPr>
                  <w:rStyle w:val="Hyperlink"/>
                  <w:lang w:val="fr-FR"/>
                </w:rPr>
                <w:t>info@tga.gov.au</w:t>
              </w:r>
            </w:hyperlink>
            <w:r w:rsidRPr="00974927">
              <w:rPr>
                <w:lang w:val="fr-FR"/>
              </w:rPr>
              <w:t xml:space="preserve">  Phone: 1800 020 </w:t>
            </w:r>
            <w:proofErr w:type="gramStart"/>
            <w:r w:rsidRPr="00974927">
              <w:rPr>
                <w:lang w:val="fr-FR"/>
              </w:rPr>
              <w:t>653  Fax</w:t>
            </w:r>
            <w:proofErr w:type="gramEnd"/>
            <w:r w:rsidRPr="00974927">
              <w:rPr>
                <w:lang w:val="fr-FR"/>
              </w:rPr>
              <w:t>: 02 6203 1605</w:t>
            </w:r>
          </w:p>
          <w:p w14:paraId="4533D80F" w14:textId="1519D7A3" w:rsidR="00F02AEC" w:rsidRPr="00974927" w:rsidRDefault="00F02AEC">
            <w:pPr>
              <w:pStyle w:val="Address"/>
              <w:jc w:val="center"/>
              <w:rPr>
                <w:rStyle w:val="Hyperlink"/>
                <w:color w:val="auto"/>
                <w:sz w:val="22"/>
                <w:lang w:val="fr-FR"/>
              </w:rPr>
            </w:pPr>
            <w:hyperlink r:id="rId57" w:history="1">
              <w:r w:rsidRPr="00974927">
                <w:rPr>
                  <w:rStyle w:val="Hyperlink"/>
                  <w:lang w:val="fr-FR"/>
                </w:rPr>
                <w:t>https://www.tga.gov.au</w:t>
              </w:r>
            </w:hyperlink>
          </w:p>
        </w:tc>
      </w:tr>
      <w:tr w:rsidR="00F02AEC" w:rsidRPr="00EC7C18" w14:paraId="2AD74347" w14:textId="77777777" w:rsidTr="007452E8">
        <w:trPr>
          <w:trHeight w:val="251"/>
          <w:jc w:val="center"/>
        </w:trPr>
        <w:tc>
          <w:tcPr>
            <w:tcW w:w="9145" w:type="dxa"/>
            <w:tcMar>
              <w:top w:w="28" w:type="dxa"/>
            </w:tcMar>
          </w:tcPr>
          <w:p w14:paraId="6EAAD5C1" w14:textId="3A7943DC" w:rsidR="00F02AEC" w:rsidRPr="00736E6C" w:rsidRDefault="00F02AEC" w:rsidP="007452E8">
            <w:pPr>
              <w:pStyle w:val="Address"/>
              <w:jc w:val="center"/>
              <w:rPr>
                <w:lang w:val="fr-FR"/>
              </w:rPr>
            </w:pPr>
          </w:p>
        </w:tc>
      </w:tr>
    </w:tbl>
    <w:p w14:paraId="788B80FD" w14:textId="77777777" w:rsidR="007452E8" w:rsidRPr="00736E6C" w:rsidRDefault="007452E8">
      <w:pPr>
        <w:rPr>
          <w:lang w:val="fr-FR"/>
        </w:rPr>
      </w:pPr>
    </w:p>
    <w:sectPr w:rsidR="007452E8" w:rsidRPr="00736E6C" w:rsidSect="007452E8">
      <w:headerReference w:type="first" r:id="rId58"/>
      <w:footerReference w:type="first" r:id="rId5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989A2" w14:textId="77777777" w:rsidR="0090652C" w:rsidRDefault="0090652C" w:rsidP="00F02AEC">
      <w:pPr>
        <w:spacing w:after="0" w:line="240" w:lineRule="auto"/>
      </w:pPr>
      <w:r>
        <w:separator/>
      </w:r>
    </w:p>
  </w:endnote>
  <w:endnote w:type="continuationSeparator" w:id="0">
    <w:p w14:paraId="5B38DF25" w14:textId="77777777" w:rsidR="0090652C" w:rsidRDefault="0090652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LyonText-Regular">
    <w:altName w:val="Yu Gothic"/>
    <w:panose1 w:val="00000000000000000000"/>
    <w:charset w:val="80"/>
    <w:family w:val="roman"/>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83" w:usb1="09070000" w:usb2="00000010" w:usb3="00000000" w:csb0="000A0009" w:csb1="00000000"/>
  </w:font>
  <w:font w:name="TimesNewRoman,Bold">
    <w:altName w:val="Times New Roman"/>
    <w:panose1 w:val="00000000000000000000"/>
    <w:charset w:val="00"/>
    <w:family w:val="auto"/>
    <w:notTrueType/>
    <w:pitch w:val="default"/>
    <w:sig w:usb0="00000083" w:usb1="08070000" w:usb2="00000010" w:usb3="00000000" w:csb0="00020009"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Verdan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9E894" w14:textId="634B9DD0" w:rsidR="00276AE9" w:rsidRDefault="005006DF">
    <w:pPr>
      <w:pStyle w:val="Footer"/>
    </w:pPr>
    <w:r>
      <w:rPr>
        <w:noProof/>
      </w:rPr>
      <mc:AlternateContent>
        <mc:Choice Requires="wps">
          <w:drawing>
            <wp:anchor distT="0" distB="0" distL="0" distR="0" simplePos="0" relativeHeight="251658247" behindDoc="0" locked="0" layoutInCell="1" allowOverlap="1" wp14:anchorId="66F22840" wp14:editId="4EE9954B">
              <wp:simplePos x="635" y="635"/>
              <wp:positionH relativeFrom="page">
                <wp:align>center</wp:align>
              </wp:positionH>
              <wp:positionV relativeFrom="page">
                <wp:align>bottom</wp:align>
              </wp:positionV>
              <wp:extent cx="622300" cy="391160"/>
              <wp:effectExtent l="0" t="0" r="6350" b="0"/>
              <wp:wrapNone/>
              <wp:docPr id="121956494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D419B06" w14:textId="18E511B8"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F22840"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3D419B06" w14:textId="18E511B8"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1B92BF4B" w:rsidR="007452E8" w:rsidRDefault="005006DF" w:rsidP="007452E8">
          <w:pPr>
            <w:pStyle w:val="Footer"/>
          </w:pPr>
          <w:r>
            <w:rPr>
              <w:noProof/>
            </w:rPr>
            <mc:AlternateContent>
              <mc:Choice Requires="wps">
                <w:drawing>
                  <wp:anchor distT="0" distB="0" distL="0" distR="0" simplePos="0" relativeHeight="251658248" behindDoc="0" locked="0" layoutInCell="1" allowOverlap="1" wp14:anchorId="67C1634E" wp14:editId="4524BACB">
                    <wp:simplePos x="635" y="635"/>
                    <wp:positionH relativeFrom="page">
                      <wp:align>center</wp:align>
                    </wp:positionH>
                    <wp:positionV relativeFrom="page">
                      <wp:align>bottom</wp:align>
                    </wp:positionV>
                    <wp:extent cx="622300" cy="391160"/>
                    <wp:effectExtent l="0" t="0" r="6350" b="0"/>
                    <wp:wrapNone/>
                    <wp:docPr id="190009350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4ABE763" w14:textId="41D89064"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C1634E"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34ABE763" w14:textId="41D89064"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2380AE50" w:rsidR="007452E8" w:rsidRDefault="005006DF" w:rsidP="007452E8">
    <w:pPr>
      <w:pStyle w:val="Footer"/>
      <w:ind w:left="-1701"/>
    </w:pPr>
    <w:r>
      <w:rPr>
        <w:noProof/>
      </w:rPr>
      <mc:AlternateContent>
        <mc:Choice Requires="wps">
          <w:drawing>
            <wp:anchor distT="0" distB="0" distL="0" distR="0" simplePos="0" relativeHeight="251658246" behindDoc="0" locked="0" layoutInCell="1" allowOverlap="1" wp14:anchorId="1AABF933" wp14:editId="0BB48C5F">
              <wp:simplePos x="635" y="635"/>
              <wp:positionH relativeFrom="page">
                <wp:align>center</wp:align>
              </wp:positionH>
              <wp:positionV relativeFrom="page">
                <wp:align>bottom</wp:align>
              </wp:positionV>
              <wp:extent cx="622300" cy="391160"/>
              <wp:effectExtent l="0" t="0" r="6350" b="0"/>
              <wp:wrapNone/>
              <wp:docPr id="95903803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5737001" w14:textId="589C8EC8"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ABF933"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25737001" w14:textId="589C8EC8"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33BC351C" w:rsidR="007452E8" w:rsidRPr="004A3084" w:rsidRDefault="007452E8" w:rsidP="007452E8">
          <w:pPr>
            <w:pStyle w:val="Footer"/>
          </w:pPr>
          <w:r w:rsidRPr="00487162">
            <w:t>AusPA</w:t>
          </w:r>
          <w:r>
            <w:t>R - T</w:t>
          </w:r>
          <w:r w:rsidR="00AE5C78">
            <w:t>ezspire</w:t>
          </w:r>
          <w:r>
            <w:t xml:space="preserve"> -</w:t>
          </w:r>
          <w:r w:rsidRPr="00460036">
            <w:t xml:space="preserve"> </w:t>
          </w:r>
          <w:proofErr w:type="spellStart"/>
          <w:r w:rsidR="00FD2435">
            <w:t>tezepelumab</w:t>
          </w:r>
          <w:proofErr w:type="spellEnd"/>
          <w:r w:rsidRPr="00460036">
            <w:t xml:space="preserve"> </w:t>
          </w:r>
          <w:r w:rsidR="00FD2435">
            <w:t>–</w:t>
          </w:r>
          <w:r>
            <w:t xml:space="preserve"> </w:t>
          </w:r>
          <w:r w:rsidR="00FD2435">
            <w:t>AstraZeneca Pty Ltd</w:t>
          </w:r>
          <w:r>
            <w:t xml:space="preserve"> - PM-202</w:t>
          </w:r>
          <w:r w:rsidR="00FD2435">
            <w:t>3</w:t>
          </w:r>
          <w:r w:rsidRPr="00487162">
            <w:t>-</w:t>
          </w:r>
          <w:r w:rsidR="00FD2435">
            <w:t>05</w:t>
          </w:r>
          <w:r w:rsidR="005F35CA">
            <w:t>365-1-5</w:t>
          </w:r>
          <w:r>
            <w:br/>
          </w:r>
          <w:r w:rsidR="001C4F64" w:rsidRPr="00EC7C18">
            <w:t>Date of finalisation:</w:t>
          </w:r>
          <w:r w:rsidR="00EC7C18">
            <w:t xml:space="preserve"> 20 May 2026</w:t>
          </w:r>
          <w:r w:rsidR="001C4F64">
            <w:t xml:space="preserve"> </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0BDCA973" w:rsidR="007452E8" w:rsidRPr="008E3C43" w:rsidRDefault="005006DF" w:rsidP="007452E8">
    <w:pPr>
      <w:pStyle w:val="Footer"/>
    </w:pPr>
    <w:r>
      <w:rPr>
        <w:noProof/>
      </w:rPr>
      <mc:AlternateContent>
        <mc:Choice Requires="wps">
          <w:drawing>
            <wp:anchor distT="0" distB="0" distL="0" distR="0" simplePos="0" relativeHeight="251658250" behindDoc="0" locked="0" layoutInCell="1" allowOverlap="1" wp14:anchorId="2B5D645D" wp14:editId="2ADACAA1">
              <wp:simplePos x="635" y="635"/>
              <wp:positionH relativeFrom="page">
                <wp:align>center</wp:align>
              </wp:positionH>
              <wp:positionV relativeFrom="page">
                <wp:align>bottom</wp:align>
              </wp:positionV>
              <wp:extent cx="622300" cy="391160"/>
              <wp:effectExtent l="0" t="0" r="6350" b="0"/>
              <wp:wrapNone/>
              <wp:docPr id="181004025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7F19F68" w14:textId="5B7D0477"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5D645D" id="_x0000_t202" coordsize="21600,21600" o:spt="202" path="m,l,21600r21600,l21600,xe">
              <v:stroke joinstyle="miter"/>
              <v:path gradientshapeok="t" o:connecttype="rect"/>
            </v:shapetype>
            <v:shape id="Text Box 10" o:spid="_x0000_s1034" type="#_x0000_t202" alt="OFFICIAL" style="position:absolute;margin-left:0;margin-top:0;width:49pt;height:30.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07F19F68" w14:textId="5B7D0477"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4B2F7" w14:textId="77777777" w:rsidR="0090652C" w:rsidRDefault="0090652C" w:rsidP="00F02AEC">
      <w:pPr>
        <w:spacing w:after="0" w:line="240" w:lineRule="auto"/>
      </w:pPr>
      <w:r>
        <w:separator/>
      </w:r>
    </w:p>
  </w:footnote>
  <w:footnote w:type="continuationSeparator" w:id="0">
    <w:p w14:paraId="6797FFEC" w14:textId="77777777" w:rsidR="0090652C" w:rsidRDefault="0090652C" w:rsidP="00F02AEC">
      <w:pPr>
        <w:spacing w:after="0" w:line="240" w:lineRule="auto"/>
      </w:pPr>
      <w:r>
        <w:continuationSeparator/>
      </w:r>
    </w:p>
  </w:footnote>
  <w:footnote w:id="1">
    <w:p w14:paraId="68402A9B" w14:textId="42E6F8E0" w:rsidR="007452E8" w:rsidRPr="00F230DF" w:rsidRDefault="007452E8" w:rsidP="00F230DF">
      <w:pPr>
        <w:pStyle w:val="FootnoteText"/>
      </w:pPr>
      <w:r w:rsidRPr="00F230DF">
        <w:rPr>
          <w:rStyle w:val="FootnoteReference"/>
          <w:vertAlign w:val="baseline"/>
        </w:rPr>
        <w:footnoteRef/>
      </w:r>
      <w:r w:rsidRPr="00F230DF">
        <w:t xml:space="preserve"> </w:t>
      </w:r>
      <w:r w:rsidR="00FB236E" w:rsidRPr="00F230DF">
        <w:t xml:space="preserve">This is the original indication proposed by the sponsor when the TGA commenced the evaluation of this submission. It </w:t>
      </w:r>
      <w:r w:rsidRPr="00F230DF">
        <w:t xml:space="preserve">may </w:t>
      </w:r>
      <w:r w:rsidR="00FB236E" w:rsidRPr="00F230DF">
        <w:t>differ</w:t>
      </w:r>
      <w:r w:rsidRPr="00F230DF">
        <w:t xml:space="preserve"> to the final indication approved by th</w:t>
      </w:r>
      <w:r w:rsidR="00FB236E" w:rsidRPr="00F230DF">
        <w:t xml:space="preserve">e TGA and registered </w:t>
      </w:r>
      <w:r w:rsidR="005C4B46" w:rsidRPr="00F230DF">
        <w:t xml:space="preserve">in </w:t>
      </w:r>
      <w:r w:rsidR="00FB236E" w:rsidRPr="00F230DF">
        <w:t>the Australian Register of Therapeutic Goods.</w:t>
      </w:r>
    </w:p>
  </w:footnote>
  <w:footnote w:id="2">
    <w:p w14:paraId="47EBE101" w14:textId="3947175B" w:rsidR="000678DA" w:rsidRPr="00F230DF" w:rsidRDefault="000678DA" w:rsidP="00F230DF">
      <w:pPr>
        <w:pStyle w:val="FootnoteText"/>
        <w:rPr>
          <w:highlight w:val="yellow"/>
        </w:rPr>
      </w:pPr>
      <w:r w:rsidRPr="00AD5122">
        <w:rPr>
          <w:rStyle w:val="FootnoteReference"/>
          <w:vertAlign w:val="baseline"/>
        </w:rPr>
        <w:footnoteRef/>
      </w:r>
      <w:r w:rsidRPr="00AD5122">
        <w:t xml:space="preserve"> </w:t>
      </w:r>
      <w:r w:rsidR="00AD5122" w:rsidRPr="00AD5122">
        <w:t>Global Initiative for Asthma. Global Strategy for Asthma Management and Prevention, 2022. Available from: www.ginasthma.org</w:t>
      </w:r>
    </w:p>
  </w:footnote>
  <w:footnote w:id="3">
    <w:p w14:paraId="3CF75554" w14:textId="26584D29" w:rsidR="00EA558B" w:rsidRPr="00F230DF" w:rsidRDefault="00EA558B" w:rsidP="00F230DF">
      <w:pPr>
        <w:pStyle w:val="FootnoteText"/>
      </w:pPr>
      <w:r w:rsidRPr="006055F2">
        <w:rPr>
          <w:rStyle w:val="FootnoteReference"/>
          <w:vertAlign w:val="baseline"/>
        </w:rPr>
        <w:footnoteRef/>
      </w:r>
      <w:r w:rsidRPr="006055F2">
        <w:t xml:space="preserve"> </w:t>
      </w:r>
      <w:r w:rsidR="00DF4EE0" w:rsidRPr="006055F2">
        <w:t xml:space="preserve">GBD 2019 Diseases and Injuries Collaborators. Global burden of 369 diseases and injuries in 204 countries and territories, 1990–2019: a systematic analysis for the Global Burden of Disease Study 2019. </w:t>
      </w:r>
      <w:r w:rsidR="00DF4EE0" w:rsidRPr="006055F2">
        <w:rPr>
          <w:i/>
          <w:iCs/>
        </w:rPr>
        <w:t>Lancet</w:t>
      </w:r>
      <w:r w:rsidR="00DF4EE0" w:rsidRPr="006055F2">
        <w:t xml:space="preserve"> 2020;396(10258):1204-</w:t>
      </w:r>
      <w:r w:rsidR="006055F2" w:rsidRPr="006055F2">
        <w:t>12</w:t>
      </w:r>
      <w:r w:rsidR="00DF4EE0" w:rsidRPr="006055F2">
        <w:t>22.</w:t>
      </w:r>
      <w:r w:rsidR="00C07ECA" w:rsidRPr="006055F2">
        <w:t xml:space="preserve"> </w:t>
      </w:r>
      <w:r w:rsidR="00C07ECA" w:rsidRPr="006055F2">
        <w:t>doi: 10.1016/S0140-6736(20)30925-9.</w:t>
      </w:r>
    </w:p>
  </w:footnote>
  <w:footnote w:id="4">
    <w:p w14:paraId="18D7DB02" w14:textId="323E26C4" w:rsidR="00A25295" w:rsidRPr="00B14034" w:rsidRDefault="00A25295" w:rsidP="00F230DF">
      <w:pPr>
        <w:pStyle w:val="FootnoteText"/>
      </w:pPr>
      <w:r w:rsidRPr="00B14034">
        <w:rPr>
          <w:rStyle w:val="FootnoteReference"/>
          <w:vertAlign w:val="baseline"/>
        </w:rPr>
        <w:footnoteRef/>
      </w:r>
      <w:r w:rsidRPr="00B14034">
        <w:t xml:space="preserve"> </w:t>
      </w:r>
      <w:r w:rsidR="006E1C04" w:rsidRPr="00B14034">
        <w:t>Australian Institute of Health and Welfare. Asthma [Internet]. Canberra: Australian Institute of Health and Welfare, 2024 [cited 2025 Jul. 22]. Available from: https://www.aihw.gov.au/reports/chronic-respiratory-conditions/asthma</w:t>
      </w:r>
      <w:r w:rsidR="00B14034" w:rsidRPr="00B14034">
        <w:t>.</w:t>
      </w:r>
    </w:p>
  </w:footnote>
  <w:footnote w:id="5">
    <w:p w14:paraId="54F633EF" w14:textId="22172C1A" w:rsidR="00DC190A" w:rsidRDefault="00DC190A">
      <w:pPr>
        <w:pStyle w:val="FootnoteText"/>
      </w:pPr>
      <w:r w:rsidRPr="005E6D5A">
        <w:rPr>
          <w:rStyle w:val="FootnoteReference"/>
          <w:vertAlign w:val="baseline"/>
        </w:rPr>
        <w:footnoteRef/>
      </w:r>
      <w:r w:rsidRPr="005E6D5A">
        <w:t xml:space="preserve"> </w:t>
      </w:r>
      <w:r w:rsidR="005E6D5A" w:rsidRPr="005E6D5A">
        <w:t>Australian Bureau of Statistics. </w:t>
      </w:r>
      <w:r w:rsidR="005E6D5A" w:rsidRPr="005E6D5A">
        <w:rPr>
          <w:i/>
          <w:iCs/>
        </w:rPr>
        <w:t>Asthma</w:t>
      </w:r>
      <w:r w:rsidR="005E6D5A" w:rsidRPr="005E6D5A">
        <w:t> [Internet]. Canberra: ABS; 2022 [cited 2025 July 22]. Available from: https://www.abs.gov.au/statistics/health/health-conditions-and-risks/asthma/latest-release.</w:t>
      </w:r>
    </w:p>
  </w:footnote>
  <w:footnote w:id="6">
    <w:p w14:paraId="7BFC2585" w14:textId="492B73AC" w:rsidR="00733F2F" w:rsidRPr="00160032" w:rsidRDefault="00733F2F" w:rsidP="00353261">
      <w:pPr>
        <w:pStyle w:val="FootnoteText"/>
        <w:rPr>
          <w:rStyle w:val="FootnoteTextChar"/>
        </w:rPr>
      </w:pPr>
      <w:r>
        <w:rPr>
          <w:rStyle w:val="FootnoteReference"/>
        </w:rPr>
        <w:footnoteRef/>
      </w:r>
      <w:r>
        <w:t xml:space="preserve"> </w:t>
      </w:r>
      <w:r w:rsidR="002C6B40" w:rsidRPr="00160032">
        <w:rPr>
          <w:rStyle w:val="FootnoteTextChar"/>
        </w:rPr>
        <w:t xml:space="preserve">Reddel HK, Sawyer SM, Everett PW, Flood PV, Peters MJ. Asthma control in Australia: a cross-sectional web-based survey in a nationally representative population. </w:t>
      </w:r>
      <w:r w:rsidR="002C6B40" w:rsidRPr="00160032">
        <w:rPr>
          <w:rStyle w:val="FootnoteTextChar"/>
          <w:i/>
          <w:iCs/>
        </w:rPr>
        <w:t>Med J Aust</w:t>
      </w:r>
      <w:r w:rsidR="00C52559" w:rsidRPr="00160032">
        <w:rPr>
          <w:rStyle w:val="FootnoteTextChar"/>
        </w:rPr>
        <w:t xml:space="preserve"> 2015</w:t>
      </w:r>
      <w:r w:rsidR="00266D73" w:rsidRPr="00160032">
        <w:rPr>
          <w:rStyle w:val="FootnoteTextChar"/>
        </w:rPr>
        <w:t>; 202(9):492-</w:t>
      </w:r>
      <w:r w:rsidR="00160032" w:rsidRPr="00160032">
        <w:rPr>
          <w:rStyle w:val="FootnoteTextChar"/>
        </w:rPr>
        <w:t>496.</w:t>
      </w:r>
      <w:r w:rsidR="00160032">
        <w:rPr>
          <w:rStyle w:val="FootnoteTextChar"/>
        </w:rPr>
        <w:t xml:space="preserve"> </w:t>
      </w:r>
      <w:r w:rsidR="00C52559" w:rsidRPr="00160032">
        <w:rPr>
          <w:rStyle w:val="FootnoteTextChar"/>
        </w:rPr>
        <w:t>d</w:t>
      </w:r>
      <w:r w:rsidR="006049C4" w:rsidRPr="006049C4">
        <w:rPr>
          <w:rStyle w:val="FootnoteTextChar"/>
        </w:rPr>
        <w:t>oi</w:t>
      </w:r>
      <w:r w:rsidR="00C52559" w:rsidRPr="00160032">
        <w:rPr>
          <w:rStyle w:val="FootnoteTextChar"/>
        </w:rPr>
        <w:t>: </w:t>
      </w:r>
      <w:r w:rsidR="006049C4" w:rsidRPr="006049C4">
        <w:rPr>
          <w:rStyle w:val="FootnoteTextChar"/>
        </w:rPr>
        <w:t>10.5694/mja14.01564</w:t>
      </w:r>
      <w:r w:rsidR="00160032" w:rsidRPr="00160032">
        <w:rPr>
          <w:rStyle w:val="FootnoteTextChar"/>
        </w:rPr>
        <w:t>.</w:t>
      </w:r>
    </w:p>
  </w:footnote>
  <w:footnote w:id="7">
    <w:p w14:paraId="00ADB1F2" w14:textId="1A5F38A7" w:rsidR="004E15F9" w:rsidRDefault="004E15F9" w:rsidP="00353261">
      <w:pPr>
        <w:pStyle w:val="FootnoteText"/>
      </w:pPr>
      <w:r>
        <w:rPr>
          <w:rStyle w:val="FootnoteReference"/>
        </w:rPr>
        <w:footnoteRef/>
      </w:r>
      <w:r>
        <w:t xml:space="preserve"> </w:t>
      </w:r>
      <w:r w:rsidR="00CE4E22" w:rsidRPr="00C6641A">
        <w:rPr>
          <w:lang w:val="de-CH"/>
        </w:rPr>
        <w:t xml:space="preserve">Bender B, Oppenheimer J, George M, et al. </w:t>
      </w:r>
      <w:r w:rsidR="00CE4E22" w:rsidRPr="00C6641A">
        <w:t xml:space="preserve">Assessment of Real-World Escalation to Biologics in US Patients </w:t>
      </w:r>
      <w:r w:rsidR="00CE4E22" w:rsidRPr="00C6641A">
        <w:t xml:space="preserve">With Asthma. </w:t>
      </w:r>
      <w:r w:rsidR="00CE4E22" w:rsidRPr="0042151C">
        <w:rPr>
          <w:i/>
          <w:iCs/>
        </w:rPr>
        <w:t>J</w:t>
      </w:r>
      <w:r w:rsidR="0042151C" w:rsidRPr="0042151C">
        <w:rPr>
          <w:i/>
          <w:iCs/>
        </w:rPr>
        <w:t> </w:t>
      </w:r>
      <w:r w:rsidR="00CE4E22" w:rsidRPr="0042151C">
        <w:rPr>
          <w:i/>
          <w:iCs/>
        </w:rPr>
        <w:t xml:space="preserve">Allergy Clin Immunol </w:t>
      </w:r>
      <w:r w:rsidR="00CE4E22" w:rsidRPr="0042151C">
        <w:rPr>
          <w:i/>
          <w:iCs/>
        </w:rPr>
        <w:t>Pract</w:t>
      </w:r>
      <w:r w:rsidR="00CE4E22" w:rsidRPr="00C6641A">
        <w:t xml:space="preserve"> </w:t>
      </w:r>
      <w:r w:rsidR="007F55A0" w:rsidRPr="007F55A0">
        <w:rPr>
          <w:color w:val="000000"/>
        </w:rPr>
        <w:t>2022;10(11):2941-2948.</w:t>
      </w:r>
      <w:r w:rsidR="0042151C">
        <w:t xml:space="preserve"> </w:t>
      </w:r>
      <w:r w:rsidR="007F55A0" w:rsidRPr="007F55A0">
        <w:t>doi:</w:t>
      </w:r>
      <w:r w:rsidR="007F55A0">
        <w:t> </w:t>
      </w:r>
      <w:r w:rsidR="007F55A0" w:rsidRPr="007F55A0">
        <w:t xml:space="preserve">10.1016/j.jaip.2022.07.016. </w:t>
      </w:r>
      <w:r w:rsidR="00CE4E22" w:rsidRPr="00C6641A">
        <w:t>10:2941.</w:t>
      </w:r>
    </w:p>
  </w:footnote>
  <w:footnote w:id="8">
    <w:p w14:paraId="01496B23" w14:textId="24EE0A43" w:rsidR="006D6C0E" w:rsidRPr="001C4F64" w:rsidRDefault="006D6C0E" w:rsidP="00353261">
      <w:pPr>
        <w:pStyle w:val="FootnoteText"/>
        <w:rPr>
          <w:lang w:val="it-IT"/>
        </w:rPr>
      </w:pPr>
      <w:r>
        <w:rPr>
          <w:rStyle w:val="FootnoteReference"/>
        </w:rPr>
        <w:footnoteRef/>
      </w:r>
      <w:r>
        <w:t xml:space="preserve"> </w:t>
      </w:r>
      <w:r w:rsidRPr="00C6641A">
        <w:t xml:space="preserve">Chung KF, Wenzel SE, Brozek JL, </w:t>
      </w:r>
      <w:r>
        <w:t>et al</w:t>
      </w:r>
      <w:r w:rsidRPr="00C6641A">
        <w:t xml:space="preserve">. International ERS/ATS guidelines on definition, evaluation and treatment of severe asthma. </w:t>
      </w:r>
      <w:r w:rsidRPr="001C4F64">
        <w:rPr>
          <w:i/>
          <w:iCs/>
          <w:lang w:val="it-IT"/>
        </w:rPr>
        <w:t>Eur Respir J</w:t>
      </w:r>
      <w:r w:rsidR="00386B67" w:rsidRPr="001C4F64">
        <w:rPr>
          <w:lang w:val="it-IT"/>
        </w:rPr>
        <w:t xml:space="preserve"> </w:t>
      </w:r>
      <w:r w:rsidRPr="001C4F64">
        <w:rPr>
          <w:lang w:val="it-IT"/>
        </w:rPr>
        <w:t>2014;43</w:t>
      </w:r>
      <w:r w:rsidR="00EE28C9" w:rsidRPr="001C4F64">
        <w:rPr>
          <w:lang w:val="it-IT"/>
        </w:rPr>
        <w:t>(2)</w:t>
      </w:r>
      <w:r w:rsidRPr="001C4F64">
        <w:rPr>
          <w:lang w:val="it-IT"/>
        </w:rPr>
        <w:t>:343-</w:t>
      </w:r>
      <w:r w:rsidR="00EE28C9" w:rsidRPr="001C4F64">
        <w:rPr>
          <w:lang w:val="it-IT"/>
        </w:rPr>
        <w:t>3</w:t>
      </w:r>
      <w:r w:rsidRPr="001C4F64">
        <w:rPr>
          <w:lang w:val="it-IT"/>
        </w:rPr>
        <w:t xml:space="preserve">73. </w:t>
      </w:r>
      <w:r w:rsidR="00EE28C9" w:rsidRPr="001C4F64">
        <w:rPr>
          <w:lang w:val="it-IT"/>
        </w:rPr>
        <w:t>doi: 10.1183/09031936.00202013.</w:t>
      </w:r>
    </w:p>
  </w:footnote>
  <w:footnote w:id="9">
    <w:p w14:paraId="18AA828C" w14:textId="7B644A66" w:rsidR="00AC1EC0" w:rsidRDefault="00AC1EC0" w:rsidP="00353261">
      <w:pPr>
        <w:pStyle w:val="FootnoteText"/>
      </w:pPr>
      <w:r>
        <w:rPr>
          <w:rStyle w:val="FootnoteReference"/>
        </w:rPr>
        <w:footnoteRef/>
      </w:r>
      <w:r w:rsidRPr="001C4F64">
        <w:rPr>
          <w:lang w:val="it-IT"/>
        </w:rPr>
        <w:t xml:space="preserve"> </w:t>
      </w:r>
      <w:r w:rsidR="00C56FCD" w:rsidRPr="001C4F64">
        <w:rPr>
          <w:lang w:val="it-IT"/>
        </w:rPr>
        <w:t>Rodriguez del Rio P, Liu AH</w:t>
      </w:r>
      <w:r w:rsidR="005763CF" w:rsidRPr="001C4F64">
        <w:rPr>
          <w:lang w:val="it-IT"/>
        </w:rPr>
        <w:t xml:space="preserve">, </w:t>
      </w:r>
      <w:r w:rsidR="00C56FCD" w:rsidRPr="001C4F64">
        <w:rPr>
          <w:lang w:val="it-IT"/>
        </w:rPr>
        <w:t>Borres MP</w:t>
      </w:r>
      <w:r w:rsidR="005763CF" w:rsidRPr="001C4F64">
        <w:rPr>
          <w:lang w:val="it-IT"/>
        </w:rPr>
        <w:t>, et al.</w:t>
      </w:r>
      <w:r w:rsidR="00C56FCD" w:rsidRPr="001C4F64">
        <w:rPr>
          <w:lang w:val="it-IT"/>
        </w:rPr>
        <w:t xml:space="preserve"> </w:t>
      </w:r>
      <w:r w:rsidR="00C56FCD" w:rsidRPr="00E347DB">
        <w:t xml:space="preserve">Asthma and Allergy: Unravelling a Tangled Relationship with a Focus on New Biomarkers and Treatment. </w:t>
      </w:r>
      <w:r w:rsidR="00C56FCD" w:rsidRPr="00723946">
        <w:rPr>
          <w:i/>
          <w:iCs/>
        </w:rPr>
        <w:t>Int J Mol Sci</w:t>
      </w:r>
      <w:r w:rsidR="00C56FCD" w:rsidRPr="00E347DB">
        <w:t xml:space="preserve"> </w:t>
      </w:r>
      <w:r w:rsidR="00C56FCD" w:rsidRPr="00E347DB">
        <w:t>2022</w:t>
      </w:r>
      <w:r w:rsidR="00E83FC1">
        <w:t>;</w:t>
      </w:r>
      <w:r w:rsidR="00C56FCD" w:rsidRPr="00E347DB">
        <w:t>23</w:t>
      </w:r>
      <w:r w:rsidR="00E83FC1">
        <w:t>:</w:t>
      </w:r>
      <w:r w:rsidR="00C56FCD" w:rsidRPr="00E347DB">
        <w:t xml:space="preserve">3881. </w:t>
      </w:r>
      <w:r w:rsidR="00723946">
        <w:t>d</w:t>
      </w:r>
      <w:r w:rsidR="00C56FCD" w:rsidRPr="00E347DB">
        <w:t>oi</w:t>
      </w:r>
      <w:r w:rsidR="00723946">
        <w:t>: </w:t>
      </w:r>
      <w:r w:rsidR="00C56FCD" w:rsidRPr="00E347DB">
        <w:t>10.3390/ijms23073881</w:t>
      </w:r>
      <w:r w:rsidR="00723946">
        <w:t>.</w:t>
      </w:r>
    </w:p>
  </w:footnote>
  <w:footnote w:id="10">
    <w:p w14:paraId="4E45ED42" w14:textId="35118961" w:rsidR="00842B39" w:rsidRDefault="00842B39" w:rsidP="00C415E7">
      <w:pPr>
        <w:pStyle w:val="FootnoteText"/>
      </w:pPr>
      <w:r>
        <w:rPr>
          <w:rStyle w:val="FootnoteReference"/>
        </w:rPr>
        <w:footnoteRef/>
      </w:r>
      <w:r>
        <w:t xml:space="preserve"> </w:t>
      </w:r>
      <w:r w:rsidRPr="00C6641A">
        <w:t xml:space="preserve">Ambrose CS, Chipps BE, Moore WC, </w:t>
      </w:r>
      <w:r w:rsidR="00C415E7">
        <w:t>et al.</w:t>
      </w:r>
      <w:r w:rsidRPr="00C6641A">
        <w:t xml:space="preserve"> The CHRONICLE study of US adults with subspecialist-treated severe asthma: objectives, design, and initial results. </w:t>
      </w:r>
      <w:r w:rsidR="00E34696" w:rsidRPr="00E85CE3">
        <w:rPr>
          <w:i/>
          <w:iCs/>
        </w:rPr>
        <w:t>Pragmat Obs Res</w:t>
      </w:r>
      <w:r w:rsidR="00E34696" w:rsidRPr="00E34696">
        <w:t xml:space="preserve">. </w:t>
      </w:r>
      <w:r w:rsidR="00E34696" w:rsidRPr="00E34696">
        <w:t>2020</w:t>
      </w:r>
      <w:r w:rsidR="00E85CE3">
        <w:t>;</w:t>
      </w:r>
      <w:r w:rsidR="00E34696" w:rsidRPr="00E34696">
        <w:t>16</w:t>
      </w:r>
      <w:r w:rsidR="00E85CE3">
        <w:t>:</w:t>
      </w:r>
      <w:r w:rsidR="00E34696" w:rsidRPr="00E34696">
        <w:t>11:77-90. doi:</w:t>
      </w:r>
      <w:r w:rsidR="00E85CE3">
        <w:t> </w:t>
      </w:r>
      <w:r w:rsidR="00E34696" w:rsidRPr="00E34696">
        <w:t>10.2147/POR.S251120.</w:t>
      </w:r>
    </w:p>
  </w:footnote>
  <w:footnote w:id="11">
    <w:p w14:paraId="49500170" w14:textId="403FC877" w:rsidR="001E3A5F" w:rsidRPr="001C4F64" w:rsidRDefault="001E3A5F">
      <w:pPr>
        <w:pStyle w:val="FootnoteText"/>
        <w:rPr>
          <w:lang w:val="it-IT"/>
        </w:rPr>
      </w:pPr>
      <w:r>
        <w:rPr>
          <w:rStyle w:val="FootnoteReference"/>
        </w:rPr>
        <w:footnoteRef/>
      </w:r>
      <w:r>
        <w:t xml:space="preserve"> </w:t>
      </w:r>
      <w:r w:rsidR="00C415E7" w:rsidRPr="00C6641A">
        <w:t xml:space="preserve">Akenroye A, McCormack M, Keet C. Severe asthma in the US population and eligibility for mAb therapy. </w:t>
      </w:r>
      <w:r w:rsidR="003237D8" w:rsidRPr="001C4F64">
        <w:rPr>
          <w:i/>
          <w:iCs/>
          <w:lang w:val="it-IT"/>
        </w:rPr>
        <w:t>J Allergy Clin Immunol.</w:t>
      </w:r>
      <w:r w:rsidR="003237D8" w:rsidRPr="001C4F64">
        <w:rPr>
          <w:lang w:val="it-IT"/>
        </w:rPr>
        <w:t xml:space="preserve"> 2020;145(4):1295-1297.e6. doi:</w:t>
      </w:r>
      <w:r w:rsidR="00CF3982" w:rsidRPr="001C4F64">
        <w:rPr>
          <w:lang w:val="it-IT"/>
        </w:rPr>
        <w:t> </w:t>
      </w:r>
      <w:r w:rsidR="003237D8" w:rsidRPr="001C4F64">
        <w:rPr>
          <w:lang w:val="it-IT"/>
        </w:rPr>
        <w:t>10.1016/j.jaci.2019.12.009.</w:t>
      </w:r>
    </w:p>
  </w:footnote>
  <w:footnote w:id="12">
    <w:p w14:paraId="65D5A0C6" w14:textId="46795550" w:rsidR="002D6C66" w:rsidRPr="00AF0F36" w:rsidRDefault="002D6C66">
      <w:pPr>
        <w:pStyle w:val="FootnoteText"/>
        <w:rPr>
          <w:lang w:val="fr-FR"/>
        </w:rPr>
      </w:pPr>
      <w:r>
        <w:rPr>
          <w:rStyle w:val="FootnoteReference"/>
        </w:rPr>
        <w:footnoteRef/>
      </w:r>
      <w:r w:rsidRPr="001C4F64">
        <w:rPr>
          <w:lang w:val="it-IT"/>
        </w:rPr>
        <w:t xml:space="preserve"> </w:t>
      </w:r>
      <w:r w:rsidR="00471127" w:rsidRPr="001C4F64">
        <w:rPr>
          <w:lang w:val="it-IT"/>
        </w:rPr>
        <w:t xml:space="preserve">Heaney LG, Perez de Llano L, Al-Ahmad M, et al. </w:t>
      </w:r>
      <w:r w:rsidR="00471127" w:rsidRPr="00471127">
        <w:t xml:space="preserve">Eosinophilic and </w:t>
      </w:r>
      <w:r w:rsidR="00471127" w:rsidRPr="00471127">
        <w:t xml:space="preserve">Noneosinophilic Asthma: An Expert Consensus Framework to Characterize Phenotypes in a Global Real-Life Severe Asthma Cohort. </w:t>
      </w:r>
      <w:r w:rsidR="00471127" w:rsidRPr="00AF0F36">
        <w:rPr>
          <w:i/>
          <w:iCs/>
          <w:lang w:val="fr-FR"/>
        </w:rPr>
        <w:t>Chest.</w:t>
      </w:r>
      <w:r w:rsidR="00471127" w:rsidRPr="00AF0F36">
        <w:rPr>
          <w:lang w:val="fr-FR"/>
        </w:rPr>
        <w:t xml:space="preserve"> </w:t>
      </w:r>
      <w:r w:rsidR="00471127" w:rsidRPr="00AF0F36">
        <w:rPr>
          <w:lang w:val="fr-FR"/>
        </w:rPr>
        <w:t>2021;160(3):814-830. doi:</w:t>
      </w:r>
      <w:r w:rsidR="008607E1" w:rsidRPr="00AF0F36">
        <w:rPr>
          <w:lang w:val="fr-FR"/>
        </w:rPr>
        <w:t> </w:t>
      </w:r>
      <w:r w:rsidR="00471127" w:rsidRPr="00AF0F36">
        <w:rPr>
          <w:lang w:val="fr-FR"/>
        </w:rPr>
        <w:t>10.1016/j.chest.2021.04.013.</w:t>
      </w:r>
    </w:p>
  </w:footnote>
  <w:footnote w:id="13">
    <w:p w14:paraId="701A580F" w14:textId="5D0591B7" w:rsidR="00BF401A" w:rsidRDefault="00BF401A" w:rsidP="000D79B4">
      <w:pPr>
        <w:pStyle w:val="FootnoteText"/>
      </w:pPr>
      <w:r>
        <w:rPr>
          <w:rStyle w:val="FootnoteReference"/>
        </w:rPr>
        <w:footnoteRef/>
      </w:r>
      <w:r w:rsidRPr="00AF0F36">
        <w:rPr>
          <w:lang w:val="fr-FR"/>
        </w:rPr>
        <w:t xml:space="preserve"> </w:t>
      </w:r>
      <w:r w:rsidR="00855EF3" w:rsidRPr="00AF0F36">
        <w:rPr>
          <w:lang w:val="fr-FR"/>
        </w:rPr>
        <w:t xml:space="preserve">Corren J, Parnes JR, Wang L, et al. </w:t>
      </w:r>
      <w:r w:rsidR="00855EF3" w:rsidRPr="00C6641A">
        <w:t xml:space="preserve">Tezepelumab in adults with uncontrolled asthma. </w:t>
      </w:r>
      <w:r w:rsidR="00EE6E7D" w:rsidRPr="000D79B4">
        <w:rPr>
          <w:i/>
          <w:iCs/>
        </w:rPr>
        <w:t>N Engl J Med.</w:t>
      </w:r>
      <w:r w:rsidR="00EE6E7D" w:rsidRPr="00EE6E7D">
        <w:t xml:space="preserve"> 2017;377(10):936-946. </w:t>
      </w:r>
      <w:r w:rsidR="00EE6E7D" w:rsidRPr="00EE6E7D">
        <w:t xml:space="preserve">doi: 10.1056/NEJMoa1704064. Erratum in: </w:t>
      </w:r>
      <w:r w:rsidR="00EE6E7D" w:rsidRPr="000D79B4">
        <w:rPr>
          <w:i/>
          <w:iCs/>
        </w:rPr>
        <w:t>N Engl J Med.</w:t>
      </w:r>
      <w:r w:rsidR="00EE6E7D" w:rsidRPr="00EE6E7D">
        <w:t xml:space="preserve"> 2019;380(21):2082. doi:</w:t>
      </w:r>
      <w:r w:rsidR="00274210">
        <w:t> </w:t>
      </w:r>
      <w:r w:rsidR="00EE6E7D" w:rsidRPr="00EE6E7D">
        <w:t>10.1056/NEJMx180026.</w:t>
      </w:r>
    </w:p>
  </w:footnote>
  <w:footnote w:id="14">
    <w:p w14:paraId="0659BA4E" w14:textId="50FDFCE7" w:rsidR="00274210" w:rsidRPr="00AF0F36" w:rsidRDefault="00274210" w:rsidP="000D79B4">
      <w:pPr>
        <w:pStyle w:val="FootnoteText"/>
        <w:rPr>
          <w:lang w:val="fr-FR"/>
        </w:rPr>
      </w:pPr>
      <w:r>
        <w:rPr>
          <w:rStyle w:val="FootnoteReference"/>
        </w:rPr>
        <w:footnoteRef/>
      </w:r>
      <w:r w:rsidRPr="00AF0F36">
        <w:rPr>
          <w:lang w:val="fr-FR"/>
        </w:rPr>
        <w:t xml:space="preserve"> </w:t>
      </w:r>
      <w:r w:rsidR="00BF1B7D" w:rsidRPr="00AF0F36">
        <w:rPr>
          <w:lang w:val="fr-FR"/>
        </w:rPr>
        <w:t xml:space="preserve">Gauvreau GM, O’Byrne PM, Boulet L-P, et al. </w:t>
      </w:r>
      <w:r w:rsidR="00BF1B7D" w:rsidRPr="00C6641A">
        <w:t xml:space="preserve">Effects of an anti-TSLP antibody on allergen-induced asthmatic responses. </w:t>
      </w:r>
      <w:r w:rsidR="000D79B4" w:rsidRPr="00AF0F36">
        <w:rPr>
          <w:i/>
          <w:iCs/>
          <w:lang w:val="fr-FR"/>
        </w:rPr>
        <w:t>N Engl J Med</w:t>
      </w:r>
      <w:r w:rsidR="000D79B4" w:rsidRPr="00AF0F36">
        <w:rPr>
          <w:lang w:val="fr-FR"/>
        </w:rPr>
        <w:t xml:space="preserve">. </w:t>
      </w:r>
      <w:r w:rsidR="000D79B4" w:rsidRPr="00AF0F36">
        <w:rPr>
          <w:lang w:val="fr-FR"/>
        </w:rPr>
        <w:t xml:space="preserve">2014;370(22):2102-2110. </w:t>
      </w:r>
      <w:r w:rsidR="000D79B4" w:rsidRPr="00AF0F36">
        <w:rPr>
          <w:lang w:val="fr-FR"/>
        </w:rPr>
        <w:t>doi: 10.1056/NEJMoa1402895.</w:t>
      </w:r>
    </w:p>
  </w:footnote>
  <w:footnote w:id="15">
    <w:p w14:paraId="3560A9F6" w14:textId="1C15E52A" w:rsidR="00C53916" w:rsidRDefault="00C53916">
      <w:pPr>
        <w:pStyle w:val="FootnoteText"/>
      </w:pPr>
      <w:r>
        <w:rPr>
          <w:rStyle w:val="FootnoteReference"/>
        </w:rPr>
        <w:footnoteRef/>
      </w:r>
      <w:r w:rsidRPr="00AF0F36">
        <w:rPr>
          <w:lang w:val="fr-FR"/>
        </w:rPr>
        <w:t xml:space="preserve"> </w:t>
      </w:r>
      <w:r w:rsidR="00862EC6" w:rsidRPr="00AF0F36">
        <w:rPr>
          <w:lang w:val="fr-FR"/>
        </w:rPr>
        <w:t xml:space="preserve">Gauvreau GM, </w:t>
      </w:r>
      <w:r w:rsidR="00862EC6" w:rsidRPr="00AF0F36">
        <w:rPr>
          <w:lang w:val="fr-FR"/>
        </w:rPr>
        <w:t xml:space="preserve">Sehmi R, Ambrose CS, et al. </w:t>
      </w:r>
      <w:r w:rsidR="00862EC6" w:rsidRPr="00862EC6">
        <w:t>Thymic stromal lymphopoietin: its role and potential as a therapeutic target in asthma. </w:t>
      </w:r>
      <w:r w:rsidR="00862EC6" w:rsidRPr="00862EC6">
        <w:rPr>
          <w:i/>
          <w:iCs/>
        </w:rPr>
        <w:t>Expert Opinion on Therapeutic Targets</w:t>
      </w:r>
      <w:r w:rsidR="00862EC6">
        <w:t xml:space="preserve"> 2020; </w:t>
      </w:r>
      <w:r w:rsidR="00862EC6" w:rsidRPr="00862EC6">
        <w:rPr>
          <w:i/>
          <w:iCs/>
        </w:rPr>
        <w:t>24</w:t>
      </w:r>
      <w:r w:rsidR="00862EC6" w:rsidRPr="00862EC6">
        <w:t>(8)</w:t>
      </w:r>
      <w:r w:rsidR="00862EC6">
        <w:t>:</w:t>
      </w:r>
      <w:r w:rsidR="00862EC6" w:rsidRPr="00862EC6">
        <w:t xml:space="preserve">777–792. </w:t>
      </w:r>
      <w:r w:rsidR="00862EC6">
        <w:t>d</w:t>
      </w:r>
      <w:r w:rsidR="00862EC6" w:rsidRPr="00862EC6">
        <w:t>oi</w:t>
      </w:r>
      <w:r w:rsidR="00862EC6">
        <w:t xml:space="preserve">: </w:t>
      </w:r>
      <w:r w:rsidR="00862EC6" w:rsidRPr="00862EC6">
        <w:t>10.1080/14728222.2020.1783242</w:t>
      </w:r>
    </w:p>
  </w:footnote>
  <w:footnote w:id="16">
    <w:p w14:paraId="416741FB" w14:textId="32C424DD" w:rsidR="00FC7CA8" w:rsidRDefault="00FC7CA8">
      <w:pPr>
        <w:pStyle w:val="FootnoteText"/>
      </w:pPr>
      <w:r>
        <w:rPr>
          <w:rStyle w:val="FootnoteReference"/>
        </w:rPr>
        <w:footnoteRef/>
      </w:r>
      <w:r>
        <w:t xml:space="preserve"> </w:t>
      </w:r>
      <w:r w:rsidR="00865E06" w:rsidRPr="00E347DB">
        <w:t xml:space="preserve">Pham TH, Ren P, Parnes JR, </w:t>
      </w:r>
      <w:r w:rsidR="00865E06">
        <w:t>et al.</w:t>
      </w:r>
      <w:r w:rsidR="00865E06" w:rsidRPr="00E347DB">
        <w:t xml:space="preserve"> Tezepelumab reduces multiple key inflammatory biomarkers in patients with severe, uncontrolled asthma in the </w:t>
      </w:r>
      <w:r w:rsidR="009603EE">
        <w:t>P</w:t>
      </w:r>
      <w:r w:rsidR="00865E06" w:rsidRPr="00E347DB">
        <w:t xml:space="preserve">hase 2b PATHWAY study. </w:t>
      </w:r>
      <w:r w:rsidR="00865E06" w:rsidRPr="00894E80">
        <w:rPr>
          <w:i/>
          <w:iCs/>
        </w:rPr>
        <w:t>Am J Respir Crit Care Med</w:t>
      </w:r>
      <w:r w:rsidR="00865E06" w:rsidRPr="00E347DB">
        <w:t xml:space="preserve"> 2019;</w:t>
      </w:r>
      <w:r w:rsidR="00865E06" w:rsidRPr="00E347DB">
        <w:t>199:A2677</w:t>
      </w:r>
      <w:r w:rsidR="001078BB">
        <w:t>. doi: </w:t>
      </w:r>
      <w:r w:rsidR="001078BB" w:rsidRPr="001078BB">
        <w:t>10.1164/ajrccm-conference.2019.199.1_MeetingAbstracts.A2677</w:t>
      </w:r>
      <w:r w:rsidR="00AA7E2C">
        <w:t>.</w:t>
      </w:r>
    </w:p>
  </w:footnote>
  <w:footnote w:id="17">
    <w:p w14:paraId="57812F31" w14:textId="7579025E" w:rsidR="006C3A12" w:rsidRDefault="006C3A12">
      <w:pPr>
        <w:pStyle w:val="FootnoteText"/>
      </w:pPr>
      <w:r>
        <w:rPr>
          <w:rStyle w:val="FootnoteReference"/>
        </w:rPr>
        <w:footnoteRef/>
      </w:r>
      <w:r>
        <w:t xml:space="preserve"> The sponsor did not seek registration of a vial in Australia.</w:t>
      </w:r>
    </w:p>
  </w:footnote>
  <w:footnote w:id="18">
    <w:p w14:paraId="70CBE703" w14:textId="77777777" w:rsidR="00AE722B" w:rsidRDefault="00AE722B">
      <w:pPr>
        <w:pStyle w:val="FootnoteText"/>
      </w:pPr>
      <w:r>
        <w:rPr>
          <w:rStyle w:val="FootnoteReference"/>
        </w:rPr>
        <w:footnoteRef/>
      </w:r>
      <w:r>
        <w:t xml:space="preserve"> </w:t>
      </w:r>
      <w:r w:rsidRPr="00AE722B">
        <w:t xml:space="preserve">Rand Teze = all subjects randomised to </w:t>
      </w:r>
      <w:r w:rsidRPr="00AE722B">
        <w:t>tezepelumab in predecessor period</w:t>
      </w:r>
      <w:r>
        <w:t>.</w:t>
      </w:r>
    </w:p>
    <w:p w14:paraId="1FCAF909" w14:textId="42ED889D" w:rsidR="00AE722B" w:rsidRDefault="00AE722B">
      <w:pPr>
        <w:pStyle w:val="FootnoteText"/>
      </w:pPr>
      <w:r w:rsidRPr="00AE722B">
        <w:t xml:space="preserve">Rand Pbo = all subjects randomised to placebo in predecessor period, excluding data from LTE period for subjects switched to </w:t>
      </w:r>
      <w:r w:rsidR="00F046AE">
        <w:t>t</w:t>
      </w:r>
      <w:r>
        <w:t>ezepelumab.</w:t>
      </w:r>
    </w:p>
  </w:footnote>
  <w:footnote w:id="19">
    <w:p w14:paraId="1BB8DB28" w14:textId="37D25ECE" w:rsidR="00FB12DE" w:rsidRPr="00FB12DE" w:rsidRDefault="00FB12DE" w:rsidP="00FB12DE">
      <w:pPr>
        <w:pStyle w:val="FootnoteText"/>
      </w:pPr>
      <w:r w:rsidRPr="00FB12DE">
        <w:rPr>
          <w:rStyle w:val="FootnoteReference"/>
          <w:vertAlign w:val="baseline"/>
        </w:rPr>
        <w:footnoteRef/>
      </w:r>
      <w:r w:rsidRPr="001C4F64">
        <w:rPr>
          <w:lang w:val="it-IT"/>
        </w:rPr>
        <w:t xml:space="preserve"> Bonini M, Di Paolo M, Bagnasco D, et al. </w:t>
      </w:r>
      <w:r w:rsidRPr="00FB12DE">
        <w:t xml:space="preserve">Minimally clinically important difference for asthma endpoints: an expert consensus report. </w:t>
      </w:r>
      <w:r w:rsidRPr="00FB12DE">
        <w:rPr>
          <w:i/>
          <w:iCs/>
        </w:rPr>
        <w:t>Eur Respir Rev</w:t>
      </w:r>
      <w:r w:rsidRPr="00FB12DE">
        <w:t xml:space="preserve"> </w:t>
      </w:r>
      <w:r w:rsidRPr="00FB12DE">
        <w:t>2020;29:190137.</w:t>
      </w:r>
      <w:r>
        <w:t xml:space="preserve"> </w:t>
      </w:r>
      <w:r w:rsidRPr="00FB12DE">
        <w:t>doi: 10.1183/16000617.0137-2019.</w:t>
      </w:r>
    </w:p>
  </w:footnote>
  <w:footnote w:id="20">
    <w:p w14:paraId="5C6B2678" w14:textId="038B8A7D" w:rsidR="00FB12DE" w:rsidRPr="008D0CEB" w:rsidRDefault="00FB12DE" w:rsidP="008D0CEB">
      <w:pPr>
        <w:pStyle w:val="FootnoteText"/>
      </w:pPr>
      <w:r w:rsidRPr="008D0CEB">
        <w:rPr>
          <w:rStyle w:val="FootnoteReference"/>
          <w:vertAlign w:val="baseline"/>
        </w:rPr>
        <w:footnoteRef/>
      </w:r>
      <w:r w:rsidRPr="008D0CEB">
        <w:t xml:space="preserve"> Juniper EF, Svensson K, M</w:t>
      </w:r>
      <w:r w:rsidR="008D0CEB" w:rsidRPr="008D0CEB">
        <w:t>o</w:t>
      </w:r>
      <w:r w:rsidRPr="008D0CEB">
        <w:t>rk AC, St</w:t>
      </w:r>
      <w:r w:rsidR="008D0CEB" w:rsidRPr="008D0CEB">
        <w:t>a</w:t>
      </w:r>
      <w:r w:rsidRPr="008D0CEB">
        <w:t xml:space="preserve">hl E. Measurement properties and interpretation of three shortened versions of the asthma control questionnaire. </w:t>
      </w:r>
      <w:r w:rsidRPr="008D0CEB">
        <w:rPr>
          <w:i/>
          <w:iCs/>
        </w:rPr>
        <w:t>Respir Med.</w:t>
      </w:r>
      <w:r w:rsidRPr="008D0CEB">
        <w:t xml:space="preserve"> 2005;99(5):553-8. </w:t>
      </w:r>
      <w:r w:rsidRPr="008D0CEB">
        <w:t>doi: 10.1016/j.rmed.2004.10.008.</w:t>
      </w:r>
    </w:p>
  </w:footnote>
  <w:footnote w:id="21">
    <w:p w14:paraId="2000D415" w14:textId="0D08324A" w:rsidR="008D0CEB" w:rsidRPr="00C810C2" w:rsidRDefault="008D0CEB">
      <w:pPr>
        <w:pStyle w:val="FootnoteText"/>
        <w:rPr>
          <w:lang w:val="fr-FR"/>
        </w:rPr>
      </w:pPr>
      <w:r>
        <w:rPr>
          <w:rStyle w:val="FootnoteReference"/>
        </w:rPr>
        <w:footnoteRef/>
      </w:r>
      <w:r>
        <w:t xml:space="preserve"> </w:t>
      </w:r>
      <w:r w:rsidRPr="008D0CEB">
        <w:t xml:space="preserve">Juniper EF, O'Byrne PM, Guyatt GH, </w:t>
      </w:r>
      <w:r>
        <w:t>et al.</w:t>
      </w:r>
      <w:r w:rsidRPr="008D0CEB">
        <w:t xml:space="preserve"> Development and validation of a questionnaire to measure asthma control. </w:t>
      </w:r>
      <w:r w:rsidRPr="00C810C2">
        <w:rPr>
          <w:i/>
          <w:iCs/>
          <w:lang w:val="fr-FR"/>
        </w:rPr>
        <w:t>Eur Respir J.</w:t>
      </w:r>
      <w:r w:rsidRPr="00C810C2">
        <w:rPr>
          <w:lang w:val="fr-FR"/>
        </w:rPr>
        <w:t xml:space="preserve"> 1999;14(4):902-7. doi: 10.1034/j.1399-3003.1999.14d29.x.</w:t>
      </w:r>
    </w:p>
  </w:footnote>
  <w:footnote w:id="22">
    <w:p w14:paraId="4A51DDF8" w14:textId="098B1A8D" w:rsidR="00A338C7" w:rsidRDefault="00A338C7" w:rsidP="00A338C7">
      <w:pPr>
        <w:pStyle w:val="FootnoteText"/>
      </w:pPr>
      <w:r>
        <w:rPr>
          <w:rStyle w:val="FootnoteReference"/>
        </w:rPr>
        <w:footnoteRef/>
      </w:r>
      <w:r w:rsidRPr="00B26915">
        <w:rPr>
          <w:lang w:val="fr-FR"/>
        </w:rPr>
        <w:t xml:space="preserve"> Uhlen M, Faberberg L, Hallstrom BM, et al. </w:t>
      </w:r>
      <w:r w:rsidRPr="00A338C7">
        <w:t xml:space="preserve">Proteomics. Tissue-based map of the human proteome. </w:t>
      </w:r>
      <w:r w:rsidRPr="00A338C7">
        <w:rPr>
          <w:i/>
          <w:iCs/>
        </w:rPr>
        <w:t>Science.</w:t>
      </w:r>
      <w:r w:rsidRPr="00A338C7">
        <w:t xml:space="preserve"> 2015 Jan 23;347(6220):1260419. </w:t>
      </w:r>
      <w:r w:rsidRPr="00A338C7">
        <w:t>doi: 10.1126/science.1260419.</w:t>
      </w:r>
    </w:p>
  </w:footnote>
  <w:footnote w:id="23">
    <w:p w14:paraId="7B84E4CF" w14:textId="2DBD6A99" w:rsidR="009B0CAD" w:rsidRDefault="009B0CAD">
      <w:pPr>
        <w:pStyle w:val="FootnoteText"/>
      </w:pPr>
      <w:r>
        <w:rPr>
          <w:rStyle w:val="FootnoteReference"/>
        </w:rPr>
        <w:footnoteRef/>
      </w:r>
      <w:r>
        <w:t xml:space="preserve"> </w:t>
      </w:r>
      <w:r w:rsidRPr="009B0CAD">
        <w:t xml:space="preserve">Shah AD, </w:t>
      </w:r>
      <w:r w:rsidRPr="009B0CAD">
        <w:t>Denaxas S, Nicholas O, Hingorani AD, Hemingway H. Low eosinophil and low lymphocyte counts and the incidence of 12 cardiovascular diseases: a CALIBER cohort study</w:t>
      </w:r>
      <w:r w:rsidRPr="009B0CAD">
        <w:rPr>
          <w:i/>
          <w:iCs/>
        </w:rPr>
        <w:t>. Open Heart.</w:t>
      </w:r>
      <w:r w:rsidRPr="009B0CAD">
        <w:t xml:space="preserve"> 2016;3(2</w:t>
      </w:r>
      <w:r w:rsidRPr="009B0CAD">
        <w:t>):e000477. doi: 10.1136/openhrt-2016-000477.</w:t>
      </w:r>
    </w:p>
  </w:footnote>
  <w:footnote w:id="24">
    <w:p w14:paraId="7FCAB80B" w14:textId="37D66751" w:rsidR="00EE2E4B" w:rsidRPr="00B26915" w:rsidRDefault="00EE2E4B">
      <w:pPr>
        <w:pStyle w:val="FootnoteText"/>
        <w:rPr>
          <w:lang w:val="fr-FR"/>
        </w:rPr>
      </w:pPr>
      <w:r>
        <w:rPr>
          <w:rStyle w:val="FootnoteReference"/>
        </w:rPr>
        <w:footnoteRef/>
      </w:r>
      <w:r>
        <w:t xml:space="preserve"> </w:t>
      </w:r>
      <w:r w:rsidRPr="00EE2E4B">
        <w:t xml:space="preserve">Liu J, Yang C, Liu T, </w:t>
      </w:r>
      <w:r>
        <w:t xml:space="preserve">et al. </w:t>
      </w:r>
      <w:r w:rsidRPr="00EE2E4B">
        <w:t xml:space="preserve">Eosinophils improve cardiac function after myocardial infarction. </w:t>
      </w:r>
      <w:r w:rsidRPr="00B26915">
        <w:rPr>
          <w:i/>
          <w:iCs/>
          <w:lang w:val="fr-FR"/>
        </w:rPr>
        <w:t>Nat Commun</w:t>
      </w:r>
      <w:r w:rsidRPr="00B26915">
        <w:rPr>
          <w:lang w:val="fr-FR"/>
        </w:rPr>
        <w:t xml:space="preserve">. </w:t>
      </w:r>
      <w:r w:rsidRPr="00B26915">
        <w:rPr>
          <w:lang w:val="fr-FR"/>
        </w:rPr>
        <w:t xml:space="preserve">2020;11(1):6396. </w:t>
      </w:r>
      <w:r w:rsidRPr="00B26915">
        <w:rPr>
          <w:lang w:val="fr-FR"/>
        </w:rPr>
        <w:t>doi: 10.1038/s41467-020-19297-5.</w:t>
      </w:r>
    </w:p>
  </w:footnote>
  <w:footnote w:id="25">
    <w:p w14:paraId="063D1100" w14:textId="38C28EF1" w:rsidR="00EE2E4B" w:rsidRPr="00B26915" w:rsidRDefault="00EE2E4B">
      <w:pPr>
        <w:pStyle w:val="FootnoteText"/>
        <w:rPr>
          <w:lang w:val="fr-FR"/>
        </w:rPr>
      </w:pPr>
      <w:r>
        <w:rPr>
          <w:rStyle w:val="FootnoteReference"/>
        </w:rPr>
        <w:footnoteRef/>
      </w:r>
      <w:r w:rsidRPr="00B26915">
        <w:rPr>
          <w:lang w:val="fr-FR"/>
        </w:rPr>
        <w:t xml:space="preserve"> Xu J-Y, Xiong Y-Y, Lu X-T, Yang Y-J. </w:t>
      </w:r>
      <w:r w:rsidRPr="00EE2E4B">
        <w:t xml:space="preserve">Regulation of Type 2 Immunity in Myocardial Infarction. </w:t>
      </w:r>
      <w:r w:rsidRPr="00B26915">
        <w:rPr>
          <w:i/>
          <w:iCs/>
          <w:lang w:val="fr-FR"/>
        </w:rPr>
        <w:t xml:space="preserve">Front. </w:t>
      </w:r>
      <w:r w:rsidRPr="00B26915">
        <w:rPr>
          <w:i/>
          <w:iCs/>
          <w:lang w:val="fr-FR"/>
        </w:rPr>
        <w:t>Immunol</w:t>
      </w:r>
      <w:r w:rsidRPr="00B26915">
        <w:rPr>
          <w:lang w:val="fr-FR"/>
        </w:rPr>
        <w:t xml:space="preserve">. </w:t>
      </w:r>
      <w:r w:rsidRPr="00B26915">
        <w:rPr>
          <w:lang w:val="fr-FR"/>
        </w:rPr>
        <w:t>2019;10:62. doi: 10.3389/fimmu.2019.00062.</w:t>
      </w:r>
    </w:p>
  </w:footnote>
  <w:footnote w:id="26">
    <w:p w14:paraId="511EC70E" w14:textId="5BE72CB8" w:rsidR="00EE2E4B" w:rsidRDefault="00EE2E4B">
      <w:pPr>
        <w:pStyle w:val="FootnoteText"/>
      </w:pPr>
      <w:r>
        <w:rPr>
          <w:rStyle w:val="FootnoteReference"/>
        </w:rPr>
        <w:footnoteRef/>
      </w:r>
      <w:r w:rsidRPr="00B26915">
        <w:rPr>
          <w:lang w:val="fr-FR"/>
        </w:rPr>
        <w:t xml:space="preserve"> </w:t>
      </w:r>
      <w:r w:rsidRPr="00B26915">
        <w:rPr>
          <w:lang w:val="fr-FR"/>
        </w:rPr>
        <w:t xml:space="preserve">Cikrikcioglu MA, Soysal P, Dikerdem D, et al. </w:t>
      </w:r>
      <w:r w:rsidRPr="00EE2E4B">
        <w:t xml:space="preserve">Absolute blood eosinophil count and 1-year mortality risk following hospitalization with acute heart failure. </w:t>
      </w:r>
      <w:r w:rsidRPr="00EE2E4B">
        <w:rPr>
          <w:i/>
          <w:iCs/>
        </w:rPr>
        <w:t>Eur J Emerg Med</w:t>
      </w:r>
      <w:r w:rsidRPr="00EE2E4B">
        <w:t>. 2012;19(4):257-63. doi: 10.1097/MEJ.0b013e32834c67eb.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04259" w14:textId="7B076A32" w:rsidR="00276AE9" w:rsidRDefault="005006DF">
    <w:pPr>
      <w:pStyle w:val="Header"/>
    </w:pPr>
    <w:r>
      <w:rPr>
        <w:noProof/>
      </w:rPr>
      <mc:AlternateContent>
        <mc:Choice Requires="wps">
          <w:drawing>
            <wp:anchor distT="0" distB="0" distL="0" distR="0" simplePos="0" relativeHeight="251658242" behindDoc="0" locked="0" layoutInCell="1" allowOverlap="1" wp14:anchorId="6681F98C" wp14:editId="6538A34F">
              <wp:simplePos x="635" y="635"/>
              <wp:positionH relativeFrom="page">
                <wp:align>center</wp:align>
              </wp:positionH>
              <wp:positionV relativeFrom="page">
                <wp:align>top</wp:align>
              </wp:positionV>
              <wp:extent cx="622300" cy="391160"/>
              <wp:effectExtent l="0" t="0" r="6350" b="8890"/>
              <wp:wrapNone/>
              <wp:docPr id="173591913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54698A1" w14:textId="705A2AFB"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81F98C"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354698A1" w14:textId="705A2AFB"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08E232F1" w:rsidR="007452E8" w:rsidRPr="00CB0550" w:rsidRDefault="005006DF" w:rsidP="00CB0550">
    <w:pPr>
      <w:pStyle w:val="Header"/>
      <w:jc w:val="left"/>
    </w:pPr>
    <w:r>
      <w:rPr>
        <w:noProof/>
      </w:rPr>
      <mc:AlternateContent>
        <mc:Choice Requires="wps">
          <w:drawing>
            <wp:anchor distT="0" distB="0" distL="0" distR="0" simplePos="0" relativeHeight="251658243" behindDoc="0" locked="0" layoutInCell="1" allowOverlap="1" wp14:anchorId="68C8EAFD" wp14:editId="4C31E183">
              <wp:simplePos x="635" y="635"/>
              <wp:positionH relativeFrom="page">
                <wp:align>center</wp:align>
              </wp:positionH>
              <wp:positionV relativeFrom="page">
                <wp:align>top</wp:align>
              </wp:positionV>
              <wp:extent cx="622300" cy="391160"/>
              <wp:effectExtent l="0" t="0" r="6350" b="8890"/>
              <wp:wrapNone/>
              <wp:docPr id="158933426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B524BC5" w14:textId="5F318F6B"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C8EAFD"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B524BC5" w14:textId="5F318F6B"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6717FB83" w:rsidR="007452E8" w:rsidRPr="002B29B2" w:rsidRDefault="005006DF" w:rsidP="007452E8">
          <w:pPr>
            <w:ind w:left="-57"/>
            <w:rPr>
              <w:noProof/>
            </w:rPr>
          </w:pPr>
          <w:r>
            <w:rPr>
              <w:noProof/>
            </w:rPr>
            <mc:AlternateContent>
              <mc:Choice Requires="wps">
                <w:drawing>
                  <wp:anchor distT="0" distB="0" distL="0" distR="0" simplePos="0" relativeHeight="251658241" behindDoc="0" locked="0" layoutInCell="1" allowOverlap="1" wp14:anchorId="1E18C2B5" wp14:editId="11647DCB">
                    <wp:simplePos x="635" y="635"/>
                    <wp:positionH relativeFrom="page">
                      <wp:align>center</wp:align>
                    </wp:positionH>
                    <wp:positionV relativeFrom="page">
                      <wp:align>top</wp:align>
                    </wp:positionV>
                    <wp:extent cx="622300" cy="391160"/>
                    <wp:effectExtent l="0" t="0" r="6350" b="8890"/>
                    <wp:wrapNone/>
                    <wp:docPr id="51418481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C3597D2" w14:textId="7F0E0171"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18C2B5"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0C3597D2" w14:textId="7F0E0171"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4B7E7C23" w:rsidR="007452E8" w:rsidRDefault="005006DF" w:rsidP="007452E8">
    <w:pPr>
      <w:pStyle w:val="Header"/>
    </w:pPr>
    <w:r>
      <w:rPr>
        <w:noProof/>
      </w:rPr>
      <mc:AlternateContent>
        <mc:Choice Requires="wps">
          <w:drawing>
            <wp:anchor distT="0" distB="0" distL="0" distR="0" simplePos="0" relativeHeight="251658244" behindDoc="0" locked="0" layoutInCell="1" allowOverlap="1" wp14:anchorId="4E6D1844" wp14:editId="6F812073">
              <wp:simplePos x="635" y="635"/>
              <wp:positionH relativeFrom="page">
                <wp:align>center</wp:align>
              </wp:positionH>
              <wp:positionV relativeFrom="page">
                <wp:align>top</wp:align>
              </wp:positionV>
              <wp:extent cx="622300" cy="391160"/>
              <wp:effectExtent l="0" t="0" r="6350" b="8890"/>
              <wp:wrapNone/>
              <wp:docPr id="4678556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459404C" w14:textId="4F04811F"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D1844"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6459404C" w14:textId="4F04811F"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2E4633BB" w:rsidR="007452E8" w:rsidRPr="00FE501F" w:rsidRDefault="005006DF" w:rsidP="007452E8">
    <w:pPr>
      <w:pStyle w:val="Headernoline"/>
    </w:pPr>
    <w:r>
      <w:rPr>
        <w:noProof/>
      </w:rPr>
      <mc:AlternateContent>
        <mc:Choice Requires="wps">
          <w:drawing>
            <wp:anchor distT="0" distB="0" distL="0" distR="0" simplePos="0" relativeHeight="251658245" behindDoc="0" locked="0" layoutInCell="1" allowOverlap="1" wp14:anchorId="563B614D" wp14:editId="3880DEED">
              <wp:simplePos x="635" y="635"/>
              <wp:positionH relativeFrom="page">
                <wp:align>center</wp:align>
              </wp:positionH>
              <wp:positionV relativeFrom="page">
                <wp:align>top</wp:align>
              </wp:positionV>
              <wp:extent cx="622300" cy="391160"/>
              <wp:effectExtent l="0" t="0" r="6350" b="8890"/>
              <wp:wrapNone/>
              <wp:docPr id="23264375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EFE3A50" w14:textId="7A100EAA"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3B614D" id="_x0000_t202" coordsize="21600,21600" o:spt="202" path="m,l,21600r21600,l21600,xe">
              <v:stroke joinstyle="miter"/>
              <v:path gradientshapeok="t" o:connecttype="rect"/>
            </v:shapetype>
            <v:shape id="Text Box 5" o:spid="_x0000_s1033"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7EFE3A50" w14:textId="7A100EAA" w:rsidR="005006DF" w:rsidRPr="005006DF" w:rsidRDefault="005006DF" w:rsidP="005006DF">
                    <w:pPr>
                      <w:spacing w:after="0"/>
                      <w:rPr>
                        <w:rFonts w:ascii="Aptos" w:eastAsia="Aptos" w:hAnsi="Aptos" w:cs="Aptos"/>
                        <w:noProof/>
                        <w:color w:val="FF0000"/>
                        <w:sz w:val="24"/>
                        <w:szCs w:val="24"/>
                      </w:rPr>
                    </w:pPr>
                    <w:r w:rsidRPr="005006DF">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D7E95"/>
    <w:multiLevelType w:val="hybridMultilevel"/>
    <w:tmpl w:val="DDF803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2361F9"/>
    <w:multiLevelType w:val="hybridMultilevel"/>
    <w:tmpl w:val="91284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9108CD"/>
    <w:multiLevelType w:val="hybridMultilevel"/>
    <w:tmpl w:val="F07C7BCA"/>
    <w:lvl w:ilvl="0" w:tplc="7E7496A6">
      <w:start w:val="1"/>
      <w:numFmt w:val="bullet"/>
      <w:pStyle w:val="Bulletlist"/>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 w15:restartNumberingAfterBreak="0">
    <w:nsid w:val="0F155D3C"/>
    <w:multiLevelType w:val="hybridMultilevel"/>
    <w:tmpl w:val="AA8C6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253C4E"/>
    <w:multiLevelType w:val="hybridMultilevel"/>
    <w:tmpl w:val="8FFE716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9B4A173E"/>
    <w:styleLink w:val="NumberBullet"/>
    <w:lvl w:ilvl="0">
      <w:start w:val="1"/>
      <w:numFmt w:val="decimal"/>
      <w:pStyle w:val="Numberbullet0"/>
      <w:lvlText w:val="%1."/>
      <w:lvlJc w:val="left"/>
      <w:pPr>
        <w:ind w:left="720" w:hanging="360"/>
      </w:pPr>
      <w:rPr>
        <w:rFonts w:ascii="Arial" w:hAnsi="Arial" w:hint="default"/>
      </w:rPr>
    </w:lvl>
    <w:lvl w:ilvl="1">
      <w:start w:val="1"/>
      <w:numFmt w:val="lowerLetter"/>
      <w:pStyle w:val="Numberbullet2"/>
      <w:lvlText w:val="%2."/>
      <w:lvlJc w:val="left"/>
      <w:pPr>
        <w:ind w:left="1211" w:hanging="426"/>
      </w:pPr>
      <w:rPr>
        <w:rFonts w:hint="default"/>
      </w:rPr>
    </w:lvl>
    <w:lvl w:ilvl="2">
      <w:start w:val="1"/>
      <w:numFmt w:val="lowerRoman"/>
      <w:lvlText w:val="%3."/>
      <w:lvlJc w:val="left"/>
      <w:pPr>
        <w:ind w:left="1636" w:hanging="425"/>
      </w:pPr>
      <w:rPr>
        <w:rFonts w:hint="default"/>
      </w:rPr>
    </w:lvl>
    <w:lvl w:ilvl="3">
      <w:start w:val="1"/>
      <w:numFmt w:val="none"/>
      <w:lvlText w:val=""/>
      <w:lvlJc w:val="left"/>
      <w:pPr>
        <w:ind w:left="1636" w:hanging="425"/>
      </w:pPr>
      <w:rPr>
        <w:rFonts w:hint="default"/>
      </w:rPr>
    </w:lvl>
    <w:lvl w:ilvl="4">
      <w:start w:val="1"/>
      <w:numFmt w:val="none"/>
      <w:lvlText w:val=""/>
      <w:lvlJc w:val="left"/>
      <w:pPr>
        <w:ind w:left="1636" w:hanging="425"/>
      </w:pPr>
      <w:rPr>
        <w:rFonts w:hint="default"/>
      </w:rPr>
    </w:lvl>
    <w:lvl w:ilvl="5">
      <w:start w:val="1"/>
      <w:numFmt w:val="none"/>
      <w:lvlText w:val=""/>
      <w:lvlJc w:val="left"/>
      <w:pPr>
        <w:ind w:left="1636" w:hanging="425"/>
      </w:pPr>
      <w:rPr>
        <w:rFonts w:hint="default"/>
      </w:rPr>
    </w:lvl>
    <w:lvl w:ilvl="6">
      <w:start w:val="1"/>
      <w:numFmt w:val="none"/>
      <w:lvlText w:val="%7"/>
      <w:lvlJc w:val="left"/>
      <w:pPr>
        <w:ind w:left="1636" w:hanging="425"/>
      </w:pPr>
      <w:rPr>
        <w:rFonts w:hint="default"/>
      </w:rPr>
    </w:lvl>
    <w:lvl w:ilvl="7">
      <w:start w:val="1"/>
      <w:numFmt w:val="none"/>
      <w:lvlText w:val=""/>
      <w:lvlJc w:val="left"/>
      <w:pPr>
        <w:ind w:left="1636" w:hanging="425"/>
      </w:pPr>
      <w:rPr>
        <w:rFonts w:hint="default"/>
      </w:rPr>
    </w:lvl>
    <w:lvl w:ilvl="8">
      <w:start w:val="1"/>
      <w:numFmt w:val="none"/>
      <w:lvlText w:val=""/>
      <w:lvlJc w:val="left"/>
      <w:pPr>
        <w:ind w:left="1636" w:hanging="425"/>
      </w:pPr>
      <w:rPr>
        <w:rFonts w:hint="default"/>
      </w:rPr>
    </w:lvl>
  </w:abstractNum>
  <w:abstractNum w:abstractNumId="6"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7" w15:restartNumberingAfterBreak="0">
    <w:nsid w:val="139A3093"/>
    <w:multiLevelType w:val="hybridMultilevel"/>
    <w:tmpl w:val="669CC8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1" w15:restartNumberingAfterBreak="0">
    <w:nsid w:val="1C9701AA"/>
    <w:multiLevelType w:val="hybridMultilevel"/>
    <w:tmpl w:val="FFB8E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E205D68"/>
    <w:multiLevelType w:val="hybridMultilevel"/>
    <w:tmpl w:val="463E1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FA3C02"/>
    <w:multiLevelType w:val="hybridMultilevel"/>
    <w:tmpl w:val="AD169F7A"/>
    <w:lvl w:ilvl="0" w:tplc="311A1D20">
      <w:start w:val="105"/>
      <w:numFmt w:val="bullet"/>
      <w:lvlText w:val=""/>
      <w:lvlJc w:val="left"/>
      <w:pPr>
        <w:ind w:left="473" w:hanging="360"/>
      </w:pPr>
      <w:rPr>
        <w:rFonts w:ascii="Wingdings" w:eastAsia="Cambria" w:hAnsi="Wingdings" w:cs="Times New Roman"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4"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24546988"/>
    <w:multiLevelType w:val="hybridMultilevel"/>
    <w:tmpl w:val="DB5270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7D26948"/>
    <w:multiLevelType w:val="hybridMultilevel"/>
    <w:tmpl w:val="97C85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73433D"/>
    <w:multiLevelType w:val="hybridMultilevel"/>
    <w:tmpl w:val="7CAC5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9" w15:restartNumberingAfterBreak="0">
    <w:nsid w:val="47FB3793"/>
    <w:multiLevelType w:val="hybridMultilevel"/>
    <w:tmpl w:val="4118A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1"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4" w15:restartNumberingAfterBreak="0">
    <w:nsid w:val="69BB7F81"/>
    <w:multiLevelType w:val="hybridMultilevel"/>
    <w:tmpl w:val="B5BA1060"/>
    <w:lvl w:ilvl="0" w:tplc="78C6D1D6">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520499"/>
    <w:multiLevelType w:val="hybridMultilevel"/>
    <w:tmpl w:val="53C63BF4"/>
    <w:lvl w:ilvl="0" w:tplc="90301094">
      <w:start w:val="105"/>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275CCC"/>
    <w:multiLevelType w:val="hybridMultilevel"/>
    <w:tmpl w:val="B47EF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DB72E2"/>
    <w:multiLevelType w:val="hybridMultilevel"/>
    <w:tmpl w:val="3468F2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81D542F"/>
    <w:multiLevelType w:val="hybridMultilevel"/>
    <w:tmpl w:val="0EFAE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0" w15:restartNumberingAfterBreak="0">
    <w:nsid w:val="7BCB7271"/>
    <w:multiLevelType w:val="hybridMultilevel"/>
    <w:tmpl w:val="644C4D2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2997172">
    <w:abstractNumId w:val="9"/>
  </w:num>
  <w:num w:numId="2" w16cid:durableId="1856573705">
    <w:abstractNumId w:val="5"/>
  </w:num>
  <w:num w:numId="3" w16cid:durableId="357703499">
    <w:abstractNumId w:val="8"/>
  </w:num>
  <w:num w:numId="4" w16cid:durableId="1869176708">
    <w:abstractNumId w:val="22"/>
  </w:num>
  <w:num w:numId="5" w16cid:durableId="1652950129">
    <w:abstractNumId w:val="14"/>
  </w:num>
  <w:num w:numId="6" w16cid:durableId="1053193207">
    <w:abstractNumId w:val="20"/>
  </w:num>
  <w:num w:numId="7" w16cid:durableId="20113592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1"/>
  </w:num>
  <w:num w:numId="9" w16cid:durableId="173421270">
    <w:abstractNumId w:val="6"/>
  </w:num>
  <w:num w:numId="10" w16cid:durableId="2108043357">
    <w:abstractNumId w:val="10"/>
  </w:num>
  <w:num w:numId="11" w16cid:durableId="1725904230">
    <w:abstractNumId w:val="18"/>
  </w:num>
  <w:num w:numId="12" w16cid:durableId="141579354">
    <w:abstractNumId w:val="23"/>
  </w:num>
  <w:num w:numId="13" w16cid:durableId="283735081">
    <w:abstractNumId w:val="29"/>
  </w:num>
  <w:num w:numId="14" w16cid:durableId="410280548">
    <w:abstractNumId w:val="4"/>
  </w:num>
  <w:num w:numId="15" w16cid:durableId="1682470186">
    <w:abstractNumId w:val="7"/>
  </w:num>
  <w:num w:numId="16" w16cid:durableId="1458376492">
    <w:abstractNumId w:val="19"/>
  </w:num>
  <w:num w:numId="17" w16cid:durableId="1231889443">
    <w:abstractNumId w:val="0"/>
  </w:num>
  <w:num w:numId="18" w16cid:durableId="1472863074">
    <w:abstractNumId w:val="15"/>
  </w:num>
  <w:num w:numId="19" w16cid:durableId="1905214347">
    <w:abstractNumId w:val="30"/>
  </w:num>
  <w:num w:numId="20" w16cid:durableId="1436095286">
    <w:abstractNumId w:val="28"/>
  </w:num>
  <w:num w:numId="21" w16cid:durableId="1160683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38543395">
    <w:abstractNumId w:val="3"/>
  </w:num>
  <w:num w:numId="23" w16cid:durableId="1058557053">
    <w:abstractNumId w:val="1"/>
  </w:num>
  <w:num w:numId="24" w16cid:durableId="516893005">
    <w:abstractNumId w:val="11"/>
  </w:num>
  <w:num w:numId="25" w16cid:durableId="1925457671">
    <w:abstractNumId w:val="26"/>
  </w:num>
  <w:num w:numId="26" w16cid:durableId="1623490415">
    <w:abstractNumId w:val="12"/>
  </w:num>
  <w:num w:numId="27" w16cid:durableId="637536503">
    <w:abstractNumId w:val="16"/>
  </w:num>
  <w:num w:numId="28" w16cid:durableId="554701267">
    <w:abstractNumId w:val="27"/>
  </w:num>
  <w:num w:numId="29" w16cid:durableId="117644833">
    <w:abstractNumId w:val="2"/>
  </w:num>
  <w:num w:numId="30" w16cid:durableId="258029842">
    <w:abstractNumId w:val="17"/>
  </w:num>
  <w:num w:numId="31" w16cid:durableId="697776565">
    <w:abstractNumId w:val="13"/>
  </w:num>
  <w:num w:numId="32" w16cid:durableId="619847693">
    <w:abstractNumId w:val="25"/>
  </w:num>
  <w:num w:numId="33" w16cid:durableId="465244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44093755">
    <w:abstractNumId w:val="24"/>
  </w:num>
  <w:num w:numId="35" w16cid:durableId="12886575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17015339">
    <w:abstractNumId w:val="5"/>
  </w:num>
  <w:num w:numId="37" w16cid:durableId="2060323234">
    <w:abstractNumId w:val="5"/>
  </w:num>
  <w:num w:numId="38" w16cid:durableId="1673411502">
    <w:abstractNumId w:val="5"/>
  </w:num>
  <w:num w:numId="39" w16cid:durableId="556626536">
    <w:abstractNumId w:val="5"/>
  </w:num>
  <w:num w:numId="40" w16cid:durableId="1077894961">
    <w:abstractNumId w:val="5"/>
  </w:num>
  <w:num w:numId="41" w16cid:durableId="752895926">
    <w:abstractNumId w:val="5"/>
  </w:num>
  <w:num w:numId="42" w16cid:durableId="1166893926">
    <w:abstractNumId w:val="5"/>
  </w:num>
  <w:num w:numId="43" w16cid:durableId="19609909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867"/>
    <w:rsid w:val="00003B5D"/>
    <w:rsid w:val="00004431"/>
    <w:rsid w:val="00004C2A"/>
    <w:rsid w:val="00005062"/>
    <w:rsid w:val="00005DFC"/>
    <w:rsid w:val="0001064C"/>
    <w:rsid w:val="00011880"/>
    <w:rsid w:val="000127FB"/>
    <w:rsid w:val="0001384A"/>
    <w:rsid w:val="000169CE"/>
    <w:rsid w:val="00016E2C"/>
    <w:rsid w:val="000216F4"/>
    <w:rsid w:val="00021C13"/>
    <w:rsid w:val="00022C9A"/>
    <w:rsid w:val="000316DD"/>
    <w:rsid w:val="00031A80"/>
    <w:rsid w:val="00032A0F"/>
    <w:rsid w:val="00035FB1"/>
    <w:rsid w:val="00040661"/>
    <w:rsid w:val="00040D8D"/>
    <w:rsid w:val="00040DBB"/>
    <w:rsid w:val="0004620A"/>
    <w:rsid w:val="00046423"/>
    <w:rsid w:val="000477F5"/>
    <w:rsid w:val="00050624"/>
    <w:rsid w:val="000555A5"/>
    <w:rsid w:val="0006104E"/>
    <w:rsid w:val="000640BD"/>
    <w:rsid w:val="00065839"/>
    <w:rsid w:val="00065C54"/>
    <w:rsid w:val="00065FDF"/>
    <w:rsid w:val="0006693A"/>
    <w:rsid w:val="000678DA"/>
    <w:rsid w:val="00067AB5"/>
    <w:rsid w:val="00075943"/>
    <w:rsid w:val="00075F14"/>
    <w:rsid w:val="00077844"/>
    <w:rsid w:val="00080C2F"/>
    <w:rsid w:val="00080F8E"/>
    <w:rsid w:val="00081C20"/>
    <w:rsid w:val="000821A4"/>
    <w:rsid w:val="00083763"/>
    <w:rsid w:val="000875DC"/>
    <w:rsid w:val="000876C9"/>
    <w:rsid w:val="0009022C"/>
    <w:rsid w:val="00090510"/>
    <w:rsid w:val="000917AE"/>
    <w:rsid w:val="00092C8C"/>
    <w:rsid w:val="00094362"/>
    <w:rsid w:val="00094A29"/>
    <w:rsid w:val="00094B81"/>
    <w:rsid w:val="00095C6A"/>
    <w:rsid w:val="000964A1"/>
    <w:rsid w:val="000975AA"/>
    <w:rsid w:val="000A0E59"/>
    <w:rsid w:val="000A0F34"/>
    <w:rsid w:val="000A51DD"/>
    <w:rsid w:val="000A5C0C"/>
    <w:rsid w:val="000B2AB5"/>
    <w:rsid w:val="000B6B15"/>
    <w:rsid w:val="000C206F"/>
    <w:rsid w:val="000C25A7"/>
    <w:rsid w:val="000C38F9"/>
    <w:rsid w:val="000C7BCD"/>
    <w:rsid w:val="000D06A5"/>
    <w:rsid w:val="000D14EC"/>
    <w:rsid w:val="000D4E17"/>
    <w:rsid w:val="000D78EC"/>
    <w:rsid w:val="000D7934"/>
    <w:rsid w:val="000D79B4"/>
    <w:rsid w:val="000E2434"/>
    <w:rsid w:val="000E2597"/>
    <w:rsid w:val="000E2B5C"/>
    <w:rsid w:val="000E32F4"/>
    <w:rsid w:val="000E3FA9"/>
    <w:rsid w:val="000E49AB"/>
    <w:rsid w:val="000E504E"/>
    <w:rsid w:val="000E5E95"/>
    <w:rsid w:val="000E6746"/>
    <w:rsid w:val="000F0EB3"/>
    <w:rsid w:val="000F254F"/>
    <w:rsid w:val="000F2A2D"/>
    <w:rsid w:val="000F3EA5"/>
    <w:rsid w:val="000F4709"/>
    <w:rsid w:val="000F7B51"/>
    <w:rsid w:val="000F7FC9"/>
    <w:rsid w:val="001004FC"/>
    <w:rsid w:val="00101BEE"/>
    <w:rsid w:val="00101CE6"/>
    <w:rsid w:val="00101FB1"/>
    <w:rsid w:val="0010558A"/>
    <w:rsid w:val="00105814"/>
    <w:rsid w:val="001078BB"/>
    <w:rsid w:val="00107DDF"/>
    <w:rsid w:val="001101FF"/>
    <w:rsid w:val="00111989"/>
    <w:rsid w:val="00113BB0"/>
    <w:rsid w:val="00113F9F"/>
    <w:rsid w:val="00114025"/>
    <w:rsid w:val="00114AED"/>
    <w:rsid w:val="00120CD6"/>
    <w:rsid w:val="001227E2"/>
    <w:rsid w:val="00122AA0"/>
    <w:rsid w:val="00123A58"/>
    <w:rsid w:val="00123BD1"/>
    <w:rsid w:val="0012473C"/>
    <w:rsid w:val="00127A61"/>
    <w:rsid w:val="00127A74"/>
    <w:rsid w:val="00130834"/>
    <w:rsid w:val="00130D2D"/>
    <w:rsid w:val="0013132F"/>
    <w:rsid w:val="00131B1B"/>
    <w:rsid w:val="0013306D"/>
    <w:rsid w:val="0013528C"/>
    <w:rsid w:val="001358EA"/>
    <w:rsid w:val="001360AB"/>
    <w:rsid w:val="00136A4B"/>
    <w:rsid w:val="00141676"/>
    <w:rsid w:val="001433BC"/>
    <w:rsid w:val="001442A2"/>
    <w:rsid w:val="00144CFE"/>
    <w:rsid w:val="001468CA"/>
    <w:rsid w:val="001500A8"/>
    <w:rsid w:val="00150FC6"/>
    <w:rsid w:val="00152370"/>
    <w:rsid w:val="0015238C"/>
    <w:rsid w:val="00155D85"/>
    <w:rsid w:val="00160032"/>
    <w:rsid w:val="00165A16"/>
    <w:rsid w:val="00165D28"/>
    <w:rsid w:val="0016636D"/>
    <w:rsid w:val="0016654B"/>
    <w:rsid w:val="0017005C"/>
    <w:rsid w:val="00172C19"/>
    <w:rsid w:val="001742AC"/>
    <w:rsid w:val="001744D4"/>
    <w:rsid w:val="0017470E"/>
    <w:rsid w:val="00175CD8"/>
    <w:rsid w:val="00176979"/>
    <w:rsid w:val="00177B82"/>
    <w:rsid w:val="00182BD8"/>
    <w:rsid w:val="001832FF"/>
    <w:rsid w:val="00183602"/>
    <w:rsid w:val="00183CB3"/>
    <w:rsid w:val="00183DA7"/>
    <w:rsid w:val="001874F8"/>
    <w:rsid w:val="00190853"/>
    <w:rsid w:val="00194131"/>
    <w:rsid w:val="0019453F"/>
    <w:rsid w:val="001A76F9"/>
    <w:rsid w:val="001B06FF"/>
    <w:rsid w:val="001B0E4F"/>
    <w:rsid w:val="001B1049"/>
    <w:rsid w:val="001B1703"/>
    <w:rsid w:val="001B2B84"/>
    <w:rsid w:val="001B38A7"/>
    <w:rsid w:val="001C1C2E"/>
    <w:rsid w:val="001C2C50"/>
    <w:rsid w:val="001C31A1"/>
    <w:rsid w:val="001C3943"/>
    <w:rsid w:val="001C3E91"/>
    <w:rsid w:val="001C3FA2"/>
    <w:rsid w:val="001C4F64"/>
    <w:rsid w:val="001C51B9"/>
    <w:rsid w:val="001C5EE2"/>
    <w:rsid w:val="001D0077"/>
    <w:rsid w:val="001D1DCF"/>
    <w:rsid w:val="001D4B05"/>
    <w:rsid w:val="001E0939"/>
    <w:rsid w:val="001E13DA"/>
    <w:rsid w:val="001E3A5F"/>
    <w:rsid w:val="001E407B"/>
    <w:rsid w:val="001E416A"/>
    <w:rsid w:val="001E6780"/>
    <w:rsid w:val="001E78F0"/>
    <w:rsid w:val="001E7FC6"/>
    <w:rsid w:val="001F117F"/>
    <w:rsid w:val="001F2502"/>
    <w:rsid w:val="001F4DE1"/>
    <w:rsid w:val="001F65F9"/>
    <w:rsid w:val="001F70A5"/>
    <w:rsid w:val="002003B8"/>
    <w:rsid w:val="0020235D"/>
    <w:rsid w:val="0020369B"/>
    <w:rsid w:val="00204F49"/>
    <w:rsid w:val="00207A7D"/>
    <w:rsid w:val="00207B4D"/>
    <w:rsid w:val="00210F9B"/>
    <w:rsid w:val="00211614"/>
    <w:rsid w:val="002117B1"/>
    <w:rsid w:val="00213165"/>
    <w:rsid w:val="00214504"/>
    <w:rsid w:val="002148E9"/>
    <w:rsid w:val="002179DB"/>
    <w:rsid w:val="00217CCE"/>
    <w:rsid w:val="002203B1"/>
    <w:rsid w:val="00220DC4"/>
    <w:rsid w:val="00221BE2"/>
    <w:rsid w:val="00222DB8"/>
    <w:rsid w:val="002230B0"/>
    <w:rsid w:val="0022622B"/>
    <w:rsid w:val="00226F39"/>
    <w:rsid w:val="0023017C"/>
    <w:rsid w:val="002334AD"/>
    <w:rsid w:val="00233A3F"/>
    <w:rsid w:val="0023550B"/>
    <w:rsid w:val="002361DC"/>
    <w:rsid w:val="00241ACB"/>
    <w:rsid w:val="00241B60"/>
    <w:rsid w:val="0024296B"/>
    <w:rsid w:val="002451C2"/>
    <w:rsid w:val="00247131"/>
    <w:rsid w:val="00250CBF"/>
    <w:rsid w:val="002527F0"/>
    <w:rsid w:val="0025785B"/>
    <w:rsid w:val="00257969"/>
    <w:rsid w:val="002619A9"/>
    <w:rsid w:val="002622CF"/>
    <w:rsid w:val="002649FC"/>
    <w:rsid w:val="00265CD1"/>
    <w:rsid w:val="0026610C"/>
    <w:rsid w:val="00266D73"/>
    <w:rsid w:val="00270AA1"/>
    <w:rsid w:val="00273A5E"/>
    <w:rsid w:val="00273A96"/>
    <w:rsid w:val="00273F00"/>
    <w:rsid w:val="00274210"/>
    <w:rsid w:val="00276AE9"/>
    <w:rsid w:val="00277785"/>
    <w:rsid w:val="00277B76"/>
    <w:rsid w:val="00280048"/>
    <w:rsid w:val="00282C16"/>
    <w:rsid w:val="002847E2"/>
    <w:rsid w:val="0028489E"/>
    <w:rsid w:val="002848DE"/>
    <w:rsid w:val="002859DC"/>
    <w:rsid w:val="00285AA4"/>
    <w:rsid w:val="00285BBA"/>
    <w:rsid w:val="0028794E"/>
    <w:rsid w:val="00287A67"/>
    <w:rsid w:val="00291608"/>
    <w:rsid w:val="00293376"/>
    <w:rsid w:val="0029369F"/>
    <w:rsid w:val="00295C3F"/>
    <w:rsid w:val="00295E2A"/>
    <w:rsid w:val="0029726F"/>
    <w:rsid w:val="0029733B"/>
    <w:rsid w:val="002A1E89"/>
    <w:rsid w:val="002A348C"/>
    <w:rsid w:val="002A3EFA"/>
    <w:rsid w:val="002A519B"/>
    <w:rsid w:val="002A5841"/>
    <w:rsid w:val="002A6E12"/>
    <w:rsid w:val="002B1973"/>
    <w:rsid w:val="002B1EDF"/>
    <w:rsid w:val="002B2061"/>
    <w:rsid w:val="002B33C3"/>
    <w:rsid w:val="002B3F4A"/>
    <w:rsid w:val="002B6262"/>
    <w:rsid w:val="002B675E"/>
    <w:rsid w:val="002B6BF0"/>
    <w:rsid w:val="002C1232"/>
    <w:rsid w:val="002C1E44"/>
    <w:rsid w:val="002C4374"/>
    <w:rsid w:val="002C5C92"/>
    <w:rsid w:val="002C5E29"/>
    <w:rsid w:val="002C6B40"/>
    <w:rsid w:val="002C7179"/>
    <w:rsid w:val="002D0478"/>
    <w:rsid w:val="002D4BB5"/>
    <w:rsid w:val="002D5AB4"/>
    <w:rsid w:val="002D602A"/>
    <w:rsid w:val="002D6C66"/>
    <w:rsid w:val="002D6FB6"/>
    <w:rsid w:val="002D7127"/>
    <w:rsid w:val="002E015B"/>
    <w:rsid w:val="002E50D2"/>
    <w:rsid w:val="002E6B1F"/>
    <w:rsid w:val="002F16FF"/>
    <w:rsid w:val="002F1A51"/>
    <w:rsid w:val="002F389A"/>
    <w:rsid w:val="002F599E"/>
    <w:rsid w:val="002F68A3"/>
    <w:rsid w:val="00300186"/>
    <w:rsid w:val="003008D8"/>
    <w:rsid w:val="00301930"/>
    <w:rsid w:val="00301D9A"/>
    <w:rsid w:val="00301EFE"/>
    <w:rsid w:val="00303959"/>
    <w:rsid w:val="00304C4F"/>
    <w:rsid w:val="00306844"/>
    <w:rsid w:val="00306E72"/>
    <w:rsid w:val="0030710D"/>
    <w:rsid w:val="00312AC3"/>
    <w:rsid w:val="00314430"/>
    <w:rsid w:val="00314CFD"/>
    <w:rsid w:val="00315034"/>
    <w:rsid w:val="003163BC"/>
    <w:rsid w:val="00317D0C"/>
    <w:rsid w:val="003212D9"/>
    <w:rsid w:val="0032351A"/>
    <w:rsid w:val="003237D8"/>
    <w:rsid w:val="00323CC5"/>
    <w:rsid w:val="00324B33"/>
    <w:rsid w:val="003267F0"/>
    <w:rsid w:val="00327488"/>
    <w:rsid w:val="003301EC"/>
    <w:rsid w:val="003344BF"/>
    <w:rsid w:val="00336FE1"/>
    <w:rsid w:val="00337BD8"/>
    <w:rsid w:val="00337CAF"/>
    <w:rsid w:val="00340A83"/>
    <w:rsid w:val="003416F6"/>
    <w:rsid w:val="00342626"/>
    <w:rsid w:val="00342D56"/>
    <w:rsid w:val="00343302"/>
    <w:rsid w:val="0034335C"/>
    <w:rsid w:val="003443B5"/>
    <w:rsid w:val="003456E7"/>
    <w:rsid w:val="00346EC2"/>
    <w:rsid w:val="003477F9"/>
    <w:rsid w:val="003479DB"/>
    <w:rsid w:val="00347C86"/>
    <w:rsid w:val="00353261"/>
    <w:rsid w:val="00353AD5"/>
    <w:rsid w:val="0035444D"/>
    <w:rsid w:val="00356D62"/>
    <w:rsid w:val="00357AAF"/>
    <w:rsid w:val="00362B00"/>
    <w:rsid w:val="00363EE3"/>
    <w:rsid w:val="00370513"/>
    <w:rsid w:val="0037226C"/>
    <w:rsid w:val="00372B8D"/>
    <w:rsid w:val="003735F3"/>
    <w:rsid w:val="00374729"/>
    <w:rsid w:val="003753BF"/>
    <w:rsid w:val="00375B33"/>
    <w:rsid w:val="00380335"/>
    <w:rsid w:val="00381BDF"/>
    <w:rsid w:val="00382B4D"/>
    <w:rsid w:val="003839BC"/>
    <w:rsid w:val="00386B67"/>
    <w:rsid w:val="00387298"/>
    <w:rsid w:val="00387984"/>
    <w:rsid w:val="00391B37"/>
    <w:rsid w:val="00395140"/>
    <w:rsid w:val="00396BE0"/>
    <w:rsid w:val="003A0324"/>
    <w:rsid w:val="003A184E"/>
    <w:rsid w:val="003A1D70"/>
    <w:rsid w:val="003A2422"/>
    <w:rsid w:val="003A271C"/>
    <w:rsid w:val="003B05F0"/>
    <w:rsid w:val="003B149C"/>
    <w:rsid w:val="003B28B0"/>
    <w:rsid w:val="003B4AF5"/>
    <w:rsid w:val="003C0FDB"/>
    <w:rsid w:val="003C1192"/>
    <w:rsid w:val="003C2029"/>
    <w:rsid w:val="003C55E2"/>
    <w:rsid w:val="003C63D5"/>
    <w:rsid w:val="003C672A"/>
    <w:rsid w:val="003C7AA8"/>
    <w:rsid w:val="003D0FEE"/>
    <w:rsid w:val="003D33FC"/>
    <w:rsid w:val="003D71A1"/>
    <w:rsid w:val="003D73AB"/>
    <w:rsid w:val="003E240B"/>
    <w:rsid w:val="003F27BF"/>
    <w:rsid w:val="003F30A8"/>
    <w:rsid w:val="003F7413"/>
    <w:rsid w:val="003F7D66"/>
    <w:rsid w:val="00400974"/>
    <w:rsid w:val="004027D0"/>
    <w:rsid w:val="00403FC0"/>
    <w:rsid w:val="00405156"/>
    <w:rsid w:val="0040539D"/>
    <w:rsid w:val="00406CE9"/>
    <w:rsid w:val="0040771A"/>
    <w:rsid w:val="00410C26"/>
    <w:rsid w:val="00410DD3"/>
    <w:rsid w:val="00412BAB"/>
    <w:rsid w:val="004132C7"/>
    <w:rsid w:val="0041688F"/>
    <w:rsid w:val="004203D1"/>
    <w:rsid w:val="004212E2"/>
    <w:rsid w:val="0042151C"/>
    <w:rsid w:val="004216C9"/>
    <w:rsid w:val="00422AB8"/>
    <w:rsid w:val="0042376F"/>
    <w:rsid w:val="004246B8"/>
    <w:rsid w:val="004248F1"/>
    <w:rsid w:val="00430790"/>
    <w:rsid w:val="004314F1"/>
    <w:rsid w:val="00433318"/>
    <w:rsid w:val="00433463"/>
    <w:rsid w:val="0043717C"/>
    <w:rsid w:val="004376CB"/>
    <w:rsid w:val="004411D9"/>
    <w:rsid w:val="00441905"/>
    <w:rsid w:val="00442A56"/>
    <w:rsid w:val="004444B0"/>
    <w:rsid w:val="00444E4D"/>
    <w:rsid w:val="00446081"/>
    <w:rsid w:val="00446095"/>
    <w:rsid w:val="0045060B"/>
    <w:rsid w:val="00451083"/>
    <w:rsid w:val="00451649"/>
    <w:rsid w:val="0045218E"/>
    <w:rsid w:val="00452F40"/>
    <w:rsid w:val="00455470"/>
    <w:rsid w:val="00455A75"/>
    <w:rsid w:val="00456195"/>
    <w:rsid w:val="00456D7C"/>
    <w:rsid w:val="004572E3"/>
    <w:rsid w:val="0046129A"/>
    <w:rsid w:val="004626FF"/>
    <w:rsid w:val="0046285C"/>
    <w:rsid w:val="00465E45"/>
    <w:rsid w:val="0046615B"/>
    <w:rsid w:val="00470A52"/>
    <w:rsid w:val="00471127"/>
    <w:rsid w:val="004712DA"/>
    <w:rsid w:val="00471BD5"/>
    <w:rsid w:val="00473106"/>
    <w:rsid w:val="0047354D"/>
    <w:rsid w:val="00477C4E"/>
    <w:rsid w:val="00477D7D"/>
    <w:rsid w:val="00477F07"/>
    <w:rsid w:val="00481503"/>
    <w:rsid w:val="00481894"/>
    <w:rsid w:val="00481D12"/>
    <w:rsid w:val="00483CD6"/>
    <w:rsid w:val="004854A6"/>
    <w:rsid w:val="00485755"/>
    <w:rsid w:val="00486B0E"/>
    <w:rsid w:val="00490779"/>
    <w:rsid w:val="00490D3E"/>
    <w:rsid w:val="004910C3"/>
    <w:rsid w:val="00491A55"/>
    <w:rsid w:val="00494C3E"/>
    <w:rsid w:val="00495C4F"/>
    <w:rsid w:val="00496DC2"/>
    <w:rsid w:val="00497DF1"/>
    <w:rsid w:val="004A0ADC"/>
    <w:rsid w:val="004A1603"/>
    <w:rsid w:val="004A2383"/>
    <w:rsid w:val="004A318E"/>
    <w:rsid w:val="004A45D4"/>
    <w:rsid w:val="004A57E8"/>
    <w:rsid w:val="004B0FB3"/>
    <w:rsid w:val="004B3081"/>
    <w:rsid w:val="004B4A09"/>
    <w:rsid w:val="004B5647"/>
    <w:rsid w:val="004B6A98"/>
    <w:rsid w:val="004C1C9C"/>
    <w:rsid w:val="004C3475"/>
    <w:rsid w:val="004C41CE"/>
    <w:rsid w:val="004C631B"/>
    <w:rsid w:val="004C70E4"/>
    <w:rsid w:val="004D0933"/>
    <w:rsid w:val="004D2F00"/>
    <w:rsid w:val="004D31D8"/>
    <w:rsid w:val="004D35D1"/>
    <w:rsid w:val="004D5388"/>
    <w:rsid w:val="004D6580"/>
    <w:rsid w:val="004E0536"/>
    <w:rsid w:val="004E15F9"/>
    <w:rsid w:val="004E53AD"/>
    <w:rsid w:val="004E5A73"/>
    <w:rsid w:val="004E7BA8"/>
    <w:rsid w:val="004E7F16"/>
    <w:rsid w:val="004F0B5A"/>
    <w:rsid w:val="004F18EC"/>
    <w:rsid w:val="004F7180"/>
    <w:rsid w:val="005006DF"/>
    <w:rsid w:val="00500D68"/>
    <w:rsid w:val="005035BE"/>
    <w:rsid w:val="00504FF6"/>
    <w:rsid w:val="00507A12"/>
    <w:rsid w:val="005116E0"/>
    <w:rsid w:val="005120C8"/>
    <w:rsid w:val="00512122"/>
    <w:rsid w:val="00512B67"/>
    <w:rsid w:val="00513038"/>
    <w:rsid w:val="00514347"/>
    <w:rsid w:val="005251E4"/>
    <w:rsid w:val="00525F29"/>
    <w:rsid w:val="00532788"/>
    <w:rsid w:val="0053377D"/>
    <w:rsid w:val="00533989"/>
    <w:rsid w:val="00535DFE"/>
    <w:rsid w:val="005373B5"/>
    <w:rsid w:val="00537AB7"/>
    <w:rsid w:val="0054036B"/>
    <w:rsid w:val="00541E6F"/>
    <w:rsid w:val="00545A44"/>
    <w:rsid w:val="0054669B"/>
    <w:rsid w:val="005501A1"/>
    <w:rsid w:val="00550E49"/>
    <w:rsid w:val="0055322C"/>
    <w:rsid w:val="00557684"/>
    <w:rsid w:val="005607E9"/>
    <w:rsid w:val="00560D4C"/>
    <w:rsid w:val="005610D1"/>
    <w:rsid w:val="00562F42"/>
    <w:rsid w:val="00563B81"/>
    <w:rsid w:val="00564118"/>
    <w:rsid w:val="00565739"/>
    <w:rsid w:val="005657B1"/>
    <w:rsid w:val="005669F5"/>
    <w:rsid w:val="0056766D"/>
    <w:rsid w:val="0056779A"/>
    <w:rsid w:val="0057140F"/>
    <w:rsid w:val="00574E84"/>
    <w:rsid w:val="00575215"/>
    <w:rsid w:val="005763CF"/>
    <w:rsid w:val="00576E48"/>
    <w:rsid w:val="005775D0"/>
    <w:rsid w:val="00581138"/>
    <w:rsid w:val="005848CE"/>
    <w:rsid w:val="0058575E"/>
    <w:rsid w:val="00587219"/>
    <w:rsid w:val="0058783C"/>
    <w:rsid w:val="005911AE"/>
    <w:rsid w:val="00591538"/>
    <w:rsid w:val="005926E2"/>
    <w:rsid w:val="005927F9"/>
    <w:rsid w:val="00592FE6"/>
    <w:rsid w:val="0059313A"/>
    <w:rsid w:val="0059314A"/>
    <w:rsid w:val="0059575A"/>
    <w:rsid w:val="00595D4E"/>
    <w:rsid w:val="005A05BC"/>
    <w:rsid w:val="005A54EA"/>
    <w:rsid w:val="005A6D24"/>
    <w:rsid w:val="005B023F"/>
    <w:rsid w:val="005B02A2"/>
    <w:rsid w:val="005B09D6"/>
    <w:rsid w:val="005B0DFB"/>
    <w:rsid w:val="005B1417"/>
    <w:rsid w:val="005B4309"/>
    <w:rsid w:val="005B4BE8"/>
    <w:rsid w:val="005B69CF"/>
    <w:rsid w:val="005B75F9"/>
    <w:rsid w:val="005C3B44"/>
    <w:rsid w:val="005C3F07"/>
    <w:rsid w:val="005C42D4"/>
    <w:rsid w:val="005C4B46"/>
    <w:rsid w:val="005C5DC5"/>
    <w:rsid w:val="005D0E1E"/>
    <w:rsid w:val="005D152B"/>
    <w:rsid w:val="005D17B5"/>
    <w:rsid w:val="005D1F56"/>
    <w:rsid w:val="005D2089"/>
    <w:rsid w:val="005D38CD"/>
    <w:rsid w:val="005D4357"/>
    <w:rsid w:val="005D557C"/>
    <w:rsid w:val="005D7514"/>
    <w:rsid w:val="005D7E31"/>
    <w:rsid w:val="005E0FC6"/>
    <w:rsid w:val="005E1792"/>
    <w:rsid w:val="005E1A7B"/>
    <w:rsid w:val="005E1B22"/>
    <w:rsid w:val="005E231F"/>
    <w:rsid w:val="005E6D5A"/>
    <w:rsid w:val="005F01D3"/>
    <w:rsid w:val="005F2CBF"/>
    <w:rsid w:val="005F35CA"/>
    <w:rsid w:val="00600257"/>
    <w:rsid w:val="0060182D"/>
    <w:rsid w:val="00602D6E"/>
    <w:rsid w:val="006031A0"/>
    <w:rsid w:val="006049C4"/>
    <w:rsid w:val="00604CAC"/>
    <w:rsid w:val="00604EBD"/>
    <w:rsid w:val="006055F2"/>
    <w:rsid w:val="00605C05"/>
    <w:rsid w:val="0060756F"/>
    <w:rsid w:val="00611351"/>
    <w:rsid w:val="0061217D"/>
    <w:rsid w:val="006129AE"/>
    <w:rsid w:val="00615DFE"/>
    <w:rsid w:val="006174BC"/>
    <w:rsid w:val="006201E3"/>
    <w:rsid w:val="00620C15"/>
    <w:rsid w:val="006277A1"/>
    <w:rsid w:val="0062797F"/>
    <w:rsid w:val="00633BD7"/>
    <w:rsid w:val="00634580"/>
    <w:rsid w:val="00634884"/>
    <w:rsid w:val="006351D9"/>
    <w:rsid w:val="00637130"/>
    <w:rsid w:val="00637763"/>
    <w:rsid w:val="00637F0E"/>
    <w:rsid w:val="00642253"/>
    <w:rsid w:val="006423F2"/>
    <w:rsid w:val="006428C5"/>
    <w:rsid w:val="00650234"/>
    <w:rsid w:val="00650DCC"/>
    <w:rsid w:val="00650F68"/>
    <w:rsid w:val="006529C5"/>
    <w:rsid w:val="00653569"/>
    <w:rsid w:val="0065535A"/>
    <w:rsid w:val="00656A74"/>
    <w:rsid w:val="0066044B"/>
    <w:rsid w:val="006606A0"/>
    <w:rsid w:val="00661E83"/>
    <w:rsid w:val="00662748"/>
    <w:rsid w:val="006630AA"/>
    <w:rsid w:val="00663544"/>
    <w:rsid w:val="00666539"/>
    <w:rsid w:val="00666911"/>
    <w:rsid w:val="00670DAC"/>
    <w:rsid w:val="00670E5E"/>
    <w:rsid w:val="00671327"/>
    <w:rsid w:val="00675F81"/>
    <w:rsid w:val="00676E96"/>
    <w:rsid w:val="00677849"/>
    <w:rsid w:val="0068143E"/>
    <w:rsid w:val="0068507D"/>
    <w:rsid w:val="00687EAC"/>
    <w:rsid w:val="00691AF2"/>
    <w:rsid w:val="00691E33"/>
    <w:rsid w:val="006922CF"/>
    <w:rsid w:val="00692B80"/>
    <w:rsid w:val="00692CCD"/>
    <w:rsid w:val="00692D51"/>
    <w:rsid w:val="0069396E"/>
    <w:rsid w:val="00694DD7"/>
    <w:rsid w:val="0069636B"/>
    <w:rsid w:val="006A1762"/>
    <w:rsid w:val="006A19CE"/>
    <w:rsid w:val="006A1F0B"/>
    <w:rsid w:val="006A277A"/>
    <w:rsid w:val="006A2971"/>
    <w:rsid w:val="006A5798"/>
    <w:rsid w:val="006A5973"/>
    <w:rsid w:val="006A672C"/>
    <w:rsid w:val="006A7550"/>
    <w:rsid w:val="006B04F3"/>
    <w:rsid w:val="006B0EC2"/>
    <w:rsid w:val="006B1B79"/>
    <w:rsid w:val="006B2788"/>
    <w:rsid w:val="006B290D"/>
    <w:rsid w:val="006B3F05"/>
    <w:rsid w:val="006B49EB"/>
    <w:rsid w:val="006B7126"/>
    <w:rsid w:val="006B7EF5"/>
    <w:rsid w:val="006C01CB"/>
    <w:rsid w:val="006C0619"/>
    <w:rsid w:val="006C14AB"/>
    <w:rsid w:val="006C3A12"/>
    <w:rsid w:val="006C6A67"/>
    <w:rsid w:val="006C6B86"/>
    <w:rsid w:val="006D2862"/>
    <w:rsid w:val="006D4553"/>
    <w:rsid w:val="006D4A35"/>
    <w:rsid w:val="006D6694"/>
    <w:rsid w:val="006D6B44"/>
    <w:rsid w:val="006D6C0E"/>
    <w:rsid w:val="006D7F32"/>
    <w:rsid w:val="006E0F71"/>
    <w:rsid w:val="006E1C04"/>
    <w:rsid w:val="006E211F"/>
    <w:rsid w:val="006E27FE"/>
    <w:rsid w:val="006E393B"/>
    <w:rsid w:val="006F1E4F"/>
    <w:rsid w:val="006F5C4D"/>
    <w:rsid w:val="006F79A3"/>
    <w:rsid w:val="00701110"/>
    <w:rsid w:val="00702E91"/>
    <w:rsid w:val="0070330F"/>
    <w:rsid w:val="00703624"/>
    <w:rsid w:val="00703958"/>
    <w:rsid w:val="007046ED"/>
    <w:rsid w:val="00704976"/>
    <w:rsid w:val="0070541F"/>
    <w:rsid w:val="00705737"/>
    <w:rsid w:val="00706AE0"/>
    <w:rsid w:val="00706B7F"/>
    <w:rsid w:val="007072A1"/>
    <w:rsid w:val="0071060C"/>
    <w:rsid w:val="00710BC5"/>
    <w:rsid w:val="007111D9"/>
    <w:rsid w:val="00711A86"/>
    <w:rsid w:val="007121CA"/>
    <w:rsid w:val="00713E76"/>
    <w:rsid w:val="00715C81"/>
    <w:rsid w:val="00717E44"/>
    <w:rsid w:val="0072003B"/>
    <w:rsid w:val="00720289"/>
    <w:rsid w:val="0072078E"/>
    <w:rsid w:val="00721059"/>
    <w:rsid w:val="007211E6"/>
    <w:rsid w:val="007220C4"/>
    <w:rsid w:val="00723946"/>
    <w:rsid w:val="00725575"/>
    <w:rsid w:val="0072707D"/>
    <w:rsid w:val="007305ED"/>
    <w:rsid w:val="00730887"/>
    <w:rsid w:val="007311B9"/>
    <w:rsid w:val="00732361"/>
    <w:rsid w:val="00733F2F"/>
    <w:rsid w:val="007343A2"/>
    <w:rsid w:val="007357B9"/>
    <w:rsid w:val="0073588D"/>
    <w:rsid w:val="00736E6C"/>
    <w:rsid w:val="00741AB9"/>
    <w:rsid w:val="00742D03"/>
    <w:rsid w:val="00744216"/>
    <w:rsid w:val="007452E8"/>
    <w:rsid w:val="00746990"/>
    <w:rsid w:val="00747093"/>
    <w:rsid w:val="00747F00"/>
    <w:rsid w:val="00750D70"/>
    <w:rsid w:val="007529CA"/>
    <w:rsid w:val="007531F2"/>
    <w:rsid w:val="007575D0"/>
    <w:rsid w:val="0076073D"/>
    <w:rsid w:val="00760A27"/>
    <w:rsid w:val="007615A1"/>
    <w:rsid w:val="00761AC6"/>
    <w:rsid w:val="00761FEF"/>
    <w:rsid w:val="007628BE"/>
    <w:rsid w:val="00765143"/>
    <w:rsid w:val="007662E0"/>
    <w:rsid w:val="007700F6"/>
    <w:rsid w:val="00772902"/>
    <w:rsid w:val="00773375"/>
    <w:rsid w:val="00773565"/>
    <w:rsid w:val="00774412"/>
    <w:rsid w:val="007750B5"/>
    <w:rsid w:val="00776E9C"/>
    <w:rsid w:val="0077724A"/>
    <w:rsid w:val="00777603"/>
    <w:rsid w:val="007816D8"/>
    <w:rsid w:val="00782B07"/>
    <w:rsid w:val="00784150"/>
    <w:rsid w:val="0078470E"/>
    <w:rsid w:val="00784FD4"/>
    <w:rsid w:val="00793272"/>
    <w:rsid w:val="007937A5"/>
    <w:rsid w:val="0079499A"/>
    <w:rsid w:val="00794B64"/>
    <w:rsid w:val="007954A6"/>
    <w:rsid w:val="007967C3"/>
    <w:rsid w:val="00797032"/>
    <w:rsid w:val="007A0A33"/>
    <w:rsid w:val="007A4929"/>
    <w:rsid w:val="007B04DE"/>
    <w:rsid w:val="007B0AE6"/>
    <w:rsid w:val="007B63CE"/>
    <w:rsid w:val="007B7ED9"/>
    <w:rsid w:val="007B7FB6"/>
    <w:rsid w:val="007C0F0B"/>
    <w:rsid w:val="007C2FAA"/>
    <w:rsid w:val="007C531D"/>
    <w:rsid w:val="007C57BC"/>
    <w:rsid w:val="007C6B58"/>
    <w:rsid w:val="007D04CA"/>
    <w:rsid w:val="007D0A2B"/>
    <w:rsid w:val="007D12A1"/>
    <w:rsid w:val="007D2EA7"/>
    <w:rsid w:val="007D40E5"/>
    <w:rsid w:val="007D4138"/>
    <w:rsid w:val="007D7F67"/>
    <w:rsid w:val="007E234E"/>
    <w:rsid w:val="007E34B0"/>
    <w:rsid w:val="007E3D21"/>
    <w:rsid w:val="007E4178"/>
    <w:rsid w:val="007E4D0F"/>
    <w:rsid w:val="007E51EA"/>
    <w:rsid w:val="007E6443"/>
    <w:rsid w:val="007F0A77"/>
    <w:rsid w:val="007F0D36"/>
    <w:rsid w:val="007F15E4"/>
    <w:rsid w:val="007F1E37"/>
    <w:rsid w:val="007F50D3"/>
    <w:rsid w:val="007F55A0"/>
    <w:rsid w:val="007F6B1F"/>
    <w:rsid w:val="00800707"/>
    <w:rsid w:val="0080113C"/>
    <w:rsid w:val="008013F0"/>
    <w:rsid w:val="00803926"/>
    <w:rsid w:val="00804897"/>
    <w:rsid w:val="0081091B"/>
    <w:rsid w:val="00823E67"/>
    <w:rsid w:val="00830221"/>
    <w:rsid w:val="0083111B"/>
    <w:rsid w:val="008329DB"/>
    <w:rsid w:val="008361C5"/>
    <w:rsid w:val="0083628F"/>
    <w:rsid w:val="00837AB9"/>
    <w:rsid w:val="00842B39"/>
    <w:rsid w:val="008431F8"/>
    <w:rsid w:val="008455D4"/>
    <w:rsid w:val="00846BAA"/>
    <w:rsid w:val="00850637"/>
    <w:rsid w:val="00851E5A"/>
    <w:rsid w:val="008525E5"/>
    <w:rsid w:val="00852C42"/>
    <w:rsid w:val="00853148"/>
    <w:rsid w:val="00854D98"/>
    <w:rsid w:val="00855EF3"/>
    <w:rsid w:val="0085751E"/>
    <w:rsid w:val="008607E1"/>
    <w:rsid w:val="008608DD"/>
    <w:rsid w:val="00860B29"/>
    <w:rsid w:val="00861CE2"/>
    <w:rsid w:val="008622E8"/>
    <w:rsid w:val="00862EC6"/>
    <w:rsid w:val="008645EE"/>
    <w:rsid w:val="00865E06"/>
    <w:rsid w:val="00870144"/>
    <w:rsid w:val="0087072C"/>
    <w:rsid w:val="00871312"/>
    <w:rsid w:val="00873AC3"/>
    <w:rsid w:val="00873D7A"/>
    <w:rsid w:val="00877529"/>
    <w:rsid w:val="00877CB3"/>
    <w:rsid w:val="008802C8"/>
    <w:rsid w:val="008804CF"/>
    <w:rsid w:val="00882D58"/>
    <w:rsid w:val="00882F19"/>
    <w:rsid w:val="00883A77"/>
    <w:rsid w:val="00883D35"/>
    <w:rsid w:val="00884569"/>
    <w:rsid w:val="0088628F"/>
    <w:rsid w:val="00886D84"/>
    <w:rsid w:val="00887A51"/>
    <w:rsid w:val="0089038A"/>
    <w:rsid w:val="00890D9B"/>
    <w:rsid w:val="00891B21"/>
    <w:rsid w:val="00891C6C"/>
    <w:rsid w:val="00891D5F"/>
    <w:rsid w:val="00893CCD"/>
    <w:rsid w:val="00894E80"/>
    <w:rsid w:val="00896328"/>
    <w:rsid w:val="008964B3"/>
    <w:rsid w:val="008A2AF6"/>
    <w:rsid w:val="008A47F4"/>
    <w:rsid w:val="008B1CB5"/>
    <w:rsid w:val="008B6D56"/>
    <w:rsid w:val="008C085D"/>
    <w:rsid w:val="008C2D69"/>
    <w:rsid w:val="008C49C6"/>
    <w:rsid w:val="008C754C"/>
    <w:rsid w:val="008D067F"/>
    <w:rsid w:val="008D0CEB"/>
    <w:rsid w:val="008D309F"/>
    <w:rsid w:val="008D4E5A"/>
    <w:rsid w:val="008D56C9"/>
    <w:rsid w:val="008D56CA"/>
    <w:rsid w:val="008D5835"/>
    <w:rsid w:val="008D6A54"/>
    <w:rsid w:val="008E2585"/>
    <w:rsid w:val="008E2D7A"/>
    <w:rsid w:val="008E733B"/>
    <w:rsid w:val="008E7C35"/>
    <w:rsid w:val="008F0191"/>
    <w:rsid w:val="008F1DB3"/>
    <w:rsid w:val="008F1E85"/>
    <w:rsid w:val="008F25BD"/>
    <w:rsid w:val="008F3215"/>
    <w:rsid w:val="008F3AB2"/>
    <w:rsid w:val="008F4A62"/>
    <w:rsid w:val="008F661F"/>
    <w:rsid w:val="008F7256"/>
    <w:rsid w:val="0090424C"/>
    <w:rsid w:val="009046A7"/>
    <w:rsid w:val="0090576A"/>
    <w:rsid w:val="0090605E"/>
    <w:rsid w:val="0090652C"/>
    <w:rsid w:val="00906C74"/>
    <w:rsid w:val="009108CE"/>
    <w:rsid w:val="00912A6D"/>
    <w:rsid w:val="00914CA0"/>
    <w:rsid w:val="00914FCC"/>
    <w:rsid w:val="00915124"/>
    <w:rsid w:val="00915A9F"/>
    <w:rsid w:val="009216B9"/>
    <w:rsid w:val="00925388"/>
    <w:rsid w:val="00926434"/>
    <w:rsid w:val="00930D58"/>
    <w:rsid w:val="00931234"/>
    <w:rsid w:val="00933AE8"/>
    <w:rsid w:val="009344A4"/>
    <w:rsid w:val="009347AC"/>
    <w:rsid w:val="00935AAA"/>
    <w:rsid w:val="00936313"/>
    <w:rsid w:val="009376FF"/>
    <w:rsid w:val="00944CAE"/>
    <w:rsid w:val="0095031E"/>
    <w:rsid w:val="00954297"/>
    <w:rsid w:val="00956C2E"/>
    <w:rsid w:val="00956E10"/>
    <w:rsid w:val="009603EE"/>
    <w:rsid w:val="009606D1"/>
    <w:rsid w:val="00960A56"/>
    <w:rsid w:val="00966CE0"/>
    <w:rsid w:val="00966EF1"/>
    <w:rsid w:val="00967223"/>
    <w:rsid w:val="009733FA"/>
    <w:rsid w:val="00974927"/>
    <w:rsid w:val="00974E0D"/>
    <w:rsid w:val="009751F7"/>
    <w:rsid w:val="0098168B"/>
    <w:rsid w:val="0098350E"/>
    <w:rsid w:val="00983AD6"/>
    <w:rsid w:val="0098496C"/>
    <w:rsid w:val="00984FF7"/>
    <w:rsid w:val="009877B1"/>
    <w:rsid w:val="009901B2"/>
    <w:rsid w:val="00990645"/>
    <w:rsid w:val="00990C12"/>
    <w:rsid w:val="0099404F"/>
    <w:rsid w:val="00994975"/>
    <w:rsid w:val="00994F05"/>
    <w:rsid w:val="00995663"/>
    <w:rsid w:val="00996FA5"/>
    <w:rsid w:val="00997506"/>
    <w:rsid w:val="009A3F69"/>
    <w:rsid w:val="009A5E2F"/>
    <w:rsid w:val="009A7672"/>
    <w:rsid w:val="009B0CAD"/>
    <w:rsid w:val="009B5662"/>
    <w:rsid w:val="009C2211"/>
    <w:rsid w:val="009C3FA2"/>
    <w:rsid w:val="009C40E8"/>
    <w:rsid w:val="009C442B"/>
    <w:rsid w:val="009C45C5"/>
    <w:rsid w:val="009D0E1E"/>
    <w:rsid w:val="009D1353"/>
    <w:rsid w:val="009D7D12"/>
    <w:rsid w:val="009E00C5"/>
    <w:rsid w:val="009E40DF"/>
    <w:rsid w:val="009E4A2A"/>
    <w:rsid w:val="009E552E"/>
    <w:rsid w:val="009E6858"/>
    <w:rsid w:val="009E6F8C"/>
    <w:rsid w:val="009E7010"/>
    <w:rsid w:val="009E76E6"/>
    <w:rsid w:val="009F1787"/>
    <w:rsid w:val="009F1914"/>
    <w:rsid w:val="009F2532"/>
    <w:rsid w:val="009F405F"/>
    <w:rsid w:val="00A01C56"/>
    <w:rsid w:val="00A07109"/>
    <w:rsid w:val="00A130D9"/>
    <w:rsid w:val="00A13593"/>
    <w:rsid w:val="00A14851"/>
    <w:rsid w:val="00A15BF9"/>
    <w:rsid w:val="00A15F7F"/>
    <w:rsid w:val="00A16693"/>
    <w:rsid w:val="00A171AD"/>
    <w:rsid w:val="00A2083B"/>
    <w:rsid w:val="00A25295"/>
    <w:rsid w:val="00A255B3"/>
    <w:rsid w:val="00A31CEF"/>
    <w:rsid w:val="00A32C50"/>
    <w:rsid w:val="00A3322E"/>
    <w:rsid w:val="00A338C7"/>
    <w:rsid w:val="00A358E7"/>
    <w:rsid w:val="00A359D2"/>
    <w:rsid w:val="00A40C16"/>
    <w:rsid w:val="00A421AF"/>
    <w:rsid w:val="00A43752"/>
    <w:rsid w:val="00A4380B"/>
    <w:rsid w:val="00A45CC2"/>
    <w:rsid w:val="00A50383"/>
    <w:rsid w:val="00A51A2D"/>
    <w:rsid w:val="00A55491"/>
    <w:rsid w:val="00A557E8"/>
    <w:rsid w:val="00A5596B"/>
    <w:rsid w:val="00A61F0A"/>
    <w:rsid w:val="00A6249C"/>
    <w:rsid w:val="00A6255F"/>
    <w:rsid w:val="00A63298"/>
    <w:rsid w:val="00A63C07"/>
    <w:rsid w:val="00A63D9B"/>
    <w:rsid w:val="00A644C2"/>
    <w:rsid w:val="00A661EC"/>
    <w:rsid w:val="00A704DC"/>
    <w:rsid w:val="00A723DC"/>
    <w:rsid w:val="00A75345"/>
    <w:rsid w:val="00A775FB"/>
    <w:rsid w:val="00A83399"/>
    <w:rsid w:val="00A8362E"/>
    <w:rsid w:val="00A852C6"/>
    <w:rsid w:val="00A8552E"/>
    <w:rsid w:val="00A85AA0"/>
    <w:rsid w:val="00A87E5E"/>
    <w:rsid w:val="00A90A68"/>
    <w:rsid w:val="00A93DC6"/>
    <w:rsid w:val="00A93FCF"/>
    <w:rsid w:val="00A9411A"/>
    <w:rsid w:val="00A944AC"/>
    <w:rsid w:val="00A94BE6"/>
    <w:rsid w:val="00A97E64"/>
    <w:rsid w:val="00AA0E82"/>
    <w:rsid w:val="00AA4A4B"/>
    <w:rsid w:val="00AA5ECB"/>
    <w:rsid w:val="00AA6682"/>
    <w:rsid w:val="00AA784E"/>
    <w:rsid w:val="00AA7E2C"/>
    <w:rsid w:val="00AB0613"/>
    <w:rsid w:val="00AB1398"/>
    <w:rsid w:val="00AB2C79"/>
    <w:rsid w:val="00AB4EA6"/>
    <w:rsid w:val="00AB755E"/>
    <w:rsid w:val="00AB7C5C"/>
    <w:rsid w:val="00AB7CBF"/>
    <w:rsid w:val="00AC1EC0"/>
    <w:rsid w:val="00AC44B0"/>
    <w:rsid w:val="00AC788B"/>
    <w:rsid w:val="00AD0111"/>
    <w:rsid w:val="00AD0AC9"/>
    <w:rsid w:val="00AD0B68"/>
    <w:rsid w:val="00AD338F"/>
    <w:rsid w:val="00AD3AF9"/>
    <w:rsid w:val="00AD40C3"/>
    <w:rsid w:val="00AD4C72"/>
    <w:rsid w:val="00AD5122"/>
    <w:rsid w:val="00AD5451"/>
    <w:rsid w:val="00AD6E1F"/>
    <w:rsid w:val="00AE1947"/>
    <w:rsid w:val="00AE2B3E"/>
    <w:rsid w:val="00AE5C78"/>
    <w:rsid w:val="00AE653C"/>
    <w:rsid w:val="00AE6854"/>
    <w:rsid w:val="00AE722B"/>
    <w:rsid w:val="00AF0F36"/>
    <w:rsid w:val="00AF1898"/>
    <w:rsid w:val="00AF1C8B"/>
    <w:rsid w:val="00AF230A"/>
    <w:rsid w:val="00AF27EB"/>
    <w:rsid w:val="00AF299B"/>
    <w:rsid w:val="00AF338B"/>
    <w:rsid w:val="00AF4B82"/>
    <w:rsid w:val="00AF4BF0"/>
    <w:rsid w:val="00AF532E"/>
    <w:rsid w:val="00AF70EF"/>
    <w:rsid w:val="00AF71E3"/>
    <w:rsid w:val="00AF7E43"/>
    <w:rsid w:val="00B00E10"/>
    <w:rsid w:val="00B0225A"/>
    <w:rsid w:val="00B02AE0"/>
    <w:rsid w:val="00B03F25"/>
    <w:rsid w:val="00B04B9A"/>
    <w:rsid w:val="00B05326"/>
    <w:rsid w:val="00B06516"/>
    <w:rsid w:val="00B07BE3"/>
    <w:rsid w:val="00B108C9"/>
    <w:rsid w:val="00B11E55"/>
    <w:rsid w:val="00B14034"/>
    <w:rsid w:val="00B14545"/>
    <w:rsid w:val="00B14E60"/>
    <w:rsid w:val="00B17BA2"/>
    <w:rsid w:val="00B249E8"/>
    <w:rsid w:val="00B253B2"/>
    <w:rsid w:val="00B26915"/>
    <w:rsid w:val="00B26A53"/>
    <w:rsid w:val="00B26DC3"/>
    <w:rsid w:val="00B30B9D"/>
    <w:rsid w:val="00B364CF"/>
    <w:rsid w:val="00B43FAF"/>
    <w:rsid w:val="00B4574D"/>
    <w:rsid w:val="00B468E1"/>
    <w:rsid w:val="00B46BC0"/>
    <w:rsid w:val="00B46D69"/>
    <w:rsid w:val="00B46DFB"/>
    <w:rsid w:val="00B5141B"/>
    <w:rsid w:val="00B537D8"/>
    <w:rsid w:val="00B55681"/>
    <w:rsid w:val="00B5748A"/>
    <w:rsid w:val="00B577BE"/>
    <w:rsid w:val="00B57AAD"/>
    <w:rsid w:val="00B620F3"/>
    <w:rsid w:val="00B6374E"/>
    <w:rsid w:val="00B63BE3"/>
    <w:rsid w:val="00B6587C"/>
    <w:rsid w:val="00B67701"/>
    <w:rsid w:val="00B72B16"/>
    <w:rsid w:val="00B73535"/>
    <w:rsid w:val="00B764F6"/>
    <w:rsid w:val="00B77DA5"/>
    <w:rsid w:val="00B80408"/>
    <w:rsid w:val="00B81397"/>
    <w:rsid w:val="00B83FA3"/>
    <w:rsid w:val="00B84425"/>
    <w:rsid w:val="00B87AC4"/>
    <w:rsid w:val="00B90685"/>
    <w:rsid w:val="00B91DF6"/>
    <w:rsid w:val="00B925DB"/>
    <w:rsid w:val="00B93695"/>
    <w:rsid w:val="00B967FF"/>
    <w:rsid w:val="00B96D80"/>
    <w:rsid w:val="00B974B9"/>
    <w:rsid w:val="00B97A21"/>
    <w:rsid w:val="00BA3F6D"/>
    <w:rsid w:val="00BA4BE6"/>
    <w:rsid w:val="00BA4FC0"/>
    <w:rsid w:val="00BA5361"/>
    <w:rsid w:val="00BA61E0"/>
    <w:rsid w:val="00BA657C"/>
    <w:rsid w:val="00BA7F7D"/>
    <w:rsid w:val="00BB1C14"/>
    <w:rsid w:val="00BB2BFF"/>
    <w:rsid w:val="00BB2D9F"/>
    <w:rsid w:val="00BB3DD6"/>
    <w:rsid w:val="00BB408E"/>
    <w:rsid w:val="00BB6847"/>
    <w:rsid w:val="00BB7B10"/>
    <w:rsid w:val="00BB7F8F"/>
    <w:rsid w:val="00BC099E"/>
    <w:rsid w:val="00BC191E"/>
    <w:rsid w:val="00BC2A0B"/>
    <w:rsid w:val="00BC5C12"/>
    <w:rsid w:val="00BC716A"/>
    <w:rsid w:val="00BC776A"/>
    <w:rsid w:val="00BD07DF"/>
    <w:rsid w:val="00BD0876"/>
    <w:rsid w:val="00BD0B2F"/>
    <w:rsid w:val="00BD26F4"/>
    <w:rsid w:val="00BD32E5"/>
    <w:rsid w:val="00BD5DBD"/>
    <w:rsid w:val="00BD5DF6"/>
    <w:rsid w:val="00BD7F41"/>
    <w:rsid w:val="00BE0041"/>
    <w:rsid w:val="00BE01C9"/>
    <w:rsid w:val="00BE04FB"/>
    <w:rsid w:val="00BE242B"/>
    <w:rsid w:val="00BE2DDE"/>
    <w:rsid w:val="00BE3B4F"/>
    <w:rsid w:val="00BE640F"/>
    <w:rsid w:val="00BE6D2A"/>
    <w:rsid w:val="00BF1B7D"/>
    <w:rsid w:val="00BF2586"/>
    <w:rsid w:val="00BF3C6C"/>
    <w:rsid w:val="00BF401A"/>
    <w:rsid w:val="00BF4638"/>
    <w:rsid w:val="00BF5130"/>
    <w:rsid w:val="00BF55E1"/>
    <w:rsid w:val="00BF6676"/>
    <w:rsid w:val="00C00844"/>
    <w:rsid w:val="00C01F3E"/>
    <w:rsid w:val="00C03CAA"/>
    <w:rsid w:val="00C048DE"/>
    <w:rsid w:val="00C059D0"/>
    <w:rsid w:val="00C0652D"/>
    <w:rsid w:val="00C0722C"/>
    <w:rsid w:val="00C07551"/>
    <w:rsid w:val="00C07ECA"/>
    <w:rsid w:val="00C10515"/>
    <w:rsid w:val="00C1109F"/>
    <w:rsid w:val="00C119B0"/>
    <w:rsid w:val="00C1201C"/>
    <w:rsid w:val="00C12D65"/>
    <w:rsid w:val="00C133AB"/>
    <w:rsid w:val="00C16605"/>
    <w:rsid w:val="00C20B56"/>
    <w:rsid w:val="00C21923"/>
    <w:rsid w:val="00C22214"/>
    <w:rsid w:val="00C24A49"/>
    <w:rsid w:val="00C26F72"/>
    <w:rsid w:val="00C309A7"/>
    <w:rsid w:val="00C3173A"/>
    <w:rsid w:val="00C31907"/>
    <w:rsid w:val="00C3206C"/>
    <w:rsid w:val="00C335AB"/>
    <w:rsid w:val="00C36E5C"/>
    <w:rsid w:val="00C36EEE"/>
    <w:rsid w:val="00C407AB"/>
    <w:rsid w:val="00C40B80"/>
    <w:rsid w:val="00C415E7"/>
    <w:rsid w:val="00C42A83"/>
    <w:rsid w:val="00C43938"/>
    <w:rsid w:val="00C44197"/>
    <w:rsid w:val="00C450BE"/>
    <w:rsid w:val="00C503E3"/>
    <w:rsid w:val="00C50436"/>
    <w:rsid w:val="00C52559"/>
    <w:rsid w:val="00C52B7B"/>
    <w:rsid w:val="00C53916"/>
    <w:rsid w:val="00C547CD"/>
    <w:rsid w:val="00C56FCD"/>
    <w:rsid w:val="00C570FF"/>
    <w:rsid w:val="00C57CEA"/>
    <w:rsid w:val="00C60FEC"/>
    <w:rsid w:val="00C61C02"/>
    <w:rsid w:val="00C62B1C"/>
    <w:rsid w:val="00C6574E"/>
    <w:rsid w:val="00C663D1"/>
    <w:rsid w:val="00C66B87"/>
    <w:rsid w:val="00C707FD"/>
    <w:rsid w:val="00C74F23"/>
    <w:rsid w:val="00C761F9"/>
    <w:rsid w:val="00C76DEB"/>
    <w:rsid w:val="00C80813"/>
    <w:rsid w:val="00C810C2"/>
    <w:rsid w:val="00C811D8"/>
    <w:rsid w:val="00C816C6"/>
    <w:rsid w:val="00C835CF"/>
    <w:rsid w:val="00C863A7"/>
    <w:rsid w:val="00C86451"/>
    <w:rsid w:val="00C86E78"/>
    <w:rsid w:val="00C909A2"/>
    <w:rsid w:val="00C912F4"/>
    <w:rsid w:val="00C9156F"/>
    <w:rsid w:val="00C9581A"/>
    <w:rsid w:val="00C95F4B"/>
    <w:rsid w:val="00C97D29"/>
    <w:rsid w:val="00CA076C"/>
    <w:rsid w:val="00CA10D8"/>
    <w:rsid w:val="00CA2135"/>
    <w:rsid w:val="00CA4C2F"/>
    <w:rsid w:val="00CA4FD5"/>
    <w:rsid w:val="00CA5F69"/>
    <w:rsid w:val="00CB0550"/>
    <w:rsid w:val="00CB2C6B"/>
    <w:rsid w:val="00CB39C5"/>
    <w:rsid w:val="00CB4031"/>
    <w:rsid w:val="00CB4607"/>
    <w:rsid w:val="00CB4E73"/>
    <w:rsid w:val="00CB6813"/>
    <w:rsid w:val="00CC0193"/>
    <w:rsid w:val="00CC1D6A"/>
    <w:rsid w:val="00CC2204"/>
    <w:rsid w:val="00CC3A11"/>
    <w:rsid w:val="00CC7082"/>
    <w:rsid w:val="00CD139D"/>
    <w:rsid w:val="00CD7F32"/>
    <w:rsid w:val="00CE16D5"/>
    <w:rsid w:val="00CE2022"/>
    <w:rsid w:val="00CE28DC"/>
    <w:rsid w:val="00CE2915"/>
    <w:rsid w:val="00CE30FC"/>
    <w:rsid w:val="00CE4E22"/>
    <w:rsid w:val="00CF3982"/>
    <w:rsid w:val="00CF6A55"/>
    <w:rsid w:val="00CF6B96"/>
    <w:rsid w:val="00CF6DC6"/>
    <w:rsid w:val="00CF6DCF"/>
    <w:rsid w:val="00D004DB"/>
    <w:rsid w:val="00D01DDB"/>
    <w:rsid w:val="00D065DA"/>
    <w:rsid w:val="00D07877"/>
    <w:rsid w:val="00D078BE"/>
    <w:rsid w:val="00D10F90"/>
    <w:rsid w:val="00D111BE"/>
    <w:rsid w:val="00D113BE"/>
    <w:rsid w:val="00D11854"/>
    <w:rsid w:val="00D127F5"/>
    <w:rsid w:val="00D128F5"/>
    <w:rsid w:val="00D13F8A"/>
    <w:rsid w:val="00D13FC0"/>
    <w:rsid w:val="00D15EB9"/>
    <w:rsid w:val="00D16F60"/>
    <w:rsid w:val="00D2222D"/>
    <w:rsid w:val="00D22981"/>
    <w:rsid w:val="00D327DD"/>
    <w:rsid w:val="00D3349B"/>
    <w:rsid w:val="00D348BC"/>
    <w:rsid w:val="00D3795B"/>
    <w:rsid w:val="00D416ED"/>
    <w:rsid w:val="00D424A8"/>
    <w:rsid w:val="00D43594"/>
    <w:rsid w:val="00D4426A"/>
    <w:rsid w:val="00D45CD1"/>
    <w:rsid w:val="00D478BA"/>
    <w:rsid w:val="00D5101E"/>
    <w:rsid w:val="00D55D72"/>
    <w:rsid w:val="00D560C0"/>
    <w:rsid w:val="00D56D43"/>
    <w:rsid w:val="00D6036F"/>
    <w:rsid w:val="00D6077E"/>
    <w:rsid w:val="00D60A4D"/>
    <w:rsid w:val="00D62877"/>
    <w:rsid w:val="00D63760"/>
    <w:rsid w:val="00D63FDB"/>
    <w:rsid w:val="00D6703F"/>
    <w:rsid w:val="00D72515"/>
    <w:rsid w:val="00D734EB"/>
    <w:rsid w:val="00D76F64"/>
    <w:rsid w:val="00D80EB1"/>
    <w:rsid w:val="00D818D3"/>
    <w:rsid w:val="00D82713"/>
    <w:rsid w:val="00D86F00"/>
    <w:rsid w:val="00D90265"/>
    <w:rsid w:val="00D91535"/>
    <w:rsid w:val="00D918D5"/>
    <w:rsid w:val="00D92FBD"/>
    <w:rsid w:val="00D93422"/>
    <w:rsid w:val="00D94C8E"/>
    <w:rsid w:val="00D94F7C"/>
    <w:rsid w:val="00D94FE9"/>
    <w:rsid w:val="00D97AD8"/>
    <w:rsid w:val="00DA648A"/>
    <w:rsid w:val="00DA725A"/>
    <w:rsid w:val="00DA76B5"/>
    <w:rsid w:val="00DA7D8D"/>
    <w:rsid w:val="00DA7EC1"/>
    <w:rsid w:val="00DB1372"/>
    <w:rsid w:val="00DB192C"/>
    <w:rsid w:val="00DB1CF3"/>
    <w:rsid w:val="00DB40CC"/>
    <w:rsid w:val="00DB5425"/>
    <w:rsid w:val="00DB72A6"/>
    <w:rsid w:val="00DC190A"/>
    <w:rsid w:val="00DC33AF"/>
    <w:rsid w:val="00DC6611"/>
    <w:rsid w:val="00DC6DA7"/>
    <w:rsid w:val="00DD081E"/>
    <w:rsid w:val="00DD083D"/>
    <w:rsid w:val="00DD124C"/>
    <w:rsid w:val="00DD1900"/>
    <w:rsid w:val="00DD2C5E"/>
    <w:rsid w:val="00DD4179"/>
    <w:rsid w:val="00DD5AFB"/>
    <w:rsid w:val="00DE0B42"/>
    <w:rsid w:val="00DE0ED3"/>
    <w:rsid w:val="00DE1344"/>
    <w:rsid w:val="00DE6A1B"/>
    <w:rsid w:val="00DF18E8"/>
    <w:rsid w:val="00DF1CFD"/>
    <w:rsid w:val="00DF1EE2"/>
    <w:rsid w:val="00DF367D"/>
    <w:rsid w:val="00DF496E"/>
    <w:rsid w:val="00DF4EE0"/>
    <w:rsid w:val="00DF5BFE"/>
    <w:rsid w:val="00DF631E"/>
    <w:rsid w:val="00DF7614"/>
    <w:rsid w:val="00E02BDE"/>
    <w:rsid w:val="00E02ECD"/>
    <w:rsid w:val="00E04D9B"/>
    <w:rsid w:val="00E0523F"/>
    <w:rsid w:val="00E106C3"/>
    <w:rsid w:val="00E12FF4"/>
    <w:rsid w:val="00E150EC"/>
    <w:rsid w:val="00E151E8"/>
    <w:rsid w:val="00E20371"/>
    <w:rsid w:val="00E20F13"/>
    <w:rsid w:val="00E2203D"/>
    <w:rsid w:val="00E2234F"/>
    <w:rsid w:val="00E23DF6"/>
    <w:rsid w:val="00E23E50"/>
    <w:rsid w:val="00E26213"/>
    <w:rsid w:val="00E26539"/>
    <w:rsid w:val="00E274DF"/>
    <w:rsid w:val="00E3282C"/>
    <w:rsid w:val="00E34271"/>
    <w:rsid w:val="00E34696"/>
    <w:rsid w:val="00E34D66"/>
    <w:rsid w:val="00E362C4"/>
    <w:rsid w:val="00E424AA"/>
    <w:rsid w:val="00E44624"/>
    <w:rsid w:val="00E44D73"/>
    <w:rsid w:val="00E46CC2"/>
    <w:rsid w:val="00E47E0C"/>
    <w:rsid w:val="00E51813"/>
    <w:rsid w:val="00E52C0B"/>
    <w:rsid w:val="00E5398E"/>
    <w:rsid w:val="00E53D3F"/>
    <w:rsid w:val="00E54C9F"/>
    <w:rsid w:val="00E54DCE"/>
    <w:rsid w:val="00E5579B"/>
    <w:rsid w:val="00E568FF"/>
    <w:rsid w:val="00E57726"/>
    <w:rsid w:val="00E57FF4"/>
    <w:rsid w:val="00E6005F"/>
    <w:rsid w:val="00E63E09"/>
    <w:rsid w:val="00E64708"/>
    <w:rsid w:val="00E6651C"/>
    <w:rsid w:val="00E679D1"/>
    <w:rsid w:val="00E67C1C"/>
    <w:rsid w:val="00E7109B"/>
    <w:rsid w:val="00E71225"/>
    <w:rsid w:val="00E737ED"/>
    <w:rsid w:val="00E75FEA"/>
    <w:rsid w:val="00E76F31"/>
    <w:rsid w:val="00E773F9"/>
    <w:rsid w:val="00E77EF4"/>
    <w:rsid w:val="00E817FC"/>
    <w:rsid w:val="00E82B6D"/>
    <w:rsid w:val="00E82DF1"/>
    <w:rsid w:val="00E83FC1"/>
    <w:rsid w:val="00E84204"/>
    <w:rsid w:val="00E84E52"/>
    <w:rsid w:val="00E8575E"/>
    <w:rsid w:val="00E85CE3"/>
    <w:rsid w:val="00E85E94"/>
    <w:rsid w:val="00E87E9A"/>
    <w:rsid w:val="00E91F11"/>
    <w:rsid w:val="00E95C55"/>
    <w:rsid w:val="00E960F3"/>
    <w:rsid w:val="00E9706D"/>
    <w:rsid w:val="00EA04B2"/>
    <w:rsid w:val="00EA2848"/>
    <w:rsid w:val="00EA3AF4"/>
    <w:rsid w:val="00EA453F"/>
    <w:rsid w:val="00EA49A3"/>
    <w:rsid w:val="00EA4EDC"/>
    <w:rsid w:val="00EA52C4"/>
    <w:rsid w:val="00EA558B"/>
    <w:rsid w:val="00EB113B"/>
    <w:rsid w:val="00EB2D58"/>
    <w:rsid w:val="00EB4358"/>
    <w:rsid w:val="00EC0626"/>
    <w:rsid w:val="00EC7C18"/>
    <w:rsid w:val="00ED0C51"/>
    <w:rsid w:val="00ED2140"/>
    <w:rsid w:val="00ED27F3"/>
    <w:rsid w:val="00ED4206"/>
    <w:rsid w:val="00ED446D"/>
    <w:rsid w:val="00ED5281"/>
    <w:rsid w:val="00ED5430"/>
    <w:rsid w:val="00ED6BEB"/>
    <w:rsid w:val="00EE0F1E"/>
    <w:rsid w:val="00EE28C9"/>
    <w:rsid w:val="00EE2E4B"/>
    <w:rsid w:val="00EE4B01"/>
    <w:rsid w:val="00EE52F7"/>
    <w:rsid w:val="00EE6E7D"/>
    <w:rsid w:val="00EE7418"/>
    <w:rsid w:val="00EF0ECA"/>
    <w:rsid w:val="00EF12BF"/>
    <w:rsid w:val="00EF1309"/>
    <w:rsid w:val="00EF1C40"/>
    <w:rsid w:val="00EF2B79"/>
    <w:rsid w:val="00EF36F5"/>
    <w:rsid w:val="00EF3F0B"/>
    <w:rsid w:val="00EF4725"/>
    <w:rsid w:val="00EF5294"/>
    <w:rsid w:val="00EF5583"/>
    <w:rsid w:val="00EF5B4E"/>
    <w:rsid w:val="00EF6A60"/>
    <w:rsid w:val="00EF6C05"/>
    <w:rsid w:val="00F00F46"/>
    <w:rsid w:val="00F01507"/>
    <w:rsid w:val="00F0289D"/>
    <w:rsid w:val="00F02AEC"/>
    <w:rsid w:val="00F0390D"/>
    <w:rsid w:val="00F03FB9"/>
    <w:rsid w:val="00F046AE"/>
    <w:rsid w:val="00F07572"/>
    <w:rsid w:val="00F124EB"/>
    <w:rsid w:val="00F157FC"/>
    <w:rsid w:val="00F15C8C"/>
    <w:rsid w:val="00F230DF"/>
    <w:rsid w:val="00F24631"/>
    <w:rsid w:val="00F27529"/>
    <w:rsid w:val="00F27B65"/>
    <w:rsid w:val="00F3003F"/>
    <w:rsid w:val="00F30AF3"/>
    <w:rsid w:val="00F31542"/>
    <w:rsid w:val="00F33285"/>
    <w:rsid w:val="00F33FDC"/>
    <w:rsid w:val="00F34313"/>
    <w:rsid w:val="00F378C1"/>
    <w:rsid w:val="00F430EC"/>
    <w:rsid w:val="00F43CD1"/>
    <w:rsid w:val="00F43DEE"/>
    <w:rsid w:val="00F45AE0"/>
    <w:rsid w:val="00F5071F"/>
    <w:rsid w:val="00F51366"/>
    <w:rsid w:val="00F53A92"/>
    <w:rsid w:val="00F60CF2"/>
    <w:rsid w:val="00F62659"/>
    <w:rsid w:val="00F63B42"/>
    <w:rsid w:val="00F651AF"/>
    <w:rsid w:val="00F657B4"/>
    <w:rsid w:val="00F72509"/>
    <w:rsid w:val="00F72725"/>
    <w:rsid w:val="00F74C08"/>
    <w:rsid w:val="00F7649F"/>
    <w:rsid w:val="00F80566"/>
    <w:rsid w:val="00F805D4"/>
    <w:rsid w:val="00F8083B"/>
    <w:rsid w:val="00F82D1B"/>
    <w:rsid w:val="00F8568E"/>
    <w:rsid w:val="00F865A7"/>
    <w:rsid w:val="00F90A8D"/>
    <w:rsid w:val="00F9143D"/>
    <w:rsid w:val="00F95D30"/>
    <w:rsid w:val="00F97A00"/>
    <w:rsid w:val="00FA0754"/>
    <w:rsid w:val="00FA0ECE"/>
    <w:rsid w:val="00FA1BC9"/>
    <w:rsid w:val="00FA2630"/>
    <w:rsid w:val="00FA3415"/>
    <w:rsid w:val="00FA49C3"/>
    <w:rsid w:val="00FA6B84"/>
    <w:rsid w:val="00FA78C0"/>
    <w:rsid w:val="00FB0E5B"/>
    <w:rsid w:val="00FB12DE"/>
    <w:rsid w:val="00FB18AC"/>
    <w:rsid w:val="00FB236E"/>
    <w:rsid w:val="00FB3299"/>
    <w:rsid w:val="00FB37A8"/>
    <w:rsid w:val="00FB3F7B"/>
    <w:rsid w:val="00FB4C2A"/>
    <w:rsid w:val="00FB620E"/>
    <w:rsid w:val="00FB7A41"/>
    <w:rsid w:val="00FC12B9"/>
    <w:rsid w:val="00FC2107"/>
    <w:rsid w:val="00FC48FE"/>
    <w:rsid w:val="00FC618A"/>
    <w:rsid w:val="00FC6F56"/>
    <w:rsid w:val="00FC7CA8"/>
    <w:rsid w:val="00FD209B"/>
    <w:rsid w:val="00FD2435"/>
    <w:rsid w:val="00FD438D"/>
    <w:rsid w:val="00FD57B0"/>
    <w:rsid w:val="00FD6957"/>
    <w:rsid w:val="00FD7B4B"/>
    <w:rsid w:val="00FE087C"/>
    <w:rsid w:val="00FE4329"/>
    <w:rsid w:val="00FE79A0"/>
    <w:rsid w:val="00FE7A1C"/>
    <w:rsid w:val="00FF0939"/>
    <w:rsid w:val="00FF3D47"/>
    <w:rsid w:val="00FF5FC8"/>
    <w:rsid w:val="00FF7913"/>
    <w:rsid w:val="0208A495"/>
    <w:rsid w:val="07531606"/>
    <w:rsid w:val="09E32D34"/>
    <w:rsid w:val="0D5463A8"/>
    <w:rsid w:val="0D8C2A07"/>
    <w:rsid w:val="0FD58C16"/>
    <w:rsid w:val="198C11AC"/>
    <w:rsid w:val="1BB27105"/>
    <w:rsid w:val="1DF4CD60"/>
    <w:rsid w:val="1F1F31D3"/>
    <w:rsid w:val="1F87D844"/>
    <w:rsid w:val="21258904"/>
    <w:rsid w:val="246E6C53"/>
    <w:rsid w:val="26F3E14E"/>
    <w:rsid w:val="2A4572EC"/>
    <w:rsid w:val="37BA0BC3"/>
    <w:rsid w:val="3933BA6D"/>
    <w:rsid w:val="44DDD2A8"/>
    <w:rsid w:val="4916655E"/>
    <w:rsid w:val="4D60B8CE"/>
    <w:rsid w:val="55BDB487"/>
    <w:rsid w:val="588186B3"/>
    <w:rsid w:val="58D17D4F"/>
    <w:rsid w:val="631E15B2"/>
    <w:rsid w:val="6353ABED"/>
    <w:rsid w:val="6628C7F3"/>
    <w:rsid w:val="67B9D1C6"/>
    <w:rsid w:val="6936FB17"/>
    <w:rsid w:val="7067480C"/>
    <w:rsid w:val="7401D3E5"/>
    <w:rsid w:val="7410F5C2"/>
    <w:rsid w:val="79DF80CB"/>
    <w:rsid w:val="7B286FCC"/>
    <w:rsid w:val="7CA85A64"/>
    <w:rsid w:val="7D1C27AF"/>
    <w:rsid w:val="7E04D3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63851AC4-0351-4880-AC68-97B3A8B3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7E51E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NormalWeb">
    <w:name w:val="Normal (Web)"/>
    <w:basedOn w:val="Normal"/>
    <w:uiPriority w:val="99"/>
    <w:semiHidden/>
    <w:unhideWhenUsed/>
    <w:rsid w:val="004B5647"/>
    <w:rPr>
      <w:rFonts w:ascii="Times New Roman" w:hAnsi="Times New Roman" w:cs="Times New Roman"/>
      <w:sz w:val="24"/>
      <w:szCs w:val="24"/>
    </w:rPr>
  </w:style>
  <w:style w:type="paragraph" w:customStyle="1" w:styleId="Default">
    <w:name w:val="Default"/>
    <w:rsid w:val="00CE4E22"/>
    <w:pPr>
      <w:autoSpaceDE w:val="0"/>
      <w:autoSpaceDN w:val="0"/>
      <w:adjustRightInd w:val="0"/>
      <w:spacing w:after="0" w:line="240" w:lineRule="auto"/>
    </w:pPr>
    <w:rPr>
      <w:rFonts w:ascii="Noto Sans" w:hAnsi="Noto Sans" w:cs="Noto Sans"/>
      <w:color w:val="000000"/>
      <w:sz w:val="24"/>
      <w:szCs w:val="24"/>
    </w:rPr>
  </w:style>
  <w:style w:type="character" w:customStyle="1" w:styleId="Heading7Char">
    <w:name w:val="Heading 7 Char"/>
    <w:basedOn w:val="DefaultParagraphFont"/>
    <w:link w:val="Heading7"/>
    <w:uiPriority w:val="9"/>
    <w:rsid w:val="007E51EA"/>
    <w:rPr>
      <w:rFonts w:asciiTheme="majorHAnsi" w:eastAsiaTheme="majorEastAsia" w:hAnsiTheme="majorHAnsi" w:cstheme="majorBidi"/>
      <w:i/>
      <w:iCs/>
      <w:color w:val="1F3763" w:themeColor="accent1" w:themeShade="7F"/>
      <w:sz w:val="22"/>
    </w:rPr>
  </w:style>
  <w:style w:type="paragraph" w:customStyle="1" w:styleId="Bulletlist">
    <w:name w:val="Bullet list"/>
    <w:basedOn w:val="Normal"/>
    <w:link w:val="BulletlistChar"/>
    <w:qFormat/>
    <w:rsid w:val="00D15EB9"/>
    <w:pPr>
      <w:numPr>
        <w:numId w:val="29"/>
      </w:numPr>
      <w:spacing w:after="180" w:line="252" w:lineRule="auto"/>
      <w:ind w:left="426" w:hanging="284"/>
    </w:pPr>
    <w:rPr>
      <w:rFonts w:eastAsia="Times New Roman" w:cs="Times New Roman"/>
      <w:snapToGrid w:val="0"/>
      <w:kern w:val="2"/>
      <w:sz w:val="23"/>
      <w:szCs w:val="24"/>
    </w:rPr>
  </w:style>
  <w:style w:type="character" w:customStyle="1" w:styleId="BulletlistChar">
    <w:name w:val="Bullet list Char"/>
    <w:basedOn w:val="DefaultParagraphFont"/>
    <w:link w:val="Bulletlist"/>
    <w:rsid w:val="00D15EB9"/>
    <w:rPr>
      <w:rFonts w:ascii="Cambria" w:eastAsia="Times New Roman" w:hAnsi="Cambria" w:cs="Times New Roman"/>
      <w:snapToGrid w:val="0"/>
      <w:kern w:val="2"/>
      <w:sz w:val="23"/>
      <w:szCs w:val="24"/>
    </w:rPr>
  </w:style>
  <w:style w:type="paragraph" w:customStyle="1" w:styleId="Standard">
    <w:name w:val="Standard"/>
    <w:basedOn w:val="Normal"/>
    <w:link w:val="StandardChar"/>
    <w:qFormat/>
    <w:rsid w:val="00CE2915"/>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CE2915"/>
    <w:rPr>
      <w:rFonts w:ascii="Cambria" w:eastAsia="Times New Roman" w:hAnsi="Cambria" w:cs="Times New Roman"/>
      <w:snapToGrid w:val="0"/>
      <w:kern w:val="16"/>
      <w:sz w:val="23"/>
      <w:szCs w:val="24"/>
    </w:rPr>
  </w:style>
  <w:style w:type="paragraph" w:styleId="Quote">
    <w:name w:val="Quote"/>
    <w:basedOn w:val="Normal"/>
    <w:next w:val="Normal"/>
    <w:link w:val="QuoteChar"/>
    <w:uiPriority w:val="29"/>
    <w:qFormat/>
    <w:rsid w:val="00DD081E"/>
    <w:pPr>
      <w:spacing w:after="200" w:line="276" w:lineRule="auto"/>
      <w:ind w:left="397" w:right="170"/>
    </w:pPr>
    <w:rPr>
      <w:rFonts w:asciiTheme="majorHAnsi" w:hAnsiTheme="majorHAnsi"/>
      <w:iCs/>
      <w:color w:val="000000" w:themeColor="text1"/>
      <w:sz w:val="21"/>
      <w:szCs w:val="22"/>
    </w:rPr>
  </w:style>
  <w:style w:type="character" w:customStyle="1" w:styleId="QuoteChar">
    <w:name w:val="Quote Char"/>
    <w:basedOn w:val="DefaultParagraphFont"/>
    <w:link w:val="Quote"/>
    <w:uiPriority w:val="29"/>
    <w:rsid w:val="00DD081E"/>
    <w:rPr>
      <w:rFonts w:asciiTheme="majorHAnsi" w:hAnsiTheme="majorHAnsi"/>
      <w:iCs/>
      <w:color w:val="000000" w:themeColor="text1"/>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94269">
      <w:bodyDiv w:val="1"/>
      <w:marLeft w:val="0"/>
      <w:marRight w:val="0"/>
      <w:marTop w:val="0"/>
      <w:marBottom w:val="0"/>
      <w:divBdr>
        <w:top w:val="none" w:sz="0" w:space="0" w:color="auto"/>
        <w:left w:val="none" w:sz="0" w:space="0" w:color="auto"/>
        <w:bottom w:val="none" w:sz="0" w:space="0" w:color="auto"/>
        <w:right w:val="none" w:sz="0" w:space="0" w:color="auto"/>
      </w:divBdr>
      <w:divsChild>
        <w:div w:id="1836066619">
          <w:marLeft w:val="0"/>
          <w:marRight w:val="0"/>
          <w:marTop w:val="0"/>
          <w:marBottom w:val="0"/>
          <w:divBdr>
            <w:top w:val="none" w:sz="0" w:space="0" w:color="auto"/>
            <w:left w:val="none" w:sz="0" w:space="0" w:color="auto"/>
            <w:bottom w:val="none" w:sz="0" w:space="0" w:color="auto"/>
            <w:right w:val="none" w:sz="0" w:space="0" w:color="auto"/>
          </w:divBdr>
        </w:div>
      </w:divsChild>
    </w:div>
    <w:div w:id="440154110">
      <w:bodyDiv w:val="1"/>
      <w:marLeft w:val="0"/>
      <w:marRight w:val="0"/>
      <w:marTop w:val="0"/>
      <w:marBottom w:val="0"/>
      <w:divBdr>
        <w:top w:val="none" w:sz="0" w:space="0" w:color="auto"/>
        <w:left w:val="none" w:sz="0" w:space="0" w:color="auto"/>
        <w:bottom w:val="none" w:sz="0" w:space="0" w:color="auto"/>
        <w:right w:val="none" w:sz="0" w:space="0" w:color="auto"/>
      </w:divBdr>
      <w:divsChild>
        <w:div w:id="1814518364">
          <w:marLeft w:val="0"/>
          <w:marRight w:val="0"/>
          <w:marTop w:val="0"/>
          <w:marBottom w:val="0"/>
          <w:divBdr>
            <w:top w:val="none" w:sz="0" w:space="0" w:color="auto"/>
            <w:left w:val="none" w:sz="0" w:space="0" w:color="auto"/>
            <w:bottom w:val="none" w:sz="0" w:space="0" w:color="auto"/>
            <w:right w:val="none" w:sz="0" w:space="0" w:color="auto"/>
          </w:divBdr>
        </w:div>
      </w:divsChild>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901254957">
      <w:bodyDiv w:val="1"/>
      <w:marLeft w:val="0"/>
      <w:marRight w:val="0"/>
      <w:marTop w:val="0"/>
      <w:marBottom w:val="0"/>
      <w:divBdr>
        <w:top w:val="none" w:sz="0" w:space="0" w:color="auto"/>
        <w:left w:val="none" w:sz="0" w:space="0" w:color="auto"/>
        <w:bottom w:val="none" w:sz="0" w:space="0" w:color="auto"/>
        <w:right w:val="none" w:sz="0" w:space="0" w:color="auto"/>
      </w:divBdr>
    </w:div>
    <w:div w:id="1173377277">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697579210">
      <w:bodyDiv w:val="1"/>
      <w:marLeft w:val="0"/>
      <w:marRight w:val="0"/>
      <w:marTop w:val="0"/>
      <w:marBottom w:val="0"/>
      <w:divBdr>
        <w:top w:val="none" w:sz="0" w:space="0" w:color="auto"/>
        <w:left w:val="none" w:sz="0" w:space="0" w:color="auto"/>
        <w:bottom w:val="none" w:sz="0" w:space="0" w:color="auto"/>
        <w:right w:val="none" w:sz="0" w:space="0" w:color="auto"/>
      </w:divBdr>
      <w:divsChild>
        <w:div w:id="1674146810">
          <w:marLeft w:val="0"/>
          <w:marRight w:val="0"/>
          <w:marTop w:val="0"/>
          <w:marBottom w:val="0"/>
          <w:divBdr>
            <w:top w:val="none" w:sz="0" w:space="0" w:color="auto"/>
            <w:left w:val="none" w:sz="0" w:space="0" w:color="auto"/>
            <w:bottom w:val="none" w:sz="0" w:space="0" w:color="auto"/>
            <w:right w:val="none" w:sz="0" w:space="0" w:color="auto"/>
          </w:divBdr>
        </w:div>
      </w:divsChild>
    </w:div>
    <w:div w:id="1744527443">
      <w:bodyDiv w:val="1"/>
      <w:marLeft w:val="0"/>
      <w:marRight w:val="0"/>
      <w:marTop w:val="0"/>
      <w:marBottom w:val="0"/>
      <w:divBdr>
        <w:top w:val="none" w:sz="0" w:space="0" w:color="auto"/>
        <w:left w:val="none" w:sz="0" w:space="0" w:color="auto"/>
        <w:bottom w:val="none" w:sz="0" w:space="0" w:color="auto"/>
        <w:right w:val="none" w:sz="0" w:space="0" w:color="auto"/>
      </w:divBdr>
      <w:divsChild>
        <w:div w:id="1917744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 TargetMode="External"/><Relationship Id="rId26" Type="http://schemas.openxmlformats.org/officeDocument/2006/relationships/hyperlink" Target="https://www.tga.gov.au/how-we-regulate/supply-therapeutic-good-0/supply-prescription-medicine/application-process/prescription-medicines-registration-process" TargetMode="External"/><Relationship Id="rId39" Type="http://schemas.openxmlformats.org/officeDocument/2006/relationships/image" Target="media/image20.png"/><Relationship Id="rId21" Type="http://schemas.openxmlformats.org/officeDocument/2006/relationships/hyperlink" Target="https://www.tga.gov.au/black-triangle-scheme" TargetMode="External"/><Relationship Id="rId34" Type="http://schemas.openxmlformats.org/officeDocument/2006/relationships/image" Target="media/image15.emf"/><Relationship Id="rId42" Type="http://schemas.openxmlformats.org/officeDocument/2006/relationships/image" Target="media/image23.tmp"/><Relationship Id="rId47" Type="http://schemas.openxmlformats.org/officeDocument/2006/relationships/image" Target="media/image28.tmp"/><Relationship Id="rId50" Type="http://schemas.openxmlformats.org/officeDocument/2006/relationships/image" Target="media/image31.tmp"/><Relationship Id="rId55"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tmp"/><Relationship Id="rId45" Type="http://schemas.openxmlformats.org/officeDocument/2006/relationships/image" Target="media/image26.png"/><Relationship Id="rId53" Type="http://schemas.openxmlformats.org/officeDocument/2006/relationships/hyperlink" Target="https://www.ebs.tga.gov.au/" TargetMode="External"/><Relationship Id="rId58" Type="http://schemas.openxmlformats.org/officeDocument/2006/relationships/header" Target="header5.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s://www.tga.gov.au/australian-public-assessment-report-auspar-guidance"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tmp"/><Relationship Id="rId35" Type="http://schemas.openxmlformats.org/officeDocument/2006/relationships/image" Target="media/image16.png"/><Relationship Id="rId43" Type="http://schemas.openxmlformats.org/officeDocument/2006/relationships/image" Target="media/image24.tmp"/><Relationship Id="rId48" Type="http://schemas.openxmlformats.org/officeDocument/2006/relationships/image" Target="media/image29.tmp"/><Relationship Id="rId56" Type="http://schemas.openxmlformats.org/officeDocument/2006/relationships/hyperlink" Target="mailto:info@tga.gov.au" TargetMode="External"/><Relationship Id="rId8" Type="http://schemas.openxmlformats.org/officeDocument/2006/relationships/settings" Target="settings.xml"/><Relationship Id="rId51" Type="http://schemas.openxmlformats.org/officeDocument/2006/relationships/hyperlink" Target="https://www.tga.gov.au/committee/advisory-committee-medicines-ac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tmp"/><Relationship Id="rId59" Type="http://schemas.openxmlformats.org/officeDocument/2006/relationships/footer" Target="footer5.xml"/><Relationship Id="rId20" Type="http://schemas.openxmlformats.org/officeDocument/2006/relationships/hyperlink" Target="mailto:tga.copyright@tga.gov.au" TargetMode="External"/><Relationship Id="rId41" Type="http://schemas.openxmlformats.org/officeDocument/2006/relationships/image" Target="media/image22.tmp"/><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30.tmp"/><Relationship Id="rId57" Type="http://schemas.openxmlformats.org/officeDocument/2006/relationships/hyperlink" Target="https://www.tga.gov.au" TargetMode="External"/><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www.tga.gov.au/ws-labs-index"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231BE603C21345B961C0FB23D3FD5A" ma:contentTypeVersion="16" ma:contentTypeDescription="Create a new document." ma:contentTypeScope="" ma:versionID="01293d775a7381d7bf401271cc16390f">
  <xsd:schema xmlns:xsd="http://www.w3.org/2001/XMLSchema" xmlns:xs="http://www.w3.org/2001/XMLSchema" xmlns:p="http://schemas.microsoft.com/office/2006/metadata/properties" xmlns:ns2="44a56295-c29e-4898-8136-a54736c65b82" xmlns:ns3="6e8b1d16-2485-4ed1-bc44-b1a55dcf43b7" xmlns:ns4="e79b160c-132c-4bdb-adf9-d2f2878e3662" targetNamespace="http://schemas.microsoft.com/office/2006/metadata/properties" ma:root="true" ma:fieldsID="62a4d78bf69d82e60337042d987d1c18" ns2:_="" ns3:_="" ns4:_="">
    <xsd:import namespace="44a56295-c29e-4898-8136-a54736c65b82"/>
    <xsd:import namespace="6e8b1d16-2485-4ed1-bc44-b1a55dcf43b7"/>
    <xsd:import namespace="e79b160c-132c-4bdb-adf9-d2f2878e3662"/>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8b1d16-2485-4ed1-bc44-b1a55dcf43b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9b160c-132c-4bdb-adf9-d2f2878e36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43fb073-0ce5-4c3b-98c1-91256c495183}" ma:internalName="TaxCatchAll" ma:showField="CatchAllData" ma:web="e79b160c-132c-4bdb-adf9-d2f2878e36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lcf76f155ced4ddcb4097134ff3c332f xmlns="6e8b1d16-2485-4ed1-bc44-b1a55dcf43b7">
      <Terms xmlns="http://schemas.microsoft.com/office/infopath/2007/PartnerControls"/>
    </lcf76f155ced4ddcb4097134ff3c332f>
    <Descriptions xmlns="44a56295-c29e-4898-8136-a54736c65b82" xsi:nil="true"/>
    <TaxCatchAll xmlns="e79b160c-132c-4bdb-adf9-d2f2878e366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1ee89e71-04cd-405e-9ca3-99e020c1694d" ContentTypeId="0x0101" PreviousValue="false"/>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4FF1530B-A651-4251-94A5-E992C47C5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6e8b1d16-2485-4ed1-bc44-b1a55dcf43b7"/>
    <ds:schemaRef ds:uri="e79b160c-132c-4bdb-adf9-d2f2878e36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A86781-5F8D-47C3-9610-542A61C4F2D8}">
  <ds:schemaRefs>
    <ds:schemaRef ds:uri="http://schemas.microsoft.com/office/2006/metadata/properties"/>
    <ds:schemaRef ds:uri="http://schemas.microsoft.com/office/infopath/2007/PartnerControls"/>
    <ds:schemaRef ds:uri="44a56295-c29e-4898-8136-a54736c65b82"/>
    <ds:schemaRef ds:uri="6e8b1d16-2485-4ed1-bc44-b1a55dcf43b7"/>
    <ds:schemaRef ds:uri="e79b160c-132c-4bdb-adf9-d2f2878e3662"/>
  </ds:schemaRefs>
</ds:datastoreItem>
</file>

<file path=customXml/itemProps4.xml><?xml version="1.0" encoding="utf-8"?>
<ds:datastoreItem xmlns:ds="http://schemas.openxmlformats.org/officeDocument/2006/customXml" ds:itemID="{C111C9D1-16F5-4A83-AE4C-261901086362}">
  <ds:schemaRefs>
    <ds:schemaRef ds:uri="http://schemas.microsoft.com/sharepoint/v3/contenttype/forms"/>
  </ds:schemaRefs>
</ds:datastoreItem>
</file>

<file path=customXml/itemProps5.xml><?xml version="1.0" encoding="utf-8"?>
<ds:datastoreItem xmlns:ds="http://schemas.openxmlformats.org/officeDocument/2006/customXml" ds:itemID="{4B9D7EF2-AEE7-4F55-B802-FD3CC9E0850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65</Pages>
  <Words>23079</Words>
  <Characters>128553</Characters>
  <Application>Microsoft Office Word</Application>
  <DocSecurity>0</DocSecurity>
  <Lines>2735</Lines>
  <Paragraphs>1184</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150448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Tezspire</dc:title>
  <dc:subject>Prescription medicines</dc:subject>
  <dc:creator>Therapeutic Goods Administration</dc:creator>
  <cp:keywords/>
  <dc:description/>
  <cp:lastModifiedBy>LACK, Janet</cp:lastModifiedBy>
  <cp:revision>4</cp:revision>
  <dcterms:created xsi:type="dcterms:W3CDTF">2026-05-28T00:27:00Z</dcterms:created>
  <dcterms:modified xsi:type="dcterms:W3CDTF">2026-05-28T02:00:00Z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1ea5d66a,67780622,5ebb50fc,2c9e419,ddddcac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3929c250,48b11595,7141203e,d45b130,6be305be</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2026-03-03T00:39:19Z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401484d8-92ff-43ff-99e5-e57240081369</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0x010100D4231BE603C21345B961C0FB23D3FD5A</vt:lpwstr>
  </property>
  <property fmtid="{D5CDD505-2E9C-101B-9397-08002B2CF9AE}" pid="17" name="MediaServiceImageTags">
    <vt:lpwstr/>
  </property>
</Properties>
</file>