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05973" w14:textId="77777777" w:rsidR="003A1DF6" w:rsidRDefault="003A1DF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4B50E05" w:rsidR="00F02AEC" w:rsidRPr="00215D48" w:rsidRDefault="00346EC2" w:rsidP="007452E8">
            <w:pPr>
              <w:pStyle w:val="Title"/>
            </w:pPr>
            <w:r w:rsidRPr="00346EC2">
              <w:t>Australian Public Assessment Report for</w:t>
            </w:r>
            <w:r w:rsidR="00473771">
              <w:t xml:space="preserve"> </w:t>
            </w:r>
            <w:r w:rsidR="00473771" w:rsidRPr="00473771">
              <w:t>mNEXSPIKE XBB.1.5</w:t>
            </w:r>
            <w:fldSimple w:instr=" DOCVARIABLE vault_nd_0ced578c-3d74-436d-8c6d-81d540ca55e5 \* MERGEFORMAT ">
              <w:r w:rsidR="00B03ADC">
                <w:t xml:space="preserve"> </w:t>
              </w:r>
            </w:fldSimple>
          </w:p>
        </w:tc>
      </w:tr>
      <w:tr w:rsidR="00F02AEC" w:rsidRPr="00215D48" w14:paraId="318A40A3" w14:textId="77777777" w:rsidTr="00346EC2">
        <w:trPr>
          <w:trHeight w:val="995"/>
        </w:trPr>
        <w:tc>
          <w:tcPr>
            <w:tcW w:w="8720" w:type="dxa"/>
          </w:tcPr>
          <w:p w14:paraId="01BC8000" w14:textId="5DA93790" w:rsidR="00CE3A51" w:rsidRPr="00215D48" w:rsidRDefault="00346EC2" w:rsidP="00CE3A51">
            <w:pPr>
              <w:pStyle w:val="Subtitle"/>
              <w:ind w:left="0"/>
            </w:pPr>
            <w:r w:rsidRPr="00346EC2">
              <w:t>Active ingredient</w:t>
            </w:r>
            <w:r w:rsidR="003C2EEF">
              <w:t xml:space="preserve">: </w:t>
            </w:r>
            <w:r w:rsidR="00CE3A51" w:rsidRPr="00CE3A51">
              <w:rPr>
                <w:rFonts w:ascii="Cambria" w:eastAsiaTheme="minorHAnsi" w:hAnsi="Cambria" w:cstheme="minorBidi"/>
                <w:color w:val="auto"/>
                <w:sz w:val="22"/>
                <w:szCs w:val="20"/>
                <w:lang w:eastAsia="en-US"/>
              </w:rPr>
              <w:t xml:space="preserve"> </w:t>
            </w:r>
            <w:r w:rsidR="00CE3A51" w:rsidRPr="00CE3A51">
              <w:t>SARS-CoV-2 spike protein (mRNA) XBB.1.5</w:t>
            </w:r>
          </w:p>
          <w:p w14:paraId="1AA7C701" w14:textId="4060AF83" w:rsidR="00F02AEC" w:rsidRPr="00215D48" w:rsidRDefault="00F02AEC" w:rsidP="003C2EEF">
            <w:pPr>
              <w:pStyle w:val="Subtitle"/>
              <w:ind w:left="0"/>
            </w:pPr>
          </w:p>
        </w:tc>
      </w:tr>
      <w:tr w:rsidR="00346EC2" w:rsidRPr="001E2EFA" w14:paraId="362CCAE4" w14:textId="77777777" w:rsidTr="007452E8">
        <w:trPr>
          <w:trHeight w:val="1916"/>
        </w:trPr>
        <w:tc>
          <w:tcPr>
            <w:tcW w:w="8720" w:type="dxa"/>
          </w:tcPr>
          <w:p w14:paraId="709C45C0" w14:textId="7EEA82AA" w:rsidR="00346EC2" w:rsidRPr="001E2EFA" w:rsidRDefault="00346EC2" w:rsidP="007452E8">
            <w:pPr>
              <w:pStyle w:val="Subtitle"/>
              <w:ind w:left="0"/>
            </w:pPr>
            <w:r w:rsidRPr="001E2EFA">
              <w:t>Sponsor:</w:t>
            </w:r>
            <w:r w:rsidR="0071030B" w:rsidRPr="001E2EFA">
              <w:t xml:space="preserve"> Moderna Australia Pty Ltd</w:t>
            </w:r>
          </w:p>
        </w:tc>
      </w:tr>
      <w:tr w:rsidR="00F02AEC" w:rsidRPr="00215D48" w14:paraId="37F2AA1F" w14:textId="77777777" w:rsidTr="007452E8">
        <w:tc>
          <w:tcPr>
            <w:tcW w:w="8720" w:type="dxa"/>
          </w:tcPr>
          <w:p w14:paraId="1FDE8DCD" w14:textId="69CCA5E9" w:rsidR="00F02AEC" w:rsidRPr="00215D48" w:rsidRDefault="00432CF1" w:rsidP="007452E8">
            <w:pPr>
              <w:pStyle w:val="Date"/>
            </w:pPr>
            <w:r>
              <w:t xml:space="preserve">May </w:t>
            </w:r>
            <w:r w:rsidR="009A6C5C">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45C309C2" w:rsidR="00346EC2" w:rsidRPr="001F6CBA" w:rsidRDefault="00346EC2" w:rsidP="00346EC2">
      <w:pPr>
        <w:pStyle w:val="NonTOCHeading20"/>
      </w:pPr>
      <w:r w:rsidRPr="001F6CBA">
        <w:lastRenderedPageBreak/>
        <w:t>About the Therapeutic Goods Administration (TGA)</w:t>
      </w:r>
      <w:fldSimple w:instr=" DOCVARIABLE vault_nd_373d4a84-fbbd-4414-8492-4befbec2a4fc \* MERGEFORMAT ">
        <w:r w:rsidR="00B03ADC">
          <w:t xml:space="preserve"> </w:t>
        </w:r>
      </w:fldSimple>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1F41029D" w:rsidR="00346EC2" w:rsidRDefault="00346EC2" w:rsidP="00346EC2">
      <w:pPr>
        <w:pStyle w:val="NonTOCHeading20"/>
      </w:pPr>
      <w:r>
        <w:t>About AusPARs</w:t>
      </w:r>
      <w:fldSimple w:instr=" DOCVARIABLE vault_nd_675861b9-b8f1-407b-9d85-5120ccc16b43 \* MERGEFORMAT ">
        <w:r w:rsidR="00B03ADC">
          <w:t xml:space="preserve"> </w:t>
        </w:r>
      </w:fldSimple>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67BE4422" w:rsidR="00F02AEC" w:rsidRPr="00E1198B" w:rsidRDefault="00F02AEC" w:rsidP="00FE087C">
      <w:pPr>
        <w:pStyle w:val="LegalSubheading"/>
        <w:spacing w:before="3600"/>
      </w:pPr>
      <w:r w:rsidRPr="00BA0DFC">
        <w:t>Copyright</w:t>
      </w:r>
      <w:fldSimple w:instr=" DOCVARIABLE vault_nd_c3b85223-facd-48b1-8281-a08005e953b5 \* MERGEFORMAT ">
        <w:r w:rsidR="00B03ADC">
          <w:t xml:space="preserve"> </w:t>
        </w:r>
      </w:fldSimple>
    </w:p>
    <w:p w14:paraId="170A8A5D" w14:textId="52C804EB" w:rsidR="00175CD8" w:rsidRPr="00346EC2" w:rsidRDefault="00F02AEC" w:rsidP="00346EC2">
      <w:pPr>
        <w:pStyle w:val="LegalCopy"/>
        <w:rPr>
          <w:rFonts w:cs="Arial"/>
        </w:rPr>
      </w:pPr>
      <w:r w:rsidRPr="00215D48">
        <w:rPr>
          <w:rFonts w:cs="Arial"/>
        </w:rPr>
        <w:t>© Commonwealth of Australia 20</w:t>
      </w:r>
      <w:r>
        <w:rPr>
          <w:rFonts w:cs="Arial"/>
        </w:rPr>
        <w:t>2</w:t>
      </w:r>
      <w:r w:rsidR="004E16C6">
        <w:rPr>
          <w:rFonts w:cs="Arial"/>
        </w:rPr>
        <w:t>6</w:t>
      </w:r>
      <w:r w:rsidR="00432CF1">
        <w:rPr>
          <w:rFonts w:cs="Arial"/>
        </w:rPr>
        <w:t>.</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4B84FF90" w:rsidR="00F02AEC" w:rsidRPr="00215D48" w:rsidRDefault="00F02AEC" w:rsidP="007452E8">
          <w:pPr>
            <w:pStyle w:val="NonTOCheading2"/>
          </w:pPr>
          <w:r w:rsidRPr="00215D48">
            <w:t>Contents</w:t>
          </w:r>
          <w:fldSimple w:instr=" DOCVARIABLE vault_nd_696a1270-f8ac-49dc-93af-b2880a11ee29 \* MERGEFORMAT ">
            <w:r w:rsidR="00B03ADC">
              <w:t xml:space="preserve"> </w:t>
            </w:r>
          </w:fldSimple>
        </w:p>
        <w:p w14:paraId="3CEC9656" w14:textId="79921E9C" w:rsidR="00602CFD"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0003572" w:history="1">
            <w:r w:rsidR="00602CFD" w:rsidRPr="006E7AAA">
              <w:rPr>
                <w:rStyle w:val="Hyperlink"/>
                <w:noProof/>
              </w:rPr>
              <w:t>List of abbreviations</w:t>
            </w:r>
            <w:r w:rsidR="00602CFD">
              <w:rPr>
                <w:noProof/>
                <w:webHidden/>
              </w:rPr>
              <w:tab/>
            </w:r>
            <w:r w:rsidR="00602CFD">
              <w:rPr>
                <w:noProof/>
                <w:webHidden/>
              </w:rPr>
              <w:fldChar w:fldCharType="begin"/>
            </w:r>
            <w:r w:rsidR="00602CFD">
              <w:rPr>
                <w:noProof/>
                <w:webHidden/>
              </w:rPr>
              <w:instrText xml:space="preserve"> PAGEREF _Toc230003572 \h </w:instrText>
            </w:r>
            <w:r w:rsidR="00602CFD">
              <w:rPr>
                <w:noProof/>
                <w:webHidden/>
              </w:rPr>
            </w:r>
            <w:r w:rsidR="00602CFD">
              <w:rPr>
                <w:noProof/>
                <w:webHidden/>
              </w:rPr>
              <w:fldChar w:fldCharType="separate"/>
            </w:r>
            <w:r w:rsidR="00602CFD">
              <w:rPr>
                <w:noProof/>
                <w:webHidden/>
              </w:rPr>
              <w:t>4</w:t>
            </w:r>
            <w:r w:rsidR="00602CFD">
              <w:rPr>
                <w:noProof/>
                <w:webHidden/>
              </w:rPr>
              <w:fldChar w:fldCharType="end"/>
            </w:r>
          </w:hyperlink>
        </w:p>
        <w:p w14:paraId="5B503F93" w14:textId="0FA51DD1" w:rsidR="00602CFD" w:rsidRDefault="00602CF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003573" w:history="1">
            <w:r w:rsidRPr="006E7AAA">
              <w:rPr>
                <w:rStyle w:val="Hyperlink"/>
                <w:noProof/>
              </w:rPr>
              <w:t>Product submission</w:t>
            </w:r>
            <w:r>
              <w:rPr>
                <w:noProof/>
                <w:webHidden/>
              </w:rPr>
              <w:tab/>
            </w:r>
            <w:r>
              <w:rPr>
                <w:noProof/>
                <w:webHidden/>
              </w:rPr>
              <w:fldChar w:fldCharType="begin"/>
            </w:r>
            <w:r>
              <w:rPr>
                <w:noProof/>
                <w:webHidden/>
              </w:rPr>
              <w:instrText xml:space="preserve"> PAGEREF _Toc230003573 \h </w:instrText>
            </w:r>
            <w:r>
              <w:rPr>
                <w:noProof/>
                <w:webHidden/>
              </w:rPr>
            </w:r>
            <w:r>
              <w:rPr>
                <w:noProof/>
                <w:webHidden/>
              </w:rPr>
              <w:fldChar w:fldCharType="separate"/>
            </w:r>
            <w:r>
              <w:rPr>
                <w:noProof/>
                <w:webHidden/>
              </w:rPr>
              <w:t>6</w:t>
            </w:r>
            <w:r>
              <w:rPr>
                <w:noProof/>
                <w:webHidden/>
              </w:rPr>
              <w:fldChar w:fldCharType="end"/>
            </w:r>
          </w:hyperlink>
        </w:p>
        <w:p w14:paraId="30A3DE8B" w14:textId="57463BAC"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74" w:history="1">
            <w:r w:rsidRPr="006E7AAA">
              <w:rPr>
                <w:rStyle w:val="Hyperlink"/>
                <w:noProof/>
                <w:lang w:eastAsia="en-AU"/>
              </w:rPr>
              <w:t>Submission details</w:t>
            </w:r>
            <w:r>
              <w:rPr>
                <w:noProof/>
                <w:webHidden/>
              </w:rPr>
              <w:tab/>
            </w:r>
            <w:r>
              <w:rPr>
                <w:noProof/>
                <w:webHidden/>
              </w:rPr>
              <w:fldChar w:fldCharType="begin"/>
            </w:r>
            <w:r>
              <w:rPr>
                <w:noProof/>
                <w:webHidden/>
              </w:rPr>
              <w:instrText xml:space="preserve"> PAGEREF _Toc230003574 \h </w:instrText>
            </w:r>
            <w:r>
              <w:rPr>
                <w:noProof/>
                <w:webHidden/>
              </w:rPr>
            </w:r>
            <w:r>
              <w:rPr>
                <w:noProof/>
                <w:webHidden/>
              </w:rPr>
              <w:fldChar w:fldCharType="separate"/>
            </w:r>
            <w:r>
              <w:rPr>
                <w:noProof/>
                <w:webHidden/>
              </w:rPr>
              <w:t>6</w:t>
            </w:r>
            <w:r>
              <w:rPr>
                <w:noProof/>
                <w:webHidden/>
              </w:rPr>
              <w:fldChar w:fldCharType="end"/>
            </w:r>
          </w:hyperlink>
        </w:p>
        <w:p w14:paraId="199D42CE" w14:textId="19D0E69A"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75" w:history="1">
            <w:r w:rsidRPr="006E7AAA">
              <w:rPr>
                <w:rStyle w:val="Hyperlink"/>
                <w:noProof/>
              </w:rPr>
              <w:t>Product background</w:t>
            </w:r>
            <w:r>
              <w:rPr>
                <w:noProof/>
                <w:webHidden/>
              </w:rPr>
              <w:tab/>
            </w:r>
            <w:r>
              <w:rPr>
                <w:noProof/>
                <w:webHidden/>
              </w:rPr>
              <w:fldChar w:fldCharType="begin"/>
            </w:r>
            <w:r>
              <w:rPr>
                <w:noProof/>
                <w:webHidden/>
              </w:rPr>
              <w:instrText xml:space="preserve"> PAGEREF _Toc230003575 \h </w:instrText>
            </w:r>
            <w:r>
              <w:rPr>
                <w:noProof/>
                <w:webHidden/>
              </w:rPr>
            </w:r>
            <w:r>
              <w:rPr>
                <w:noProof/>
                <w:webHidden/>
              </w:rPr>
              <w:fldChar w:fldCharType="separate"/>
            </w:r>
            <w:r>
              <w:rPr>
                <w:noProof/>
                <w:webHidden/>
              </w:rPr>
              <w:t>7</w:t>
            </w:r>
            <w:r>
              <w:rPr>
                <w:noProof/>
                <w:webHidden/>
              </w:rPr>
              <w:fldChar w:fldCharType="end"/>
            </w:r>
          </w:hyperlink>
        </w:p>
        <w:p w14:paraId="4118972D" w14:textId="6075D686"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76" w:history="1">
            <w:r w:rsidRPr="006E7AAA">
              <w:rPr>
                <w:rStyle w:val="Hyperlink"/>
                <w:noProof/>
              </w:rPr>
              <w:t>Disease or condition</w:t>
            </w:r>
            <w:r>
              <w:rPr>
                <w:noProof/>
                <w:webHidden/>
              </w:rPr>
              <w:tab/>
            </w:r>
            <w:r>
              <w:rPr>
                <w:noProof/>
                <w:webHidden/>
              </w:rPr>
              <w:fldChar w:fldCharType="begin"/>
            </w:r>
            <w:r>
              <w:rPr>
                <w:noProof/>
                <w:webHidden/>
              </w:rPr>
              <w:instrText xml:space="preserve"> PAGEREF _Toc230003576 \h </w:instrText>
            </w:r>
            <w:r>
              <w:rPr>
                <w:noProof/>
                <w:webHidden/>
              </w:rPr>
            </w:r>
            <w:r>
              <w:rPr>
                <w:noProof/>
                <w:webHidden/>
              </w:rPr>
              <w:fldChar w:fldCharType="separate"/>
            </w:r>
            <w:r>
              <w:rPr>
                <w:noProof/>
                <w:webHidden/>
              </w:rPr>
              <w:t>7</w:t>
            </w:r>
            <w:r>
              <w:rPr>
                <w:noProof/>
                <w:webHidden/>
              </w:rPr>
              <w:fldChar w:fldCharType="end"/>
            </w:r>
          </w:hyperlink>
        </w:p>
        <w:p w14:paraId="676C77FB" w14:textId="4207984B"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77" w:history="1">
            <w:r w:rsidRPr="006E7AAA">
              <w:rPr>
                <w:rStyle w:val="Hyperlink"/>
                <w:noProof/>
              </w:rPr>
              <w:t>Current treatment options</w:t>
            </w:r>
            <w:r>
              <w:rPr>
                <w:noProof/>
                <w:webHidden/>
              </w:rPr>
              <w:tab/>
            </w:r>
            <w:r>
              <w:rPr>
                <w:noProof/>
                <w:webHidden/>
              </w:rPr>
              <w:fldChar w:fldCharType="begin"/>
            </w:r>
            <w:r>
              <w:rPr>
                <w:noProof/>
                <w:webHidden/>
              </w:rPr>
              <w:instrText xml:space="preserve"> PAGEREF _Toc230003577 \h </w:instrText>
            </w:r>
            <w:r>
              <w:rPr>
                <w:noProof/>
                <w:webHidden/>
              </w:rPr>
            </w:r>
            <w:r>
              <w:rPr>
                <w:noProof/>
                <w:webHidden/>
              </w:rPr>
              <w:fldChar w:fldCharType="separate"/>
            </w:r>
            <w:r>
              <w:rPr>
                <w:noProof/>
                <w:webHidden/>
              </w:rPr>
              <w:t>8</w:t>
            </w:r>
            <w:r>
              <w:rPr>
                <w:noProof/>
                <w:webHidden/>
              </w:rPr>
              <w:fldChar w:fldCharType="end"/>
            </w:r>
          </w:hyperlink>
        </w:p>
        <w:p w14:paraId="4743C1D5" w14:textId="635CFA29"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78" w:history="1">
            <w:r w:rsidRPr="006E7AAA">
              <w:rPr>
                <w:rStyle w:val="Hyperlink"/>
                <w:noProof/>
              </w:rPr>
              <w:t>Clinical rationale</w:t>
            </w:r>
            <w:r>
              <w:rPr>
                <w:noProof/>
                <w:webHidden/>
              </w:rPr>
              <w:tab/>
            </w:r>
            <w:r>
              <w:rPr>
                <w:noProof/>
                <w:webHidden/>
              </w:rPr>
              <w:fldChar w:fldCharType="begin"/>
            </w:r>
            <w:r>
              <w:rPr>
                <w:noProof/>
                <w:webHidden/>
              </w:rPr>
              <w:instrText xml:space="preserve"> PAGEREF _Toc230003578 \h </w:instrText>
            </w:r>
            <w:r>
              <w:rPr>
                <w:noProof/>
                <w:webHidden/>
              </w:rPr>
            </w:r>
            <w:r>
              <w:rPr>
                <w:noProof/>
                <w:webHidden/>
              </w:rPr>
              <w:fldChar w:fldCharType="separate"/>
            </w:r>
            <w:r>
              <w:rPr>
                <w:noProof/>
                <w:webHidden/>
              </w:rPr>
              <w:t>8</w:t>
            </w:r>
            <w:r>
              <w:rPr>
                <w:noProof/>
                <w:webHidden/>
              </w:rPr>
              <w:fldChar w:fldCharType="end"/>
            </w:r>
          </w:hyperlink>
        </w:p>
        <w:p w14:paraId="0D6FE691" w14:textId="730A7A4F"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79" w:history="1">
            <w:r w:rsidRPr="006E7AAA">
              <w:rPr>
                <w:rStyle w:val="Hyperlink"/>
                <w:noProof/>
              </w:rPr>
              <w:t>Regulatory status</w:t>
            </w:r>
            <w:r>
              <w:rPr>
                <w:noProof/>
                <w:webHidden/>
              </w:rPr>
              <w:tab/>
            </w:r>
            <w:r>
              <w:rPr>
                <w:noProof/>
                <w:webHidden/>
              </w:rPr>
              <w:fldChar w:fldCharType="begin"/>
            </w:r>
            <w:r>
              <w:rPr>
                <w:noProof/>
                <w:webHidden/>
              </w:rPr>
              <w:instrText xml:space="preserve"> PAGEREF _Toc230003579 \h </w:instrText>
            </w:r>
            <w:r>
              <w:rPr>
                <w:noProof/>
                <w:webHidden/>
              </w:rPr>
            </w:r>
            <w:r>
              <w:rPr>
                <w:noProof/>
                <w:webHidden/>
              </w:rPr>
              <w:fldChar w:fldCharType="separate"/>
            </w:r>
            <w:r>
              <w:rPr>
                <w:noProof/>
                <w:webHidden/>
              </w:rPr>
              <w:t>8</w:t>
            </w:r>
            <w:r>
              <w:rPr>
                <w:noProof/>
                <w:webHidden/>
              </w:rPr>
              <w:fldChar w:fldCharType="end"/>
            </w:r>
          </w:hyperlink>
        </w:p>
        <w:p w14:paraId="18ED0884" w14:textId="3650D9B5"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80" w:history="1">
            <w:r w:rsidRPr="006E7AAA">
              <w:rPr>
                <w:rStyle w:val="Hyperlink"/>
                <w:noProof/>
              </w:rPr>
              <w:t>Australian regulatory status</w:t>
            </w:r>
            <w:r>
              <w:rPr>
                <w:noProof/>
                <w:webHidden/>
              </w:rPr>
              <w:tab/>
            </w:r>
            <w:r>
              <w:rPr>
                <w:noProof/>
                <w:webHidden/>
              </w:rPr>
              <w:fldChar w:fldCharType="begin"/>
            </w:r>
            <w:r>
              <w:rPr>
                <w:noProof/>
                <w:webHidden/>
              </w:rPr>
              <w:instrText xml:space="preserve"> PAGEREF _Toc230003580 \h </w:instrText>
            </w:r>
            <w:r>
              <w:rPr>
                <w:noProof/>
                <w:webHidden/>
              </w:rPr>
            </w:r>
            <w:r>
              <w:rPr>
                <w:noProof/>
                <w:webHidden/>
              </w:rPr>
              <w:fldChar w:fldCharType="separate"/>
            </w:r>
            <w:r>
              <w:rPr>
                <w:noProof/>
                <w:webHidden/>
              </w:rPr>
              <w:t>8</w:t>
            </w:r>
            <w:r>
              <w:rPr>
                <w:noProof/>
                <w:webHidden/>
              </w:rPr>
              <w:fldChar w:fldCharType="end"/>
            </w:r>
          </w:hyperlink>
        </w:p>
        <w:p w14:paraId="586C8080" w14:textId="235CF9C2"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81" w:history="1">
            <w:r w:rsidRPr="006E7AAA">
              <w:rPr>
                <w:rStyle w:val="Hyperlink"/>
                <w:noProof/>
              </w:rPr>
              <w:t>International regulatory status</w:t>
            </w:r>
            <w:r>
              <w:rPr>
                <w:noProof/>
                <w:webHidden/>
              </w:rPr>
              <w:tab/>
            </w:r>
            <w:r>
              <w:rPr>
                <w:noProof/>
                <w:webHidden/>
              </w:rPr>
              <w:fldChar w:fldCharType="begin"/>
            </w:r>
            <w:r>
              <w:rPr>
                <w:noProof/>
                <w:webHidden/>
              </w:rPr>
              <w:instrText xml:space="preserve"> PAGEREF _Toc230003581 \h </w:instrText>
            </w:r>
            <w:r>
              <w:rPr>
                <w:noProof/>
                <w:webHidden/>
              </w:rPr>
            </w:r>
            <w:r>
              <w:rPr>
                <w:noProof/>
                <w:webHidden/>
              </w:rPr>
              <w:fldChar w:fldCharType="separate"/>
            </w:r>
            <w:r>
              <w:rPr>
                <w:noProof/>
                <w:webHidden/>
              </w:rPr>
              <w:t>8</w:t>
            </w:r>
            <w:r>
              <w:rPr>
                <w:noProof/>
                <w:webHidden/>
              </w:rPr>
              <w:fldChar w:fldCharType="end"/>
            </w:r>
          </w:hyperlink>
        </w:p>
        <w:p w14:paraId="558A9274" w14:textId="5B81B389" w:rsidR="00602CFD" w:rsidRDefault="00602CF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003582" w:history="1">
            <w:r w:rsidRPr="006E7AAA">
              <w:rPr>
                <w:rStyle w:val="Hyperlink"/>
                <w:noProof/>
              </w:rPr>
              <w:t>Registration timeline</w:t>
            </w:r>
            <w:r>
              <w:rPr>
                <w:noProof/>
                <w:webHidden/>
              </w:rPr>
              <w:tab/>
            </w:r>
            <w:r>
              <w:rPr>
                <w:noProof/>
                <w:webHidden/>
              </w:rPr>
              <w:fldChar w:fldCharType="begin"/>
            </w:r>
            <w:r>
              <w:rPr>
                <w:noProof/>
                <w:webHidden/>
              </w:rPr>
              <w:instrText xml:space="preserve"> PAGEREF _Toc230003582 \h </w:instrText>
            </w:r>
            <w:r>
              <w:rPr>
                <w:noProof/>
                <w:webHidden/>
              </w:rPr>
            </w:r>
            <w:r>
              <w:rPr>
                <w:noProof/>
                <w:webHidden/>
              </w:rPr>
              <w:fldChar w:fldCharType="separate"/>
            </w:r>
            <w:r>
              <w:rPr>
                <w:noProof/>
                <w:webHidden/>
              </w:rPr>
              <w:t>9</w:t>
            </w:r>
            <w:r>
              <w:rPr>
                <w:noProof/>
                <w:webHidden/>
              </w:rPr>
              <w:fldChar w:fldCharType="end"/>
            </w:r>
          </w:hyperlink>
        </w:p>
        <w:p w14:paraId="402151D2" w14:textId="13A0E396" w:rsidR="00602CFD" w:rsidRDefault="00602CF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003583" w:history="1">
            <w:r w:rsidRPr="006E7AAA">
              <w:rPr>
                <w:rStyle w:val="Hyperlink"/>
                <w:noProof/>
              </w:rPr>
              <w:t>Assessment overview</w:t>
            </w:r>
            <w:r>
              <w:rPr>
                <w:noProof/>
                <w:webHidden/>
              </w:rPr>
              <w:tab/>
            </w:r>
            <w:r>
              <w:rPr>
                <w:noProof/>
                <w:webHidden/>
              </w:rPr>
              <w:fldChar w:fldCharType="begin"/>
            </w:r>
            <w:r>
              <w:rPr>
                <w:noProof/>
                <w:webHidden/>
              </w:rPr>
              <w:instrText xml:space="preserve"> PAGEREF _Toc230003583 \h </w:instrText>
            </w:r>
            <w:r>
              <w:rPr>
                <w:noProof/>
                <w:webHidden/>
              </w:rPr>
            </w:r>
            <w:r>
              <w:rPr>
                <w:noProof/>
                <w:webHidden/>
              </w:rPr>
              <w:fldChar w:fldCharType="separate"/>
            </w:r>
            <w:r>
              <w:rPr>
                <w:noProof/>
                <w:webHidden/>
              </w:rPr>
              <w:t>9</w:t>
            </w:r>
            <w:r>
              <w:rPr>
                <w:noProof/>
                <w:webHidden/>
              </w:rPr>
              <w:fldChar w:fldCharType="end"/>
            </w:r>
          </w:hyperlink>
        </w:p>
        <w:p w14:paraId="594CAB6C" w14:textId="3E094A56"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84" w:history="1">
            <w:r w:rsidRPr="006E7AAA">
              <w:rPr>
                <w:rStyle w:val="Hyperlink"/>
                <w:noProof/>
              </w:rPr>
              <w:t>Quality evaluation summary</w:t>
            </w:r>
            <w:r>
              <w:rPr>
                <w:noProof/>
                <w:webHidden/>
              </w:rPr>
              <w:tab/>
            </w:r>
            <w:r>
              <w:rPr>
                <w:noProof/>
                <w:webHidden/>
              </w:rPr>
              <w:fldChar w:fldCharType="begin"/>
            </w:r>
            <w:r>
              <w:rPr>
                <w:noProof/>
                <w:webHidden/>
              </w:rPr>
              <w:instrText xml:space="preserve"> PAGEREF _Toc230003584 \h </w:instrText>
            </w:r>
            <w:r>
              <w:rPr>
                <w:noProof/>
                <w:webHidden/>
              </w:rPr>
            </w:r>
            <w:r>
              <w:rPr>
                <w:noProof/>
                <w:webHidden/>
              </w:rPr>
              <w:fldChar w:fldCharType="separate"/>
            </w:r>
            <w:r>
              <w:rPr>
                <w:noProof/>
                <w:webHidden/>
              </w:rPr>
              <w:t>9</w:t>
            </w:r>
            <w:r>
              <w:rPr>
                <w:noProof/>
                <w:webHidden/>
              </w:rPr>
              <w:fldChar w:fldCharType="end"/>
            </w:r>
          </w:hyperlink>
        </w:p>
        <w:p w14:paraId="6D5928AC" w14:textId="09625CF7"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85" w:history="1">
            <w:r w:rsidRPr="006E7AAA">
              <w:rPr>
                <w:rStyle w:val="Hyperlink"/>
                <w:noProof/>
              </w:rPr>
              <w:t>Nonclinical evaluation summary</w:t>
            </w:r>
            <w:r>
              <w:rPr>
                <w:noProof/>
                <w:webHidden/>
              </w:rPr>
              <w:tab/>
            </w:r>
            <w:r>
              <w:rPr>
                <w:noProof/>
                <w:webHidden/>
              </w:rPr>
              <w:fldChar w:fldCharType="begin"/>
            </w:r>
            <w:r>
              <w:rPr>
                <w:noProof/>
                <w:webHidden/>
              </w:rPr>
              <w:instrText xml:space="preserve"> PAGEREF _Toc230003585 \h </w:instrText>
            </w:r>
            <w:r>
              <w:rPr>
                <w:noProof/>
                <w:webHidden/>
              </w:rPr>
            </w:r>
            <w:r>
              <w:rPr>
                <w:noProof/>
                <w:webHidden/>
              </w:rPr>
              <w:fldChar w:fldCharType="separate"/>
            </w:r>
            <w:r>
              <w:rPr>
                <w:noProof/>
                <w:webHidden/>
              </w:rPr>
              <w:t>11</w:t>
            </w:r>
            <w:r>
              <w:rPr>
                <w:noProof/>
                <w:webHidden/>
              </w:rPr>
              <w:fldChar w:fldCharType="end"/>
            </w:r>
          </w:hyperlink>
        </w:p>
        <w:p w14:paraId="107A318B" w14:textId="7C2CC8AA"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86" w:history="1">
            <w:r w:rsidRPr="006E7AAA">
              <w:rPr>
                <w:rStyle w:val="Hyperlink"/>
                <w:noProof/>
              </w:rPr>
              <w:t>Clinical evaluation summary</w:t>
            </w:r>
            <w:r>
              <w:rPr>
                <w:noProof/>
                <w:webHidden/>
              </w:rPr>
              <w:tab/>
            </w:r>
            <w:r>
              <w:rPr>
                <w:noProof/>
                <w:webHidden/>
              </w:rPr>
              <w:fldChar w:fldCharType="begin"/>
            </w:r>
            <w:r>
              <w:rPr>
                <w:noProof/>
                <w:webHidden/>
              </w:rPr>
              <w:instrText xml:space="preserve"> PAGEREF _Toc230003586 \h </w:instrText>
            </w:r>
            <w:r>
              <w:rPr>
                <w:noProof/>
                <w:webHidden/>
              </w:rPr>
            </w:r>
            <w:r>
              <w:rPr>
                <w:noProof/>
                <w:webHidden/>
              </w:rPr>
              <w:fldChar w:fldCharType="separate"/>
            </w:r>
            <w:r>
              <w:rPr>
                <w:noProof/>
                <w:webHidden/>
              </w:rPr>
              <w:t>11</w:t>
            </w:r>
            <w:r>
              <w:rPr>
                <w:noProof/>
                <w:webHidden/>
              </w:rPr>
              <w:fldChar w:fldCharType="end"/>
            </w:r>
          </w:hyperlink>
        </w:p>
        <w:p w14:paraId="3ACB5A11" w14:textId="764B9C98"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87" w:history="1">
            <w:r w:rsidRPr="006E7AAA">
              <w:rPr>
                <w:rStyle w:val="Hyperlink"/>
                <w:noProof/>
              </w:rPr>
              <w:t>Summary of clinical studies</w:t>
            </w:r>
            <w:r>
              <w:rPr>
                <w:noProof/>
                <w:webHidden/>
              </w:rPr>
              <w:tab/>
            </w:r>
            <w:r>
              <w:rPr>
                <w:noProof/>
                <w:webHidden/>
              </w:rPr>
              <w:fldChar w:fldCharType="begin"/>
            </w:r>
            <w:r>
              <w:rPr>
                <w:noProof/>
                <w:webHidden/>
              </w:rPr>
              <w:instrText xml:space="preserve"> PAGEREF _Toc230003587 \h </w:instrText>
            </w:r>
            <w:r>
              <w:rPr>
                <w:noProof/>
                <w:webHidden/>
              </w:rPr>
            </w:r>
            <w:r>
              <w:rPr>
                <w:noProof/>
                <w:webHidden/>
              </w:rPr>
              <w:fldChar w:fldCharType="separate"/>
            </w:r>
            <w:r>
              <w:rPr>
                <w:noProof/>
                <w:webHidden/>
              </w:rPr>
              <w:t>11</w:t>
            </w:r>
            <w:r>
              <w:rPr>
                <w:noProof/>
                <w:webHidden/>
              </w:rPr>
              <w:fldChar w:fldCharType="end"/>
            </w:r>
          </w:hyperlink>
        </w:p>
        <w:p w14:paraId="264B1D56" w14:textId="5A0B17C7"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88" w:history="1">
            <w:r w:rsidRPr="006E7AAA">
              <w:rPr>
                <w:rStyle w:val="Hyperlink"/>
                <w:noProof/>
              </w:rPr>
              <w:t>Efficacy</w:t>
            </w:r>
            <w:r>
              <w:rPr>
                <w:noProof/>
                <w:webHidden/>
              </w:rPr>
              <w:tab/>
            </w:r>
            <w:r>
              <w:rPr>
                <w:noProof/>
                <w:webHidden/>
              </w:rPr>
              <w:fldChar w:fldCharType="begin"/>
            </w:r>
            <w:r>
              <w:rPr>
                <w:noProof/>
                <w:webHidden/>
              </w:rPr>
              <w:instrText xml:space="preserve"> PAGEREF _Toc230003588 \h </w:instrText>
            </w:r>
            <w:r>
              <w:rPr>
                <w:noProof/>
                <w:webHidden/>
              </w:rPr>
            </w:r>
            <w:r>
              <w:rPr>
                <w:noProof/>
                <w:webHidden/>
              </w:rPr>
              <w:fldChar w:fldCharType="separate"/>
            </w:r>
            <w:r>
              <w:rPr>
                <w:noProof/>
                <w:webHidden/>
              </w:rPr>
              <w:t>13</w:t>
            </w:r>
            <w:r>
              <w:rPr>
                <w:noProof/>
                <w:webHidden/>
              </w:rPr>
              <w:fldChar w:fldCharType="end"/>
            </w:r>
          </w:hyperlink>
        </w:p>
        <w:p w14:paraId="2AB139F2" w14:textId="5ABC15AB"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89" w:history="1">
            <w:r w:rsidRPr="006E7AAA">
              <w:rPr>
                <w:rStyle w:val="Hyperlink"/>
                <w:noProof/>
              </w:rPr>
              <w:t>Safety</w:t>
            </w:r>
            <w:r>
              <w:rPr>
                <w:noProof/>
                <w:webHidden/>
              </w:rPr>
              <w:tab/>
            </w:r>
            <w:r>
              <w:rPr>
                <w:noProof/>
                <w:webHidden/>
              </w:rPr>
              <w:fldChar w:fldCharType="begin"/>
            </w:r>
            <w:r>
              <w:rPr>
                <w:noProof/>
                <w:webHidden/>
              </w:rPr>
              <w:instrText xml:space="preserve"> PAGEREF _Toc230003589 \h </w:instrText>
            </w:r>
            <w:r>
              <w:rPr>
                <w:noProof/>
                <w:webHidden/>
              </w:rPr>
            </w:r>
            <w:r>
              <w:rPr>
                <w:noProof/>
                <w:webHidden/>
              </w:rPr>
              <w:fldChar w:fldCharType="separate"/>
            </w:r>
            <w:r>
              <w:rPr>
                <w:noProof/>
                <w:webHidden/>
              </w:rPr>
              <w:t>19</w:t>
            </w:r>
            <w:r>
              <w:rPr>
                <w:noProof/>
                <w:webHidden/>
              </w:rPr>
              <w:fldChar w:fldCharType="end"/>
            </w:r>
          </w:hyperlink>
        </w:p>
        <w:p w14:paraId="6C08BA40" w14:textId="75573E1E"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90" w:history="1">
            <w:r w:rsidRPr="006E7AAA">
              <w:rPr>
                <w:rStyle w:val="Hyperlink"/>
                <w:noProof/>
                <w:lang w:eastAsia="en-AU"/>
              </w:rPr>
              <w:t>Risk management plan</w:t>
            </w:r>
            <w:r>
              <w:rPr>
                <w:noProof/>
                <w:webHidden/>
              </w:rPr>
              <w:tab/>
            </w:r>
            <w:r>
              <w:rPr>
                <w:noProof/>
                <w:webHidden/>
              </w:rPr>
              <w:fldChar w:fldCharType="begin"/>
            </w:r>
            <w:r>
              <w:rPr>
                <w:noProof/>
                <w:webHidden/>
              </w:rPr>
              <w:instrText xml:space="preserve"> PAGEREF _Toc230003590 \h </w:instrText>
            </w:r>
            <w:r>
              <w:rPr>
                <w:noProof/>
                <w:webHidden/>
              </w:rPr>
            </w:r>
            <w:r>
              <w:rPr>
                <w:noProof/>
                <w:webHidden/>
              </w:rPr>
              <w:fldChar w:fldCharType="separate"/>
            </w:r>
            <w:r>
              <w:rPr>
                <w:noProof/>
                <w:webHidden/>
              </w:rPr>
              <w:t>27</w:t>
            </w:r>
            <w:r>
              <w:rPr>
                <w:noProof/>
                <w:webHidden/>
              </w:rPr>
              <w:fldChar w:fldCharType="end"/>
            </w:r>
          </w:hyperlink>
        </w:p>
        <w:p w14:paraId="25DE1214" w14:textId="5574893A"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91" w:history="1">
            <w:r w:rsidRPr="006E7AAA">
              <w:rPr>
                <w:rStyle w:val="Hyperlink"/>
                <w:noProof/>
              </w:rPr>
              <w:t>Risk-benefit analysis</w:t>
            </w:r>
            <w:r>
              <w:rPr>
                <w:noProof/>
                <w:webHidden/>
              </w:rPr>
              <w:tab/>
            </w:r>
            <w:r>
              <w:rPr>
                <w:noProof/>
                <w:webHidden/>
              </w:rPr>
              <w:fldChar w:fldCharType="begin"/>
            </w:r>
            <w:r>
              <w:rPr>
                <w:noProof/>
                <w:webHidden/>
              </w:rPr>
              <w:instrText xml:space="preserve"> PAGEREF _Toc230003591 \h </w:instrText>
            </w:r>
            <w:r>
              <w:rPr>
                <w:noProof/>
                <w:webHidden/>
              </w:rPr>
            </w:r>
            <w:r>
              <w:rPr>
                <w:noProof/>
                <w:webHidden/>
              </w:rPr>
              <w:fldChar w:fldCharType="separate"/>
            </w:r>
            <w:r>
              <w:rPr>
                <w:noProof/>
                <w:webHidden/>
              </w:rPr>
              <w:t>27</w:t>
            </w:r>
            <w:r>
              <w:rPr>
                <w:noProof/>
                <w:webHidden/>
              </w:rPr>
              <w:fldChar w:fldCharType="end"/>
            </w:r>
          </w:hyperlink>
        </w:p>
        <w:p w14:paraId="5368413C" w14:textId="7D4E8D60"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92" w:history="1">
            <w:r w:rsidRPr="006E7AAA">
              <w:rPr>
                <w:rStyle w:val="Hyperlink"/>
                <w:noProof/>
              </w:rPr>
              <w:t>Delegate’s considerations</w:t>
            </w:r>
            <w:r>
              <w:rPr>
                <w:noProof/>
                <w:webHidden/>
              </w:rPr>
              <w:tab/>
            </w:r>
            <w:r>
              <w:rPr>
                <w:noProof/>
                <w:webHidden/>
              </w:rPr>
              <w:fldChar w:fldCharType="begin"/>
            </w:r>
            <w:r>
              <w:rPr>
                <w:noProof/>
                <w:webHidden/>
              </w:rPr>
              <w:instrText xml:space="preserve"> PAGEREF _Toc230003592 \h </w:instrText>
            </w:r>
            <w:r>
              <w:rPr>
                <w:noProof/>
                <w:webHidden/>
              </w:rPr>
            </w:r>
            <w:r>
              <w:rPr>
                <w:noProof/>
                <w:webHidden/>
              </w:rPr>
              <w:fldChar w:fldCharType="separate"/>
            </w:r>
            <w:r>
              <w:rPr>
                <w:noProof/>
                <w:webHidden/>
              </w:rPr>
              <w:t>27</w:t>
            </w:r>
            <w:r>
              <w:rPr>
                <w:noProof/>
                <w:webHidden/>
              </w:rPr>
              <w:fldChar w:fldCharType="end"/>
            </w:r>
          </w:hyperlink>
        </w:p>
        <w:p w14:paraId="619B8EEF" w14:textId="14E86624" w:rsidR="00602CFD" w:rsidRDefault="00602CF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003593" w:history="1">
            <w:r w:rsidRPr="006E7AAA">
              <w:rPr>
                <w:rStyle w:val="Hyperlink"/>
                <w:noProof/>
              </w:rPr>
              <w:t>Proposed action</w:t>
            </w:r>
            <w:r>
              <w:rPr>
                <w:noProof/>
                <w:webHidden/>
              </w:rPr>
              <w:tab/>
            </w:r>
            <w:r>
              <w:rPr>
                <w:noProof/>
                <w:webHidden/>
              </w:rPr>
              <w:fldChar w:fldCharType="begin"/>
            </w:r>
            <w:r>
              <w:rPr>
                <w:noProof/>
                <w:webHidden/>
              </w:rPr>
              <w:instrText xml:space="preserve"> PAGEREF _Toc230003593 \h </w:instrText>
            </w:r>
            <w:r>
              <w:rPr>
                <w:noProof/>
                <w:webHidden/>
              </w:rPr>
            </w:r>
            <w:r>
              <w:rPr>
                <w:noProof/>
                <w:webHidden/>
              </w:rPr>
              <w:fldChar w:fldCharType="separate"/>
            </w:r>
            <w:r>
              <w:rPr>
                <w:noProof/>
                <w:webHidden/>
              </w:rPr>
              <w:t>28</w:t>
            </w:r>
            <w:r>
              <w:rPr>
                <w:noProof/>
                <w:webHidden/>
              </w:rPr>
              <w:fldChar w:fldCharType="end"/>
            </w:r>
          </w:hyperlink>
        </w:p>
        <w:p w14:paraId="27C7557F" w14:textId="39F0B167" w:rsidR="00602CFD" w:rsidRDefault="00602CF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003594" w:history="1">
            <w:r w:rsidRPr="006E7AAA">
              <w:rPr>
                <w:rStyle w:val="Hyperlink"/>
                <w:noProof/>
              </w:rPr>
              <w:t>Assessment outcome</w:t>
            </w:r>
            <w:r>
              <w:rPr>
                <w:noProof/>
                <w:webHidden/>
              </w:rPr>
              <w:tab/>
            </w:r>
            <w:r>
              <w:rPr>
                <w:noProof/>
                <w:webHidden/>
              </w:rPr>
              <w:fldChar w:fldCharType="begin"/>
            </w:r>
            <w:r>
              <w:rPr>
                <w:noProof/>
                <w:webHidden/>
              </w:rPr>
              <w:instrText xml:space="preserve"> PAGEREF _Toc230003594 \h </w:instrText>
            </w:r>
            <w:r>
              <w:rPr>
                <w:noProof/>
                <w:webHidden/>
              </w:rPr>
            </w:r>
            <w:r>
              <w:rPr>
                <w:noProof/>
                <w:webHidden/>
              </w:rPr>
              <w:fldChar w:fldCharType="separate"/>
            </w:r>
            <w:r>
              <w:rPr>
                <w:noProof/>
                <w:webHidden/>
              </w:rPr>
              <w:t>29</w:t>
            </w:r>
            <w:r>
              <w:rPr>
                <w:noProof/>
                <w:webHidden/>
              </w:rPr>
              <w:fldChar w:fldCharType="end"/>
            </w:r>
          </w:hyperlink>
        </w:p>
        <w:p w14:paraId="2527A77B" w14:textId="65E6DEA4"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95" w:history="1">
            <w:r w:rsidRPr="006E7AAA">
              <w:rPr>
                <w:rStyle w:val="Hyperlink"/>
                <w:noProof/>
              </w:rPr>
              <w:t>Specific conditions of registration</w:t>
            </w:r>
            <w:r>
              <w:rPr>
                <w:noProof/>
                <w:webHidden/>
              </w:rPr>
              <w:tab/>
            </w:r>
            <w:r>
              <w:rPr>
                <w:noProof/>
                <w:webHidden/>
              </w:rPr>
              <w:fldChar w:fldCharType="begin"/>
            </w:r>
            <w:r>
              <w:rPr>
                <w:noProof/>
                <w:webHidden/>
              </w:rPr>
              <w:instrText xml:space="preserve"> PAGEREF _Toc230003595 \h </w:instrText>
            </w:r>
            <w:r>
              <w:rPr>
                <w:noProof/>
                <w:webHidden/>
              </w:rPr>
            </w:r>
            <w:r>
              <w:rPr>
                <w:noProof/>
                <w:webHidden/>
              </w:rPr>
              <w:fldChar w:fldCharType="separate"/>
            </w:r>
            <w:r>
              <w:rPr>
                <w:noProof/>
                <w:webHidden/>
              </w:rPr>
              <w:t>29</w:t>
            </w:r>
            <w:r>
              <w:rPr>
                <w:noProof/>
                <w:webHidden/>
              </w:rPr>
              <w:fldChar w:fldCharType="end"/>
            </w:r>
          </w:hyperlink>
        </w:p>
        <w:p w14:paraId="7D50D1F4" w14:textId="1CBD19A8" w:rsidR="00602CFD" w:rsidRDefault="00602CF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003596" w:history="1">
            <w:r w:rsidRPr="006E7AAA">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_Toc230003596 \h </w:instrText>
            </w:r>
            <w:r>
              <w:rPr>
                <w:noProof/>
                <w:webHidden/>
              </w:rPr>
            </w:r>
            <w:r>
              <w:rPr>
                <w:noProof/>
                <w:webHidden/>
              </w:rPr>
              <w:fldChar w:fldCharType="separate"/>
            </w:r>
            <w:r>
              <w:rPr>
                <w:noProof/>
                <w:webHidden/>
              </w:rPr>
              <w:t>31</w:t>
            </w:r>
            <w:r>
              <w:rPr>
                <w:noProof/>
                <w:webHidden/>
              </w:rPr>
              <w:fldChar w:fldCharType="end"/>
            </w:r>
          </w:hyperlink>
        </w:p>
        <w:p w14:paraId="77659F2D" w14:textId="2093674B"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4978C317" w:rsidR="00324B33" w:rsidRDefault="00324B33" w:rsidP="00324B33">
      <w:pPr>
        <w:pStyle w:val="Heading2"/>
      </w:pPr>
      <w:bookmarkStart w:id="0" w:name="_Toc98931917"/>
      <w:bookmarkStart w:id="1" w:name="_Toc103679287"/>
      <w:bookmarkStart w:id="2" w:name="_Toc230003572"/>
      <w:bookmarkStart w:id="3" w:name="_Toc323739589"/>
      <w:bookmarkStart w:id="4" w:name="_Toc356305216"/>
      <w:r>
        <w:lastRenderedPageBreak/>
        <w:t>List of abbreviations</w:t>
      </w:r>
      <w:bookmarkEnd w:id="0"/>
      <w:bookmarkEnd w:id="1"/>
      <w:bookmarkEnd w:id="2"/>
      <w:r w:rsidR="00B03ADC">
        <w:fldChar w:fldCharType="begin"/>
      </w:r>
      <w:r w:rsidR="00B03ADC">
        <w:instrText xml:space="preserve"> DOCVARIABLE vault_nd_fd0803c7-fb1c-42d1-9768-0d44bbde28cc \* MERGEFORMAT </w:instrText>
      </w:r>
      <w:r w:rsidR="00B03ADC">
        <w:fldChar w:fldCharType="separate"/>
      </w:r>
      <w:r w:rsidR="00B03ADC">
        <w:t xml:space="preserve"> </w:t>
      </w:r>
      <w:r w:rsidR="00B03ADC">
        <w:fldChar w:fldCharType="end"/>
      </w:r>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12715" w:rsidRPr="00D01DDB" w14:paraId="4CBB51F9"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745C16D1" w14:textId="46A8313F" w:rsidR="00612715" w:rsidRPr="00D01DDB" w:rsidRDefault="00612715" w:rsidP="00324B33">
            <w:pPr>
              <w:rPr>
                <w:szCs w:val="22"/>
              </w:rPr>
            </w:pPr>
            <w:r>
              <w:rPr>
                <w:szCs w:val="22"/>
              </w:rPr>
              <w:t>ABN</w:t>
            </w:r>
          </w:p>
        </w:tc>
        <w:tc>
          <w:tcPr>
            <w:tcW w:w="3800" w:type="pct"/>
          </w:tcPr>
          <w:p w14:paraId="0BE43469" w14:textId="6EB7489D" w:rsidR="00612715" w:rsidRPr="00D01DDB" w:rsidRDefault="00612715" w:rsidP="00324B33">
            <w:pPr>
              <w:cnfStyle w:val="000000000000" w:firstRow="0" w:lastRow="0" w:firstColumn="0" w:lastColumn="0" w:oddVBand="0" w:evenVBand="0" w:oddHBand="0" w:evenHBand="0" w:firstRowFirstColumn="0" w:firstRowLastColumn="0" w:lastRowFirstColumn="0" w:lastRowLastColumn="0"/>
              <w:rPr>
                <w:szCs w:val="22"/>
              </w:rPr>
            </w:pPr>
            <w:r w:rsidRPr="00612715">
              <w:rPr>
                <w:szCs w:val="22"/>
              </w:rPr>
              <w:t xml:space="preserve">Australian Biological Name </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9101A3" w:rsidRPr="00D01DDB" w14:paraId="0CDCD0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9E3C87" w14:textId="392C1497" w:rsidR="009101A3" w:rsidRPr="00D01DDB" w:rsidRDefault="009101A3" w:rsidP="00324B33">
            <w:pPr>
              <w:rPr>
                <w:szCs w:val="22"/>
              </w:rPr>
            </w:pPr>
            <w:r>
              <w:rPr>
                <w:szCs w:val="22"/>
              </w:rPr>
              <w:t>AE(s)</w:t>
            </w:r>
          </w:p>
        </w:tc>
        <w:tc>
          <w:tcPr>
            <w:tcW w:w="3800" w:type="pct"/>
          </w:tcPr>
          <w:p w14:paraId="0784CDEE" w14:textId="142AB3FD" w:rsidR="009101A3" w:rsidRPr="00D01DDB" w:rsidRDefault="009101A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w:t>
            </w:r>
          </w:p>
        </w:tc>
      </w:tr>
      <w:tr w:rsidR="00FF25C5" w:rsidRPr="00D01DDB" w14:paraId="1087EA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4F4484" w14:textId="13E0120B" w:rsidR="00FF25C5" w:rsidRDefault="00FF25C5" w:rsidP="00324B33">
            <w:pPr>
              <w:rPr>
                <w:szCs w:val="22"/>
              </w:rPr>
            </w:pPr>
            <w:r>
              <w:rPr>
                <w:szCs w:val="22"/>
              </w:rPr>
              <w:t>AESI</w:t>
            </w:r>
          </w:p>
        </w:tc>
        <w:tc>
          <w:tcPr>
            <w:tcW w:w="3800" w:type="pct"/>
          </w:tcPr>
          <w:p w14:paraId="6F043C3D" w14:textId="25901381" w:rsidR="00FF25C5" w:rsidRDefault="00FF25C5" w:rsidP="00FF25C5">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w:t>
            </w:r>
            <w:r w:rsidRPr="005B051B">
              <w:rPr>
                <w:szCs w:val="22"/>
              </w:rPr>
              <w:t xml:space="preserve"> A</w:t>
            </w:r>
            <w:r>
              <w:rPr>
                <w:szCs w:val="22"/>
              </w:rPr>
              <w:t>d</w:t>
            </w:r>
            <w:r w:rsidRPr="005B051B">
              <w:rPr>
                <w:szCs w:val="22"/>
              </w:rPr>
              <w:t>verse event of special interest</w:t>
            </w:r>
          </w:p>
        </w:tc>
      </w:tr>
      <w:tr w:rsidR="00FF25C5" w:rsidRPr="00D01DDB" w14:paraId="672CA4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5EE7ED" w14:textId="2BDF5641" w:rsidR="00FF25C5" w:rsidRDefault="00FF25C5" w:rsidP="00324B33">
            <w:pPr>
              <w:rPr>
                <w:szCs w:val="22"/>
              </w:rPr>
            </w:pPr>
            <w:r>
              <w:rPr>
                <w:szCs w:val="22"/>
              </w:rPr>
              <w:t>AR</w:t>
            </w:r>
          </w:p>
        </w:tc>
        <w:tc>
          <w:tcPr>
            <w:tcW w:w="3800" w:type="pct"/>
          </w:tcPr>
          <w:p w14:paraId="39F42B44" w14:textId="0A8065AC" w:rsidR="00FF25C5" w:rsidRDefault="00FF25C5" w:rsidP="00324B33">
            <w:pPr>
              <w:cnfStyle w:val="000000000000" w:firstRow="0" w:lastRow="0" w:firstColumn="0" w:lastColumn="0" w:oddVBand="0" w:evenVBand="0" w:oddHBand="0" w:evenHBand="0" w:firstRowFirstColumn="0" w:firstRowLastColumn="0" w:lastRowFirstColumn="0" w:lastRowLastColumn="0"/>
              <w:rPr>
                <w:szCs w:val="22"/>
              </w:rPr>
            </w:pPr>
            <w:r w:rsidRPr="005B051B">
              <w:rPr>
                <w:szCs w:val="22"/>
              </w:rPr>
              <w:t>Adverse reaction</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4823AC" w:rsidRPr="00D01DDB" w14:paraId="283F1F7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297574" w14:textId="6F84EED7" w:rsidR="004823AC" w:rsidRPr="00D01DDB" w:rsidRDefault="004823AC" w:rsidP="00324B33">
            <w:pPr>
              <w:rPr>
                <w:szCs w:val="22"/>
              </w:rPr>
            </w:pPr>
            <w:r>
              <w:rPr>
                <w:szCs w:val="22"/>
              </w:rPr>
              <w:t>CDC</w:t>
            </w:r>
          </w:p>
        </w:tc>
        <w:tc>
          <w:tcPr>
            <w:tcW w:w="3800" w:type="pct"/>
          </w:tcPr>
          <w:p w14:paraId="628BCCDD" w14:textId="326F4142" w:rsidR="004823AC" w:rsidRPr="00D01DDB" w:rsidRDefault="004823AC" w:rsidP="00324B33">
            <w:pPr>
              <w:cnfStyle w:val="000000000000" w:firstRow="0" w:lastRow="0" w:firstColumn="0" w:lastColumn="0" w:oddVBand="0" w:evenVBand="0" w:oddHBand="0" w:evenHBand="0" w:firstRowFirstColumn="0" w:firstRowLastColumn="0" w:lastRowFirstColumn="0" w:lastRowLastColumn="0"/>
              <w:rPr>
                <w:szCs w:val="22"/>
              </w:rPr>
            </w:pPr>
            <w:r w:rsidRPr="00784A1B">
              <w:rPr>
                <w:szCs w:val="22"/>
              </w:rPr>
              <w:t>Cent</w:t>
            </w:r>
            <w:r>
              <w:rPr>
                <w:szCs w:val="22"/>
              </w:rPr>
              <w:t>res</w:t>
            </w:r>
            <w:r w:rsidRPr="00784A1B">
              <w:rPr>
                <w:szCs w:val="22"/>
              </w:rPr>
              <w:t xml:space="preserve"> for Disease Control and Prevention</w:t>
            </w:r>
            <w:r>
              <w:rPr>
                <w:szCs w:val="22"/>
              </w:rPr>
              <w:t xml:space="preserve"> (USA)</w:t>
            </w:r>
          </w:p>
        </w:tc>
      </w:tr>
      <w:tr w:rsidR="004F3423" w:rsidRPr="00D01DDB" w14:paraId="2C6756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C468CC" w14:textId="477A9624" w:rsidR="004F3423" w:rsidRDefault="004F3423" w:rsidP="00324B33">
            <w:pPr>
              <w:rPr>
                <w:szCs w:val="22"/>
              </w:rPr>
            </w:pPr>
            <w:r>
              <w:rPr>
                <w:szCs w:val="22"/>
              </w:rPr>
              <w:t>CI</w:t>
            </w:r>
          </w:p>
        </w:tc>
        <w:tc>
          <w:tcPr>
            <w:tcW w:w="3800" w:type="pct"/>
          </w:tcPr>
          <w:p w14:paraId="43F5165A" w14:textId="7009DA02" w:rsidR="004F3423" w:rsidRPr="00784A1B" w:rsidRDefault="004F342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4F3423">
              <w:rPr>
                <w:szCs w:val="22"/>
              </w:rPr>
              <w:t>onfidence interval</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F4845" w:rsidRPr="00D01DDB" w14:paraId="2C628EF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7D38B7" w14:textId="283FE3EB" w:rsidR="003F4845" w:rsidRPr="00D01DDB" w:rsidRDefault="003F4845" w:rsidP="00324B33">
            <w:pPr>
              <w:rPr>
                <w:szCs w:val="22"/>
              </w:rPr>
            </w:pPr>
            <w:r w:rsidRPr="003F4845">
              <w:rPr>
                <w:szCs w:val="22"/>
              </w:rPr>
              <w:t>COVID-19</w:t>
            </w:r>
          </w:p>
        </w:tc>
        <w:tc>
          <w:tcPr>
            <w:tcW w:w="3800" w:type="pct"/>
          </w:tcPr>
          <w:p w14:paraId="35F5A909" w14:textId="14BDEBCB" w:rsidR="003F4845" w:rsidRPr="00D01DDB" w:rsidRDefault="003F484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3F4845">
              <w:rPr>
                <w:szCs w:val="22"/>
              </w:rPr>
              <w:t>oronavirus disease 2019</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D95F97" w:rsidRPr="00D01DDB" w14:paraId="6F7AD5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F7010F" w14:textId="0585A66C" w:rsidR="00D95F97" w:rsidRPr="00D01DDB" w:rsidRDefault="00D95F97" w:rsidP="00324B33">
            <w:pPr>
              <w:rPr>
                <w:szCs w:val="22"/>
              </w:rPr>
            </w:pPr>
            <w:r>
              <w:rPr>
                <w:szCs w:val="22"/>
              </w:rPr>
              <w:t>DP</w:t>
            </w:r>
          </w:p>
        </w:tc>
        <w:tc>
          <w:tcPr>
            <w:tcW w:w="3800" w:type="pct"/>
          </w:tcPr>
          <w:p w14:paraId="52F08067" w14:textId="3797AE83" w:rsidR="00D95F97" w:rsidRPr="00D01DDB" w:rsidRDefault="00D95F9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Drug product</w:t>
            </w:r>
          </w:p>
        </w:tc>
      </w:tr>
      <w:tr w:rsidR="00255975" w:rsidRPr="00D01DDB" w14:paraId="414E89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FB4C96" w14:textId="4AFF2B66" w:rsidR="00255975" w:rsidRPr="00D01DDB" w:rsidRDefault="00255975" w:rsidP="00324B33">
            <w:pPr>
              <w:rPr>
                <w:szCs w:val="22"/>
              </w:rPr>
            </w:pPr>
            <w:r>
              <w:rPr>
                <w:szCs w:val="22"/>
              </w:rPr>
              <w:t>EMA</w:t>
            </w:r>
          </w:p>
        </w:tc>
        <w:tc>
          <w:tcPr>
            <w:tcW w:w="3800" w:type="pct"/>
          </w:tcPr>
          <w:p w14:paraId="7DB5C4DF" w14:textId="0E114BE1" w:rsidR="00255975" w:rsidRPr="00D01DDB" w:rsidRDefault="002559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4A331E" w:rsidRPr="00D01DDB" w14:paraId="2DCD3C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275EB4" w14:textId="7BBE4C5B" w:rsidR="004A331E" w:rsidRPr="00D01DDB" w:rsidRDefault="00245F22" w:rsidP="00324B33">
            <w:pPr>
              <w:rPr>
                <w:szCs w:val="22"/>
              </w:rPr>
            </w:pPr>
            <w:r>
              <w:rPr>
                <w:szCs w:val="22"/>
              </w:rPr>
              <w:t>EU</w:t>
            </w:r>
          </w:p>
        </w:tc>
        <w:tc>
          <w:tcPr>
            <w:tcW w:w="3800" w:type="pct"/>
          </w:tcPr>
          <w:p w14:paraId="0168D558" w14:textId="163CAEA1" w:rsidR="004A331E" w:rsidRPr="00D01DDB" w:rsidRDefault="00245F2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European Union </w:t>
            </w:r>
          </w:p>
        </w:tc>
      </w:tr>
      <w:tr w:rsidR="004A331E" w:rsidRPr="00D01DDB" w14:paraId="3C18A27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5C50B3" w14:textId="0B16D06E" w:rsidR="004A331E" w:rsidRPr="00D01DDB" w:rsidRDefault="004A331E" w:rsidP="00324B33">
            <w:pPr>
              <w:rPr>
                <w:szCs w:val="22"/>
              </w:rPr>
            </w:pPr>
            <w:r>
              <w:rPr>
                <w:szCs w:val="22"/>
              </w:rPr>
              <w:t>FDA</w:t>
            </w:r>
          </w:p>
        </w:tc>
        <w:tc>
          <w:tcPr>
            <w:tcW w:w="3800" w:type="pct"/>
          </w:tcPr>
          <w:p w14:paraId="6E9097B3" w14:textId="315E2F1F" w:rsidR="004A331E" w:rsidRPr="00D01DDB" w:rsidRDefault="00255975" w:rsidP="00324B33">
            <w:pPr>
              <w:cnfStyle w:val="000000000000" w:firstRow="0" w:lastRow="0" w:firstColumn="0" w:lastColumn="0" w:oddVBand="0" w:evenVBand="0" w:oddHBand="0" w:evenHBand="0" w:firstRowFirstColumn="0" w:firstRowLastColumn="0" w:lastRowFirstColumn="0" w:lastRowLastColumn="0"/>
              <w:rPr>
                <w:szCs w:val="22"/>
              </w:rPr>
            </w:pPr>
            <w:r w:rsidRPr="00255975">
              <w:rPr>
                <w:szCs w:val="22"/>
              </w:rPr>
              <w:t>Food and Drug Administration (</w:t>
            </w:r>
            <w:r>
              <w:rPr>
                <w:szCs w:val="22"/>
              </w:rPr>
              <w:t>USA)</w:t>
            </w:r>
          </w:p>
        </w:tc>
      </w:tr>
      <w:tr w:rsidR="0050724A" w:rsidRPr="00D01DDB" w14:paraId="78EFA42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AFF1BE" w14:textId="7AD497F2" w:rsidR="0050724A" w:rsidRDefault="0050724A" w:rsidP="00324B33">
            <w:pPr>
              <w:rPr>
                <w:szCs w:val="22"/>
              </w:rPr>
            </w:pPr>
            <w:r>
              <w:rPr>
                <w:szCs w:val="22"/>
              </w:rPr>
              <w:t>GM</w:t>
            </w:r>
          </w:p>
        </w:tc>
        <w:tc>
          <w:tcPr>
            <w:tcW w:w="3800" w:type="pct"/>
          </w:tcPr>
          <w:p w14:paraId="0DD9D5E6" w14:textId="69CCBA8B" w:rsidR="0050724A" w:rsidRPr="00255975" w:rsidRDefault="0050724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Pr="0050724A">
              <w:rPr>
                <w:szCs w:val="22"/>
              </w:rPr>
              <w:t>eometric mean</w:t>
            </w:r>
          </w:p>
        </w:tc>
      </w:tr>
      <w:tr w:rsidR="008B5323" w:rsidRPr="00D01DDB" w14:paraId="747B00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4BBF9F" w14:textId="5F436989" w:rsidR="008B5323" w:rsidRDefault="008B5323" w:rsidP="00324B33">
            <w:pPr>
              <w:rPr>
                <w:szCs w:val="22"/>
              </w:rPr>
            </w:pPr>
            <w:r w:rsidRPr="008B5323">
              <w:rPr>
                <w:szCs w:val="22"/>
              </w:rPr>
              <w:t>GMFR</w:t>
            </w:r>
          </w:p>
        </w:tc>
        <w:tc>
          <w:tcPr>
            <w:tcW w:w="3800" w:type="pct"/>
          </w:tcPr>
          <w:p w14:paraId="4A031CF7" w14:textId="1E038F5F" w:rsidR="008B5323" w:rsidRDefault="008157D0" w:rsidP="00324B33">
            <w:pPr>
              <w:cnfStyle w:val="000000000000" w:firstRow="0" w:lastRow="0" w:firstColumn="0" w:lastColumn="0" w:oddVBand="0" w:evenVBand="0" w:oddHBand="0" w:evenHBand="0" w:firstRowFirstColumn="0" w:firstRowLastColumn="0" w:lastRowFirstColumn="0" w:lastRowLastColumn="0"/>
              <w:rPr>
                <w:szCs w:val="22"/>
              </w:rPr>
            </w:pPr>
            <w:r w:rsidRPr="008157D0">
              <w:rPr>
                <w:szCs w:val="22"/>
              </w:rPr>
              <w:t>Geometric mean</w:t>
            </w:r>
            <w:r>
              <w:rPr>
                <w:szCs w:val="22"/>
              </w:rPr>
              <w:t xml:space="preserve"> fold-rise</w:t>
            </w:r>
          </w:p>
        </w:tc>
      </w:tr>
      <w:tr w:rsidR="0026490A" w:rsidRPr="00D01DDB" w14:paraId="2AA602C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065754" w14:textId="2E7D3FE3" w:rsidR="0026490A" w:rsidRDefault="0026490A" w:rsidP="00324B33">
            <w:pPr>
              <w:rPr>
                <w:szCs w:val="22"/>
              </w:rPr>
            </w:pPr>
            <w:r>
              <w:rPr>
                <w:szCs w:val="22"/>
              </w:rPr>
              <w:t>GMR</w:t>
            </w:r>
          </w:p>
        </w:tc>
        <w:tc>
          <w:tcPr>
            <w:tcW w:w="3800" w:type="pct"/>
          </w:tcPr>
          <w:p w14:paraId="7D51152B" w14:textId="2BE3AB92" w:rsidR="0026490A" w:rsidRPr="00255975" w:rsidRDefault="0026490A" w:rsidP="00324B33">
            <w:pPr>
              <w:cnfStyle w:val="000000000000" w:firstRow="0" w:lastRow="0" w:firstColumn="0" w:lastColumn="0" w:oddVBand="0" w:evenVBand="0" w:oddHBand="0" w:evenHBand="0" w:firstRowFirstColumn="0" w:firstRowLastColumn="0" w:lastRowFirstColumn="0" w:lastRowLastColumn="0"/>
              <w:rPr>
                <w:szCs w:val="22"/>
              </w:rPr>
            </w:pPr>
            <w:r w:rsidRPr="005B051B">
              <w:rPr>
                <w:szCs w:val="22"/>
              </w:rPr>
              <w:t>Geometric mean ratio</w:t>
            </w:r>
          </w:p>
        </w:tc>
      </w:tr>
      <w:tr w:rsidR="00D95F97" w:rsidRPr="00D01DDB" w14:paraId="4BB455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BC09E3" w14:textId="43140651" w:rsidR="00D95F97" w:rsidRDefault="00D95F97" w:rsidP="00324B33">
            <w:pPr>
              <w:rPr>
                <w:szCs w:val="22"/>
              </w:rPr>
            </w:pPr>
            <w:r>
              <w:rPr>
                <w:szCs w:val="22"/>
              </w:rPr>
              <w:t>IM</w:t>
            </w:r>
          </w:p>
        </w:tc>
        <w:tc>
          <w:tcPr>
            <w:tcW w:w="3800" w:type="pct"/>
          </w:tcPr>
          <w:p w14:paraId="1ED425A1" w14:textId="1422156C" w:rsidR="00D95F97" w:rsidRPr="00255975" w:rsidRDefault="00D95F9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D95F97">
              <w:rPr>
                <w:szCs w:val="22"/>
              </w:rPr>
              <w:t>ntramuscular</w:t>
            </w:r>
          </w:p>
        </w:tc>
      </w:tr>
      <w:tr w:rsidR="0026490A" w:rsidRPr="00D01DDB" w14:paraId="7130698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3CD257" w14:textId="554ECF76" w:rsidR="0026490A" w:rsidRDefault="0026490A" w:rsidP="00324B33">
            <w:pPr>
              <w:rPr>
                <w:szCs w:val="22"/>
              </w:rPr>
            </w:pPr>
            <w:r>
              <w:rPr>
                <w:szCs w:val="22"/>
              </w:rPr>
              <w:t>LLOQ</w:t>
            </w:r>
          </w:p>
        </w:tc>
        <w:tc>
          <w:tcPr>
            <w:tcW w:w="3800" w:type="pct"/>
          </w:tcPr>
          <w:p w14:paraId="025E27FB" w14:textId="79A97ED6" w:rsidR="0026490A" w:rsidRDefault="0026490A" w:rsidP="00324B33">
            <w:pPr>
              <w:cnfStyle w:val="000000000000" w:firstRow="0" w:lastRow="0" w:firstColumn="0" w:lastColumn="0" w:oddVBand="0" w:evenVBand="0" w:oddHBand="0" w:evenHBand="0" w:firstRowFirstColumn="0" w:firstRowLastColumn="0" w:lastRowFirstColumn="0" w:lastRowLastColumn="0"/>
              <w:rPr>
                <w:szCs w:val="22"/>
              </w:rPr>
            </w:pPr>
            <w:r w:rsidRPr="005B051B">
              <w:rPr>
                <w:szCs w:val="22"/>
              </w:rPr>
              <w:t>Lower limit of quantification</w:t>
            </w:r>
          </w:p>
        </w:tc>
      </w:tr>
      <w:tr w:rsidR="000564F9" w:rsidRPr="00D01DDB" w14:paraId="3B70761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02F8C7" w14:textId="0BC490F7" w:rsidR="000564F9" w:rsidRDefault="0005624B" w:rsidP="00324B33">
            <w:pPr>
              <w:rPr>
                <w:szCs w:val="22"/>
              </w:rPr>
            </w:pPr>
            <w:r>
              <w:rPr>
                <w:szCs w:val="22"/>
              </w:rPr>
              <w:t>LNP</w:t>
            </w:r>
          </w:p>
        </w:tc>
        <w:tc>
          <w:tcPr>
            <w:tcW w:w="3800" w:type="pct"/>
          </w:tcPr>
          <w:p w14:paraId="5C0EB632" w14:textId="24253AF6" w:rsidR="000564F9" w:rsidRDefault="00A13113" w:rsidP="00BF15A9">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w:t>
            </w:r>
            <w:r w:rsidR="0005624B">
              <w:rPr>
                <w:szCs w:val="22"/>
              </w:rPr>
              <w:t>L</w:t>
            </w:r>
            <w:r w:rsidR="000564F9" w:rsidRPr="000564F9">
              <w:rPr>
                <w:szCs w:val="22"/>
              </w:rPr>
              <w:t xml:space="preserve">ipid nanoparticle </w:t>
            </w:r>
          </w:p>
        </w:tc>
      </w:tr>
      <w:tr w:rsidR="00872D03" w:rsidRPr="00D01DDB" w14:paraId="6841DE9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D1CD9B" w14:textId="63FA89E2" w:rsidR="00872D03" w:rsidRDefault="00872D03" w:rsidP="00324B33">
            <w:pPr>
              <w:rPr>
                <w:szCs w:val="22"/>
              </w:rPr>
            </w:pPr>
            <w:r>
              <w:rPr>
                <w:szCs w:val="22"/>
              </w:rPr>
              <w:t>MAAE</w:t>
            </w:r>
          </w:p>
        </w:tc>
        <w:tc>
          <w:tcPr>
            <w:tcW w:w="3800" w:type="pct"/>
          </w:tcPr>
          <w:p w14:paraId="4CC9795E" w14:textId="7F00663A" w:rsidR="00872D03" w:rsidRDefault="00872D03" w:rsidP="00BF15A9">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Medically attended adverse event </w:t>
            </w:r>
          </w:p>
        </w:tc>
      </w:tr>
      <w:tr w:rsidR="004A331E" w:rsidRPr="00D01DDB" w14:paraId="46B478A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FE1232" w14:textId="23F0AF36" w:rsidR="004A331E" w:rsidRPr="0084637F" w:rsidRDefault="0084637F" w:rsidP="00324B33">
            <w:pPr>
              <w:rPr>
                <w:szCs w:val="22"/>
              </w:rPr>
            </w:pPr>
            <w:r w:rsidRPr="0084637F">
              <w:rPr>
                <w:szCs w:val="22"/>
              </w:rPr>
              <w:t>mRNA</w:t>
            </w:r>
          </w:p>
        </w:tc>
        <w:tc>
          <w:tcPr>
            <w:tcW w:w="3800" w:type="pct"/>
          </w:tcPr>
          <w:p w14:paraId="560CDE2E" w14:textId="7A37E51E" w:rsidR="004A331E" w:rsidRPr="00A13113" w:rsidRDefault="00BF15A9" w:rsidP="00324B33">
            <w:pPr>
              <w:cnfStyle w:val="000000000000" w:firstRow="0" w:lastRow="0" w:firstColumn="0" w:lastColumn="0" w:oddVBand="0" w:evenVBand="0" w:oddHBand="0" w:evenHBand="0" w:firstRowFirstColumn="0" w:firstRowLastColumn="0" w:lastRowFirstColumn="0" w:lastRowLastColumn="0"/>
              <w:rPr>
                <w:szCs w:val="22"/>
              </w:rPr>
            </w:pPr>
            <w:r w:rsidRPr="00A13113">
              <w:rPr>
                <w:szCs w:val="22"/>
              </w:rPr>
              <w:t>Messenger ribonucleic acid</w:t>
            </w:r>
          </w:p>
        </w:tc>
      </w:tr>
      <w:tr w:rsidR="00914BD2" w:rsidRPr="00D01DDB" w14:paraId="0DCC40E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104CAE" w14:textId="36BCB65F" w:rsidR="00914BD2" w:rsidRPr="0084637F" w:rsidRDefault="00796A9F" w:rsidP="00324B33">
            <w:pPr>
              <w:rPr>
                <w:szCs w:val="22"/>
              </w:rPr>
            </w:pPr>
            <w:proofErr w:type="spellStart"/>
            <w:r>
              <w:rPr>
                <w:szCs w:val="22"/>
              </w:rPr>
              <w:t>NAb</w:t>
            </w:r>
            <w:proofErr w:type="spellEnd"/>
          </w:p>
        </w:tc>
        <w:tc>
          <w:tcPr>
            <w:tcW w:w="3800" w:type="pct"/>
          </w:tcPr>
          <w:p w14:paraId="765AA080" w14:textId="7B5F9356" w:rsidR="00914BD2" w:rsidRPr="00796A9F" w:rsidRDefault="00796A9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796A9F">
              <w:rPr>
                <w:szCs w:val="22"/>
              </w:rPr>
              <w:t>eutralizing antibody</w:t>
            </w:r>
          </w:p>
        </w:tc>
      </w:tr>
      <w:tr w:rsidR="00872D03" w:rsidRPr="00D01DDB" w14:paraId="166D1FD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E85441" w14:textId="74E09987" w:rsidR="00872D03" w:rsidRDefault="00872D03" w:rsidP="00324B33">
            <w:pPr>
              <w:rPr>
                <w:szCs w:val="22"/>
              </w:rPr>
            </w:pPr>
            <w:r>
              <w:rPr>
                <w:szCs w:val="22"/>
              </w:rPr>
              <w:t>NP</w:t>
            </w:r>
          </w:p>
        </w:tc>
        <w:tc>
          <w:tcPr>
            <w:tcW w:w="3800" w:type="pct"/>
          </w:tcPr>
          <w:p w14:paraId="40F51D2D" w14:textId="17D92C5A" w:rsidR="00872D03" w:rsidRDefault="00872D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Nasopharyngeal</w:t>
            </w:r>
          </w:p>
        </w:tc>
      </w:tr>
      <w:tr w:rsidR="007601F7" w:rsidRPr="00D01DDB" w14:paraId="5EF1C3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DC672F" w14:textId="246138D4" w:rsidR="007601F7" w:rsidRPr="0084637F" w:rsidRDefault="007601F7" w:rsidP="00324B33">
            <w:pPr>
              <w:rPr>
                <w:szCs w:val="22"/>
              </w:rPr>
            </w:pPr>
            <w:r w:rsidRPr="007601F7">
              <w:rPr>
                <w:szCs w:val="22"/>
              </w:rPr>
              <w:t>NTD</w:t>
            </w:r>
          </w:p>
        </w:tc>
        <w:tc>
          <w:tcPr>
            <w:tcW w:w="3800" w:type="pct"/>
          </w:tcPr>
          <w:p w14:paraId="246F5A8E" w14:textId="517D8598" w:rsidR="007601F7" w:rsidRPr="00D01DDB" w:rsidRDefault="007601F7" w:rsidP="00324B33">
            <w:pPr>
              <w:cnfStyle w:val="000000000000" w:firstRow="0" w:lastRow="0" w:firstColumn="0" w:lastColumn="0" w:oddVBand="0" w:evenVBand="0" w:oddHBand="0" w:evenHBand="0" w:firstRowFirstColumn="0" w:firstRowLastColumn="0" w:lastRowFirstColumn="0" w:lastRowLastColumn="0"/>
              <w:rPr>
                <w:szCs w:val="22"/>
              </w:rPr>
            </w:pPr>
            <w:r w:rsidRPr="007601F7">
              <w:rPr>
                <w:szCs w:val="22"/>
              </w:rPr>
              <w:t>N-terminal domain</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524858" w:rsidRPr="00D01DDB" w14:paraId="4E66945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7C14FC" w14:textId="5055B8D4" w:rsidR="00524858" w:rsidRPr="00D01DDB" w:rsidRDefault="00524858" w:rsidP="00A704DC">
            <w:pPr>
              <w:rPr>
                <w:szCs w:val="22"/>
              </w:rPr>
            </w:pPr>
            <w:r w:rsidRPr="00524858">
              <w:rPr>
                <w:szCs w:val="22"/>
              </w:rPr>
              <w:t>RBD</w:t>
            </w:r>
          </w:p>
        </w:tc>
        <w:tc>
          <w:tcPr>
            <w:tcW w:w="3800" w:type="pct"/>
          </w:tcPr>
          <w:p w14:paraId="5C3DEAD3" w14:textId="52039B4B" w:rsidR="00524858" w:rsidRPr="00D01DDB" w:rsidRDefault="00524858"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524858">
              <w:rPr>
                <w:szCs w:val="22"/>
              </w:rPr>
              <w:t>eceptor-binding domain</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F07334" w:rsidRPr="00D01DDB" w14:paraId="3D13996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FC97C3" w14:textId="45AF49CC" w:rsidR="00F07334" w:rsidRPr="00D01DDB" w:rsidRDefault="00F07334" w:rsidP="00A704DC">
            <w:pPr>
              <w:rPr>
                <w:szCs w:val="22"/>
              </w:rPr>
            </w:pPr>
            <w:r w:rsidRPr="00F07334">
              <w:rPr>
                <w:szCs w:val="22"/>
              </w:rPr>
              <w:lastRenderedPageBreak/>
              <w:t>RT-PCR</w:t>
            </w:r>
          </w:p>
        </w:tc>
        <w:tc>
          <w:tcPr>
            <w:tcW w:w="3800" w:type="pct"/>
          </w:tcPr>
          <w:p w14:paraId="785702CE" w14:textId="212E21B3" w:rsidR="00F07334" w:rsidRPr="00D01DDB" w:rsidRDefault="00F07334" w:rsidP="00A704DC">
            <w:pPr>
              <w:cnfStyle w:val="000000000000" w:firstRow="0" w:lastRow="0" w:firstColumn="0" w:lastColumn="0" w:oddVBand="0" w:evenVBand="0" w:oddHBand="0" w:evenHBand="0" w:firstRowFirstColumn="0" w:firstRowLastColumn="0" w:lastRowFirstColumn="0" w:lastRowLastColumn="0"/>
              <w:rPr>
                <w:szCs w:val="22"/>
              </w:rPr>
            </w:pPr>
            <w:r w:rsidRPr="00F07334">
              <w:rPr>
                <w:szCs w:val="22"/>
              </w:rPr>
              <w:t>Reverse transcription polymerase chain reaction</w:t>
            </w:r>
          </w:p>
        </w:tc>
      </w:tr>
      <w:tr w:rsidR="00DB5F15" w:rsidRPr="00D01DDB" w14:paraId="1764726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E31B7F" w14:textId="0386C426" w:rsidR="00DB5F15" w:rsidRPr="00D01DDB" w:rsidRDefault="00DB5F15" w:rsidP="00A704DC">
            <w:pPr>
              <w:rPr>
                <w:szCs w:val="22"/>
              </w:rPr>
            </w:pPr>
            <w:proofErr w:type="spellStart"/>
            <w:r w:rsidRPr="00DB5F15">
              <w:rPr>
                <w:szCs w:val="22"/>
              </w:rPr>
              <w:t>rVE</w:t>
            </w:r>
            <w:proofErr w:type="spellEnd"/>
          </w:p>
        </w:tc>
        <w:tc>
          <w:tcPr>
            <w:tcW w:w="3800" w:type="pct"/>
          </w:tcPr>
          <w:p w14:paraId="20A28F69" w14:textId="7484986B" w:rsidR="00DB5F15" w:rsidRPr="00D01DDB" w:rsidRDefault="000D020D"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Relative vaccine efficacy</w:t>
            </w:r>
          </w:p>
        </w:tc>
      </w:tr>
      <w:tr w:rsidR="009101A3" w:rsidRPr="00D01DDB" w14:paraId="1A0E963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AD28FC" w14:textId="79C46563" w:rsidR="009101A3" w:rsidRPr="00DB5F15" w:rsidRDefault="009101A3" w:rsidP="00A704DC">
            <w:pPr>
              <w:rPr>
                <w:szCs w:val="22"/>
              </w:rPr>
            </w:pPr>
            <w:r>
              <w:rPr>
                <w:szCs w:val="22"/>
              </w:rPr>
              <w:t>SAE</w:t>
            </w:r>
          </w:p>
        </w:tc>
        <w:tc>
          <w:tcPr>
            <w:tcW w:w="3800" w:type="pct"/>
          </w:tcPr>
          <w:p w14:paraId="040A4BE7" w14:textId="43234DF8" w:rsidR="009101A3" w:rsidRPr="00D01DDB" w:rsidRDefault="009101A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9101A3" w:rsidRPr="00D01DDB" w14:paraId="61104C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A83A43" w14:textId="21806A01" w:rsidR="009101A3" w:rsidRPr="0084637F" w:rsidRDefault="0084637F" w:rsidP="00A704DC">
            <w:pPr>
              <w:rPr>
                <w:szCs w:val="22"/>
              </w:rPr>
            </w:pPr>
            <w:r w:rsidRPr="0084637F">
              <w:rPr>
                <w:szCs w:val="22"/>
              </w:rPr>
              <w:t>SARS-CoV-2</w:t>
            </w:r>
          </w:p>
        </w:tc>
        <w:tc>
          <w:tcPr>
            <w:tcW w:w="3800" w:type="pct"/>
          </w:tcPr>
          <w:p w14:paraId="36CFE851" w14:textId="03FA42D7" w:rsidR="009101A3" w:rsidRPr="00D01DDB" w:rsidRDefault="004D4C0E" w:rsidP="004D4C0E">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4D4C0E">
              <w:rPr>
                <w:szCs w:val="22"/>
              </w:rPr>
              <w:t>evere acute respiratory</w:t>
            </w:r>
            <w:r>
              <w:rPr>
                <w:szCs w:val="22"/>
              </w:rPr>
              <w:t xml:space="preserve"> </w:t>
            </w:r>
            <w:r w:rsidRPr="00784A1B">
              <w:rPr>
                <w:szCs w:val="22"/>
              </w:rPr>
              <w:t>syndrome coronavirus 2</w:t>
            </w:r>
          </w:p>
        </w:tc>
      </w:tr>
      <w:tr w:rsidR="00872D03" w:rsidRPr="00D01DDB" w14:paraId="37E577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4D9EB2" w14:textId="79B7838C" w:rsidR="00872D03" w:rsidRPr="0084637F" w:rsidRDefault="00872D03" w:rsidP="00A704DC">
            <w:pPr>
              <w:rPr>
                <w:szCs w:val="22"/>
              </w:rPr>
            </w:pPr>
            <w:r>
              <w:rPr>
                <w:szCs w:val="22"/>
              </w:rPr>
              <w:t>SRR</w:t>
            </w:r>
          </w:p>
        </w:tc>
        <w:tc>
          <w:tcPr>
            <w:tcW w:w="3800" w:type="pct"/>
          </w:tcPr>
          <w:p w14:paraId="40CDF2B9" w14:textId="0878622A" w:rsidR="00872D03" w:rsidRDefault="00872D03" w:rsidP="00872D03">
            <w:pPr>
              <w:cnfStyle w:val="000000000000" w:firstRow="0" w:lastRow="0" w:firstColumn="0" w:lastColumn="0" w:oddVBand="0" w:evenVBand="0" w:oddHBand="0" w:evenHBand="0" w:firstRowFirstColumn="0" w:firstRowLastColumn="0" w:lastRowFirstColumn="0" w:lastRowLastColumn="0"/>
              <w:rPr>
                <w:szCs w:val="22"/>
              </w:rPr>
            </w:pPr>
            <w:proofErr w:type="spellStart"/>
            <w:r w:rsidRPr="00872D03">
              <w:rPr>
                <w:szCs w:val="22"/>
              </w:rPr>
              <w:t>Seroresponse</w:t>
            </w:r>
            <w:proofErr w:type="spellEnd"/>
            <w:r w:rsidRPr="00872D03">
              <w:rPr>
                <w:szCs w:val="22"/>
              </w:rPr>
              <w:t xml:space="preserve"> rate.</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3719B9" w:rsidRPr="00D01DDB" w14:paraId="1D786E8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0D1A28" w14:textId="02D2AB1B" w:rsidR="003719B9" w:rsidRPr="00D01DDB" w:rsidRDefault="003719B9" w:rsidP="00A704DC">
            <w:pPr>
              <w:rPr>
                <w:szCs w:val="22"/>
              </w:rPr>
            </w:pPr>
            <w:r>
              <w:rPr>
                <w:szCs w:val="22"/>
              </w:rPr>
              <w:t>URTI</w:t>
            </w:r>
          </w:p>
        </w:tc>
        <w:tc>
          <w:tcPr>
            <w:tcW w:w="3800" w:type="pct"/>
          </w:tcPr>
          <w:p w14:paraId="79B12F81" w14:textId="027C8FE5" w:rsidR="003719B9" w:rsidRPr="00D01DDB" w:rsidRDefault="003719B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w:t>
            </w:r>
            <w:r w:rsidRPr="003719B9">
              <w:rPr>
                <w:szCs w:val="22"/>
              </w:rPr>
              <w:t>pper respiratory tract infections</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1F5B3871" w:rsidR="00A704DC" w:rsidRPr="00D01DDB" w:rsidRDefault="00DB5F15" w:rsidP="00A704DC">
            <w:pPr>
              <w:rPr>
                <w:szCs w:val="22"/>
              </w:rPr>
            </w:pPr>
            <w:r>
              <w:rPr>
                <w:szCs w:val="22"/>
              </w:rPr>
              <w:t>VE</w:t>
            </w:r>
          </w:p>
        </w:tc>
        <w:tc>
          <w:tcPr>
            <w:tcW w:w="3800" w:type="pct"/>
          </w:tcPr>
          <w:p w14:paraId="4458E485" w14:textId="2030941B" w:rsidR="00A704DC" w:rsidRPr="00D01DDB" w:rsidRDefault="007F631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Vaccine efficacy</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30003573"/>
      <w:r>
        <w:lastRenderedPageBreak/>
        <w:t>Product submission</w:t>
      </w:r>
      <w:bookmarkEnd w:id="5"/>
      <w:bookmarkEnd w:id="6"/>
      <w:r w:rsidR="00B03ADC">
        <w:fldChar w:fldCharType="begin"/>
      </w:r>
      <w:r w:rsidR="00B03ADC">
        <w:instrText xml:space="preserve"> DOCVARIABLE vault_nd_b1106625-57f4-4a91-b5b6-a655d49a8ceb \* MERGEFORMAT </w:instrText>
      </w:r>
      <w:r w:rsidR="00B03ADC">
        <w:fldChar w:fldCharType="separate"/>
      </w:r>
      <w:r w:rsidR="00B03ADC">
        <w:t xml:space="preserve"> </w:t>
      </w:r>
      <w:r w:rsidR="00B03ADC">
        <w:fldChar w:fldCharType="end"/>
      </w:r>
    </w:p>
    <w:p w14:paraId="21D559DF" w14:textId="0FBE40C7" w:rsidR="00324B33" w:rsidRDefault="00324B33" w:rsidP="00324B33">
      <w:pPr>
        <w:pStyle w:val="Heading3"/>
        <w:rPr>
          <w:lang w:eastAsia="en-AU"/>
        </w:rPr>
      </w:pPr>
      <w:bookmarkStart w:id="7" w:name="_Toc247691502"/>
      <w:bookmarkStart w:id="8" w:name="_Toc314842483"/>
      <w:bookmarkStart w:id="9" w:name="_Toc103679289"/>
      <w:bookmarkStart w:id="10" w:name="_Toc230003574"/>
      <w:r>
        <w:rPr>
          <w:lang w:eastAsia="en-AU"/>
        </w:rPr>
        <w:t>Submission details</w:t>
      </w:r>
      <w:bookmarkEnd w:id="7"/>
      <w:bookmarkEnd w:id="8"/>
      <w:bookmarkEnd w:id="9"/>
      <w:bookmarkEnd w:id="10"/>
      <w:r w:rsidR="00B03ADC">
        <w:rPr>
          <w:lang w:eastAsia="en-AU"/>
        </w:rPr>
        <w:fldChar w:fldCharType="begin"/>
      </w:r>
      <w:r w:rsidR="00B03ADC">
        <w:rPr>
          <w:lang w:eastAsia="en-AU"/>
        </w:rPr>
        <w:instrText xml:space="preserve"> DOCVARIABLE vault_nd_57c70d50-9007-4ab2-aaf5-7871b68028ef \* MERGEFORMAT </w:instrText>
      </w:r>
      <w:r w:rsidR="00B03ADC">
        <w:rPr>
          <w:lang w:eastAsia="en-AU"/>
        </w:rPr>
        <w:fldChar w:fldCharType="separate"/>
      </w:r>
      <w:r w:rsidR="00B03ADC">
        <w:rPr>
          <w:lang w:eastAsia="en-AU"/>
        </w:rPr>
        <w:t xml:space="preserve"> </w:t>
      </w:r>
      <w:r w:rsidR="00B03ADC">
        <w:rPr>
          <w:lang w:eastAsia="en-AU"/>
        </w:rPr>
        <w:fldChar w:fldCharType="end"/>
      </w:r>
    </w:p>
    <w:tbl>
      <w:tblPr>
        <w:tblW w:w="5000" w:type="pct"/>
        <w:tblLook w:val="01E0" w:firstRow="1" w:lastRow="1" w:firstColumn="1" w:lastColumn="1" w:noHBand="0" w:noVBand="0"/>
      </w:tblPr>
      <w:tblGrid>
        <w:gridCol w:w="3828"/>
        <w:gridCol w:w="5242"/>
      </w:tblGrid>
      <w:tr w:rsidR="00324B33" w:rsidRPr="00BD5DBD" w14:paraId="77D11C95" w14:textId="77777777" w:rsidTr="004251BA">
        <w:tc>
          <w:tcPr>
            <w:tcW w:w="2110" w:type="pct"/>
          </w:tcPr>
          <w:p w14:paraId="10E57D62" w14:textId="34BBEC54" w:rsidR="00324B33" w:rsidRPr="00BD5DBD" w:rsidRDefault="00324B33" w:rsidP="007452E8">
            <w:pPr>
              <w:rPr>
                <w:i/>
                <w:szCs w:val="22"/>
              </w:rPr>
            </w:pPr>
            <w:r w:rsidRPr="00BD5DBD">
              <w:rPr>
                <w:i/>
                <w:szCs w:val="22"/>
              </w:rPr>
              <w:t>Type of submission:</w:t>
            </w:r>
          </w:p>
        </w:tc>
        <w:tc>
          <w:tcPr>
            <w:tcW w:w="2890" w:type="pct"/>
          </w:tcPr>
          <w:p w14:paraId="4F07C303" w14:textId="4A75DFAE" w:rsidR="00324B33" w:rsidRPr="00BD5DBD" w:rsidRDefault="00324B33" w:rsidP="007452E8">
            <w:pPr>
              <w:rPr>
                <w:szCs w:val="22"/>
              </w:rPr>
            </w:pPr>
            <w:r w:rsidRPr="00BD5DBD">
              <w:rPr>
                <w:szCs w:val="22"/>
              </w:rPr>
              <w:t xml:space="preserve">New </w:t>
            </w:r>
            <w:r w:rsidR="00DD2CF4">
              <w:rPr>
                <w:szCs w:val="22"/>
              </w:rPr>
              <w:t xml:space="preserve">biological </w:t>
            </w:r>
            <w:r w:rsidRPr="00BD5DBD">
              <w:rPr>
                <w:szCs w:val="22"/>
              </w:rPr>
              <w:t>entity</w:t>
            </w:r>
          </w:p>
        </w:tc>
      </w:tr>
      <w:tr w:rsidR="00324B33" w:rsidRPr="00BD5DBD" w14:paraId="13482B61" w14:textId="77777777" w:rsidTr="004251BA">
        <w:tc>
          <w:tcPr>
            <w:tcW w:w="2110" w:type="pct"/>
          </w:tcPr>
          <w:p w14:paraId="2C427FCF" w14:textId="1071B9AA" w:rsidR="00324B33" w:rsidRPr="00BD5DBD" w:rsidRDefault="00324B33" w:rsidP="007452E8">
            <w:pPr>
              <w:rPr>
                <w:i/>
                <w:szCs w:val="22"/>
              </w:rPr>
            </w:pPr>
            <w:r w:rsidRPr="00BD5DBD">
              <w:rPr>
                <w:i/>
                <w:szCs w:val="22"/>
              </w:rPr>
              <w:t>Product name:</w:t>
            </w:r>
          </w:p>
        </w:tc>
        <w:tc>
          <w:tcPr>
            <w:tcW w:w="2890" w:type="pct"/>
          </w:tcPr>
          <w:p w14:paraId="0E2DEF76" w14:textId="40636A54" w:rsidR="00324B33" w:rsidRPr="00BD5DBD" w:rsidRDefault="00473771" w:rsidP="007452E8">
            <w:pPr>
              <w:rPr>
                <w:szCs w:val="22"/>
              </w:rPr>
            </w:pPr>
            <w:r w:rsidRPr="00473771">
              <w:rPr>
                <w:szCs w:val="22"/>
              </w:rPr>
              <w:t>mNEXSPIKE XBB.1.5</w:t>
            </w:r>
          </w:p>
        </w:tc>
      </w:tr>
      <w:tr w:rsidR="00324B33" w:rsidRPr="00BD5DBD" w14:paraId="01255B5B" w14:textId="77777777" w:rsidTr="004251BA">
        <w:tc>
          <w:tcPr>
            <w:tcW w:w="2110" w:type="pct"/>
          </w:tcPr>
          <w:p w14:paraId="52B4F3D7" w14:textId="6D8BC35B" w:rsidR="00324B33" w:rsidRPr="00BD5DBD" w:rsidRDefault="00324B33" w:rsidP="007452E8">
            <w:pPr>
              <w:rPr>
                <w:i/>
                <w:szCs w:val="22"/>
              </w:rPr>
            </w:pPr>
            <w:r w:rsidRPr="00BD5DBD">
              <w:rPr>
                <w:i/>
                <w:szCs w:val="22"/>
              </w:rPr>
              <w:t>Active ingredient:</w:t>
            </w:r>
          </w:p>
        </w:tc>
        <w:tc>
          <w:tcPr>
            <w:tcW w:w="2890" w:type="pct"/>
          </w:tcPr>
          <w:p w14:paraId="02FB6383" w14:textId="66B257F6" w:rsidR="00324B33" w:rsidRPr="00BD5DBD" w:rsidRDefault="00A2393F" w:rsidP="007452E8">
            <w:pPr>
              <w:rPr>
                <w:szCs w:val="22"/>
              </w:rPr>
            </w:pPr>
            <w:r w:rsidRPr="00A2393F">
              <w:rPr>
                <w:szCs w:val="22"/>
              </w:rPr>
              <w:t>SARS-CoV-2 spike protein (mRNA) XBB.1.5</w:t>
            </w:r>
          </w:p>
        </w:tc>
      </w:tr>
      <w:tr w:rsidR="00324B33" w:rsidRPr="00BD5DBD" w14:paraId="219A281B" w14:textId="77777777" w:rsidTr="004251BA">
        <w:tc>
          <w:tcPr>
            <w:tcW w:w="2110" w:type="pct"/>
          </w:tcPr>
          <w:p w14:paraId="112E5F78" w14:textId="77777777" w:rsidR="00324B33" w:rsidRPr="00BD5DBD" w:rsidRDefault="00324B33" w:rsidP="007452E8">
            <w:pPr>
              <w:rPr>
                <w:i/>
                <w:szCs w:val="22"/>
              </w:rPr>
            </w:pPr>
            <w:r w:rsidRPr="00BD5DBD">
              <w:rPr>
                <w:i/>
                <w:szCs w:val="22"/>
              </w:rPr>
              <w:t>Decision:</w:t>
            </w:r>
          </w:p>
        </w:tc>
        <w:tc>
          <w:tcPr>
            <w:tcW w:w="2890" w:type="pct"/>
          </w:tcPr>
          <w:p w14:paraId="3B114BEA" w14:textId="25D25F5D" w:rsidR="00324B33" w:rsidRPr="00BD5DBD" w:rsidRDefault="00324B33" w:rsidP="007452E8">
            <w:pPr>
              <w:rPr>
                <w:szCs w:val="22"/>
              </w:rPr>
            </w:pPr>
            <w:r w:rsidRPr="00BD5DBD">
              <w:rPr>
                <w:szCs w:val="22"/>
              </w:rPr>
              <w:t xml:space="preserve">Approved </w:t>
            </w:r>
          </w:p>
        </w:tc>
      </w:tr>
      <w:tr w:rsidR="00AE1947" w:rsidRPr="00BD5DBD" w14:paraId="32B72632" w14:textId="77777777" w:rsidTr="004251BA">
        <w:tc>
          <w:tcPr>
            <w:tcW w:w="2110" w:type="pct"/>
          </w:tcPr>
          <w:p w14:paraId="332A5CD5" w14:textId="65682B5F" w:rsidR="00AE1947" w:rsidRPr="00BD5DBD" w:rsidRDefault="00AE1947" w:rsidP="007F1E37">
            <w:r w:rsidRPr="00BD5DBD">
              <w:rPr>
                <w:i/>
                <w:szCs w:val="22"/>
              </w:rPr>
              <w:t>Date of decision:</w:t>
            </w:r>
          </w:p>
        </w:tc>
        <w:tc>
          <w:tcPr>
            <w:tcW w:w="2890" w:type="pct"/>
          </w:tcPr>
          <w:p w14:paraId="7B381CD6" w14:textId="6F0F20F6" w:rsidR="00AE1947" w:rsidRPr="00BD5DBD" w:rsidRDefault="0082334D" w:rsidP="00602658">
            <w:pPr>
              <w:rPr>
                <w:szCs w:val="22"/>
              </w:rPr>
            </w:pPr>
            <w:r>
              <w:rPr>
                <w:szCs w:val="22"/>
              </w:rPr>
              <w:t>12 December 2025</w:t>
            </w:r>
          </w:p>
        </w:tc>
      </w:tr>
      <w:tr w:rsidR="00324B33" w:rsidRPr="00BD5DBD" w14:paraId="60A25F5A" w14:textId="77777777" w:rsidTr="004251BA">
        <w:tc>
          <w:tcPr>
            <w:tcW w:w="2110" w:type="pct"/>
          </w:tcPr>
          <w:p w14:paraId="5C5E4CBA" w14:textId="77777777" w:rsidR="00324B33" w:rsidRPr="00BD5DBD" w:rsidRDefault="00324B33" w:rsidP="007452E8">
            <w:pPr>
              <w:rPr>
                <w:i/>
                <w:szCs w:val="22"/>
              </w:rPr>
            </w:pPr>
            <w:r w:rsidRPr="00BD5DBD">
              <w:rPr>
                <w:i/>
                <w:szCs w:val="22"/>
              </w:rPr>
              <w:t>Date of entry onto ARTG:</w:t>
            </w:r>
          </w:p>
        </w:tc>
        <w:tc>
          <w:tcPr>
            <w:tcW w:w="2890" w:type="pct"/>
          </w:tcPr>
          <w:p w14:paraId="28B270E9" w14:textId="74A6EECB" w:rsidR="00324B33" w:rsidRPr="00BD5DBD" w:rsidRDefault="0082334D" w:rsidP="007452E8">
            <w:pPr>
              <w:rPr>
                <w:szCs w:val="22"/>
              </w:rPr>
            </w:pPr>
            <w:r>
              <w:rPr>
                <w:szCs w:val="22"/>
              </w:rPr>
              <w:t xml:space="preserve">18 </w:t>
            </w:r>
            <w:r w:rsidR="00E70445">
              <w:rPr>
                <w:szCs w:val="22"/>
              </w:rPr>
              <w:t>December</w:t>
            </w:r>
            <w:r>
              <w:rPr>
                <w:szCs w:val="22"/>
              </w:rPr>
              <w:t xml:space="preserve"> 202</w:t>
            </w:r>
            <w:r w:rsidR="00575D90">
              <w:rPr>
                <w:szCs w:val="22"/>
              </w:rPr>
              <w:t>5</w:t>
            </w:r>
          </w:p>
        </w:tc>
      </w:tr>
      <w:tr w:rsidR="00324B33" w:rsidRPr="00BD5DBD" w14:paraId="547E08D7" w14:textId="77777777" w:rsidTr="004251BA">
        <w:tc>
          <w:tcPr>
            <w:tcW w:w="2110" w:type="pct"/>
          </w:tcPr>
          <w:p w14:paraId="5030EF30" w14:textId="51D0A294" w:rsidR="00324B33" w:rsidRPr="00BD5DBD" w:rsidRDefault="00324B33" w:rsidP="007452E8">
            <w:pPr>
              <w:rPr>
                <w:i/>
                <w:szCs w:val="22"/>
              </w:rPr>
            </w:pPr>
            <w:r w:rsidRPr="00BD5DBD">
              <w:rPr>
                <w:i/>
                <w:szCs w:val="22"/>
              </w:rPr>
              <w:t>ARTG number:</w:t>
            </w:r>
          </w:p>
        </w:tc>
        <w:tc>
          <w:tcPr>
            <w:tcW w:w="2890" w:type="pct"/>
          </w:tcPr>
          <w:p w14:paraId="0054E912" w14:textId="0AC44DE3" w:rsidR="00324B33" w:rsidRPr="00BD5DBD" w:rsidRDefault="009834CF" w:rsidP="006808B0">
            <w:pPr>
              <w:rPr>
                <w:szCs w:val="22"/>
              </w:rPr>
            </w:pPr>
            <w:r w:rsidRPr="009834CF">
              <w:rPr>
                <w:szCs w:val="22"/>
              </w:rPr>
              <w:t>471090</w:t>
            </w:r>
          </w:p>
        </w:tc>
      </w:tr>
      <w:tr w:rsidR="00324B33" w:rsidRPr="00BD5DBD" w14:paraId="7618393F" w14:textId="77777777" w:rsidTr="004251BA">
        <w:tc>
          <w:tcPr>
            <w:tcW w:w="2110"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2890" w:type="pct"/>
          </w:tcPr>
          <w:p w14:paraId="6FF3C6A2" w14:textId="291ED59B" w:rsidR="00324B33" w:rsidRPr="006808B0" w:rsidRDefault="00D66C81" w:rsidP="007452E8">
            <w:pPr>
              <w:rPr>
                <w:szCs w:val="22"/>
                <w:highlight w:val="yellow"/>
              </w:rPr>
            </w:pPr>
            <w:r w:rsidRPr="00D66C81">
              <w:rPr>
                <w:szCs w:val="22"/>
              </w:rPr>
              <w:t>Yes</w:t>
            </w:r>
          </w:p>
        </w:tc>
      </w:tr>
      <w:tr w:rsidR="00324B33" w:rsidRPr="00BD5DBD" w14:paraId="179E09FE" w14:textId="77777777" w:rsidTr="004251BA">
        <w:tc>
          <w:tcPr>
            <w:tcW w:w="2110" w:type="pct"/>
          </w:tcPr>
          <w:p w14:paraId="1A592498" w14:textId="77777777" w:rsidR="00324B33" w:rsidRPr="00BD5DBD" w:rsidRDefault="00324B33" w:rsidP="007452E8">
            <w:pPr>
              <w:rPr>
                <w:i/>
                <w:szCs w:val="22"/>
              </w:rPr>
            </w:pPr>
            <w:r w:rsidRPr="00BD5DBD">
              <w:rPr>
                <w:i/>
                <w:szCs w:val="22"/>
              </w:rPr>
              <w:t>Sponsor’s name and address:</w:t>
            </w:r>
          </w:p>
        </w:tc>
        <w:tc>
          <w:tcPr>
            <w:tcW w:w="2890" w:type="pct"/>
          </w:tcPr>
          <w:p w14:paraId="32CD8B04" w14:textId="77777777" w:rsidR="00324B33" w:rsidRDefault="0022268F" w:rsidP="007452E8">
            <w:pPr>
              <w:rPr>
                <w:szCs w:val="22"/>
              </w:rPr>
            </w:pPr>
            <w:r w:rsidRPr="0022268F">
              <w:rPr>
                <w:szCs w:val="22"/>
              </w:rPr>
              <w:t>Moderna Australia Pty Ltd</w:t>
            </w:r>
          </w:p>
          <w:p w14:paraId="122C1AAB" w14:textId="77777777" w:rsidR="003266BC" w:rsidRDefault="003266BC" w:rsidP="007452E8">
            <w:pPr>
              <w:rPr>
                <w:szCs w:val="22"/>
              </w:rPr>
            </w:pPr>
            <w:r w:rsidRPr="003266BC">
              <w:rPr>
                <w:szCs w:val="22"/>
              </w:rPr>
              <w:t xml:space="preserve">101 Collins St, </w:t>
            </w:r>
          </w:p>
          <w:p w14:paraId="6211D1CE" w14:textId="77777777" w:rsidR="003266BC" w:rsidRDefault="003266BC" w:rsidP="007452E8">
            <w:pPr>
              <w:rPr>
                <w:szCs w:val="22"/>
              </w:rPr>
            </w:pPr>
            <w:r w:rsidRPr="003266BC">
              <w:rPr>
                <w:szCs w:val="22"/>
              </w:rPr>
              <w:t xml:space="preserve">Melbourne, </w:t>
            </w:r>
          </w:p>
          <w:p w14:paraId="0B5354A6" w14:textId="77777777" w:rsidR="004866A4" w:rsidRDefault="003266BC" w:rsidP="007452E8">
            <w:pPr>
              <w:rPr>
                <w:szCs w:val="22"/>
              </w:rPr>
            </w:pPr>
            <w:r w:rsidRPr="003266BC">
              <w:rPr>
                <w:szCs w:val="22"/>
              </w:rPr>
              <w:t>V</w:t>
            </w:r>
            <w:r>
              <w:rPr>
                <w:szCs w:val="22"/>
              </w:rPr>
              <w:t>ictoria</w:t>
            </w:r>
            <w:r w:rsidRPr="003266BC">
              <w:rPr>
                <w:szCs w:val="22"/>
              </w:rPr>
              <w:t xml:space="preserve"> 3000 </w:t>
            </w:r>
          </w:p>
          <w:p w14:paraId="68DD94B0" w14:textId="002E4D2D" w:rsidR="003266BC" w:rsidRPr="00BD5DBD" w:rsidRDefault="003266BC" w:rsidP="007452E8">
            <w:pPr>
              <w:rPr>
                <w:szCs w:val="22"/>
              </w:rPr>
            </w:pPr>
            <w:r w:rsidRPr="003266BC">
              <w:rPr>
                <w:szCs w:val="22"/>
              </w:rPr>
              <w:t>Australia</w:t>
            </w:r>
          </w:p>
        </w:tc>
      </w:tr>
      <w:tr w:rsidR="00324B33" w:rsidRPr="00BD5DBD" w14:paraId="5322B989" w14:textId="77777777" w:rsidTr="004251BA">
        <w:tc>
          <w:tcPr>
            <w:tcW w:w="2110" w:type="pct"/>
          </w:tcPr>
          <w:p w14:paraId="05DE0580" w14:textId="77777777" w:rsidR="00F86448" w:rsidRDefault="00324B33" w:rsidP="00F86448">
            <w:pPr>
              <w:rPr>
                <w:i/>
                <w:szCs w:val="22"/>
              </w:rPr>
            </w:pPr>
            <w:r w:rsidRPr="00BD5DBD">
              <w:rPr>
                <w:i/>
                <w:szCs w:val="22"/>
              </w:rPr>
              <w:t>Dose form</w:t>
            </w:r>
            <w:r w:rsidR="001111EC">
              <w:rPr>
                <w:i/>
                <w:szCs w:val="22"/>
              </w:rPr>
              <w:t xml:space="preserve"> </w:t>
            </w:r>
          </w:p>
          <w:p w14:paraId="24F217E3" w14:textId="0FA346C1" w:rsidR="00324B33" w:rsidRPr="00BD5DBD" w:rsidRDefault="00F86448" w:rsidP="00F86448">
            <w:pPr>
              <w:rPr>
                <w:i/>
                <w:szCs w:val="22"/>
              </w:rPr>
            </w:pPr>
            <w:r>
              <w:rPr>
                <w:i/>
                <w:szCs w:val="22"/>
              </w:rPr>
              <w:t>S</w:t>
            </w:r>
            <w:r w:rsidR="001111EC">
              <w:rPr>
                <w:i/>
                <w:szCs w:val="22"/>
              </w:rPr>
              <w:t>trength</w:t>
            </w:r>
            <w:r w:rsidR="00324B33" w:rsidRPr="00BD5DBD">
              <w:rPr>
                <w:i/>
                <w:szCs w:val="22"/>
              </w:rPr>
              <w:t>:</w:t>
            </w:r>
          </w:p>
        </w:tc>
        <w:tc>
          <w:tcPr>
            <w:tcW w:w="2890" w:type="pct"/>
          </w:tcPr>
          <w:p w14:paraId="1C9A4C20" w14:textId="7BBC7CE0" w:rsidR="00324B33" w:rsidRDefault="003A15C0" w:rsidP="007452E8">
            <w:pPr>
              <w:rPr>
                <w:szCs w:val="22"/>
              </w:rPr>
            </w:pPr>
            <w:r w:rsidRPr="003A15C0">
              <w:rPr>
                <w:szCs w:val="22"/>
              </w:rPr>
              <w:t xml:space="preserve">One dose </w:t>
            </w:r>
            <w:r w:rsidR="00F86448">
              <w:rPr>
                <w:szCs w:val="22"/>
              </w:rPr>
              <w:t xml:space="preserve">of </w:t>
            </w:r>
            <w:r w:rsidRPr="003A15C0">
              <w:rPr>
                <w:szCs w:val="22"/>
              </w:rPr>
              <w:t xml:space="preserve">0.2 mL </w:t>
            </w:r>
          </w:p>
          <w:p w14:paraId="768B254C" w14:textId="666733E6" w:rsidR="00F86448" w:rsidRPr="00BD5DBD" w:rsidRDefault="00F86448" w:rsidP="007452E8">
            <w:pPr>
              <w:rPr>
                <w:szCs w:val="22"/>
              </w:rPr>
            </w:pPr>
            <w:r w:rsidRPr="00F86448">
              <w:rPr>
                <w:szCs w:val="22"/>
              </w:rPr>
              <w:t>10 micrograms of SARS-CoV-2 spike protein (mRNA) XBB.1.5</w:t>
            </w:r>
          </w:p>
        </w:tc>
      </w:tr>
      <w:tr w:rsidR="00324B33" w:rsidRPr="00BD5DBD" w14:paraId="34B07BA6" w14:textId="77777777" w:rsidTr="004251BA">
        <w:tc>
          <w:tcPr>
            <w:tcW w:w="2110" w:type="pct"/>
          </w:tcPr>
          <w:p w14:paraId="1C039224" w14:textId="5C5788E8" w:rsidR="00324B33" w:rsidRPr="00BD5DBD" w:rsidRDefault="00324B33" w:rsidP="007452E8">
            <w:pPr>
              <w:rPr>
                <w:i/>
                <w:szCs w:val="22"/>
              </w:rPr>
            </w:pPr>
            <w:r w:rsidRPr="00BD5DBD">
              <w:rPr>
                <w:i/>
                <w:szCs w:val="22"/>
              </w:rPr>
              <w:t>Container:</w:t>
            </w:r>
          </w:p>
        </w:tc>
        <w:tc>
          <w:tcPr>
            <w:tcW w:w="2890" w:type="pct"/>
          </w:tcPr>
          <w:p w14:paraId="500A42C6" w14:textId="570CF0F7" w:rsidR="00324B33" w:rsidRPr="00BD5DBD" w:rsidRDefault="00E94FB6" w:rsidP="007452E8">
            <w:pPr>
              <w:rPr>
                <w:szCs w:val="22"/>
              </w:rPr>
            </w:pPr>
            <w:r w:rsidRPr="00E94FB6">
              <w:rPr>
                <w:szCs w:val="22"/>
              </w:rPr>
              <w:t>Pre-filled syringe</w:t>
            </w:r>
            <w:r w:rsidR="00036CE9">
              <w:rPr>
                <w:szCs w:val="22"/>
              </w:rPr>
              <w:t xml:space="preserve"> (without needle)</w:t>
            </w:r>
          </w:p>
        </w:tc>
      </w:tr>
      <w:tr w:rsidR="00324B33" w:rsidRPr="00BD5DBD" w14:paraId="176B6773" w14:textId="77777777" w:rsidTr="004251BA">
        <w:tc>
          <w:tcPr>
            <w:tcW w:w="2110" w:type="pct"/>
          </w:tcPr>
          <w:p w14:paraId="71846159" w14:textId="60E7C2D0" w:rsidR="00324B33" w:rsidRPr="00BD5DBD" w:rsidRDefault="00324B33" w:rsidP="007452E8">
            <w:pPr>
              <w:rPr>
                <w:i/>
                <w:szCs w:val="22"/>
              </w:rPr>
            </w:pPr>
            <w:r w:rsidRPr="00BD5DBD">
              <w:rPr>
                <w:i/>
                <w:szCs w:val="22"/>
              </w:rPr>
              <w:t>Pack size:</w:t>
            </w:r>
          </w:p>
        </w:tc>
        <w:tc>
          <w:tcPr>
            <w:tcW w:w="2890" w:type="pct"/>
          </w:tcPr>
          <w:p w14:paraId="7E978F8F" w14:textId="2EDEA5DD" w:rsidR="00324B33" w:rsidRPr="00BD5DBD" w:rsidRDefault="0003436D" w:rsidP="009D5EE9">
            <w:pPr>
              <w:rPr>
                <w:szCs w:val="22"/>
              </w:rPr>
            </w:pPr>
            <w:r w:rsidRPr="0003436D">
              <w:rPr>
                <w:szCs w:val="22"/>
              </w:rPr>
              <w:t>1 pre-filled syringe</w:t>
            </w:r>
            <w:r w:rsidR="009D5EE9">
              <w:rPr>
                <w:szCs w:val="22"/>
              </w:rPr>
              <w:t xml:space="preserve"> or </w:t>
            </w:r>
            <w:r w:rsidRPr="0003436D">
              <w:rPr>
                <w:szCs w:val="22"/>
              </w:rPr>
              <w:t>10 pre-filled syringes</w:t>
            </w:r>
          </w:p>
        </w:tc>
      </w:tr>
      <w:tr w:rsidR="00324B33" w:rsidRPr="00BD5DBD" w14:paraId="19A2544A" w14:textId="77777777" w:rsidTr="004251BA">
        <w:tc>
          <w:tcPr>
            <w:tcW w:w="2110"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2890" w:type="pct"/>
          </w:tcPr>
          <w:p w14:paraId="40C028AB" w14:textId="639DBA23" w:rsidR="00966814" w:rsidRPr="00966814" w:rsidRDefault="00966814" w:rsidP="00966814">
            <w:pPr>
              <w:rPr>
                <w:i/>
                <w:iCs/>
                <w:szCs w:val="22"/>
              </w:rPr>
            </w:pPr>
            <w:r w:rsidRPr="00966814">
              <w:rPr>
                <w:i/>
                <w:iCs/>
                <w:szCs w:val="22"/>
              </w:rPr>
              <w:t>mNEXSPIKE XBB.1.5 (SARS-CoV-2 spike protein (mRNA) XBB.1.5) COVID-19 Vaccine is indicated for:</w:t>
            </w:r>
          </w:p>
          <w:p w14:paraId="38588542" w14:textId="52335A08" w:rsidR="00966814" w:rsidRPr="00966814" w:rsidRDefault="00966814" w:rsidP="00956227">
            <w:pPr>
              <w:rPr>
                <w:i/>
                <w:iCs/>
                <w:szCs w:val="22"/>
              </w:rPr>
            </w:pPr>
            <w:r w:rsidRPr="00966814">
              <w:rPr>
                <w:i/>
                <w:iCs/>
                <w:szCs w:val="22"/>
              </w:rPr>
              <w:t>Active immunisation to prevent coronavirus disease 2019 (COVID-19) caused by</w:t>
            </w:r>
            <w:r w:rsidR="00956227">
              <w:rPr>
                <w:i/>
                <w:iCs/>
                <w:szCs w:val="22"/>
              </w:rPr>
              <w:t xml:space="preserve"> </w:t>
            </w:r>
            <w:r w:rsidRPr="00966814">
              <w:rPr>
                <w:i/>
                <w:iCs/>
                <w:szCs w:val="22"/>
              </w:rPr>
              <w:t>SARS-CoV-2 in individuals 12 years of age and older.</w:t>
            </w:r>
          </w:p>
          <w:p w14:paraId="6E143E2E" w14:textId="36FD0C58" w:rsidR="00324B33" w:rsidRPr="00956227" w:rsidRDefault="00966814" w:rsidP="00966814">
            <w:pPr>
              <w:rPr>
                <w:i/>
                <w:iCs/>
                <w:szCs w:val="22"/>
              </w:rPr>
            </w:pPr>
            <w:r w:rsidRPr="00956227">
              <w:rPr>
                <w:i/>
                <w:iCs/>
                <w:szCs w:val="22"/>
              </w:rPr>
              <w:t>The use of this vaccine should be in accordance with official recommendations.</w:t>
            </w:r>
          </w:p>
        </w:tc>
      </w:tr>
      <w:tr w:rsidR="00324B33" w:rsidRPr="00BD5DBD" w14:paraId="5AFDEED3" w14:textId="77777777" w:rsidTr="004251BA">
        <w:tc>
          <w:tcPr>
            <w:tcW w:w="2110" w:type="pct"/>
          </w:tcPr>
          <w:p w14:paraId="03884BD1" w14:textId="0A4AA2F8" w:rsidR="00324B33" w:rsidRPr="00BD5DBD" w:rsidRDefault="00324B33" w:rsidP="007452E8">
            <w:pPr>
              <w:rPr>
                <w:i/>
                <w:szCs w:val="22"/>
              </w:rPr>
            </w:pPr>
            <w:r w:rsidRPr="00BD5DBD">
              <w:rPr>
                <w:i/>
                <w:szCs w:val="22"/>
              </w:rPr>
              <w:t>Route of administration:</w:t>
            </w:r>
          </w:p>
        </w:tc>
        <w:tc>
          <w:tcPr>
            <w:tcW w:w="2890" w:type="pct"/>
          </w:tcPr>
          <w:p w14:paraId="1ED1357E" w14:textId="3A25A70D" w:rsidR="00324B33" w:rsidRPr="00BD5DBD" w:rsidRDefault="00A51577" w:rsidP="007452E8">
            <w:pPr>
              <w:rPr>
                <w:szCs w:val="22"/>
              </w:rPr>
            </w:pPr>
            <w:r>
              <w:rPr>
                <w:szCs w:val="22"/>
              </w:rPr>
              <w:t>I</w:t>
            </w:r>
            <w:r w:rsidRPr="00A51577">
              <w:rPr>
                <w:szCs w:val="22"/>
              </w:rPr>
              <w:t>ntramuscular</w:t>
            </w:r>
            <w:r>
              <w:rPr>
                <w:szCs w:val="22"/>
              </w:rPr>
              <w:t xml:space="preserve"> injection</w:t>
            </w:r>
          </w:p>
        </w:tc>
      </w:tr>
      <w:tr w:rsidR="00324B33" w:rsidRPr="00BD5DBD" w14:paraId="70D7E9FA" w14:textId="77777777" w:rsidTr="004251BA">
        <w:tc>
          <w:tcPr>
            <w:tcW w:w="2110" w:type="pct"/>
          </w:tcPr>
          <w:p w14:paraId="5ABFFC80" w14:textId="77777777" w:rsidR="00324B33" w:rsidRPr="00BD5DBD" w:rsidRDefault="00324B33" w:rsidP="007452E8">
            <w:pPr>
              <w:rPr>
                <w:i/>
                <w:szCs w:val="22"/>
              </w:rPr>
            </w:pPr>
            <w:r w:rsidRPr="00BD5DBD">
              <w:rPr>
                <w:i/>
                <w:szCs w:val="22"/>
              </w:rPr>
              <w:t>Dosage:</w:t>
            </w:r>
          </w:p>
        </w:tc>
        <w:tc>
          <w:tcPr>
            <w:tcW w:w="2890" w:type="pct"/>
          </w:tcPr>
          <w:p w14:paraId="43FB9256" w14:textId="3F0C72FD" w:rsidR="00832191" w:rsidRDefault="00832191" w:rsidP="007452E8">
            <w:pPr>
              <w:rPr>
                <w:szCs w:val="22"/>
              </w:rPr>
            </w:pPr>
            <w:r w:rsidRPr="00832191">
              <w:rPr>
                <w:szCs w:val="22"/>
              </w:rPr>
              <w:t>One dose of 0.2 mL, given intramuscularly</w:t>
            </w:r>
            <w:r w:rsidR="004A2B63">
              <w:rPr>
                <w:szCs w:val="22"/>
              </w:rPr>
              <w:t xml:space="preserve"> for i</w:t>
            </w:r>
            <w:r w:rsidR="004A2B63" w:rsidRPr="004A2B63">
              <w:rPr>
                <w:szCs w:val="22"/>
              </w:rPr>
              <w:t>ndividuals 12 years of age and older</w:t>
            </w:r>
            <w:r w:rsidR="004A2B63">
              <w:rPr>
                <w:szCs w:val="22"/>
              </w:rPr>
              <w:t>.</w:t>
            </w:r>
          </w:p>
          <w:p w14:paraId="41799315" w14:textId="60E5C161" w:rsidR="004A2B63" w:rsidRDefault="004A2B63" w:rsidP="007452E8">
            <w:pPr>
              <w:rPr>
                <w:szCs w:val="22"/>
              </w:rPr>
            </w:pPr>
            <w:r w:rsidRPr="004A2B63">
              <w:rPr>
                <w:szCs w:val="22"/>
              </w:rPr>
              <w:t>If previously vaccinated, mNEXSPIKE XBB.1.5 should be administered at least 3 months after a recent dose of a COVID-19 vaccine (see sections 4.4 and 5.1).</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4251BA">
        <w:tc>
          <w:tcPr>
            <w:tcW w:w="2110" w:type="pct"/>
          </w:tcPr>
          <w:p w14:paraId="3A76AFF7" w14:textId="7C436DD9" w:rsidR="0017005C" w:rsidRPr="00F8083B" w:rsidRDefault="0070330F" w:rsidP="0017005C">
            <w:r w:rsidRPr="00BD5DBD">
              <w:rPr>
                <w:i/>
                <w:szCs w:val="22"/>
              </w:rPr>
              <w:lastRenderedPageBreak/>
              <w:t>Pregnancy category:</w:t>
            </w:r>
          </w:p>
        </w:tc>
        <w:tc>
          <w:tcPr>
            <w:tcW w:w="2890" w:type="pct"/>
          </w:tcPr>
          <w:p w14:paraId="7AF9DA6D" w14:textId="08D3947A" w:rsidR="0070330F" w:rsidRPr="00F62D85" w:rsidRDefault="00524076" w:rsidP="007967C3">
            <w:pPr>
              <w:rPr>
                <w:b/>
                <w:bCs/>
              </w:rPr>
            </w:pPr>
            <w:r w:rsidRPr="00F62D85">
              <w:rPr>
                <w:b/>
                <w:bCs/>
              </w:rPr>
              <w:t>Pregnancy Category B1</w:t>
            </w:r>
          </w:p>
          <w:p w14:paraId="05609C85" w14:textId="4E8AC721" w:rsidR="00A82B45" w:rsidRPr="007967C3" w:rsidRDefault="00A82B45" w:rsidP="007967C3">
            <w:r w:rsidRPr="00A82B45">
              <w:t>No adequate and well-controlled studies of mNEXSPIKE XBB.1.5 use in pregnant women have been conducted. Available clinical data on mNEXSPIKE XBB.1.5 administered to pregnant women are insufficient to inform vaccine-associated risks in pregnancy.</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491D3D6B" w:rsidR="00324B33" w:rsidRDefault="00324B33" w:rsidP="00324B33">
      <w:pPr>
        <w:pStyle w:val="Heading3"/>
      </w:pPr>
      <w:bookmarkStart w:id="11" w:name="_Toc247691503"/>
      <w:bookmarkStart w:id="12" w:name="_Toc314842484"/>
      <w:bookmarkStart w:id="13" w:name="_Toc103679290"/>
      <w:bookmarkStart w:id="14" w:name="_Toc230003575"/>
      <w:r>
        <w:t>Product background</w:t>
      </w:r>
      <w:bookmarkEnd w:id="11"/>
      <w:bookmarkEnd w:id="12"/>
      <w:bookmarkEnd w:id="13"/>
      <w:bookmarkEnd w:id="14"/>
      <w:r w:rsidR="00B03ADC">
        <w:fldChar w:fldCharType="begin"/>
      </w:r>
      <w:r w:rsidR="00B03ADC">
        <w:instrText xml:space="preserve"> DOCVARIABLE vault_nd_d2a48f64-158d-4989-86fe-563eeb1e0890 \* MERGEFORMAT </w:instrText>
      </w:r>
      <w:r w:rsidR="00B03ADC">
        <w:fldChar w:fldCharType="separate"/>
      </w:r>
      <w:r w:rsidR="00B03ADC">
        <w:t xml:space="preserve"> </w:t>
      </w:r>
      <w:r w:rsidR="00B03ADC">
        <w:fldChar w:fldCharType="end"/>
      </w:r>
    </w:p>
    <w:p w14:paraId="59BF31D1" w14:textId="65E5B817" w:rsidR="001500A8" w:rsidRPr="00065839" w:rsidRDefault="00324B33" w:rsidP="001D390A">
      <w:r w:rsidRPr="00065839">
        <w:t>This AusPAR describes the submission by</w:t>
      </w:r>
      <w:r w:rsidR="00FC51B7">
        <w:t xml:space="preserve"> </w:t>
      </w:r>
      <w:r w:rsidR="00FC51B7" w:rsidRPr="00FC51B7">
        <w:t>Moderna Australia Pty Ltd</w:t>
      </w:r>
      <w:r w:rsidRPr="00065839">
        <w:t xml:space="preserve"> to register</w:t>
      </w:r>
      <w:r w:rsidR="002057DD">
        <w:t xml:space="preserve"> mNEXSPIKE XBB.1.5 (</w:t>
      </w:r>
      <w:r w:rsidR="00060652" w:rsidRPr="00060652">
        <w:t xml:space="preserve">SARS-CoV-2 </w:t>
      </w:r>
      <w:r w:rsidR="002057DD" w:rsidRPr="00060652">
        <w:t>spike protein (</w:t>
      </w:r>
      <w:r w:rsidR="00060652" w:rsidRPr="00060652">
        <w:t>mRNA</w:t>
      </w:r>
      <w:r w:rsidR="002057DD" w:rsidRPr="00060652">
        <w:t>)</w:t>
      </w:r>
      <w:r w:rsidR="002057DD">
        <w:t xml:space="preserve"> </w:t>
      </w:r>
      <w:r w:rsidR="00723B21">
        <w:t>XBB</w:t>
      </w:r>
      <w:r w:rsidR="002057DD">
        <w:t>.1.5)</w:t>
      </w:r>
      <w:r w:rsidR="00937C9D" w:rsidRPr="00937C9D">
        <w:t xml:space="preserve"> </w:t>
      </w:r>
      <w:r w:rsidR="00937C9D">
        <w:t xml:space="preserve">COVID-19 vaccine, 10 micrograms in 0.2 mL, suspension for injection, </w:t>
      </w:r>
      <w:r w:rsidR="00431E44">
        <w:t xml:space="preserve">in a </w:t>
      </w:r>
      <w:r w:rsidR="00937C9D">
        <w:t>prefilled syringe</w:t>
      </w:r>
      <w:r w:rsidR="002057DD">
        <w:t xml:space="preserve"> </w:t>
      </w:r>
      <w:r w:rsidRPr="00065839">
        <w:t>for the following proposed indication:</w:t>
      </w:r>
      <w:r w:rsidR="00D63760" w:rsidRPr="00065839">
        <w:rPr>
          <w:vertAlign w:val="superscript"/>
        </w:rPr>
        <w:footnoteReference w:id="1"/>
      </w:r>
    </w:p>
    <w:p w14:paraId="0DC1BBA8" w14:textId="0B01DA40" w:rsidR="002819B9" w:rsidRPr="002819B9" w:rsidRDefault="002819B9" w:rsidP="002819B9">
      <w:pPr>
        <w:ind w:left="720"/>
        <w:rPr>
          <w:i/>
          <w:iCs/>
        </w:rPr>
      </w:pPr>
      <w:r w:rsidRPr="002819B9">
        <w:rPr>
          <w:i/>
          <w:iCs/>
        </w:rPr>
        <w:t>mNEXSPIKE XBB.1.5 (SARS-CoV-2 spike protein (mRNA) XBB.1.5) COVID-19 Vaccine</w:t>
      </w:r>
      <w:r>
        <w:rPr>
          <w:i/>
          <w:iCs/>
        </w:rPr>
        <w:t xml:space="preserve"> </w:t>
      </w:r>
      <w:r w:rsidRPr="002819B9">
        <w:rPr>
          <w:i/>
          <w:iCs/>
        </w:rPr>
        <w:t>is indicated for:</w:t>
      </w:r>
    </w:p>
    <w:p w14:paraId="72C30393" w14:textId="19847DE0" w:rsidR="002819B9" w:rsidRPr="002819B9" w:rsidRDefault="002819B9" w:rsidP="002819B9">
      <w:pPr>
        <w:ind w:left="720"/>
        <w:rPr>
          <w:i/>
          <w:iCs/>
        </w:rPr>
      </w:pPr>
      <w:r w:rsidRPr="002819B9">
        <w:rPr>
          <w:i/>
          <w:iCs/>
        </w:rPr>
        <w:t>Active immunisation to prevent coronavirus disease 2019 (COVID-19) caused by</w:t>
      </w:r>
      <w:r w:rsidR="00803CD9">
        <w:rPr>
          <w:i/>
          <w:iCs/>
        </w:rPr>
        <w:t xml:space="preserve"> </w:t>
      </w:r>
      <w:r w:rsidRPr="002819B9">
        <w:rPr>
          <w:i/>
          <w:iCs/>
        </w:rPr>
        <w:t>SARS-CoV-2 in individuals 12 years of age and older.</w:t>
      </w:r>
    </w:p>
    <w:p w14:paraId="23D8ED73" w14:textId="3E6D0A00" w:rsidR="00324B33" w:rsidRPr="002819B9" w:rsidRDefault="002819B9" w:rsidP="002819B9">
      <w:pPr>
        <w:ind w:left="720"/>
        <w:rPr>
          <w:i/>
          <w:iCs/>
        </w:rPr>
      </w:pPr>
      <w:r w:rsidRPr="002819B9">
        <w:rPr>
          <w:i/>
          <w:iCs/>
        </w:rPr>
        <w:t>The use of this vaccine should be in accordance with official recommendations.</w:t>
      </w:r>
    </w:p>
    <w:p w14:paraId="1E63A2AE" w14:textId="6B2B2C9F" w:rsidR="00CB6813" w:rsidRDefault="00005DFC" w:rsidP="00CB6813">
      <w:pPr>
        <w:pStyle w:val="Heading4"/>
      </w:pPr>
      <w:bookmarkStart w:id="15" w:name="_Toc230003576"/>
      <w:bookmarkStart w:id="16" w:name="_Toc314842485"/>
      <w:bookmarkStart w:id="17" w:name="_Toc247691504"/>
      <w:r>
        <w:t>D</w:t>
      </w:r>
      <w:r w:rsidR="00CB6813" w:rsidRPr="00C12D65">
        <w:t>isease</w:t>
      </w:r>
      <w:r w:rsidR="006428C5">
        <w:t xml:space="preserve"> or condition</w:t>
      </w:r>
      <w:bookmarkEnd w:id="15"/>
      <w:r w:rsidR="00B03ADC">
        <w:fldChar w:fldCharType="begin"/>
      </w:r>
      <w:r w:rsidR="00B03ADC">
        <w:instrText xml:space="preserve"> DOCVARIABLE vault_nd_7d0afd69-1ce8-45eb-ab65-b6086dddc79f \* MERGEFORMAT </w:instrText>
      </w:r>
      <w:r w:rsidR="00B03ADC">
        <w:fldChar w:fldCharType="separate"/>
      </w:r>
      <w:r w:rsidR="00B03ADC">
        <w:t xml:space="preserve"> </w:t>
      </w:r>
      <w:r w:rsidR="00B03ADC">
        <w:fldChar w:fldCharType="end"/>
      </w:r>
    </w:p>
    <w:p w14:paraId="4526264B" w14:textId="3366ACFA" w:rsidR="00797501" w:rsidRDefault="001D390A" w:rsidP="001D390A">
      <w:r>
        <w:t>COVID-19 is a variable clinical syndrome caused by infection with the SARS-CoV-2 virus.</w:t>
      </w:r>
      <w:r>
        <w:rPr>
          <w:rStyle w:val="FootnoteReference"/>
        </w:rPr>
        <w:footnoteReference w:id="2"/>
      </w:r>
      <w:r>
        <w:t xml:space="preserve"> COVID caused a pandemic between its emergence in China in late 2019 and October 2023 resulting in</w:t>
      </w:r>
      <w:r w:rsidR="00A47349">
        <w:t xml:space="preserve"> </w:t>
      </w:r>
      <w:r>
        <w:t>approximately 31000 deaths in Australia</w:t>
      </w:r>
      <w:r w:rsidR="00797501">
        <w:t>. It</w:t>
      </w:r>
      <w:r>
        <w:t xml:space="preserve"> is now endemic with seasonal epidemics during</w:t>
      </w:r>
      <w:r w:rsidR="00A47349">
        <w:t xml:space="preserve"> </w:t>
      </w:r>
      <w:r>
        <w:t>the winter months</w:t>
      </w:r>
      <w:r w:rsidR="00BB1B3F">
        <w:t xml:space="preserve"> caused by</w:t>
      </w:r>
      <w:r w:rsidR="00EF6012" w:rsidRPr="00EF6012">
        <w:t xml:space="preserve"> </w:t>
      </w:r>
      <w:r w:rsidR="00D66C81" w:rsidRPr="00EF6012">
        <w:t>human-to-human</w:t>
      </w:r>
      <w:r w:rsidR="00EF6012" w:rsidRPr="00EF6012">
        <w:t xml:space="preserve"> </w:t>
      </w:r>
      <w:r w:rsidR="00BB1B3F">
        <w:t xml:space="preserve">transmission </w:t>
      </w:r>
      <w:r w:rsidR="00EF6012" w:rsidRPr="00EF6012">
        <w:t>via respiratory droplets from coughing or sneezing but can also persist on surfaces</w:t>
      </w:r>
      <w:r>
        <w:t xml:space="preserve">. </w:t>
      </w:r>
    </w:p>
    <w:p w14:paraId="1547DC13" w14:textId="734B51C6" w:rsidR="00B516D0" w:rsidRDefault="001D390A" w:rsidP="001D390A">
      <w:r>
        <w:t>Over the pandemic new strains of COVID emerged which generally had a</w:t>
      </w:r>
      <w:r w:rsidR="00797501">
        <w:t xml:space="preserve"> </w:t>
      </w:r>
      <w:r>
        <w:t>lower virulence and higher transmissibility than the original virus. This meant that the risk of</w:t>
      </w:r>
      <w:r w:rsidR="00797501">
        <w:t xml:space="preserve"> </w:t>
      </w:r>
      <w:r>
        <w:t>severe disease and death became focused on vulnerable groups including the elderly, those with</w:t>
      </w:r>
      <w:r w:rsidR="00797501">
        <w:t xml:space="preserve"> </w:t>
      </w:r>
      <w:r>
        <w:t xml:space="preserve">co-existing chronic disease, and immunosuppressed individuals. </w:t>
      </w:r>
      <w:r w:rsidR="00C1781E" w:rsidRPr="00C1781E">
        <w:t>Age has been identified as a key risk factor for severe COVID-19 outcomes, particularly among adults over 65 years.</w:t>
      </w:r>
    </w:p>
    <w:p w14:paraId="7886F1C9" w14:textId="46DC8785" w:rsidR="00CB6813" w:rsidRDefault="001D390A" w:rsidP="001D390A">
      <w:pPr>
        <w:rPr>
          <w:i/>
          <w:color w:val="007099"/>
        </w:rPr>
      </w:pPr>
      <w:r>
        <w:t>Common symptoms of</w:t>
      </w:r>
      <w:r w:rsidR="00797501">
        <w:t xml:space="preserve"> </w:t>
      </w:r>
      <w:r>
        <w:t>currently circulating strains of COVID include an influenza-like illness (fever, cough, sore throat,</w:t>
      </w:r>
      <w:r w:rsidR="00797501">
        <w:t xml:space="preserve"> </w:t>
      </w:r>
      <w:r>
        <w:t>myalgia, chills, headache) but this can rarely progress to pneumonia or pneumonitis requiring</w:t>
      </w:r>
      <w:r w:rsidR="00797501">
        <w:t xml:space="preserve"> </w:t>
      </w:r>
      <w:r>
        <w:t xml:space="preserve">hospitalisation. Long term sequelae of COVID can include lung injury, </w:t>
      </w:r>
      <w:r>
        <w:lastRenderedPageBreak/>
        <w:t>hypertension, prolonged</w:t>
      </w:r>
      <w:r w:rsidR="00797501">
        <w:t xml:space="preserve"> </w:t>
      </w:r>
      <w:r>
        <w:t>symptoms of fatigue (long-COVID) and an increased risks of cardiovascular events for several</w:t>
      </w:r>
      <w:r w:rsidR="00797501">
        <w:t xml:space="preserve"> </w:t>
      </w:r>
      <w:r>
        <w:t>years post-infection.</w:t>
      </w:r>
    </w:p>
    <w:p w14:paraId="255E083A" w14:textId="1A0B168A" w:rsidR="00CB6813" w:rsidRDefault="00CB6813" w:rsidP="00CB6813">
      <w:pPr>
        <w:pStyle w:val="Heading4"/>
      </w:pPr>
      <w:bookmarkStart w:id="18" w:name="_Toc230003577"/>
      <w:r>
        <w:t>Current treatment options</w:t>
      </w:r>
      <w:bookmarkEnd w:id="18"/>
      <w:r w:rsidR="00B03ADC">
        <w:fldChar w:fldCharType="begin"/>
      </w:r>
      <w:r w:rsidR="00B03ADC">
        <w:instrText xml:space="preserve"> DOCVARIABLE vault_nd_1ae6987e-ac6d-46c2-808c-69942dd4e621 \* MERGEFORMAT </w:instrText>
      </w:r>
      <w:r w:rsidR="00B03ADC">
        <w:fldChar w:fldCharType="separate"/>
      </w:r>
      <w:r w:rsidR="00B03ADC">
        <w:t xml:space="preserve"> </w:t>
      </w:r>
      <w:r w:rsidR="00B03ADC">
        <w:fldChar w:fldCharType="end"/>
      </w:r>
    </w:p>
    <w:p w14:paraId="05EA540A" w14:textId="4CAFC091" w:rsidR="007211E6" w:rsidRDefault="007A3DF1" w:rsidP="001C4C81">
      <w:r w:rsidRPr="007A3DF1">
        <w:t>Treatment for COVID consists of antiviral medications and monoclonal antibodies which target</w:t>
      </w:r>
      <w:r w:rsidR="001C4C81">
        <w:t xml:space="preserve"> </w:t>
      </w:r>
      <w:r w:rsidRPr="007A3DF1">
        <w:t xml:space="preserve">the virus, </w:t>
      </w:r>
      <w:r w:rsidR="002A0CCA" w:rsidRPr="007A3DF1">
        <w:t>immune modulators</w:t>
      </w:r>
      <w:r w:rsidRPr="007A3DF1">
        <w:t xml:space="preserve"> which reduce systemic inflammation in severe cases, and</w:t>
      </w:r>
      <w:r w:rsidR="001C4C81">
        <w:t xml:space="preserve"> </w:t>
      </w:r>
      <w:r w:rsidRPr="007A3DF1">
        <w:t>supportive care. However the mainstay of medical intervention is vaccination, which has been</w:t>
      </w:r>
      <w:r w:rsidR="001C4C81">
        <w:t xml:space="preserve"> </w:t>
      </w:r>
      <w:r w:rsidRPr="007A3DF1">
        <w:t>demonstrated to reduce the rate of severe COVID disease and death in protected individuals.</w:t>
      </w:r>
    </w:p>
    <w:p w14:paraId="37C47E09" w14:textId="07679F7C" w:rsidR="00CB6813" w:rsidRDefault="00CB6813" w:rsidP="00CB6813">
      <w:pPr>
        <w:pStyle w:val="Heading4"/>
      </w:pPr>
      <w:bookmarkStart w:id="19" w:name="_Toc230003578"/>
      <w:r>
        <w:t>C</w:t>
      </w:r>
      <w:r w:rsidRPr="00DE1344">
        <w:t>linical rational</w:t>
      </w:r>
      <w:r w:rsidR="0025785B">
        <w:t>e</w:t>
      </w:r>
      <w:bookmarkEnd w:id="19"/>
      <w:r w:rsidR="00B03ADC">
        <w:fldChar w:fldCharType="begin"/>
      </w:r>
      <w:r w:rsidR="00B03ADC">
        <w:instrText xml:space="preserve"> DOCVARIABLE vault_nd_48fa74da-9904-41ea-9deb-157d11e62f25 \* MERGEFORMAT </w:instrText>
      </w:r>
      <w:r w:rsidR="00B03ADC">
        <w:fldChar w:fldCharType="separate"/>
      </w:r>
      <w:r w:rsidR="00B03ADC">
        <w:t xml:space="preserve"> </w:t>
      </w:r>
      <w:r w:rsidR="00B03ADC">
        <w:fldChar w:fldCharType="end"/>
      </w:r>
    </w:p>
    <w:p w14:paraId="244D9A93" w14:textId="7DFA887B" w:rsidR="00FA5C86" w:rsidRDefault="00FA5C86" w:rsidP="00FA5C86">
      <w:r w:rsidRPr="00FA5C86">
        <w:t>The nucleoside-modified mRNA in mNEXSPIKE is formulated in lipid particles, which encodes the membrane-bound, linked N-terminal domain (NTD) and receptor-binding domain (RBD) of the spike (S) glycoprotein from SARS-CoV-2 strains, which are known to be the immuno-dominant epitopes for protective immune responses. The vaccine elicits an immune response to the NTD and RBD of the S antigen, which may contribute to protection against COVID-19.</w:t>
      </w:r>
    </w:p>
    <w:p w14:paraId="0D615854" w14:textId="0963A6BE" w:rsidR="00324B33" w:rsidRPr="003F31A2" w:rsidRDefault="00324B33" w:rsidP="00324B33">
      <w:pPr>
        <w:pStyle w:val="Heading3"/>
      </w:pPr>
      <w:bookmarkStart w:id="20" w:name="_Toc103679291"/>
      <w:bookmarkStart w:id="21" w:name="_Toc230003579"/>
      <w:r>
        <w:t>Regulatory status</w:t>
      </w:r>
      <w:bookmarkEnd w:id="16"/>
      <w:bookmarkEnd w:id="17"/>
      <w:bookmarkEnd w:id="20"/>
      <w:bookmarkEnd w:id="21"/>
      <w:r w:rsidR="00B03ADC">
        <w:fldChar w:fldCharType="begin"/>
      </w:r>
      <w:r w:rsidR="00B03ADC">
        <w:instrText xml:space="preserve"> DOCVARIABLE vault_nd_53ae8dee-925f-4898-ae41-36c6a693ce3f \* MERGEFORMAT </w:instrText>
      </w:r>
      <w:r w:rsidR="00B03ADC">
        <w:fldChar w:fldCharType="separate"/>
      </w:r>
      <w:r w:rsidR="00B03ADC">
        <w:t xml:space="preserve"> </w:t>
      </w:r>
      <w:r w:rsidR="00B03ADC">
        <w:fldChar w:fldCharType="end"/>
      </w:r>
    </w:p>
    <w:p w14:paraId="72C889D6" w14:textId="4D751373" w:rsidR="0017005C" w:rsidRPr="00BD5DBD" w:rsidRDefault="0017005C" w:rsidP="00741AB9">
      <w:pPr>
        <w:pStyle w:val="Heading4"/>
      </w:pPr>
      <w:bookmarkStart w:id="22" w:name="_Toc230003580"/>
      <w:r w:rsidRPr="00BD5DBD">
        <w:t>Australian regulatory</w:t>
      </w:r>
      <w:r>
        <w:t xml:space="preserve"> sta</w:t>
      </w:r>
      <w:r w:rsidR="0025785B">
        <w:t>t</w:t>
      </w:r>
      <w:r>
        <w:t>us</w:t>
      </w:r>
      <w:bookmarkEnd w:id="22"/>
      <w:r w:rsidR="00B03ADC">
        <w:fldChar w:fldCharType="begin"/>
      </w:r>
      <w:r w:rsidR="00B03ADC">
        <w:instrText xml:space="preserve"> DOCVARIABLE vault_nd_65db6367-7872-4b58-ab48-b05d2321aaa7 \* MERGEFORMAT </w:instrText>
      </w:r>
      <w:r w:rsidR="00B03ADC">
        <w:fldChar w:fldCharType="separate"/>
      </w:r>
      <w:r w:rsidR="00B03ADC">
        <w:t xml:space="preserve"> </w:t>
      </w:r>
      <w:r w:rsidR="00B03ADC">
        <w:fldChar w:fldCharType="end"/>
      </w:r>
    </w:p>
    <w:p w14:paraId="6A8633FA" w14:textId="4C56BD86" w:rsidR="00324B33" w:rsidRDefault="00324B33" w:rsidP="00324B33">
      <w:pPr>
        <w:rPr>
          <w:szCs w:val="22"/>
        </w:rPr>
      </w:pPr>
      <w:r w:rsidRPr="00BD5DBD">
        <w:rPr>
          <w:szCs w:val="22"/>
        </w:rPr>
        <w:t>This product is considered a new</w:t>
      </w:r>
      <w:r w:rsidR="008C754C" w:rsidRPr="00BD5DBD">
        <w:rPr>
          <w:szCs w:val="22"/>
        </w:rPr>
        <w:t xml:space="preserve"> </w:t>
      </w:r>
      <w:r w:rsidRPr="00BD5DBD">
        <w:rPr>
          <w:szCs w:val="22"/>
        </w:rPr>
        <w:t>biological entity for Australian regulatory purposes.</w:t>
      </w:r>
    </w:p>
    <w:p w14:paraId="546C1031" w14:textId="55403FF5" w:rsidR="0017005C" w:rsidRDefault="00131B1B" w:rsidP="0017005C">
      <w:pPr>
        <w:pStyle w:val="Heading4"/>
      </w:pPr>
      <w:bookmarkStart w:id="23" w:name="_Toc230003581"/>
      <w:r>
        <w:t xml:space="preserve">International </w:t>
      </w:r>
      <w:r w:rsidR="0017005C" w:rsidRPr="00BD5DBD">
        <w:t>regulatory</w:t>
      </w:r>
      <w:r w:rsidR="0017005C">
        <w:t xml:space="preserve"> status</w:t>
      </w:r>
      <w:bookmarkEnd w:id="23"/>
      <w:r w:rsidR="00B03ADC">
        <w:fldChar w:fldCharType="begin"/>
      </w:r>
      <w:r w:rsidR="00B03ADC">
        <w:instrText xml:space="preserve"> DOCVARIABLE vault_nd_ee04be1a-01a7-49b5-ab71-0d82956d2781 \* MERGEFORMAT </w:instrText>
      </w:r>
      <w:r w:rsidR="00B03ADC">
        <w:fldChar w:fldCharType="separate"/>
      </w:r>
      <w:r w:rsidR="00B03ADC">
        <w:t xml:space="preserve"> </w:t>
      </w:r>
      <w:r w:rsidR="00B03ADC">
        <w:fldChar w:fldCharType="end"/>
      </w:r>
    </w:p>
    <w:p w14:paraId="2CB6E797" w14:textId="0B771E4F" w:rsidR="008F4A62" w:rsidRDefault="008F4A62" w:rsidP="00EC6894">
      <w:r w:rsidRPr="00BD5DBD">
        <w:rPr>
          <w:szCs w:val="22"/>
        </w:rPr>
        <w:t xml:space="preserve">At the time the TGA considered this submission, </w:t>
      </w:r>
      <w:r w:rsidR="00A168E9" w:rsidRPr="00A168E9">
        <w:rPr>
          <w:szCs w:val="22"/>
        </w:rPr>
        <w:t>publicly available information indicates that</w:t>
      </w:r>
      <w:r w:rsidR="00F126D7">
        <w:rPr>
          <w:szCs w:val="22"/>
        </w:rPr>
        <w:t xml:space="preserve"> </w:t>
      </w:r>
      <w:r w:rsidR="00A168E9" w:rsidRPr="00A168E9">
        <w:rPr>
          <w:szCs w:val="22"/>
        </w:rPr>
        <w:t>mRNA-1283</w:t>
      </w:r>
      <w:r w:rsidR="0075138E">
        <w:rPr>
          <w:szCs w:val="22"/>
        </w:rPr>
        <w:t xml:space="preserve"> -</w:t>
      </w:r>
      <w:r w:rsidR="00A168E9" w:rsidRPr="00A168E9">
        <w:rPr>
          <w:szCs w:val="22"/>
        </w:rPr>
        <w:t xml:space="preserve"> </w:t>
      </w:r>
      <w:r w:rsidR="00CF5380" w:rsidRPr="00CF5380">
        <w:rPr>
          <w:szCs w:val="22"/>
        </w:rPr>
        <w:t>mNEXSPIKE XBB.1.5 (</w:t>
      </w:r>
      <w:r w:rsidR="00CE7E27">
        <w:rPr>
          <w:szCs w:val="22"/>
        </w:rPr>
        <w:t>SARS</w:t>
      </w:r>
      <w:r w:rsidR="00CF5380" w:rsidRPr="00CF5380">
        <w:rPr>
          <w:szCs w:val="22"/>
        </w:rPr>
        <w:t>-</w:t>
      </w:r>
      <w:r w:rsidR="00CE7E27">
        <w:rPr>
          <w:szCs w:val="22"/>
        </w:rPr>
        <w:t>C</w:t>
      </w:r>
      <w:r w:rsidR="00CE7E27" w:rsidRPr="00CF5380">
        <w:rPr>
          <w:szCs w:val="22"/>
        </w:rPr>
        <w:t>o</w:t>
      </w:r>
      <w:r w:rsidR="00CE7E27">
        <w:rPr>
          <w:szCs w:val="22"/>
        </w:rPr>
        <w:t>V</w:t>
      </w:r>
      <w:r w:rsidR="00CF5380" w:rsidRPr="00CF5380">
        <w:rPr>
          <w:szCs w:val="22"/>
        </w:rPr>
        <w:t>-2 spike protein (m</w:t>
      </w:r>
      <w:r w:rsidR="0075138E">
        <w:rPr>
          <w:szCs w:val="22"/>
        </w:rPr>
        <w:t>RNA</w:t>
      </w:r>
      <w:r w:rsidR="00CF5380" w:rsidRPr="00CF5380">
        <w:rPr>
          <w:szCs w:val="22"/>
        </w:rPr>
        <w:t xml:space="preserve">) </w:t>
      </w:r>
      <w:r w:rsidR="00C94FC8">
        <w:rPr>
          <w:szCs w:val="22"/>
        </w:rPr>
        <w:t>XBB</w:t>
      </w:r>
      <w:r w:rsidR="00CF5380" w:rsidRPr="00CF5380">
        <w:rPr>
          <w:szCs w:val="22"/>
        </w:rPr>
        <w:t xml:space="preserve">.1.5) COVID-19 vaccine </w:t>
      </w:r>
      <w:r w:rsidR="00A168E9" w:rsidRPr="00A168E9">
        <w:rPr>
          <w:szCs w:val="22"/>
        </w:rPr>
        <w:t>ha</w:t>
      </w:r>
      <w:r w:rsidR="00632F28">
        <w:rPr>
          <w:szCs w:val="22"/>
        </w:rPr>
        <w:t>d</w:t>
      </w:r>
      <w:r w:rsidR="00A168E9" w:rsidRPr="00A168E9">
        <w:rPr>
          <w:szCs w:val="22"/>
        </w:rPr>
        <w:t xml:space="preserve"> been registered by Health Canada, </w:t>
      </w:r>
      <w:r w:rsidR="00F126D7">
        <w:rPr>
          <w:szCs w:val="22"/>
        </w:rPr>
        <w:t xml:space="preserve">the </w:t>
      </w:r>
      <w:r w:rsidR="00A168E9" w:rsidRPr="00A168E9">
        <w:rPr>
          <w:szCs w:val="22"/>
        </w:rPr>
        <w:t>U</w:t>
      </w:r>
      <w:r w:rsidR="00F126D7">
        <w:rPr>
          <w:szCs w:val="22"/>
        </w:rPr>
        <w:t>nited States</w:t>
      </w:r>
      <w:r w:rsidR="003F1417">
        <w:rPr>
          <w:szCs w:val="22"/>
        </w:rPr>
        <w:t>’</w:t>
      </w:r>
      <w:r w:rsidR="004A331E">
        <w:rPr>
          <w:szCs w:val="22"/>
        </w:rPr>
        <w:t xml:space="preserve"> Food and Drug A</w:t>
      </w:r>
      <w:r w:rsidR="007148D7">
        <w:rPr>
          <w:szCs w:val="22"/>
        </w:rPr>
        <w:t>dministration</w:t>
      </w:r>
      <w:r w:rsidR="004A331E">
        <w:rPr>
          <w:szCs w:val="22"/>
        </w:rPr>
        <w:t xml:space="preserve"> (</w:t>
      </w:r>
      <w:r w:rsidR="00A168E9" w:rsidRPr="00A168E9">
        <w:rPr>
          <w:szCs w:val="22"/>
        </w:rPr>
        <w:t>FDA</w:t>
      </w:r>
      <w:r w:rsidR="004A331E">
        <w:rPr>
          <w:szCs w:val="22"/>
        </w:rPr>
        <w:t>)</w:t>
      </w:r>
      <w:r w:rsidR="00A168E9" w:rsidRPr="00A168E9">
        <w:rPr>
          <w:szCs w:val="22"/>
        </w:rPr>
        <w:t xml:space="preserve"> and received a positive opinion from</w:t>
      </w:r>
      <w:r w:rsidR="007148D7">
        <w:rPr>
          <w:szCs w:val="22"/>
        </w:rPr>
        <w:t xml:space="preserve"> </w:t>
      </w:r>
      <w:r w:rsidR="00A168E9" w:rsidRPr="00A168E9">
        <w:rPr>
          <w:szCs w:val="22"/>
        </w:rPr>
        <w:t xml:space="preserve">the </w:t>
      </w:r>
      <w:r w:rsidR="00EC6894">
        <w:rPr>
          <w:szCs w:val="22"/>
        </w:rPr>
        <w:t>European Medicines Agency (</w:t>
      </w:r>
      <w:r w:rsidR="00A168E9" w:rsidRPr="00A168E9">
        <w:rPr>
          <w:szCs w:val="22"/>
        </w:rPr>
        <w:t>EMA</w:t>
      </w:r>
      <w:r w:rsidR="00EC6894">
        <w:rPr>
          <w:szCs w:val="22"/>
        </w:rPr>
        <w:t xml:space="preserve">). </w:t>
      </w:r>
    </w:p>
    <w:p w14:paraId="7FDF4A0B" w14:textId="56A00E5B" w:rsidR="008F4A62" w:rsidRPr="0017005C" w:rsidRDefault="008F4A62" w:rsidP="008F4A62">
      <w:r w:rsidRPr="00BD5DBD">
        <w:rPr>
          <w:szCs w:val="22"/>
        </w:rPr>
        <w:t>The following table summarises these submissions and provides the indications where approved.</w:t>
      </w:r>
      <w:r>
        <w:rPr>
          <w:szCs w:val="22"/>
        </w:rPr>
        <w:t xml:space="preserve"> </w:t>
      </w:r>
    </w:p>
    <w:p w14:paraId="19B9E0AC" w14:textId="7FEDC4E1" w:rsidR="00324B33" w:rsidRPr="00386661" w:rsidRDefault="00324B33" w:rsidP="00386661">
      <w:pPr>
        <w:pStyle w:val="TableTitle"/>
      </w:pPr>
      <w:bookmarkStart w:id="24" w:name="_Ref99705479"/>
      <w:r w:rsidRPr="00386661">
        <w:t xml:space="preserve">Table </w:t>
      </w:r>
      <w:r w:rsidR="007F1E37" w:rsidRPr="00386661">
        <w:fldChar w:fldCharType="begin"/>
      </w:r>
      <w:r w:rsidR="007F1E37" w:rsidRPr="00386661">
        <w:instrText xml:space="preserve"> SEQ Table \* ARABIC </w:instrText>
      </w:r>
      <w:r w:rsidR="007F1E37" w:rsidRPr="00386661">
        <w:fldChar w:fldCharType="separate"/>
      </w:r>
      <w:r w:rsidR="008B1CB5" w:rsidRPr="00386661">
        <w:t>1</w:t>
      </w:r>
      <w:r w:rsidR="007F1E37" w:rsidRPr="00386661">
        <w:fldChar w:fldCharType="end"/>
      </w:r>
      <w:bookmarkEnd w:id="24"/>
      <w:r w:rsidR="00467DBD">
        <w:t>.</w:t>
      </w:r>
      <w:r w:rsidRPr="00386661">
        <w:t xml:space="preserve"> International regulatory status</w:t>
      </w:r>
      <w:r w:rsidR="00467DBD">
        <w:t>.</w:t>
      </w:r>
      <w:fldSimple w:instr=" DOCVARIABLE vault_nd_c0af8195-f1cf-43e8-8f0f-e74fcd13a037 \* MERGEFORMAT ">
        <w:r w:rsidR="00B03ADC">
          <w:t xml:space="preserve"> </w:t>
        </w:r>
      </w:fldSimple>
    </w:p>
    <w:tbl>
      <w:tblPr>
        <w:tblStyle w:val="TableTGAblue2023"/>
        <w:tblW w:w="5082" w:type="pct"/>
        <w:tblLook w:val="04A0" w:firstRow="1" w:lastRow="0" w:firstColumn="1" w:lastColumn="0" w:noHBand="0" w:noVBand="1"/>
      </w:tblPr>
      <w:tblGrid>
        <w:gridCol w:w="1412"/>
        <w:gridCol w:w="1702"/>
        <w:gridCol w:w="1700"/>
        <w:gridCol w:w="4395"/>
      </w:tblGrid>
      <w:tr w:rsidR="00324B33" w:rsidRPr="00D01DDB" w14:paraId="405E5D78" w14:textId="16839333" w:rsidTr="004251BA">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67" w:type="pct"/>
          </w:tcPr>
          <w:p w14:paraId="185B099B" w14:textId="7A4C0E6C" w:rsidR="00324B33" w:rsidRPr="00D01DDB" w:rsidRDefault="00324B33" w:rsidP="004251BA">
            <w:r w:rsidRPr="00D01DDB">
              <w:t>Region</w:t>
            </w:r>
          </w:p>
        </w:tc>
        <w:tc>
          <w:tcPr>
            <w:tcW w:w="924" w:type="pct"/>
          </w:tcPr>
          <w:p w14:paraId="778C35C7" w14:textId="52D23C85" w:rsidR="00324B33" w:rsidRPr="00D01DDB" w:rsidRDefault="00324B33" w:rsidP="004251BA">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923" w:type="pct"/>
          </w:tcPr>
          <w:p w14:paraId="58F81584" w14:textId="66689ABF" w:rsidR="00324B33" w:rsidRPr="00D01DDB" w:rsidRDefault="00324B33" w:rsidP="004251BA">
            <w:pPr>
              <w:cnfStyle w:val="100000000000" w:firstRow="1" w:lastRow="0" w:firstColumn="0" w:lastColumn="0" w:oddVBand="0" w:evenVBand="0" w:oddHBand="0" w:evenHBand="0" w:firstRowFirstColumn="0" w:firstRowLastColumn="0" w:lastRowFirstColumn="0" w:lastRowLastColumn="0"/>
            </w:pPr>
            <w:r w:rsidRPr="00D01DDB">
              <w:t>Status</w:t>
            </w:r>
          </w:p>
        </w:tc>
        <w:tc>
          <w:tcPr>
            <w:tcW w:w="2386" w:type="pct"/>
          </w:tcPr>
          <w:p w14:paraId="50B2D435" w14:textId="560588D2" w:rsidR="00324B33" w:rsidRPr="00D01DDB" w:rsidRDefault="00324B33" w:rsidP="004251BA">
            <w:pPr>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324B33" w:rsidRPr="00D01DDB" w14:paraId="38D24E86" w14:textId="77777777" w:rsidTr="004251BA">
        <w:trPr>
          <w:trHeight w:val="3604"/>
        </w:trPr>
        <w:tc>
          <w:tcPr>
            <w:cnfStyle w:val="001000000000" w:firstRow="0" w:lastRow="0" w:firstColumn="1" w:lastColumn="0" w:oddVBand="0" w:evenVBand="0" w:oddHBand="0" w:evenHBand="0" w:firstRowFirstColumn="0" w:firstRowLastColumn="0" w:lastRowFirstColumn="0" w:lastRowLastColumn="0"/>
            <w:tcW w:w="767" w:type="pct"/>
          </w:tcPr>
          <w:p w14:paraId="4C540DE5" w14:textId="5F8CA8AE" w:rsidR="00324B33" w:rsidRPr="00D01DDB" w:rsidRDefault="00903327" w:rsidP="004251BA">
            <w:r w:rsidRPr="00903327">
              <w:t>United States of America</w:t>
            </w:r>
            <w:r>
              <w:t xml:space="preserve"> (FDA)</w:t>
            </w:r>
          </w:p>
        </w:tc>
        <w:tc>
          <w:tcPr>
            <w:tcW w:w="924" w:type="pct"/>
          </w:tcPr>
          <w:p w14:paraId="4FA5DDA9" w14:textId="32096E96" w:rsidR="00324B33" w:rsidRPr="00D01DDB" w:rsidRDefault="00F230F0" w:rsidP="004251BA">
            <w:pPr>
              <w:cnfStyle w:val="000000000000" w:firstRow="0" w:lastRow="0" w:firstColumn="0" w:lastColumn="0" w:oddVBand="0" w:evenVBand="0" w:oddHBand="0" w:evenHBand="0" w:firstRowFirstColumn="0" w:firstRowLastColumn="0" w:lastRowFirstColumn="0" w:lastRowLastColumn="0"/>
            </w:pPr>
            <w:r w:rsidRPr="00F230F0">
              <w:t>30 September 2024</w:t>
            </w:r>
          </w:p>
        </w:tc>
        <w:tc>
          <w:tcPr>
            <w:tcW w:w="923" w:type="pct"/>
          </w:tcPr>
          <w:p w14:paraId="29358393" w14:textId="12A0DF2D" w:rsidR="00324B33" w:rsidRPr="00D01DDB" w:rsidRDefault="00F230F0" w:rsidP="004251BA">
            <w:pPr>
              <w:cnfStyle w:val="000000000000" w:firstRow="0" w:lastRow="0" w:firstColumn="0" w:lastColumn="0" w:oddVBand="0" w:evenVBand="0" w:oddHBand="0" w:evenHBand="0" w:firstRowFirstColumn="0" w:firstRowLastColumn="0" w:lastRowFirstColumn="0" w:lastRowLastColumn="0"/>
            </w:pPr>
            <w:r>
              <w:t>Approved on</w:t>
            </w:r>
            <w:r w:rsidR="004251BA">
              <w:t xml:space="preserve"> </w:t>
            </w:r>
            <w:r w:rsidR="005C02AB">
              <w:t xml:space="preserve">30 May </w:t>
            </w:r>
            <w:r>
              <w:t>2025</w:t>
            </w:r>
          </w:p>
        </w:tc>
        <w:tc>
          <w:tcPr>
            <w:tcW w:w="2386" w:type="pct"/>
          </w:tcPr>
          <w:p w14:paraId="66E57DEA" w14:textId="3C2192DE" w:rsidR="005C02AB" w:rsidRPr="005C02AB" w:rsidRDefault="006F20DB" w:rsidP="004251BA">
            <w:pPr>
              <w:cnfStyle w:val="000000000000" w:firstRow="0" w:lastRow="0" w:firstColumn="0" w:lastColumn="0" w:oddVBand="0" w:evenVBand="0" w:oddHBand="0" w:evenHBand="0" w:firstRowFirstColumn="0" w:firstRowLastColumn="0" w:lastRowFirstColumn="0" w:lastRowLastColumn="0"/>
            </w:pPr>
            <w:r>
              <w:t>A</w:t>
            </w:r>
            <w:r w:rsidR="005C02AB" w:rsidRPr="005C02AB">
              <w:t>ctive immunization to prevent coronavirus disease 2019 (COVID-19) caused by severe acute respiratory syndrome coronavirus 2 (SARS-CoV-2). </w:t>
            </w:r>
          </w:p>
          <w:p w14:paraId="0D1C5C3E" w14:textId="77777777" w:rsidR="005C02AB" w:rsidRPr="005C02AB" w:rsidRDefault="005C02AB" w:rsidP="004251BA">
            <w:pPr>
              <w:cnfStyle w:val="000000000000" w:firstRow="0" w:lastRow="0" w:firstColumn="0" w:lastColumn="0" w:oddVBand="0" w:evenVBand="0" w:oddHBand="0" w:evenHBand="0" w:firstRowFirstColumn="0" w:firstRowLastColumn="0" w:lastRowFirstColumn="0" w:lastRowLastColumn="0"/>
            </w:pPr>
            <w:r w:rsidRPr="005C02AB">
              <w:t>MNEXSPIKE is approved for use in individuals who are:</w:t>
            </w:r>
          </w:p>
          <w:p w14:paraId="140B6F06" w14:textId="77777777" w:rsidR="005C02AB" w:rsidRPr="005C02AB" w:rsidRDefault="005C02AB" w:rsidP="004251BA">
            <w:pPr>
              <w:cnfStyle w:val="000000000000" w:firstRow="0" w:lastRow="0" w:firstColumn="0" w:lastColumn="0" w:oddVBand="0" w:evenVBand="0" w:oddHBand="0" w:evenHBand="0" w:firstRowFirstColumn="0" w:firstRowLastColumn="0" w:lastRowFirstColumn="0" w:lastRowLastColumn="0"/>
            </w:pPr>
            <w:r w:rsidRPr="005C02AB">
              <w:t>65 years of age and older, or</w:t>
            </w:r>
          </w:p>
          <w:p w14:paraId="05055674" w14:textId="138B9FAB" w:rsidR="00324B33" w:rsidRPr="00D01DDB" w:rsidRDefault="005C02AB" w:rsidP="004251BA">
            <w:pPr>
              <w:cnfStyle w:val="000000000000" w:firstRow="0" w:lastRow="0" w:firstColumn="0" w:lastColumn="0" w:oddVBand="0" w:evenVBand="0" w:oddHBand="0" w:evenHBand="0" w:firstRowFirstColumn="0" w:firstRowLastColumn="0" w:lastRowFirstColumn="0" w:lastRowLastColumn="0"/>
            </w:pPr>
            <w:r w:rsidRPr="005C02AB">
              <w:t>12 years through 64 years of age with at least one underlying condition that puts them at high risk for severe outcomes from COVID-19.</w:t>
            </w:r>
          </w:p>
        </w:tc>
      </w:tr>
      <w:tr w:rsidR="00324B33" w:rsidRPr="00D01DDB" w14:paraId="18B6E2AA" w14:textId="7783D66F" w:rsidTr="004251BA">
        <w:tc>
          <w:tcPr>
            <w:cnfStyle w:val="001000000000" w:firstRow="0" w:lastRow="0" w:firstColumn="1" w:lastColumn="0" w:oddVBand="0" w:evenVBand="0" w:oddHBand="0" w:evenHBand="0" w:firstRowFirstColumn="0" w:firstRowLastColumn="0" w:lastRowFirstColumn="0" w:lastRowLastColumn="0"/>
            <w:tcW w:w="767" w:type="pct"/>
          </w:tcPr>
          <w:p w14:paraId="7F348960" w14:textId="7F7CF4B6" w:rsidR="00324B33" w:rsidRPr="00D01DDB" w:rsidRDefault="00547D70" w:rsidP="004251BA">
            <w:r>
              <w:lastRenderedPageBreak/>
              <w:t>Canada</w:t>
            </w:r>
            <w:r w:rsidR="00EE566B">
              <w:t xml:space="preserve"> </w:t>
            </w:r>
            <w:r w:rsidR="009152CC" w:rsidRPr="009152CC">
              <w:t>(Health Canada)</w:t>
            </w:r>
          </w:p>
        </w:tc>
        <w:tc>
          <w:tcPr>
            <w:tcW w:w="924" w:type="pct"/>
          </w:tcPr>
          <w:p w14:paraId="1D871E57" w14:textId="0B71F2AC" w:rsidR="00324B33" w:rsidRPr="00D01DDB" w:rsidRDefault="00547D70" w:rsidP="004251BA">
            <w:pPr>
              <w:cnfStyle w:val="000000000000" w:firstRow="0" w:lastRow="0" w:firstColumn="0" w:lastColumn="0" w:oddVBand="0" w:evenVBand="0" w:oddHBand="0" w:evenHBand="0" w:firstRowFirstColumn="0" w:firstRowLastColumn="0" w:lastRowFirstColumn="0" w:lastRowLastColumn="0"/>
            </w:pPr>
            <w:r>
              <w:t>15 October 2024</w:t>
            </w:r>
          </w:p>
        </w:tc>
        <w:tc>
          <w:tcPr>
            <w:tcW w:w="923" w:type="pct"/>
          </w:tcPr>
          <w:p w14:paraId="63A3A9D3" w14:textId="38780E31" w:rsidR="00324B33" w:rsidRPr="00D01DDB" w:rsidRDefault="00547D70" w:rsidP="004251BA">
            <w:pPr>
              <w:cnfStyle w:val="000000000000" w:firstRow="0" w:lastRow="0" w:firstColumn="0" w:lastColumn="0" w:oddVBand="0" w:evenVBand="0" w:oddHBand="0" w:evenHBand="0" w:firstRowFirstColumn="0" w:firstRowLastColumn="0" w:lastRowFirstColumn="0" w:lastRowLastColumn="0"/>
            </w:pPr>
            <w:r>
              <w:t>Approved</w:t>
            </w:r>
            <w:r w:rsidR="00F436A7">
              <w:t xml:space="preserve"> on 29 </w:t>
            </w:r>
            <w:r w:rsidR="00B12928">
              <w:t>September 2025</w:t>
            </w:r>
          </w:p>
        </w:tc>
        <w:tc>
          <w:tcPr>
            <w:tcW w:w="2386" w:type="pct"/>
          </w:tcPr>
          <w:p w14:paraId="17C650B8" w14:textId="6559C06E" w:rsidR="00324B33" w:rsidRPr="00D01DDB" w:rsidRDefault="00547D70" w:rsidP="004251BA">
            <w:pPr>
              <w:cnfStyle w:val="000000000000" w:firstRow="0" w:lastRow="0" w:firstColumn="0" w:lastColumn="0" w:oddVBand="0" w:evenVBand="0" w:oddHBand="0" w:evenHBand="0" w:firstRowFirstColumn="0" w:firstRowLastColumn="0" w:lastRowFirstColumn="0" w:lastRowLastColumn="0"/>
            </w:pPr>
            <w:r w:rsidRPr="00547D70">
              <w:t xml:space="preserve">Active immunization against coronavirus disease 2019 (COVID-19) caused by the severe acute respiratory syndrome coronavirus 2 (SARS-CoV-2) virus in </w:t>
            </w:r>
            <w:r w:rsidR="006F20DB" w:rsidRPr="006F20DB">
              <w:t>previously vaccinated individuals 18 years of age and older</w:t>
            </w:r>
            <w:r w:rsidR="00450F2B">
              <w:t>.</w:t>
            </w:r>
            <w:r w:rsidR="006F20DB" w:rsidRPr="006F20DB">
              <w:t xml:space="preserve"> </w:t>
            </w:r>
          </w:p>
        </w:tc>
      </w:tr>
    </w:tbl>
    <w:p w14:paraId="6D92589C" w14:textId="6A5A1E57" w:rsidR="00324B33" w:rsidRDefault="00324B33" w:rsidP="00324B33">
      <w:pPr>
        <w:pStyle w:val="Heading2"/>
      </w:pPr>
      <w:bookmarkStart w:id="25" w:name="_Toc504480011"/>
      <w:bookmarkStart w:id="26" w:name="_Toc103679293"/>
      <w:bookmarkStart w:id="27" w:name="_Toc230003582"/>
      <w:r>
        <w:t>Registration timeline</w:t>
      </w:r>
      <w:bookmarkEnd w:id="25"/>
      <w:bookmarkEnd w:id="26"/>
      <w:bookmarkEnd w:id="27"/>
      <w:r w:rsidR="00B03ADC">
        <w:fldChar w:fldCharType="begin"/>
      </w:r>
      <w:r w:rsidR="00B03ADC">
        <w:instrText xml:space="preserve"> DOCVARIABLE vault_nd_15c57ef8-a744-4bdd-b8c4-4802e7483035 \* MERGEFORMAT </w:instrText>
      </w:r>
      <w:r w:rsidR="00B03ADC">
        <w:fldChar w:fldCharType="separate"/>
      </w:r>
      <w:r w:rsidR="00B03ADC">
        <w:t xml:space="preserve"> </w:t>
      </w:r>
      <w:r w:rsidR="00B03ADC">
        <w:fldChar w:fldCharType="end"/>
      </w:r>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4628C5F" w14:textId="5BDE2344"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00467DBD">
        <w:t>.</w:t>
      </w:r>
      <w:r w:rsidRPr="002C1232">
        <w:t xml:space="preserve"> Timeline for Submission PM-202</w:t>
      </w:r>
      <w:r w:rsidR="00DD7B10">
        <w:t>4</w:t>
      </w:r>
      <w:r w:rsidRPr="002C1232">
        <w:t>-</w:t>
      </w:r>
      <w:r w:rsidR="00DD7B10">
        <w:t>05463</w:t>
      </w:r>
      <w:r w:rsidRPr="002C1232">
        <w:t>-1-</w:t>
      </w:r>
      <w:r w:rsidR="00DD7B10">
        <w:t>2</w:t>
      </w:r>
      <w:r w:rsidR="00467DBD">
        <w:t>.</w:t>
      </w:r>
      <w:fldSimple w:instr=" DOCVARIABLE vault_nd_752e60e1-1af0-4849-bb72-aaf5b6751c34 \* MERGEFORMAT ">
        <w:r w:rsidR="00B03ADC">
          <w:t xml:space="preserve"> </w:t>
        </w:r>
      </w:fldSimple>
    </w:p>
    <w:tbl>
      <w:tblPr>
        <w:tblStyle w:val="TableTGAblue2023"/>
        <w:tblW w:w="9209" w:type="dxa"/>
        <w:tblLook w:val="04A0" w:firstRow="1" w:lastRow="0" w:firstColumn="1" w:lastColumn="0" w:noHBand="0" w:noVBand="1"/>
      </w:tblPr>
      <w:tblGrid>
        <w:gridCol w:w="6941"/>
        <w:gridCol w:w="2268"/>
      </w:tblGrid>
      <w:tr w:rsidR="00324B33" w:rsidRPr="00D01DDB" w14:paraId="6C59BE9C" w14:textId="77777777" w:rsidTr="00425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4251BA">
        <w:tc>
          <w:tcPr>
            <w:cnfStyle w:val="001000000000" w:firstRow="0" w:lastRow="0" w:firstColumn="1" w:lastColumn="0" w:oddVBand="0" w:evenVBand="0" w:oddHBand="0" w:evenHBand="0" w:firstRowFirstColumn="0" w:firstRowLastColumn="0" w:lastRowFirstColumn="0" w:lastRowLastColumn="0"/>
            <w:tcW w:w="6941" w:type="dxa"/>
          </w:tcPr>
          <w:p w14:paraId="759D2A12" w14:textId="0D705F83" w:rsidR="00324B33" w:rsidRPr="00E679D1" w:rsidRDefault="00324B33" w:rsidP="00E679D1">
            <w:r w:rsidRPr="00E679D1">
              <w:t>Submission dossier accepted and first round evaluation commenced</w:t>
            </w:r>
          </w:p>
        </w:tc>
        <w:tc>
          <w:tcPr>
            <w:tcW w:w="2268" w:type="dxa"/>
          </w:tcPr>
          <w:p w14:paraId="2963D9D8" w14:textId="45E82657" w:rsidR="00324B33" w:rsidRPr="00D01DDB" w:rsidRDefault="0010555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January 2025</w:t>
            </w:r>
          </w:p>
        </w:tc>
      </w:tr>
      <w:tr w:rsidR="00803926" w:rsidRPr="00D01DDB" w14:paraId="16D13F79" w14:textId="77777777" w:rsidTr="004251BA">
        <w:tc>
          <w:tcPr>
            <w:cnfStyle w:val="001000000000" w:firstRow="0" w:lastRow="0" w:firstColumn="1" w:lastColumn="0" w:oddVBand="0" w:evenVBand="0" w:oddHBand="0" w:evenHBand="0" w:firstRowFirstColumn="0" w:firstRowLastColumn="0" w:lastRowFirstColumn="0" w:lastRowLastColumn="0"/>
            <w:tcW w:w="6941"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268" w:type="dxa"/>
          </w:tcPr>
          <w:p w14:paraId="2E0BD403" w14:textId="0CA2B92E" w:rsidR="00803926" w:rsidRPr="00D01DDB" w:rsidRDefault="00A45C4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October 20</w:t>
            </w:r>
            <w:r w:rsidR="005A6136">
              <w:rPr>
                <w:szCs w:val="22"/>
              </w:rPr>
              <w:t>25</w:t>
            </w:r>
          </w:p>
        </w:tc>
      </w:tr>
      <w:tr w:rsidR="00324B33" w:rsidRPr="00D01DDB" w14:paraId="6E5D32FE" w14:textId="77777777" w:rsidTr="004251BA">
        <w:tc>
          <w:tcPr>
            <w:cnfStyle w:val="001000000000" w:firstRow="0" w:lastRow="0" w:firstColumn="1" w:lastColumn="0" w:oddVBand="0" w:evenVBand="0" w:oddHBand="0" w:evenHBand="0" w:firstRowFirstColumn="0" w:firstRowLastColumn="0" w:lastRowFirstColumn="0" w:lastRowLastColumn="0"/>
            <w:tcW w:w="6941" w:type="dxa"/>
          </w:tcPr>
          <w:p w14:paraId="4E95C44C" w14:textId="7A91C710" w:rsidR="00324B33" w:rsidRPr="00E679D1" w:rsidRDefault="00324B33" w:rsidP="00E679D1">
            <w:r w:rsidRPr="00E679D1">
              <w:t>Registration decision (Outcome)</w:t>
            </w:r>
          </w:p>
        </w:tc>
        <w:tc>
          <w:tcPr>
            <w:tcW w:w="2268" w:type="dxa"/>
          </w:tcPr>
          <w:p w14:paraId="62987ABD" w14:textId="4C52FBE6" w:rsidR="00324B33" w:rsidRPr="00D01DDB" w:rsidRDefault="005A61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December 2025</w:t>
            </w:r>
          </w:p>
        </w:tc>
      </w:tr>
      <w:tr w:rsidR="00324B33" w:rsidRPr="00D01DDB" w14:paraId="6DDCDDA4" w14:textId="77777777" w:rsidTr="004251BA">
        <w:tc>
          <w:tcPr>
            <w:cnfStyle w:val="001000000000" w:firstRow="0" w:lastRow="0" w:firstColumn="1" w:lastColumn="0" w:oddVBand="0" w:evenVBand="0" w:oddHBand="0" w:evenHBand="0" w:firstRowFirstColumn="0" w:firstRowLastColumn="0" w:lastRowFirstColumn="0" w:lastRowLastColumn="0"/>
            <w:tcW w:w="6941" w:type="dxa"/>
          </w:tcPr>
          <w:p w14:paraId="192FD19D" w14:textId="3A0D1BCD" w:rsidR="00324B33" w:rsidRPr="00E679D1" w:rsidRDefault="0013132F"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268" w:type="dxa"/>
          </w:tcPr>
          <w:p w14:paraId="5A8923FD" w14:textId="26811BFD" w:rsidR="00324B33" w:rsidRPr="00D01DDB" w:rsidRDefault="008C4B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18 </w:t>
            </w:r>
            <w:r w:rsidR="00E70445">
              <w:rPr>
                <w:szCs w:val="22"/>
              </w:rPr>
              <w:t>December</w:t>
            </w:r>
            <w:r>
              <w:rPr>
                <w:szCs w:val="22"/>
              </w:rPr>
              <w:t xml:space="preserve"> 202</w:t>
            </w:r>
            <w:r w:rsidR="00B96B5C">
              <w:rPr>
                <w:szCs w:val="22"/>
              </w:rPr>
              <w:t>5</w:t>
            </w:r>
          </w:p>
        </w:tc>
      </w:tr>
      <w:tr w:rsidR="00324B33" w:rsidRPr="00D01DDB" w14:paraId="56D922E2" w14:textId="77777777" w:rsidTr="004251BA">
        <w:tc>
          <w:tcPr>
            <w:cnfStyle w:val="001000000000" w:firstRow="0" w:lastRow="0" w:firstColumn="1" w:lastColumn="0" w:oddVBand="0" w:evenVBand="0" w:oddHBand="0" w:evenHBand="0" w:firstRowFirstColumn="0" w:firstRowLastColumn="0" w:lastRowFirstColumn="0" w:lastRowLastColumn="0"/>
            <w:tcW w:w="6941"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47AC2C95" w:rsidR="00324B33" w:rsidRPr="00D01DDB" w:rsidRDefault="005A302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152</w:t>
            </w:r>
          </w:p>
        </w:tc>
      </w:tr>
    </w:tbl>
    <w:p w14:paraId="47E88CFC" w14:textId="7292A7F3" w:rsidR="00433318" w:rsidRDefault="00433318" w:rsidP="00750A67">
      <w:pPr>
        <w:pStyle w:val="TableDescription"/>
      </w:pPr>
      <w:r>
        <w:t>*</w:t>
      </w:r>
      <w:r w:rsidRPr="00BF3774">
        <w:t xml:space="preserve">Statutory </w:t>
      </w:r>
      <w:r>
        <w:t>timeframe for standard submissions is 255 working days</w:t>
      </w:r>
    </w:p>
    <w:p w14:paraId="220925F1" w14:textId="3D263A6E" w:rsidR="00C22214" w:rsidRPr="00792A32" w:rsidRDefault="00083763" w:rsidP="00C22214">
      <w:pPr>
        <w:pStyle w:val="Heading2"/>
      </w:pPr>
      <w:bookmarkStart w:id="28" w:name="_Toc196046504"/>
      <w:bookmarkStart w:id="29" w:name="_Toc247691527"/>
      <w:bookmarkStart w:id="30" w:name="_Toc314842510"/>
      <w:bookmarkStart w:id="31" w:name="_Toc103679294"/>
      <w:bookmarkStart w:id="32" w:name="_Toc230003583"/>
      <w:r>
        <w:t xml:space="preserve">Assessment </w:t>
      </w:r>
      <w:r w:rsidR="00C22214" w:rsidRPr="00006FAB">
        <w:t>overview</w:t>
      </w:r>
      <w:bookmarkEnd w:id="28"/>
      <w:bookmarkEnd w:id="29"/>
      <w:bookmarkEnd w:id="30"/>
      <w:bookmarkEnd w:id="31"/>
      <w:bookmarkEnd w:id="32"/>
      <w:r w:rsidR="00B03ADC">
        <w:fldChar w:fldCharType="begin"/>
      </w:r>
      <w:r w:rsidR="00B03ADC">
        <w:instrText xml:space="preserve"> DOCVARIABLE vault_nd_55ed71a0-cbf8-48b1-908a-53b309acd4e8 \* MERGEFORMAT </w:instrText>
      </w:r>
      <w:r w:rsidR="00B03ADC">
        <w:fldChar w:fldCharType="separate"/>
      </w:r>
      <w:r w:rsidR="00B03ADC">
        <w:t xml:space="preserve"> </w:t>
      </w:r>
      <w:r w:rsidR="00B03ADC">
        <w:fldChar w:fldCharType="end"/>
      </w:r>
    </w:p>
    <w:p w14:paraId="540151FC" w14:textId="77777777" w:rsidR="00C22214" w:rsidRPr="00BD5DBD" w:rsidRDefault="00C22214" w:rsidP="00BD5DBD">
      <w:pPr>
        <w:rPr>
          <w:szCs w:val="22"/>
        </w:rPr>
      </w:pPr>
      <w:bookmarkStart w:id="33" w:name="_Toc247691528"/>
      <w:bookmarkStart w:id="34" w:name="_Toc314842511"/>
      <w:r w:rsidRPr="00BD5DBD">
        <w:rPr>
          <w:szCs w:val="22"/>
        </w:rPr>
        <w:t>A summary of the TGA’s assessment for this submission is provided below.</w:t>
      </w:r>
    </w:p>
    <w:p w14:paraId="37F5A1C0" w14:textId="141EC0C0" w:rsidR="00C22214" w:rsidRDefault="00095C6A" w:rsidP="00C22214">
      <w:pPr>
        <w:pStyle w:val="Heading3"/>
      </w:pPr>
      <w:bookmarkStart w:id="35" w:name="_Toc103679295"/>
      <w:bookmarkStart w:id="36" w:name="_Toc230003584"/>
      <w:r>
        <w:t>Q</w:t>
      </w:r>
      <w:r w:rsidR="00C22214">
        <w:t>uality</w:t>
      </w:r>
      <w:bookmarkEnd w:id="33"/>
      <w:bookmarkEnd w:id="34"/>
      <w:bookmarkEnd w:id="35"/>
      <w:r w:rsidR="007E6443">
        <w:t xml:space="preserve"> evaluation</w:t>
      </w:r>
      <w:r>
        <w:t xml:space="preserve"> summary</w:t>
      </w:r>
      <w:bookmarkEnd w:id="36"/>
      <w:r w:rsidR="00B03ADC">
        <w:fldChar w:fldCharType="begin"/>
      </w:r>
      <w:r w:rsidR="00B03ADC">
        <w:instrText xml:space="preserve"> DOCVARIABLE vault_nd_58f1b155-1735-4ef6-88bb-17f6a4d0a9a7 \* MERGEFORMAT </w:instrText>
      </w:r>
      <w:r w:rsidR="00B03ADC">
        <w:fldChar w:fldCharType="separate"/>
      </w:r>
      <w:r w:rsidR="00B03ADC">
        <w:t xml:space="preserve"> </w:t>
      </w:r>
      <w:r w:rsidR="00B03ADC">
        <w:fldChar w:fldCharType="end"/>
      </w:r>
    </w:p>
    <w:p w14:paraId="50EBCE8A" w14:textId="73DC8288" w:rsidR="0047143E" w:rsidRPr="0047143E" w:rsidRDefault="0047143E" w:rsidP="0047143E">
      <w:r w:rsidRPr="0047143E">
        <w:t xml:space="preserve">Moderna Australia Pty Ltd submitted a Category 1 Type A application to register a </w:t>
      </w:r>
      <w:r w:rsidR="00602CFD">
        <w:t>n</w:t>
      </w:r>
      <w:r w:rsidRPr="0047143E">
        <w:t xml:space="preserve">ew </w:t>
      </w:r>
      <w:r w:rsidR="00602CFD">
        <w:t>b</w:t>
      </w:r>
      <w:r w:rsidRPr="0047143E">
        <w:t xml:space="preserve">iological </w:t>
      </w:r>
      <w:r w:rsidR="00602CFD">
        <w:t>e</w:t>
      </w:r>
      <w:r w:rsidRPr="0047143E">
        <w:t>ntity (vaccine):</w:t>
      </w:r>
    </w:p>
    <w:p w14:paraId="015F629F" w14:textId="21205CEC" w:rsidR="0047143E" w:rsidRPr="0047143E" w:rsidRDefault="0047143E" w:rsidP="0047143E">
      <w:pPr>
        <w:numPr>
          <w:ilvl w:val="0"/>
          <w:numId w:val="14"/>
        </w:numPr>
      </w:pPr>
      <w:r w:rsidRPr="0047143E">
        <w:t xml:space="preserve">mNEXSPIKE XBB.1.5 (SARS-CoV-2 spike protein (mRNA) XBB.1.5) COVID-19 </w:t>
      </w:r>
      <w:r w:rsidR="00FC2CFB">
        <w:t>Vaccine</w:t>
      </w:r>
      <w:r w:rsidRPr="0047143E">
        <w:t xml:space="preserve">, 10 micrograms in 0.2 mL, suspension for injection, pre-filled syringe </w:t>
      </w:r>
    </w:p>
    <w:p w14:paraId="00EACF9B" w14:textId="77777777" w:rsidR="0047143E" w:rsidRPr="0047143E" w:rsidRDefault="0047143E" w:rsidP="0047143E">
      <w:r w:rsidRPr="0047143E">
        <w:t>The proposed product is an mRNA vaccine intended for active immunisation for the prevention of coronavirus disease 2019 (COVID-19) caused by SARS-CoV</w:t>
      </w:r>
      <w:r w:rsidRPr="0047143E">
        <w:noBreakHyphen/>
        <w:t xml:space="preserve">2 in individuals 12 years of age and older. The active ingredient is mRNA-1283, and the Australian Biological Name (ABN) is SARS-CoV-2 spike protein (mRNA) XBB.1.5. </w:t>
      </w:r>
    </w:p>
    <w:p w14:paraId="4B2B1180" w14:textId="77777777" w:rsidR="0047143E" w:rsidRPr="0047143E" w:rsidRDefault="0047143E" w:rsidP="0047143E">
      <w:r w:rsidRPr="0047143E">
        <w:t>In this submission, the proposed COVID-19 variant used in mRNA-1283 is Omicron XBB.1.5 (RNA</w:t>
      </w:r>
      <w:r w:rsidRPr="0047143E">
        <w:noBreakHyphen/>
        <w:t>101-B815).</w:t>
      </w:r>
    </w:p>
    <w:p w14:paraId="4E4B2B13" w14:textId="20AC069B" w:rsidR="0047143E" w:rsidRPr="0047143E" w:rsidRDefault="0047143E" w:rsidP="0047143E">
      <w:r w:rsidRPr="0047143E">
        <w:t>The mRNA-1283 encodes for the membrane-bound linked N-terminal domain (NTD) and receptor</w:t>
      </w:r>
      <w:r w:rsidRPr="0047143E">
        <w:noBreakHyphen/>
        <w:t xml:space="preserve">binding domain (RBD) of the spike (S) glycoprotein of SARS-CoV-2, which contain the immunodominant epitopes for protective immune responses. The encoded RBD-NTD are linked </w:t>
      </w:r>
      <w:r w:rsidRPr="0047143E">
        <w:lastRenderedPageBreak/>
        <w:t>together</w:t>
      </w:r>
      <w:r w:rsidR="00617C7A">
        <w:t xml:space="preserve">, </w:t>
      </w:r>
      <w:r w:rsidRPr="0047143E">
        <w:t>which anchors the linked RBD-NTD polypeptide into the cell membrane of antigen-expressing cells. The vaccine elicits an immune response to the RBD and NTD of the Spike protein, which protects against COVID-19.</w:t>
      </w:r>
    </w:p>
    <w:p w14:paraId="34C05976" w14:textId="5D465757" w:rsidR="0047143E" w:rsidRDefault="0047143E" w:rsidP="0047143E">
      <w:r w:rsidRPr="0047143E">
        <w:t>For comparison, the mRNA-1273 used in the currently registered S</w:t>
      </w:r>
      <w:r w:rsidR="005A5C98">
        <w:t>pikevax</w:t>
      </w:r>
      <w:r w:rsidRPr="0047143E">
        <w:t xml:space="preserve"> COVID-19 vaccine encodes for the full-length spike protein of SARS-CoV-2, and after translation, three (3) protomers combine into a membrane-bound spike trimer (</w:t>
      </w:r>
      <w:r w:rsidRPr="0047143E">
        <w:fldChar w:fldCharType="begin"/>
      </w:r>
      <w:r w:rsidRPr="0047143E">
        <w:instrText xml:space="preserve"> REF _Ref195716404 \h </w:instrText>
      </w:r>
      <w:r w:rsidRPr="0047143E">
        <w:fldChar w:fldCharType="separate"/>
      </w:r>
      <w:r w:rsidRPr="0047143E">
        <w:t>Figure 1</w:t>
      </w:r>
      <w:r w:rsidRPr="0047143E">
        <w:fldChar w:fldCharType="end"/>
      </w:r>
      <w:r w:rsidRPr="0047143E">
        <w:t>).</w:t>
      </w:r>
    </w:p>
    <w:p w14:paraId="54CDF245" w14:textId="585C84FE" w:rsidR="004251BA" w:rsidRDefault="000227CE" w:rsidP="00985C9B">
      <w:pPr>
        <w:pStyle w:val="FigureTitle"/>
      </w:pPr>
      <w:bookmarkStart w:id="37" w:name="_Ref195716404"/>
      <w:r w:rsidRPr="000227CE">
        <w:t xml:space="preserve">Figure </w:t>
      </w:r>
      <w:r w:rsidRPr="000227CE">
        <w:fldChar w:fldCharType="begin"/>
      </w:r>
      <w:r w:rsidRPr="000227CE">
        <w:instrText xml:space="preserve"> SEQ Figure \* ARABIC </w:instrText>
      </w:r>
      <w:r w:rsidRPr="000227CE">
        <w:fldChar w:fldCharType="separate"/>
      </w:r>
      <w:r w:rsidRPr="000227CE">
        <w:t>1</w:t>
      </w:r>
      <w:r w:rsidRPr="000227CE">
        <w:fldChar w:fldCharType="end"/>
      </w:r>
      <w:bookmarkEnd w:id="37"/>
      <w:r w:rsidR="000B56B4">
        <w:t>.</w:t>
      </w:r>
      <w:r w:rsidRPr="000227CE">
        <w:t xml:space="preserve"> Structural design of the antigens encoded by mRNA-1283 and mRNA-1273</w:t>
      </w:r>
      <w:r w:rsidR="000B56B4">
        <w:t>.</w:t>
      </w:r>
    </w:p>
    <w:p w14:paraId="7588B3C9" w14:textId="4F1FED44" w:rsidR="000227CE" w:rsidRPr="0047143E" w:rsidRDefault="004251BA" w:rsidP="004251BA">
      <w:r>
        <w:rPr>
          <w:noProof/>
        </w:rPr>
        <mc:AlternateContent>
          <mc:Choice Requires="wps">
            <w:drawing>
              <wp:anchor distT="0" distB="0" distL="114300" distR="114300" simplePos="0" relativeHeight="251659264" behindDoc="0" locked="0" layoutInCell="1" allowOverlap="1" wp14:anchorId="16DE18AE" wp14:editId="46B800AB">
                <wp:simplePos x="0" y="0"/>
                <wp:positionH relativeFrom="margin">
                  <wp:align>left</wp:align>
                </wp:positionH>
                <wp:positionV relativeFrom="paragraph">
                  <wp:posOffset>33654</wp:posOffset>
                </wp:positionV>
                <wp:extent cx="19050" cy="2790825"/>
                <wp:effectExtent l="0" t="0" r="19050" b="28575"/>
                <wp:wrapNone/>
                <wp:docPr id="130366908" name="Straight Connector 1"/>
                <wp:cNvGraphicFramePr/>
                <a:graphic xmlns:a="http://schemas.openxmlformats.org/drawingml/2006/main">
                  <a:graphicData uri="http://schemas.microsoft.com/office/word/2010/wordprocessingShape">
                    <wps:wsp>
                      <wps:cNvCnPr/>
                      <wps:spPr>
                        <a:xfrm>
                          <a:off x="0" y="0"/>
                          <a:ext cx="1905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746B1"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5pt" to="1.5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" strokecolor="#4472c4 [3204]" strokeweight=".5pt">
                <v:stroke joinstyle="miter"/>
                <w10:wrap anchorx="margin"/>
              </v:line>
            </w:pict>
          </mc:Fallback>
        </mc:AlternateContent>
      </w:r>
      <w:r>
        <w:rPr>
          <w:noProof/>
        </w:rPr>
        <w:drawing>
          <wp:inline distT="0" distB="0" distL="0" distR="0" wp14:anchorId="0CC667FB" wp14:editId="4B8845E2">
            <wp:extent cx="4867275" cy="2901737"/>
            <wp:effectExtent l="0" t="0" r="0" b="0"/>
            <wp:docPr id="1698520090" name="Picture 1" descr="Figure 1. Structural design of the antigens encoded by mRNA-1283 and mRNA-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20090" name="Picture 1" descr="Figure 1. Structural design of the antigens encoded by mRNA-1283 and mRNA-1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1063" cy="2933804"/>
                    </a:xfrm>
                    <a:prstGeom prst="rect">
                      <a:avLst/>
                    </a:prstGeom>
                    <a:noFill/>
                  </pic:spPr>
                </pic:pic>
              </a:graphicData>
            </a:graphic>
          </wp:inline>
        </w:drawing>
      </w:r>
    </w:p>
    <w:p w14:paraId="0FB2A069" w14:textId="5DFE3070" w:rsidR="0099405D" w:rsidRPr="0099405D" w:rsidRDefault="0099405D" w:rsidP="0099405D">
      <w:r w:rsidRPr="0099405D">
        <w:t>The drug product (DP) is supplied as a sterile, single-dose, ready-to-use liquid solution at 10 µg/0.2 mL for intramuscular (IM) administration in a 1 mL pre-filled syringe (PFS). Each PFS delivers 10 µg of RNA and 200 µg of total lipids as a whi</w:t>
      </w:r>
      <w:r w:rsidR="005A3A3C">
        <w:t>t</w:t>
      </w:r>
      <w:r w:rsidRPr="0099405D">
        <w:t xml:space="preserve">e to off-white dispersion in </w:t>
      </w:r>
      <w:r w:rsidR="005B7249">
        <w:t>a</w:t>
      </w:r>
      <w:r w:rsidR="00CA43A9">
        <w:t xml:space="preserve"> </w:t>
      </w:r>
      <w:r w:rsidRPr="0099405D">
        <w:t>preservative-free buffer</w:t>
      </w:r>
      <w:r w:rsidR="005B7249">
        <w:t>.</w:t>
      </w:r>
      <w:r w:rsidRPr="0099405D">
        <w:t xml:space="preserve"> </w:t>
      </w:r>
    </w:p>
    <w:p w14:paraId="606FAB2E" w14:textId="42135EA1" w:rsidR="00227003" w:rsidRPr="00227003" w:rsidRDefault="00522170" w:rsidP="00227003">
      <w:r w:rsidRPr="00ED281B">
        <w:t xml:space="preserve">The proposed </w:t>
      </w:r>
      <w:r w:rsidR="00ED281B" w:rsidRPr="00ED281B">
        <w:t>pack sizes for registration were</w:t>
      </w:r>
      <w:r w:rsidR="00227003" w:rsidRPr="00227003">
        <w:t xml:space="preserve"> 1, 2 and 10 pack</w:t>
      </w:r>
      <w:r w:rsidR="00ED281B">
        <w:t>s, however n</w:t>
      </w:r>
      <w:r w:rsidR="00227003" w:rsidRPr="00227003">
        <w:t>ot all pack sizes may be marketed.</w:t>
      </w:r>
      <w:r w:rsidR="00ED281B">
        <w:t xml:space="preserve"> </w:t>
      </w:r>
    </w:p>
    <w:p w14:paraId="3706F826" w14:textId="718A39A5" w:rsidR="00227003" w:rsidRPr="00227003" w:rsidRDefault="00911B83" w:rsidP="00911B83">
      <w:r w:rsidRPr="00911B83">
        <w:t xml:space="preserve">In Australia, information on the shelf life can be found on the public summary of the Australian Register of Therapeutic Goods (ARTG). The expiry date can be found on the packaging. </w:t>
      </w:r>
      <w:r w:rsidR="007D4EE7">
        <w:t xml:space="preserve">The drug product can be stored for </w:t>
      </w:r>
      <w:r w:rsidRPr="00911B83">
        <w:t>9 months at -40</w:t>
      </w:r>
      <w:r w:rsidRPr="00911B83">
        <w:rPr>
          <w:vertAlign w:val="superscript"/>
        </w:rPr>
        <w:t>o</w:t>
      </w:r>
      <w:r w:rsidR="008F40FE">
        <w:t xml:space="preserve"> </w:t>
      </w:r>
      <w:r w:rsidRPr="00911B83">
        <w:t>C to -15</w:t>
      </w:r>
      <w:r w:rsidRPr="00911B83">
        <w:rPr>
          <w:vertAlign w:val="superscript"/>
        </w:rPr>
        <w:t>o</w:t>
      </w:r>
      <w:r w:rsidR="008F40FE">
        <w:t xml:space="preserve"> </w:t>
      </w:r>
      <w:r w:rsidRPr="00911B83">
        <w:t>C. Within the period of 9 months, after removal from the freezer, pre-filled syringes may be stored refrigerated at 2°C to 8°C, protected from light, for 30 days</w:t>
      </w:r>
      <w:r w:rsidR="0066409A">
        <w:t xml:space="preserve">. </w:t>
      </w:r>
      <w:r w:rsidRPr="00911B83">
        <w:t>Once thawed, the vaccine should not be refrozen. Pre-filled syringes may be stored at 23°C</w:t>
      </w:r>
      <w:r w:rsidR="0066409A">
        <w:t xml:space="preserve"> </w:t>
      </w:r>
      <w:r w:rsidRPr="00911B83">
        <w:t>to 27°C</w:t>
      </w:r>
      <w:r w:rsidR="0066409A">
        <w:t xml:space="preserve"> </w:t>
      </w:r>
      <w:r w:rsidR="0069560D">
        <w:t xml:space="preserve">for </w:t>
      </w:r>
      <w:r w:rsidRPr="00911B83">
        <w:t>up to 24 hours after removal from refrigerated conditions</w:t>
      </w:r>
      <w:r w:rsidR="006B3970">
        <w:t xml:space="preserve"> at the point of care site</w:t>
      </w:r>
      <w:r w:rsidRPr="00911B83">
        <w:t xml:space="preserve">. The pre-filled syringe is for single use in one patient only. </w:t>
      </w:r>
    </w:p>
    <w:p w14:paraId="0AFD449A" w14:textId="77777777" w:rsidR="006B3970" w:rsidRPr="006B3970" w:rsidRDefault="006B3970" w:rsidP="006B3970">
      <w:r w:rsidRPr="006B3970">
        <w:t>The quality and manufacturing evaluator has raised no objection to the registration of mRNA-1283.</w:t>
      </w:r>
    </w:p>
    <w:p w14:paraId="2BE90AAE" w14:textId="7E4D2A1E" w:rsidR="00C22214" w:rsidRDefault="00C22214" w:rsidP="00C22214">
      <w:pPr>
        <w:pStyle w:val="Heading3"/>
      </w:pPr>
      <w:bookmarkStart w:id="38" w:name="_Toc314842512"/>
      <w:bookmarkStart w:id="39" w:name="_Toc103679296"/>
      <w:bookmarkStart w:id="40" w:name="_Toc230003585"/>
      <w:r>
        <w:t>Nonclinical</w:t>
      </w:r>
      <w:bookmarkEnd w:id="38"/>
      <w:bookmarkEnd w:id="39"/>
      <w:r w:rsidR="007E6443">
        <w:t xml:space="preserve"> evaluation</w:t>
      </w:r>
      <w:r w:rsidR="00095C6A">
        <w:t xml:space="preserve"> summary</w:t>
      </w:r>
      <w:bookmarkEnd w:id="40"/>
      <w:r w:rsidR="00B03ADC">
        <w:fldChar w:fldCharType="begin"/>
      </w:r>
      <w:r w:rsidR="00B03ADC">
        <w:instrText xml:space="preserve"> DOCVARIABLE vault_nd_811cc340-51da-42c9-94cb-cee782a66e28 \* MERGEFORMAT </w:instrText>
      </w:r>
      <w:r w:rsidR="00B03ADC">
        <w:fldChar w:fldCharType="separate"/>
      </w:r>
      <w:r w:rsidR="00B03ADC">
        <w:t xml:space="preserve"> </w:t>
      </w:r>
      <w:r w:rsidR="00B03ADC">
        <w:fldChar w:fldCharType="end"/>
      </w:r>
    </w:p>
    <w:p w14:paraId="707B762D" w14:textId="392D0CDF" w:rsidR="006E3EB2" w:rsidRPr="006E3EB2" w:rsidRDefault="006E3EB2" w:rsidP="006E3EB2">
      <w:bookmarkStart w:id="41" w:name="_Toc247691530"/>
      <w:bookmarkStart w:id="42" w:name="_Toc314842513"/>
      <w:bookmarkStart w:id="43" w:name="_Toc103679297"/>
      <w:r w:rsidRPr="006E3EB2">
        <w:t>While there are some limitations with the nonclinical efficacy data with mRNA-1283.815, the</w:t>
      </w:r>
      <w:r>
        <w:t xml:space="preserve"> </w:t>
      </w:r>
      <w:r w:rsidRPr="006E3EB2">
        <w:t>totality of data presented (immunogenicity in mice with mRNA-1283.815 and limited data</w:t>
      </w:r>
      <w:r>
        <w:t xml:space="preserve"> </w:t>
      </w:r>
      <w:r w:rsidRPr="006E3EB2">
        <w:t>suggesting similar protective efficacy in mice with variant-matched mRNA</w:t>
      </w:r>
      <w:r w:rsidR="00265AF5">
        <w:t>-</w:t>
      </w:r>
      <w:r w:rsidRPr="006E3EB2">
        <w:t>1283 and</w:t>
      </w:r>
      <w:r>
        <w:t xml:space="preserve"> </w:t>
      </w:r>
      <w:r w:rsidRPr="006E3EB2">
        <w:t>mRNA</w:t>
      </w:r>
      <w:r w:rsidR="00265AF5">
        <w:t>-</w:t>
      </w:r>
      <w:r w:rsidRPr="006E3EB2">
        <w:t>1273 vaccines, albeit not specifically targeting XBB.1.5) lend some support for efficacy,</w:t>
      </w:r>
      <w:r w:rsidR="00700F79">
        <w:t xml:space="preserve"> </w:t>
      </w:r>
      <w:r w:rsidRPr="006E3EB2">
        <w:t>noting that adequate clinical efficacy data are required and should address some of the</w:t>
      </w:r>
      <w:r w:rsidR="00700F79">
        <w:t xml:space="preserve"> </w:t>
      </w:r>
      <w:r w:rsidRPr="006E3EB2">
        <w:t>limitations noted above.</w:t>
      </w:r>
    </w:p>
    <w:p w14:paraId="25232D54" w14:textId="25B21365" w:rsidR="006E3EB2" w:rsidRPr="006E3EB2" w:rsidRDefault="006E3EB2" w:rsidP="006E3EB2">
      <w:r w:rsidRPr="006E3EB2">
        <w:lastRenderedPageBreak/>
        <w:t>The absence of a biodistribution study specifically with a mRNA</w:t>
      </w:r>
      <w:r w:rsidR="00265AF5">
        <w:t>-</w:t>
      </w:r>
      <w:r w:rsidRPr="006E3EB2">
        <w:t>1283-variant is not a major</w:t>
      </w:r>
      <w:r w:rsidR="00700F79">
        <w:t xml:space="preserve"> </w:t>
      </w:r>
      <w:r w:rsidRPr="006E3EB2">
        <w:t xml:space="preserve">deficiency, though not ideal. Based on data with </w:t>
      </w:r>
      <w:r w:rsidR="00970C01">
        <w:t>l</w:t>
      </w:r>
      <w:r w:rsidR="00970C01" w:rsidRPr="000564F9">
        <w:t xml:space="preserve">ipid nanoparticle </w:t>
      </w:r>
      <w:r w:rsidR="00970C01">
        <w:t>(</w:t>
      </w:r>
      <w:r w:rsidRPr="006E3EB2">
        <w:t>LNP</w:t>
      </w:r>
      <w:r w:rsidR="00970C01">
        <w:t>)</w:t>
      </w:r>
      <w:r w:rsidRPr="006E3EB2">
        <w:t>-surrogates, the distribution of lipids</w:t>
      </w:r>
      <w:r w:rsidR="00970C01">
        <w:t xml:space="preserve"> </w:t>
      </w:r>
      <w:r w:rsidRPr="006E3EB2">
        <w:t>and mRNA (but not protein) with mRNA</w:t>
      </w:r>
      <w:r w:rsidR="00265AF5">
        <w:t>-</w:t>
      </w:r>
      <w:r w:rsidRPr="006E3EB2">
        <w:t xml:space="preserve">1283.815 would be expected to be </w:t>
      </w:r>
      <w:proofErr w:type="gramStart"/>
      <w:r w:rsidRPr="006E3EB2">
        <w:t>similar to</w:t>
      </w:r>
      <w:proofErr w:type="gramEnd"/>
      <w:r w:rsidR="00700F79">
        <w:t xml:space="preserve"> </w:t>
      </w:r>
      <w:r w:rsidRPr="006E3EB2">
        <w:t>currently and previously approved mRNA</w:t>
      </w:r>
      <w:r w:rsidR="00265AF5">
        <w:t>-</w:t>
      </w:r>
      <w:r w:rsidRPr="006E3EB2">
        <w:t>1273 variants. The fate and longevity of expressed</w:t>
      </w:r>
      <w:r w:rsidR="00E762A1">
        <w:t xml:space="preserve"> </w:t>
      </w:r>
      <w:r w:rsidRPr="006E3EB2">
        <w:t xml:space="preserve">protein from mRNA-1283.815 is not known. </w:t>
      </w:r>
    </w:p>
    <w:p w14:paraId="0CE4CB26" w14:textId="1854A105" w:rsidR="006E3EB2" w:rsidRPr="006E3EB2" w:rsidRDefault="006E3EB2" w:rsidP="006E3EB2">
      <w:r w:rsidRPr="006E3EB2">
        <w:t>The safety of the lipid composition of the proposed vaccine has been adequately assessed</w:t>
      </w:r>
      <w:r w:rsidR="00E762A1">
        <w:t xml:space="preserve"> </w:t>
      </w:r>
      <w:r w:rsidRPr="006E3EB2">
        <w:t xml:space="preserve">based on previously submitted studies and extensive clinical use. </w:t>
      </w:r>
      <w:proofErr w:type="gramStart"/>
      <w:r w:rsidRPr="006E3EB2">
        <w:t>In regard to</w:t>
      </w:r>
      <w:proofErr w:type="gramEnd"/>
      <w:r w:rsidRPr="006E3EB2">
        <w:t xml:space="preserve"> the protein</w:t>
      </w:r>
      <w:r w:rsidR="00E762A1">
        <w:t xml:space="preserve"> </w:t>
      </w:r>
      <w:r w:rsidRPr="006E3EB2">
        <w:t>expressed from mRNA</w:t>
      </w:r>
      <w:r w:rsidR="00265AF5">
        <w:t>-</w:t>
      </w:r>
      <w:r w:rsidRPr="006E3EB2">
        <w:t>1283.815, there were no unexpected safety signals in two 4-week (2</w:t>
      </w:r>
      <w:r w:rsidR="00E762A1">
        <w:t xml:space="preserve"> </w:t>
      </w:r>
      <w:r w:rsidRPr="006E3EB2">
        <w:t>doses in each study) repeat-dose toxicity studies in rats with mRNA-1283 variants (effects</w:t>
      </w:r>
      <w:r w:rsidR="00E762A1">
        <w:t xml:space="preserve"> </w:t>
      </w:r>
      <w:r w:rsidRPr="006E3EB2">
        <w:t>could largely be attributed to injection site reactions and the expected immune response).</w:t>
      </w:r>
    </w:p>
    <w:p w14:paraId="44062C9C" w14:textId="1C6D84E6" w:rsidR="006E3EB2" w:rsidRPr="006E3EB2" w:rsidRDefault="006E3EB2" w:rsidP="006E3EB2">
      <w:r w:rsidRPr="006E3EB2">
        <w:t>However, one study was limited in scope (particularly set of tissues examined in</w:t>
      </w:r>
      <w:r w:rsidR="00C94501">
        <w:t xml:space="preserve"> </w:t>
      </w:r>
      <w:r w:rsidRPr="006E3EB2">
        <w:t>histopathological analyses) and the studies were of generally short duration, though high</w:t>
      </w:r>
      <w:r w:rsidR="00C94501">
        <w:t xml:space="preserve"> </w:t>
      </w:r>
      <w:r w:rsidRPr="006E3EB2">
        <w:t>relative doses were used, somewhat overcoming the short duration follow-up and</w:t>
      </w:r>
      <w:r w:rsidR="00C94501">
        <w:t xml:space="preserve"> </w:t>
      </w:r>
      <w:r w:rsidRPr="006E3EB2">
        <w:t>uncertainties regarding the effects of any differences in non-coding regions of the mRNA that</w:t>
      </w:r>
      <w:r w:rsidR="00C94501">
        <w:t xml:space="preserve"> </w:t>
      </w:r>
      <w:r w:rsidRPr="006E3EB2">
        <w:t>may alter mRNA stability or translation efficiency. The amino acid differences in protein</w:t>
      </w:r>
      <w:r w:rsidR="00C94501">
        <w:t xml:space="preserve"> </w:t>
      </w:r>
      <w:r w:rsidRPr="006E3EB2">
        <w:t>expressed from mRNA</w:t>
      </w:r>
      <w:r w:rsidR="00265AF5">
        <w:t>-</w:t>
      </w:r>
      <w:r w:rsidRPr="006E3EB2">
        <w:t xml:space="preserve">1283.815 </w:t>
      </w:r>
      <w:r w:rsidRPr="006E3EB2">
        <w:rPr>
          <w:iCs/>
        </w:rPr>
        <w:t xml:space="preserve">cf. </w:t>
      </w:r>
      <w:r w:rsidRPr="006E3EB2">
        <w:t>the variants used in the studies would not be expected to</w:t>
      </w:r>
      <w:r w:rsidR="00C94501">
        <w:t xml:space="preserve"> </w:t>
      </w:r>
      <w:r w:rsidRPr="006E3EB2">
        <w:t>significantly affect the safety profile in similarly designed studies.</w:t>
      </w:r>
    </w:p>
    <w:p w14:paraId="70F354CD" w14:textId="3900B1A6" w:rsidR="00BB7F8F" w:rsidRPr="00BB7F8F" w:rsidRDefault="006E3EB2" w:rsidP="006E3EB2">
      <w:r w:rsidRPr="006E3EB2">
        <w:t>Overall, there were no major safety concerns identified in the submitted Module 4 dossier as</w:t>
      </w:r>
      <w:r w:rsidR="00C94501">
        <w:t xml:space="preserve"> </w:t>
      </w:r>
      <w:r w:rsidRPr="006E3EB2">
        <w:t>well as consideration of previously evaluated studies and historical use of similar LNP-based</w:t>
      </w:r>
      <w:r w:rsidR="00C94501">
        <w:t xml:space="preserve"> </w:t>
      </w:r>
      <w:r w:rsidRPr="006E3EB2">
        <w:t>vaccines that would preclude registration from a nonclinical perspective.</w:t>
      </w:r>
    </w:p>
    <w:p w14:paraId="35B580A5" w14:textId="5506DCAF" w:rsidR="00C22214" w:rsidRDefault="00C22214" w:rsidP="008804CF">
      <w:pPr>
        <w:pStyle w:val="Heading3"/>
      </w:pPr>
      <w:bookmarkStart w:id="44" w:name="_Toc230003586"/>
      <w:r>
        <w:t>Clinical</w:t>
      </w:r>
      <w:bookmarkEnd w:id="41"/>
      <w:bookmarkEnd w:id="42"/>
      <w:bookmarkEnd w:id="43"/>
      <w:r w:rsidR="00095C6A">
        <w:t xml:space="preserve"> evaluation summary</w:t>
      </w:r>
      <w:bookmarkEnd w:id="44"/>
      <w:r w:rsidR="00B03ADC">
        <w:fldChar w:fldCharType="begin"/>
      </w:r>
      <w:r w:rsidR="00B03ADC">
        <w:instrText xml:space="preserve"> DOCVARIABLE vault_nd_21926d43-f5c0-4452-bfaf-900272fd405d \* MERGEFORMAT </w:instrText>
      </w:r>
      <w:r w:rsidR="00B03ADC">
        <w:fldChar w:fldCharType="separate"/>
      </w:r>
      <w:r w:rsidR="00B03ADC">
        <w:t xml:space="preserve"> </w:t>
      </w:r>
      <w:r w:rsidR="00B03ADC">
        <w:fldChar w:fldCharType="end"/>
      </w:r>
    </w:p>
    <w:p w14:paraId="32B0DEDA" w14:textId="03EC38F1" w:rsidR="00C22214" w:rsidRPr="00433318" w:rsidRDefault="00C22214" w:rsidP="00433318">
      <w:pPr>
        <w:pStyle w:val="Heading4"/>
      </w:pPr>
      <w:bookmarkStart w:id="45" w:name="_Toc98931928"/>
      <w:bookmarkStart w:id="46" w:name="_Toc230003587"/>
      <w:r>
        <w:t>Summary of clinical studies</w:t>
      </w:r>
      <w:bookmarkEnd w:id="45"/>
      <w:bookmarkEnd w:id="46"/>
      <w:r w:rsidR="00B03ADC">
        <w:fldChar w:fldCharType="begin"/>
      </w:r>
      <w:r w:rsidR="00B03ADC">
        <w:instrText xml:space="preserve"> DOCVARIABLE vault_nd_409879c4-88bc-43f9-8f1f-485b34d01faf \* MERGEFORMAT </w:instrText>
      </w:r>
      <w:r w:rsidR="00B03ADC">
        <w:fldChar w:fldCharType="separate"/>
      </w:r>
      <w:r w:rsidR="00B03ADC">
        <w:t xml:space="preserve"> </w:t>
      </w:r>
      <w:r w:rsidR="00B03ADC">
        <w:fldChar w:fldCharType="end"/>
      </w:r>
    </w:p>
    <w:p w14:paraId="495E0835" w14:textId="14CDF65A" w:rsidR="00B1194D" w:rsidRPr="00B1194D" w:rsidRDefault="00B1194D" w:rsidP="00B1194D">
      <w:pPr>
        <w:rPr>
          <w:szCs w:val="22"/>
        </w:rPr>
      </w:pPr>
      <w:r w:rsidRPr="00B1194D">
        <w:rPr>
          <w:szCs w:val="22"/>
        </w:rPr>
        <w:t>The mRNA-1283 clinical development program includes a Phase 1 Study (mRNA-1283-P101), a Phase 2a Study (mRNA-1283-P</w:t>
      </w:r>
      <w:r w:rsidR="003C65A8">
        <w:rPr>
          <w:szCs w:val="22"/>
        </w:rPr>
        <w:t>2</w:t>
      </w:r>
      <w:r w:rsidRPr="00B1194D">
        <w:rPr>
          <w:szCs w:val="22"/>
        </w:rPr>
        <w:t>01)</w:t>
      </w:r>
      <w:r w:rsidR="007566BC">
        <w:rPr>
          <w:szCs w:val="22"/>
        </w:rPr>
        <w:t>,</w:t>
      </w:r>
      <w:r w:rsidRPr="00B1194D">
        <w:rPr>
          <w:szCs w:val="22"/>
        </w:rPr>
        <w:t xml:space="preserve"> a Phase 3 study (Pivotal, mRNA-1283-P301) which evaluated a bivalent formulation (mRNA-1283.222, targeting Original and Omicron BA.4/5), and a country specific-study conducted in Japan (Study P301-Japan), which evaluated a monovalent formulation (mRNA-1283.815) targeting Omicron XBB.1.5. </w:t>
      </w:r>
    </w:p>
    <w:p w14:paraId="376DB917" w14:textId="7667E00B" w:rsidR="00B1194D" w:rsidRPr="00B1194D" w:rsidRDefault="007566BC" w:rsidP="00B1194D">
      <w:pPr>
        <w:rPr>
          <w:szCs w:val="22"/>
        </w:rPr>
      </w:pPr>
      <w:r>
        <w:rPr>
          <w:szCs w:val="22"/>
        </w:rPr>
        <w:t>The clinical evaluation</w:t>
      </w:r>
      <w:r w:rsidR="00B1194D" w:rsidRPr="00B1194D">
        <w:rPr>
          <w:szCs w:val="22"/>
        </w:rPr>
        <w:t xml:space="preserve"> include</w:t>
      </w:r>
      <w:r w:rsidR="0088680D">
        <w:rPr>
          <w:szCs w:val="22"/>
        </w:rPr>
        <w:t>d</w:t>
      </w:r>
      <w:r w:rsidR="00B1194D" w:rsidRPr="00B1194D">
        <w:rPr>
          <w:szCs w:val="22"/>
        </w:rPr>
        <w:t xml:space="preserve"> the following clinical studies: </w:t>
      </w:r>
    </w:p>
    <w:p w14:paraId="2296B443" w14:textId="77777777" w:rsidR="001372E2" w:rsidRDefault="001372E2" w:rsidP="001372E2">
      <w:pPr>
        <w:pStyle w:val="ListBullet"/>
      </w:pPr>
      <w:r w:rsidRPr="001372E2">
        <w:t xml:space="preserve">mRNA-1283-P101: A Phase 1, randomised observer-blind, dose-ranging, study to evaluate the safety, reactogenicity, and immunogenicity of mRNA-1283 and mRNA-1273. </w:t>
      </w:r>
    </w:p>
    <w:p w14:paraId="429F040F" w14:textId="298B7826" w:rsidR="001372E2" w:rsidRPr="001372E2" w:rsidRDefault="001372E2" w:rsidP="001372E2">
      <w:pPr>
        <w:pStyle w:val="ListBullet"/>
      </w:pPr>
      <w:r w:rsidRPr="001372E2">
        <w:t xml:space="preserve">mRNA-1283-P201: A Phase 2a observer-blind, dose-ranging, single-dose study </w:t>
      </w:r>
    </w:p>
    <w:p w14:paraId="0762670C" w14:textId="77777777" w:rsidR="00B1194D" w:rsidRPr="001372E2" w:rsidRDefault="00B1194D" w:rsidP="001372E2">
      <w:pPr>
        <w:pStyle w:val="ListBullet"/>
      </w:pPr>
      <w:r w:rsidRPr="001372E2">
        <w:t xml:space="preserve">mRNA-1283-P301 (Pivotal Study): A Phase 3 randomised, observer-blind, active-controlled study to investigate the safety, immunogenicity, and relative vaccine efficacy of a single dose of mRNA-1283 compared to mRNA-1273 </w:t>
      </w:r>
    </w:p>
    <w:p w14:paraId="6517F9F8" w14:textId="77777777" w:rsidR="00B1194D" w:rsidRPr="001372E2" w:rsidRDefault="00B1194D" w:rsidP="001372E2">
      <w:pPr>
        <w:pStyle w:val="ListBullet"/>
      </w:pPr>
      <w:r w:rsidRPr="001372E2">
        <w:t xml:space="preserve">mRNA-1283-P301: Japanese Amendment: A Phase 3 randomised, observer-blind, active-controlled study to investigate the safety and immunogenicity of a single dose of mRNA-1283 compared to mRNA-1273. </w:t>
      </w:r>
    </w:p>
    <w:p w14:paraId="46622364" w14:textId="6FD8B87B" w:rsidR="00C22214" w:rsidRPr="00BD5DBD" w:rsidRDefault="00B1194D" w:rsidP="00B1194D">
      <w:pPr>
        <w:rPr>
          <w:szCs w:val="22"/>
        </w:rPr>
      </w:pPr>
      <w:r w:rsidRPr="00B1194D">
        <w:rPr>
          <w:szCs w:val="22"/>
        </w:rPr>
        <w:t xml:space="preserve">In line with the development of vaccines, there were no biopharmaceutical or pharmacokinetic studies submitted. </w:t>
      </w:r>
    </w:p>
    <w:p w14:paraId="4684CA20" w14:textId="0212B108" w:rsidR="005A0B7C" w:rsidRPr="005A0B7C" w:rsidRDefault="005A0B7C" w:rsidP="005A0B7C">
      <w:pPr>
        <w:pStyle w:val="Heading5"/>
      </w:pPr>
      <w:r w:rsidRPr="005A0B7C">
        <w:t>Phase I/II dose finding studies</w:t>
      </w:r>
      <w:fldSimple w:instr=" DOCVARIABLE vault_nd_4f6f897c-39a2-4766-a36f-bd57ff02cfed \* MERGEFORMAT ">
        <w:r w:rsidR="00B03ADC">
          <w:t xml:space="preserve"> </w:t>
        </w:r>
      </w:fldSimple>
    </w:p>
    <w:p w14:paraId="6F4B195F" w14:textId="711DBFED" w:rsidR="005A0B7C" w:rsidRPr="005A0B7C" w:rsidRDefault="005A0B7C" w:rsidP="005A0B7C">
      <w:r w:rsidRPr="005A0B7C">
        <w:t>There were two Phase I/II dose finding studies conducted prior to the pivotal study</w:t>
      </w:r>
      <w:r w:rsidR="006E25AC">
        <w:t>, as</w:t>
      </w:r>
      <w:r w:rsidRPr="005A0B7C">
        <w:t xml:space="preserve"> described below. </w:t>
      </w:r>
    </w:p>
    <w:p w14:paraId="2F1932FF" w14:textId="04976B54" w:rsidR="005A0B7C" w:rsidRPr="005A0B7C" w:rsidRDefault="005A0B7C" w:rsidP="005A0B7C">
      <w:pPr>
        <w:pStyle w:val="Heading6"/>
      </w:pPr>
      <w:r w:rsidRPr="005A0B7C">
        <w:lastRenderedPageBreak/>
        <w:t>Study mRNA-1283</w:t>
      </w:r>
      <w:r w:rsidR="00863567">
        <w:t>-</w:t>
      </w:r>
      <w:r w:rsidRPr="005A0B7C">
        <w:t>P101</w:t>
      </w:r>
      <w:fldSimple w:instr=" DOCVARIABLE vault_nd_db5ae475-21e0-4091-b6f3-2048ff1578e7 \* MERGEFORMAT ">
        <w:r w:rsidR="00B03ADC">
          <w:t xml:space="preserve"> </w:t>
        </w:r>
      </w:fldSimple>
    </w:p>
    <w:p w14:paraId="74C6203F" w14:textId="77777777" w:rsidR="005A0B7C" w:rsidRPr="005A0B7C" w:rsidRDefault="005A0B7C" w:rsidP="005A0B7C">
      <w:r w:rsidRPr="005A0B7C">
        <w:t xml:space="preserve">This was a Phase 1, randomised, observer-blind, dose-ranging study to Evaluate the Safety, Reactogenicity and Immunogenicity of mRNA-1283 and mRNA-1273 SARS-CoV-2 vaccine in adults aged 18 to 55. </w:t>
      </w:r>
    </w:p>
    <w:p w14:paraId="6FD01941" w14:textId="6D83B07B" w:rsidR="005A0B7C" w:rsidRPr="005A0B7C" w:rsidRDefault="005A0B7C" w:rsidP="005A0B7C">
      <w:r w:rsidRPr="005A0B7C">
        <w:t xml:space="preserve">Approximately 125 participants were randomised into 5 treatment arms with three dose levels (10, 30, and 100 </w:t>
      </w:r>
      <w:proofErr w:type="spellStart"/>
      <w:r w:rsidRPr="005A0B7C">
        <w:t>μg</w:t>
      </w:r>
      <w:proofErr w:type="spellEnd"/>
      <w:r w:rsidRPr="005A0B7C">
        <w:t xml:space="preserve">) of mRNA-1283 (Arms 1 through 3) in a 2-dose regimen, one dose level (100 </w:t>
      </w:r>
      <w:proofErr w:type="spellStart"/>
      <w:r w:rsidRPr="005A0B7C">
        <w:t>μg</w:t>
      </w:r>
      <w:proofErr w:type="spellEnd"/>
      <w:r w:rsidRPr="005A0B7C">
        <w:t xml:space="preserve">) of mRNA-1283 was evaluated in a single-dose regimen (Arm 4), and one dose level (100 </w:t>
      </w:r>
      <w:proofErr w:type="spellStart"/>
      <w:r w:rsidRPr="005A0B7C">
        <w:t>μg</w:t>
      </w:r>
      <w:proofErr w:type="spellEnd"/>
      <w:r w:rsidRPr="005A0B7C">
        <w:t xml:space="preserve">) of mRNA-1273 (Arm 5) </w:t>
      </w:r>
      <w:r w:rsidR="009C12EB">
        <w:t>was</w:t>
      </w:r>
      <w:r w:rsidR="009C12EB" w:rsidRPr="005A0B7C">
        <w:t xml:space="preserve"> </w:t>
      </w:r>
      <w:r w:rsidRPr="005A0B7C">
        <w:t xml:space="preserve">evaluated in a 2-dose regimen, with the doses administered 28 days apart. They were randomised in a </w:t>
      </w:r>
      <w:proofErr w:type="gramStart"/>
      <w:r w:rsidRPr="005A0B7C">
        <w:t>1:1:1:1:1</w:t>
      </w:r>
      <w:proofErr w:type="gramEnd"/>
      <w:r w:rsidRPr="005A0B7C">
        <w:t xml:space="preserve"> ratio to receive a study intervention, with approximately 25 participants per arm. All study arms were enrolled in parallel. </w:t>
      </w:r>
    </w:p>
    <w:p w14:paraId="1D65C2EF" w14:textId="77777777" w:rsidR="005A0B7C" w:rsidRPr="005A0B7C" w:rsidRDefault="005A0B7C" w:rsidP="005A0B7C">
      <w:r w:rsidRPr="005A0B7C">
        <w:t xml:space="preserve">Immunogenicity results (Day 57 and up to day 394) suggested that all dose levels of 10, 30 and 100 </w:t>
      </w:r>
      <w:proofErr w:type="spellStart"/>
      <w:r w:rsidRPr="005A0B7C">
        <w:t>μg</w:t>
      </w:r>
      <w:proofErr w:type="spellEnd"/>
      <w:r w:rsidRPr="005A0B7C">
        <w:t xml:space="preserve"> of mRNA-1283 administered as 2 doses 28 days apart in vaccine-naïve and infection-naïve participants, induced comparable neutralizing antibody responses compared with mRNA-1273 for the original SARS-CoV-2 D614G, Beta, and Omicron BA.1 variants. Cellular immunity results suggest that the mRNA-1283 primary series, even at the lowest dosage (10 </w:t>
      </w:r>
      <w:proofErr w:type="spellStart"/>
      <w:r w:rsidRPr="005A0B7C">
        <w:t>μg</w:t>
      </w:r>
      <w:proofErr w:type="spellEnd"/>
      <w:r w:rsidRPr="005A0B7C">
        <w:t xml:space="preserve"> and 30 </w:t>
      </w:r>
      <w:proofErr w:type="spellStart"/>
      <w:r w:rsidRPr="005A0B7C">
        <w:t>μg</w:t>
      </w:r>
      <w:proofErr w:type="spellEnd"/>
      <w:r w:rsidRPr="005A0B7C">
        <w:t xml:space="preserve">), induced CD4+ and CD8+ T cell-responses against SARS-CoV-2 </w:t>
      </w:r>
      <w:proofErr w:type="gramStart"/>
      <w:r w:rsidRPr="005A0B7C">
        <w:t>similar to</w:t>
      </w:r>
      <w:proofErr w:type="gramEnd"/>
      <w:r w:rsidRPr="005A0B7C">
        <w:t xml:space="preserve"> mRNA-1273 100μg. </w:t>
      </w:r>
    </w:p>
    <w:p w14:paraId="63F40916" w14:textId="14797700" w:rsidR="005A0B7C" w:rsidRPr="005A0B7C" w:rsidRDefault="005A0B7C" w:rsidP="005A0B7C">
      <w:pPr>
        <w:pStyle w:val="Heading6"/>
      </w:pPr>
      <w:r w:rsidRPr="005A0B7C">
        <w:t>Study mRNA-</w:t>
      </w:r>
      <w:r w:rsidR="004A5080" w:rsidRPr="005A0B7C">
        <w:t>128</w:t>
      </w:r>
      <w:r w:rsidR="004A5080">
        <w:t>3</w:t>
      </w:r>
      <w:r w:rsidR="00863567">
        <w:t>-</w:t>
      </w:r>
      <w:r w:rsidRPr="005A0B7C">
        <w:t>P201</w:t>
      </w:r>
      <w:fldSimple w:instr=" DOCVARIABLE vault_nd_5e7ddc57-309b-4dde-a469-5eb6dfb30749 \* MERGEFORMAT ">
        <w:r w:rsidR="00B03ADC">
          <w:t xml:space="preserve"> </w:t>
        </w:r>
      </w:fldSimple>
    </w:p>
    <w:p w14:paraId="240D8F06" w14:textId="77777777" w:rsidR="005A0B7C" w:rsidRPr="005A0B7C" w:rsidRDefault="005A0B7C" w:rsidP="005A0B7C">
      <w:r w:rsidRPr="005A0B7C">
        <w:t xml:space="preserve">This was a Phase 2a dose-ranging study for a single dose of mRNA-1283 and mRNA-1283 variant-containing vaccines in adults. Part A evaluated the safety, reactogenicity, and immunogenicity of mRNA-1283 (2.5, 5, 10 </w:t>
      </w:r>
      <w:proofErr w:type="spellStart"/>
      <w:r w:rsidRPr="005A0B7C">
        <w:t>μg</w:t>
      </w:r>
      <w:proofErr w:type="spellEnd"/>
      <w:r w:rsidRPr="005A0B7C">
        <w:t xml:space="preserve">) and mRNA-1283.211 (5 and 10 </w:t>
      </w:r>
      <w:proofErr w:type="spellStart"/>
      <w:r w:rsidRPr="005A0B7C">
        <w:t>μg</w:t>
      </w:r>
      <w:proofErr w:type="spellEnd"/>
      <w:r w:rsidRPr="005A0B7C">
        <w:t xml:space="preserve">) compared to mRNA-1273 50 </w:t>
      </w:r>
      <w:proofErr w:type="spellStart"/>
      <w:r w:rsidRPr="005A0B7C">
        <w:t>μg</w:t>
      </w:r>
      <w:proofErr w:type="spellEnd"/>
      <w:r w:rsidRPr="005A0B7C">
        <w:t xml:space="preserve"> in a randomised, observer-blind study design. Part B was added after the emergence of Omicron variants and evaluated the safety, reactogenicity, and immunogenicity of mRNA-1283.529 (5 and 10 </w:t>
      </w:r>
      <w:proofErr w:type="spellStart"/>
      <w:r w:rsidRPr="005A0B7C">
        <w:t>μg</w:t>
      </w:r>
      <w:proofErr w:type="spellEnd"/>
      <w:r w:rsidRPr="005A0B7C">
        <w:t xml:space="preserve">) in an open-label study design. </w:t>
      </w:r>
    </w:p>
    <w:p w14:paraId="3734A096" w14:textId="77777777" w:rsidR="005A0B7C" w:rsidRPr="005A0B7C" w:rsidRDefault="005A0B7C" w:rsidP="005A0B7C">
      <w:r w:rsidRPr="005A0B7C">
        <w:t xml:space="preserve">In Part A at Day 29, among participants without SARS-CoV-2 infection at pre-booster, mRNA-1283 (2.5, 5, 10 </w:t>
      </w:r>
      <w:proofErr w:type="spellStart"/>
      <w:r w:rsidRPr="005A0B7C">
        <w:t>μg</w:t>
      </w:r>
      <w:proofErr w:type="spellEnd"/>
      <w:r w:rsidRPr="005A0B7C">
        <w:t xml:space="preserve">) elicited a potent </w:t>
      </w:r>
      <w:proofErr w:type="spellStart"/>
      <w:r w:rsidRPr="005A0B7C">
        <w:t>nAb</w:t>
      </w:r>
      <w:proofErr w:type="spellEnd"/>
      <w:r w:rsidRPr="005A0B7C">
        <w:t xml:space="preserve"> response against the original SARS-CoV-2 (D614G), Beta, and Omicron BA.1 variants, which was overall similar or higher to that of mRNA-1273 50 </w:t>
      </w:r>
      <w:proofErr w:type="spellStart"/>
      <w:r w:rsidRPr="005A0B7C">
        <w:t>μg</w:t>
      </w:r>
      <w:proofErr w:type="spellEnd"/>
      <w:r w:rsidRPr="005A0B7C">
        <w:t xml:space="preserve">. The antibody response persisted up to 1-year post vaccination and there was an increase of the antibody response regardless of prior SARS-CoV-2 infection. </w:t>
      </w:r>
    </w:p>
    <w:p w14:paraId="1517D01B" w14:textId="7901784D" w:rsidR="005A0B7C" w:rsidRDefault="005A0B7C" w:rsidP="005A0B7C">
      <w:r w:rsidRPr="005A0B7C">
        <w:t xml:space="preserve">In Part B, at Day 29, among participants without previous SARS-CoV-2 infection, mRNA-1283.529 (5 and 10 </w:t>
      </w:r>
      <w:proofErr w:type="spellStart"/>
      <w:r w:rsidRPr="005A0B7C">
        <w:t>μg</w:t>
      </w:r>
      <w:proofErr w:type="spellEnd"/>
      <w:r w:rsidRPr="005A0B7C">
        <w:t xml:space="preserve">) elicited a potent </w:t>
      </w:r>
      <w:proofErr w:type="spellStart"/>
      <w:r w:rsidRPr="005A0B7C">
        <w:t>nAb</w:t>
      </w:r>
      <w:proofErr w:type="spellEnd"/>
      <w:r w:rsidRPr="005A0B7C">
        <w:t xml:space="preserve"> response against the original SARS-CoV-2 (D614G) and Omicron BA.1. A persistent antibody response was also observed throughout 1-year of follow-up.</w:t>
      </w:r>
    </w:p>
    <w:p w14:paraId="1BFAA7BA" w14:textId="78BBC22E" w:rsidR="00E8704E" w:rsidRDefault="00E8704E" w:rsidP="00A24CEC">
      <w:pPr>
        <w:pStyle w:val="Heading4"/>
      </w:pPr>
      <w:bookmarkStart w:id="47" w:name="_Toc230003588"/>
      <w:r>
        <w:t>Efficacy</w:t>
      </w:r>
      <w:bookmarkEnd w:id="47"/>
      <w:r w:rsidR="00B03ADC">
        <w:fldChar w:fldCharType="begin"/>
      </w:r>
      <w:r w:rsidR="00B03ADC">
        <w:instrText xml:space="preserve"> DOCVARIABLE vault_nd_a0cdcff5-4075-48db-b488-9d74d2ecf94f \* MERGEFORMAT </w:instrText>
      </w:r>
      <w:r w:rsidR="00B03ADC">
        <w:fldChar w:fldCharType="separate"/>
      </w:r>
      <w:r w:rsidR="00B03ADC">
        <w:t xml:space="preserve"> </w:t>
      </w:r>
      <w:r w:rsidR="00B03ADC">
        <w:fldChar w:fldCharType="end"/>
      </w:r>
    </w:p>
    <w:p w14:paraId="7A013F18" w14:textId="7EC04437" w:rsidR="00E8704E" w:rsidRDefault="00394E17" w:rsidP="00A24CEC">
      <w:pPr>
        <w:pStyle w:val="Heading5"/>
      </w:pPr>
      <w:r w:rsidRPr="00394E17">
        <w:t xml:space="preserve">Pivotal </w:t>
      </w:r>
      <w:r w:rsidR="00E8704E">
        <w:t>Study mRNA-1283-P301 (Study 301)</w:t>
      </w:r>
      <w:fldSimple w:instr=" DOCVARIABLE vault_nd_d615688b-f8a6-453f-9627-f3965c853d29 \* MERGEFORMAT ">
        <w:r w:rsidR="00B03ADC">
          <w:t xml:space="preserve"> </w:t>
        </w:r>
      </w:fldSimple>
    </w:p>
    <w:p w14:paraId="12BD34AD" w14:textId="76A89285" w:rsidR="00E8704E" w:rsidRDefault="00E8704E" w:rsidP="0082515F">
      <w:r>
        <w:t>Study 301 was a randomised, active-controlled study that examined the relative vaccine efficacy</w:t>
      </w:r>
      <w:r w:rsidR="0082515F">
        <w:t xml:space="preserve"> </w:t>
      </w:r>
      <w:r>
        <w:t>of mRNA-1273 (Spikevax) and mRNA-1283. The study treated 11417 subjects randomised 1:1</w:t>
      </w:r>
      <w:r w:rsidR="00911735">
        <w:t xml:space="preserve"> </w:t>
      </w:r>
      <w:r>
        <w:t>to receive mRNA-1273 (n=5726) or mRNA-1283 (n=5728) from 28 March 2023.</w:t>
      </w:r>
    </w:p>
    <w:p w14:paraId="1FBA5995" w14:textId="783B5289" w:rsidR="00E8704E" w:rsidRDefault="00E8704E" w:rsidP="0082515F">
      <w:r>
        <w:t>Enrolled subjects were 12 or more years of age and had received a primary course of COVID</w:t>
      </w:r>
      <w:r w:rsidR="00911735">
        <w:t xml:space="preserve"> </w:t>
      </w:r>
      <w:r>
        <w:t>vaccination. Those &gt;18 years of age had received at least 1 booster but no more than 5 COVID</w:t>
      </w:r>
      <w:r w:rsidR="00911735">
        <w:t xml:space="preserve"> </w:t>
      </w:r>
      <w:r>
        <w:t>vaccines in total.</w:t>
      </w:r>
    </w:p>
    <w:p w14:paraId="3716D96C" w14:textId="28F7A95D" w:rsidR="0088680D" w:rsidRDefault="00E8704E" w:rsidP="0082515F">
      <w:r>
        <w:t>Subjects received a single dose of either mRNA-1283 (10 micrograms) or mRNA-1273 (50</w:t>
      </w:r>
      <w:r w:rsidR="00911735">
        <w:t xml:space="preserve"> </w:t>
      </w:r>
      <w:r>
        <w:t xml:space="preserve">micrograms). The mRNA-1283 </w:t>
      </w:r>
      <w:r w:rsidR="00C15388">
        <w:t xml:space="preserve">targeted </w:t>
      </w:r>
      <w:r w:rsidR="00397129">
        <w:t xml:space="preserve">Original and Omicron </w:t>
      </w:r>
      <w:r>
        <w:t xml:space="preserve">BA.4/5 </w:t>
      </w:r>
      <w:r w:rsidR="00A11ED3">
        <w:t>strains</w:t>
      </w:r>
      <w:r>
        <w:t xml:space="preserve">, </w:t>
      </w:r>
      <w:r w:rsidR="001A1500">
        <w:t>and</w:t>
      </w:r>
      <w:r w:rsidR="0044239A">
        <w:t xml:space="preserve"> </w:t>
      </w:r>
      <w:r>
        <w:t xml:space="preserve">mRNA-1273 bivalent </w:t>
      </w:r>
      <w:r w:rsidR="00A11ED3">
        <w:t>Original/Omicron</w:t>
      </w:r>
      <w:r>
        <w:t xml:space="preserve"> BA.4/5.</w:t>
      </w:r>
    </w:p>
    <w:p w14:paraId="452437EB" w14:textId="461A6FC1" w:rsidR="002A14AE" w:rsidRDefault="0082515F" w:rsidP="002A14AE">
      <w:r w:rsidRPr="0082515F">
        <w:t>The primary endpoint</w:t>
      </w:r>
      <w:r w:rsidR="00140E2E">
        <w:t>s</w:t>
      </w:r>
      <w:r w:rsidRPr="0082515F">
        <w:t xml:space="preserve"> of </w:t>
      </w:r>
      <w:r w:rsidR="00FC679E" w:rsidRPr="00FC679E">
        <w:t>Study 301</w:t>
      </w:r>
      <w:r w:rsidR="00FC679E">
        <w:t xml:space="preserve"> </w:t>
      </w:r>
      <w:r w:rsidRPr="0082515F">
        <w:t xml:space="preserve">were as </w:t>
      </w:r>
      <w:r w:rsidR="00FC679E">
        <w:t>per Table 3.</w:t>
      </w:r>
    </w:p>
    <w:p w14:paraId="5BCD5C34" w14:textId="7046BF9D" w:rsidR="00911735" w:rsidRDefault="00DA4ABE" w:rsidP="00E61763">
      <w:pPr>
        <w:pStyle w:val="TableTitle"/>
      </w:pPr>
      <w:r w:rsidRPr="00DA4ABE">
        <w:lastRenderedPageBreak/>
        <w:t xml:space="preserve">Table </w:t>
      </w:r>
      <w:r w:rsidR="00FC679E">
        <w:t>3</w:t>
      </w:r>
      <w:r w:rsidR="00E61763">
        <w:t>.</w:t>
      </w:r>
      <w:r w:rsidRPr="00DA4ABE">
        <w:t xml:space="preserve"> </w:t>
      </w:r>
      <w:r w:rsidRPr="00463815">
        <w:t xml:space="preserve">Primary endpoints of </w:t>
      </w:r>
      <w:r w:rsidR="00863567">
        <w:t>S</w:t>
      </w:r>
      <w:r w:rsidRPr="00463815">
        <w:t>tudy 301</w:t>
      </w:r>
      <w:r w:rsidR="00E61763">
        <w:t>.</w:t>
      </w:r>
    </w:p>
    <w:tbl>
      <w:tblPr>
        <w:tblStyle w:val="TableTGAblue2023"/>
        <w:tblW w:w="0" w:type="auto"/>
        <w:tblLook w:val="04A0" w:firstRow="1" w:lastRow="0" w:firstColumn="1" w:lastColumn="0" w:noHBand="0" w:noVBand="1"/>
      </w:tblPr>
      <w:tblGrid>
        <w:gridCol w:w="3539"/>
        <w:gridCol w:w="5477"/>
      </w:tblGrid>
      <w:tr w:rsidR="005B051B" w:rsidRPr="004251BA" w14:paraId="03F58171" w14:textId="77777777" w:rsidTr="004251B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539" w:type="dxa"/>
          </w:tcPr>
          <w:p w14:paraId="28994E13" w14:textId="77777777" w:rsidR="005B051B" w:rsidRPr="004251BA" w:rsidRDefault="005B051B" w:rsidP="004251BA">
            <w:pPr>
              <w:rPr>
                <w:sz w:val="20"/>
                <w:szCs w:val="20"/>
              </w:rPr>
            </w:pPr>
            <w:r w:rsidRPr="004251BA">
              <w:rPr>
                <w:sz w:val="20"/>
                <w:szCs w:val="20"/>
              </w:rPr>
              <w:t xml:space="preserve">Objectives </w:t>
            </w:r>
          </w:p>
        </w:tc>
        <w:tc>
          <w:tcPr>
            <w:tcW w:w="5477" w:type="dxa"/>
          </w:tcPr>
          <w:p w14:paraId="1C550034" w14:textId="77777777" w:rsidR="005B051B" w:rsidRPr="004251BA" w:rsidRDefault="005B051B" w:rsidP="004251BA">
            <w:pPr>
              <w:cnfStyle w:val="100000000000" w:firstRow="1" w:lastRow="0" w:firstColumn="0" w:lastColumn="0" w:oddVBand="0" w:evenVBand="0" w:oddHBand="0" w:evenHBand="0" w:firstRowFirstColumn="0" w:firstRowLastColumn="0" w:lastRowFirstColumn="0" w:lastRowLastColumn="0"/>
              <w:rPr>
                <w:sz w:val="20"/>
                <w:szCs w:val="20"/>
              </w:rPr>
            </w:pPr>
            <w:r w:rsidRPr="004251BA">
              <w:rPr>
                <w:sz w:val="20"/>
                <w:szCs w:val="20"/>
              </w:rPr>
              <w:t>Endpoints</w:t>
            </w:r>
          </w:p>
        </w:tc>
      </w:tr>
      <w:tr w:rsidR="005B051B" w:rsidRPr="004251BA" w14:paraId="77492031" w14:textId="77777777" w:rsidTr="00942C3D">
        <w:trPr>
          <w:trHeight w:val="355"/>
        </w:trPr>
        <w:tc>
          <w:tcPr>
            <w:cnfStyle w:val="001000000000" w:firstRow="0" w:lastRow="0" w:firstColumn="1" w:lastColumn="0" w:oddVBand="0" w:evenVBand="0" w:oddHBand="0" w:evenHBand="0" w:firstRowFirstColumn="0" w:firstRowLastColumn="0" w:lastRowFirstColumn="0" w:lastRowLastColumn="0"/>
            <w:tcW w:w="9016" w:type="dxa"/>
            <w:gridSpan w:val="2"/>
          </w:tcPr>
          <w:p w14:paraId="7C738884" w14:textId="77777777" w:rsidR="005B051B" w:rsidRPr="004251BA" w:rsidRDefault="005B051B" w:rsidP="004251BA">
            <w:pPr>
              <w:rPr>
                <w:sz w:val="20"/>
                <w:szCs w:val="20"/>
              </w:rPr>
            </w:pPr>
            <w:r w:rsidRPr="004251BA">
              <w:rPr>
                <w:sz w:val="20"/>
                <w:szCs w:val="20"/>
              </w:rPr>
              <w:t>Primary</w:t>
            </w:r>
          </w:p>
        </w:tc>
      </w:tr>
      <w:tr w:rsidR="005B051B" w:rsidRPr="004251BA" w14:paraId="2FDF7547" w14:textId="77777777" w:rsidTr="004251BA">
        <w:tc>
          <w:tcPr>
            <w:cnfStyle w:val="001000000000" w:firstRow="0" w:lastRow="0" w:firstColumn="1" w:lastColumn="0" w:oddVBand="0" w:evenVBand="0" w:oddHBand="0" w:evenHBand="0" w:firstRowFirstColumn="0" w:firstRowLastColumn="0" w:lastRowFirstColumn="0" w:lastRowLastColumn="0"/>
            <w:tcW w:w="3539" w:type="dxa"/>
          </w:tcPr>
          <w:p w14:paraId="4B64FBE6" w14:textId="77777777" w:rsidR="005B051B" w:rsidRPr="004251BA" w:rsidRDefault="005B051B" w:rsidP="004251BA">
            <w:pPr>
              <w:rPr>
                <w:sz w:val="20"/>
                <w:szCs w:val="20"/>
              </w:rPr>
            </w:pPr>
            <w:r w:rsidRPr="004251BA">
              <w:rPr>
                <w:sz w:val="20"/>
                <w:szCs w:val="20"/>
              </w:rPr>
              <w:t xml:space="preserve">To demonstrate a noninferior neutralizing antibody response of mRNA-1283.222 10 </w:t>
            </w:r>
            <w:proofErr w:type="spellStart"/>
            <w:r w:rsidRPr="004251BA">
              <w:rPr>
                <w:sz w:val="20"/>
                <w:szCs w:val="20"/>
              </w:rPr>
              <w:t>μg</w:t>
            </w:r>
            <w:proofErr w:type="spellEnd"/>
            <w:r w:rsidRPr="004251BA">
              <w:rPr>
                <w:sz w:val="20"/>
                <w:szCs w:val="20"/>
              </w:rPr>
              <w:t xml:space="preserve"> compared to mRNA-1273.222 50 </w:t>
            </w:r>
            <w:proofErr w:type="spellStart"/>
            <w:r w:rsidRPr="004251BA">
              <w:rPr>
                <w:sz w:val="20"/>
                <w:szCs w:val="20"/>
              </w:rPr>
              <w:t>μg</w:t>
            </w:r>
            <w:proofErr w:type="spellEnd"/>
            <w:r w:rsidRPr="004251BA">
              <w:rPr>
                <w:sz w:val="20"/>
                <w:szCs w:val="20"/>
              </w:rPr>
              <w:t xml:space="preserve"> against Omicron BA.4/5 based on GMR and SRR difference at Day 29.</w:t>
            </w:r>
          </w:p>
          <w:p w14:paraId="074364D9" w14:textId="77777777" w:rsidR="005B051B" w:rsidRPr="004251BA" w:rsidRDefault="005B051B" w:rsidP="004251BA">
            <w:pPr>
              <w:rPr>
                <w:sz w:val="20"/>
                <w:szCs w:val="20"/>
              </w:rPr>
            </w:pPr>
            <w:r w:rsidRPr="004251BA">
              <w:rPr>
                <w:sz w:val="20"/>
                <w:szCs w:val="20"/>
              </w:rPr>
              <w:t xml:space="preserve">To demonstrate a noninferior neutralizing antibody response of mRNA-1283.222 10 </w:t>
            </w:r>
            <w:proofErr w:type="spellStart"/>
            <w:r w:rsidRPr="004251BA">
              <w:rPr>
                <w:sz w:val="20"/>
                <w:szCs w:val="20"/>
              </w:rPr>
              <w:t>μg</w:t>
            </w:r>
            <w:proofErr w:type="spellEnd"/>
            <w:r w:rsidRPr="004251BA">
              <w:rPr>
                <w:sz w:val="20"/>
                <w:szCs w:val="20"/>
              </w:rPr>
              <w:t xml:space="preserve"> compared to mRNA-1273.222 50 </w:t>
            </w:r>
            <w:proofErr w:type="spellStart"/>
            <w:r w:rsidRPr="004251BA">
              <w:rPr>
                <w:sz w:val="20"/>
                <w:szCs w:val="20"/>
              </w:rPr>
              <w:t>μg</w:t>
            </w:r>
            <w:proofErr w:type="spellEnd"/>
            <w:r w:rsidRPr="004251BA">
              <w:rPr>
                <w:sz w:val="20"/>
                <w:szCs w:val="20"/>
              </w:rPr>
              <w:t xml:space="preserve"> against the ancestral SARS-CoV-2 D614G based on GMR and SRR difference at Day 29.</w:t>
            </w:r>
          </w:p>
        </w:tc>
        <w:tc>
          <w:tcPr>
            <w:tcW w:w="5477" w:type="dxa"/>
          </w:tcPr>
          <w:p w14:paraId="3F809034"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Co-primary immunogenicity endpoints:</w:t>
            </w:r>
          </w:p>
          <w:p w14:paraId="4228FDA5"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 xml:space="preserve">GMR of Omicron BA.4/5 mRNA-1283.222 10 </w:t>
            </w:r>
            <w:proofErr w:type="spellStart"/>
            <w:r w:rsidRPr="004251BA">
              <w:rPr>
                <w:sz w:val="20"/>
                <w:szCs w:val="20"/>
              </w:rPr>
              <w:t>μg</w:t>
            </w:r>
            <w:proofErr w:type="spellEnd"/>
            <w:r w:rsidRPr="004251BA">
              <w:rPr>
                <w:sz w:val="20"/>
                <w:szCs w:val="20"/>
              </w:rPr>
              <w:t xml:space="preserve"> over the Omicron BA.4/5 mRNA-1273.222 50 </w:t>
            </w:r>
            <w:proofErr w:type="spellStart"/>
            <w:r w:rsidRPr="004251BA">
              <w:rPr>
                <w:sz w:val="20"/>
                <w:szCs w:val="20"/>
              </w:rPr>
              <w:t>μg</w:t>
            </w:r>
            <w:proofErr w:type="spellEnd"/>
            <w:r w:rsidRPr="004251BA">
              <w:rPr>
                <w:sz w:val="20"/>
                <w:szCs w:val="20"/>
              </w:rPr>
              <w:t xml:space="preserve"> at Day 29. </w:t>
            </w:r>
          </w:p>
          <w:p w14:paraId="39978C37"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251BA">
              <w:rPr>
                <w:sz w:val="20"/>
                <w:szCs w:val="20"/>
              </w:rPr>
              <w:t>SRR</w:t>
            </w:r>
            <w:r w:rsidRPr="004251BA">
              <w:rPr>
                <w:sz w:val="20"/>
                <w:szCs w:val="20"/>
                <w:vertAlign w:val="superscript"/>
              </w:rPr>
              <w:t>a</w:t>
            </w:r>
            <w:proofErr w:type="spellEnd"/>
            <w:r w:rsidRPr="004251BA">
              <w:rPr>
                <w:sz w:val="20"/>
                <w:szCs w:val="20"/>
              </w:rPr>
              <w:t xml:space="preserve"> difference of Omicron BA.4/5 between mRNA-1283.222 10 </w:t>
            </w:r>
            <w:proofErr w:type="spellStart"/>
            <w:r w:rsidRPr="004251BA">
              <w:rPr>
                <w:sz w:val="20"/>
                <w:szCs w:val="20"/>
              </w:rPr>
              <w:t>μg</w:t>
            </w:r>
            <w:proofErr w:type="spellEnd"/>
            <w:r w:rsidRPr="004251BA">
              <w:rPr>
                <w:sz w:val="20"/>
                <w:szCs w:val="20"/>
              </w:rPr>
              <w:t xml:space="preserve"> and mRNA-1273.222 50 </w:t>
            </w:r>
            <w:proofErr w:type="spellStart"/>
            <w:r w:rsidRPr="004251BA">
              <w:rPr>
                <w:sz w:val="20"/>
                <w:szCs w:val="20"/>
              </w:rPr>
              <w:t>μg</w:t>
            </w:r>
            <w:proofErr w:type="spellEnd"/>
            <w:r w:rsidRPr="004251BA">
              <w:rPr>
                <w:sz w:val="20"/>
                <w:szCs w:val="20"/>
              </w:rPr>
              <w:t xml:space="preserve"> at Day 29. </w:t>
            </w:r>
          </w:p>
          <w:p w14:paraId="05EAFBB1"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 xml:space="preserve">GMR of the ancestral SARS-CoV-2 D614G mRNA-1283.222 10 </w:t>
            </w:r>
            <w:proofErr w:type="spellStart"/>
            <w:r w:rsidRPr="004251BA">
              <w:rPr>
                <w:sz w:val="20"/>
                <w:szCs w:val="20"/>
              </w:rPr>
              <w:t>μg</w:t>
            </w:r>
            <w:proofErr w:type="spellEnd"/>
            <w:r w:rsidRPr="004251BA">
              <w:rPr>
                <w:sz w:val="20"/>
                <w:szCs w:val="20"/>
              </w:rPr>
              <w:t xml:space="preserve"> over the ancestral SARS-CoV-2 D614G mRNA-1273.222 50 </w:t>
            </w:r>
            <w:proofErr w:type="spellStart"/>
            <w:r w:rsidRPr="004251BA">
              <w:rPr>
                <w:sz w:val="20"/>
                <w:szCs w:val="20"/>
              </w:rPr>
              <w:t>μg</w:t>
            </w:r>
            <w:proofErr w:type="spellEnd"/>
            <w:r w:rsidRPr="004251BA">
              <w:rPr>
                <w:sz w:val="20"/>
                <w:szCs w:val="20"/>
              </w:rPr>
              <w:t xml:space="preserve"> at Day 29. </w:t>
            </w:r>
          </w:p>
          <w:p w14:paraId="22C66362"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251BA">
              <w:rPr>
                <w:sz w:val="20"/>
                <w:szCs w:val="20"/>
              </w:rPr>
              <w:t>SRR</w:t>
            </w:r>
            <w:r w:rsidRPr="004251BA">
              <w:rPr>
                <w:sz w:val="20"/>
                <w:szCs w:val="20"/>
                <w:vertAlign w:val="superscript"/>
              </w:rPr>
              <w:t>a</w:t>
            </w:r>
            <w:proofErr w:type="spellEnd"/>
            <w:r w:rsidRPr="004251BA">
              <w:rPr>
                <w:sz w:val="20"/>
                <w:szCs w:val="20"/>
              </w:rPr>
              <w:t xml:space="preserve"> difference of ancestral SARS-CoV-2 D614G between mRNA-1283.222 10 </w:t>
            </w:r>
            <w:proofErr w:type="spellStart"/>
            <w:r w:rsidRPr="004251BA">
              <w:rPr>
                <w:sz w:val="20"/>
                <w:szCs w:val="20"/>
              </w:rPr>
              <w:t>μg</w:t>
            </w:r>
            <w:proofErr w:type="spellEnd"/>
            <w:r w:rsidRPr="004251BA">
              <w:rPr>
                <w:sz w:val="20"/>
                <w:szCs w:val="20"/>
              </w:rPr>
              <w:t xml:space="preserve"> and mRNA-1273.222 50 </w:t>
            </w:r>
            <w:proofErr w:type="spellStart"/>
            <w:r w:rsidRPr="004251BA">
              <w:rPr>
                <w:sz w:val="20"/>
                <w:szCs w:val="20"/>
              </w:rPr>
              <w:t>μg</w:t>
            </w:r>
            <w:proofErr w:type="spellEnd"/>
            <w:r w:rsidRPr="004251BA">
              <w:rPr>
                <w:sz w:val="20"/>
                <w:szCs w:val="20"/>
              </w:rPr>
              <w:t xml:space="preserve"> at Day 29.</w:t>
            </w:r>
          </w:p>
        </w:tc>
      </w:tr>
      <w:tr w:rsidR="005B051B" w:rsidRPr="004251BA" w14:paraId="646671F7" w14:textId="77777777" w:rsidTr="004251BA">
        <w:tc>
          <w:tcPr>
            <w:cnfStyle w:val="001000000000" w:firstRow="0" w:lastRow="0" w:firstColumn="1" w:lastColumn="0" w:oddVBand="0" w:evenVBand="0" w:oddHBand="0" w:evenHBand="0" w:firstRowFirstColumn="0" w:firstRowLastColumn="0" w:lastRowFirstColumn="0" w:lastRowLastColumn="0"/>
            <w:tcW w:w="3539" w:type="dxa"/>
          </w:tcPr>
          <w:p w14:paraId="2AA2F3FE" w14:textId="77777777" w:rsidR="005B051B" w:rsidRPr="004251BA" w:rsidRDefault="005B051B" w:rsidP="004251BA">
            <w:pPr>
              <w:rPr>
                <w:sz w:val="20"/>
                <w:szCs w:val="20"/>
              </w:rPr>
            </w:pPr>
            <w:r w:rsidRPr="004251BA">
              <w:rPr>
                <w:sz w:val="20"/>
                <w:szCs w:val="20"/>
              </w:rPr>
              <w:t xml:space="preserve">To demonstrate noninferior </w:t>
            </w:r>
            <w:proofErr w:type="spellStart"/>
            <w:r w:rsidRPr="004251BA">
              <w:rPr>
                <w:sz w:val="20"/>
                <w:szCs w:val="20"/>
              </w:rPr>
              <w:t>rVE</w:t>
            </w:r>
            <w:proofErr w:type="spellEnd"/>
            <w:r w:rsidRPr="004251BA">
              <w:rPr>
                <w:sz w:val="20"/>
                <w:szCs w:val="20"/>
              </w:rPr>
              <w:t xml:space="preserve"> of mRNA-1283 compared to mRNA-1273 (variant formulations) to prevent COVID-19.</w:t>
            </w:r>
          </w:p>
        </w:tc>
        <w:tc>
          <w:tcPr>
            <w:tcW w:w="5477" w:type="dxa"/>
          </w:tcPr>
          <w:p w14:paraId="487730E3"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251BA">
              <w:rPr>
                <w:sz w:val="20"/>
                <w:szCs w:val="20"/>
              </w:rPr>
              <w:t>rVE</w:t>
            </w:r>
            <w:proofErr w:type="spellEnd"/>
            <w:r w:rsidRPr="004251BA">
              <w:rPr>
                <w:sz w:val="20"/>
                <w:szCs w:val="20"/>
              </w:rPr>
              <w:t xml:space="preserve"> of mRNA-1283 compared to mRNA-1273 (variant formulations) to prevent the first event of COVID-19 starting 14 days after study injection.</w:t>
            </w:r>
          </w:p>
          <w:p w14:paraId="2BE1E88F" w14:textId="47BCFB4F"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CDC-defined COVID-19 case definition (primary</w:t>
            </w:r>
            <w:r w:rsidR="002168D4" w:rsidRPr="004251BA">
              <w:rPr>
                <w:sz w:val="20"/>
                <w:szCs w:val="20"/>
              </w:rPr>
              <w:t xml:space="preserve"> </w:t>
            </w:r>
            <w:r w:rsidRPr="004251BA">
              <w:rPr>
                <w:sz w:val="20"/>
                <w:szCs w:val="20"/>
              </w:rPr>
              <w:t>definition):</w:t>
            </w:r>
          </w:p>
          <w:p w14:paraId="14A38C45"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The presence of ≥1 CDC-listed symptom (https://www.cdc.gov/coronavirus/2019-ncov/symptoms-testing/symptoms.html); AND</w:t>
            </w:r>
          </w:p>
          <w:p w14:paraId="6148F022"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A positive RT-PCR test on a respiratory sample.</w:t>
            </w:r>
          </w:p>
          <w:p w14:paraId="5F6F6E44" w14:textId="2C23213C"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Protocol-defined COVID-19 case definition</w:t>
            </w:r>
            <w:r w:rsidR="00520199" w:rsidRPr="004251BA">
              <w:rPr>
                <w:sz w:val="20"/>
                <w:szCs w:val="20"/>
              </w:rPr>
              <w:t xml:space="preserve"> </w:t>
            </w:r>
            <w:r w:rsidRPr="004251BA">
              <w:rPr>
                <w:sz w:val="20"/>
                <w:szCs w:val="20"/>
              </w:rPr>
              <w:t>(secondary definition). The participant must have:</w:t>
            </w:r>
          </w:p>
          <w:p w14:paraId="50E62269"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Experienced ≥2 systemic symptoms: Fever (≥38°C/100.4°F), chills, myalgia, headache, sore throat, new olfactory and taste disorder(s), OR</w:t>
            </w:r>
          </w:p>
          <w:p w14:paraId="27C2EBB7"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Experienced ≥1 respiratory signs/symptoms: cough, shortness of breath or difficulty breathing, OR clinical or radiographical evidence of pneumonia; AND</w:t>
            </w:r>
          </w:p>
          <w:p w14:paraId="7BD98F96"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≥1 NP swab, nasal swab, or saliva sample (or respiratory sample, if hospitalized) positive for SARSCoV-2 by RT-PCR.</w:t>
            </w:r>
          </w:p>
        </w:tc>
      </w:tr>
      <w:tr w:rsidR="005B051B" w:rsidRPr="004251BA" w14:paraId="687F2075" w14:textId="77777777" w:rsidTr="004251BA">
        <w:tc>
          <w:tcPr>
            <w:cnfStyle w:val="001000000000" w:firstRow="0" w:lastRow="0" w:firstColumn="1" w:lastColumn="0" w:oddVBand="0" w:evenVBand="0" w:oddHBand="0" w:evenHBand="0" w:firstRowFirstColumn="0" w:firstRowLastColumn="0" w:lastRowFirstColumn="0" w:lastRowLastColumn="0"/>
            <w:tcW w:w="3539" w:type="dxa"/>
          </w:tcPr>
          <w:p w14:paraId="492EEFF7" w14:textId="724AB1B3" w:rsidR="005B051B" w:rsidRPr="004251BA" w:rsidRDefault="005B051B" w:rsidP="004251BA">
            <w:pPr>
              <w:rPr>
                <w:sz w:val="20"/>
                <w:szCs w:val="20"/>
              </w:rPr>
            </w:pPr>
            <w:r w:rsidRPr="004251BA">
              <w:rPr>
                <w:sz w:val="20"/>
                <w:szCs w:val="20"/>
              </w:rPr>
              <w:t>To evaluate the safety and reactogenicity of mRNA-1283.222 10</w:t>
            </w:r>
            <w:r w:rsidR="00910A19" w:rsidRPr="004251BA">
              <w:rPr>
                <w:sz w:val="20"/>
                <w:szCs w:val="20"/>
              </w:rPr>
              <w:t xml:space="preserve"> </w:t>
            </w:r>
            <w:proofErr w:type="spellStart"/>
            <w:r w:rsidRPr="004251BA">
              <w:rPr>
                <w:sz w:val="20"/>
                <w:szCs w:val="20"/>
              </w:rPr>
              <w:t>μg</w:t>
            </w:r>
            <w:proofErr w:type="spellEnd"/>
            <w:r w:rsidRPr="004251BA">
              <w:rPr>
                <w:sz w:val="20"/>
                <w:szCs w:val="20"/>
              </w:rPr>
              <w:t>.</w:t>
            </w:r>
          </w:p>
        </w:tc>
        <w:tc>
          <w:tcPr>
            <w:tcW w:w="5477" w:type="dxa"/>
          </w:tcPr>
          <w:p w14:paraId="28B8AB67"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 xml:space="preserve">Solicited local and systemic reactogenicity Ars during a 7-day follow-up period. </w:t>
            </w:r>
          </w:p>
          <w:p w14:paraId="4F944BA2"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 xml:space="preserve">Unsolicited AEs during the 28-day follow-up period. </w:t>
            </w:r>
          </w:p>
          <w:p w14:paraId="07266F0E" w14:textId="77777777" w:rsidR="005B051B" w:rsidRPr="004251BA" w:rsidRDefault="005B051B" w:rsidP="004251BA">
            <w:pPr>
              <w:cnfStyle w:val="000000000000" w:firstRow="0" w:lastRow="0" w:firstColumn="0" w:lastColumn="0" w:oddVBand="0" w:evenVBand="0" w:oddHBand="0" w:evenHBand="0" w:firstRowFirstColumn="0" w:firstRowLastColumn="0" w:lastRowFirstColumn="0" w:lastRowLastColumn="0"/>
              <w:rPr>
                <w:sz w:val="20"/>
                <w:szCs w:val="20"/>
              </w:rPr>
            </w:pPr>
            <w:r w:rsidRPr="004251BA">
              <w:rPr>
                <w:sz w:val="20"/>
                <w:szCs w:val="20"/>
              </w:rPr>
              <w:t>SAEs, MAAEs, AEs leading to withdrawal, and AESIs from Day 1 to end of study.</w:t>
            </w:r>
          </w:p>
        </w:tc>
      </w:tr>
    </w:tbl>
    <w:p w14:paraId="665518C6" w14:textId="32692F39" w:rsidR="00D325DB" w:rsidRDefault="004251BA" w:rsidP="004251BA">
      <w:r w:rsidRPr="005B051B">
        <w:rPr>
          <w:sz w:val="18"/>
          <w:szCs w:val="18"/>
        </w:rPr>
        <w:t>Abbreviations: AE = adverse event; AESI = adverse event of special interest; AR = adverse reaction; GMR = geometric mean ratio; LLOQ = lower limit of quantification; MAAE = medically attended adverse event;</w:t>
      </w:r>
      <w:r w:rsidRPr="004469F9">
        <w:rPr>
          <w:sz w:val="18"/>
          <w:szCs w:val="18"/>
        </w:rPr>
        <w:t xml:space="preserve"> </w:t>
      </w:r>
      <w:r w:rsidRPr="005B051B">
        <w:rPr>
          <w:sz w:val="18"/>
          <w:szCs w:val="18"/>
        </w:rPr>
        <w:t xml:space="preserve">NP = nasopharyngeal; RT-PCR= reverse transcriptase polymerase chain reaction; </w:t>
      </w:r>
      <w:proofErr w:type="spellStart"/>
      <w:r w:rsidRPr="005B051B">
        <w:rPr>
          <w:sz w:val="18"/>
          <w:szCs w:val="18"/>
        </w:rPr>
        <w:t>rVE</w:t>
      </w:r>
      <w:proofErr w:type="spellEnd"/>
      <w:r w:rsidRPr="005B051B">
        <w:rPr>
          <w:sz w:val="18"/>
          <w:szCs w:val="18"/>
        </w:rPr>
        <w:t xml:space="preserve"> = relative vaccine efficacy; SAE = serious adverse event; SRR = </w:t>
      </w:r>
      <w:proofErr w:type="spellStart"/>
      <w:r w:rsidRPr="005B051B">
        <w:rPr>
          <w:sz w:val="18"/>
          <w:szCs w:val="18"/>
        </w:rPr>
        <w:t>seroresponse</w:t>
      </w:r>
      <w:proofErr w:type="spellEnd"/>
      <w:r w:rsidRPr="005B051B">
        <w:rPr>
          <w:sz w:val="18"/>
          <w:szCs w:val="18"/>
        </w:rPr>
        <w:t xml:space="preserve"> rate.</w:t>
      </w:r>
      <w:r>
        <w:rPr>
          <w:sz w:val="18"/>
          <w:szCs w:val="18"/>
        </w:rPr>
        <w:br/>
      </w:r>
      <w:r w:rsidRPr="005B051B">
        <w:rPr>
          <w:sz w:val="18"/>
          <w:szCs w:val="18"/>
        </w:rPr>
        <w:t xml:space="preserve">a. </w:t>
      </w:r>
      <w:proofErr w:type="spellStart"/>
      <w:r w:rsidRPr="005B051B">
        <w:rPr>
          <w:sz w:val="18"/>
          <w:szCs w:val="18"/>
        </w:rPr>
        <w:t>Seroresponse</w:t>
      </w:r>
      <w:proofErr w:type="spellEnd"/>
      <w:r w:rsidRPr="005B051B">
        <w:rPr>
          <w:sz w:val="18"/>
          <w:szCs w:val="18"/>
        </w:rPr>
        <w:t xml:space="preserve"> at the participant level is defined as an antibody value change from baseline below the LLOQ to</w:t>
      </w:r>
      <w:r>
        <w:rPr>
          <w:sz w:val="18"/>
          <w:szCs w:val="18"/>
        </w:rPr>
        <w:t xml:space="preserve"> </w:t>
      </w:r>
      <w:r w:rsidRPr="005B051B">
        <w:rPr>
          <w:sz w:val="18"/>
          <w:szCs w:val="18"/>
        </w:rPr>
        <w:t>≥4 × LLOQ, or at least a 4-fold rise if baseline is ≥ LLOQ and &lt;4 × LLOQ, or at least a 2-fold rise if baseline is</w:t>
      </w:r>
      <w:r>
        <w:rPr>
          <w:sz w:val="18"/>
          <w:szCs w:val="18"/>
        </w:rPr>
        <w:t xml:space="preserve"> </w:t>
      </w:r>
      <w:r w:rsidRPr="005B051B">
        <w:rPr>
          <w:sz w:val="18"/>
          <w:szCs w:val="18"/>
        </w:rPr>
        <w:t>≥4 × LLOQ.</w:t>
      </w:r>
    </w:p>
    <w:p w14:paraId="66CE807A" w14:textId="4402CA3D" w:rsidR="007015E6" w:rsidRDefault="007015E6" w:rsidP="007015E6">
      <w:r w:rsidRPr="007015E6">
        <w:t xml:space="preserve">Subjects were followed up for 12 months post treatment, although </w:t>
      </w:r>
      <w:proofErr w:type="gramStart"/>
      <w:r w:rsidRPr="007015E6">
        <w:t>the majority of</w:t>
      </w:r>
      <w:proofErr w:type="gramEnd"/>
      <w:r w:rsidRPr="007015E6">
        <w:t xml:space="preserve"> subjects had</w:t>
      </w:r>
      <w:r>
        <w:t xml:space="preserve"> </w:t>
      </w:r>
      <w:r w:rsidRPr="007015E6">
        <w:t>only reached 6 months follow-up by the data-cutoff for the submitted report.</w:t>
      </w:r>
      <w:r>
        <w:t xml:space="preserve"> </w:t>
      </w:r>
      <w:r w:rsidRPr="007015E6">
        <w:t>Patients were tested for COVID if they developed symptoms consistent with the condition, and</w:t>
      </w:r>
      <w:r w:rsidR="00D32A27">
        <w:t xml:space="preserve"> </w:t>
      </w:r>
      <w:r w:rsidRPr="007015E6">
        <w:t>at routine clinic visits (days 29, 91, 181 and 365) based on qualifying symptoms.</w:t>
      </w:r>
    </w:p>
    <w:p w14:paraId="00E1DCF7" w14:textId="46D4A519" w:rsidR="00EF34DF" w:rsidRPr="00A24CEC" w:rsidRDefault="00EF34DF" w:rsidP="00A24CEC">
      <w:pPr>
        <w:rPr>
          <w:b/>
          <w:bCs/>
        </w:rPr>
      </w:pPr>
      <w:r w:rsidRPr="00A24CEC">
        <w:rPr>
          <w:b/>
          <w:bCs/>
        </w:rPr>
        <w:lastRenderedPageBreak/>
        <w:t>Vaccine efficacy</w:t>
      </w:r>
    </w:p>
    <w:p w14:paraId="662F26D6" w14:textId="381D0427" w:rsidR="00A571B9" w:rsidRPr="00A571B9" w:rsidRDefault="009726C2" w:rsidP="00A571B9">
      <w:r w:rsidRPr="009726C2">
        <w:t xml:space="preserve">The primary </w:t>
      </w:r>
      <w:r w:rsidR="000D020D" w:rsidRPr="005B051B">
        <w:t>relative vaccine efficacy</w:t>
      </w:r>
      <w:r w:rsidR="000D020D" w:rsidRPr="000D020D">
        <w:t xml:space="preserve"> </w:t>
      </w:r>
      <w:r w:rsidR="000D020D">
        <w:t>(</w:t>
      </w:r>
      <w:proofErr w:type="spellStart"/>
      <w:r w:rsidRPr="009726C2">
        <w:t>rVE</w:t>
      </w:r>
      <w:proofErr w:type="spellEnd"/>
      <w:r w:rsidR="000D020D">
        <w:t>)</w:t>
      </w:r>
      <w:r w:rsidRPr="009726C2">
        <w:t xml:space="preserve"> objective was to demonstrate non-inferiority with a 10% margin comparing mRNA-1283 with mRNA-1273. There was a total of 1,177 COVID-19 events included in the analysis, with 560 (9.9%) in the mRNA-1283.222 group and 617 (10.8%) in the mRNA-1273.222 group. </w:t>
      </w:r>
      <w:r w:rsidR="003A244B">
        <w:t xml:space="preserve"> (Table 4)</w:t>
      </w:r>
      <w:r w:rsidR="00A571B9" w:rsidRPr="00A571B9">
        <w:t>. This gave a relative vaccine efficacy of 9.31% (calculated</w:t>
      </w:r>
      <w:r w:rsidR="00A571B9">
        <w:t xml:space="preserve"> </w:t>
      </w:r>
      <w:r w:rsidR="00A571B9" w:rsidRPr="00A571B9">
        <w:t xml:space="preserve">as 1-hazard ratio), which </w:t>
      </w:r>
      <w:r w:rsidR="00B05801">
        <w:t xml:space="preserve">was </w:t>
      </w:r>
      <w:r w:rsidR="00A571B9" w:rsidRPr="00A571B9">
        <w:t>above the -10% pre-specified margin for non-inferiority.</w:t>
      </w:r>
    </w:p>
    <w:p w14:paraId="584913E4" w14:textId="40C1D36A" w:rsidR="00DD4E54" w:rsidRDefault="00A571B9" w:rsidP="00DD4E54">
      <w:r w:rsidRPr="00A571B9">
        <w:t>Results were stratified by age, sex, race and previous vaccine doses with no clear indication of</w:t>
      </w:r>
      <w:r>
        <w:t xml:space="preserve"> </w:t>
      </w:r>
      <w:r w:rsidRPr="00A571B9">
        <w:t>heterogeneity, although these descriptive analyses were not powered.</w:t>
      </w:r>
      <w:r w:rsidR="006955EA">
        <w:t xml:space="preserve"> </w:t>
      </w:r>
      <w:r w:rsidR="00DD4E54" w:rsidRPr="00DD4E54">
        <w:t xml:space="preserve">The highest </w:t>
      </w:r>
      <w:proofErr w:type="spellStart"/>
      <w:r w:rsidR="00DD4E54" w:rsidRPr="00DD4E54">
        <w:t>rVE</w:t>
      </w:r>
      <w:proofErr w:type="spellEnd"/>
      <w:r w:rsidR="00DD4E54" w:rsidRPr="00DD4E54">
        <w:t xml:space="preserve"> was observed in subjects aged 65-years and older</w:t>
      </w:r>
      <w:r w:rsidR="002034A6">
        <w:t xml:space="preserve"> </w:t>
      </w:r>
      <w:r w:rsidR="00F6027D">
        <w:t>(</w:t>
      </w:r>
      <w:r w:rsidR="002034A6">
        <w:t>Table 5)</w:t>
      </w:r>
      <w:r w:rsidR="00DD4E54" w:rsidRPr="00DD4E54">
        <w:t>. The Delegate notes that there is relatively little certainty in the estimate of non-inferiority of mRNA-1283 in adolescents due to the small numbers of participants of that age in the study.</w:t>
      </w:r>
    </w:p>
    <w:p w14:paraId="287171A6" w14:textId="5F29DE52" w:rsidR="00FF2DAE" w:rsidRDefault="005171E9" w:rsidP="00FF2DAE">
      <w:pPr>
        <w:pStyle w:val="TableTitle"/>
        <w:rPr>
          <w:bCs/>
        </w:rPr>
      </w:pPr>
      <w:r w:rsidRPr="005171E9">
        <w:t>Table 4</w:t>
      </w:r>
      <w:r w:rsidR="003A0AE3">
        <w:t>.</w:t>
      </w:r>
      <w:r w:rsidRPr="005171E9">
        <w:t xml:space="preserve"> Study mRNA-1283: P301 - Primary Analysis of Relative Vaccine Efficacy - COVID-19 Events through 31 Jan 2024 (PPSE)</w:t>
      </w:r>
      <w:r w:rsidR="003A0AE3">
        <w:t>.</w:t>
      </w:r>
      <w:r w:rsidRPr="005171E9">
        <w:rPr>
          <w:bCs/>
        </w:rPr>
        <w:t xml:space="preserve"> </w:t>
      </w:r>
    </w:p>
    <w:p w14:paraId="390A24E6" w14:textId="1EA4843A" w:rsidR="005171E9" w:rsidRDefault="005171E9" w:rsidP="00DD4E54">
      <w:r>
        <w:rPr>
          <w:noProof/>
        </w:rPr>
        <w:drawing>
          <wp:inline distT="0" distB="0" distL="0" distR="0" wp14:anchorId="0B1BCA6D" wp14:editId="17AC6FC8">
            <wp:extent cx="5086350" cy="1946724"/>
            <wp:effectExtent l="0" t="0" r="0" b="0"/>
            <wp:docPr id="88096422" name="Picture 14" descr="Table 4. Study mRNA-1283: P301 - Primary Analysis of Relative Vaccine Efficacy - COVID-19 Events through 31 Jan 2024 (PP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422" name="Picture 14" descr="Table 4. Study mRNA-1283: P301 - Primary Analysis of Relative Vaccine Efficacy - COVID-19 Events through 31 Jan 2024 (PPS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790" cy="1956843"/>
                    </a:xfrm>
                    <a:prstGeom prst="rect">
                      <a:avLst/>
                    </a:prstGeom>
                    <a:noFill/>
                  </pic:spPr>
                </pic:pic>
              </a:graphicData>
            </a:graphic>
          </wp:inline>
        </w:drawing>
      </w:r>
      <w:r>
        <w:rPr>
          <w:noProof/>
        </w:rPr>
        <w:drawing>
          <wp:inline distT="0" distB="0" distL="0" distR="0" wp14:anchorId="0FF22877" wp14:editId="1E8FBD2C">
            <wp:extent cx="5048250" cy="632640"/>
            <wp:effectExtent l="0" t="0" r="0" b="0"/>
            <wp:docPr id="1774738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0058" cy="636626"/>
                    </a:xfrm>
                    <a:prstGeom prst="rect">
                      <a:avLst/>
                    </a:prstGeom>
                    <a:noFill/>
                  </pic:spPr>
                </pic:pic>
              </a:graphicData>
            </a:graphic>
          </wp:inline>
        </w:drawing>
      </w:r>
    </w:p>
    <w:p w14:paraId="11BEFE0E" w14:textId="6B6BEFFC" w:rsidR="00A571B9" w:rsidRDefault="00012556" w:rsidP="0022510C">
      <w:pPr>
        <w:pStyle w:val="TableTitle"/>
      </w:pPr>
      <w:bookmarkStart w:id="48" w:name="_Toc314842514"/>
      <w:r w:rsidRPr="00012556">
        <w:t xml:space="preserve">Table </w:t>
      </w:r>
      <w:r>
        <w:t>5</w:t>
      </w:r>
      <w:r w:rsidR="003A0AE3">
        <w:t>.</w:t>
      </w:r>
      <w:r w:rsidRPr="00012556">
        <w:t xml:space="preserve"> </w:t>
      </w:r>
      <w:r w:rsidR="00DF71E3" w:rsidRPr="00DF71E3">
        <w:t>Study P301: Descriptive Analysis of Relative Vaccine Efficacy - Subgroup Analysis based on Age</w:t>
      </w:r>
      <w:r w:rsidR="003A0AE3">
        <w:t>.</w:t>
      </w:r>
    </w:p>
    <w:p w14:paraId="1F54E424" w14:textId="77777777" w:rsidR="00B91A39" w:rsidRDefault="00C977A6" w:rsidP="004251BA">
      <w:pPr>
        <w:rPr>
          <w:sz w:val="18"/>
          <w:szCs w:val="18"/>
        </w:rPr>
      </w:pPr>
      <w:r w:rsidRPr="00C977A6">
        <w:rPr>
          <w:noProof/>
        </w:rPr>
        <w:drawing>
          <wp:inline distT="0" distB="0" distL="0" distR="0" wp14:anchorId="783EC242" wp14:editId="3273EDCB">
            <wp:extent cx="5467350" cy="2839163"/>
            <wp:effectExtent l="0" t="0" r="0" b="0"/>
            <wp:docPr id="426232160" name="Picture 1" descr="Table 5. Study P301: Descriptive Analysis of Relative Vaccine Efficacy - Subgroup Analysis based 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32160" name="Picture 1" descr="Table 5. Study P301: Descriptive Analysis of Relative Vaccine Efficacy - Subgroup Analysis based on Age."/>
                    <pic:cNvPicPr/>
                  </pic:nvPicPr>
                  <pic:blipFill>
                    <a:blip r:embed="rId25"/>
                    <a:stretch>
                      <a:fillRect/>
                    </a:stretch>
                  </pic:blipFill>
                  <pic:spPr>
                    <a:xfrm>
                      <a:off x="0" y="0"/>
                      <a:ext cx="5555474" cy="2884925"/>
                    </a:xfrm>
                    <a:prstGeom prst="rect">
                      <a:avLst/>
                    </a:prstGeom>
                  </pic:spPr>
                </pic:pic>
              </a:graphicData>
            </a:graphic>
          </wp:inline>
        </w:drawing>
      </w:r>
    </w:p>
    <w:p w14:paraId="32AB1E35" w14:textId="197457B1" w:rsidR="007A0A32" w:rsidRDefault="00DB6D3A" w:rsidP="004251BA">
      <w:pPr>
        <w:pStyle w:val="TableDescription"/>
      </w:pPr>
      <w:r w:rsidRPr="00501888">
        <w:t>CI= confidence interval; COVID-19 = coronavirus disease 2019</w:t>
      </w:r>
      <w:r w:rsidR="00FE6C81" w:rsidRPr="00501888">
        <w:t>; RT-PCR= reverse transcription polymerase</w:t>
      </w:r>
      <w:r w:rsidR="007A0A32" w:rsidRPr="007A0A32">
        <w:t xml:space="preserve"> chain reaction; </w:t>
      </w:r>
      <w:proofErr w:type="spellStart"/>
      <w:r w:rsidR="007A0A32" w:rsidRPr="007A0A32">
        <w:t>rVE</w:t>
      </w:r>
      <w:proofErr w:type="spellEnd"/>
      <w:r w:rsidR="007A0A32" w:rsidRPr="007A0A32">
        <w:t>= relative vaccine efficacy.</w:t>
      </w:r>
    </w:p>
    <w:p w14:paraId="7404D0AB" w14:textId="7AE3D77B" w:rsidR="00FA594E" w:rsidRDefault="00FA594E" w:rsidP="004251BA">
      <w:r w:rsidRPr="00FA594E">
        <w:rPr>
          <w:noProof/>
        </w:rPr>
        <w:lastRenderedPageBreak/>
        <w:drawing>
          <wp:inline distT="0" distB="0" distL="0" distR="0" wp14:anchorId="11CE8B2A" wp14:editId="0AC6B970">
            <wp:extent cx="5305425" cy="1629768"/>
            <wp:effectExtent l="0" t="0" r="0" b="8890"/>
            <wp:docPr id="984061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61720" name=""/>
                    <pic:cNvPicPr/>
                  </pic:nvPicPr>
                  <pic:blipFill>
                    <a:blip r:embed="rId26"/>
                    <a:stretch>
                      <a:fillRect/>
                    </a:stretch>
                  </pic:blipFill>
                  <pic:spPr>
                    <a:xfrm>
                      <a:off x="0" y="0"/>
                      <a:ext cx="5341863" cy="1640961"/>
                    </a:xfrm>
                    <a:prstGeom prst="rect">
                      <a:avLst/>
                    </a:prstGeom>
                  </pic:spPr>
                </pic:pic>
              </a:graphicData>
            </a:graphic>
          </wp:inline>
        </w:drawing>
      </w:r>
    </w:p>
    <w:p w14:paraId="10FED1BA" w14:textId="41CF055D" w:rsidR="00B80998" w:rsidRPr="00B80998" w:rsidRDefault="00B80998" w:rsidP="00B80998">
      <w:pPr>
        <w:rPr>
          <w:b/>
          <w:bCs/>
        </w:rPr>
      </w:pPr>
      <w:r w:rsidRPr="00B80998">
        <w:rPr>
          <w:b/>
          <w:bCs/>
        </w:rPr>
        <w:t>Immunogenicity</w:t>
      </w:r>
    </w:p>
    <w:p w14:paraId="1C83FC98" w14:textId="7860ECA0" w:rsidR="000136F7" w:rsidRPr="000136F7" w:rsidRDefault="000136F7" w:rsidP="0045618B">
      <w:r w:rsidRPr="000136F7">
        <w:t xml:space="preserve">The primary immunogenicity objective was met with noninferior neutralizing antibody responses of mRNA-1283.222 vs mRNA-1272.222. The Day 29 BA.4/5 GMR was 1.335 (95% CI: 1.194, 1.492) with the lower bound of the CI &gt;0.667. The SRR difference was 14.4% (95% CI: 9.3, 19.4), with the lower bound of the CI &gt;-10%. The Day 29 original SARS-CoV-2 GMR was 1.240 (95% CI: 1.128, 1.362) with the lower bound of the CI &gt;0.667. The SRR difference was 10.7% (95% CI: 6.0, 15.4) with the lower bound of the CI &gt;-10%. </w:t>
      </w:r>
    </w:p>
    <w:p w14:paraId="012FD1DD" w14:textId="599646ED" w:rsidR="00B80998" w:rsidRDefault="000136F7" w:rsidP="0045618B">
      <w:r w:rsidRPr="000136F7">
        <w:t xml:space="preserve">In the mRNA-1283.222 group, the </w:t>
      </w:r>
      <w:r w:rsidR="0050724A">
        <w:t>geometric mean (</w:t>
      </w:r>
      <w:r w:rsidRPr="000136F7">
        <w:t>GM</w:t>
      </w:r>
      <w:r w:rsidR="0050724A">
        <w:t>)</w:t>
      </w:r>
      <w:r w:rsidRPr="000136F7">
        <w:t xml:space="preserve"> was 355.9 (95% CI: 324.8, 389.9) pre</w:t>
      </w:r>
      <w:r w:rsidR="005224A5">
        <w:t>-</w:t>
      </w:r>
      <w:r w:rsidRPr="000136F7">
        <w:t>vaccination and 2346.2 (95% CI: 2158.0, 2550.9) at Day 29, with a 6.59-fold increase (GMFR=6.59 [95% CI: 6.03, 7.21]). In the mRNA-1273.222 group, the GM was 346.1 (95% CI: 312.2, 383.7) pre</w:t>
      </w:r>
      <w:r w:rsidR="005224A5">
        <w:t>-</w:t>
      </w:r>
      <w:r w:rsidRPr="000136F7">
        <w:t>vaccination and 1753.8 (95% CI: 1607.0, 1914.0) at Day 29, with a 5.07-fold rise (GMFR=5.07 [95% CI: 4.63, 5.55]). Therefore, mRNA-1283.222 induced a higher fold-rise relative to mRNA-1273.222</w:t>
      </w:r>
      <w:r w:rsidR="00F87010">
        <w:t xml:space="preserve"> </w:t>
      </w:r>
      <w:r w:rsidR="00E65157">
        <w:t>(Table 6)</w:t>
      </w:r>
      <w:r w:rsidR="00B80998" w:rsidRPr="00B80998">
        <w:t>.</w:t>
      </w:r>
    </w:p>
    <w:p w14:paraId="679F65A2" w14:textId="77777777" w:rsidR="004251BA" w:rsidRDefault="003D31EF" w:rsidP="003D31EF">
      <w:pPr>
        <w:pStyle w:val="TableTitle"/>
      </w:pPr>
      <w:r w:rsidRPr="00D75055">
        <w:t>Table 6</w:t>
      </w:r>
      <w:r w:rsidR="003A0AE3">
        <w:t>.</w:t>
      </w:r>
      <w:r w:rsidRPr="00D75055">
        <w:t xml:space="preserve"> </w:t>
      </w:r>
      <w:r w:rsidR="00025863" w:rsidRPr="00D75055">
        <w:t>Study mRNA-1283: P301 - Summary of Pseudo-virus Neutralizing Antibody Level Against BA.4/5 Variant (PPIS)</w:t>
      </w:r>
      <w:r w:rsidR="003A0AE3">
        <w:t>.</w:t>
      </w:r>
    </w:p>
    <w:p w14:paraId="274A2025" w14:textId="247640C4" w:rsidR="00530620" w:rsidRDefault="00530620" w:rsidP="004251BA">
      <w:r w:rsidRPr="00530620">
        <w:rPr>
          <w:noProof/>
        </w:rPr>
        <w:drawing>
          <wp:inline distT="0" distB="0" distL="0" distR="0" wp14:anchorId="0AB0997B" wp14:editId="65917C03">
            <wp:extent cx="5734050" cy="4442460"/>
            <wp:effectExtent l="0" t="0" r="0" b="0"/>
            <wp:docPr id="626784635" name="Picture 1" descr="Table 6. Study mRNA-1283: P301 - Summary of Pseudo-virus Neutralizing Antibody Level Against BA.4/5 Variant (P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84635" name="Picture 1" descr="Table 6. Study mRNA-1283: P301 - Summary of Pseudo-virus Neutralizing Antibody Level Against BA.4/5 Variant (PPIS)."/>
                    <pic:cNvPicPr/>
                  </pic:nvPicPr>
                  <pic:blipFill>
                    <a:blip r:embed="rId27"/>
                    <a:stretch>
                      <a:fillRect/>
                    </a:stretch>
                  </pic:blipFill>
                  <pic:spPr>
                    <a:xfrm>
                      <a:off x="0" y="0"/>
                      <a:ext cx="5734549" cy="4442847"/>
                    </a:xfrm>
                    <a:prstGeom prst="rect">
                      <a:avLst/>
                    </a:prstGeom>
                  </pic:spPr>
                </pic:pic>
              </a:graphicData>
            </a:graphic>
          </wp:inline>
        </w:drawing>
      </w:r>
    </w:p>
    <w:p w14:paraId="5A5CAB16" w14:textId="3CF009DD" w:rsidR="0039571A" w:rsidRPr="0039571A" w:rsidRDefault="0039571A" w:rsidP="000E3C19">
      <w:pPr>
        <w:pStyle w:val="Heading6"/>
      </w:pPr>
      <w:r w:rsidRPr="0039571A">
        <w:lastRenderedPageBreak/>
        <w:t>Japanese sub-study</w:t>
      </w:r>
      <w:r w:rsidR="00F370D6">
        <w:rPr>
          <w:rFonts w:cs="Cambria"/>
          <w:color w:val="000000"/>
          <w:szCs w:val="22"/>
        </w:rPr>
        <w:t xml:space="preserve">: </w:t>
      </w:r>
      <w:r w:rsidR="00F370D6" w:rsidRPr="00F370D6">
        <w:t>Study mRNA-1283-P301, Addendum (Japan)</w:t>
      </w:r>
      <w:fldSimple w:instr=" DOCVARIABLE vault_nd_91ea8431-2c2d-4add-b39c-721ca85ad864 \* MERGEFORMAT ">
        <w:r w:rsidR="00B03ADC">
          <w:t xml:space="preserve"> </w:t>
        </w:r>
      </w:fldSimple>
    </w:p>
    <w:p w14:paraId="033AC4F7" w14:textId="5710FC47" w:rsidR="00F027E3" w:rsidRPr="00F027E3" w:rsidRDefault="00F027E3" w:rsidP="006863DE">
      <w:r w:rsidRPr="00F027E3">
        <w:t>This is a randomised, observer-blind, active-controlled Phase 3 study to investigate the safety and immunogenicity of mRNA-1283 compared with mRNA-1273 in participants aged 12 years of age and older in Japanese participants. This study presents the results of an interim analysis conducted when all participants had completed at least 29 days of follow up (</w:t>
      </w:r>
      <w:r w:rsidR="003A0AE3">
        <w:t>w</w:t>
      </w:r>
      <w:r w:rsidRPr="00F027E3">
        <w:t xml:space="preserve">ith data cutoff date 2 May 2024). </w:t>
      </w:r>
    </w:p>
    <w:p w14:paraId="04BEA696" w14:textId="16B43013" w:rsidR="00F027E3" w:rsidRPr="00F027E3" w:rsidRDefault="00F027E3" w:rsidP="006863DE">
      <w:r w:rsidRPr="00F027E3">
        <w:t>The Japanese cohort was added to this study due to the country-specific protocol. The primary objectives of the study include non-inferior immunogenicity of mRNA-1283.815 vs mRNA-1273.815. This study followed a similar study design to Study mRNA-1283-P301</w:t>
      </w:r>
      <w:r w:rsidR="00C0070A">
        <w:t>.</w:t>
      </w:r>
      <w:r w:rsidRPr="00F027E3">
        <w:t xml:space="preserve"> </w:t>
      </w:r>
    </w:p>
    <w:p w14:paraId="21098D6C" w14:textId="77777777" w:rsidR="00F027E3" w:rsidRPr="00F027E3" w:rsidRDefault="00F027E3" w:rsidP="006863DE">
      <w:r w:rsidRPr="00F027E3">
        <w:t xml:space="preserve">689 participants were dosed, with 343 in the mRNA-1283.815 group and 346 in the mRNA-1273.815 group. The study included Japanese participants aged over 12 who were medically stable. It excluded participants who were breastfeeding or pregnant. </w:t>
      </w:r>
    </w:p>
    <w:p w14:paraId="49FEA7C2" w14:textId="6F0E4403" w:rsidR="00681B14" w:rsidRDefault="00F027E3" w:rsidP="006863DE">
      <w:r w:rsidRPr="00F027E3">
        <w:t xml:space="preserve">Baseline demographics between both groups were balanced as shown in </w:t>
      </w:r>
      <w:r w:rsidR="00C0070A">
        <w:t>Table 7</w:t>
      </w:r>
      <w:r w:rsidRPr="00F027E3">
        <w:t>.</w:t>
      </w:r>
    </w:p>
    <w:p w14:paraId="54119DBD" w14:textId="2F820DEE" w:rsidR="007220F5" w:rsidRDefault="00C0070A" w:rsidP="003A0AE3">
      <w:pPr>
        <w:pStyle w:val="TableTitle"/>
      </w:pPr>
      <w:r w:rsidRPr="00C0070A">
        <w:t>Table 7</w:t>
      </w:r>
      <w:r w:rsidR="00C05E31">
        <w:t>.</w:t>
      </w:r>
      <w:r w:rsidRPr="00C0070A">
        <w:t xml:space="preserve"> </w:t>
      </w:r>
      <w:r w:rsidR="00182F15" w:rsidRPr="00182F15">
        <w:t>Study P301: Japanese Amendment - Baseline Demographics - Safety Set</w:t>
      </w:r>
      <w:r w:rsidR="00C05E31">
        <w:t>.</w:t>
      </w:r>
    </w:p>
    <w:p w14:paraId="39DED23E" w14:textId="0D956904" w:rsidR="007220F5" w:rsidRDefault="007220F5" w:rsidP="007220F5">
      <w:pPr>
        <w:rPr>
          <w:b/>
        </w:rPr>
      </w:pPr>
      <w:r w:rsidRPr="00B37A38">
        <w:rPr>
          <w:noProof/>
        </w:rPr>
        <w:drawing>
          <wp:inline distT="0" distB="0" distL="0" distR="0" wp14:anchorId="37EA894F" wp14:editId="6F520A7F">
            <wp:extent cx="5695476" cy="5848350"/>
            <wp:effectExtent l="0" t="0" r="635" b="0"/>
            <wp:docPr id="732594016" name="Picture 1" descr="Table 7. Study P301: Japanese Amendment - Baseline Demographic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94016" name="Picture 1" descr="Table 7. Study P301: Japanese Amendment - Baseline Demographics - Safety Set."/>
                    <pic:cNvPicPr/>
                  </pic:nvPicPr>
                  <pic:blipFill>
                    <a:blip r:embed="rId28"/>
                    <a:stretch>
                      <a:fillRect/>
                    </a:stretch>
                  </pic:blipFill>
                  <pic:spPr>
                    <a:xfrm>
                      <a:off x="0" y="0"/>
                      <a:ext cx="5729633" cy="5883424"/>
                    </a:xfrm>
                    <a:prstGeom prst="rect">
                      <a:avLst/>
                    </a:prstGeom>
                  </pic:spPr>
                </pic:pic>
              </a:graphicData>
            </a:graphic>
          </wp:inline>
        </w:drawing>
      </w:r>
    </w:p>
    <w:p w14:paraId="41D10085" w14:textId="77777777" w:rsidR="005930B0" w:rsidRPr="005930B0" w:rsidRDefault="005930B0" w:rsidP="005930B0">
      <w:r w:rsidRPr="005930B0">
        <w:lastRenderedPageBreak/>
        <w:t xml:space="preserve">The primary immunogenicity objective was met as the GMR [95% CI] of mRNA-1283.815 over mRNA-1273.815 was 1.195 [1.028, 1.389], lower bound of the 95% CI &gt;0.667). This was consistent across age groups with subgroup analyses including age strata of 12-18, 18-65, and ≥65 years. The highest XBB.1.5 GMR point estimate was observed in the ≥65-year-old age subgroup (1.278, 95% CI: 0.874, 1.871). Therefore, the immune responses (as measured by GMR against XBB.1.5) generated by mRNA-1283.815 are noninferior to those induced by mRNA-1273.815, meeting the study success criterion. </w:t>
      </w:r>
    </w:p>
    <w:p w14:paraId="4ABF3AFE" w14:textId="77777777" w:rsidR="005930B0" w:rsidRPr="005930B0" w:rsidRDefault="005930B0" w:rsidP="005930B0">
      <w:r w:rsidRPr="005930B0">
        <w:t xml:space="preserve">Study mRNA-1283-P301: Japanese Amendment provides further immunogenicity information to compare mRNA-1283.815 to the previously approved vaccine, mRNA-1273.815. The study also provided evidence of immunogenicity against newer COVID-19 variants, including XBB.1.5, which were not studied in the pivotal P301 study. </w:t>
      </w:r>
    </w:p>
    <w:p w14:paraId="339D08F2" w14:textId="2546F7B2" w:rsidR="005930B0" w:rsidRDefault="005930B0" w:rsidP="005930B0">
      <w:r w:rsidRPr="005930B0">
        <w:t>However, immunogenicity data was only provided to day 29 in this population and owning to the small sample size compared with P301, vaccine efficacy was not assessed. Nevertheless, this study provided additional immunogenicity information on mRNA-1283 in this specific population and against newer variants.</w:t>
      </w:r>
    </w:p>
    <w:p w14:paraId="3FD22269" w14:textId="15733E59" w:rsidR="00635C58" w:rsidRPr="008B3EEC" w:rsidRDefault="007220F5" w:rsidP="005B4FD2">
      <w:pPr>
        <w:pStyle w:val="TableTitle"/>
      </w:pPr>
      <w:r w:rsidRPr="008B3EEC">
        <w:t>T</w:t>
      </w:r>
      <w:r w:rsidR="00492AAC" w:rsidRPr="008B3EEC">
        <w:t>able 8</w:t>
      </w:r>
      <w:r w:rsidR="005B4FD2">
        <w:t>.</w:t>
      </w:r>
      <w:r w:rsidR="00492AAC" w:rsidRPr="008B3EEC">
        <w:t xml:space="preserve"> </w:t>
      </w:r>
      <w:r w:rsidR="00DD738E" w:rsidRPr="00DD738E">
        <w:t xml:space="preserve">Study mRNA-1283: P301 - Japanese Amendment: Summary of </w:t>
      </w:r>
      <w:proofErr w:type="spellStart"/>
      <w:r w:rsidR="00DD738E" w:rsidRPr="00DD738E">
        <w:t>Pseudovirus</w:t>
      </w:r>
      <w:proofErr w:type="spellEnd"/>
      <w:r w:rsidR="00DD738E" w:rsidRPr="00DD738E">
        <w:t xml:space="preserve"> Neutralizing Antibody Level Against XBB.1.5 Variant (PPIS)</w:t>
      </w:r>
      <w:r w:rsidR="005B4FD2">
        <w:t>.</w:t>
      </w:r>
    </w:p>
    <w:p w14:paraId="4D5104AC" w14:textId="4D546087" w:rsidR="00635C58" w:rsidRDefault="00635C58" w:rsidP="007220F5">
      <w:r w:rsidRPr="00635C58">
        <w:rPr>
          <w:noProof/>
        </w:rPr>
        <w:drawing>
          <wp:inline distT="0" distB="0" distL="0" distR="0" wp14:anchorId="3907E90B" wp14:editId="42C821C2">
            <wp:extent cx="5686425" cy="4400550"/>
            <wp:effectExtent l="0" t="0" r="9525" b="0"/>
            <wp:docPr id="1407078051" name="Picture 1" descr="Table 8. Study mRNA-1283: P301 - Japanese Amendment: Summary of Pseudovirus Neutralizing Antibody Level Against XBB.1.5 Variant (P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78051" name="Picture 1" descr="Table 8. Study mRNA-1283: P301 - Japanese Amendment: Summary of Pseudovirus Neutralizing Antibody Level Against XBB.1.5 Variant (PPIS)."/>
                    <pic:cNvPicPr/>
                  </pic:nvPicPr>
                  <pic:blipFill>
                    <a:blip r:embed="rId29"/>
                    <a:stretch>
                      <a:fillRect/>
                    </a:stretch>
                  </pic:blipFill>
                  <pic:spPr>
                    <a:xfrm>
                      <a:off x="0" y="0"/>
                      <a:ext cx="5690562" cy="4403751"/>
                    </a:xfrm>
                    <a:prstGeom prst="rect">
                      <a:avLst/>
                    </a:prstGeom>
                  </pic:spPr>
                </pic:pic>
              </a:graphicData>
            </a:graphic>
          </wp:inline>
        </w:drawing>
      </w:r>
    </w:p>
    <w:p w14:paraId="0DD7C97A" w14:textId="560FBA76" w:rsidR="00F376C0" w:rsidRDefault="00225949" w:rsidP="00D00E40">
      <w:pPr>
        <w:pStyle w:val="Heading4"/>
      </w:pPr>
      <w:bookmarkStart w:id="49" w:name="_Toc230003589"/>
      <w:r>
        <w:t>S</w:t>
      </w:r>
      <w:r w:rsidR="00D846B4" w:rsidRPr="00D846B4">
        <w:t>afety</w:t>
      </w:r>
      <w:bookmarkEnd w:id="49"/>
      <w:r w:rsidR="00B03ADC">
        <w:fldChar w:fldCharType="begin"/>
      </w:r>
      <w:r w:rsidR="00B03ADC">
        <w:instrText xml:space="preserve"> DOCVARIABLE vault_nd_d50a456e-f092-43c7-91ca-3ba79bd6ed3b \* MERGEFORMAT </w:instrText>
      </w:r>
      <w:r w:rsidR="00B03ADC">
        <w:fldChar w:fldCharType="separate"/>
      </w:r>
      <w:r w:rsidR="00B03ADC">
        <w:t xml:space="preserve"> </w:t>
      </w:r>
      <w:r w:rsidR="00B03ADC">
        <w:fldChar w:fldCharType="end"/>
      </w:r>
    </w:p>
    <w:p w14:paraId="5EE7901E" w14:textId="72610804" w:rsidR="00F358DE" w:rsidRPr="00F358DE" w:rsidRDefault="00F358DE" w:rsidP="00F358DE">
      <w:pPr>
        <w:pStyle w:val="Heading5"/>
        <w:rPr>
          <w:rFonts w:eastAsiaTheme="minorHAnsi"/>
        </w:rPr>
      </w:pPr>
      <w:r w:rsidRPr="00F358DE">
        <w:rPr>
          <w:rFonts w:eastAsiaTheme="minorHAnsi"/>
        </w:rPr>
        <w:t>Pivotal Study mRNA-1283-P301 (Study 301)</w:t>
      </w:r>
      <w:r w:rsidR="00B03ADC">
        <w:rPr>
          <w:rFonts w:eastAsiaTheme="minorHAnsi"/>
        </w:rPr>
        <w:fldChar w:fldCharType="begin"/>
      </w:r>
      <w:r w:rsidR="00B03ADC">
        <w:rPr>
          <w:rFonts w:eastAsiaTheme="minorHAnsi"/>
        </w:rPr>
        <w:instrText xml:space="preserve"> DOCVARIABLE vault_nd_e498d8e9-05a9-48e9-acc5-74b38af3cd3a \* MERGEFORMAT </w:instrText>
      </w:r>
      <w:r w:rsidR="00B03ADC">
        <w:rPr>
          <w:rFonts w:eastAsiaTheme="minorHAnsi"/>
        </w:rPr>
        <w:fldChar w:fldCharType="separate"/>
      </w:r>
      <w:r w:rsidR="00B03ADC">
        <w:rPr>
          <w:rFonts w:eastAsiaTheme="minorHAnsi"/>
        </w:rPr>
        <w:t xml:space="preserve"> </w:t>
      </w:r>
      <w:r w:rsidR="00B03ADC">
        <w:rPr>
          <w:rFonts w:eastAsiaTheme="minorHAnsi"/>
        </w:rPr>
        <w:fldChar w:fldCharType="end"/>
      </w:r>
    </w:p>
    <w:p w14:paraId="5A368CF6" w14:textId="0D2D474C" w:rsidR="00327B58" w:rsidRPr="00327B58" w:rsidRDefault="00327B58" w:rsidP="00327B58">
      <w:r>
        <w:t>T</w:t>
      </w:r>
      <w:r w:rsidRPr="00327B58">
        <w:t>he primary focus on safety data is withi</w:t>
      </w:r>
      <w:r w:rsidR="00894760">
        <w:t xml:space="preserve">n </w:t>
      </w:r>
      <w:r w:rsidR="00894760" w:rsidRPr="00894760">
        <w:t>mRNA-1283-P301 (Pivotal Study)</w:t>
      </w:r>
      <w:r w:rsidRPr="00327B58">
        <w:t>, as this had the most participants (5706 participants) and is</w:t>
      </w:r>
      <w:r w:rsidR="00BA3CC8">
        <w:t xml:space="preserve"> conducted with</w:t>
      </w:r>
      <w:r w:rsidRPr="00327B58">
        <w:t xml:space="preserve"> the proposed dose. </w:t>
      </w:r>
    </w:p>
    <w:p w14:paraId="0B99DBFC" w14:textId="3513B7C3" w:rsidR="00B72FB6" w:rsidRDefault="00327B58" w:rsidP="00327B58">
      <w:r w:rsidRPr="00327B58">
        <w:lastRenderedPageBreak/>
        <w:t xml:space="preserve">Unsolicited AEs were recorded within 28 days postvaccination. Serious adverse events, adverse events of special interest and medically attended adverse events were recorded throughout the study with no date cutoff. </w:t>
      </w:r>
      <w:r w:rsidR="00994A9B">
        <w:t>At the time</w:t>
      </w:r>
      <w:r w:rsidR="0055092F" w:rsidRPr="0055092F">
        <w:t xml:space="preserve"> of the cutoff for the submitted report, 6268 patients had received at least 1 dose of mRNA-1283 across all the studies with the majority of these (91.0%) being in </w:t>
      </w:r>
      <w:r w:rsidR="00684237">
        <w:t>S</w:t>
      </w:r>
      <w:r w:rsidR="0055092F" w:rsidRPr="0055092F">
        <w:t>tudy 301.</w:t>
      </w:r>
    </w:p>
    <w:p w14:paraId="575667AD" w14:textId="77777777" w:rsidR="004C2B1D" w:rsidRDefault="00F376C0" w:rsidP="004C2B1D">
      <w:pPr>
        <w:pStyle w:val="TableTitle"/>
      </w:pPr>
      <w:r w:rsidRPr="00B72FB6">
        <w:t>T</w:t>
      </w:r>
      <w:r w:rsidR="00D846B4" w:rsidRPr="00B72FB6">
        <w:t xml:space="preserve">able </w:t>
      </w:r>
      <w:r w:rsidRPr="00B72FB6">
        <w:t>9</w:t>
      </w:r>
      <w:r w:rsidR="00904F9D">
        <w:t>.</w:t>
      </w:r>
      <w:r w:rsidR="00D846B4" w:rsidRPr="00B72FB6">
        <w:t xml:space="preserve"> </w:t>
      </w:r>
      <w:r w:rsidR="00C0138B" w:rsidRPr="00C0138B">
        <w:t xml:space="preserve">Study P301: Summary of Study Duration (Safety Set) </w:t>
      </w:r>
    </w:p>
    <w:p w14:paraId="7D35F255" w14:textId="69AAC50D" w:rsidR="000C5C0F" w:rsidRDefault="000C5C0F" w:rsidP="004C2B1D">
      <w:r w:rsidRPr="000C5C0F">
        <w:rPr>
          <w:noProof/>
        </w:rPr>
        <w:drawing>
          <wp:inline distT="0" distB="0" distL="0" distR="0" wp14:anchorId="51439257" wp14:editId="5C54403B">
            <wp:extent cx="5800725" cy="4651127"/>
            <wp:effectExtent l="0" t="0" r="0" b="0"/>
            <wp:docPr id="1480847657" name="Picture 1" descr="Table 9. Study P301: Summary of Study Duration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47657" name="Picture 1" descr="Table 9. Study P301: Summary of Study Duration (Safety Set) "/>
                    <pic:cNvPicPr/>
                  </pic:nvPicPr>
                  <pic:blipFill>
                    <a:blip r:embed="rId30"/>
                    <a:stretch>
                      <a:fillRect/>
                    </a:stretch>
                  </pic:blipFill>
                  <pic:spPr>
                    <a:xfrm>
                      <a:off x="0" y="0"/>
                      <a:ext cx="5805407" cy="4654881"/>
                    </a:xfrm>
                    <a:prstGeom prst="rect">
                      <a:avLst/>
                    </a:prstGeom>
                  </pic:spPr>
                </pic:pic>
              </a:graphicData>
            </a:graphic>
          </wp:inline>
        </w:drawing>
      </w:r>
    </w:p>
    <w:p w14:paraId="62F0C3C3" w14:textId="3499051D" w:rsidR="00631E45" w:rsidRPr="00631E45" w:rsidRDefault="00631E45" w:rsidP="00631E45">
      <w:pPr>
        <w:rPr>
          <w:b/>
          <w:bCs/>
        </w:rPr>
      </w:pPr>
      <w:r w:rsidRPr="00631E45">
        <w:rPr>
          <w:b/>
          <w:bCs/>
        </w:rPr>
        <w:t xml:space="preserve">Solicited </w:t>
      </w:r>
      <w:r w:rsidR="004C2B1D" w:rsidRPr="00631E45">
        <w:rPr>
          <w:b/>
          <w:bCs/>
        </w:rPr>
        <w:t>adverse e</w:t>
      </w:r>
      <w:r w:rsidRPr="00631E45">
        <w:rPr>
          <w:b/>
          <w:bCs/>
        </w:rPr>
        <w:t xml:space="preserve">vents </w:t>
      </w:r>
    </w:p>
    <w:p w14:paraId="73018A77" w14:textId="499304A7" w:rsidR="000C5C0F" w:rsidRDefault="00631E45" w:rsidP="00631E45">
      <w:r w:rsidRPr="00631E45">
        <w:t>Solicited adverse events were reported with lower incidence in the mRNA-1283.222 group with 4571/5702 (80.2%, 95% CI: 79.1-81.2) participants and 4781/5706 (83.8%, 95% CI 82.8-84.7) participants in the mRNA-1273.222 group reporting any solicited AR within 7 days after vaccination. The figures below demonstrate the solicited local and systemic adverse reactions within 7 days.</w:t>
      </w:r>
    </w:p>
    <w:p w14:paraId="4FE59B8B" w14:textId="73E4FACE" w:rsidR="00595327" w:rsidRPr="00595327" w:rsidRDefault="00595327" w:rsidP="00595327">
      <w:r w:rsidRPr="00595327">
        <w:t>Reactogenic adverse events were reported slightly less commonly in mRNA-1283 treated patients than in those who received m</w:t>
      </w:r>
      <w:r w:rsidR="003719B9">
        <w:t>RN</w:t>
      </w:r>
      <w:r w:rsidRPr="00595327">
        <w:t xml:space="preserve">A-1273 (Figure </w:t>
      </w:r>
      <w:r w:rsidR="00696715">
        <w:t>2</w:t>
      </w:r>
      <w:r w:rsidRPr="00595327">
        <w:t xml:space="preserve">). The median day of onset of solicited ARs was 2 days in the mRNA-1283.222 group compared with 1 day in the mRNA-1273.222 group. </w:t>
      </w:r>
    </w:p>
    <w:p w14:paraId="368CF219" w14:textId="0B4DD0FB" w:rsidR="00595327" w:rsidRPr="00595327" w:rsidRDefault="00595327" w:rsidP="00595327">
      <w:r w:rsidRPr="00595327">
        <w:t xml:space="preserve">Solicited local and systemic AEs overall incidence were lower in participants aged 65 and over compared to those are less than 65. Systemic adverse events were reported at nearly the same rate between the two vaccines (Figure </w:t>
      </w:r>
      <w:r w:rsidR="00696715">
        <w:t>3</w:t>
      </w:r>
      <w:r w:rsidRPr="00595327">
        <w:t>).</w:t>
      </w:r>
    </w:p>
    <w:p w14:paraId="2C262EFE" w14:textId="77777777" w:rsidR="00595327" w:rsidRDefault="00595327" w:rsidP="00631E45"/>
    <w:p w14:paraId="271A4B2C" w14:textId="65B5684E" w:rsidR="00EA172A" w:rsidRDefault="008B3F1B" w:rsidP="00494982">
      <w:pPr>
        <w:pStyle w:val="FigureTitle"/>
      </w:pPr>
      <w:r>
        <w:lastRenderedPageBreak/>
        <w:t>F</w:t>
      </w:r>
      <w:r w:rsidR="00EA172A">
        <w:t xml:space="preserve">igure </w:t>
      </w:r>
      <w:r w:rsidR="00696715">
        <w:t>2</w:t>
      </w:r>
      <w:r w:rsidR="00EA172A">
        <w:t xml:space="preserve">. </w:t>
      </w:r>
      <w:r w:rsidR="00494982" w:rsidRPr="00494982">
        <w:t>Study mRNA-1283</w:t>
      </w:r>
      <w:r w:rsidR="00EB4D60">
        <w:t>-</w:t>
      </w:r>
      <w:r w:rsidR="00494982" w:rsidRPr="00494982">
        <w:t>P301: Solicited Local Adverse Reactions within 7 Days After Injection (Solicited Safety Set)</w:t>
      </w:r>
      <w:r w:rsidR="00904F9D">
        <w:t>.</w:t>
      </w:r>
    </w:p>
    <w:p w14:paraId="46803C5C" w14:textId="3ABDC06F" w:rsidR="008D4491" w:rsidRDefault="008D4491" w:rsidP="00494982">
      <w:pPr>
        <w:pStyle w:val="FigureTitle"/>
      </w:pPr>
      <w:r w:rsidRPr="008D4491">
        <w:rPr>
          <w:noProof/>
        </w:rPr>
        <w:drawing>
          <wp:inline distT="0" distB="0" distL="0" distR="0" wp14:anchorId="1C8C483B" wp14:editId="270AD5B6">
            <wp:extent cx="5759450" cy="2638425"/>
            <wp:effectExtent l="0" t="0" r="0" b="9525"/>
            <wp:docPr id="459611027" name="Picture 1" descr="Figure 2. Study mRNA-1283-P301: Solicited Local Adverse Reactions within 7 Days After Injection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11027" name="Picture 1" descr="Figure 2. Study mRNA-1283-P301: Solicited Local Adverse Reactions within 7 Days After Injection (Solicited Safety Set)."/>
                    <pic:cNvPicPr/>
                  </pic:nvPicPr>
                  <pic:blipFill>
                    <a:blip r:embed="rId31"/>
                    <a:stretch>
                      <a:fillRect/>
                    </a:stretch>
                  </pic:blipFill>
                  <pic:spPr>
                    <a:xfrm>
                      <a:off x="0" y="0"/>
                      <a:ext cx="5759450" cy="2638425"/>
                    </a:xfrm>
                    <a:prstGeom prst="rect">
                      <a:avLst/>
                    </a:prstGeom>
                  </pic:spPr>
                </pic:pic>
              </a:graphicData>
            </a:graphic>
          </wp:inline>
        </w:drawing>
      </w:r>
    </w:p>
    <w:p w14:paraId="4B3A9548" w14:textId="2C0FFB55" w:rsidR="005F29FA" w:rsidRDefault="0075703C" w:rsidP="00456311">
      <w:pPr>
        <w:pStyle w:val="FigureTitle"/>
      </w:pPr>
      <w:r w:rsidRPr="0075703C">
        <w:t xml:space="preserve">Figure </w:t>
      </w:r>
      <w:r w:rsidR="00696715">
        <w:t>3</w:t>
      </w:r>
      <w:r w:rsidR="00904F9D">
        <w:t>.</w:t>
      </w:r>
      <w:r w:rsidRPr="0075703C">
        <w:t xml:space="preserve"> </w:t>
      </w:r>
      <w:r w:rsidR="000E5725" w:rsidRPr="000E5725">
        <w:t>Study mRNA-1283</w:t>
      </w:r>
      <w:r w:rsidR="00EB4D60">
        <w:t>-</w:t>
      </w:r>
      <w:r w:rsidR="000E5725" w:rsidRPr="000E5725">
        <w:t>P301: Solicited Systemic Adverse Reactions within 7 Days After Injection (Solicited Safety Set)</w:t>
      </w:r>
      <w:r w:rsidR="00904F9D">
        <w:t>.</w:t>
      </w:r>
    </w:p>
    <w:p w14:paraId="2CF5FE75" w14:textId="3D10C641" w:rsidR="008E0BEF" w:rsidRPr="008E0BEF" w:rsidRDefault="009E3F4F" w:rsidP="008E0BEF">
      <w:pPr>
        <w:rPr>
          <w:bCs/>
        </w:rPr>
      </w:pPr>
      <w:r w:rsidRPr="009E3F4F">
        <w:rPr>
          <w:bCs/>
          <w:noProof/>
        </w:rPr>
        <w:drawing>
          <wp:inline distT="0" distB="0" distL="0" distR="0" wp14:anchorId="47928A8C" wp14:editId="6C96F06A">
            <wp:extent cx="5759450" cy="2667000"/>
            <wp:effectExtent l="0" t="0" r="0" b="0"/>
            <wp:docPr id="153835221" name="Picture 1" descr="Figure 3. Study mRNA-1283-P301: Solicited Systemic Adverse Reactions within 7 Days After Injection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5221" name="Picture 1" descr="Figure 3. Study mRNA-1283-P301: Solicited Systemic Adverse Reactions within 7 Days After Injection (Solicited Safety Set)."/>
                    <pic:cNvPicPr/>
                  </pic:nvPicPr>
                  <pic:blipFill>
                    <a:blip r:embed="rId32"/>
                    <a:stretch>
                      <a:fillRect/>
                    </a:stretch>
                  </pic:blipFill>
                  <pic:spPr>
                    <a:xfrm>
                      <a:off x="0" y="0"/>
                      <a:ext cx="5759450" cy="2667000"/>
                    </a:xfrm>
                    <a:prstGeom prst="rect">
                      <a:avLst/>
                    </a:prstGeom>
                  </pic:spPr>
                </pic:pic>
              </a:graphicData>
            </a:graphic>
          </wp:inline>
        </w:drawing>
      </w:r>
    </w:p>
    <w:p w14:paraId="43AC8708" w14:textId="77777777" w:rsidR="005F29FA" w:rsidRPr="007806CB" w:rsidRDefault="005F29FA" w:rsidP="007806CB">
      <w:pPr>
        <w:rPr>
          <w:b/>
          <w:bCs/>
        </w:rPr>
      </w:pPr>
      <w:r w:rsidRPr="007806CB">
        <w:rPr>
          <w:b/>
          <w:bCs/>
        </w:rPr>
        <w:t>Unsolicited adverse events</w:t>
      </w:r>
    </w:p>
    <w:p w14:paraId="164B1618" w14:textId="61456D65" w:rsidR="005F29FA" w:rsidRPr="005F29FA" w:rsidRDefault="005F29FA" w:rsidP="005F29FA">
      <w:r w:rsidRPr="005F29FA">
        <w:t>The incidence of unsolicited adverse events was similar in both groups across 28 days after</w:t>
      </w:r>
      <w:r w:rsidR="00871881">
        <w:t xml:space="preserve"> </w:t>
      </w:r>
      <w:r w:rsidRPr="005F29FA">
        <w:t>vaccination, being 12.3% and 11.9% in the mRNA-1283 and mRNA-1273 groups respectively. In</w:t>
      </w:r>
      <w:r w:rsidR="00871881">
        <w:t xml:space="preserve"> </w:t>
      </w:r>
      <w:r w:rsidRPr="005F29FA">
        <w:t>both groups the most frequently reported adverse event was infections and infestations,</w:t>
      </w:r>
      <w:r w:rsidR="00871881">
        <w:t xml:space="preserve"> </w:t>
      </w:r>
      <w:r w:rsidRPr="005F29FA">
        <w:t xml:space="preserve">particularly </w:t>
      </w:r>
      <w:r w:rsidR="00D3417D">
        <w:t>u</w:t>
      </w:r>
      <w:r w:rsidR="00D3417D" w:rsidRPr="00D3417D">
        <w:t>pper respiratory tract infection</w:t>
      </w:r>
      <w:r w:rsidR="00D3417D">
        <w:t>s</w:t>
      </w:r>
      <w:r w:rsidR="00D3417D" w:rsidRPr="00D3417D">
        <w:t xml:space="preserve"> </w:t>
      </w:r>
      <w:r w:rsidR="00D3417D">
        <w:t>(</w:t>
      </w:r>
      <w:r w:rsidRPr="005F29FA">
        <w:t>URTIs</w:t>
      </w:r>
      <w:r w:rsidR="00D3417D">
        <w:t>)</w:t>
      </w:r>
      <w:r w:rsidRPr="005F29FA">
        <w:t xml:space="preserve"> (1.4% in mRNA-1283 and 1.5% in the mRNA-1273).</w:t>
      </w:r>
    </w:p>
    <w:p w14:paraId="37405D67" w14:textId="6EFD99D9" w:rsidR="005F29FA" w:rsidRPr="005F29FA" w:rsidRDefault="005F29FA" w:rsidP="005F29FA">
      <w:r w:rsidRPr="005F29FA">
        <w:t>There were no reports of myocarditis or pericarditis in the mRNA-1283 group.</w:t>
      </w:r>
      <w:r w:rsidR="003719B9">
        <w:t xml:space="preserve"> </w:t>
      </w:r>
      <w:r w:rsidRPr="005F29FA">
        <w:t xml:space="preserve">There were no trends in adverse event reporting identified in </w:t>
      </w:r>
      <w:r w:rsidR="00A015C1">
        <w:t xml:space="preserve">subjects aged under </w:t>
      </w:r>
      <w:r w:rsidR="00D738A9" w:rsidRPr="005F29FA">
        <w:t>18</w:t>
      </w:r>
      <w:r w:rsidR="007523E8">
        <w:t xml:space="preserve"> years. </w:t>
      </w:r>
    </w:p>
    <w:p w14:paraId="4DDDB17F" w14:textId="1D6337C1" w:rsidR="000E3C19" w:rsidRPr="000E3C19" w:rsidRDefault="000E3C19" w:rsidP="000E3C19">
      <w:pPr>
        <w:pStyle w:val="Heading6"/>
      </w:pPr>
      <w:r w:rsidRPr="000E3C19">
        <w:t>Japanese sub-study: Study mRNA-1283-P301, Addendum (Japan)</w:t>
      </w:r>
      <w:fldSimple w:instr=" DOCVARIABLE vault_nd_0445d2f1-8b5f-48aa-99fb-b5c5d55cb3e0 \* MERGEFORMAT ">
        <w:r w:rsidR="00B03ADC">
          <w:t xml:space="preserve"> </w:t>
        </w:r>
      </w:fldSimple>
    </w:p>
    <w:p w14:paraId="2CE50EF9" w14:textId="77777777" w:rsidR="00622221" w:rsidRPr="00622221" w:rsidRDefault="00622221" w:rsidP="00622221">
      <w:r w:rsidRPr="00622221">
        <w:t xml:space="preserve">Solicited ARs were lower in the mRNA-1283.815 group (307/343, 89.5%) than the mRNA-1273.815 group (329/346, 95.7%) within 7 days of study injection. Consequently, local and systemic solicited ARs were lower in the mRNA-1283.815 group compared with the mRNA-1273.815 group. </w:t>
      </w:r>
    </w:p>
    <w:p w14:paraId="6A7C2133" w14:textId="77777777" w:rsidR="00622221" w:rsidRPr="00622221" w:rsidRDefault="00622221" w:rsidP="00622221">
      <w:r w:rsidRPr="00622221">
        <w:lastRenderedPageBreak/>
        <w:t xml:space="preserve">In both groups, the most frequently reported solicited local AR was injection site pain (291/343 [84.8%] in the mRNA-1283.815 group and 327/346 [94.5%] participants in the mRNA-1273.815 group) followed by axillary swelling or tenderness (84/343 [24.5%] participants in the mRNA-1283.815 group and 90/346 [26.0%] participants in the mRNA-1273.815 group). In both vaccine groups, the most frequently reported solicited systemic ARs were fatigue (175/343 [51.0%] in the mRNA-1283.815 and 220/346 [63.6%] in the mRNA-1273.815 groups), followed by headache (146/343 [42.6%] in the mRNA-1283.815 and 194/346 [56.1%] participants and mRNA-1273.815 groups, respectively). </w:t>
      </w:r>
    </w:p>
    <w:p w14:paraId="37128AF4" w14:textId="77777777" w:rsidR="00622221" w:rsidRPr="00622221" w:rsidRDefault="00622221" w:rsidP="00622221">
      <w:r w:rsidRPr="00622221">
        <w:t xml:space="preserve">The highest proportion of solicited and systemic ARs were Grade 1 with no Grade 4 ARs reported. </w:t>
      </w:r>
    </w:p>
    <w:p w14:paraId="5D697BEB" w14:textId="77777777" w:rsidR="00622221" w:rsidRPr="00622221" w:rsidRDefault="00622221" w:rsidP="00622221">
      <w:r w:rsidRPr="00622221">
        <w:t xml:space="preserve">Incidence of solicited local ARs were numerically lower in participants ≥65 years of age in the mRNA-1283.815 group (54/70 [77.1%] [95% CI: 65.6, 86.3]) compared to participants in the mRNA-1273.815 group (68/74 [91.9%] [95% CI: 83.2, 97.0]). The incidence of solicited systemic ARs </w:t>
      </w:r>
      <w:proofErr w:type="gramStart"/>
      <w:r w:rsidRPr="00622221">
        <w:t>were</w:t>
      </w:r>
      <w:proofErr w:type="gramEnd"/>
      <w:r w:rsidRPr="00622221">
        <w:t xml:space="preserve"> similar in participants ≥65 years of age in both vaccine groups (35/70 [50.0%] [95% CI 37.8, 62.2] for the mRNA-1283.815 group, and 44/74 [59.5%] [95% CI 47.4, 70.7] for the mRNA-1273.815 group). </w:t>
      </w:r>
    </w:p>
    <w:p w14:paraId="32C3D8F0" w14:textId="77777777" w:rsidR="00622221" w:rsidRPr="00622221" w:rsidRDefault="00622221" w:rsidP="00622221">
      <w:r w:rsidRPr="00622221">
        <w:t xml:space="preserve">The proportion of participants reporting unsolicited AEs was similar in both groups up to 28 days from study injection (24/343 [7.0%] participants in the mRNA-1283.815 and 24/346 [6.9%] participants in the mRNA-1273.815 group) and through the data cutoff date (31/343 [9.0%] participants in the mRNA-1283.815 and 27/346 [7.8%] participants in the mRNA-1273.815 group). </w:t>
      </w:r>
    </w:p>
    <w:p w14:paraId="118F948E" w14:textId="3AE7513B" w:rsidR="00622221" w:rsidRPr="00622221" w:rsidRDefault="00622221" w:rsidP="00A43D14">
      <w:r w:rsidRPr="00622221">
        <w:t xml:space="preserve">There were no myocarditis or pericarditis events and analysis of AESIs did not identify any safety concerns. </w:t>
      </w:r>
    </w:p>
    <w:p w14:paraId="4C42CE32" w14:textId="5AA1B49E" w:rsidR="00622221" w:rsidRPr="00622221" w:rsidRDefault="00D126AA" w:rsidP="006D7850">
      <w:pPr>
        <w:pStyle w:val="Heading5"/>
      </w:pPr>
      <w:r w:rsidRPr="00D126AA">
        <w:t>Study mRNA-1283</w:t>
      </w:r>
      <w:r w:rsidR="009D3D52">
        <w:t>-</w:t>
      </w:r>
      <w:r w:rsidR="00622221" w:rsidRPr="00622221">
        <w:t>P101: Safety Results</w:t>
      </w:r>
      <w:fldSimple w:instr=" DOCVARIABLE vault_nd_4e511f3c-7cc7-47c7-8a22-11135d589837 \* MERGEFORMAT ">
        <w:r w:rsidR="00B03ADC">
          <w:t xml:space="preserve"> </w:t>
        </w:r>
      </w:fldSimple>
    </w:p>
    <w:p w14:paraId="39ED405C" w14:textId="77777777" w:rsidR="00622221" w:rsidRPr="00622221" w:rsidRDefault="00622221" w:rsidP="00622221">
      <w:r w:rsidRPr="00622221">
        <w:t xml:space="preserve">mRNA-1283 was well tolerated in the study, with the overall safety profile consistent with the known safety profile of the mRNA-1273 comparator. The lowest dose of mRNA-1283 had the most favourable reactogenicity profile. </w:t>
      </w:r>
    </w:p>
    <w:p w14:paraId="5DCAEE59" w14:textId="2B5D8F08" w:rsidR="00622221" w:rsidRPr="00622221" w:rsidRDefault="00622221" w:rsidP="00622221">
      <w:r w:rsidRPr="00622221">
        <w:t xml:space="preserve">In </w:t>
      </w:r>
      <w:r w:rsidR="00642232">
        <w:t>S</w:t>
      </w:r>
      <w:r w:rsidRPr="00622221">
        <w:t xml:space="preserve">tudy P101, solicited ARs were reported for 20/21 (95.2%) participants in the mRNA-1283 10 </w:t>
      </w:r>
      <w:proofErr w:type="spellStart"/>
      <w:r w:rsidRPr="00622221">
        <w:t>μg</w:t>
      </w:r>
      <w:proofErr w:type="spellEnd"/>
      <w:r w:rsidRPr="00622221">
        <w:t xml:space="preserve"> group, 20/22 (90.9%) in the mRNA-1283 30 </w:t>
      </w:r>
      <w:proofErr w:type="spellStart"/>
      <w:r w:rsidRPr="00622221">
        <w:t>μg</w:t>
      </w:r>
      <w:proofErr w:type="spellEnd"/>
      <w:r w:rsidRPr="00622221">
        <w:t xml:space="preserve"> group, 21/21 (100%) participants in the mRNA-1283 100 </w:t>
      </w:r>
      <w:proofErr w:type="spellStart"/>
      <w:r w:rsidRPr="00622221">
        <w:t>μg</w:t>
      </w:r>
      <w:proofErr w:type="spellEnd"/>
      <w:r w:rsidRPr="00622221">
        <w:t xml:space="preserve"> group, 15/18 (83.3%) in the placebo + mRNA-1283 100 </w:t>
      </w:r>
      <w:proofErr w:type="spellStart"/>
      <w:r w:rsidRPr="00622221">
        <w:t>μg</w:t>
      </w:r>
      <w:proofErr w:type="spellEnd"/>
      <w:r w:rsidRPr="00622221">
        <w:t xml:space="preserve"> group, and 22/22 (100%) in the mRNA-1273 group. </w:t>
      </w:r>
    </w:p>
    <w:p w14:paraId="4D26BFDF" w14:textId="77777777" w:rsidR="00622221" w:rsidRPr="00622221" w:rsidRDefault="00622221" w:rsidP="00622221">
      <w:r w:rsidRPr="00622221">
        <w:t xml:space="preserve">The most frequently reported solicited local AR was injection site pain, followed by axillary swelling or tenderness. The most frequently reported solicited systemic ARs after any injection were fatigue and headache in all vaccine and dose groups after any injection. </w:t>
      </w:r>
    </w:p>
    <w:p w14:paraId="629BAB4C" w14:textId="50850890" w:rsidR="00622221" w:rsidRPr="00622221" w:rsidRDefault="00622221" w:rsidP="00622221">
      <w:r w:rsidRPr="00622221">
        <w:t xml:space="preserve">In </w:t>
      </w:r>
      <w:r w:rsidR="00642232">
        <w:t>S</w:t>
      </w:r>
      <w:r w:rsidRPr="00622221">
        <w:t xml:space="preserve">tudy P101, the proportion of reported solicited local ARs was lower in the mRNA-1283 10 </w:t>
      </w:r>
      <w:proofErr w:type="spellStart"/>
      <w:r w:rsidRPr="00622221">
        <w:t>μg</w:t>
      </w:r>
      <w:proofErr w:type="spellEnd"/>
      <w:r w:rsidRPr="00622221">
        <w:t xml:space="preserve"> group (15/21 [71.4%]), the mRNA-1283 30 </w:t>
      </w:r>
      <w:proofErr w:type="spellStart"/>
      <w:r w:rsidRPr="00622221">
        <w:t>μg</w:t>
      </w:r>
      <w:proofErr w:type="spellEnd"/>
      <w:r w:rsidRPr="00622221">
        <w:t xml:space="preserve"> group (17/22 [77.3%]), and the placebo + mRNA-1283 100 </w:t>
      </w:r>
      <w:proofErr w:type="spellStart"/>
      <w:r w:rsidRPr="00622221">
        <w:t>μg</w:t>
      </w:r>
      <w:proofErr w:type="spellEnd"/>
      <w:r w:rsidRPr="00622221">
        <w:t xml:space="preserve"> group (14/18 [77.8%]); the proportion was higher in the mRNA-1283 100 </w:t>
      </w:r>
      <w:proofErr w:type="spellStart"/>
      <w:r w:rsidRPr="00622221">
        <w:t>μg</w:t>
      </w:r>
      <w:proofErr w:type="spellEnd"/>
      <w:r w:rsidRPr="00622221">
        <w:t xml:space="preserve"> group (19/21 [90.5%]) and for the mRNA-1273 group (21/22 [95.5%]) </w:t>
      </w:r>
    </w:p>
    <w:p w14:paraId="090761EC" w14:textId="7DB94001" w:rsidR="00622221" w:rsidRPr="00622221" w:rsidRDefault="00622221" w:rsidP="00622221">
      <w:r w:rsidRPr="00622221">
        <w:t xml:space="preserve">In </w:t>
      </w:r>
      <w:r w:rsidR="00642232">
        <w:t>S</w:t>
      </w:r>
      <w:r w:rsidRPr="00622221">
        <w:t xml:space="preserve">tudy P101, the highest proportion of solicited systemic ARs reported were Grade 1 or Grade 2 across all mRNA-1283 groups, with exception of the mRNA-1283 30 </w:t>
      </w:r>
      <w:proofErr w:type="spellStart"/>
      <w:r w:rsidRPr="00622221">
        <w:t>μg</w:t>
      </w:r>
      <w:proofErr w:type="spellEnd"/>
      <w:r w:rsidRPr="00622221">
        <w:t xml:space="preserve"> group and the mRNA-1283 100 </w:t>
      </w:r>
      <w:proofErr w:type="spellStart"/>
      <w:r w:rsidRPr="00622221">
        <w:t>μg</w:t>
      </w:r>
      <w:proofErr w:type="spellEnd"/>
      <w:r w:rsidRPr="00622221">
        <w:t xml:space="preserve"> group. In the mRNA-1283 30 </w:t>
      </w:r>
      <w:proofErr w:type="spellStart"/>
      <w:r w:rsidRPr="00622221">
        <w:t>μg</w:t>
      </w:r>
      <w:proofErr w:type="spellEnd"/>
      <w:r w:rsidRPr="00622221">
        <w:t xml:space="preserve"> group and in the mRNA-1283 100 </w:t>
      </w:r>
      <w:proofErr w:type="spellStart"/>
      <w:r w:rsidRPr="00622221">
        <w:t>μg</w:t>
      </w:r>
      <w:proofErr w:type="spellEnd"/>
      <w:r w:rsidRPr="00622221">
        <w:t xml:space="preserve"> group, the highest proportion of solicited systemic ARs reported were Grade 3 (9/22 [40.9%] and 12/21 [57.1%] respectively), followed by Grade 2 (8/22 [36.4%] and 7/21 [33.3%] respectively) and Grade 1 (2/22 [9.1%] and 2/21 [9.5%] respectively). No Grade 4 solicited systemic ARs were reported in the study. </w:t>
      </w:r>
    </w:p>
    <w:p w14:paraId="7B445001" w14:textId="065F70C3" w:rsidR="00622221" w:rsidRPr="00622221" w:rsidRDefault="00A038EB" w:rsidP="006D7850">
      <w:pPr>
        <w:pStyle w:val="Heading5"/>
      </w:pPr>
      <w:r w:rsidRPr="00A038EB">
        <w:lastRenderedPageBreak/>
        <w:t>Study mRNA-1283</w:t>
      </w:r>
      <w:r>
        <w:t>-</w:t>
      </w:r>
      <w:r w:rsidR="00622221" w:rsidRPr="00622221">
        <w:t>P201: Safety Results</w:t>
      </w:r>
      <w:fldSimple w:instr=" DOCVARIABLE vault_nd_4492fb98-7ff5-41e7-a779-eb55d46dbf2c \* MERGEFORMAT ">
        <w:r w:rsidR="00B03ADC">
          <w:t xml:space="preserve"> </w:t>
        </w:r>
      </w:fldSimple>
    </w:p>
    <w:p w14:paraId="06BE3C30" w14:textId="2F7855AF" w:rsidR="00622221" w:rsidRPr="00622221" w:rsidRDefault="00622221" w:rsidP="00622221">
      <w:r w:rsidRPr="00622221">
        <w:t xml:space="preserve">In Part A, mRNA-1283 (2.5, 5, and 10 </w:t>
      </w:r>
      <w:proofErr w:type="spellStart"/>
      <w:r w:rsidRPr="00622221">
        <w:t>μg</w:t>
      </w:r>
      <w:proofErr w:type="spellEnd"/>
      <w:r w:rsidRPr="00622221">
        <w:t xml:space="preserve">) and mRNA-1283.211 (5 and 10 </w:t>
      </w:r>
      <w:proofErr w:type="spellStart"/>
      <w:r w:rsidRPr="00622221">
        <w:t>μg</w:t>
      </w:r>
      <w:proofErr w:type="spellEnd"/>
      <w:r w:rsidRPr="00622221">
        <w:t xml:space="preserve">) were well tolerated in adults and had an overall similar reactogenicity and safety profile compared to mRNA-1273 50 </w:t>
      </w:r>
      <w:proofErr w:type="spellStart"/>
      <w:r w:rsidRPr="00622221">
        <w:t>μg</w:t>
      </w:r>
      <w:proofErr w:type="spellEnd"/>
      <w:r w:rsidRPr="00622221">
        <w:t xml:space="preserve">. The incidence of solicited local and systemic ARs in the mRNA-1283 and mRNA-1283.211 groups were </w:t>
      </w:r>
      <w:proofErr w:type="gramStart"/>
      <w:r w:rsidRPr="00622221">
        <w:t>similar to</w:t>
      </w:r>
      <w:proofErr w:type="gramEnd"/>
      <w:r w:rsidRPr="00622221">
        <w:t xml:space="preserve"> or lower than in the mRNA-1273 group. </w:t>
      </w:r>
      <w:proofErr w:type="gramStart"/>
      <w:r w:rsidRPr="00622221">
        <w:t>The majority of</w:t>
      </w:r>
      <w:proofErr w:type="gramEnd"/>
      <w:r w:rsidRPr="00622221">
        <w:t xml:space="preserve"> solicited ARs were Grade 1 or Grade </w:t>
      </w:r>
      <w:proofErr w:type="gramStart"/>
      <w:r w:rsidRPr="00622221">
        <w:t>2</w:t>
      </w:r>
      <w:proofErr w:type="gramEnd"/>
      <w:r w:rsidRPr="00622221">
        <w:t xml:space="preserve"> and no Grade 4 ARs were reported. The incidence of unsolicited AEs was also similar between the mRNA-1283 and mRNA-1273 vaccine groups. No SAEs were assessed by the Investigator as related to study vaccine, and there were no AEs leading to discontinuation. </w:t>
      </w:r>
    </w:p>
    <w:p w14:paraId="4B17C0CC" w14:textId="77777777" w:rsidR="00622221" w:rsidRPr="00622221" w:rsidRDefault="00622221" w:rsidP="00622221">
      <w:r w:rsidRPr="00622221">
        <w:t xml:space="preserve">Across groups, the most frequently reported solicited local ARs were injection site pain. The highest proportion of reported solicited local ARs were Grade 1 across all vaccine groups. No Grade 4 solicited local ARs were reported in any groups. Most solicited and systemic ARs had onset on Day 1 or Day 2 after vaccination for all groups. </w:t>
      </w:r>
    </w:p>
    <w:p w14:paraId="694C3743" w14:textId="77777777" w:rsidR="00622221" w:rsidRPr="00622221" w:rsidRDefault="00622221" w:rsidP="00622221">
      <w:r w:rsidRPr="00622221">
        <w:t xml:space="preserve">In Part B, both mRNA-1283 5 and 10 </w:t>
      </w:r>
      <w:proofErr w:type="spellStart"/>
      <w:r w:rsidRPr="00622221">
        <w:t>μg</w:t>
      </w:r>
      <w:proofErr w:type="spellEnd"/>
      <w:r w:rsidRPr="00622221">
        <w:t xml:space="preserve"> were well tolerated and the overall incidence of local and systemic reactogenicity were similar with that observed with mRNA-1273 50 </w:t>
      </w:r>
      <w:proofErr w:type="spellStart"/>
      <w:r w:rsidRPr="00622221">
        <w:t>μg</w:t>
      </w:r>
      <w:proofErr w:type="spellEnd"/>
      <w:r w:rsidRPr="00622221">
        <w:t xml:space="preserve"> in other studies. No SAEs were assessed by the Investigator as related to study vaccine, and no AEs leading to discontinuation were reported up to 28 days after vaccination. Two SAEs with fatal outcomes were reported (death of unknown cause and myocardial infarction); both were assessed as unrelated to the study vaccine by the Investigator. </w:t>
      </w:r>
    </w:p>
    <w:p w14:paraId="69768C4B" w14:textId="2F448F87" w:rsidR="004B1581" w:rsidRDefault="00622221" w:rsidP="00622221">
      <w:r w:rsidRPr="00622221">
        <w:t>The incidence of any solicited local ARs was lower in the mRNA-1283.529 5μ</w:t>
      </w:r>
      <w:r w:rsidR="00B60082">
        <w:t>g</w:t>
      </w:r>
      <w:r w:rsidRPr="00622221">
        <w:t xml:space="preserve"> group (46/103, 44.7%) of participants compared with to the mRNA-1283.529 10 </w:t>
      </w:r>
      <w:proofErr w:type="spellStart"/>
      <w:r w:rsidRPr="00622221">
        <w:t>μg</w:t>
      </w:r>
      <w:proofErr w:type="spellEnd"/>
      <w:r w:rsidRPr="00622221">
        <w:t xml:space="preserve"> (69/96, 71.9%) of participants. The most frequently reported solicited local AR in both groups were injection site pain, with a higher proportion in the 10μg. The highest proportion of solicited ARs were Grade 1 followed by Grade 2. There were no Grade 3 or Grade 4 solicited ARs reported in either group. The safety and reactogenicity results, particularly for mRNA-1283 at the 10μg dose which was selected for the pivotal study was also lower compared with other higher doses of mRNA-1283 or mRNA-1273. </w:t>
      </w:r>
    </w:p>
    <w:p w14:paraId="7A24E701" w14:textId="798B13C5" w:rsidR="00CB2CE1" w:rsidRPr="00CB2CE1" w:rsidRDefault="00CB2CE1" w:rsidP="00CB2CE1">
      <w:pPr>
        <w:pStyle w:val="Heading5"/>
      </w:pPr>
      <w:r w:rsidRPr="00CB2CE1">
        <w:t>Treatment related adverse events (adverse drug reactions)</w:t>
      </w:r>
      <w:fldSimple w:instr=" DOCVARIABLE vault_nd_50ae4003-9ad8-4235-a999-a84b70173a52 \* MERGEFORMAT ">
        <w:r w:rsidR="00B03ADC">
          <w:t xml:space="preserve"> </w:t>
        </w:r>
      </w:fldSimple>
    </w:p>
    <w:p w14:paraId="74BF159C" w14:textId="77777777" w:rsidR="00CB2CE1" w:rsidRPr="00CB2CE1" w:rsidRDefault="00CB2CE1" w:rsidP="00CB2CE1">
      <w:r w:rsidRPr="00CB2CE1">
        <w:t xml:space="preserve">Identification of AEs of interest for mRNA-1283 was based on predefined events of interest for mRNA-1273 and other COVID-19 vaccines in general and included investigator-assessed AESIs and programmed MedDRA queries. </w:t>
      </w:r>
    </w:p>
    <w:p w14:paraId="1A32D094" w14:textId="77777777" w:rsidR="00136C86" w:rsidRDefault="00CB2CE1" w:rsidP="00CB2CE1">
      <w:r w:rsidRPr="00CB2CE1">
        <w:t xml:space="preserve">For investigator-assessed AESIs, investigators were to report unsolicited AEs as AESIs based on definitions provided in the study protocols for each of the mRNA-1283 studies. </w:t>
      </w:r>
    </w:p>
    <w:p w14:paraId="72B00AFC" w14:textId="1484FD9C" w:rsidR="008A321D" w:rsidRDefault="008A321D" w:rsidP="00CB2CE1">
      <w:r w:rsidRPr="008A321D">
        <w:t>In addition to the special events of interest, there were supplemental queries for myocarditis and pericarditis</w:t>
      </w:r>
      <w:r>
        <w:t>.</w:t>
      </w:r>
    </w:p>
    <w:p w14:paraId="74633EC4" w14:textId="1CF1E424" w:rsidR="00F43732" w:rsidRDefault="00136C86" w:rsidP="00136C86">
      <w:pPr>
        <w:pStyle w:val="TableTitle"/>
      </w:pPr>
      <w:r w:rsidRPr="00136C86">
        <w:lastRenderedPageBreak/>
        <w:t>Table 10</w:t>
      </w:r>
      <w:r w:rsidR="00904F9D">
        <w:t>.</w:t>
      </w:r>
      <w:r w:rsidRPr="00136C86">
        <w:t xml:space="preserve"> Adverse Events of Special Interest in this Summary of Clinical Safety</w:t>
      </w:r>
      <w:r w:rsidR="00904F9D">
        <w:t>.</w:t>
      </w:r>
      <w:r w:rsidRPr="00136C86">
        <w:t xml:space="preserve"> </w:t>
      </w:r>
    </w:p>
    <w:p w14:paraId="78C346B7" w14:textId="77777777" w:rsidR="00F43732" w:rsidRDefault="00F43732" w:rsidP="004C2B1D">
      <w:r w:rsidRPr="00F43732">
        <w:rPr>
          <w:noProof/>
        </w:rPr>
        <w:drawing>
          <wp:inline distT="0" distB="0" distL="0" distR="0" wp14:anchorId="7037A430" wp14:editId="6C47CF7E">
            <wp:extent cx="5295900" cy="2591208"/>
            <wp:effectExtent l="0" t="0" r="0" b="0"/>
            <wp:docPr id="530973884" name="Picture 1" descr="Table 10. Adverse Events of Special Interest in this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73884" name="Picture 1" descr="Table 10. Adverse Events of Special Interest in this Summary of Clinical Safety."/>
                    <pic:cNvPicPr/>
                  </pic:nvPicPr>
                  <pic:blipFill>
                    <a:blip r:embed="rId33"/>
                    <a:stretch>
                      <a:fillRect/>
                    </a:stretch>
                  </pic:blipFill>
                  <pic:spPr>
                    <a:xfrm>
                      <a:off x="0" y="0"/>
                      <a:ext cx="5302488" cy="2594432"/>
                    </a:xfrm>
                    <a:prstGeom prst="rect">
                      <a:avLst/>
                    </a:prstGeom>
                  </pic:spPr>
                </pic:pic>
              </a:graphicData>
            </a:graphic>
          </wp:inline>
        </w:drawing>
      </w:r>
    </w:p>
    <w:p w14:paraId="79C119FE" w14:textId="6BAC35E0" w:rsidR="005947C7" w:rsidRPr="005947C7" w:rsidRDefault="005947C7" w:rsidP="005947C7">
      <w:pPr>
        <w:rPr>
          <w:b/>
          <w:bCs/>
        </w:rPr>
      </w:pPr>
      <w:r w:rsidRPr="005947C7">
        <w:rPr>
          <w:b/>
          <w:bCs/>
        </w:rPr>
        <w:t xml:space="preserve">Pivotal and/or main efficacy studies </w:t>
      </w:r>
    </w:p>
    <w:p w14:paraId="000F1AFD" w14:textId="694670D0" w:rsidR="005947C7" w:rsidRPr="005947C7" w:rsidRDefault="005947C7" w:rsidP="005947C7">
      <w:r w:rsidRPr="005947C7">
        <w:t xml:space="preserve">In </w:t>
      </w:r>
      <w:r w:rsidR="00686829">
        <w:t>S</w:t>
      </w:r>
      <w:r w:rsidRPr="005947C7">
        <w:t xml:space="preserve">tudy P301, the proportion of unsolicited AEs that were considered related were similar across both groups (48/5706, 0.8% in the mRNA-1283.222 group compared with 52/5711, 0.9% of participants in the mRNA-1273.222 group). </w:t>
      </w:r>
    </w:p>
    <w:p w14:paraId="5E8B1D2C" w14:textId="77777777" w:rsidR="005947C7" w:rsidRPr="005947C7" w:rsidRDefault="005947C7" w:rsidP="005947C7">
      <w:r w:rsidRPr="005947C7">
        <w:t xml:space="preserve">There were three participants in the mRNA group who had an unsolicited AEs beyond 28 days considered related to the study vaccine: 1 participant had a nonserious arthritis and SAEs of acute septic arthritis and </w:t>
      </w:r>
      <w:proofErr w:type="spellStart"/>
      <w:r w:rsidRPr="005947C7">
        <w:t>oligoarthritis</w:t>
      </w:r>
      <w:proofErr w:type="spellEnd"/>
      <w:r w:rsidRPr="005947C7">
        <w:t xml:space="preserve">, 1 participant with a nonserious event of hypothyroidism, and 1 participant with a nonserious event of lymphadenopathy. </w:t>
      </w:r>
    </w:p>
    <w:p w14:paraId="67D8E21F" w14:textId="25B933EF" w:rsidR="005947C7" w:rsidRPr="005947C7" w:rsidRDefault="005947C7" w:rsidP="00971F3D">
      <w:r w:rsidRPr="005947C7">
        <w:t xml:space="preserve">Further, in </w:t>
      </w:r>
      <w:r w:rsidR="00807137">
        <w:t>S</w:t>
      </w:r>
      <w:r w:rsidRPr="005947C7">
        <w:t xml:space="preserve">tudy P301, </w:t>
      </w:r>
      <w:proofErr w:type="gramStart"/>
      <w:r w:rsidRPr="005947C7">
        <w:t>with the exception of</w:t>
      </w:r>
      <w:proofErr w:type="gramEnd"/>
      <w:r w:rsidRPr="005947C7">
        <w:t xml:space="preserve"> the singular pericarditis case in mRNA-1273, there were no other acute cardiovascular injury AESIs assessed by the investigator. </w:t>
      </w:r>
    </w:p>
    <w:p w14:paraId="5296C784" w14:textId="7E65934F" w:rsidR="005947C7" w:rsidRPr="00ED794F" w:rsidRDefault="005947C7" w:rsidP="005947C7">
      <w:pPr>
        <w:rPr>
          <w:b/>
        </w:rPr>
      </w:pPr>
      <w:r w:rsidRPr="00ED794F">
        <w:rPr>
          <w:b/>
        </w:rPr>
        <w:t xml:space="preserve">Other studies </w:t>
      </w:r>
    </w:p>
    <w:p w14:paraId="7D710358" w14:textId="3E1AA7F7" w:rsidR="005947C7" w:rsidRDefault="005947C7" w:rsidP="005947C7">
      <w:r w:rsidRPr="005947C7">
        <w:t xml:space="preserve">In </w:t>
      </w:r>
      <w:r w:rsidR="00686829">
        <w:t>S</w:t>
      </w:r>
      <w:r w:rsidRPr="005947C7">
        <w:t xml:space="preserve">tudy P201, up to 28 days after study injection, 4/103 (3.9%) participants in the mRNA-1283.529 5 </w:t>
      </w:r>
      <w:proofErr w:type="spellStart"/>
      <w:r w:rsidRPr="005947C7">
        <w:t>μg</w:t>
      </w:r>
      <w:proofErr w:type="spellEnd"/>
      <w:r w:rsidRPr="005947C7">
        <w:t xml:space="preserve"> group and 2/97 (2.1%) participants in the mRNA-1283.529 10 </w:t>
      </w:r>
      <w:proofErr w:type="spellStart"/>
      <w:r w:rsidRPr="005947C7">
        <w:t>μg</w:t>
      </w:r>
      <w:proofErr w:type="spellEnd"/>
      <w:r w:rsidRPr="005947C7">
        <w:t xml:space="preserve"> group experienced unsolicited AEs that were assessed as related to study injection by the Investigator and all were nonserious. </w:t>
      </w:r>
    </w:p>
    <w:p w14:paraId="5D873E50" w14:textId="6D005034" w:rsidR="00EE031B" w:rsidRDefault="00EE031B" w:rsidP="005947C7">
      <w:r w:rsidRPr="00EE031B">
        <w:t xml:space="preserve">There were no unsolicited AEs that occurred beyond 28 days as assessed by the investigator as related to the study vaccination (Table </w:t>
      </w:r>
      <w:r w:rsidR="00B6751E">
        <w:t>11)</w:t>
      </w:r>
    </w:p>
    <w:p w14:paraId="3361C72C" w14:textId="323FE605" w:rsidR="00A52D27" w:rsidRDefault="00A52D27" w:rsidP="00FE13DC">
      <w:pPr>
        <w:pStyle w:val="TableTitle"/>
      </w:pPr>
      <w:r w:rsidRPr="00A52D27">
        <w:lastRenderedPageBreak/>
        <w:t xml:space="preserve">Table </w:t>
      </w:r>
      <w:r>
        <w:t>11</w:t>
      </w:r>
      <w:r w:rsidR="00904F9D">
        <w:t>.</w:t>
      </w:r>
      <w:r w:rsidRPr="00A52D27">
        <w:t xml:space="preserve"> Study P201: Part B: Participants Incidence of Unsolicited AEs Assessed as Related to Study Injection per Investigator by SOC and PT up to 28 days after Injection (Safety Set)</w:t>
      </w:r>
      <w:r w:rsidR="00904F9D">
        <w:t>.</w:t>
      </w:r>
    </w:p>
    <w:p w14:paraId="55608AD0" w14:textId="7F82C9FE" w:rsidR="00FE13DC" w:rsidRDefault="00FE13DC" w:rsidP="005947C7">
      <w:r w:rsidRPr="00FE13DC">
        <w:rPr>
          <w:noProof/>
        </w:rPr>
        <w:drawing>
          <wp:inline distT="0" distB="0" distL="0" distR="0" wp14:anchorId="578C0A9C" wp14:editId="47635F01">
            <wp:extent cx="5934075" cy="4133754"/>
            <wp:effectExtent l="0" t="0" r="0" b="635"/>
            <wp:docPr id="377932142" name="Picture 1" descr="Table 11. Study P201: Part B: Participants Incidence of Unsolicited AEs Assessed as Related to Study Injection per Investigator by SOC and PT up to 28 days after Injec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32142" name="Picture 1" descr="Table 11. Study P201: Part B: Participants Incidence of Unsolicited AEs Assessed as Related to Study Injection per Investigator by SOC and PT up to 28 days after Injection (Safety Set)."/>
                    <pic:cNvPicPr/>
                  </pic:nvPicPr>
                  <pic:blipFill>
                    <a:blip r:embed="rId34"/>
                    <a:stretch>
                      <a:fillRect/>
                    </a:stretch>
                  </pic:blipFill>
                  <pic:spPr>
                    <a:xfrm>
                      <a:off x="0" y="0"/>
                      <a:ext cx="5945970" cy="4142040"/>
                    </a:xfrm>
                    <a:prstGeom prst="rect">
                      <a:avLst/>
                    </a:prstGeom>
                  </pic:spPr>
                </pic:pic>
              </a:graphicData>
            </a:graphic>
          </wp:inline>
        </w:drawing>
      </w:r>
    </w:p>
    <w:p w14:paraId="05D5A1AE" w14:textId="409A6BC1" w:rsidR="00000485" w:rsidRPr="00000485" w:rsidRDefault="00000485" w:rsidP="00000485">
      <w:pPr>
        <w:pStyle w:val="Heading5"/>
      </w:pPr>
      <w:r w:rsidRPr="00000485">
        <w:t>Deaths and other serious adverse events</w:t>
      </w:r>
      <w:fldSimple w:instr=" DOCVARIABLE vault_nd_46413623-2440-4f1c-b31c-6ec2b0e88a7a \* MERGEFORMAT ">
        <w:r w:rsidR="00B03ADC">
          <w:t xml:space="preserve"> </w:t>
        </w:r>
      </w:fldSimple>
    </w:p>
    <w:p w14:paraId="6FA84A81" w14:textId="77777777" w:rsidR="00000485" w:rsidRPr="00000485" w:rsidRDefault="00000485" w:rsidP="00000485">
      <w:pPr>
        <w:rPr>
          <w:b/>
          <w:bCs/>
          <w:iCs/>
        </w:rPr>
      </w:pPr>
      <w:r w:rsidRPr="00000485">
        <w:rPr>
          <w:b/>
          <w:bCs/>
          <w:iCs/>
        </w:rPr>
        <w:t xml:space="preserve">Pivotal and/or main efficacy studies </w:t>
      </w:r>
    </w:p>
    <w:p w14:paraId="263F1CD8" w14:textId="77777777" w:rsidR="00000485" w:rsidRPr="00000485" w:rsidRDefault="00000485" w:rsidP="00000485">
      <w:pPr>
        <w:rPr>
          <w:b/>
          <w:bCs/>
        </w:rPr>
      </w:pPr>
      <w:r w:rsidRPr="00000485">
        <w:rPr>
          <w:b/>
          <w:bCs/>
        </w:rPr>
        <w:t xml:space="preserve">Study P301 </w:t>
      </w:r>
    </w:p>
    <w:p w14:paraId="5E42462F" w14:textId="77777777" w:rsidR="00000485" w:rsidRPr="00000485" w:rsidRDefault="00000485" w:rsidP="00000485">
      <w:r w:rsidRPr="00000485">
        <w:t xml:space="preserve">SAEs were similar in both groups, through 28 days of vaccination (13/5706, 0.2%) of participants in the mRNA-1283.222 group and (18/5711, 0.3%) in the mRNA-1273.222 group. Through to the data cut-off date, the incidence in the mRNA-1283.222 group was (156/5706, 2.7%) compared with 151/5711 (2.6%) of participants in the mRNA-1273.222 group. </w:t>
      </w:r>
    </w:p>
    <w:p w14:paraId="2F8B705D" w14:textId="77777777" w:rsidR="003526AF" w:rsidRPr="00000485" w:rsidRDefault="003526AF" w:rsidP="00000485">
      <w:r w:rsidRPr="00000485">
        <w:t>There were 5 fatal adverse events reported in the mRNA-1283 and 10 in the mRNA-1273 arm of</w:t>
      </w:r>
      <w:r w:rsidR="00000485" w:rsidRPr="00000485">
        <w:t xml:space="preserve"> </w:t>
      </w:r>
      <w:r w:rsidRPr="00000485">
        <w:t>the study. Across these 15 fatal AEs, only 1 was considered possibly related to study drug in the</w:t>
      </w:r>
      <w:r w:rsidR="00000485" w:rsidRPr="00000485">
        <w:t xml:space="preserve"> </w:t>
      </w:r>
      <w:r w:rsidRPr="00000485">
        <w:t>mRNA-1273 arm by the investigator and not related to study drug by the Sponsor. This involved</w:t>
      </w:r>
      <w:r w:rsidR="00000485" w:rsidRPr="00000485">
        <w:t xml:space="preserve"> </w:t>
      </w:r>
      <w:r w:rsidRPr="00000485">
        <w:t xml:space="preserve">a 77yo woman with underlying cardiac disease </w:t>
      </w:r>
      <w:r w:rsidR="00000485" w:rsidRPr="00000485">
        <w:t xml:space="preserve">and multiple pre-existing comorbidities. </w:t>
      </w:r>
    </w:p>
    <w:p w14:paraId="136259DC" w14:textId="77777777" w:rsidR="00000485" w:rsidRPr="00000485" w:rsidRDefault="003526AF" w:rsidP="00000485">
      <w:r w:rsidRPr="00000485">
        <w:t>There was 1 SAE considered related to mRNA-1283</w:t>
      </w:r>
      <w:r w:rsidR="00000485" w:rsidRPr="00000485">
        <w:t xml:space="preserve"> (up to 28 days)</w:t>
      </w:r>
      <w:r w:rsidRPr="00000485">
        <w:t xml:space="preserve">, which was a case of anaphylaxis in a </w:t>
      </w:r>
      <w:r w:rsidR="00000485" w:rsidRPr="00000485">
        <w:t xml:space="preserve">41-year-old </w:t>
      </w:r>
      <w:r w:rsidRPr="00000485">
        <w:t>woman, w</w:t>
      </w:r>
      <w:r w:rsidR="00000485" w:rsidRPr="00000485">
        <w:t>ith</w:t>
      </w:r>
      <w:r w:rsidRPr="00000485">
        <w:t xml:space="preserve"> </w:t>
      </w:r>
      <w:r w:rsidR="00000485" w:rsidRPr="00000485">
        <w:t xml:space="preserve">all symptoms resolved within hours, except for diarrhoea, which resolved 2 days later. Beyond 28 days, there were 2 related SAEs in 1 participant who reported sudden left knee swelling was found by the investigator, but not the sponsor to have acute aseptic arthritis. </w:t>
      </w:r>
    </w:p>
    <w:p w14:paraId="68B822DA" w14:textId="77777777" w:rsidR="001D6416" w:rsidRPr="001D6416" w:rsidRDefault="001D6416" w:rsidP="001D6416">
      <w:pPr>
        <w:rPr>
          <w:b/>
          <w:bCs/>
        </w:rPr>
      </w:pPr>
      <w:r w:rsidRPr="001D6416">
        <w:rPr>
          <w:b/>
          <w:bCs/>
        </w:rPr>
        <w:t xml:space="preserve">Other studies </w:t>
      </w:r>
    </w:p>
    <w:p w14:paraId="3200FBDC" w14:textId="77777777" w:rsidR="00FC7B4F" w:rsidRPr="00FC7B4F" w:rsidRDefault="00FC7B4F" w:rsidP="00FC7B4F">
      <w:pPr>
        <w:rPr>
          <w:b/>
          <w:bCs/>
        </w:rPr>
      </w:pPr>
      <w:r w:rsidRPr="00FC7B4F">
        <w:rPr>
          <w:b/>
          <w:bCs/>
        </w:rPr>
        <w:t xml:space="preserve">Study P101 </w:t>
      </w:r>
    </w:p>
    <w:p w14:paraId="6ACAEC01" w14:textId="77777777" w:rsidR="00FC7B4F" w:rsidRPr="00FC7B4F" w:rsidRDefault="00FC7B4F" w:rsidP="00FC7B4F">
      <w:r w:rsidRPr="00FC7B4F">
        <w:t xml:space="preserve">There were no deaths in the mRNA-1283 intervention groups. </w:t>
      </w:r>
    </w:p>
    <w:p w14:paraId="7B1DE925" w14:textId="11775AC4" w:rsidR="001D6416" w:rsidRPr="001D6416" w:rsidRDefault="00E10FD2" w:rsidP="001D6416">
      <w:pPr>
        <w:rPr>
          <w:b/>
          <w:bCs/>
        </w:rPr>
      </w:pPr>
      <w:r w:rsidRPr="00E10FD2">
        <w:rPr>
          <w:b/>
          <w:bCs/>
        </w:rPr>
        <w:t xml:space="preserve">Study </w:t>
      </w:r>
      <w:r w:rsidR="001D6416" w:rsidRPr="001D6416">
        <w:rPr>
          <w:b/>
          <w:bCs/>
        </w:rPr>
        <w:t xml:space="preserve">P201 </w:t>
      </w:r>
    </w:p>
    <w:p w14:paraId="45863C7B" w14:textId="4D52AD3C" w:rsidR="001D6416" w:rsidRPr="001D6416" w:rsidRDefault="001D6416" w:rsidP="001D6416">
      <w:r w:rsidRPr="001D6416">
        <w:lastRenderedPageBreak/>
        <w:t xml:space="preserve">There were 2 deaths in the mRNA-1283 group, and both were assessed as not related to the study injection by the Investigator and Sponsor due to both occurring after 90 days. Further, within part B, all SAEs were reported after 28 days of study injection. </w:t>
      </w:r>
    </w:p>
    <w:p w14:paraId="5A25A4E8" w14:textId="2A6FDD0D" w:rsidR="001D6416" w:rsidRPr="001D6416" w:rsidRDefault="00F478EF" w:rsidP="001D6416">
      <w:pPr>
        <w:rPr>
          <w:b/>
          <w:bCs/>
        </w:rPr>
      </w:pPr>
      <w:r w:rsidRPr="00F478EF">
        <w:rPr>
          <w:b/>
          <w:bCs/>
        </w:rPr>
        <w:t xml:space="preserve">Study </w:t>
      </w:r>
      <w:r w:rsidR="001D6416" w:rsidRPr="001D6416">
        <w:rPr>
          <w:b/>
          <w:bCs/>
        </w:rPr>
        <w:t>P301:</w:t>
      </w:r>
      <w:r w:rsidRPr="00F478EF">
        <w:rPr>
          <w:b/>
          <w:bCs/>
        </w:rPr>
        <w:t xml:space="preserve"> </w:t>
      </w:r>
      <w:r w:rsidR="001D6416" w:rsidRPr="001D6416">
        <w:rPr>
          <w:b/>
          <w:bCs/>
        </w:rPr>
        <w:t xml:space="preserve">Japanese Amendment </w:t>
      </w:r>
    </w:p>
    <w:p w14:paraId="71344C58" w14:textId="77777777" w:rsidR="001D6416" w:rsidRPr="001D6416" w:rsidRDefault="001D6416" w:rsidP="001D6416">
      <w:r w:rsidRPr="001D6416">
        <w:t xml:space="preserve">Up to the data cutoff data, no SAEs, severe unsolicited AEs, AESIs, or AEs leading to discontinuation were reported in either vaccine group. Up to the data extraction group, no deaths were reported in either vaccine group. </w:t>
      </w:r>
    </w:p>
    <w:p w14:paraId="7E61B3AB" w14:textId="618D66E1" w:rsidR="001D6416" w:rsidRPr="001D6416" w:rsidRDefault="001D6416" w:rsidP="00371775">
      <w:pPr>
        <w:pStyle w:val="Heading5"/>
      </w:pPr>
      <w:r w:rsidRPr="001D6416">
        <w:t>Discontinuations due to adverse events</w:t>
      </w:r>
      <w:fldSimple w:instr=" DOCVARIABLE vault_nd_0793d3f9-df61-4849-a17f-150082da9045 \* MERGEFORMAT ">
        <w:r w:rsidR="00B03ADC">
          <w:t xml:space="preserve"> </w:t>
        </w:r>
      </w:fldSimple>
    </w:p>
    <w:p w14:paraId="05368FF3" w14:textId="698D0418" w:rsidR="001D6416" w:rsidRPr="001D6416" w:rsidRDefault="001D6416" w:rsidP="001D6416">
      <w:r w:rsidRPr="001D6416">
        <w:t>Within Study P301, of the 5</w:t>
      </w:r>
      <w:r w:rsidR="003D2AD6">
        <w:t>,</w:t>
      </w:r>
      <w:r w:rsidRPr="001D6416">
        <w:t xml:space="preserve">706 participants who were dosed with mRNA-1283.222, 3 patients withdrew from the study due to an adverse event which were assessed as not related to the study vaccine. The reasons included metastatic gastric cancer, polycythaemia vera and a suicide attempt. This was in addition to the 5 participants in the mRNA-1283.222 group who were discontinued due to death. </w:t>
      </w:r>
    </w:p>
    <w:p w14:paraId="7BA10BF4" w14:textId="1ED22177" w:rsidR="00F65BA9" w:rsidRDefault="001D6416" w:rsidP="001D6416">
      <w:r w:rsidRPr="001D6416">
        <w:t xml:space="preserve">There were no discontinuations in </w:t>
      </w:r>
      <w:r w:rsidR="00FA4D4B">
        <w:t xml:space="preserve">Study </w:t>
      </w:r>
      <w:r w:rsidRPr="001D6416">
        <w:t>P301: Japanese Amendment due to adverse events.</w:t>
      </w:r>
    </w:p>
    <w:p w14:paraId="382DDAEA" w14:textId="2F5D1CD3" w:rsidR="00B90636" w:rsidRPr="00B90636" w:rsidRDefault="00B90636" w:rsidP="00B90636">
      <w:pPr>
        <w:pStyle w:val="Heading5"/>
      </w:pPr>
      <w:r w:rsidRPr="00B90636">
        <w:t>Other safety issues</w:t>
      </w:r>
      <w:fldSimple w:instr=" DOCVARIABLE vault_nd_fbe6b67f-3449-485d-9df7-0faf7a0b215d \* MERGEFORMAT ">
        <w:r w:rsidR="00B03ADC">
          <w:t xml:space="preserve"> </w:t>
        </w:r>
      </w:fldSimple>
    </w:p>
    <w:p w14:paraId="5234041F" w14:textId="5140547F" w:rsidR="00B90636" w:rsidRPr="00B90636" w:rsidRDefault="00B90636" w:rsidP="00B90636">
      <w:pPr>
        <w:pStyle w:val="Heading6"/>
      </w:pPr>
      <w:r w:rsidRPr="00B90636">
        <w:t>Safety in special populations</w:t>
      </w:r>
      <w:fldSimple w:instr=" DOCVARIABLE vault_nd_cfd5684a-905d-448c-8e94-e0be555de5dd \* MERGEFORMAT ">
        <w:r w:rsidR="00B03ADC">
          <w:t xml:space="preserve"> </w:t>
        </w:r>
      </w:fldSimple>
    </w:p>
    <w:p w14:paraId="308EED2F" w14:textId="77777777" w:rsidR="00B90636" w:rsidRPr="00B90636" w:rsidRDefault="00B90636" w:rsidP="00B90636">
      <w:pPr>
        <w:rPr>
          <w:b/>
          <w:bCs/>
        </w:rPr>
      </w:pPr>
      <w:r w:rsidRPr="00B90636">
        <w:rPr>
          <w:b/>
          <w:bCs/>
        </w:rPr>
        <w:t xml:space="preserve">Age Groups </w:t>
      </w:r>
    </w:p>
    <w:p w14:paraId="762DE855" w14:textId="77777777" w:rsidR="00B90636" w:rsidRPr="00B90636" w:rsidRDefault="00B90636" w:rsidP="00B90636">
      <w:r w:rsidRPr="00B90636">
        <w:t xml:space="preserve">In Study P301, the incidence of unsolicited AEs was similar for both vaccine groups and consistent across age cohorts. </w:t>
      </w:r>
    </w:p>
    <w:p w14:paraId="5A36F0ED" w14:textId="62602673" w:rsidR="00B90636" w:rsidRPr="00B90636" w:rsidRDefault="00B90636" w:rsidP="00B90636">
      <w:pPr>
        <w:rPr>
          <w:b/>
          <w:bCs/>
        </w:rPr>
      </w:pPr>
      <w:r w:rsidRPr="00B90636">
        <w:rPr>
          <w:b/>
          <w:bCs/>
        </w:rPr>
        <w:t xml:space="preserve">12-18 Paediatric Subgroup </w:t>
      </w:r>
    </w:p>
    <w:p w14:paraId="08C58B3E" w14:textId="77777777" w:rsidR="00B90636" w:rsidRPr="00B90636" w:rsidRDefault="00B90636" w:rsidP="00B90636">
      <w:r w:rsidRPr="00B90636">
        <w:t xml:space="preserve">In Study P301, within the adolescent subgroup, assessment of unsolicited AEs did not reveal any safety concerns for the adolescent population, with no differences of AEs noted between the vaccine groups (58/497, 11.7% of participants in the mRNA-1283 group vs 56/495, 11.3% in the mRNA-1273 group). Up to 28 days, no SAEs (including deaths) or AESIs were reported, and no AEs led to discontinuation for adolescents in either group. </w:t>
      </w:r>
    </w:p>
    <w:p w14:paraId="1D7B8684" w14:textId="77777777" w:rsidR="00B90636" w:rsidRPr="00B90636" w:rsidRDefault="00B90636" w:rsidP="00B90636">
      <w:r w:rsidRPr="00B90636">
        <w:t xml:space="preserve">Above 28 days, the proportion of unsolicited AEs in adolescents was similar for both groups (175/497, 35.2% in mRNA-1283 vs 150/495, 30.3% in the mRNA-1273). The rates of unsolicited AEs, SAEs and were similar across both groups. There were 1 death recorded in each group due to homicide and not related to the study vaccination. </w:t>
      </w:r>
    </w:p>
    <w:p w14:paraId="26E44A40" w14:textId="77777777" w:rsidR="00B90636" w:rsidRPr="00B90636" w:rsidRDefault="00B90636" w:rsidP="00B90636">
      <w:pPr>
        <w:rPr>
          <w:b/>
          <w:bCs/>
        </w:rPr>
      </w:pPr>
      <w:r w:rsidRPr="00B90636">
        <w:rPr>
          <w:b/>
          <w:bCs/>
        </w:rPr>
        <w:t xml:space="preserve">Use in Pregnancy and Lactation </w:t>
      </w:r>
    </w:p>
    <w:p w14:paraId="1F0139FE" w14:textId="77777777" w:rsidR="00B90636" w:rsidRPr="00B90636" w:rsidRDefault="00B90636" w:rsidP="00B90636">
      <w:r w:rsidRPr="00B90636">
        <w:t xml:space="preserve">There were no studies conducted on the effects of mRNA-1283 on pregnancy and lactation. </w:t>
      </w:r>
    </w:p>
    <w:p w14:paraId="0D1A765B" w14:textId="77777777" w:rsidR="00B90636" w:rsidRPr="00B90636" w:rsidRDefault="00B90636" w:rsidP="00B90636">
      <w:r w:rsidRPr="00B90636">
        <w:t xml:space="preserve">In Study P301, 3 participants in the mRNA-1283.222 were pregnant which were pending an outcome. </w:t>
      </w:r>
    </w:p>
    <w:p w14:paraId="4B3B338F" w14:textId="3A002F66" w:rsidR="00B90636" w:rsidRPr="00B90636" w:rsidRDefault="00B90636" w:rsidP="00B90636">
      <w:r w:rsidRPr="00B90636">
        <w:t xml:space="preserve">In Study P201, 2 pregnancies occurred after 10 </w:t>
      </w:r>
      <w:proofErr w:type="spellStart"/>
      <w:r w:rsidRPr="00B90636">
        <w:t>μg</w:t>
      </w:r>
      <w:proofErr w:type="spellEnd"/>
      <w:r w:rsidRPr="00B90636">
        <w:t xml:space="preserve"> mRNA-1283.529 exposure (beyond 28 days after mRNA-1283 vaccination: Day 113 and 233) with 1 pregnancy reporting a full-term birth without complications for the mother and the child; the outcome of the other pregnancy is not yet known. </w:t>
      </w:r>
    </w:p>
    <w:p w14:paraId="52570B8A" w14:textId="3935DF20" w:rsidR="00B90636" w:rsidRDefault="00B90636" w:rsidP="00B90636">
      <w:r w:rsidRPr="00B90636">
        <w:t>In Study P101, no pregnancies were reported during the study.</w:t>
      </w:r>
    </w:p>
    <w:p w14:paraId="2858B006" w14:textId="53C483FF" w:rsidR="00C22214" w:rsidRDefault="00C22214" w:rsidP="00C22214">
      <w:pPr>
        <w:pStyle w:val="Heading3"/>
        <w:rPr>
          <w:lang w:eastAsia="en-AU"/>
        </w:rPr>
      </w:pPr>
      <w:bookmarkStart w:id="50" w:name="_Toc103679298"/>
      <w:bookmarkStart w:id="51" w:name="_Toc230003590"/>
      <w:r>
        <w:rPr>
          <w:lang w:eastAsia="en-AU"/>
        </w:rPr>
        <w:lastRenderedPageBreak/>
        <w:t>Risk management plan</w:t>
      </w:r>
      <w:bookmarkEnd w:id="48"/>
      <w:bookmarkEnd w:id="50"/>
      <w:bookmarkEnd w:id="51"/>
      <w:r w:rsidR="00B03ADC">
        <w:rPr>
          <w:lang w:eastAsia="en-AU"/>
        </w:rPr>
        <w:fldChar w:fldCharType="begin"/>
      </w:r>
      <w:r w:rsidR="00B03ADC">
        <w:rPr>
          <w:lang w:eastAsia="en-AU"/>
        </w:rPr>
        <w:instrText xml:space="preserve"> DOCVARIABLE vault_nd_47eb97e8-0210-4b19-9a4f-56870a25d15a \* MERGEFORMAT </w:instrText>
      </w:r>
      <w:r w:rsidR="00B03ADC">
        <w:rPr>
          <w:lang w:eastAsia="en-AU"/>
        </w:rPr>
        <w:fldChar w:fldCharType="separate"/>
      </w:r>
      <w:r w:rsidR="00B03ADC">
        <w:rPr>
          <w:lang w:eastAsia="en-AU"/>
        </w:rPr>
        <w:t xml:space="preserve"> </w:t>
      </w:r>
      <w:r w:rsidR="00B03ADC">
        <w:rPr>
          <w:lang w:eastAsia="en-AU"/>
        </w:rPr>
        <w:fldChar w:fldCharType="end"/>
      </w:r>
    </w:p>
    <w:p w14:paraId="3B9BC956" w14:textId="5B57039C" w:rsidR="00344B63" w:rsidRPr="00344B63" w:rsidRDefault="0022772B" w:rsidP="00344B63">
      <w:pPr>
        <w:rPr>
          <w:szCs w:val="22"/>
        </w:rPr>
      </w:pPr>
      <w:bookmarkStart w:id="52" w:name="_Toc247691531"/>
      <w:bookmarkStart w:id="53" w:name="_Toc314842515"/>
      <w:r>
        <w:rPr>
          <w:szCs w:val="22"/>
        </w:rPr>
        <w:t xml:space="preserve">Moderna Australia Pty Ltd has submitted </w:t>
      </w:r>
      <w:r w:rsidR="00344B63" w:rsidRPr="00344B63">
        <w:rPr>
          <w:szCs w:val="22"/>
        </w:rPr>
        <w:t>EU-Risk Management Plan (RMP) version 0.1 (date 8 November 2024, DLP 2 May 2024) with Australia-Specific Annex (ASA) version 1.0 (dated 26 November 2024), in</w:t>
      </w:r>
      <w:r w:rsidR="00256C7C">
        <w:rPr>
          <w:szCs w:val="22"/>
        </w:rPr>
        <w:t xml:space="preserve"> support of this</w:t>
      </w:r>
      <w:r w:rsidR="00344B63" w:rsidRPr="00344B63">
        <w:rPr>
          <w:szCs w:val="22"/>
        </w:rPr>
        <w:t xml:space="preserve"> submission PM-2024-05463-1-2</w:t>
      </w:r>
      <w:r w:rsidR="00F23D79">
        <w:rPr>
          <w:szCs w:val="22"/>
        </w:rPr>
        <w:t xml:space="preserve">. </w:t>
      </w:r>
    </w:p>
    <w:p w14:paraId="39F3CD1D" w14:textId="345E4C23" w:rsidR="0072003B" w:rsidRPr="00BD5DBD" w:rsidRDefault="00C22214" w:rsidP="00C22214">
      <w:pPr>
        <w:rPr>
          <w:szCs w:val="22"/>
        </w:rPr>
      </w:pPr>
      <w:r w:rsidRPr="00BD5DBD">
        <w:rPr>
          <w:szCs w:val="22"/>
        </w:rPr>
        <w:t xml:space="preserve">The </w:t>
      </w:r>
      <w:r w:rsidR="00C02A15">
        <w:rPr>
          <w:szCs w:val="22"/>
        </w:rPr>
        <w:t xml:space="preserve">proposed </w:t>
      </w:r>
      <w:r w:rsidRPr="00BD5DBD">
        <w:rPr>
          <w:szCs w:val="22"/>
        </w:rPr>
        <w:t>summary of safety concerns and their associated risk monitoring and mitigation strategies are summarised in</w:t>
      </w:r>
      <w:r w:rsidR="003B149C">
        <w:rPr>
          <w:szCs w:val="22"/>
        </w:rPr>
        <w:t xml:space="preserve"> </w:t>
      </w:r>
      <w:r w:rsidR="00C02A15">
        <w:rPr>
          <w:szCs w:val="22"/>
        </w:rPr>
        <w:t xml:space="preserve">Table </w:t>
      </w:r>
      <w:r w:rsidR="00D108B2">
        <w:rPr>
          <w:szCs w:val="22"/>
        </w:rPr>
        <w:t>12</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r w:rsidR="00FD2FD6" w:rsidRPr="00BD5DBD">
        <w:rPr>
          <w:szCs w:val="22"/>
        </w:rPr>
        <w:t>life cycle</w:t>
      </w:r>
      <w:r w:rsidR="0072003B" w:rsidRPr="00BD5DBD">
        <w:rPr>
          <w:szCs w:val="22"/>
        </w:rPr>
        <w:t>, during both the pre-approval and post-approval phases.</w:t>
      </w:r>
    </w:p>
    <w:p w14:paraId="0E7D3ADC" w14:textId="676B11C3" w:rsidR="00127A74" w:rsidRDefault="00C22214" w:rsidP="00C02A15">
      <w:pPr>
        <w:pStyle w:val="TableTitle"/>
      </w:pPr>
      <w:bookmarkStart w:id="54" w:name="_Ref97629131"/>
      <w:r w:rsidRPr="00C02A15">
        <w:t xml:space="preserve">Table </w:t>
      </w:r>
      <w:bookmarkEnd w:id="54"/>
      <w:r w:rsidR="00D108B2" w:rsidRPr="00C02A15">
        <w:t>12</w:t>
      </w:r>
      <w:r w:rsidR="00C02A15">
        <w:t>.</w:t>
      </w:r>
      <w:r w:rsidRPr="00C02A15">
        <w:t xml:space="preserve"> Summary of safety concerns</w:t>
      </w:r>
      <w:r w:rsidR="00C02A15">
        <w:t>.</w:t>
      </w:r>
    </w:p>
    <w:tbl>
      <w:tblPr>
        <w:tblStyle w:val="TableTGAblue2023"/>
        <w:tblW w:w="9067" w:type="dxa"/>
        <w:tblLayout w:type="fixed"/>
        <w:tblLook w:val="04A0" w:firstRow="1" w:lastRow="0" w:firstColumn="1" w:lastColumn="0" w:noHBand="0" w:noVBand="1"/>
      </w:tblPr>
      <w:tblGrid>
        <w:gridCol w:w="1696"/>
        <w:gridCol w:w="2268"/>
        <w:gridCol w:w="1134"/>
        <w:gridCol w:w="1418"/>
        <w:gridCol w:w="1134"/>
        <w:gridCol w:w="1417"/>
      </w:tblGrid>
      <w:tr w:rsidR="00127A74" w:rsidRPr="007A1992"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5F1112" w:rsidRPr="007A1992" w14:paraId="05599231" w14:textId="77777777" w:rsidTr="00B15D45">
        <w:trPr>
          <w:trHeight w:val="137"/>
        </w:trPr>
        <w:tc>
          <w:tcPr>
            <w:cnfStyle w:val="001000000000" w:firstRow="0" w:lastRow="0" w:firstColumn="1" w:lastColumn="0" w:oddVBand="0" w:evenVBand="0" w:oddHBand="0" w:evenHBand="0" w:firstRowFirstColumn="0" w:firstRowLastColumn="0" w:lastRowFirstColumn="0" w:lastRowLastColumn="0"/>
            <w:tcW w:w="1696" w:type="dxa"/>
          </w:tcPr>
          <w:p w14:paraId="67382D75" w14:textId="77777777" w:rsidR="005F1112" w:rsidRPr="00127A74" w:rsidRDefault="005F1112" w:rsidP="00127A74">
            <w:pPr>
              <w:rPr>
                <w:b/>
                <w:bCs/>
              </w:rPr>
            </w:pPr>
            <w:r w:rsidRPr="00127A74">
              <w:rPr>
                <w:b/>
                <w:bCs/>
              </w:rPr>
              <w:t>Important identified risks</w:t>
            </w:r>
          </w:p>
        </w:tc>
        <w:tc>
          <w:tcPr>
            <w:tcW w:w="2268" w:type="dxa"/>
          </w:tcPr>
          <w:p w14:paraId="7134CBC0" w14:textId="5B729800" w:rsidR="005F1112" w:rsidRPr="00127A74" w:rsidRDefault="005F1112" w:rsidP="00127A74">
            <w:pPr>
              <w:cnfStyle w:val="000000000000" w:firstRow="0" w:lastRow="0" w:firstColumn="0" w:lastColumn="0" w:oddVBand="0" w:evenVBand="0" w:oddHBand="0" w:evenHBand="0" w:firstRowFirstColumn="0" w:firstRowLastColumn="0" w:lastRowFirstColumn="0" w:lastRowLastColumn="0"/>
            </w:pPr>
            <w:r w:rsidRPr="005F1112">
              <w:t>None</w:t>
            </w:r>
          </w:p>
        </w:tc>
        <w:tc>
          <w:tcPr>
            <w:tcW w:w="1134" w:type="dxa"/>
          </w:tcPr>
          <w:p w14:paraId="11797452" w14:textId="7C6A26A3" w:rsidR="005F1112"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c>
          <w:tcPr>
            <w:tcW w:w="1418" w:type="dxa"/>
          </w:tcPr>
          <w:p w14:paraId="7B703318" w14:textId="0F592893" w:rsidR="005F1112"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c>
          <w:tcPr>
            <w:tcW w:w="1134" w:type="dxa"/>
          </w:tcPr>
          <w:p w14:paraId="1A652099" w14:textId="6A765A1B" w:rsidR="005F1112"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c>
          <w:tcPr>
            <w:tcW w:w="1417" w:type="dxa"/>
          </w:tcPr>
          <w:p w14:paraId="34A0513E" w14:textId="596B9B51" w:rsidR="005F1112"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r>
      <w:tr w:rsidR="00127A74" w:rsidRPr="007A1992" w14:paraId="176B93B3" w14:textId="77777777" w:rsidTr="00B15D45">
        <w:trPr>
          <w:trHeight w:val="159"/>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77F0DB3E" w14:textId="77777777" w:rsidR="00127A74" w:rsidRPr="00127A74" w:rsidRDefault="00127A74" w:rsidP="00127A74">
            <w:pPr>
              <w:rPr>
                <w:b/>
                <w:bCs/>
              </w:rPr>
            </w:pPr>
            <w:r w:rsidRPr="00127A74">
              <w:rPr>
                <w:b/>
                <w:bCs/>
              </w:rPr>
              <w:t>Important potential risks</w:t>
            </w:r>
          </w:p>
        </w:tc>
        <w:tc>
          <w:tcPr>
            <w:tcW w:w="2268" w:type="dxa"/>
          </w:tcPr>
          <w:p w14:paraId="6E17E14A" w14:textId="3FA09557" w:rsidR="00127A74" w:rsidRPr="00127A74" w:rsidRDefault="00B15D45" w:rsidP="00127A74">
            <w:pPr>
              <w:cnfStyle w:val="000000000000" w:firstRow="0" w:lastRow="0" w:firstColumn="0" w:lastColumn="0" w:oddVBand="0" w:evenVBand="0" w:oddHBand="0" w:evenHBand="0" w:firstRowFirstColumn="0" w:firstRowLastColumn="0" w:lastRowFirstColumn="0" w:lastRowLastColumn="0"/>
            </w:pPr>
            <w:r w:rsidRPr="00B15D45">
              <w:t>Myocarditis</w:t>
            </w:r>
          </w:p>
        </w:tc>
        <w:tc>
          <w:tcPr>
            <w:tcW w:w="1134" w:type="dxa"/>
          </w:tcPr>
          <w:p w14:paraId="252AD92F" w14:textId="4B14E2F8" w:rsidR="00127A74" w:rsidRPr="00D108B2" w:rsidRDefault="00846D8E"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p>
        </w:tc>
        <w:tc>
          <w:tcPr>
            <w:tcW w:w="1418" w:type="dxa"/>
          </w:tcPr>
          <w:p w14:paraId="77DA98F1" w14:textId="32BEF110" w:rsidR="00127A74" w:rsidRPr="00D108B2" w:rsidRDefault="00CB4659"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r w:rsidRPr="00D108B2">
              <w:t>*</w:t>
            </w:r>
          </w:p>
        </w:tc>
        <w:tc>
          <w:tcPr>
            <w:tcW w:w="1134" w:type="dxa"/>
          </w:tcPr>
          <w:p w14:paraId="182A5096" w14:textId="6999457D" w:rsidR="00127A74" w:rsidRPr="00D108B2" w:rsidRDefault="00846D8E"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p>
        </w:tc>
        <w:tc>
          <w:tcPr>
            <w:tcW w:w="1417" w:type="dxa"/>
          </w:tcPr>
          <w:p w14:paraId="2A6247DC" w14:textId="103266A5" w:rsidR="00127A74"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r>
      <w:tr w:rsidR="005F1112" w:rsidRPr="007A1992" w14:paraId="1D3B7AB5" w14:textId="77777777" w:rsidTr="00B15D45">
        <w:trPr>
          <w:trHeight w:val="397"/>
        </w:trPr>
        <w:tc>
          <w:tcPr>
            <w:cnfStyle w:val="001000000000" w:firstRow="0" w:lastRow="0" w:firstColumn="1" w:lastColumn="0" w:oddVBand="0" w:evenVBand="0" w:oddHBand="0" w:evenHBand="0" w:firstRowFirstColumn="0" w:firstRowLastColumn="0" w:lastRowFirstColumn="0" w:lastRowLastColumn="0"/>
            <w:tcW w:w="1696" w:type="dxa"/>
            <w:vMerge/>
          </w:tcPr>
          <w:p w14:paraId="150DE62A" w14:textId="77777777" w:rsidR="005F1112" w:rsidRPr="00127A74" w:rsidRDefault="005F1112" w:rsidP="00127A74">
            <w:pPr>
              <w:rPr>
                <w:b/>
                <w:bCs/>
              </w:rPr>
            </w:pPr>
          </w:p>
        </w:tc>
        <w:tc>
          <w:tcPr>
            <w:tcW w:w="2268" w:type="dxa"/>
          </w:tcPr>
          <w:p w14:paraId="51438C35" w14:textId="34B4DEAF" w:rsidR="005F1112" w:rsidRPr="00127A74" w:rsidRDefault="00B15D45" w:rsidP="00127A74">
            <w:pPr>
              <w:cnfStyle w:val="000000000000" w:firstRow="0" w:lastRow="0" w:firstColumn="0" w:lastColumn="0" w:oddVBand="0" w:evenVBand="0" w:oddHBand="0" w:evenHBand="0" w:firstRowFirstColumn="0" w:firstRowLastColumn="0" w:lastRowFirstColumn="0" w:lastRowLastColumn="0"/>
            </w:pPr>
            <w:r w:rsidRPr="00B15D45">
              <w:t>Pericarditis</w:t>
            </w:r>
          </w:p>
        </w:tc>
        <w:tc>
          <w:tcPr>
            <w:tcW w:w="1134" w:type="dxa"/>
          </w:tcPr>
          <w:p w14:paraId="2766BAE0" w14:textId="27CD37BA" w:rsidR="005F1112" w:rsidRPr="00D108B2" w:rsidRDefault="00846D8E"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p>
        </w:tc>
        <w:tc>
          <w:tcPr>
            <w:tcW w:w="1418" w:type="dxa"/>
          </w:tcPr>
          <w:p w14:paraId="2B1BF340" w14:textId="5125FE84" w:rsidR="005F1112" w:rsidRPr="00D108B2" w:rsidRDefault="00CB4659"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r w:rsidRPr="00D108B2">
              <w:t>*</w:t>
            </w:r>
          </w:p>
        </w:tc>
        <w:tc>
          <w:tcPr>
            <w:tcW w:w="1134" w:type="dxa"/>
          </w:tcPr>
          <w:p w14:paraId="6A4FA9DA" w14:textId="33EFC366" w:rsidR="005F1112" w:rsidRPr="00D108B2" w:rsidRDefault="00846D8E"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p>
        </w:tc>
        <w:tc>
          <w:tcPr>
            <w:tcW w:w="1417" w:type="dxa"/>
          </w:tcPr>
          <w:p w14:paraId="0D33F49A" w14:textId="789870D9" w:rsidR="005F1112"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r>
      <w:tr w:rsidR="00127A74" w:rsidRPr="007A1992" w14:paraId="74C5E610" w14:textId="77777777" w:rsidTr="00B15D45">
        <w:trPr>
          <w:trHeight w:val="178"/>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62C65E3" w14:textId="77777777" w:rsidR="00127A74" w:rsidRPr="00127A74" w:rsidRDefault="00127A74" w:rsidP="00127A74">
            <w:pPr>
              <w:rPr>
                <w:b/>
                <w:bCs/>
              </w:rPr>
            </w:pPr>
            <w:r w:rsidRPr="00127A74">
              <w:rPr>
                <w:b/>
                <w:bCs/>
              </w:rPr>
              <w:t>Missing information</w:t>
            </w:r>
          </w:p>
        </w:tc>
        <w:tc>
          <w:tcPr>
            <w:tcW w:w="2268" w:type="dxa"/>
          </w:tcPr>
          <w:p w14:paraId="104D79CD" w14:textId="556025ED" w:rsidR="00127A74" w:rsidRPr="00127A74" w:rsidRDefault="00846D8E" w:rsidP="00127A74">
            <w:pPr>
              <w:cnfStyle w:val="000000000000" w:firstRow="0" w:lastRow="0" w:firstColumn="0" w:lastColumn="0" w:oddVBand="0" w:evenVBand="0" w:oddHBand="0" w:evenHBand="0" w:firstRowFirstColumn="0" w:firstRowLastColumn="0" w:lastRowFirstColumn="0" w:lastRowLastColumn="0"/>
            </w:pPr>
            <w:r w:rsidRPr="00846D8E">
              <w:t>Use in pregnancy</w:t>
            </w:r>
          </w:p>
        </w:tc>
        <w:tc>
          <w:tcPr>
            <w:tcW w:w="1134" w:type="dxa"/>
          </w:tcPr>
          <w:p w14:paraId="07467A21" w14:textId="1B654F52" w:rsidR="00127A74" w:rsidRPr="00D108B2" w:rsidRDefault="00846D8E"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p>
        </w:tc>
        <w:tc>
          <w:tcPr>
            <w:tcW w:w="1418" w:type="dxa"/>
          </w:tcPr>
          <w:p w14:paraId="35C7F07F" w14:textId="6108E8EA" w:rsidR="00127A74"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c>
          <w:tcPr>
            <w:tcW w:w="1134" w:type="dxa"/>
          </w:tcPr>
          <w:p w14:paraId="52620DEE" w14:textId="6B106F12" w:rsidR="00127A74" w:rsidRPr="00D108B2" w:rsidRDefault="00846D8E"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p>
        </w:tc>
        <w:tc>
          <w:tcPr>
            <w:tcW w:w="1417" w:type="dxa"/>
          </w:tcPr>
          <w:p w14:paraId="16BD3C7B" w14:textId="0B2E3BC8" w:rsidR="00127A74"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r>
      <w:tr w:rsidR="00127A74" w:rsidRPr="007A1992" w14:paraId="0E5AEFE4" w14:textId="77777777" w:rsidTr="00B15D45">
        <w:trPr>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6717FA88" w14:textId="77777777" w:rsidR="00127A74" w:rsidRPr="00127A74" w:rsidRDefault="00127A74" w:rsidP="00127A74"/>
        </w:tc>
        <w:tc>
          <w:tcPr>
            <w:tcW w:w="2268" w:type="dxa"/>
          </w:tcPr>
          <w:p w14:paraId="1DF32407" w14:textId="056B2984" w:rsidR="00127A74" w:rsidRPr="00127A74" w:rsidRDefault="00846D8E" w:rsidP="00127A74">
            <w:pPr>
              <w:cnfStyle w:val="000000000000" w:firstRow="0" w:lastRow="0" w:firstColumn="0" w:lastColumn="0" w:oddVBand="0" w:evenVBand="0" w:oddHBand="0" w:evenHBand="0" w:firstRowFirstColumn="0" w:firstRowLastColumn="0" w:lastRowFirstColumn="0" w:lastRowLastColumn="0"/>
            </w:pPr>
            <w:r w:rsidRPr="00846D8E">
              <w:t>Long-term safety</w:t>
            </w:r>
          </w:p>
        </w:tc>
        <w:tc>
          <w:tcPr>
            <w:tcW w:w="1134" w:type="dxa"/>
          </w:tcPr>
          <w:p w14:paraId="13B9D43F" w14:textId="515CF7A3" w:rsidR="00127A74" w:rsidRPr="00D108B2" w:rsidRDefault="00846D8E"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p>
        </w:tc>
        <w:tc>
          <w:tcPr>
            <w:tcW w:w="1418" w:type="dxa"/>
          </w:tcPr>
          <w:p w14:paraId="5B103519" w14:textId="360FDD06" w:rsidR="00127A74" w:rsidRPr="00D108B2" w:rsidRDefault="00CB4659" w:rsidP="00D71DEB">
            <w:pPr>
              <w:jc w:val="center"/>
              <w:cnfStyle w:val="000000000000" w:firstRow="0" w:lastRow="0" w:firstColumn="0" w:lastColumn="0" w:oddVBand="0" w:evenVBand="0" w:oddHBand="0" w:evenHBand="0" w:firstRowFirstColumn="0" w:firstRowLastColumn="0" w:lastRowFirstColumn="0" w:lastRowLastColumn="0"/>
            </w:pPr>
            <w:r w:rsidRPr="00D108B2">
              <w:rPr>
                <w:rFonts w:ascii="Segoe UI Symbol" w:hAnsi="Segoe UI Symbol" w:cs="Segoe UI Symbol"/>
              </w:rPr>
              <w:t>✓</w:t>
            </w:r>
            <w:r w:rsidRPr="00D108B2">
              <w:t>*</w:t>
            </w:r>
          </w:p>
        </w:tc>
        <w:tc>
          <w:tcPr>
            <w:tcW w:w="1134" w:type="dxa"/>
          </w:tcPr>
          <w:p w14:paraId="17D1F379" w14:textId="3DBEEFF9" w:rsidR="00127A74"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c>
          <w:tcPr>
            <w:tcW w:w="1417" w:type="dxa"/>
          </w:tcPr>
          <w:p w14:paraId="6C76384E" w14:textId="07B82061" w:rsidR="00127A74" w:rsidRPr="00D108B2" w:rsidRDefault="00D71DEB" w:rsidP="00D71DEB">
            <w:pPr>
              <w:jc w:val="center"/>
              <w:cnfStyle w:val="000000000000" w:firstRow="0" w:lastRow="0" w:firstColumn="0" w:lastColumn="0" w:oddVBand="0" w:evenVBand="0" w:oddHBand="0" w:evenHBand="0" w:firstRowFirstColumn="0" w:firstRowLastColumn="0" w:lastRowFirstColumn="0" w:lastRowLastColumn="0"/>
            </w:pPr>
            <w:r w:rsidRPr="00D108B2">
              <w:t>-</w:t>
            </w:r>
          </w:p>
        </w:tc>
      </w:tr>
    </w:tbl>
    <w:p w14:paraId="4A8C6C59" w14:textId="77777777" w:rsidR="003B02ED" w:rsidRPr="003B02ED" w:rsidRDefault="003B02ED" w:rsidP="003B02ED">
      <w:pPr>
        <w:rPr>
          <w:sz w:val="18"/>
          <w:szCs w:val="18"/>
        </w:rPr>
      </w:pPr>
      <w:r w:rsidRPr="003B02ED">
        <w:rPr>
          <w:sz w:val="18"/>
          <w:szCs w:val="18"/>
        </w:rPr>
        <w:t>* mRNA-1283-P301 and mRNA-1283-P901</w:t>
      </w:r>
    </w:p>
    <w:p w14:paraId="4BE5A30C" w14:textId="7DA649B1" w:rsidR="008B4997" w:rsidRPr="008B4997" w:rsidRDefault="008B4997" w:rsidP="008B4997">
      <w:pPr>
        <w:rPr>
          <w:b/>
          <w:bCs/>
        </w:rPr>
      </w:pPr>
      <w:r w:rsidRPr="008B4997">
        <w:rPr>
          <w:b/>
          <w:bCs/>
        </w:rPr>
        <w:t>RMP evaluator recommendations regarding condition/s of registration</w:t>
      </w:r>
    </w:p>
    <w:p w14:paraId="52C213FE" w14:textId="7011991F" w:rsidR="0025081B" w:rsidRDefault="008B4997" w:rsidP="00FD3EFD">
      <w:r w:rsidRPr="008B4997">
        <w:t>The mN</w:t>
      </w:r>
      <w:r w:rsidR="00787CDF" w:rsidRPr="008B4997">
        <w:t>EXSPIKE</w:t>
      </w:r>
      <w:r w:rsidRPr="008B4997">
        <w:t xml:space="preserve"> EU-Risk Management Plan (RMP) version 0.1 </w:t>
      </w:r>
      <w:r w:rsidR="005F5D76">
        <w:t>(</w:t>
      </w:r>
      <w:r w:rsidRPr="008B4997">
        <w:t>date 8 November</w:t>
      </w:r>
      <w:r>
        <w:t xml:space="preserve"> </w:t>
      </w:r>
      <w:r w:rsidRPr="008B4997">
        <w:t xml:space="preserve">2024, DLP 2 May 2024) with Australia-Specific Annex (ASA) version 1.0 </w:t>
      </w:r>
      <w:r w:rsidR="00245F22">
        <w:t>(</w:t>
      </w:r>
      <w:r w:rsidRPr="008B4997">
        <w:t>dated 26</w:t>
      </w:r>
      <w:r>
        <w:t xml:space="preserve"> </w:t>
      </w:r>
      <w:r w:rsidRPr="008B4997">
        <w:t>November 2024), included with submission PM-2024-05463-1-2, and any subsequent</w:t>
      </w:r>
      <w:r>
        <w:t xml:space="preserve"> </w:t>
      </w:r>
      <w:r w:rsidRPr="008B4997">
        <w:t>revisions, as agreed with the TGA will be implemented in Australia.</w:t>
      </w:r>
    </w:p>
    <w:p w14:paraId="456C7934" w14:textId="39AD0EA6" w:rsidR="00FA1BC9" w:rsidRDefault="00FA1BC9" w:rsidP="00FA1BC9">
      <w:pPr>
        <w:rPr>
          <w:szCs w:val="22"/>
        </w:rPr>
      </w:pPr>
      <w:bookmarkStart w:id="55" w:name="_Toc103679299"/>
      <w:r w:rsidRPr="00BD5DBD">
        <w:rPr>
          <w:szCs w:val="22"/>
        </w:rPr>
        <w:t xml:space="preserve">Further information regarding the TGA’s risk management approach can be found in </w:t>
      </w:r>
      <w:hyperlink r:id="rId35" w:history="1">
        <w:r w:rsidRPr="00BD5DBD">
          <w:rPr>
            <w:rStyle w:val="Hyperlink"/>
            <w:szCs w:val="22"/>
          </w:rPr>
          <w:t>risk management plans for medicines and biologicals</w:t>
        </w:r>
      </w:hyperlink>
      <w:r w:rsidRPr="00BD5DBD">
        <w:rPr>
          <w:szCs w:val="22"/>
        </w:rPr>
        <w:t xml:space="preserve"> and </w:t>
      </w:r>
      <w:hyperlink r:id="rId36" w:history="1">
        <w:r w:rsidRPr="00BD5DBD">
          <w:rPr>
            <w:rStyle w:val="Hyperlink"/>
            <w:szCs w:val="22"/>
          </w:rPr>
          <w:t>the TGA's risk management approach</w:t>
        </w:r>
      </w:hyperlink>
      <w:r w:rsidRPr="00BD5DBD">
        <w:rPr>
          <w:szCs w:val="22"/>
        </w:rPr>
        <w:t xml:space="preserve">. Information on the </w:t>
      </w:r>
      <w:hyperlink r:id="rId37"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38" w:history="1">
        <w:r w:rsidRPr="00BD5DBD">
          <w:rPr>
            <w:rStyle w:val="Hyperlink"/>
            <w:szCs w:val="22"/>
          </w:rPr>
          <w:t>ASA</w:t>
        </w:r>
      </w:hyperlink>
      <w:r w:rsidRPr="00BD5DBD">
        <w:rPr>
          <w:szCs w:val="22"/>
        </w:rPr>
        <w:t>) can be found on the TGA website.</w:t>
      </w:r>
    </w:p>
    <w:p w14:paraId="74A4F87F" w14:textId="418655AA" w:rsidR="00C22214" w:rsidRDefault="00C22214" w:rsidP="00C22214">
      <w:pPr>
        <w:pStyle w:val="Heading3"/>
      </w:pPr>
      <w:bookmarkStart w:id="56" w:name="_Toc230003591"/>
      <w:r>
        <w:t>Risk-benefit analysis</w:t>
      </w:r>
      <w:bookmarkEnd w:id="52"/>
      <w:bookmarkEnd w:id="53"/>
      <w:bookmarkEnd w:id="55"/>
      <w:bookmarkEnd w:id="56"/>
      <w:r w:rsidR="00B03ADC">
        <w:fldChar w:fldCharType="begin"/>
      </w:r>
      <w:r w:rsidR="00B03ADC">
        <w:instrText xml:space="preserve"> DOCVARIABLE vault_nd_d27a9e47-68cc-46ca-8fb7-a96fbf038451 \* MERGEFORMAT </w:instrText>
      </w:r>
      <w:r w:rsidR="00B03ADC">
        <w:fldChar w:fldCharType="separate"/>
      </w:r>
      <w:r w:rsidR="00B03ADC">
        <w:t xml:space="preserve"> </w:t>
      </w:r>
      <w:r w:rsidR="00B03ADC">
        <w:fldChar w:fldCharType="end"/>
      </w:r>
    </w:p>
    <w:p w14:paraId="77DE2655" w14:textId="6B060E3C" w:rsidR="00C22214" w:rsidRDefault="00C22214" w:rsidP="00C22214">
      <w:pPr>
        <w:pStyle w:val="Heading4"/>
      </w:pPr>
      <w:bookmarkStart w:id="57" w:name="_Toc98931932"/>
      <w:bookmarkStart w:id="58" w:name="_Toc230003592"/>
      <w:r>
        <w:t>Delegate’s considerations</w:t>
      </w:r>
      <w:bookmarkEnd w:id="57"/>
      <w:bookmarkEnd w:id="58"/>
      <w:r w:rsidR="00B03ADC">
        <w:fldChar w:fldCharType="begin"/>
      </w:r>
      <w:r w:rsidR="00B03ADC">
        <w:instrText xml:space="preserve"> DOCVARIABLE vault_nd_29211631-e33e-43a7-a7fb-de65160025f2 \* MERGEFORMAT </w:instrText>
      </w:r>
      <w:r w:rsidR="00B03ADC">
        <w:fldChar w:fldCharType="separate"/>
      </w:r>
      <w:r w:rsidR="00B03ADC">
        <w:t xml:space="preserve"> </w:t>
      </w:r>
      <w:r w:rsidR="00B03ADC">
        <w:fldChar w:fldCharType="end"/>
      </w:r>
    </w:p>
    <w:p w14:paraId="13BDC91A" w14:textId="7E792064" w:rsidR="00411644" w:rsidRPr="00411644" w:rsidRDefault="00411644" w:rsidP="00411644">
      <w:r w:rsidRPr="00411644">
        <w:t xml:space="preserve">mRNA-1283 is a reformulation of mRNA COVID vaccine that includes </w:t>
      </w:r>
      <w:proofErr w:type="gramStart"/>
      <w:r w:rsidRPr="00411644">
        <w:t>a number of</w:t>
      </w:r>
      <w:proofErr w:type="gramEnd"/>
      <w:r w:rsidRPr="00411644">
        <w:t xml:space="preserve"> significant</w:t>
      </w:r>
      <w:r w:rsidR="006F08A2">
        <w:t xml:space="preserve"> </w:t>
      </w:r>
      <w:r w:rsidRPr="00411644">
        <w:t>changes to the coding sequence. The dossier provides sufficient evidence that the efficacy of the</w:t>
      </w:r>
      <w:r w:rsidR="006F08A2">
        <w:t xml:space="preserve"> </w:t>
      </w:r>
      <w:r w:rsidRPr="00411644">
        <w:t>new formulation was non-inferior to the current mRNA-1273 formulation in a population over</w:t>
      </w:r>
      <w:r w:rsidR="006F08A2">
        <w:t xml:space="preserve"> </w:t>
      </w:r>
      <w:r w:rsidRPr="00411644">
        <w:t>the age of 12 years of age. This was assessed through both relative vaccine efficacy in</w:t>
      </w:r>
      <w:r w:rsidR="00C225D1">
        <w:t xml:space="preserve"> </w:t>
      </w:r>
      <w:r w:rsidRPr="00411644">
        <w:t>preventing infection with BA.4/5 COVID and generation of neutralising antibody titres.</w:t>
      </w:r>
      <w:r w:rsidR="001122C9">
        <w:rPr>
          <w:rStyle w:val="FootnoteReference"/>
        </w:rPr>
        <w:footnoteReference w:id="3"/>
      </w:r>
      <w:r w:rsidRPr="00411644">
        <w:t xml:space="preserve"> </w:t>
      </w:r>
    </w:p>
    <w:p w14:paraId="7279A8FC" w14:textId="762CEF05" w:rsidR="00411644" w:rsidRPr="00411644" w:rsidRDefault="00411644" w:rsidP="00411644">
      <w:r w:rsidRPr="00411644">
        <w:t>The Sponsor has hypothesized that the revised mRNA coding in the new formulation will have a</w:t>
      </w:r>
      <w:r w:rsidR="00C225D1">
        <w:t xml:space="preserve"> </w:t>
      </w:r>
      <w:r w:rsidRPr="00411644">
        <w:t>better safety profile than mRNA-1273 The Delegate considers this a reasonable proposition but notes that pre-licensure</w:t>
      </w:r>
      <w:r w:rsidR="00C225D1">
        <w:t xml:space="preserve"> </w:t>
      </w:r>
      <w:r w:rsidRPr="00411644">
        <w:t xml:space="preserve">studies are </w:t>
      </w:r>
      <w:r w:rsidR="00107FB9">
        <w:t>un</w:t>
      </w:r>
      <w:r w:rsidRPr="00411644">
        <w:t xml:space="preserve">able to determine the rate of rare adverse events like </w:t>
      </w:r>
      <w:r w:rsidRPr="00411644">
        <w:lastRenderedPageBreak/>
        <w:t>myocarditis. Based on the</w:t>
      </w:r>
      <w:r w:rsidR="00C225D1">
        <w:t xml:space="preserve"> </w:t>
      </w:r>
      <w:r w:rsidR="007F68A5" w:rsidRPr="00411644">
        <w:t>short-term</w:t>
      </w:r>
      <w:r w:rsidRPr="00411644">
        <w:t xml:space="preserve"> safety data in the pivotal trial</w:t>
      </w:r>
      <w:r w:rsidR="001805E5">
        <w:t>,</w:t>
      </w:r>
      <w:r w:rsidRPr="00411644">
        <w:t xml:space="preserve"> mRNA-1283 appears to have a similar safety profile</w:t>
      </w:r>
      <w:r w:rsidR="00C225D1">
        <w:t xml:space="preserve"> </w:t>
      </w:r>
      <w:r w:rsidRPr="00411644">
        <w:t xml:space="preserve">to </w:t>
      </w:r>
      <w:r w:rsidR="00FC5EED" w:rsidRPr="00411644">
        <w:t>m</w:t>
      </w:r>
      <w:r w:rsidR="00FC5EED">
        <w:t>RNA</w:t>
      </w:r>
      <w:r w:rsidRPr="00411644">
        <w:t>-1273 and no new safety signals were detected.</w:t>
      </w:r>
    </w:p>
    <w:p w14:paraId="0E14985D" w14:textId="2EFA74A5" w:rsidR="00411644" w:rsidRPr="00411644" w:rsidRDefault="00411644" w:rsidP="00411644">
      <w:r w:rsidRPr="00411644">
        <w:t>The quality and manufacturing evaluators have discussed the appropriate release specifications</w:t>
      </w:r>
      <w:r w:rsidR="00B26A82">
        <w:t xml:space="preserve"> </w:t>
      </w:r>
      <w:r w:rsidRPr="00411644">
        <w:t xml:space="preserve">for mRNA-1283 with the Sponsor at some length. </w:t>
      </w:r>
      <w:r w:rsidR="00985A0B">
        <w:t>It is</w:t>
      </w:r>
      <w:r w:rsidRPr="00411644">
        <w:t xml:space="preserve"> note</w:t>
      </w:r>
      <w:r w:rsidR="00985A0B">
        <w:t>d</w:t>
      </w:r>
      <w:r w:rsidRPr="00411644">
        <w:t xml:space="preserve"> that the upper limit of</w:t>
      </w:r>
      <w:r w:rsidR="00B26A82">
        <w:t xml:space="preserve"> </w:t>
      </w:r>
      <w:r w:rsidRPr="00411644">
        <w:t xml:space="preserve">lipid related impurities has been set </w:t>
      </w:r>
      <w:r w:rsidR="005E5356">
        <w:t>f</w:t>
      </w:r>
      <w:r w:rsidRPr="00411644">
        <w:t>or end of shelf-life, which is higher than the</w:t>
      </w:r>
      <w:r w:rsidR="00985A0B">
        <w:t xml:space="preserve"> </w:t>
      </w:r>
      <w:r w:rsidRPr="00411644">
        <w:t>existing limit for mRNA-1273</w:t>
      </w:r>
      <w:r w:rsidR="005E5356">
        <w:t>.</w:t>
      </w:r>
      <w:r w:rsidR="00346D5B">
        <w:t xml:space="preserve"> </w:t>
      </w:r>
      <w:r w:rsidRPr="00411644">
        <w:t>However, because the amount of</w:t>
      </w:r>
      <w:r w:rsidR="004052E2">
        <w:t xml:space="preserve"> lipid in </w:t>
      </w:r>
      <w:r w:rsidRPr="00411644">
        <w:t>mRNA-1283 is</w:t>
      </w:r>
      <w:r w:rsidR="004052E2">
        <w:t xml:space="preserve"> lower </w:t>
      </w:r>
      <w:r w:rsidR="004712BA">
        <w:t>when compared to</w:t>
      </w:r>
      <w:r w:rsidRPr="00411644">
        <w:t xml:space="preserve"> mRNA-1273</w:t>
      </w:r>
      <w:r w:rsidR="004712BA">
        <w:t>,</w:t>
      </w:r>
      <w:r w:rsidRPr="00411644">
        <w:t xml:space="preserve"> the amount of lipid impurity</w:t>
      </w:r>
      <w:r w:rsidR="004712BA">
        <w:t xml:space="preserve"> permitted in </w:t>
      </w:r>
      <w:r w:rsidR="004712BA" w:rsidRPr="004712BA">
        <w:t>mRNA-1283</w:t>
      </w:r>
      <w:r w:rsidR="004712BA">
        <w:t xml:space="preserve"> </w:t>
      </w:r>
      <w:r w:rsidR="0078200D">
        <w:t>i</w:t>
      </w:r>
      <w:r w:rsidRPr="00411644">
        <w:t>s lower than in the</w:t>
      </w:r>
      <w:r w:rsidR="006C6BB3">
        <w:t xml:space="preserve"> </w:t>
      </w:r>
      <w:r w:rsidRPr="00411644">
        <w:t>existing product</w:t>
      </w:r>
      <w:r w:rsidR="0078200D">
        <w:t>.</w:t>
      </w:r>
      <w:r w:rsidRPr="00411644">
        <w:t xml:space="preserve"> Therefore, the Delegate has concluded that this revised limit does not</w:t>
      </w:r>
      <w:r w:rsidR="00D73A42">
        <w:t xml:space="preserve"> </w:t>
      </w:r>
      <w:r w:rsidRPr="00411644">
        <w:t>raise immediate safety concerns. The tighter limits for lipid impurities</w:t>
      </w:r>
      <w:r w:rsidR="009A0699">
        <w:t xml:space="preserve"> </w:t>
      </w:r>
      <w:r w:rsidRPr="00411644">
        <w:t>at release of</w:t>
      </w:r>
      <w:r w:rsidR="00D73A42">
        <w:t xml:space="preserve"> </w:t>
      </w:r>
      <w:r w:rsidRPr="00411644">
        <w:t>mRNA-1283 are material to this conclusion as this indicates that impurity levels over the</w:t>
      </w:r>
      <w:r w:rsidR="00D73A42">
        <w:t xml:space="preserve"> </w:t>
      </w:r>
      <w:r w:rsidRPr="00411644">
        <w:t xml:space="preserve">current shelf-life of the product are likely to remain </w:t>
      </w:r>
      <w:r w:rsidR="00884F24" w:rsidRPr="00411644">
        <w:t>low</w:t>
      </w:r>
      <w:r w:rsidR="00D37BFC">
        <w:t>, r</w:t>
      </w:r>
      <w:r w:rsidRPr="00411644">
        <w:t>egardless</w:t>
      </w:r>
      <w:r w:rsidR="00D73A42">
        <w:t xml:space="preserve"> </w:t>
      </w:r>
      <w:r w:rsidRPr="00411644">
        <w:t>of the upper limit at the end of shelf-life. The Delegate further notes, however, that irrespective</w:t>
      </w:r>
      <w:r w:rsidR="00A81315">
        <w:t xml:space="preserve"> </w:t>
      </w:r>
      <w:r w:rsidRPr="00411644">
        <w:t>of an assessment of clinical safety, relatively stringent impurity limits are important to provide</w:t>
      </w:r>
      <w:r w:rsidR="00A81315">
        <w:t xml:space="preserve"> </w:t>
      </w:r>
      <w:r w:rsidRPr="00411644">
        <w:t>assurance of consistency between manufactured batches which, in this case, may be produced at</w:t>
      </w:r>
      <w:r w:rsidR="00A81315">
        <w:t xml:space="preserve"> </w:t>
      </w:r>
      <w:r w:rsidRPr="00411644">
        <w:t>a newly commissioned site.</w:t>
      </w:r>
    </w:p>
    <w:p w14:paraId="16B806FD" w14:textId="7DA8C40F" w:rsidR="00411644" w:rsidRPr="00411644" w:rsidRDefault="00411644" w:rsidP="00411644">
      <w:r w:rsidRPr="00411644">
        <w:t>The Delegate notes that the quality and manufacturing evaluators have specified the limits</w:t>
      </w:r>
      <w:r w:rsidR="00A81315">
        <w:t xml:space="preserve"> </w:t>
      </w:r>
      <w:r w:rsidRPr="00411644">
        <w:t>for relative protein expression in mRNA-1283</w:t>
      </w:r>
      <w:r w:rsidR="00FC0741">
        <w:t xml:space="preserve">; </w:t>
      </w:r>
      <w:r w:rsidRPr="00411644">
        <w:t>indicat</w:t>
      </w:r>
      <w:r w:rsidR="00FC0741">
        <w:t>ing</w:t>
      </w:r>
      <w:r w:rsidRPr="00411644">
        <w:t xml:space="preserve"> to the Sponsor that they will </w:t>
      </w:r>
      <w:r w:rsidR="00A25262">
        <w:t xml:space="preserve">align </w:t>
      </w:r>
      <w:r w:rsidR="00412335">
        <w:t>with</w:t>
      </w:r>
      <w:r w:rsidRPr="00411644">
        <w:t xml:space="preserve"> the </w:t>
      </w:r>
      <w:r w:rsidR="00F85636">
        <w:t xml:space="preserve">approved </w:t>
      </w:r>
      <w:r w:rsidRPr="00411644">
        <w:t>EMA limits</w:t>
      </w:r>
      <w:r w:rsidR="009904F2">
        <w:t>. T</w:t>
      </w:r>
      <w:r w:rsidRPr="00411644">
        <w:t>he Delegate understands that they have contacted the EMA to provide their specifications.</w:t>
      </w:r>
      <w:r w:rsidR="00A81315">
        <w:t xml:space="preserve"> </w:t>
      </w:r>
      <w:r w:rsidR="00334059">
        <w:t>H</w:t>
      </w:r>
      <w:r w:rsidRPr="00411644">
        <w:t xml:space="preserve">owever, </w:t>
      </w:r>
      <w:r w:rsidR="00334059">
        <w:t xml:space="preserve">it is </w:t>
      </w:r>
      <w:r w:rsidRPr="00411644">
        <w:t>not clear how rapidly the EMA will respond to the TGA’s correspondence. The</w:t>
      </w:r>
      <w:r w:rsidR="00CF63C8">
        <w:t xml:space="preserve"> </w:t>
      </w:r>
      <w:r w:rsidRPr="00411644">
        <w:t xml:space="preserve">Delegate notes that the limits </w:t>
      </w:r>
      <w:r w:rsidR="00FB794B">
        <w:t>a</w:t>
      </w:r>
      <w:r w:rsidRPr="00411644">
        <w:t>ppear to have been proposed by the</w:t>
      </w:r>
      <w:r w:rsidR="00CF63C8">
        <w:t xml:space="preserve"> </w:t>
      </w:r>
      <w:r w:rsidRPr="00411644">
        <w:t>Sponsor prior to 20 November</w:t>
      </w:r>
      <w:r w:rsidR="00882D88">
        <w:t>,</w:t>
      </w:r>
      <w:r w:rsidRPr="00411644">
        <w:t xml:space="preserve"> and it is not clear on what basis the Sponsor has subsequently</w:t>
      </w:r>
      <w:r w:rsidR="001434F2">
        <w:t xml:space="preserve"> </w:t>
      </w:r>
      <w:r w:rsidRPr="00411644">
        <w:t>proposed reducing the lower limit</w:t>
      </w:r>
      <w:r w:rsidR="00312F88">
        <w:t>.</w:t>
      </w:r>
    </w:p>
    <w:p w14:paraId="38F8BA61" w14:textId="33E1B795" w:rsidR="00411644" w:rsidRPr="00411644" w:rsidRDefault="00411644" w:rsidP="00411644">
      <w:r w:rsidRPr="00411644">
        <w:t xml:space="preserve">The Delegate is of the view that, regardless of the EMA position, </w:t>
      </w:r>
      <w:r w:rsidR="00A7425C">
        <w:t>the agreed upon limit</w:t>
      </w:r>
      <w:r w:rsidRPr="00411644">
        <w:t xml:space="preserve"> is an acceptable</w:t>
      </w:r>
      <w:r w:rsidR="001434F2">
        <w:t xml:space="preserve"> </w:t>
      </w:r>
      <w:r w:rsidRPr="00411644">
        <w:t>specification for protein expression and that the Sponsor can be reasonably expected to be able</w:t>
      </w:r>
      <w:r w:rsidR="001434F2">
        <w:t xml:space="preserve"> </w:t>
      </w:r>
      <w:r w:rsidRPr="00411644">
        <w:t>to comply with these limits at the proposed s</w:t>
      </w:r>
      <w:r w:rsidR="009A0495">
        <w:t>h</w:t>
      </w:r>
      <w:r w:rsidRPr="00411644">
        <w:t>elf-life for mRNA-1283. While the Delegate feels it</w:t>
      </w:r>
      <w:r w:rsidR="001434F2">
        <w:t xml:space="preserve"> </w:t>
      </w:r>
      <w:r w:rsidRPr="00411644">
        <w:t xml:space="preserve">would be reasonable to adopt the EMA limits for the purposes of </w:t>
      </w:r>
      <w:r w:rsidR="005D3CD0" w:rsidRPr="00411644">
        <w:t>consistency and</w:t>
      </w:r>
      <w:r w:rsidRPr="00411644">
        <w:t xml:space="preserve"> is willing to</w:t>
      </w:r>
      <w:r w:rsidR="001434F2">
        <w:t xml:space="preserve"> </w:t>
      </w:r>
      <w:r w:rsidRPr="00411644">
        <w:t>do so in accordance with the TGAs position in communication with the Sponsor, they do not</w:t>
      </w:r>
      <w:r w:rsidR="001434F2">
        <w:t xml:space="preserve"> </w:t>
      </w:r>
      <w:r w:rsidRPr="00411644">
        <w:t>consider alignment with the EMA necessary to fulfil legislative requirements under the</w:t>
      </w:r>
      <w:r w:rsidR="00051869">
        <w:t xml:space="preserve"> </w:t>
      </w:r>
      <w:r w:rsidRPr="00411644">
        <w:rPr>
          <w:iCs/>
        </w:rPr>
        <w:t xml:space="preserve">Therapeutic Goods Act </w:t>
      </w:r>
      <w:r w:rsidRPr="00411644">
        <w:t>(1989). That being so, the Delegate is mindful of the need to resolve this</w:t>
      </w:r>
      <w:r w:rsidR="00051869">
        <w:t xml:space="preserve"> </w:t>
      </w:r>
      <w:r w:rsidRPr="00411644">
        <w:t>application within a reasonable timeframe and so will not delay decision</w:t>
      </w:r>
      <w:r w:rsidR="001844FD" w:rsidRPr="001844FD">
        <w:t xml:space="preserve"> making</w:t>
      </w:r>
      <w:r w:rsidRPr="00411644">
        <w:t xml:space="preserve"> until</w:t>
      </w:r>
      <w:r w:rsidR="00051869">
        <w:t xml:space="preserve"> </w:t>
      </w:r>
      <w:r w:rsidRPr="00411644">
        <w:t>confirmation of the release limits is available from the EMA. Unless such confirmation is</w:t>
      </w:r>
      <w:r w:rsidR="00051869">
        <w:t xml:space="preserve"> </w:t>
      </w:r>
      <w:r w:rsidRPr="00411644">
        <w:t>available from the EMA by the time a decision on this application would otherwise be made, the</w:t>
      </w:r>
      <w:r w:rsidR="00E33E87">
        <w:t xml:space="preserve"> </w:t>
      </w:r>
      <w:r w:rsidRPr="00411644">
        <w:t>Delegate will approve the specification for relative protein expression.</w:t>
      </w:r>
    </w:p>
    <w:p w14:paraId="20717102" w14:textId="403E43A0" w:rsidR="00C22214" w:rsidRPr="00456765" w:rsidRDefault="00411644" w:rsidP="00411644">
      <w:r w:rsidRPr="00411644">
        <w:t>The Delegate notes that the description of Study 301 in the draft Product Information document</w:t>
      </w:r>
      <w:r w:rsidR="00E33E87">
        <w:t xml:space="preserve"> </w:t>
      </w:r>
      <w:r w:rsidRPr="00411644">
        <w:t xml:space="preserve">submitted by the Sponsor </w:t>
      </w:r>
      <w:r w:rsidR="00C06A0A">
        <w:t>refers</w:t>
      </w:r>
      <w:r w:rsidRPr="00411644">
        <w:t xml:space="preserve"> to m</w:t>
      </w:r>
      <w:r w:rsidR="00B6548B" w:rsidRPr="00411644">
        <w:t>NEXSPIKE</w:t>
      </w:r>
      <w:r w:rsidRPr="00411644">
        <w:t xml:space="preserve"> XBB1.5</w:t>
      </w:r>
      <w:r w:rsidR="00A1042F">
        <w:t xml:space="preserve">, as opposed to </w:t>
      </w:r>
      <w:r w:rsidR="00DB5DAD">
        <w:t>mNEXSPIKE</w:t>
      </w:r>
      <w:r w:rsidR="0033204B">
        <w:t xml:space="preserve"> (</w:t>
      </w:r>
      <w:r w:rsidR="0033204B" w:rsidRPr="0033204B">
        <w:t>mRNA-1283.222</w:t>
      </w:r>
      <w:r w:rsidR="00825F00">
        <w:t>,</w:t>
      </w:r>
      <w:r w:rsidR="00C06A0A">
        <w:t xml:space="preserve"> the study drug)</w:t>
      </w:r>
      <w:r w:rsidR="0062587C">
        <w:t>.</w:t>
      </w:r>
      <w:r w:rsidRPr="00411644">
        <w:t xml:space="preserve"> The vaccines tested in this trial were BA.4/5 coded. This is acceptable for the purposes of</w:t>
      </w:r>
      <w:r w:rsidR="00E33E87">
        <w:t xml:space="preserve"> </w:t>
      </w:r>
      <w:r w:rsidRPr="00411644">
        <w:t>concluding non-inferiority to the existing mRNA-1273 vaccine in a head-to-head trial, but it is</w:t>
      </w:r>
      <w:r w:rsidR="00E33E87">
        <w:t xml:space="preserve"> </w:t>
      </w:r>
      <w:r w:rsidRPr="00411644">
        <w:t>misleading to suggest the numerical results (i.e. infection rates etc) have been demonstrated to</w:t>
      </w:r>
      <w:r w:rsidR="00E33E87">
        <w:t xml:space="preserve"> </w:t>
      </w:r>
      <w:r w:rsidRPr="00411644">
        <w:t>apply to XBB</w:t>
      </w:r>
      <w:r w:rsidR="00E12606">
        <w:t>.1.5</w:t>
      </w:r>
      <w:r w:rsidRPr="00411644">
        <w:t xml:space="preserve"> COVID. The approved PI will, therefore, refer only to the strains that were </w:t>
      </w:r>
      <w:proofErr w:type="gramStart"/>
      <w:r w:rsidRPr="00411644">
        <w:t>actually</w:t>
      </w:r>
      <w:r w:rsidR="00E33E87">
        <w:t xml:space="preserve"> </w:t>
      </w:r>
      <w:r w:rsidRPr="00411644">
        <w:t>tested</w:t>
      </w:r>
      <w:proofErr w:type="gramEnd"/>
      <w:r w:rsidRPr="00411644">
        <w:t xml:space="preserve"> in that study in the description of the clinical trials data.</w:t>
      </w:r>
    </w:p>
    <w:p w14:paraId="3916F296" w14:textId="11568184" w:rsidR="00C22214" w:rsidRDefault="00C22214" w:rsidP="00C22214">
      <w:pPr>
        <w:pStyle w:val="Heading4"/>
      </w:pPr>
      <w:bookmarkStart w:id="59" w:name="_Toc98931933"/>
      <w:bookmarkStart w:id="60" w:name="_Toc230003593"/>
      <w:r w:rsidRPr="00D23139">
        <w:t>Proposed action</w:t>
      </w:r>
      <w:bookmarkEnd w:id="59"/>
      <w:bookmarkEnd w:id="60"/>
      <w:r w:rsidR="00B03ADC">
        <w:fldChar w:fldCharType="begin"/>
      </w:r>
      <w:r w:rsidR="00B03ADC">
        <w:instrText xml:space="preserve"> DOCVARIABLE vault_nd_95433a66-3264-4ef7-8df1-fe2dc037bf83 \* MERGEFORMAT </w:instrText>
      </w:r>
      <w:r w:rsidR="00B03ADC">
        <w:fldChar w:fldCharType="separate"/>
      </w:r>
      <w:r w:rsidR="00B03ADC">
        <w:t xml:space="preserve"> </w:t>
      </w:r>
      <w:r w:rsidR="00B03ADC">
        <w:fldChar w:fldCharType="end"/>
      </w:r>
    </w:p>
    <w:p w14:paraId="4A03821E" w14:textId="32DFC9C0" w:rsidR="00636067" w:rsidRDefault="00636067" w:rsidP="00636067">
      <w:r w:rsidRPr="00636067">
        <w:t>The Delegate intends to approve the application to register mRNA-1283 for the indication</w:t>
      </w:r>
    </w:p>
    <w:p w14:paraId="58085B78" w14:textId="77777777" w:rsidR="00A62E78" w:rsidRPr="00A62E78" w:rsidRDefault="00A62E78" w:rsidP="00A62E78">
      <w:pPr>
        <w:ind w:left="720"/>
        <w:rPr>
          <w:i/>
          <w:iCs/>
        </w:rPr>
      </w:pPr>
      <w:r w:rsidRPr="00A62E78">
        <w:rPr>
          <w:i/>
          <w:iCs/>
        </w:rPr>
        <w:t>Active immunisation to prevent coronavirus disease 2019 (COVID-19) caused by SARS-CoV-2 in individuals 12 years of age and older.</w:t>
      </w:r>
    </w:p>
    <w:p w14:paraId="729BFC89" w14:textId="53A9FA50" w:rsidR="00636067" w:rsidRDefault="00A62E78" w:rsidP="00A62E78">
      <w:pPr>
        <w:ind w:left="720"/>
      </w:pPr>
      <w:r w:rsidRPr="00A62E78">
        <w:rPr>
          <w:i/>
          <w:iCs/>
        </w:rPr>
        <w:t>The use of this vaccine should be in accordance with official recommendations.</w:t>
      </w:r>
    </w:p>
    <w:p w14:paraId="5450DECC" w14:textId="7182C178" w:rsidR="00636067" w:rsidRPr="00636067" w:rsidRDefault="00636067" w:rsidP="002F3BA8">
      <w:r w:rsidRPr="00636067">
        <w:t xml:space="preserve">The approved specifications for the product will be as set </w:t>
      </w:r>
      <w:r w:rsidRPr="002F3BA8">
        <w:rPr>
          <w:szCs w:val="22"/>
        </w:rPr>
        <w:t xml:space="preserve">out </w:t>
      </w:r>
      <w:r w:rsidR="009A5196">
        <w:rPr>
          <w:szCs w:val="22"/>
        </w:rPr>
        <w:t xml:space="preserve">as </w:t>
      </w:r>
      <w:r w:rsidR="00FF45A4">
        <w:rPr>
          <w:szCs w:val="22"/>
        </w:rPr>
        <w:t>per correspondence with the TGA</w:t>
      </w:r>
      <w:r w:rsidRPr="002F3BA8">
        <w:rPr>
          <w:szCs w:val="22"/>
        </w:rPr>
        <w:t xml:space="preserve"> unless</w:t>
      </w:r>
      <w:r w:rsidRPr="00636067">
        <w:t xml:space="preserve"> confirmation of</w:t>
      </w:r>
      <w:r w:rsidR="00E33E87">
        <w:t xml:space="preserve"> </w:t>
      </w:r>
      <w:r w:rsidRPr="00636067">
        <w:t xml:space="preserve">different specifications for percentage protein expression is received </w:t>
      </w:r>
      <w:r w:rsidRPr="00636067">
        <w:lastRenderedPageBreak/>
        <w:t>from the EMA prior to the</w:t>
      </w:r>
      <w:r w:rsidR="00E33E87">
        <w:t xml:space="preserve"> </w:t>
      </w:r>
      <w:r w:rsidRPr="00636067">
        <w:t>decision date. In this latter case this limit will be approved in accordance with the EMA</w:t>
      </w:r>
      <w:r w:rsidR="00E33E87">
        <w:t xml:space="preserve"> </w:t>
      </w:r>
      <w:r w:rsidRPr="00636067">
        <w:t>standard.</w:t>
      </w:r>
    </w:p>
    <w:p w14:paraId="72517F4D" w14:textId="629B63B2" w:rsidR="00636067" w:rsidRPr="00636067" w:rsidRDefault="00636067" w:rsidP="00636067">
      <w:r w:rsidRPr="00636067">
        <w:t>The approved Product Information will be amended from that provided by the Sponsor in</w:t>
      </w:r>
      <w:r w:rsidR="001E555D">
        <w:t xml:space="preserve"> </w:t>
      </w:r>
      <w:r w:rsidRPr="00636067">
        <w:t>sequence 0008 as set out in the Discussion of this Overview. The Sponsor is invited to provide</w:t>
      </w:r>
      <w:r w:rsidR="001E555D">
        <w:t xml:space="preserve"> </w:t>
      </w:r>
      <w:r w:rsidRPr="00636067">
        <w:t>clean and annotated versions of an appropriately amended product information document to</w:t>
      </w:r>
      <w:r w:rsidR="001E555D">
        <w:t xml:space="preserve"> </w:t>
      </w:r>
      <w:r w:rsidRPr="00636067">
        <w:t>TGA by 10 December 2025 as this will facilitate timely resolution of this application.</w:t>
      </w:r>
    </w:p>
    <w:p w14:paraId="307F236C" w14:textId="184FD2DD" w:rsidR="00C22214" w:rsidRPr="002E238E" w:rsidRDefault="0046285C" w:rsidP="00C22214">
      <w:pPr>
        <w:pStyle w:val="Heading2"/>
      </w:pPr>
      <w:bookmarkStart w:id="61" w:name="_Toc247691532"/>
      <w:bookmarkStart w:id="62" w:name="_Toc314842516"/>
      <w:bookmarkStart w:id="63" w:name="_Toc103679300"/>
      <w:bookmarkStart w:id="64" w:name="_Toc230003594"/>
      <w:r>
        <w:t>Assessment</w:t>
      </w:r>
      <w:r w:rsidR="00190853">
        <w:t xml:space="preserve"> </w:t>
      </w:r>
      <w:r>
        <w:t>o</w:t>
      </w:r>
      <w:r w:rsidR="00C22214">
        <w:t>utcome</w:t>
      </w:r>
      <w:bookmarkEnd w:id="61"/>
      <w:bookmarkEnd w:id="62"/>
      <w:bookmarkEnd w:id="63"/>
      <w:bookmarkEnd w:id="64"/>
      <w:r w:rsidR="00B03ADC">
        <w:fldChar w:fldCharType="begin"/>
      </w:r>
      <w:r w:rsidR="00B03ADC">
        <w:instrText xml:space="preserve"> DOCVARIABLE vault_nd_c479bd66-6e64-46f0-8ed4-094e5f0d1cbc \* MERGEFORMAT </w:instrText>
      </w:r>
      <w:r w:rsidR="00B03ADC">
        <w:fldChar w:fldCharType="separate"/>
      </w:r>
      <w:r w:rsidR="00B03ADC">
        <w:t xml:space="preserve"> </w:t>
      </w:r>
      <w:r w:rsidR="00B03ADC">
        <w:fldChar w:fldCharType="end"/>
      </w:r>
    </w:p>
    <w:p w14:paraId="6A04FEEE" w14:textId="0D45B0EE" w:rsidR="00324B47" w:rsidRPr="00324B47" w:rsidRDefault="00C22214" w:rsidP="00324B47">
      <w:r w:rsidRPr="0017005C">
        <w:t xml:space="preserve">Based on a review of quality, safety, and efficacy, the TGA </w:t>
      </w:r>
      <w:r w:rsidR="00B46DFB">
        <w:t>decided to</w:t>
      </w:r>
      <w:r w:rsidRPr="0017005C">
        <w:t xml:space="preserve"> regist</w:t>
      </w:r>
      <w:r w:rsidR="00B46DFB">
        <w:t>er</w:t>
      </w:r>
      <w:r w:rsidRPr="0017005C">
        <w:t xml:space="preserve"> </w:t>
      </w:r>
      <w:r w:rsidR="00565A56" w:rsidRPr="00565A56">
        <w:t>mNEXSPIKE</w:t>
      </w:r>
      <w:r w:rsidR="00565A56">
        <w:t xml:space="preserve"> </w:t>
      </w:r>
      <w:r w:rsidR="00565A56" w:rsidRPr="00565A56">
        <w:t>XBB.1.5 (</w:t>
      </w:r>
      <w:r w:rsidR="00364560">
        <w:t>SARS</w:t>
      </w:r>
      <w:r w:rsidR="00565A56" w:rsidRPr="00565A56">
        <w:t>-</w:t>
      </w:r>
      <w:r w:rsidR="00364560">
        <w:t>CoV</w:t>
      </w:r>
      <w:r w:rsidR="00565A56" w:rsidRPr="00565A56">
        <w:t>-2 spike protein (m</w:t>
      </w:r>
      <w:r w:rsidR="00364560">
        <w:t>RNA</w:t>
      </w:r>
      <w:r w:rsidR="00565A56" w:rsidRPr="00565A56">
        <w:t xml:space="preserve">) </w:t>
      </w:r>
      <w:r w:rsidR="00A43AC6">
        <w:t>XBB</w:t>
      </w:r>
      <w:r w:rsidR="00565A56" w:rsidRPr="00565A56">
        <w:t xml:space="preserve">.1.5) </w:t>
      </w:r>
      <w:r w:rsidR="0054591D" w:rsidRPr="0054591D">
        <w:t>COVID-19 V</w:t>
      </w:r>
      <w:r w:rsidR="00B73C2D">
        <w:t>accine</w:t>
      </w:r>
      <w:r w:rsidR="0054591D" w:rsidRPr="0054591D">
        <w:t>, 10 micrograms in 0.2 mL, suspension for injection, prefilled</w:t>
      </w:r>
      <w:r w:rsidR="0054591D">
        <w:t xml:space="preserve"> </w:t>
      </w:r>
      <w:r w:rsidR="0054591D" w:rsidRPr="0054591D">
        <w:t>syringe</w:t>
      </w:r>
      <w:r w:rsidR="00870130">
        <w:t xml:space="preserve">. </w:t>
      </w:r>
      <w:r w:rsidR="00324B47" w:rsidRPr="00324B47">
        <w:t>The approved indication for this therapeutic good is:</w:t>
      </w:r>
    </w:p>
    <w:p w14:paraId="4EF22939" w14:textId="4AD3D0AE" w:rsidR="00C22214" w:rsidRPr="004C2B1D" w:rsidRDefault="00324B47" w:rsidP="004C2B1D">
      <w:pPr>
        <w:ind w:left="720"/>
        <w:rPr>
          <w:i/>
          <w:iCs/>
        </w:rPr>
      </w:pPr>
      <w:r w:rsidRPr="004C2B1D">
        <w:rPr>
          <w:i/>
          <w:iCs/>
        </w:rPr>
        <w:t>mNEXSPIKE XBB.1.5 (SARS-CoV-2 spike protein (mRNA) XBB.1.5) COVID-19 Vaccine is indicated for:</w:t>
      </w:r>
    </w:p>
    <w:p w14:paraId="371307A5" w14:textId="49E98A01" w:rsidR="0003231A" w:rsidRPr="004C2B1D" w:rsidRDefault="0003231A" w:rsidP="004C2B1D">
      <w:pPr>
        <w:ind w:left="720"/>
        <w:rPr>
          <w:i/>
          <w:iCs/>
        </w:rPr>
      </w:pPr>
      <w:r w:rsidRPr="004C2B1D">
        <w:rPr>
          <w:i/>
          <w:iCs/>
        </w:rPr>
        <w:t>Active immunisation to prevent coronavirus disease 2019 (COVID-19) caused by</w:t>
      </w:r>
    </w:p>
    <w:p w14:paraId="40646A03" w14:textId="77777777" w:rsidR="007413F2" w:rsidRPr="004C2B1D" w:rsidRDefault="0003231A" w:rsidP="004C2B1D">
      <w:pPr>
        <w:ind w:left="720"/>
        <w:rPr>
          <w:i/>
          <w:iCs/>
        </w:rPr>
      </w:pPr>
      <w:r w:rsidRPr="004C2B1D">
        <w:rPr>
          <w:i/>
          <w:iCs/>
        </w:rPr>
        <w:t>SARS-CoV-2 in individuals 12 years of age and older.</w:t>
      </w:r>
      <w:r w:rsidR="007413F2" w:rsidRPr="004C2B1D">
        <w:rPr>
          <w:i/>
          <w:iCs/>
        </w:rPr>
        <w:t xml:space="preserve"> </w:t>
      </w:r>
    </w:p>
    <w:p w14:paraId="3B245AB5" w14:textId="6743DD03" w:rsidR="00C22214" w:rsidRPr="00360026" w:rsidRDefault="0003231A" w:rsidP="004C2B1D">
      <w:pPr>
        <w:ind w:left="720"/>
      </w:pPr>
      <w:r w:rsidRPr="004C2B1D">
        <w:rPr>
          <w:i/>
          <w:iCs/>
        </w:rPr>
        <w:t>The use of this vaccine should be in accordance with official recommendations.</w:t>
      </w:r>
    </w:p>
    <w:p w14:paraId="0D732DA4" w14:textId="02818643" w:rsidR="00854D98" w:rsidRPr="00D23139" w:rsidRDefault="00854D98" w:rsidP="001122C9">
      <w:pPr>
        <w:pStyle w:val="Heading3"/>
      </w:pPr>
      <w:bookmarkStart w:id="65" w:name="_Toc103679301"/>
      <w:bookmarkStart w:id="66" w:name="_Toc230003595"/>
      <w:r w:rsidRPr="00D23139">
        <w:t>Specific conditions of registration</w:t>
      </w:r>
      <w:bookmarkEnd w:id="65"/>
      <w:bookmarkEnd w:id="66"/>
      <w:r w:rsidR="00B03ADC">
        <w:fldChar w:fldCharType="begin"/>
      </w:r>
      <w:r w:rsidR="00B03ADC">
        <w:instrText xml:space="preserve"> DOCVARIABLE vault_nd_55f5da1e-bf6f-4b68-b611-a13ca18e18f3 \* MERGEFORMAT </w:instrText>
      </w:r>
      <w:r w:rsidR="00B03ADC">
        <w:fldChar w:fldCharType="separate"/>
      </w:r>
      <w:r w:rsidR="00B03ADC">
        <w:t xml:space="preserve"> </w:t>
      </w:r>
      <w:r w:rsidR="00B03ADC">
        <w:fldChar w:fldCharType="end"/>
      </w:r>
    </w:p>
    <w:p w14:paraId="49187C63" w14:textId="0094D6A4" w:rsidR="00AA6215" w:rsidRDefault="00AA6215" w:rsidP="00534507">
      <w:pPr>
        <w:pStyle w:val="ListBullet"/>
      </w:pPr>
      <w:r>
        <w:t>m</w:t>
      </w:r>
      <w:r w:rsidR="00B25018">
        <w:t>NEXSPIKE</w:t>
      </w:r>
      <w:r>
        <w:t xml:space="preserve"> (SARS-CoV-2 spike </w:t>
      </w:r>
      <w:r w:rsidR="00B25018">
        <w:t>protein</w:t>
      </w:r>
      <w:r>
        <w:t xml:space="preserve"> </w:t>
      </w:r>
      <w:r w:rsidR="00B25018">
        <w:t>(</w:t>
      </w:r>
      <w:r>
        <w:t xml:space="preserve">mRNA) </w:t>
      </w:r>
      <w:r w:rsidR="00B25018">
        <w:t>XBB.1.5</w:t>
      </w:r>
      <w:r>
        <w:t>) is to be included in the Black</w:t>
      </w:r>
      <w:r w:rsidR="00616695">
        <w:t xml:space="preserve"> </w:t>
      </w:r>
      <w:r>
        <w:t>Triangle Scheme. The PI and CMI for m</w:t>
      </w:r>
      <w:r w:rsidR="00B25018">
        <w:t>NEXSPIKE</w:t>
      </w:r>
      <w:r>
        <w:t xml:space="preserve"> must include the black triangle</w:t>
      </w:r>
      <w:r w:rsidR="00616695">
        <w:t xml:space="preserve"> </w:t>
      </w:r>
      <w:r>
        <w:t>symbol and mandatory accompanying text for five years, which starts from the date</w:t>
      </w:r>
      <w:r w:rsidR="00616695">
        <w:t xml:space="preserve"> </w:t>
      </w:r>
      <w:r>
        <w:t>of first supply of the product.</w:t>
      </w:r>
    </w:p>
    <w:p w14:paraId="6B476C77" w14:textId="23489FC4" w:rsidR="00AA6215" w:rsidRDefault="00AA6215" w:rsidP="008F63DA">
      <w:pPr>
        <w:pStyle w:val="ListBullet"/>
      </w:pPr>
      <w:r>
        <w:t>The mN</w:t>
      </w:r>
      <w:r w:rsidR="00B25018">
        <w:t>EXSPIKE</w:t>
      </w:r>
      <w:r>
        <w:t xml:space="preserve"> EU-Risk Management Plan (RMP) version 0.1 </w:t>
      </w:r>
      <w:r w:rsidR="00D73659">
        <w:t>(</w:t>
      </w:r>
      <w:r>
        <w:t>date 8 November</w:t>
      </w:r>
      <w:r w:rsidR="00D73659">
        <w:t xml:space="preserve"> </w:t>
      </w:r>
      <w:r>
        <w:t>2024, DLP 2 May 2024) with Australia-Specific Annex (ASA) version 1.0</w:t>
      </w:r>
      <w:r w:rsidR="00D73659">
        <w:t xml:space="preserve"> (</w:t>
      </w:r>
      <w:r>
        <w:t>dated 26</w:t>
      </w:r>
      <w:r w:rsidR="00D73659">
        <w:t xml:space="preserve"> </w:t>
      </w:r>
      <w:r>
        <w:t>November 2024), included with submission PM-2024-05463-1-2, and any</w:t>
      </w:r>
      <w:r w:rsidR="00D73659">
        <w:t xml:space="preserve"> </w:t>
      </w:r>
      <w:r>
        <w:t>subsequent revisions, as agreed with the TGA will be implemented in Australia.</w:t>
      </w:r>
    </w:p>
    <w:p w14:paraId="447F3533" w14:textId="1F1E1E5C" w:rsidR="00AA6215" w:rsidRDefault="00AA6215" w:rsidP="00594340">
      <w:pPr>
        <w:pStyle w:val="ListBullet"/>
      </w:pPr>
      <w:r>
        <w:t>An obligatory component of risk management plans is routine pharmacovigilance.</w:t>
      </w:r>
      <w:r w:rsidR="009A643C">
        <w:t xml:space="preserve"> </w:t>
      </w:r>
      <w:r>
        <w:t>Routine pharmacovigilance includes the submission of periodic safety update</w:t>
      </w:r>
      <w:r w:rsidR="009A643C">
        <w:t xml:space="preserve"> </w:t>
      </w:r>
      <w:r>
        <w:t>reports (PSURs).</w:t>
      </w:r>
    </w:p>
    <w:p w14:paraId="14C93E4A" w14:textId="6BC911AB" w:rsidR="00AA6215" w:rsidRDefault="00AA6215" w:rsidP="004874CE">
      <w:pPr>
        <w:pStyle w:val="ListBullet"/>
        <w:numPr>
          <w:ilvl w:val="0"/>
          <w:numId w:val="0"/>
        </w:numPr>
        <w:ind w:left="360"/>
      </w:pPr>
      <w:r>
        <w:t>Unless agreed separately between the supplier who is the recipient of the approval</w:t>
      </w:r>
      <w:r w:rsidR="000A4E79">
        <w:t xml:space="preserve"> </w:t>
      </w:r>
      <w:r>
        <w:t>and the TGA, the first report must be submitted to TGA no later than 15 calendar</w:t>
      </w:r>
      <w:r w:rsidR="000A4E79">
        <w:t xml:space="preserve"> </w:t>
      </w:r>
      <w:r>
        <w:t xml:space="preserve">months after the date of </w:t>
      </w:r>
      <w:r w:rsidR="00A311E3">
        <w:t xml:space="preserve">the </w:t>
      </w:r>
      <w:r>
        <w:t>approval letter. The subsequent reports must be</w:t>
      </w:r>
      <w:r w:rsidR="000A4E79">
        <w:t xml:space="preserve"> </w:t>
      </w:r>
      <w:r>
        <w:t>submitted no less frequently than annually from the date of the first submitted</w:t>
      </w:r>
      <w:r w:rsidR="000A4E79">
        <w:t xml:space="preserve"> </w:t>
      </w:r>
      <w:r>
        <w:t>report until the period covered by such reports is not less than three years from the</w:t>
      </w:r>
      <w:r w:rsidR="000A4E79">
        <w:t xml:space="preserve"> </w:t>
      </w:r>
      <w:r>
        <w:t xml:space="preserve">date of </w:t>
      </w:r>
      <w:r w:rsidR="00A311E3">
        <w:t xml:space="preserve">the </w:t>
      </w:r>
      <w:r>
        <w:t>approval letter. The annual submission may be made up of two PSURs</w:t>
      </w:r>
      <w:r w:rsidR="004874CE">
        <w:t xml:space="preserve"> </w:t>
      </w:r>
      <w:r>
        <w:t xml:space="preserve">each covering six months. If the sponsor wishes, the </w:t>
      </w:r>
      <w:r w:rsidR="004874CE">
        <w:t>six-monthly</w:t>
      </w:r>
      <w:r>
        <w:t xml:space="preserve"> reports may be</w:t>
      </w:r>
      <w:r w:rsidR="004874CE">
        <w:t xml:space="preserve"> </w:t>
      </w:r>
      <w:r>
        <w:t>submitted separately as they become available.</w:t>
      </w:r>
    </w:p>
    <w:p w14:paraId="2BB93B3E" w14:textId="6A1EB432" w:rsidR="00AA6215" w:rsidRDefault="00AA6215" w:rsidP="00407FCB">
      <w:pPr>
        <w:pStyle w:val="ListBullet"/>
        <w:numPr>
          <w:ilvl w:val="0"/>
          <w:numId w:val="0"/>
        </w:numPr>
        <w:ind w:left="360"/>
      </w:pPr>
      <w:r>
        <w:t>If the product is approved in the EU during the three years period, reports can be</w:t>
      </w:r>
      <w:r w:rsidR="00407FCB">
        <w:t xml:space="preserve"> </w:t>
      </w:r>
      <w:r>
        <w:t>provided in line with the published list of EU reference dates no less frequently than</w:t>
      </w:r>
      <w:r w:rsidR="00407FCB">
        <w:t xml:space="preserve"> </w:t>
      </w:r>
      <w:r>
        <w:t>annually from the date of the first submitted report until the period covered by such</w:t>
      </w:r>
      <w:r w:rsidR="00407FCB">
        <w:t xml:space="preserve"> </w:t>
      </w:r>
      <w:r>
        <w:t>reports is not less than three years from the date of this approval letter.</w:t>
      </w:r>
    </w:p>
    <w:p w14:paraId="14661ECE" w14:textId="5B9FF64D" w:rsidR="00AA6215" w:rsidRDefault="00AA6215" w:rsidP="00407FCB">
      <w:pPr>
        <w:pStyle w:val="ListBullet"/>
        <w:numPr>
          <w:ilvl w:val="0"/>
          <w:numId w:val="0"/>
        </w:numPr>
        <w:ind w:left="360"/>
      </w:pPr>
      <w:r>
        <w:t>The reports are to at least meet the requirements for PSURs as described in the</w:t>
      </w:r>
      <w:r w:rsidR="00407FCB">
        <w:t xml:space="preserve"> </w:t>
      </w:r>
      <w:r>
        <w:t>European Medicines Agency’s Guideline on good pharmacovigilance practices (GVP)</w:t>
      </w:r>
      <w:r w:rsidR="00407FCB">
        <w:t xml:space="preserve"> </w:t>
      </w:r>
      <w:r>
        <w:t>Module VII-periodic safety update report (Rev 1), Part VII.B Structures and</w:t>
      </w:r>
      <w:r w:rsidR="00407FCB">
        <w:t xml:space="preserve"> </w:t>
      </w:r>
      <w:r>
        <w:t xml:space="preserve">processes. Note that </w:t>
      </w:r>
      <w:r>
        <w:lastRenderedPageBreak/>
        <w:t>submission of a PSUR does not constitute an application to vary</w:t>
      </w:r>
      <w:r w:rsidR="00407FCB">
        <w:t xml:space="preserve"> </w:t>
      </w:r>
      <w:r>
        <w:t>the registration. Each report must be submitted within ninety calendar days of the</w:t>
      </w:r>
      <w:r w:rsidR="00407FCB">
        <w:t xml:space="preserve"> </w:t>
      </w:r>
      <w:r>
        <w:t>data lock point for that report.</w:t>
      </w:r>
    </w:p>
    <w:p w14:paraId="2CB876D1" w14:textId="61515C38" w:rsidR="00AA6215" w:rsidRPr="00B93151" w:rsidRDefault="00AA6215" w:rsidP="00407FCB">
      <w:pPr>
        <w:pStyle w:val="ListBullet"/>
        <w:rPr>
          <w:b/>
          <w:bCs/>
        </w:rPr>
      </w:pPr>
      <w:r w:rsidRPr="00B93151">
        <w:rPr>
          <w:b/>
          <w:bCs/>
        </w:rPr>
        <w:t>Quality</w:t>
      </w:r>
    </w:p>
    <w:p w14:paraId="0F8BA4D8" w14:textId="74FCF00F" w:rsidR="00AA6215" w:rsidRDefault="00AA6215" w:rsidP="00476572">
      <w:pPr>
        <w:pStyle w:val="ListBullet2"/>
      </w:pPr>
      <w:r w:rsidRPr="00B93151">
        <w:rPr>
          <w:b/>
          <w:bCs/>
        </w:rPr>
        <w:t>GMP clearance for listed manufacturers:</w:t>
      </w:r>
      <w:r>
        <w:t xml:space="preserve"> </w:t>
      </w:r>
      <w:r w:rsidRPr="00D53834">
        <w:t>All relevant manufacturing sites</w:t>
      </w:r>
      <w:r w:rsidR="00407FCB" w:rsidRPr="00D53834">
        <w:t xml:space="preserve"> </w:t>
      </w:r>
      <w:r>
        <w:t>require approved and current GMP Clearances prior to Australian supply. A</w:t>
      </w:r>
      <w:r w:rsidR="00407FCB">
        <w:t xml:space="preserve"> </w:t>
      </w:r>
      <w:r>
        <w:t>commitment is required from the Sponsor that they maintain the validity of all</w:t>
      </w:r>
      <w:r w:rsidR="00407FCB">
        <w:t xml:space="preserve"> </w:t>
      </w:r>
      <w:r>
        <w:t>manufacturer GMP Clearances for the duration of product supply to Australia.</w:t>
      </w:r>
      <w:r w:rsidR="00BE6EF1">
        <w:t xml:space="preserve"> </w:t>
      </w:r>
      <w:r>
        <w:t>Additionally, that adherence to the conditions of GMP Clearance approval is</w:t>
      </w:r>
      <w:r w:rsidR="00BE6EF1">
        <w:t xml:space="preserve"> </w:t>
      </w:r>
      <w:r>
        <w:t>upheld.</w:t>
      </w:r>
    </w:p>
    <w:p w14:paraId="7E642B68" w14:textId="041525D2" w:rsidR="00AA6215" w:rsidRDefault="00AA6215" w:rsidP="00AA76B0">
      <w:pPr>
        <w:pStyle w:val="ListBullet2"/>
      </w:pPr>
      <w:r w:rsidRPr="00B93151">
        <w:rPr>
          <w:b/>
          <w:bCs/>
        </w:rPr>
        <w:t>Post-approval stability protocol and stability commitment:</w:t>
      </w:r>
      <w:r>
        <w:t xml:space="preserve"> </w:t>
      </w:r>
      <w:r w:rsidRPr="001C31F8">
        <w:rPr>
          <w:rFonts w:ascii="CIDFont+F1" w:hAnsi="CIDFont+F1" w:cs="CIDFont+F1"/>
        </w:rPr>
        <w:t>The</w:t>
      </w:r>
      <w:r w:rsidR="007101DB" w:rsidRPr="001C31F8">
        <w:rPr>
          <w:rFonts w:ascii="CIDFont+F1" w:hAnsi="CIDFont+F1" w:cs="CIDFont+F1"/>
        </w:rPr>
        <w:t xml:space="preserve"> </w:t>
      </w:r>
      <w:r>
        <w:t>manufacturer has provided commitment to continue the ongoing stability</w:t>
      </w:r>
      <w:r w:rsidR="007101DB">
        <w:t xml:space="preserve"> </w:t>
      </w:r>
      <w:r>
        <w:t>studies presented in the stability studies protocol. Additionally, one (1) batch</w:t>
      </w:r>
      <w:r w:rsidR="007101DB">
        <w:t xml:space="preserve"> </w:t>
      </w:r>
      <w:r>
        <w:t>of DP per year for all relevant products will be placed on long-term stability</w:t>
      </w:r>
      <w:r w:rsidR="007101DB">
        <w:t xml:space="preserve"> </w:t>
      </w:r>
      <w:r>
        <w:t>program and on accelerated stability testing where significant changes are</w:t>
      </w:r>
      <w:r w:rsidR="007101DB">
        <w:t xml:space="preserve"> </w:t>
      </w:r>
      <w:r>
        <w:t>made to the manufacturing process. The manufacturer has committed to</w:t>
      </w:r>
      <w:r w:rsidR="001C31F8">
        <w:t xml:space="preserve"> </w:t>
      </w:r>
      <w:r>
        <w:t>communicate any out of specifications stability test results to the TGA.</w:t>
      </w:r>
    </w:p>
    <w:p w14:paraId="63E22147" w14:textId="18ACFBB1" w:rsidR="00AA6215" w:rsidRPr="00B93151" w:rsidRDefault="00AA6215" w:rsidP="00AA6215">
      <w:pPr>
        <w:pStyle w:val="ListBullet"/>
        <w:rPr>
          <w:b/>
          <w:bCs/>
        </w:rPr>
      </w:pPr>
      <w:r w:rsidRPr="00B93151">
        <w:rPr>
          <w:b/>
          <w:bCs/>
        </w:rPr>
        <w:t>Batch Release Testing and Compliance with Certified Product Details</w:t>
      </w:r>
    </w:p>
    <w:p w14:paraId="75237B3A" w14:textId="77777777" w:rsidR="00AA6215" w:rsidRDefault="00AA6215" w:rsidP="001C31F8">
      <w:pPr>
        <w:pStyle w:val="ListBullet"/>
        <w:numPr>
          <w:ilvl w:val="0"/>
          <w:numId w:val="0"/>
        </w:numPr>
        <w:ind w:left="360"/>
      </w:pPr>
      <w:r>
        <w:t>It is a condition of registration that all independent batches of:</w:t>
      </w:r>
    </w:p>
    <w:p w14:paraId="21A001FF" w14:textId="77777777" w:rsidR="0045769E" w:rsidRDefault="00AA6215" w:rsidP="00A97340">
      <w:pPr>
        <w:pStyle w:val="ListBullet2"/>
      </w:pPr>
      <w:r>
        <w:t>mNEXSPIKE XBB.1.5 (SARS-CoV-2 spike protein (mRNA) XBB.1.5) COVID-19 VACCINE, 10 micrograms in 0.2 mL, suspension for injection, pre-filled</w:t>
      </w:r>
      <w:r w:rsidR="001C31F8">
        <w:t xml:space="preserve"> </w:t>
      </w:r>
      <w:r>
        <w:t>syringe [AUST R 471090]</w:t>
      </w:r>
      <w:r w:rsidR="001C31F8">
        <w:t xml:space="preserve"> </w:t>
      </w:r>
    </w:p>
    <w:p w14:paraId="1B9EDF23" w14:textId="6508E758" w:rsidR="00AA6215" w:rsidRDefault="00AA6215" w:rsidP="0045769E">
      <w:pPr>
        <w:pStyle w:val="ListBullet"/>
        <w:numPr>
          <w:ilvl w:val="0"/>
          <w:numId w:val="0"/>
        </w:numPr>
        <w:ind w:left="360"/>
      </w:pPr>
      <w:r>
        <w:t>imported into Australia are not released for sale until samples and the</w:t>
      </w:r>
      <w:r w:rsidR="001C31F8">
        <w:t xml:space="preserve"> </w:t>
      </w:r>
      <w:r>
        <w:t>manufacturer’s release data have been assessed and you have received notification</w:t>
      </w:r>
      <w:r w:rsidR="001C31F8">
        <w:t xml:space="preserve"> </w:t>
      </w:r>
      <w:r>
        <w:t>acknowledging release from the Laboratories Branch, Therapeutic Goods</w:t>
      </w:r>
      <w:r w:rsidR="001C31F8">
        <w:t xml:space="preserve"> </w:t>
      </w:r>
      <w:r>
        <w:t>Administration.</w:t>
      </w:r>
    </w:p>
    <w:p w14:paraId="751633C8" w14:textId="1A419E69" w:rsidR="00AA6215" w:rsidRDefault="00AA6215" w:rsidP="0045769E">
      <w:pPr>
        <w:pStyle w:val="ListBullet"/>
        <w:numPr>
          <w:ilvl w:val="0"/>
          <w:numId w:val="0"/>
        </w:numPr>
        <w:ind w:left="360"/>
      </w:pPr>
      <w:r>
        <w:t>For each independent batch of the product imported into Australia, the Sponsor</w:t>
      </w:r>
      <w:r w:rsidR="0045769E">
        <w:t xml:space="preserve"> </w:t>
      </w:r>
      <w:r>
        <w:t>must supply the following:</w:t>
      </w:r>
    </w:p>
    <w:p w14:paraId="4D673CFB" w14:textId="77777777" w:rsidR="005B0BB7" w:rsidRPr="005B0BB7" w:rsidRDefault="00AA6215" w:rsidP="005B0BB7">
      <w:pPr>
        <w:pStyle w:val="ListBullet2"/>
        <w:rPr>
          <w:color w:val="000000"/>
        </w:rPr>
      </w:pPr>
      <w:r>
        <w:t>A completed Request for Release Form, available from</w:t>
      </w:r>
      <w:r w:rsidR="005B0BB7">
        <w:t xml:space="preserve"> </w:t>
      </w:r>
      <w:hyperlink r:id="rId39" w:history="1">
        <w:r w:rsidR="005B0BB7" w:rsidRPr="00B35B5A">
          <w:rPr>
            <w:rStyle w:val="Hyperlink"/>
          </w:rPr>
          <w:t>vaccines@health.gov.au</w:t>
        </w:r>
      </w:hyperlink>
    </w:p>
    <w:p w14:paraId="662E9935" w14:textId="6E0907CB" w:rsidR="005B0BB7" w:rsidRDefault="00AA6215" w:rsidP="00C96EFD">
      <w:pPr>
        <w:pStyle w:val="ListBullet2"/>
      </w:pPr>
      <w:r>
        <w:t>Complete summary protocols for manufacture and QC, including all steps in</w:t>
      </w:r>
      <w:r w:rsidR="005B0BB7">
        <w:t xml:space="preserve"> </w:t>
      </w:r>
      <w:r>
        <w:t>production in the agreed format.</w:t>
      </w:r>
      <w:r w:rsidR="005B0BB7">
        <w:t xml:space="preserve"> </w:t>
      </w:r>
    </w:p>
    <w:p w14:paraId="169BF434" w14:textId="6B91E807" w:rsidR="00AA6215" w:rsidRDefault="00AA6215" w:rsidP="00086DB3">
      <w:pPr>
        <w:pStyle w:val="ListBullet2"/>
      </w:pPr>
      <w:r>
        <w:t>At least thirty (30) prefilled syringes (PFS; Samples) of each manufacturing</w:t>
      </w:r>
      <w:r w:rsidR="005B0BB7">
        <w:t xml:space="preserve"> </w:t>
      </w:r>
      <w:r>
        <w:t>batch of the above listed vaccine with the Australian approved labels, PI,</w:t>
      </w:r>
      <w:r w:rsidR="005B0BB7">
        <w:t xml:space="preserve"> </w:t>
      </w:r>
      <w:r>
        <w:t>and packaging (unless an exemption to supply these has been granted)</w:t>
      </w:r>
      <w:r w:rsidR="009939B1">
        <w:t xml:space="preserve"> </w:t>
      </w:r>
      <w:r>
        <w:t>representative of all batches of product seeking distribution in Australia.</w:t>
      </w:r>
    </w:p>
    <w:p w14:paraId="160DCEA9" w14:textId="77777777" w:rsidR="009939B1" w:rsidRDefault="00AA6215" w:rsidP="009939B1">
      <w:pPr>
        <w:pStyle w:val="ListBullet2"/>
      </w:pPr>
      <w:r>
        <w:t>At least ten (10) PFS (Samples) of any further consignments of a</w:t>
      </w:r>
      <w:r w:rsidR="009939B1">
        <w:t xml:space="preserve"> </w:t>
      </w:r>
      <w:r>
        <w:t>manufacturing batch of the above listed vaccine with the Australian</w:t>
      </w:r>
      <w:r w:rsidR="009939B1">
        <w:t xml:space="preserve"> </w:t>
      </w:r>
      <w:r>
        <w:t>approved labels, PI and packaging (unless an exemption to supply these</w:t>
      </w:r>
      <w:r w:rsidR="009939B1">
        <w:t xml:space="preserve"> </w:t>
      </w:r>
      <w:r>
        <w:t>has been granted). Further consignments cover batches previously</w:t>
      </w:r>
      <w:r w:rsidR="009939B1">
        <w:t xml:space="preserve"> </w:t>
      </w:r>
      <w:r>
        <w:t>supplied to TGA for the purposes of batch release testing but are seeking to</w:t>
      </w:r>
      <w:r w:rsidR="009939B1">
        <w:t xml:space="preserve"> </w:t>
      </w:r>
      <w:r>
        <w:t>be supplied again.</w:t>
      </w:r>
    </w:p>
    <w:p w14:paraId="39DEF777" w14:textId="77777777" w:rsidR="00A35695" w:rsidRDefault="00AA6215" w:rsidP="00A35695">
      <w:pPr>
        <w:pStyle w:val="ListBullet2"/>
      </w:pPr>
      <w:r>
        <w:t>If the manufacturing batch has been released in Europe or United Kingdom</w:t>
      </w:r>
      <w:r w:rsidR="009939B1">
        <w:t xml:space="preserve"> </w:t>
      </w:r>
      <w:r>
        <w:t>a copy of the EU Official Control Authority Batch Release (OCABR)</w:t>
      </w:r>
      <w:r w:rsidR="00A35695">
        <w:t xml:space="preserve"> </w:t>
      </w:r>
      <w:r>
        <w:t>certificate (or equivalent from the UK) must be provided.</w:t>
      </w:r>
    </w:p>
    <w:p w14:paraId="7273E6FB" w14:textId="6190AA3D" w:rsidR="00AA6215" w:rsidRDefault="00AA6215" w:rsidP="005F0EA0">
      <w:pPr>
        <w:pStyle w:val="ListBullet2"/>
      </w:pPr>
      <w:r>
        <w:t>Any reagents, reference material and standards required to undertake</w:t>
      </w:r>
      <w:r w:rsidR="00A35695">
        <w:t xml:space="preserve"> </w:t>
      </w:r>
      <w:r>
        <w:t>testing, as requested by Laboratories Branch, TGA.</w:t>
      </w:r>
    </w:p>
    <w:p w14:paraId="1C4C634B" w14:textId="31085598" w:rsidR="00AA6215" w:rsidRDefault="00AA6215" w:rsidP="00BC3917">
      <w:pPr>
        <w:pStyle w:val="ListBullet"/>
        <w:numPr>
          <w:ilvl w:val="0"/>
          <w:numId w:val="0"/>
        </w:numPr>
        <w:ind w:left="360"/>
      </w:pPr>
      <w:r>
        <w:t>Sponsors must provide all requested Samples and data in sufficient time (at least 5</w:t>
      </w:r>
      <w:r w:rsidR="00BC3917">
        <w:t xml:space="preserve"> </w:t>
      </w:r>
      <w:r>
        <w:t>business days) prior to any distribution date to allow the TGA to perform testing</w:t>
      </w:r>
      <w:r w:rsidR="00BC3917">
        <w:t xml:space="preserve"> </w:t>
      </w:r>
      <w:r>
        <w:t>and review. Distribution of each batch of vaccine is conditional upon fulfilment of</w:t>
      </w:r>
      <w:r w:rsidR="00BC3917">
        <w:t xml:space="preserve"> </w:t>
      </w:r>
      <w:r>
        <w:t>these conditions and receipt of a letter from the Laboratories Branch</w:t>
      </w:r>
      <w:r w:rsidR="00BC3917">
        <w:t xml:space="preserve"> </w:t>
      </w:r>
      <w:r>
        <w:t>acknowledging release.</w:t>
      </w:r>
    </w:p>
    <w:p w14:paraId="136ED585" w14:textId="3892A3B7" w:rsidR="00AA6215" w:rsidRDefault="00BC3917" w:rsidP="00BC3917">
      <w:pPr>
        <w:pStyle w:val="ListBullet"/>
        <w:numPr>
          <w:ilvl w:val="0"/>
          <w:numId w:val="0"/>
        </w:numPr>
        <w:ind w:left="360"/>
      </w:pPr>
      <w:r>
        <w:lastRenderedPageBreak/>
        <w:t>S</w:t>
      </w:r>
      <w:r w:rsidR="00AA6215">
        <w:t>amples and data should be forwarded to the Biotherapeutics Section,</w:t>
      </w:r>
      <w:r>
        <w:t xml:space="preserve"> </w:t>
      </w:r>
      <w:r w:rsidR="00AA6215">
        <w:t>Laboratories Branch before release of each batch and with sufficient lead time to</w:t>
      </w:r>
      <w:r>
        <w:t xml:space="preserve"> </w:t>
      </w:r>
      <w:r w:rsidR="00AA6215">
        <w:t>allow for Laboratories Branch testing. The address for courier delivery is:</w:t>
      </w:r>
    </w:p>
    <w:p w14:paraId="1E021D05" w14:textId="77777777" w:rsidR="00AA6215" w:rsidRPr="006E67B5" w:rsidRDefault="00AA6215" w:rsidP="006E67B5">
      <w:pPr>
        <w:pStyle w:val="ListBullet"/>
        <w:numPr>
          <w:ilvl w:val="0"/>
          <w:numId w:val="0"/>
        </w:numPr>
        <w:spacing w:before="0" w:after="0"/>
        <w:ind w:left="720"/>
        <w:rPr>
          <w:b/>
          <w:bCs/>
        </w:rPr>
      </w:pPr>
      <w:r w:rsidRPr="006E67B5">
        <w:rPr>
          <w:b/>
          <w:bCs/>
        </w:rPr>
        <w:t>ATTN: Batch Release Coordinator</w:t>
      </w:r>
    </w:p>
    <w:p w14:paraId="52200A27" w14:textId="77777777" w:rsidR="00AA6215" w:rsidRDefault="00AA6215" w:rsidP="006E67B5">
      <w:pPr>
        <w:pStyle w:val="ListBullet"/>
        <w:numPr>
          <w:ilvl w:val="0"/>
          <w:numId w:val="0"/>
        </w:numPr>
        <w:spacing w:before="0" w:after="0"/>
        <w:ind w:left="720"/>
      </w:pPr>
      <w:r>
        <w:t>Batch Release Unit</w:t>
      </w:r>
    </w:p>
    <w:p w14:paraId="323262FE" w14:textId="77777777" w:rsidR="00AA6215" w:rsidRDefault="00AA6215" w:rsidP="006E67B5">
      <w:pPr>
        <w:pStyle w:val="ListBullet"/>
        <w:numPr>
          <w:ilvl w:val="0"/>
          <w:numId w:val="0"/>
        </w:numPr>
        <w:spacing w:before="0" w:after="0"/>
        <w:ind w:left="720"/>
      </w:pPr>
      <w:r>
        <w:t>TGA Laboratories Branch</w:t>
      </w:r>
    </w:p>
    <w:p w14:paraId="520C8888" w14:textId="77777777" w:rsidR="00AA6215" w:rsidRDefault="00AA6215" w:rsidP="006E67B5">
      <w:pPr>
        <w:pStyle w:val="ListBullet"/>
        <w:numPr>
          <w:ilvl w:val="0"/>
          <w:numId w:val="0"/>
        </w:numPr>
        <w:spacing w:before="0" w:after="0"/>
        <w:ind w:left="720"/>
      </w:pPr>
      <w:r>
        <w:t>1 Tindal Lane</w:t>
      </w:r>
    </w:p>
    <w:p w14:paraId="45DEB694" w14:textId="77777777" w:rsidR="00AA6215" w:rsidRDefault="00AA6215" w:rsidP="006E67B5">
      <w:pPr>
        <w:pStyle w:val="ListBullet"/>
        <w:numPr>
          <w:ilvl w:val="0"/>
          <w:numId w:val="0"/>
        </w:numPr>
        <w:spacing w:before="0" w:after="0"/>
        <w:ind w:left="720"/>
      </w:pPr>
      <w:r>
        <w:t>Canberra Airport</w:t>
      </w:r>
    </w:p>
    <w:p w14:paraId="0C0F1832" w14:textId="77777777" w:rsidR="00AA6215" w:rsidRDefault="00AA6215" w:rsidP="006E67B5">
      <w:pPr>
        <w:pStyle w:val="ListBullet"/>
        <w:numPr>
          <w:ilvl w:val="0"/>
          <w:numId w:val="0"/>
        </w:numPr>
        <w:spacing w:before="0" w:after="0"/>
        <w:ind w:left="720"/>
      </w:pPr>
      <w:r>
        <w:t>ACT 2609</w:t>
      </w:r>
    </w:p>
    <w:p w14:paraId="5C3EFB55" w14:textId="6C49971E" w:rsidR="00AA6215" w:rsidRDefault="00AA6215" w:rsidP="006E67B5">
      <w:pPr>
        <w:pStyle w:val="ListBullet"/>
        <w:numPr>
          <w:ilvl w:val="0"/>
          <w:numId w:val="0"/>
        </w:numPr>
        <w:ind w:left="360"/>
      </w:pPr>
      <w:r>
        <w:t>The shipments (including reagents) to TGA are the responsibility of the Australian</w:t>
      </w:r>
      <w:r w:rsidR="006E67B5">
        <w:t xml:space="preserve"> </w:t>
      </w:r>
      <w:r>
        <w:t>Sponsor/Agent who will be required to facilitate the import and customs clearance</w:t>
      </w:r>
      <w:r w:rsidR="006E67B5">
        <w:t xml:space="preserve"> </w:t>
      </w:r>
      <w:r>
        <w:t>process.</w:t>
      </w:r>
    </w:p>
    <w:p w14:paraId="773CC843" w14:textId="39E769F2" w:rsidR="00AA6215" w:rsidRPr="006E67B5" w:rsidRDefault="00AA6215" w:rsidP="00AA6215">
      <w:pPr>
        <w:pStyle w:val="ListBullet"/>
        <w:rPr>
          <w:b/>
          <w:bCs/>
        </w:rPr>
      </w:pPr>
      <w:r w:rsidRPr="006E67B5">
        <w:rPr>
          <w:b/>
          <w:bCs/>
        </w:rPr>
        <w:t>Certified Product Details</w:t>
      </w:r>
    </w:p>
    <w:p w14:paraId="7999021F" w14:textId="6F704210" w:rsidR="00AA6215" w:rsidRDefault="00AA6215" w:rsidP="00236383">
      <w:pPr>
        <w:pStyle w:val="ListBullet"/>
        <w:numPr>
          <w:ilvl w:val="0"/>
          <w:numId w:val="0"/>
        </w:numPr>
        <w:ind w:left="360"/>
      </w:pPr>
      <w:r>
        <w:t>An electronic copy of the Certified Product Details (CPD) as described in Guidance</w:t>
      </w:r>
      <w:r w:rsidR="006E67B5">
        <w:t xml:space="preserve"> </w:t>
      </w:r>
      <w:r>
        <w:t>7: Certified Product Details of the Australian Regulatory Guidelines for Prescription</w:t>
      </w:r>
      <w:r w:rsidR="006E67B5">
        <w:t xml:space="preserve"> </w:t>
      </w:r>
      <w:r>
        <w:rPr>
          <w:color w:val="000000"/>
        </w:rPr>
        <w:t xml:space="preserve">Medicines (ARGPM) </w:t>
      </w:r>
      <w:hyperlink r:id="rId40" w:history="1">
        <w:r w:rsidR="006E67B5" w:rsidRPr="00B35B5A">
          <w:rPr>
            <w:rStyle w:val="Hyperlink"/>
          </w:rPr>
          <w:t>https://www.tga.gov.au/guidance-7-certified-product-details</w:t>
        </w:r>
      </w:hyperlink>
      <w:r w:rsidR="006E67B5">
        <w:t xml:space="preserve"> </w:t>
      </w:r>
      <w:r>
        <w:t>should be provided upon registration of the therapeutic good. In addition, an</w:t>
      </w:r>
      <w:r w:rsidR="006E67B5">
        <w:t xml:space="preserve"> </w:t>
      </w:r>
      <w:r>
        <w:t>updated CPD, for the above products incorporating the approved changes is to be</w:t>
      </w:r>
      <w:r w:rsidR="006E67B5">
        <w:t xml:space="preserve"> </w:t>
      </w:r>
      <w:r>
        <w:t>provided within one month of the date of approval letter. A template for</w:t>
      </w:r>
      <w:r w:rsidR="006E67B5">
        <w:t xml:space="preserve"> </w:t>
      </w:r>
      <w:r>
        <w:t>preparation of CPD for biological prescription medicines and Vaccines can be</w:t>
      </w:r>
      <w:r w:rsidR="006E67B5">
        <w:t xml:space="preserve"> </w:t>
      </w:r>
      <w:r>
        <w:rPr>
          <w:color w:val="000000"/>
        </w:rPr>
        <w:t xml:space="preserve">obtained from the TGA website </w:t>
      </w:r>
      <w:hyperlink r:id="rId41" w:history="1">
        <w:r w:rsidR="006E67B5" w:rsidRPr="00B35B5A">
          <w:rPr>
            <w:rStyle w:val="Hyperlink"/>
          </w:rPr>
          <w:t>https://www.tga.gov.au/form/certified-productdetails-cpd-biological-prescription-medicines</w:t>
        </w:r>
      </w:hyperlink>
      <w:r w:rsidR="006E67B5">
        <w:t xml:space="preserve"> </w:t>
      </w:r>
      <w:r>
        <w:rPr>
          <w:color w:val="000000"/>
        </w:rPr>
        <w:t xml:space="preserve">. The CPD should be sent as a </w:t>
      </w:r>
      <w:r w:rsidRPr="00236383">
        <w:rPr>
          <w:rFonts w:cs="CIDFont+F6"/>
          <w:b/>
          <w:bCs/>
          <w:color w:val="000000"/>
        </w:rPr>
        <w:t>single</w:t>
      </w:r>
      <w:r w:rsidR="00236383" w:rsidRPr="00236383">
        <w:rPr>
          <w:rFonts w:cs="CIDFont+F6"/>
          <w:b/>
          <w:bCs/>
          <w:color w:val="000000"/>
        </w:rPr>
        <w:t xml:space="preserve"> </w:t>
      </w:r>
      <w:r w:rsidRPr="00236383">
        <w:rPr>
          <w:rFonts w:cs="CIDFont+F6"/>
          <w:b/>
          <w:bCs/>
        </w:rPr>
        <w:t>bookmarked PDF</w:t>
      </w:r>
      <w:r>
        <w:rPr>
          <w:rFonts w:ascii="CIDFont+F6" w:hAnsi="CIDFont+F6" w:cs="CIDFont+F6"/>
        </w:rPr>
        <w:t xml:space="preserve"> </w:t>
      </w:r>
      <w:r>
        <w:t xml:space="preserve">document to </w:t>
      </w:r>
      <w:r>
        <w:rPr>
          <w:color w:val="006DA8"/>
        </w:rPr>
        <w:t xml:space="preserve">Vaccines@health.gov.au </w:t>
      </w:r>
      <w:r>
        <w:t>as soon as possible after</w:t>
      </w:r>
      <w:r w:rsidR="00236383">
        <w:t xml:space="preserve"> </w:t>
      </w:r>
      <w:r>
        <w:t>registration/approval of the product or any subsequent changes as indicated</w:t>
      </w:r>
      <w:r w:rsidR="00236383">
        <w:t xml:space="preserve"> </w:t>
      </w:r>
      <w:r>
        <w:t>above.</w:t>
      </w:r>
    </w:p>
    <w:p w14:paraId="0F9C1952" w14:textId="65A2CBC5" w:rsidR="00BA657C" w:rsidRPr="00BA657C" w:rsidRDefault="00BA657C" w:rsidP="004C2B1D">
      <w:pPr>
        <w:pStyle w:val="Heading2"/>
      </w:pPr>
      <w:bookmarkStart w:id="67" w:name="_Toc196738290"/>
      <w:bookmarkStart w:id="68" w:name="_Toc230003596"/>
      <w:r w:rsidRPr="00BA657C">
        <w:t>Product Information and Consumer Medicine Information</w:t>
      </w:r>
      <w:bookmarkEnd w:id="67"/>
      <w:bookmarkEnd w:id="68"/>
      <w:r w:rsidR="00B03ADC">
        <w:fldChar w:fldCharType="begin"/>
      </w:r>
      <w:r w:rsidR="00B03ADC">
        <w:instrText xml:space="preserve"> DOCVARIABLE vault_nd_fd200e61-6f35-4c9e-bdb0-194ff2903563 \* MERGEFORMAT </w:instrText>
      </w:r>
      <w:r w:rsidR="00B03ADC">
        <w:fldChar w:fldCharType="separate"/>
      </w:r>
      <w:r w:rsidR="00B03ADC">
        <w:t xml:space="preserve"> </w:t>
      </w:r>
      <w:r w:rsidR="00B03ADC">
        <w:fldChar w:fldCharType="end"/>
      </w:r>
    </w:p>
    <w:p w14:paraId="5F276616" w14:textId="6667B73D" w:rsidR="004D0933" w:rsidRPr="004D0933" w:rsidRDefault="004D0933" w:rsidP="004D0933">
      <w:bookmarkStart w:id="69" w:name="_Hlk200021736"/>
      <w:r w:rsidRPr="004D0933">
        <w:t xml:space="preserve">For the most recent Product Information (PI) and Consumer Medicine Information (CMI), please refer to the TGA </w:t>
      </w:r>
      <w:hyperlink r:id="rId42" w:history="1">
        <w:r w:rsidRPr="004D0933">
          <w:rPr>
            <w:rStyle w:val="Hyperlink"/>
          </w:rPr>
          <w:t>PI/CMI search facility.</w:t>
        </w:r>
      </w:hyperlink>
    </w:p>
    <w:bookmarkEnd w:id="69"/>
    <w:p w14:paraId="53357BF3" w14:textId="276457B5" w:rsidR="00C22214" w:rsidRDefault="00C22214" w:rsidP="00C22214">
      <w:pPr>
        <w:rPr>
          <w:lang w:eastAsia="ja-JP"/>
        </w:rPr>
        <w:sectPr w:rsidR="00C22214" w:rsidSect="007452E8">
          <w:headerReference w:type="default" r:id="rId43"/>
          <w:footerReference w:type="default" r:id="rId4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6"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7"/>
      <w:footerReference w:type="first" r:id="rId4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D9396" w14:textId="77777777" w:rsidR="007660EC" w:rsidRDefault="007660EC" w:rsidP="00F02AEC">
      <w:pPr>
        <w:spacing w:after="0" w:line="240" w:lineRule="auto"/>
      </w:pPr>
      <w:r>
        <w:separator/>
      </w:r>
    </w:p>
  </w:endnote>
  <w:endnote w:type="continuationSeparator" w:id="0">
    <w:p w14:paraId="4850F7F9" w14:textId="77777777" w:rsidR="007660EC" w:rsidRDefault="007660E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508"/>
      <w:gridCol w:w="1564"/>
    </w:tblGrid>
    <w:tr w:rsidR="007452E8" w:rsidRPr="004A3084" w14:paraId="6266BC33" w14:textId="77777777" w:rsidTr="004251BA">
      <w:trPr>
        <w:trHeight w:val="423"/>
      </w:trPr>
      <w:tc>
        <w:tcPr>
          <w:tcW w:w="7508" w:type="dxa"/>
        </w:tcPr>
        <w:p w14:paraId="3C421323" w14:textId="680DC2CD" w:rsidR="007452E8" w:rsidRPr="004A3084" w:rsidRDefault="007452E8" w:rsidP="004B31AE">
          <w:pPr>
            <w:pStyle w:val="Footer"/>
          </w:pPr>
          <w:r w:rsidRPr="00487162">
            <w:t>AusPA</w:t>
          </w:r>
          <w:r>
            <w:t xml:space="preserve">R </w:t>
          </w:r>
          <w:r w:rsidR="004B31AE">
            <w:t>–</w:t>
          </w:r>
          <w:r>
            <w:t xml:space="preserve"> </w:t>
          </w:r>
          <w:r w:rsidR="009A6C5C">
            <w:t>mNEXSPIKE</w:t>
          </w:r>
          <w:r w:rsidR="004B31AE">
            <w:t xml:space="preserve"> -</w:t>
          </w:r>
          <w:r w:rsidR="004B31AE" w:rsidRPr="004B31AE">
            <w:t xml:space="preserve">SARS-CoV-2 spike </w:t>
          </w:r>
          <w:r w:rsidR="00113D21">
            <w:t>protein</w:t>
          </w:r>
          <w:r w:rsidR="004B31AE">
            <w:t xml:space="preserve"> </w:t>
          </w:r>
          <w:r w:rsidR="00B64E35">
            <w:t>(</w:t>
          </w:r>
          <w:r w:rsidR="004B31AE" w:rsidRPr="004B31AE">
            <w:t>mRNA</w:t>
          </w:r>
          <w:r w:rsidR="00B64E35">
            <w:t>) XBB.1.5</w:t>
          </w:r>
          <w:r w:rsidR="004B31AE">
            <w:t xml:space="preserve"> - Moderna</w:t>
          </w:r>
          <w:r>
            <w:t xml:space="preserve"> - PM-202</w:t>
          </w:r>
          <w:r w:rsidR="004B31AE">
            <w:t>4-05463-1-2</w:t>
          </w:r>
          <w:r w:rsidR="00602CFD">
            <w:t xml:space="preserve"> </w:t>
          </w:r>
          <w:r w:rsidR="00DB2204">
            <w:t>1</w:t>
          </w:r>
          <w:r w:rsidR="00602CFD">
            <w:t xml:space="preserve">8 </w:t>
          </w:r>
          <w:r w:rsidR="00DB2204">
            <w:t>May 2026</w:t>
          </w:r>
        </w:p>
      </w:tc>
      <w:tc>
        <w:tcPr>
          <w:tcW w:w="1564" w:type="dxa"/>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9319A" w14:textId="77777777" w:rsidR="007660EC" w:rsidRDefault="007660EC" w:rsidP="00F02AEC">
      <w:pPr>
        <w:spacing w:after="0" w:line="240" w:lineRule="auto"/>
      </w:pPr>
      <w:r>
        <w:separator/>
      </w:r>
    </w:p>
  </w:footnote>
  <w:footnote w:type="continuationSeparator" w:id="0">
    <w:p w14:paraId="25CDE518" w14:textId="77777777" w:rsidR="007660EC" w:rsidRDefault="007660EC"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4AEF643" w14:textId="7F5468B3" w:rsidR="00A47349" w:rsidRDefault="001D390A" w:rsidP="00A47349">
      <w:pPr>
        <w:pStyle w:val="FootnoteText"/>
      </w:pPr>
      <w:r>
        <w:rPr>
          <w:rStyle w:val="FootnoteReference"/>
        </w:rPr>
        <w:footnoteRef/>
      </w:r>
      <w:r>
        <w:t xml:space="preserve"> </w:t>
      </w:r>
      <w:r w:rsidR="00A47349">
        <w:t>The SARS-CoV-2 virus will, in keeping with common vernacular usage, be referred to as ‘COVID’ in this document</w:t>
      </w:r>
    </w:p>
    <w:p w14:paraId="1C7F6626" w14:textId="172A30A6" w:rsidR="001D390A" w:rsidRDefault="00A47349" w:rsidP="00A47349">
      <w:pPr>
        <w:pStyle w:val="FootnoteText"/>
      </w:pPr>
      <w:r>
        <w:t>unless a distinction between the virus and the clinical syndrome it causes is required.</w:t>
      </w:r>
    </w:p>
  </w:footnote>
  <w:footnote w:id="3">
    <w:p w14:paraId="07DC9A70" w14:textId="07323DB9" w:rsidR="001122C9" w:rsidRDefault="001122C9">
      <w:pPr>
        <w:pStyle w:val="FootnoteText"/>
      </w:pPr>
      <w:r>
        <w:rPr>
          <w:rStyle w:val="FootnoteReference"/>
        </w:rPr>
        <w:footnoteRef/>
      </w:r>
      <w:r>
        <w:t xml:space="preserve"> </w:t>
      </w:r>
      <w:r w:rsidRPr="001122C9">
        <w:t>Chalkias S, Dennis P, Petersen D et al.</w:t>
      </w:r>
      <w:r>
        <w:t xml:space="preserve"> (2025) </w:t>
      </w:r>
      <w:r w:rsidRPr="001122C9">
        <w:t>Efficacy, immunogenicity, and safety of a next-generation mRNA-1283 COVID-19 vaccine compared with the mRNA-1273 vaccine (</w:t>
      </w:r>
      <w:proofErr w:type="spellStart"/>
      <w:r w:rsidRPr="001122C9">
        <w:t>NextCOVE</w:t>
      </w:r>
      <w:proofErr w:type="spellEnd"/>
      <w:r w:rsidRPr="001122C9">
        <w:t>): results from a phase 3, randomised, observer-blind, active-controlled trial</w:t>
      </w:r>
      <w:r>
        <w:t xml:space="preserve">. </w:t>
      </w:r>
      <w:r w:rsidRPr="001122C9">
        <w:t>The Lancet Infectious Disease</w:t>
      </w:r>
      <w:r>
        <w:t>s.</w:t>
      </w:r>
      <w:r w:rsidRPr="001122C9">
        <w:t xml:space="preserve"> 25</w:t>
      </w:r>
      <w:r>
        <w:t>;</w:t>
      </w:r>
      <w:r w:rsidRPr="001122C9">
        <w:t xml:space="preserve"> 1230-1242</w:t>
      </w:r>
      <w:r>
        <w:t xml:space="preserve">. </w:t>
      </w:r>
      <w:hyperlink r:id="rId1" w:tgtFrame="_blank" w:tooltip="Persistent link using digital object identifier" w:history="1">
        <w:r w:rsidRPr="001122C9">
          <w:rPr>
            <w:rStyle w:val="Hyperlink"/>
          </w:rPr>
          <w:t>https://doi.org/10.1016/S1473-3099(25)00236-1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711CD"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3C9C4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02B5A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52238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2AEB4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EA6A64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0" w15:restartNumberingAfterBreak="0">
    <w:nsid w:val="1B46083B"/>
    <w:multiLevelType w:val="multilevel"/>
    <w:tmpl w:val="F1AA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048C2"/>
    <w:multiLevelType w:val="hybridMultilevel"/>
    <w:tmpl w:val="E752C80E"/>
    <w:lvl w:ilvl="0" w:tplc="495C9B84">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DA3A7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71259B8"/>
    <w:multiLevelType w:val="hybridMultilevel"/>
    <w:tmpl w:val="9536C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81B13D0"/>
    <w:multiLevelType w:val="hybridMultilevel"/>
    <w:tmpl w:val="93744180"/>
    <w:lvl w:ilvl="0" w:tplc="22EC19B0">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6" w15:restartNumberingAfterBreak="0">
    <w:nsid w:val="3D1058F5"/>
    <w:multiLevelType w:val="hybridMultilevel"/>
    <w:tmpl w:val="DCB45F04"/>
    <w:lvl w:ilvl="0" w:tplc="B4022B5C">
      <w:start w:val="1"/>
      <w:numFmt w:val="bullet"/>
      <w:lvlText w:val=""/>
      <w:lvlJc w:val="left"/>
      <w:pPr>
        <w:ind w:left="1080" w:hanging="360"/>
      </w:pPr>
      <w:rPr>
        <w:rFonts w:ascii="Symbol" w:hAnsi="Symbol"/>
      </w:rPr>
    </w:lvl>
    <w:lvl w:ilvl="1" w:tplc="D87CA346">
      <w:start w:val="1"/>
      <w:numFmt w:val="bullet"/>
      <w:lvlText w:val=""/>
      <w:lvlJc w:val="left"/>
      <w:pPr>
        <w:ind w:left="1080" w:hanging="360"/>
      </w:pPr>
      <w:rPr>
        <w:rFonts w:ascii="Symbol" w:hAnsi="Symbol"/>
      </w:rPr>
    </w:lvl>
    <w:lvl w:ilvl="2" w:tplc="273A49EA">
      <w:start w:val="1"/>
      <w:numFmt w:val="bullet"/>
      <w:lvlText w:val=""/>
      <w:lvlJc w:val="left"/>
      <w:pPr>
        <w:ind w:left="1080" w:hanging="360"/>
      </w:pPr>
      <w:rPr>
        <w:rFonts w:ascii="Symbol" w:hAnsi="Symbol"/>
      </w:rPr>
    </w:lvl>
    <w:lvl w:ilvl="3" w:tplc="2098B8FE">
      <w:start w:val="1"/>
      <w:numFmt w:val="bullet"/>
      <w:lvlText w:val=""/>
      <w:lvlJc w:val="left"/>
      <w:pPr>
        <w:ind w:left="1080" w:hanging="360"/>
      </w:pPr>
      <w:rPr>
        <w:rFonts w:ascii="Symbol" w:hAnsi="Symbol"/>
      </w:rPr>
    </w:lvl>
    <w:lvl w:ilvl="4" w:tplc="5DD07DEC">
      <w:start w:val="1"/>
      <w:numFmt w:val="bullet"/>
      <w:lvlText w:val=""/>
      <w:lvlJc w:val="left"/>
      <w:pPr>
        <w:ind w:left="1080" w:hanging="360"/>
      </w:pPr>
      <w:rPr>
        <w:rFonts w:ascii="Symbol" w:hAnsi="Symbol"/>
      </w:rPr>
    </w:lvl>
    <w:lvl w:ilvl="5" w:tplc="55AACECE">
      <w:start w:val="1"/>
      <w:numFmt w:val="bullet"/>
      <w:lvlText w:val=""/>
      <w:lvlJc w:val="left"/>
      <w:pPr>
        <w:ind w:left="1080" w:hanging="360"/>
      </w:pPr>
      <w:rPr>
        <w:rFonts w:ascii="Symbol" w:hAnsi="Symbol"/>
      </w:rPr>
    </w:lvl>
    <w:lvl w:ilvl="6" w:tplc="302EB230">
      <w:start w:val="1"/>
      <w:numFmt w:val="bullet"/>
      <w:lvlText w:val=""/>
      <w:lvlJc w:val="left"/>
      <w:pPr>
        <w:ind w:left="1080" w:hanging="360"/>
      </w:pPr>
      <w:rPr>
        <w:rFonts w:ascii="Symbol" w:hAnsi="Symbol"/>
      </w:rPr>
    </w:lvl>
    <w:lvl w:ilvl="7" w:tplc="6FF0D482">
      <w:start w:val="1"/>
      <w:numFmt w:val="bullet"/>
      <w:lvlText w:val=""/>
      <w:lvlJc w:val="left"/>
      <w:pPr>
        <w:ind w:left="1080" w:hanging="360"/>
      </w:pPr>
      <w:rPr>
        <w:rFonts w:ascii="Symbol" w:hAnsi="Symbol"/>
      </w:rPr>
    </w:lvl>
    <w:lvl w:ilvl="8" w:tplc="168427F0">
      <w:start w:val="1"/>
      <w:numFmt w:val="bullet"/>
      <w:lvlText w:val=""/>
      <w:lvlJc w:val="left"/>
      <w:pPr>
        <w:ind w:left="1080" w:hanging="360"/>
      </w:pPr>
      <w:rPr>
        <w:rFonts w:ascii="Symbol" w:hAnsi="Symbol"/>
      </w:rPr>
    </w:lvl>
  </w:abstractNum>
  <w:abstractNum w:abstractNumId="17" w15:restartNumberingAfterBreak="0">
    <w:nsid w:val="3FE8C5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616247"/>
    <w:multiLevelType w:val="hybridMultilevel"/>
    <w:tmpl w:val="CFD01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4" w15:restartNumberingAfterBreak="0">
    <w:nsid w:val="5F5170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452797A"/>
    <w:multiLevelType w:val="hybridMultilevel"/>
    <w:tmpl w:val="24460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B4080A"/>
    <w:multiLevelType w:val="multilevel"/>
    <w:tmpl w:val="2BE20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3349D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7368F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A1B33B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1" w15:restartNumberingAfterBreak="0">
    <w:nsid w:val="7F287647"/>
    <w:multiLevelType w:val="hybridMultilevel"/>
    <w:tmpl w:val="E26E5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32997172">
    <w:abstractNumId w:val="8"/>
  </w:num>
  <w:num w:numId="2" w16cid:durableId="1856573705">
    <w:abstractNumId w:val="5"/>
  </w:num>
  <w:num w:numId="3" w16cid:durableId="357703499">
    <w:abstractNumId w:val="7"/>
  </w:num>
  <w:num w:numId="4" w16cid:durableId="1869176708">
    <w:abstractNumId w:val="21"/>
  </w:num>
  <w:num w:numId="5" w16cid:durableId="1652950129">
    <w:abstractNumId w:val="12"/>
  </w:num>
  <w:num w:numId="6" w16cid:durableId="1053193207">
    <w:abstractNumId w:val="19"/>
  </w:num>
  <w:num w:numId="7" w16cid:durableId="20113592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0"/>
  </w:num>
  <w:num w:numId="9" w16cid:durableId="173421270">
    <w:abstractNumId w:val="6"/>
  </w:num>
  <w:num w:numId="10" w16cid:durableId="2108043357">
    <w:abstractNumId w:val="9"/>
  </w:num>
  <w:num w:numId="11" w16cid:durableId="1725904230">
    <w:abstractNumId w:val="18"/>
  </w:num>
  <w:num w:numId="12" w16cid:durableId="141579354">
    <w:abstractNumId w:val="23"/>
  </w:num>
  <w:num w:numId="13" w16cid:durableId="283735081">
    <w:abstractNumId w:val="30"/>
  </w:num>
  <w:num w:numId="14" w16cid:durableId="786267607">
    <w:abstractNumId w:val="25"/>
  </w:num>
  <w:num w:numId="15" w16cid:durableId="387454800">
    <w:abstractNumId w:val="17"/>
  </w:num>
  <w:num w:numId="16" w16cid:durableId="834304055">
    <w:abstractNumId w:val="0"/>
  </w:num>
  <w:num w:numId="17" w16cid:durableId="1415202675">
    <w:abstractNumId w:val="4"/>
  </w:num>
  <w:num w:numId="18" w16cid:durableId="652417096">
    <w:abstractNumId w:val="27"/>
  </w:num>
  <w:num w:numId="19" w16cid:durableId="950011739">
    <w:abstractNumId w:val="1"/>
  </w:num>
  <w:num w:numId="20" w16cid:durableId="1740664045">
    <w:abstractNumId w:val="13"/>
  </w:num>
  <w:num w:numId="21" w16cid:durableId="212011149">
    <w:abstractNumId w:val="24"/>
  </w:num>
  <w:num w:numId="22" w16cid:durableId="1494948778">
    <w:abstractNumId w:val="29"/>
  </w:num>
  <w:num w:numId="23" w16cid:durableId="707803391">
    <w:abstractNumId w:val="2"/>
  </w:num>
  <w:num w:numId="24" w16cid:durableId="1719083625">
    <w:abstractNumId w:val="28"/>
  </w:num>
  <w:num w:numId="25" w16cid:durableId="1684866629">
    <w:abstractNumId w:val="3"/>
  </w:num>
  <w:num w:numId="26" w16cid:durableId="1345788066">
    <w:abstractNumId w:val="14"/>
  </w:num>
  <w:num w:numId="27" w16cid:durableId="1189180862">
    <w:abstractNumId w:val="22"/>
  </w:num>
  <w:num w:numId="28" w16cid:durableId="2044017644">
    <w:abstractNumId w:val="31"/>
  </w:num>
  <w:num w:numId="29" w16cid:durableId="1920478223">
    <w:abstractNumId w:val="11"/>
  </w:num>
  <w:num w:numId="30" w16cid:durableId="1141465466">
    <w:abstractNumId w:val="15"/>
  </w:num>
  <w:num w:numId="31" w16cid:durableId="1219324648">
    <w:abstractNumId w:val="16"/>
  </w:num>
  <w:num w:numId="32" w16cid:durableId="861093488">
    <w:abstractNumId w:val="10"/>
  </w:num>
  <w:num w:numId="33" w16cid:durableId="10356138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umen_Document_Id" w:val="2e7d571d-c487-4ca9-ad12-f9ac12c7a504"/>
    <w:docVar w:name="vault_nd_0445d2f1-8b5f-48aa-99fb-b5c5d55cb3e0" w:val=" "/>
    <w:docVar w:name="vault_nd_0793d3f9-df61-4849-a17f-150082da9045" w:val=" "/>
    <w:docVar w:name="vault_nd_0ced578c-3d74-436d-8c6d-81d540ca55e5" w:val=" "/>
    <w:docVar w:name="vault_nd_15c57ef8-a744-4bdd-b8c4-4802e7483035" w:val=" "/>
    <w:docVar w:name="vault_nd_1ae6987e-ac6d-46c2-808c-69942dd4e621" w:val=" "/>
    <w:docVar w:name="vault_nd_21926d43-f5c0-4452-bfaf-900272fd405d" w:val=" "/>
    <w:docVar w:name="vault_nd_29211631-e33e-43a7-a7fb-de65160025f2" w:val=" "/>
    <w:docVar w:name="vault_nd_373d4a84-fbbd-4414-8492-4befbec2a4fc" w:val=" "/>
    <w:docVar w:name="vault_nd_409879c4-88bc-43f9-8f1f-485b34d01faf" w:val=" "/>
    <w:docVar w:name="vault_nd_4492fb98-7ff5-41e7-a779-eb55d46dbf2c" w:val=" "/>
    <w:docVar w:name="vault_nd_46413623-2440-4f1c-b31c-6ec2b0e88a7a" w:val=" "/>
    <w:docVar w:name="vault_nd_47eb97e8-0210-4b19-9a4f-56870a25d15a" w:val=" "/>
    <w:docVar w:name="vault_nd_48fa74da-9904-41ea-9deb-157d11e62f25" w:val=" "/>
    <w:docVar w:name="vault_nd_4e511f3c-7cc7-47c7-8a22-11135d589837" w:val=" "/>
    <w:docVar w:name="vault_nd_4f6f897c-39a2-4766-a36f-bd57ff02cfed" w:val=" "/>
    <w:docVar w:name="vault_nd_50ae4003-9ad8-4235-a999-a84b70173a52" w:val=" "/>
    <w:docVar w:name="vault_nd_53ae8dee-925f-4898-ae41-36c6a693ce3f" w:val=" "/>
    <w:docVar w:name="vault_nd_55ed71a0-cbf8-48b1-908a-53b309acd4e8" w:val=" "/>
    <w:docVar w:name="vault_nd_55f5da1e-bf6f-4b68-b611-a13ca18e18f3" w:val=" "/>
    <w:docVar w:name="vault_nd_57c70d50-9007-4ab2-aaf5-7871b68028ef" w:val=" "/>
    <w:docVar w:name="vault_nd_58f1b155-1735-4ef6-88bb-17f6a4d0a9a7" w:val=" "/>
    <w:docVar w:name="vault_nd_5e7ddc57-309b-4dde-a469-5eb6dfb30749" w:val=" "/>
    <w:docVar w:name="vault_nd_65db6367-7872-4b58-ab48-b05d2321aaa7" w:val=" "/>
    <w:docVar w:name="vault_nd_675861b9-b8f1-407b-9d85-5120ccc16b43" w:val=" "/>
    <w:docVar w:name="vault_nd_696a1270-f8ac-49dc-93af-b2880a11ee29" w:val=" "/>
    <w:docVar w:name="vault_nd_73191d69-9bec-4e2b-893b-3c78ff55eb67" w:val=" "/>
    <w:docVar w:name="vault_nd_752e60e1-1af0-4849-bb72-aaf5b6751c34" w:val=" "/>
    <w:docVar w:name="vault_nd_7d0afd69-1ce8-45eb-ab65-b6086dddc79f" w:val=" "/>
    <w:docVar w:name="vault_nd_811cc340-51da-42c9-94cb-cee782a66e28" w:val=" "/>
    <w:docVar w:name="vault_nd_91ea8431-2c2d-4add-b39c-721ca85ad864" w:val=" "/>
    <w:docVar w:name="vault_nd_95433a66-3264-4ef7-8df1-fe2dc037bf83" w:val=" "/>
    <w:docVar w:name="vault_nd_a0cdcff5-4075-48db-b488-9d74d2ecf94f" w:val=" "/>
    <w:docVar w:name="vault_nd_b1106625-57f4-4a91-b5b6-a655d49a8ceb" w:val=" "/>
    <w:docVar w:name="vault_nd_c0af8195-f1cf-43e8-8f0f-e74fcd13a037" w:val=" "/>
    <w:docVar w:name="vault_nd_c3b85223-facd-48b1-8281-a08005e953b5" w:val=" "/>
    <w:docVar w:name="vault_nd_c479bd66-6e64-46f0-8ed4-094e5f0d1cbc" w:val=" "/>
    <w:docVar w:name="vault_nd_cfd5684a-905d-448c-8e94-e0be555de5dd" w:val=" "/>
    <w:docVar w:name="vault_nd_d27a9e47-68cc-46ca-8fb7-a96fbf038451" w:val=" "/>
    <w:docVar w:name="vault_nd_d2a48f64-158d-4989-86fe-563eeb1e0890" w:val=" "/>
    <w:docVar w:name="vault_nd_d50a456e-f092-43c7-91ca-3ba79bd6ed3b" w:val=" "/>
    <w:docVar w:name="vault_nd_d615688b-f8a6-453f-9627-f3965c853d29" w:val=" "/>
    <w:docVar w:name="vault_nd_db5ae475-21e0-4091-b6f3-2048ff1578e7" w:val=" "/>
    <w:docVar w:name="vault_nd_e498d8e9-05a9-48e9-acc5-74b38af3cd3a" w:val=" "/>
    <w:docVar w:name="vault_nd_ee04be1a-01a7-49b5-ab71-0d82956d2781" w:val=" "/>
    <w:docVar w:name="vault_nd_fbe6b67f-3449-485d-9df7-0faf7a0b215d" w:val=" "/>
    <w:docVar w:name="vault_nd_fd0803c7-fb1c-42d1-9768-0d44bbde28cc" w:val=" "/>
    <w:docVar w:name="vault_nd_fd200e61-6f35-4c9e-bdb0-194ff2903563" w:val=" "/>
  </w:docVars>
  <w:rsids>
    <w:rsidRoot w:val="00346EC2"/>
    <w:rsid w:val="000000FF"/>
    <w:rsid w:val="00000485"/>
    <w:rsid w:val="000006D3"/>
    <w:rsid w:val="00000E6E"/>
    <w:rsid w:val="000018CE"/>
    <w:rsid w:val="00004431"/>
    <w:rsid w:val="00005062"/>
    <w:rsid w:val="00005DFC"/>
    <w:rsid w:val="00010269"/>
    <w:rsid w:val="0001064C"/>
    <w:rsid w:val="00012556"/>
    <w:rsid w:val="000136F7"/>
    <w:rsid w:val="0001384A"/>
    <w:rsid w:val="00021C13"/>
    <w:rsid w:val="000227CE"/>
    <w:rsid w:val="00025863"/>
    <w:rsid w:val="0003231A"/>
    <w:rsid w:val="00032A0F"/>
    <w:rsid w:val="000334C0"/>
    <w:rsid w:val="0003436D"/>
    <w:rsid w:val="00036CE9"/>
    <w:rsid w:val="00037068"/>
    <w:rsid w:val="00040D8D"/>
    <w:rsid w:val="000436EE"/>
    <w:rsid w:val="00045BF9"/>
    <w:rsid w:val="00046423"/>
    <w:rsid w:val="000477F5"/>
    <w:rsid w:val="00047D4C"/>
    <w:rsid w:val="0005067C"/>
    <w:rsid w:val="000512B1"/>
    <w:rsid w:val="00051869"/>
    <w:rsid w:val="00051D63"/>
    <w:rsid w:val="000533FD"/>
    <w:rsid w:val="0005624B"/>
    <w:rsid w:val="000564F9"/>
    <w:rsid w:val="00060652"/>
    <w:rsid w:val="0006104E"/>
    <w:rsid w:val="000640BD"/>
    <w:rsid w:val="00065839"/>
    <w:rsid w:val="00065FDF"/>
    <w:rsid w:val="00066303"/>
    <w:rsid w:val="0006693A"/>
    <w:rsid w:val="00076541"/>
    <w:rsid w:val="00077844"/>
    <w:rsid w:val="00083763"/>
    <w:rsid w:val="00090510"/>
    <w:rsid w:val="000917AE"/>
    <w:rsid w:val="00094B81"/>
    <w:rsid w:val="00095C6A"/>
    <w:rsid w:val="000975AA"/>
    <w:rsid w:val="00097EC5"/>
    <w:rsid w:val="000A109F"/>
    <w:rsid w:val="000A1F5A"/>
    <w:rsid w:val="000A3D88"/>
    <w:rsid w:val="000A4E79"/>
    <w:rsid w:val="000B4C0E"/>
    <w:rsid w:val="000B56B4"/>
    <w:rsid w:val="000B6B15"/>
    <w:rsid w:val="000C1F1D"/>
    <w:rsid w:val="000C25A7"/>
    <w:rsid w:val="000C5432"/>
    <w:rsid w:val="000C5905"/>
    <w:rsid w:val="000C5C0F"/>
    <w:rsid w:val="000C616C"/>
    <w:rsid w:val="000D020D"/>
    <w:rsid w:val="000D78EC"/>
    <w:rsid w:val="000D7934"/>
    <w:rsid w:val="000D7B8C"/>
    <w:rsid w:val="000E2434"/>
    <w:rsid w:val="000E2597"/>
    <w:rsid w:val="000E2C57"/>
    <w:rsid w:val="000E3491"/>
    <w:rsid w:val="000E3C19"/>
    <w:rsid w:val="000E504E"/>
    <w:rsid w:val="000E5725"/>
    <w:rsid w:val="000E6746"/>
    <w:rsid w:val="000F07BA"/>
    <w:rsid w:val="000F108B"/>
    <w:rsid w:val="000F19A9"/>
    <w:rsid w:val="000F3542"/>
    <w:rsid w:val="000F69AD"/>
    <w:rsid w:val="000F7B51"/>
    <w:rsid w:val="000F7C83"/>
    <w:rsid w:val="0010127F"/>
    <w:rsid w:val="00101BEE"/>
    <w:rsid w:val="00101CE6"/>
    <w:rsid w:val="00101FB1"/>
    <w:rsid w:val="001031A6"/>
    <w:rsid w:val="00105557"/>
    <w:rsid w:val="0010558A"/>
    <w:rsid w:val="00107FB9"/>
    <w:rsid w:val="001101FF"/>
    <w:rsid w:val="001111EC"/>
    <w:rsid w:val="00111989"/>
    <w:rsid w:val="00111E82"/>
    <w:rsid w:val="001122C9"/>
    <w:rsid w:val="00113D21"/>
    <w:rsid w:val="00113F9F"/>
    <w:rsid w:val="00113FBA"/>
    <w:rsid w:val="00114025"/>
    <w:rsid w:val="00114C31"/>
    <w:rsid w:val="001176AB"/>
    <w:rsid w:val="00120813"/>
    <w:rsid w:val="0012473C"/>
    <w:rsid w:val="00127A74"/>
    <w:rsid w:val="0013132F"/>
    <w:rsid w:val="00131B1B"/>
    <w:rsid w:val="0013306D"/>
    <w:rsid w:val="00134699"/>
    <w:rsid w:val="0013514E"/>
    <w:rsid w:val="0013528C"/>
    <w:rsid w:val="00136C86"/>
    <w:rsid w:val="001372E2"/>
    <w:rsid w:val="00140E2E"/>
    <w:rsid w:val="001426EF"/>
    <w:rsid w:val="001434F2"/>
    <w:rsid w:val="0014385B"/>
    <w:rsid w:val="001442A2"/>
    <w:rsid w:val="001468CA"/>
    <w:rsid w:val="001500A8"/>
    <w:rsid w:val="00151886"/>
    <w:rsid w:val="00155D85"/>
    <w:rsid w:val="00155FD3"/>
    <w:rsid w:val="0016098F"/>
    <w:rsid w:val="00160F3B"/>
    <w:rsid w:val="00162AFC"/>
    <w:rsid w:val="00165D28"/>
    <w:rsid w:val="001675E2"/>
    <w:rsid w:val="0017005C"/>
    <w:rsid w:val="0017097E"/>
    <w:rsid w:val="0017339B"/>
    <w:rsid w:val="00175AC0"/>
    <w:rsid w:val="00175CD8"/>
    <w:rsid w:val="00175DDF"/>
    <w:rsid w:val="0017660F"/>
    <w:rsid w:val="001805E5"/>
    <w:rsid w:val="00181032"/>
    <w:rsid w:val="00182BD8"/>
    <w:rsid w:val="00182F15"/>
    <w:rsid w:val="001844FD"/>
    <w:rsid w:val="00187A60"/>
    <w:rsid w:val="00190853"/>
    <w:rsid w:val="001938AC"/>
    <w:rsid w:val="00194F10"/>
    <w:rsid w:val="00197CA8"/>
    <w:rsid w:val="001A1500"/>
    <w:rsid w:val="001A2A61"/>
    <w:rsid w:val="001A3304"/>
    <w:rsid w:val="001A76F9"/>
    <w:rsid w:val="001B06FF"/>
    <w:rsid w:val="001B1703"/>
    <w:rsid w:val="001C1C2E"/>
    <w:rsid w:val="001C31A1"/>
    <w:rsid w:val="001C31F8"/>
    <w:rsid w:val="001C3FA2"/>
    <w:rsid w:val="001C4020"/>
    <w:rsid w:val="001C4C81"/>
    <w:rsid w:val="001C5365"/>
    <w:rsid w:val="001C54DE"/>
    <w:rsid w:val="001C5EE2"/>
    <w:rsid w:val="001D0077"/>
    <w:rsid w:val="001D1BAF"/>
    <w:rsid w:val="001D2265"/>
    <w:rsid w:val="001D390A"/>
    <w:rsid w:val="001D6416"/>
    <w:rsid w:val="001D6806"/>
    <w:rsid w:val="001D7E38"/>
    <w:rsid w:val="001E2EFA"/>
    <w:rsid w:val="001E407B"/>
    <w:rsid w:val="001E555D"/>
    <w:rsid w:val="001E75BD"/>
    <w:rsid w:val="001E7FC6"/>
    <w:rsid w:val="001F15EC"/>
    <w:rsid w:val="001F2502"/>
    <w:rsid w:val="001F70A5"/>
    <w:rsid w:val="00201322"/>
    <w:rsid w:val="0020235D"/>
    <w:rsid w:val="002034A6"/>
    <w:rsid w:val="0020369B"/>
    <w:rsid w:val="002052F0"/>
    <w:rsid w:val="002057DD"/>
    <w:rsid w:val="00207B4D"/>
    <w:rsid w:val="00210F9B"/>
    <w:rsid w:val="002117B1"/>
    <w:rsid w:val="00214459"/>
    <w:rsid w:val="002168D4"/>
    <w:rsid w:val="00216B32"/>
    <w:rsid w:val="00217CCE"/>
    <w:rsid w:val="002203B1"/>
    <w:rsid w:val="002206C3"/>
    <w:rsid w:val="002215B0"/>
    <w:rsid w:val="0022268F"/>
    <w:rsid w:val="0022510C"/>
    <w:rsid w:val="00225949"/>
    <w:rsid w:val="00226F39"/>
    <w:rsid w:val="00227003"/>
    <w:rsid w:val="002273CF"/>
    <w:rsid w:val="0022772B"/>
    <w:rsid w:val="002317D4"/>
    <w:rsid w:val="00231D78"/>
    <w:rsid w:val="0023253A"/>
    <w:rsid w:val="0023273D"/>
    <w:rsid w:val="00232AEC"/>
    <w:rsid w:val="00232C2B"/>
    <w:rsid w:val="002334AD"/>
    <w:rsid w:val="00236383"/>
    <w:rsid w:val="00236641"/>
    <w:rsid w:val="00241B60"/>
    <w:rsid w:val="00245F22"/>
    <w:rsid w:val="0025081B"/>
    <w:rsid w:val="00252B2C"/>
    <w:rsid w:val="00255975"/>
    <w:rsid w:val="00256C7C"/>
    <w:rsid w:val="0025785B"/>
    <w:rsid w:val="00257969"/>
    <w:rsid w:val="0026490A"/>
    <w:rsid w:val="00265AF5"/>
    <w:rsid w:val="00265CD1"/>
    <w:rsid w:val="00266207"/>
    <w:rsid w:val="00280048"/>
    <w:rsid w:val="002819B9"/>
    <w:rsid w:val="00283548"/>
    <w:rsid w:val="0028489E"/>
    <w:rsid w:val="002848DE"/>
    <w:rsid w:val="0028794E"/>
    <w:rsid w:val="00296CA7"/>
    <w:rsid w:val="0029733B"/>
    <w:rsid w:val="0029760D"/>
    <w:rsid w:val="002A0CCA"/>
    <w:rsid w:val="002A14AE"/>
    <w:rsid w:val="002A155C"/>
    <w:rsid w:val="002A5841"/>
    <w:rsid w:val="002B17B1"/>
    <w:rsid w:val="002B1ABE"/>
    <w:rsid w:val="002B1EDF"/>
    <w:rsid w:val="002B2061"/>
    <w:rsid w:val="002B33C3"/>
    <w:rsid w:val="002C1232"/>
    <w:rsid w:val="002C1E44"/>
    <w:rsid w:val="002C5C92"/>
    <w:rsid w:val="002C5E29"/>
    <w:rsid w:val="002D0478"/>
    <w:rsid w:val="002D18CD"/>
    <w:rsid w:val="002D3FEB"/>
    <w:rsid w:val="002D7127"/>
    <w:rsid w:val="002E7305"/>
    <w:rsid w:val="002F3BA8"/>
    <w:rsid w:val="002F599E"/>
    <w:rsid w:val="0030021A"/>
    <w:rsid w:val="003008D8"/>
    <w:rsid w:val="00301D9A"/>
    <w:rsid w:val="0030259A"/>
    <w:rsid w:val="00303959"/>
    <w:rsid w:val="0030601E"/>
    <w:rsid w:val="00306E72"/>
    <w:rsid w:val="00307C0A"/>
    <w:rsid w:val="00312AC3"/>
    <w:rsid w:val="00312F88"/>
    <w:rsid w:val="00312FA8"/>
    <w:rsid w:val="00314430"/>
    <w:rsid w:val="003163BC"/>
    <w:rsid w:val="00316D87"/>
    <w:rsid w:val="003212D9"/>
    <w:rsid w:val="00322F31"/>
    <w:rsid w:val="0032351A"/>
    <w:rsid w:val="00324B33"/>
    <w:rsid w:val="00324B47"/>
    <w:rsid w:val="003266BC"/>
    <w:rsid w:val="00326F65"/>
    <w:rsid w:val="00327488"/>
    <w:rsid w:val="00327B58"/>
    <w:rsid w:val="003306A3"/>
    <w:rsid w:val="00331247"/>
    <w:rsid w:val="0033204B"/>
    <w:rsid w:val="003336B6"/>
    <w:rsid w:val="00334059"/>
    <w:rsid w:val="003369AD"/>
    <w:rsid w:val="00336FE1"/>
    <w:rsid w:val="0033742A"/>
    <w:rsid w:val="00337BD8"/>
    <w:rsid w:val="00340AAD"/>
    <w:rsid w:val="00342D56"/>
    <w:rsid w:val="00344B63"/>
    <w:rsid w:val="003456E7"/>
    <w:rsid w:val="00346D5B"/>
    <w:rsid w:val="00346EC2"/>
    <w:rsid w:val="003477F9"/>
    <w:rsid w:val="003526AF"/>
    <w:rsid w:val="0035444D"/>
    <w:rsid w:val="003569D6"/>
    <w:rsid w:val="00356D62"/>
    <w:rsid w:val="00360026"/>
    <w:rsid w:val="00363EE3"/>
    <w:rsid w:val="00364560"/>
    <w:rsid w:val="00370ABF"/>
    <w:rsid w:val="00371775"/>
    <w:rsid w:val="00371869"/>
    <w:rsid w:val="003719B9"/>
    <w:rsid w:val="0037282C"/>
    <w:rsid w:val="003735F3"/>
    <w:rsid w:val="00373744"/>
    <w:rsid w:val="00374729"/>
    <w:rsid w:val="003813A9"/>
    <w:rsid w:val="00386661"/>
    <w:rsid w:val="00387298"/>
    <w:rsid w:val="0038746A"/>
    <w:rsid w:val="00387984"/>
    <w:rsid w:val="00387D1D"/>
    <w:rsid w:val="00387DB8"/>
    <w:rsid w:val="00394E17"/>
    <w:rsid w:val="00395140"/>
    <w:rsid w:val="0039571A"/>
    <w:rsid w:val="00395CA8"/>
    <w:rsid w:val="00397129"/>
    <w:rsid w:val="003A00CF"/>
    <w:rsid w:val="003A0AE3"/>
    <w:rsid w:val="003A15C0"/>
    <w:rsid w:val="003A1DF6"/>
    <w:rsid w:val="003A2422"/>
    <w:rsid w:val="003A244B"/>
    <w:rsid w:val="003B02ED"/>
    <w:rsid w:val="003B149C"/>
    <w:rsid w:val="003B21EA"/>
    <w:rsid w:val="003B46FE"/>
    <w:rsid w:val="003C0FDB"/>
    <w:rsid w:val="003C1192"/>
    <w:rsid w:val="003C1431"/>
    <w:rsid w:val="003C2EEF"/>
    <w:rsid w:val="003C4C33"/>
    <w:rsid w:val="003C55E2"/>
    <w:rsid w:val="003C63D5"/>
    <w:rsid w:val="003C65A8"/>
    <w:rsid w:val="003C7AA8"/>
    <w:rsid w:val="003D2AD6"/>
    <w:rsid w:val="003D31EF"/>
    <w:rsid w:val="003D3F5D"/>
    <w:rsid w:val="003D6825"/>
    <w:rsid w:val="003D6ECE"/>
    <w:rsid w:val="003D71A1"/>
    <w:rsid w:val="003E1E1E"/>
    <w:rsid w:val="003E7E81"/>
    <w:rsid w:val="003F1417"/>
    <w:rsid w:val="003F30AC"/>
    <w:rsid w:val="003F3340"/>
    <w:rsid w:val="003F4845"/>
    <w:rsid w:val="004052E2"/>
    <w:rsid w:val="00407FCB"/>
    <w:rsid w:val="00411644"/>
    <w:rsid w:val="00412335"/>
    <w:rsid w:val="00415894"/>
    <w:rsid w:val="0041688F"/>
    <w:rsid w:val="0042376F"/>
    <w:rsid w:val="004246B8"/>
    <w:rsid w:val="004248F1"/>
    <w:rsid w:val="004251BA"/>
    <w:rsid w:val="00427035"/>
    <w:rsid w:val="00431E44"/>
    <w:rsid w:val="00432CF1"/>
    <w:rsid w:val="00433318"/>
    <w:rsid w:val="00440E2C"/>
    <w:rsid w:val="004411D9"/>
    <w:rsid w:val="00441703"/>
    <w:rsid w:val="0044239A"/>
    <w:rsid w:val="00442A56"/>
    <w:rsid w:val="004444B0"/>
    <w:rsid w:val="00444CF5"/>
    <w:rsid w:val="004469F9"/>
    <w:rsid w:val="0045060B"/>
    <w:rsid w:val="00450F2B"/>
    <w:rsid w:val="00451069"/>
    <w:rsid w:val="004510BA"/>
    <w:rsid w:val="0045618B"/>
    <w:rsid w:val="00456311"/>
    <w:rsid w:val="0045769E"/>
    <w:rsid w:val="004626FF"/>
    <w:rsid w:val="0046285C"/>
    <w:rsid w:val="00463815"/>
    <w:rsid w:val="00467DBD"/>
    <w:rsid w:val="00470A52"/>
    <w:rsid w:val="004712BA"/>
    <w:rsid w:val="0047143E"/>
    <w:rsid w:val="00471BD5"/>
    <w:rsid w:val="0047272D"/>
    <w:rsid w:val="004735B9"/>
    <w:rsid w:val="00473771"/>
    <w:rsid w:val="0047491C"/>
    <w:rsid w:val="00477C4E"/>
    <w:rsid w:val="00477F07"/>
    <w:rsid w:val="00481503"/>
    <w:rsid w:val="00481D12"/>
    <w:rsid w:val="004823AC"/>
    <w:rsid w:val="004854A6"/>
    <w:rsid w:val="004866A0"/>
    <w:rsid w:val="004866A4"/>
    <w:rsid w:val="004874CE"/>
    <w:rsid w:val="00487F32"/>
    <w:rsid w:val="0049109B"/>
    <w:rsid w:val="00491A55"/>
    <w:rsid w:val="00492AAC"/>
    <w:rsid w:val="004948BB"/>
    <w:rsid w:val="00494982"/>
    <w:rsid w:val="00494C3E"/>
    <w:rsid w:val="00497749"/>
    <w:rsid w:val="00497DF1"/>
    <w:rsid w:val="004A2B63"/>
    <w:rsid w:val="004A318E"/>
    <w:rsid w:val="004A331E"/>
    <w:rsid w:val="004A36C4"/>
    <w:rsid w:val="004A45D4"/>
    <w:rsid w:val="004A5040"/>
    <w:rsid w:val="004A5080"/>
    <w:rsid w:val="004A57E8"/>
    <w:rsid w:val="004B1581"/>
    <w:rsid w:val="004B3081"/>
    <w:rsid w:val="004B31AE"/>
    <w:rsid w:val="004B4A09"/>
    <w:rsid w:val="004B678E"/>
    <w:rsid w:val="004C2AFA"/>
    <w:rsid w:val="004C2B1D"/>
    <w:rsid w:val="004C41CE"/>
    <w:rsid w:val="004C631B"/>
    <w:rsid w:val="004C7657"/>
    <w:rsid w:val="004D0933"/>
    <w:rsid w:val="004D29B0"/>
    <w:rsid w:val="004D2F00"/>
    <w:rsid w:val="004D31D8"/>
    <w:rsid w:val="004D35D1"/>
    <w:rsid w:val="004D4AD5"/>
    <w:rsid w:val="004D4C0E"/>
    <w:rsid w:val="004D5388"/>
    <w:rsid w:val="004D5EE3"/>
    <w:rsid w:val="004D70AD"/>
    <w:rsid w:val="004E16C6"/>
    <w:rsid w:val="004E222D"/>
    <w:rsid w:val="004E58C8"/>
    <w:rsid w:val="004E7F16"/>
    <w:rsid w:val="004F18EC"/>
    <w:rsid w:val="004F3423"/>
    <w:rsid w:val="00500848"/>
    <w:rsid w:val="00500D68"/>
    <w:rsid w:val="00501888"/>
    <w:rsid w:val="005021EF"/>
    <w:rsid w:val="00504CB8"/>
    <w:rsid w:val="00504FBE"/>
    <w:rsid w:val="0050724A"/>
    <w:rsid w:val="005171E9"/>
    <w:rsid w:val="00520199"/>
    <w:rsid w:val="00521C7F"/>
    <w:rsid w:val="00522170"/>
    <w:rsid w:val="005224A5"/>
    <w:rsid w:val="00524076"/>
    <w:rsid w:val="00524858"/>
    <w:rsid w:val="00530620"/>
    <w:rsid w:val="0053377D"/>
    <w:rsid w:val="00535DFE"/>
    <w:rsid w:val="005373B5"/>
    <w:rsid w:val="00537AB7"/>
    <w:rsid w:val="005423B6"/>
    <w:rsid w:val="00543FC5"/>
    <w:rsid w:val="0054591D"/>
    <w:rsid w:val="0054669B"/>
    <w:rsid w:val="00546B25"/>
    <w:rsid w:val="00547069"/>
    <w:rsid w:val="00547D70"/>
    <w:rsid w:val="00547EA0"/>
    <w:rsid w:val="0055092F"/>
    <w:rsid w:val="00557684"/>
    <w:rsid w:val="00557C11"/>
    <w:rsid w:val="00560EC1"/>
    <w:rsid w:val="005610D1"/>
    <w:rsid w:val="00561F91"/>
    <w:rsid w:val="00562F42"/>
    <w:rsid w:val="00565323"/>
    <w:rsid w:val="00565739"/>
    <w:rsid w:val="00565A56"/>
    <w:rsid w:val="0056766D"/>
    <w:rsid w:val="005711CD"/>
    <w:rsid w:val="00575215"/>
    <w:rsid w:val="00575D90"/>
    <w:rsid w:val="00576159"/>
    <w:rsid w:val="005775D0"/>
    <w:rsid w:val="00581138"/>
    <w:rsid w:val="0058575E"/>
    <w:rsid w:val="00585CAD"/>
    <w:rsid w:val="0058783C"/>
    <w:rsid w:val="005911AE"/>
    <w:rsid w:val="0059231C"/>
    <w:rsid w:val="005926E2"/>
    <w:rsid w:val="005930B0"/>
    <w:rsid w:val="0059313A"/>
    <w:rsid w:val="005947C7"/>
    <w:rsid w:val="00595327"/>
    <w:rsid w:val="00597FC6"/>
    <w:rsid w:val="005A0B7C"/>
    <w:rsid w:val="005A302E"/>
    <w:rsid w:val="005A3A3C"/>
    <w:rsid w:val="005A54EA"/>
    <w:rsid w:val="005A5C98"/>
    <w:rsid w:val="005A6136"/>
    <w:rsid w:val="005B023F"/>
    <w:rsid w:val="005B02A2"/>
    <w:rsid w:val="005B051B"/>
    <w:rsid w:val="005B0BB7"/>
    <w:rsid w:val="005B1417"/>
    <w:rsid w:val="005B4FD2"/>
    <w:rsid w:val="005B69CF"/>
    <w:rsid w:val="005B7249"/>
    <w:rsid w:val="005C02AB"/>
    <w:rsid w:val="005C04E4"/>
    <w:rsid w:val="005C3F07"/>
    <w:rsid w:val="005C3FC6"/>
    <w:rsid w:val="005C4B46"/>
    <w:rsid w:val="005C5D54"/>
    <w:rsid w:val="005C5DC5"/>
    <w:rsid w:val="005D0AFF"/>
    <w:rsid w:val="005D0E1E"/>
    <w:rsid w:val="005D2089"/>
    <w:rsid w:val="005D3CD0"/>
    <w:rsid w:val="005D5212"/>
    <w:rsid w:val="005D7514"/>
    <w:rsid w:val="005D7CA4"/>
    <w:rsid w:val="005E0FC6"/>
    <w:rsid w:val="005E12E7"/>
    <w:rsid w:val="005E1A7B"/>
    <w:rsid w:val="005E231F"/>
    <w:rsid w:val="005E2A02"/>
    <w:rsid w:val="005E5356"/>
    <w:rsid w:val="005F1112"/>
    <w:rsid w:val="005F29FA"/>
    <w:rsid w:val="005F5D76"/>
    <w:rsid w:val="005F6C02"/>
    <w:rsid w:val="005F6EDA"/>
    <w:rsid w:val="005F74A1"/>
    <w:rsid w:val="00602CFD"/>
    <w:rsid w:val="00602D6E"/>
    <w:rsid w:val="00604DFD"/>
    <w:rsid w:val="00605C05"/>
    <w:rsid w:val="0061050D"/>
    <w:rsid w:val="00611351"/>
    <w:rsid w:val="00611952"/>
    <w:rsid w:val="0061217D"/>
    <w:rsid w:val="00612715"/>
    <w:rsid w:val="006129AE"/>
    <w:rsid w:val="00616695"/>
    <w:rsid w:val="00617C7A"/>
    <w:rsid w:val="00620AF5"/>
    <w:rsid w:val="00621EBC"/>
    <w:rsid w:val="00622221"/>
    <w:rsid w:val="0062587C"/>
    <w:rsid w:val="00626A79"/>
    <w:rsid w:val="006277A1"/>
    <w:rsid w:val="0062786C"/>
    <w:rsid w:val="00631E45"/>
    <w:rsid w:val="00632F28"/>
    <w:rsid w:val="00633BD7"/>
    <w:rsid w:val="00634580"/>
    <w:rsid w:val="00634884"/>
    <w:rsid w:val="006351D9"/>
    <w:rsid w:val="00635C58"/>
    <w:rsid w:val="00636067"/>
    <w:rsid w:val="00637130"/>
    <w:rsid w:val="00637F0E"/>
    <w:rsid w:val="00641BFC"/>
    <w:rsid w:val="00642232"/>
    <w:rsid w:val="006423F2"/>
    <w:rsid w:val="006428C5"/>
    <w:rsid w:val="00645569"/>
    <w:rsid w:val="00650234"/>
    <w:rsid w:val="0065372F"/>
    <w:rsid w:val="0066044B"/>
    <w:rsid w:val="00660967"/>
    <w:rsid w:val="0066154A"/>
    <w:rsid w:val="006630AA"/>
    <w:rsid w:val="00663544"/>
    <w:rsid w:val="0066380A"/>
    <w:rsid w:val="0066409A"/>
    <w:rsid w:val="00666539"/>
    <w:rsid w:val="00666911"/>
    <w:rsid w:val="00675F81"/>
    <w:rsid w:val="00677883"/>
    <w:rsid w:val="006808B0"/>
    <w:rsid w:val="0068143E"/>
    <w:rsid w:val="00681B14"/>
    <w:rsid w:val="00684237"/>
    <w:rsid w:val="0068507D"/>
    <w:rsid w:val="006863DE"/>
    <w:rsid w:val="00686829"/>
    <w:rsid w:val="00691AF2"/>
    <w:rsid w:val="00691CDD"/>
    <w:rsid w:val="00692B80"/>
    <w:rsid w:val="00692CCD"/>
    <w:rsid w:val="00692D51"/>
    <w:rsid w:val="006933FB"/>
    <w:rsid w:val="00694DD7"/>
    <w:rsid w:val="006955EA"/>
    <w:rsid w:val="0069560D"/>
    <w:rsid w:val="006962F1"/>
    <w:rsid w:val="0069636B"/>
    <w:rsid w:val="00696715"/>
    <w:rsid w:val="006A1762"/>
    <w:rsid w:val="006A19CE"/>
    <w:rsid w:val="006A1E20"/>
    <w:rsid w:val="006A1F0B"/>
    <w:rsid w:val="006A277A"/>
    <w:rsid w:val="006A3FA9"/>
    <w:rsid w:val="006A5973"/>
    <w:rsid w:val="006B04F3"/>
    <w:rsid w:val="006B3970"/>
    <w:rsid w:val="006B5E64"/>
    <w:rsid w:val="006B7126"/>
    <w:rsid w:val="006B7BCA"/>
    <w:rsid w:val="006C6B86"/>
    <w:rsid w:val="006C6BB3"/>
    <w:rsid w:val="006D057F"/>
    <w:rsid w:val="006D4553"/>
    <w:rsid w:val="006D4A35"/>
    <w:rsid w:val="006D6B44"/>
    <w:rsid w:val="006D7850"/>
    <w:rsid w:val="006E0F71"/>
    <w:rsid w:val="006E25AC"/>
    <w:rsid w:val="006E27FE"/>
    <w:rsid w:val="006E3EB2"/>
    <w:rsid w:val="006E67B5"/>
    <w:rsid w:val="006F08A2"/>
    <w:rsid w:val="006F18DC"/>
    <w:rsid w:val="006F20DB"/>
    <w:rsid w:val="00700F79"/>
    <w:rsid w:val="00701110"/>
    <w:rsid w:val="007015E6"/>
    <w:rsid w:val="00702E91"/>
    <w:rsid w:val="0070330F"/>
    <w:rsid w:val="00703624"/>
    <w:rsid w:val="007046ED"/>
    <w:rsid w:val="0070541F"/>
    <w:rsid w:val="007072A1"/>
    <w:rsid w:val="007074D4"/>
    <w:rsid w:val="007101DB"/>
    <w:rsid w:val="0071030B"/>
    <w:rsid w:val="0071060C"/>
    <w:rsid w:val="00710BC5"/>
    <w:rsid w:val="007121CA"/>
    <w:rsid w:val="00712403"/>
    <w:rsid w:val="007134D4"/>
    <w:rsid w:val="007148D7"/>
    <w:rsid w:val="00714AE8"/>
    <w:rsid w:val="0072003B"/>
    <w:rsid w:val="00721059"/>
    <w:rsid w:val="007211E6"/>
    <w:rsid w:val="007212D2"/>
    <w:rsid w:val="007220C4"/>
    <w:rsid w:val="007220F5"/>
    <w:rsid w:val="00723B21"/>
    <w:rsid w:val="007305ED"/>
    <w:rsid w:val="007311B9"/>
    <w:rsid w:val="00731C92"/>
    <w:rsid w:val="00732361"/>
    <w:rsid w:val="007357B9"/>
    <w:rsid w:val="007359C7"/>
    <w:rsid w:val="007413F2"/>
    <w:rsid w:val="00741AB9"/>
    <w:rsid w:val="00742D03"/>
    <w:rsid w:val="00744216"/>
    <w:rsid w:val="007452E8"/>
    <w:rsid w:val="00746990"/>
    <w:rsid w:val="00746D0F"/>
    <w:rsid w:val="00747093"/>
    <w:rsid w:val="00747372"/>
    <w:rsid w:val="00750A67"/>
    <w:rsid w:val="00750D70"/>
    <w:rsid w:val="0075138E"/>
    <w:rsid w:val="00751C58"/>
    <w:rsid w:val="007523E8"/>
    <w:rsid w:val="007566BC"/>
    <w:rsid w:val="0075703C"/>
    <w:rsid w:val="007575D0"/>
    <w:rsid w:val="00757915"/>
    <w:rsid w:val="007601F7"/>
    <w:rsid w:val="00760655"/>
    <w:rsid w:val="007660EC"/>
    <w:rsid w:val="007662E0"/>
    <w:rsid w:val="00767403"/>
    <w:rsid w:val="00776E9C"/>
    <w:rsid w:val="007806CB"/>
    <w:rsid w:val="00780973"/>
    <w:rsid w:val="007816D8"/>
    <w:rsid w:val="0078200D"/>
    <w:rsid w:val="00784150"/>
    <w:rsid w:val="00787CDF"/>
    <w:rsid w:val="00793272"/>
    <w:rsid w:val="00793FE6"/>
    <w:rsid w:val="0079499A"/>
    <w:rsid w:val="007949CA"/>
    <w:rsid w:val="00794B64"/>
    <w:rsid w:val="00796591"/>
    <w:rsid w:val="007967C3"/>
    <w:rsid w:val="00796A9F"/>
    <w:rsid w:val="00797501"/>
    <w:rsid w:val="007A0A32"/>
    <w:rsid w:val="007A0A33"/>
    <w:rsid w:val="007A1132"/>
    <w:rsid w:val="007A3DF1"/>
    <w:rsid w:val="007A4AF2"/>
    <w:rsid w:val="007B04DE"/>
    <w:rsid w:val="007B0AE6"/>
    <w:rsid w:val="007B64B6"/>
    <w:rsid w:val="007B6AB8"/>
    <w:rsid w:val="007C0F0B"/>
    <w:rsid w:val="007C257C"/>
    <w:rsid w:val="007C57BC"/>
    <w:rsid w:val="007D04CA"/>
    <w:rsid w:val="007D0A2B"/>
    <w:rsid w:val="007D12A1"/>
    <w:rsid w:val="007D2C49"/>
    <w:rsid w:val="007D40E5"/>
    <w:rsid w:val="007D4138"/>
    <w:rsid w:val="007D4EE7"/>
    <w:rsid w:val="007D6172"/>
    <w:rsid w:val="007D63E3"/>
    <w:rsid w:val="007E1826"/>
    <w:rsid w:val="007E4178"/>
    <w:rsid w:val="007E49CC"/>
    <w:rsid w:val="007E6443"/>
    <w:rsid w:val="007F0A77"/>
    <w:rsid w:val="007F1E37"/>
    <w:rsid w:val="007F50D3"/>
    <w:rsid w:val="007F6319"/>
    <w:rsid w:val="007F68A5"/>
    <w:rsid w:val="007F6B1F"/>
    <w:rsid w:val="008013F0"/>
    <w:rsid w:val="00803926"/>
    <w:rsid w:val="00803CD9"/>
    <w:rsid w:val="00804897"/>
    <w:rsid w:val="00807137"/>
    <w:rsid w:val="008157D0"/>
    <w:rsid w:val="008203E7"/>
    <w:rsid w:val="0082334D"/>
    <w:rsid w:val="0082515F"/>
    <w:rsid w:val="00825F00"/>
    <w:rsid w:val="008265FC"/>
    <w:rsid w:val="00830789"/>
    <w:rsid w:val="00831BA2"/>
    <w:rsid w:val="00832191"/>
    <w:rsid w:val="008329DB"/>
    <w:rsid w:val="008361C5"/>
    <w:rsid w:val="0083628F"/>
    <w:rsid w:val="00837AB9"/>
    <w:rsid w:val="008453AD"/>
    <w:rsid w:val="00845947"/>
    <w:rsid w:val="0084637F"/>
    <w:rsid w:val="00846AD5"/>
    <w:rsid w:val="00846D8E"/>
    <w:rsid w:val="0084744C"/>
    <w:rsid w:val="0084771A"/>
    <w:rsid w:val="00850637"/>
    <w:rsid w:val="008512E2"/>
    <w:rsid w:val="00852174"/>
    <w:rsid w:val="00854D98"/>
    <w:rsid w:val="0085751E"/>
    <w:rsid w:val="00860B29"/>
    <w:rsid w:val="008622E8"/>
    <w:rsid w:val="00863567"/>
    <w:rsid w:val="008645EE"/>
    <w:rsid w:val="008656C1"/>
    <w:rsid w:val="00865A61"/>
    <w:rsid w:val="0086672F"/>
    <w:rsid w:val="00870130"/>
    <w:rsid w:val="00870144"/>
    <w:rsid w:val="0087072C"/>
    <w:rsid w:val="00871312"/>
    <w:rsid w:val="00871881"/>
    <w:rsid w:val="00872D03"/>
    <w:rsid w:val="00873D7A"/>
    <w:rsid w:val="008746EA"/>
    <w:rsid w:val="00875FE3"/>
    <w:rsid w:val="00877CB3"/>
    <w:rsid w:val="008804CF"/>
    <w:rsid w:val="00882D58"/>
    <w:rsid w:val="00882D88"/>
    <w:rsid w:val="00882F19"/>
    <w:rsid w:val="00883AAF"/>
    <w:rsid w:val="00883D35"/>
    <w:rsid w:val="00884569"/>
    <w:rsid w:val="00884868"/>
    <w:rsid w:val="00884F24"/>
    <w:rsid w:val="00885797"/>
    <w:rsid w:val="0088680D"/>
    <w:rsid w:val="00887A51"/>
    <w:rsid w:val="0089038A"/>
    <w:rsid w:val="00890D9B"/>
    <w:rsid w:val="00891C6C"/>
    <w:rsid w:val="00893CCD"/>
    <w:rsid w:val="00894760"/>
    <w:rsid w:val="008964B3"/>
    <w:rsid w:val="0089756D"/>
    <w:rsid w:val="008A321D"/>
    <w:rsid w:val="008B1CB5"/>
    <w:rsid w:val="008B3EEC"/>
    <w:rsid w:val="008B3F1B"/>
    <w:rsid w:val="008B4997"/>
    <w:rsid w:val="008B5323"/>
    <w:rsid w:val="008C2D69"/>
    <w:rsid w:val="008C2F8C"/>
    <w:rsid w:val="008C4579"/>
    <w:rsid w:val="008C49C6"/>
    <w:rsid w:val="008C4B61"/>
    <w:rsid w:val="008C754C"/>
    <w:rsid w:val="008C7B3A"/>
    <w:rsid w:val="008D4491"/>
    <w:rsid w:val="008D56C9"/>
    <w:rsid w:val="008D56CA"/>
    <w:rsid w:val="008D6A54"/>
    <w:rsid w:val="008D6D87"/>
    <w:rsid w:val="008E0BEF"/>
    <w:rsid w:val="008E1403"/>
    <w:rsid w:val="008E2585"/>
    <w:rsid w:val="008E2D7A"/>
    <w:rsid w:val="008E66E4"/>
    <w:rsid w:val="008E6FBA"/>
    <w:rsid w:val="008F3215"/>
    <w:rsid w:val="008F40FE"/>
    <w:rsid w:val="008F4A62"/>
    <w:rsid w:val="008F7256"/>
    <w:rsid w:val="00903327"/>
    <w:rsid w:val="0090424C"/>
    <w:rsid w:val="00904652"/>
    <w:rsid w:val="00904F9D"/>
    <w:rsid w:val="00905492"/>
    <w:rsid w:val="0090605E"/>
    <w:rsid w:val="00906C74"/>
    <w:rsid w:val="0090760C"/>
    <w:rsid w:val="009101A3"/>
    <w:rsid w:val="009108CE"/>
    <w:rsid w:val="00910A19"/>
    <w:rsid w:val="00911735"/>
    <w:rsid w:val="00911B83"/>
    <w:rsid w:val="00914BD2"/>
    <w:rsid w:val="009152CC"/>
    <w:rsid w:val="00915A9F"/>
    <w:rsid w:val="00916AD4"/>
    <w:rsid w:val="009213C1"/>
    <w:rsid w:val="00924F15"/>
    <w:rsid w:val="00930D58"/>
    <w:rsid w:val="009322E0"/>
    <w:rsid w:val="00933517"/>
    <w:rsid w:val="00935AAA"/>
    <w:rsid w:val="00937C9D"/>
    <w:rsid w:val="009400BF"/>
    <w:rsid w:val="0094047D"/>
    <w:rsid w:val="00941ECB"/>
    <w:rsid w:val="00942C3D"/>
    <w:rsid w:val="009438AE"/>
    <w:rsid w:val="00944302"/>
    <w:rsid w:val="009469D1"/>
    <w:rsid w:val="0095031E"/>
    <w:rsid w:val="00954297"/>
    <w:rsid w:val="00956227"/>
    <w:rsid w:val="00956AA6"/>
    <w:rsid w:val="00960A56"/>
    <w:rsid w:val="00961F35"/>
    <w:rsid w:val="009638D3"/>
    <w:rsid w:val="00966814"/>
    <w:rsid w:val="00966EF1"/>
    <w:rsid w:val="00967223"/>
    <w:rsid w:val="00970C01"/>
    <w:rsid w:val="009711B5"/>
    <w:rsid w:val="00971579"/>
    <w:rsid w:val="00971F3D"/>
    <w:rsid w:val="009726C2"/>
    <w:rsid w:val="009751F7"/>
    <w:rsid w:val="0097633A"/>
    <w:rsid w:val="00980C64"/>
    <w:rsid w:val="0098168B"/>
    <w:rsid w:val="0098258D"/>
    <w:rsid w:val="009834CF"/>
    <w:rsid w:val="00983502"/>
    <w:rsid w:val="0098350E"/>
    <w:rsid w:val="00985A0B"/>
    <w:rsid w:val="00985C9B"/>
    <w:rsid w:val="009904F2"/>
    <w:rsid w:val="00990C12"/>
    <w:rsid w:val="009939B1"/>
    <w:rsid w:val="0099404F"/>
    <w:rsid w:val="0099405D"/>
    <w:rsid w:val="00994A9B"/>
    <w:rsid w:val="00996DE8"/>
    <w:rsid w:val="00996FA5"/>
    <w:rsid w:val="009A0495"/>
    <w:rsid w:val="009A0699"/>
    <w:rsid w:val="009A097E"/>
    <w:rsid w:val="009A5196"/>
    <w:rsid w:val="009A5F7C"/>
    <w:rsid w:val="009A643C"/>
    <w:rsid w:val="009A683D"/>
    <w:rsid w:val="009A6C5C"/>
    <w:rsid w:val="009B1606"/>
    <w:rsid w:val="009B5662"/>
    <w:rsid w:val="009B6470"/>
    <w:rsid w:val="009C12EB"/>
    <w:rsid w:val="009C2211"/>
    <w:rsid w:val="009C3109"/>
    <w:rsid w:val="009C34E4"/>
    <w:rsid w:val="009C40E8"/>
    <w:rsid w:val="009C45C5"/>
    <w:rsid w:val="009C5D4C"/>
    <w:rsid w:val="009D3D52"/>
    <w:rsid w:val="009D5EE9"/>
    <w:rsid w:val="009D7A02"/>
    <w:rsid w:val="009E3F4F"/>
    <w:rsid w:val="009E6858"/>
    <w:rsid w:val="009E6F8C"/>
    <w:rsid w:val="009F405F"/>
    <w:rsid w:val="009F5E1C"/>
    <w:rsid w:val="009F5E29"/>
    <w:rsid w:val="009F689D"/>
    <w:rsid w:val="00A015C1"/>
    <w:rsid w:val="00A01C56"/>
    <w:rsid w:val="00A038EB"/>
    <w:rsid w:val="00A1042F"/>
    <w:rsid w:val="00A11ED3"/>
    <w:rsid w:val="00A13113"/>
    <w:rsid w:val="00A15DA5"/>
    <w:rsid w:val="00A168E9"/>
    <w:rsid w:val="00A2393F"/>
    <w:rsid w:val="00A24CEC"/>
    <w:rsid w:val="00A25262"/>
    <w:rsid w:val="00A311E3"/>
    <w:rsid w:val="00A3210A"/>
    <w:rsid w:val="00A32C50"/>
    <w:rsid w:val="00A35695"/>
    <w:rsid w:val="00A358E7"/>
    <w:rsid w:val="00A406C2"/>
    <w:rsid w:val="00A41746"/>
    <w:rsid w:val="00A4380B"/>
    <w:rsid w:val="00A43AC6"/>
    <w:rsid w:val="00A43D14"/>
    <w:rsid w:val="00A44FB1"/>
    <w:rsid w:val="00A45C4F"/>
    <w:rsid w:val="00A47349"/>
    <w:rsid w:val="00A51577"/>
    <w:rsid w:val="00A51A2D"/>
    <w:rsid w:val="00A5259F"/>
    <w:rsid w:val="00A52D27"/>
    <w:rsid w:val="00A54CFC"/>
    <w:rsid w:val="00A5596B"/>
    <w:rsid w:val="00A571B9"/>
    <w:rsid w:val="00A62E78"/>
    <w:rsid w:val="00A63C07"/>
    <w:rsid w:val="00A63D9B"/>
    <w:rsid w:val="00A704DC"/>
    <w:rsid w:val="00A70EE8"/>
    <w:rsid w:val="00A7425C"/>
    <w:rsid w:val="00A81315"/>
    <w:rsid w:val="00A82B45"/>
    <w:rsid w:val="00A870F8"/>
    <w:rsid w:val="00A93DC6"/>
    <w:rsid w:val="00A9411A"/>
    <w:rsid w:val="00AA3964"/>
    <w:rsid w:val="00AA4A4B"/>
    <w:rsid w:val="00AA6215"/>
    <w:rsid w:val="00AA6682"/>
    <w:rsid w:val="00AB0613"/>
    <w:rsid w:val="00AB49C9"/>
    <w:rsid w:val="00AB7AE5"/>
    <w:rsid w:val="00AB7C5C"/>
    <w:rsid w:val="00AB7CBF"/>
    <w:rsid w:val="00AC6607"/>
    <w:rsid w:val="00AC7E0D"/>
    <w:rsid w:val="00AD0111"/>
    <w:rsid w:val="00AD0B68"/>
    <w:rsid w:val="00AD40C3"/>
    <w:rsid w:val="00AD4C72"/>
    <w:rsid w:val="00AD5451"/>
    <w:rsid w:val="00AD6CF6"/>
    <w:rsid w:val="00AE1947"/>
    <w:rsid w:val="00AE7749"/>
    <w:rsid w:val="00AF1C8B"/>
    <w:rsid w:val="00AF299B"/>
    <w:rsid w:val="00AF2D5E"/>
    <w:rsid w:val="00AF53E7"/>
    <w:rsid w:val="00AF6FDF"/>
    <w:rsid w:val="00AF7E43"/>
    <w:rsid w:val="00B02AE0"/>
    <w:rsid w:val="00B0301D"/>
    <w:rsid w:val="00B03ADC"/>
    <w:rsid w:val="00B03F25"/>
    <w:rsid w:val="00B05326"/>
    <w:rsid w:val="00B05801"/>
    <w:rsid w:val="00B05C6C"/>
    <w:rsid w:val="00B1194D"/>
    <w:rsid w:val="00B11F31"/>
    <w:rsid w:val="00B12928"/>
    <w:rsid w:val="00B14545"/>
    <w:rsid w:val="00B14E60"/>
    <w:rsid w:val="00B15D45"/>
    <w:rsid w:val="00B17BA2"/>
    <w:rsid w:val="00B221B9"/>
    <w:rsid w:val="00B226C5"/>
    <w:rsid w:val="00B25018"/>
    <w:rsid w:val="00B26A82"/>
    <w:rsid w:val="00B26DC3"/>
    <w:rsid w:val="00B30B9D"/>
    <w:rsid w:val="00B37A38"/>
    <w:rsid w:val="00B41DF8"/>
    <w:rsid w:val="00B4574D"/>
    <w:rsid w:val="00B468E1"/>
    <w:rsid w:val="00B46BC0"/>
    <w:rsid w:val="00B46DFB"/>
    <w:rsid w:val="00B5141B"/>
    <w:rsid w:val="00B516D0"/>
    <w:rsid w:val="00B54BA4"/>
    <w:rsid w:val="00B55681"/>
    <w:rsid w:val="00B57AAD"/>
    <w:rsid w:val="00B60082"/>
    <w:rsid w:val="00B62396"/>
    <w:rsid w:val="00B6374E"/>
    <w:rsid w:val="00B64E35"/>
    <w:rsid w:val="00B6548B"/>
    <w:rsid w:val="00B6751E"/>
    <w:rsid w:val="00B72792"/>
    <w:rsid w:val="00B72B16"/>
    <w:rsid w:val="00B72FB6"/>
    <w:rsid w:val="00B73C2D"/>
    <w:rsid w:val="00B80408"/>
    <w:rsid w:val="00B805AB"/>
    <w:rsid w:val="00B80998"/>
    <w:rsid w:val="00B81397"/>
    <w:rsid w:val="00B85978"/>
    <w:rsid w:val="00B90636"/>
    <w:rsid w:val="00B91A39"/>
    <w:rsid w:val="00B91F35"/>
    <w:rsid w:val="00B925DB"/>
    <w:rsid w:val="00B93151"/>
    <w:rsid w:val="00B94E4C"/>
    <w:rsid w:val="00B967FF"/>
    <w:rsid w:val="00B96B5C"/>
    <w:rsid w:val="00B9724A"/>
    <w:rsid w:val="00B974B9"/>
    <w:rsid w:val="00BA1DB0"/>
    <w:rsid w:val="00BA3CC8"/>
    <w:rsid w:val="00BA3F6D"/>
    <w:rsid w:val="00BA4B7A"/>
    <w:rsid w:val="00BA4BE6"/>
    <w:rsid w:val="00BA4FC0"/>
    <w:rsid w:val="00BA61E0"/>
    <w:rsid w:val="00BA657C"/>
    <w:rsid w:val="00BA7986"/>
    <w:rsid w:val="00BA7F7D"/>
    <w:rsid w:val="00BB172D"/>
    <w:rsid w:val="00BB1B3F"/>
    <w:rsid w:val="00BB1C14"/>
    <w:rsid w:val="00BB6847"/>
    <w:rsid w:val="00BB7858"/>
    <w:rsid w:val="00BB7F8F"/>
    <w:rsid w:val="00BC2B88"/>
    <w:rsid w:val="00BC3917"/>
    <w:rsid w:val="00BC58FC"/>
    <w:rsid w:val="00BC716A"/>
    <w:rsid w:val="00BD07DF"/>
    <w:rsid w:val="00BD26F4"/>
    <w:rsid w:val="00BD5DBD"/>
    <w:rsid w:val="00BD5DF6"/>
    <w:rsid w:val="00BE0041"/>
    <w:rsid w:val="00BE08E1"/>
    <w:rsid w:val="00BE28F1"/>
    <w:rsid w:val="00BE325D"/>
    <w:rsid w:val="00BE640F"/>
    <w:rsid w:val="00BE6427"/>
    <w:rsid w:val="00BE6D2A"/>
    <w:rsid w:val="00BE6EF1"/>
    <w:rsid w:val="00BE77C3"/>
    <w:rsid w:val="00BF12F8"/>
    <w:rsid w:val="00BF15A9"/>
    <w:rsid w:val="00BF311F"/>
    <w:rsid w:val="00BF33D9"/>
    <w:rsid w:val="00BF4638"/>
    <w:rsid w:val="00BF5130"/>
    <w:rsid w:val="00BF7FA5"/>
    <w:rsid w:val="00C0070A"/>
    <w:rsid w:val="00C00844"/>
    <w:rsid w:val="00C0138B"/>
    <w:rsid w:val="00C0237C"/>
    <w:rsid w:val="00C029C1"/>
    <w:rsid w:val="00C02A15"/>
    <w:rsid w:val="00C059D0"/>
    <w:rsid w:val="00C05E31"/>
    <w:rsid w:val="00C0619D"/>
    <w:rsid w:val="00C06A0A"/>
    <w:rsid w:val="00C07551"/>
    <w:rsid w:val="00C078E7"/>
    <w:rsid w:val="00C07B91"/>
    <w:rsid w:val="00C105D9"/>
    <w:rsid w:val="00C1109F"/>
    <w:rsid w:val="00C12D65"/>
    <w:rsid w:val="00C133AB"/>
    <w:rsid w:val="00C1369B"/>
    <w:rsid w:val="00C15388"/>
    <w:rsid w:val="00C1781E"/>
    <w:rsid w:val="00C20B56"/>
    <w:rsid w:val="00C22214"/>
    <w:rsid w:val="00C225D1"/>
    <w:rsid w:val="00C22B7F"/>
    <w:rsid w:val="00C23775"/>
    <w:rsid w:val="00C24677"/>
    <w:rsid w:val="00C26199"/>
    <w:rsid w:val="00C267E6"/>
    <w:rsid w:val="00C26F72"/>
    <w:rsid w:val="00C309A7"/>
    <w:rsid w:val="00C335AB"/>
    <w:rsid w:val="00C407AB"/>
    <w:rsid w:val="00C409C3"/>
    <w:rsid w:val="00C4118D"/>
    <w:rsid w:val="00C4212B"/>
    <w:rsid w:val="00C47D19"/>
    <w:rsid w:val="00C50500"/>
    <w:rsid w:val="00C52B7B"/>
    <w:rsid w:val="00C5430B"/>
    <w:rsid w:val="00C547CD"/>
    <w:rsid w:val="00C570FF"/>
    <w:rsid w:val="00C57CEA"/>
    <w:rsid w:val="00C60FEC"/>
    <w:rsid w:val="00C62B1C"/>
    <w:rsid w:val="00C64B59"/>
    <w:rsid w:val="00C6574E"/>
    <w:rsid w:val="00C663D1"/>
    <w:rsid w:val="00C707FD"/>
    <w:rsid w:val="00C74574"/>
    <w:rsid w:val="00C76DEB"/>
    <w:rsid w:val="00C811D8"/>
    <w:rsid w:val="00C816C6"/>
    <w:rsid w:val="00C82298"/>
    <w:rsid w:val="00C8635A"/>
    <w:rsid w:val="00C863A7"/>
    <w:rsid w:val="00C87E31"/>
    <w:rsid w:val="00C908EF"/>
    <w:rsid w:val="00C912F4"/>
    <w:rsid w:val="00C9156F"/>
    <w:rsid w:val="00C934F6"/>
    <w:rsid w:val="00C94501"/>
    <w:rsid w:val="00C94FC8"/>
    <w:rsid w:val="00C9581A"/>
    <w:rsid w:val="00C95E4B"/>
    <w:rsid w:val="00C977A6"/>
    <w:rsid w:val="00C97977"/>
    <w:rsid w:val="00C97D29"/>
    <w:rsid w:val="00CA3C0E"/>
    <w:rsid w:val="00CA43A9"/>
    <w:rsid w:val="00CA7D13"/>
    <w:rsid w:val="00CB0550"/>
    <w:rsid w:val="00CB1043"/>
    <w:rsid w:val="00CB2CE1"/>
    <w:rsid w:val="00CB4659"/>
    <w:rsid w:val="00CB6813"/>
    <w:rsid w:val="00CC33D3"/>
    <w:rsid w:val="00CC3629"/>
    <w:rsid w:val="00CE0232"/>
    <w:rsid w:val="00CE0747"/>
    <w:rsid w:val="00CE3A51"/>
    <w:rsid w:val="00CE7E27"/>
    <w:rsid w:val="00CF24FF"/>
    <w:rsid w:val="00CF34E6"/>
    <w:rsid w:val="00CF4F4F"/>
    <w:rsid w:val="00CF5380"/>
    <w:rsid w:val="00CF5AFD"/>
    <w:rsid w:val="00CF63C8"/>
    <w:rsid w:val="00CF6A55"/>
    <w:rsid w:val="00CF6DC6"/>
    <w:rsid w:val="00CF6DCF"/>
    <w:rsid w:val="00D00E40"/>
    <w:rsid w:val="00D01DDB"/>
    <w:rsid w:val="00D078BE"/>
    <w:rsid w:val="00D108B2"/>
    <w:rsid w:val="00D126AA"/>
    <w:rsid w:val="00D13F8A"/>
    <w:rsid w:val="00D16F60"/>
    <w:rsid w:val="00D206A0"/>
    <w:rsid w:val="00D22981"/>
    <w:rsid w:val="00D25701"/>
    <w:rsid w:val="00D30ED3"/>
    <w:rsid w:val="00D31F10"/>
    <w:rsid w:val="00D325DB"/>
    <w:rsid w:val="00D32A27"/>
    <w:rsid w:val="00D3349B"/>
    <w:rsid w:val="00D3417D"/>
    <w:rsid w:val="00D37BFC"/>
    <w:rsid w:val="00D424A8"/>
    <w:rsid w:val="00D434E5"/>
    <w:rsid w:val="00D44230"/>
    <w:rsid w:val="00D44415"/>
    <w:rsid w:val="00D5136B"/>
    <w:rsid w:val="00D53834"/>
    <w:rsid w:val="00D6036F"/>
    <w:rsid w:val="00D6149E"/>
    <w:rsid w:val="00D62028"/>
    <w:rsid w:val="00D62877"/>
    <w:rsid w:val="00D63760"/>
    <w:rsid w:val="00D65025"/>
    <w:rsid w:val="00D66C81"/>
    <w:rsid w:val="00D6703F"/>
    <w:rsid w:val="00D71DEB"/>
    <w:rsid w:val="00D71FA9"/>
    <w:rsid w:val="00D734EB"/>
    <w:rsid w:val="00D73659"/>
    <w:rsid w:val="00D738A9"/>
    <w:rsid w:val="00D73A42"/>
    <w:rsid w:val="00D75055"/>
    <w:rsid w:val="00D750C8"/>
    <w:rsid w:val="00D77B7D"/>
    <w:rsid w:val="00D82713"/>
    <w:rsid w:val="00D83BB0"/>
    <w:rsid w:val="00D846B4"/>
    <w:rsid w:val="00D86F00"/>
    <w:rsid w:val="00D918D5"/>
    <w:rsid w:val="00D94C8E"/>
    <w:rsid w:val="00D95F97"/>
    <w:rsid w:val="00DA4ABE"/>
    <w:rsid w:val="00DB1372"/>
    <w:rsid w:val="00DB192C"/>
    <w:rsid w:val="00DB1CF3"/>
    <w:rsid w:val="00DB2204"/>
    <w:rsid w:val="00DB5425"/>
    <w:rsid w:val="00DB5DAD"/>
    <w:rsid w:val="00DB5F15"/>
    <w:rsid w:val="00DB6D3A"/>
    <w:rsid w:val="00DB72A6"/>
    <w:rsid w:val="00DC2001"/>
    <w:rsid w:val="00DC2D62"/>
    <w:rsid w:val="00DC33AF"/>
    <w:rsid w:val="00DC6611"/>
    <w:rsid w:val="00DD2CF4"/>
    <w:rsid w:val="00DD4E54"/>
    <w:rsid w:val="00DD5AFB"/>
    <w:rsid w:val="00DD738E"/>
    <w:rsid w:val="00DD7B10"/>
    <w:rsid w:val="00DE113A"/>
    <w:rsid w:val="00DE1344"/>
    <w:rsid w:val="00DE48AD"/>
    <w:rsid w:val="00DE77D8"/>
    <w:rsid w:val="00DF14DF"/>
    <w:rsid w:val="00DF1CFD"/>
    <w:rsid w:val="00DF5BFE"/>
    <w:rsid w:val="00DF71E3"/>
    <w:rsid w:val="00E0162B"/>
    <w:rsid w:val="00E0523F"/>
    <w:rsid w:val="00E10FD2"/>
    <w:rsid w:val="00E1123C"/>
    <w:rsid w:val="00E12606"/>
    <w:rsid w:val="00E20F92"/>
    <w:rsid w:val="00E21201"/>
    <w:rsid w:val="00E23E50"/>
    <w:rsid w:val="00E26213"/>
    <w:rsid w:val="00E274DF"/>
    <w:rsid w:val="00E3383B"/>
    <w:rsid w:val="00E33E87"/>
    <w:rsid w:val="00E34D66"/>
    <w:rsid w:val="00E362C4"/>
    <w:rsid w:val="00E37026"/>
    <w:rsid w:val="00E457A7"/>
    <w:rsid w:val="00E46009"/>
    <w:rsid w:val="00E46CC2"/>
    <w:rsid w:val="00E47E0C"/>
    <w:rsid w:val="00E51813"/>
    <w:rsid w:val="00E52AFA"/>
    <w:rsid w:val="00E52C0B"/>
    <w:rsid w:val="00E53D3F"/>
    <w:rsid w:val="00E54196"/>
    <w:rsid w:val="00E54792"/>
    <w:rsid w:val="00E5579B"/>
    <w:rsid w:val="00E57FF4"/>
    <w:rsid w:val="00E61763"/>
    <w:rsid w:val="00E61A72"/>
    <w:rsid w:val="00E65157"/>
    <w:rsid w:val="00E679D1"/>
    <w:rsid w:val="00E67C1C"/>
    <w:rsid w:val="00E70445"/>
    <w:rsid w:val="00E71C3A"/>
    <w:rsid w:val="00E762A1"/>
    <w:rsid w:val="00E76FCD"/>
    <w:rsid w:val="00E77310"/>
    <w:rsid w:val="00E8704E"/>
    <w:rsid w:val="00E91F11"/>
    <w:rsid w:val="00E94FB6"/>
    <w:rsid w:val="00E9706D"/>
    <w:rsid w:val="00E977E8"/>
    <w:rsid w:val="00EA172A"/>
    <w:rsid w:val="00EA292F"/>
    <w:rsid w:val="00EA2CE5"/>
    <w:rsid w:val="00EA2ECA"/>
    <w:rsid w:val="00EA3AF4"/>
    <w:rsid w:val="00EA3C28"/>
    <w:rsid w:val="00EB2CB4"/>
    <w:rsid w:val="00EB43BB"/>
    <w:rsid w:val="00EB495C"/>
    <w:rsid w:val="00EB4D60"/>
    <w:rsid w:val="00EC0668"/>
    <w:rsid w:val="00EC19A6"/>
    <w:rsid w:val="00EC40CB"/>
    <w:rsid w:val="00EC5BAA"/>
    <w:rsid w:val="00EC676C"/>
    <w:rsid w:val="00EC6894"/>
    <w:rsid w:val="00ED281B"/>
    <w:rsid w:val="00ED3CC3"/>
    <w:rsid w:val="00ED794F"/>
    <w:rsid w:val="00EE031B"/>
    <w:rsid w:val="00EE4B01"/>
    <w:rsid w:val="00EE566B"/>
    <w:rsid w:val="00EE797F"/>
    <w:rsid w:val="00EF34DF"/>
    <w:rsid w:val="00EF3F0B"/>
    <w:rsid w:val="00EF5583"/>
    <w:rsid w:val="00EF6012"/>
    <w:rsid w:val="00EF734D"/>
    <w:rsid w:val="00F00DB4"/>
    <w:rsid w:val="00F027E3"/>
    <w:rsid w:val="00F0289D"/>
    <w:rsid w:val="00F02AEC"/>
    <w:rsid w:val="00F03A7C"/>
    <w:rsid w:val="00F07334"/>
    <w:rsid w:val="00F07572"/>
    <w:rsid w:val="00F07932"/>
    <w:rsid w:val="00F11F07"/>
    <w:rsid w:val="00F126D7"/>
    <w:rsid w:val="00F157FC"/>
    <w:rsid w:val="00F16340"/>
    <w:rsid w:val="00F1651D"/>
    <w:rsid w:val="00F16C29"/>
    <w:rsid w:val="00F22108"/>
    <w:rsid w:val="00F230F0"/>
    <w:rsid w:val="00F23D79"/>
    <w:rsid w:val="00F2776F"/>
    <w:rsid w:val="00F30AF3"/>
    <w:rsid w:val="00F315FB"/>
    <w:rsid w:val="00F32426"/>
    <w:rsid w:val="00F358DE"/>
    <w:rsid w:val="00F370D6"/>
    <w:rsid w:val="00F376C0"/>
    <w:rsid w:val="00F42440"/>
    <w:rsid w:val="00F436A7"/>
    <w:rsid w:val="00F43732"/>
    <w:rsid w:val="00F43CD1"/>
    <w:rsid w:val="00F45AE0"/>
    <w:rsid w:val="00F46073"/>
    <w:rsid w:val="00F478EF"/>
    <w:rsid w:val="00F5528B"/>
    <w:rsid w:val="00F6027D"/>
    <w:rsid w:val="00F60CF2"/>
    <w:rsid w:val="00F61D4D"/>
    <w:rsid w:val="00F62D85"/>
    <w:rsid w:val="00F657B4"/>
    <w:rsid w:val="00F65BA9"/>
    <w:rsid w:val="00F7120B"/>
    <w:rsid w:val="00F72725"/>
    <w:rsid w:val="00F73C2B"/>
    <w:rsid w:val="00F7649F"/>
    <w:rsid w:val="00F776A8"/>
    <w:rsid w:val="00F8083B"/>
    <w:rsid w:val="00F82D1B"/>
    <w:rsid w:val="00F85636"/>
    <w:rsid w:val="00F8566D"/>
    <w:rsid w:val="00F8568E"/>
    <w:rsid w:val="00F86448"/>
    <w:rsid w:val="00F865A7"/>
    <w:rsid w:val="00F87010"/>
    <w:rsid w:val="00F92D3A"/>
    <w:rsid w:val="00F95AF3"/>
    <w:rsid w:val="00F96213"/>
    <w:rsid w:val="00FA04DB"/>
    <w:rsid w:val="00FA0754"/>
    <w:rsid w:val="00FA14CE"/>
    <w:rsid w:val="00FA1BC9"/>
    <w:rsid w:val="00FA49C3"/>
    <w:rsid w:val="00FA4D4B"/>
    <w:rsid w:val="00FA594E"/>
    <w:rsid w:val="00FA5C86"/>
    <w:rsid w:val="00FB14D7"/>
    <w:rsid w:val="00FB236E"/>
    <w:rsid w:val="00FB3F7B"/>
    <w:rsid w:val="00FB41CB"/>
    <w:rsid w:val="00FB4C2A"/>
    <w:rsid w:val="00FB794B"/>
    <w:rsid w:val="00FC0741"/>
    <w:rsid w:val="00FC1400"/>
    <w:rsid w:val="00FC2107"/>
    <w:rsid w:val="00FC2CFB"/>
    <w:rsid w:val="00FC328E"/>
    <w:rsid w:val="00FC332A"/>
    <w:rsid w:val="00FC48FE"/>
    <w:rsid w:val="00FC51B7"/>
    <w:rsid w:val="00FC5EED"/>
    <w:rsid w:val="00FC679E"/>
    <w:rsid w:val="00FC6F56"/>
    <w:rsid w:val="00FC7B4F"/>
    <w:rsid w:val="00FD0B02"/>
    <w:rsid w:val="00FD1B09"/>
    <w:rsid w:val="00FD2FD6"/>
    <w:rsid w:val="00FD3EFD"/>
    <w:rsid w:val="00FD4503"/>
    <w:rsid w:val="00FE087C"/>
    <w:rsid w:val="00FE13DC"/>
    <w:rsid w:val="00FE47AF"/>
    <w:rsid w:val="00FE6C81"/>
    <w:rsid w:val="00FE79A0"/>
    <w:rsid w:val="00FF0939"/>
    <w:rsid w:val="00FF2032"/>
    <w:rsid w:val="00FF25C5"/>
    <w:rsid w:val="00FF2DAE"/>
    <w:rsid w:val="00FF340D"/>
    <w:rsid w:val="00FF3F39"/>
    <w:rsid w:val="00FF4559"/>
    <w:rsid w:val="00FF45A4"/>
    <w:rsid w:val="00FF4DC7"/>
    <w:rsid w:val="00FF75A2"/>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hyperlink" Target="mailto:vaccines@health.gov.au" TargetMode="Externa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6.png"/><Relationship Id="rId42" Type="http://schemas.openxmlformats.org/officeDocument/2006/relationships/hyperlink" Target="https://www.ebs.tga.gov.au/"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tga.gov.au/resources/resource/guidance/risk-management-plans-medicines-and-biologicals/australia-specific-annex-eu-rmp" TargetMode="External"/><Relationship Id="rId40" Type="http://schemas.openxmlformats.org/officeDocument/2006/relationships/hyperlink" Target="https://www.tga.gov.au/guidance-7-certified-product-details" TargetMode="External"/><Relationship Id="rId45" Type="http://schemas.openxmlformats.org/officeDocument/2006/relationships/hyperlink" Target="mailto:info@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tga.gov.au/tgas-risk-management-approach"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tga.gov.au/publication/risk-management-plans-medicines-and-biologicals" TargetMode="External"/><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tga.gov.au/resources/resource/guidance/risk-management-plans-medicines-and-biologicals/australia-specific-annex-eu-rmp" TargetMode="External"/><Relationship Id="rId46" Type="http://schemas.openxmlformats.org/officeDocument/2006/relationships/hyperlink" Target="https://www.tga.gov.au" TargetMode="External"/><Relationship Id="rId20" Type="http://schemas.openxmlformats.org/officeDocument/2006/relationships/hyperlink" Target="https://www.tga.gov.au/obstetric-drug-information-services" TargetMode="External"/><Relationship Id="rId41" Type="http://schemas.openxmlformats.org/officeDocument/2006/relationships/hyperlink" Target="https://www.tga.gov.au/form/certified-productdetails-cpd-biological-prescription-medicin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16/S1473-3099(25)00236-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478049D6F4B4408C09CDB7EF399612" ma:contentTypeVersion="9" ma:contentTypeDescription="Create a new document." ma:contentTypeScope="" ma:versionID="cd498cd864c43674225318cf11a81f74">
  <xsd:schema xmlns:xsd="http://www.w3.org/2001/XMLSchema" xmlns:xs="http://www.w3.org/2001/XMLSchema" xmlns:p="http://schemas.microsoft.com/office/2006/metadata/properties" xmlns:ns2="fe8e9ee1-c2e3-4952-8c38-c734ea004ddf" xmlns:ns3="e75b8da0-2475-4e39-99e2-00680a850146" targetNamespace="http://schemas.microsoft.com/office/2006/metadata/properties" ma:root="true" ma:fieldsID="3e76352a9de17812172fb37a9ff42415" ns2:_="" ns3:_="">
    <xsd:import namespace="fe8e9ee1-c2e3-4952-8c38-c734ea004ddf"/>
    <xsd:import namespace="e75b8da0-2475-4e39-99e2-00680a850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9ee1-c2e3-4952-8c38-c734ea004d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b8da0-2475-4e39-99e2-00680a850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D8AB3-4A7C-428E-A888-178338D99541}">
  <ds:schemaRefs>
    <ds:schemaRef ds:uri="http://schemas.microsoft.com/sharepoint/v3/contenttype/forms"/>
  </ds:schemaRefs>
</ds:datastoreItem>
</file>

<file path=customXml/itemProps2.xml><?xml version="1.0" encoding="utf-8"?>
<ds:datastoreItem xmlns:ds="http://schemas.openxmlformats.org/officeDocument/2006/customXml" ds:itemID="{C2E26428-578B-41E9-9FD4-5BCBD0F9C9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5FD7E8-37D6-4E8D-8E8E-228DEF0EC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9ee1-c2e3-4952-8c38-c734ea004ddf"/>
    <ds:schemaRef ds:uri="e75b8da0-2475-4e39-99e2-00680a850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8736</Words>
  <Characters>56380</Characters>
  <Application>Microsoft Office Word</Application>
  <DocSecurity>0</DocSecurity>
  <Lines>469</Lines>
  <Paragraphs>129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64987</CharactersWithSpaces>
  <SharedDoc>false</SharedDoc>
  <HLinks>
    <vt:vector size="252" baseType="variant">
      <vt:variant>
        <vt:i4>3473445</vt:i4>
      </vt:variant>
      <vt:variant>
        <vt:i4>354</vt:i4>
      </vt:variant>
      <vt:variant>
        <vt:i4>0</vt:i4>
      </vt:variant>
      <vt:variant>
        <vt:i4>5</vt:i4>
      </vt:variant>
      <vt:variant>
        <vt:lpwstr>https://www.tga.gov.au/</vt:lpwstr>
      </vt:variant>
      <vt:variant>
        <vt:lpwstr/>
      </vt:variant>
      <vt:variant>
        <vt:i4>5242926</vt:i4>
      </vt:variant>
      <vt:variant>
        <vt:i4>351</vt:i4>
      </vt:variant>
      <vt:variant>
        <vt:i4>0</vt:i4>
      </vt:variant>
      <vt:variant>
        <vt:i4>5</vt:i4>
      </vt:variant>
      <vt:variant>
        <vt:lpwstr>mailto:info@tga.gov.au</vt:lpwstr>
      </vt:variant>
      <vt:variant>
        <vt:lpwstr/>
      </vt:variant>
      <vt:variant>
        <vt:i4>7929907</vt:i4>
      </vt:variant>
      <vt:variant>
        <vt:i4>348</vt:i4>
      </vt:variant>
      <vt:variant>
        <vt:i4>0</vt:i4>
      </vt:variant>
      <vt:variant>
        <vt:i4>5</vt:i4>
      </vt:variant>
      <vt:variant>
        <vt:lpwstr>https://www.ebs.tga.gov.au/</vt:lpwstr>
      </vt:variant>
      <vt:variant>
        <vt:lpwstr/>
      </vt:variant>
      <vt:variant>
        <vt:i4>8192063</vt:i4>
      </vt:variant>
      <vt:variant>
        <vt:i4>342</vt:i4>
      </vt:variant>
      <vt:variant>
        <vt:i4>0</vt:i4>
      </vt:variant>
      <vt:variant>
        <vt:i4>5</vt:i4>
      </vt:variant>
      <vt:variant>
        <vt:lpwstr>https://www.tga.gov.au/form/certified-productdetails-cpd-biological-prescription-medicines</vt:lpwstr>
      </vt:variant>
      <vt:variant>
        <vt:lpwstr/>
      </vt:variant>
      <vt:variant>
        <vt:i4>3538997</vt:i4>
      </vt:variant>
      <vt:variant>
        <vt:i4>339</vt:i4>
      </vt:variant>
      <vt:variant>
        <vt:i4>0</vt:i4>
      </vt:variant>
      <vt:variant>
        <vt:i4>5</vt:i4>
      </vt:variant>
      <vt:variant>
        <vt:lpwstr>https://www.tga.gov.au/guidance-7-certified-product-details</vt:lpwstr>
      </vt:variant>
      <vt:variant>
        <vt:lpwstr/>
      </vt:variant>
      <vt:variant>
        <vt:i4>2752583</vt:i4>
      </vt:variant>
      <vt:variant>
        <vt:i4>336</vt:i4>
      </vt:variant>
      <vt:variant>
        <vt:i4>0</vt:i4>
      </vt:variant>
      <vt:variant>
        <vt:i4>5</vt:i4>
      </vt:variant>
      <vt:variant>
        <vt:lpwstr>mailto:vaccines@health.gov.au</vt:lpwstr>
      </vt:variant>
      <vt:variant>
        <vt:lpwstr/>
      </vt:variant>
      <vt:variant>
        <vt:i4>2424877</vt:i4>
      </vt:variant>
      <vt:variant>
        <vt:i4>318</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315</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312</vt:i4>
      </vt:variant>
      <vt:variant>
        <vt:i4>0</vt:i4>
      </vt:variant>
      <vt:variant>
        <vt:i4>5</vt:i4>
      </vt:variant>
      <vt:variant>
        <vt:lpwstr>https://www.tga.gov.au/tgas-risk-management-approach</vt:lpwstr>
      </vt:variant>
      <vt:variant>
        <vt:lpwstr/>
      </vt:variant>
      <vt:variant>
        <vt:i4>7929888</vt:i4>
      </vt:variant>
      <vt:variant>
        <vt:i4>309</vt:i4>
      </vt:variant>
      <vt:variant>
        <vt:i4>0</vt:i4>
      </vt:variant>
      <vt:variant>
        <vt:i4>5</vt:i4>
      </vt:variant>
      <vt:variant>
        <vt:lpwstr>https://www.tga.gov.au/publication/risk-management-plans-medicines-and-biologicals</vt:lpwstr>
      </vt:variant>
      <vt:variant>
        <vt:lpwstr/>
      </vt:variant>
      <vt:variant>
        <vt:i4>1835097</vt:i4>
      </vt:variant>
      <vt:variant>
        <vt:i4>225</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3670063</vt:i4>
      </vt:variant>
      <vt:variant>
        <vt:i4>192</vt:i4>
      </vt:variant>
      <vt:variant>
        <vt:i4>0</vt:i4>
      </vt:variant>
      <vt:variant>
        <vt:i4>5</vt:i4>
      </vt:variant>
      <vt:variant>
        <vt:lpwstr>https://www.tga.gov.au/obstetric-drug-information-services</vt:lpwstr>
      </vt:variant>
      <vt:variant>
        <vt:lpwstr/>
      </vt:variant>
      <vt:variant>
        <vt:i4>2949173</vt:i4>
      </vt:variant>
      <vt:variant>
        <vt:i4>189</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186</vt:i4>
      </vt:variant>
      <vt:variant>
        <vt:i4>0</vt:i4>
      </vt:variant>
      <vt:variant>
        <vt:i4>5</vt:i4>
      </vt:variant>
      <vt:variant>
        <vt:lpwstr>https://www.tga.gov.au/black-triangle-scheme</vt:lpwstr>
      </vt:variant>
      <vt:variant>
        <vt:lpwstr/>
      </vt:variant>
      <vt:variant>
        <vt:i4>1769521</vt:i4>
      </vt:variant>
      <vt:variant>
        <vt:i4>170</vt:i4>
      </vt:variant>
      <vt:variant>
        <vt:i4>0</vt:i4>
      </vt:variant>
      <vt:variant>
        <vt:i4>5</vt:i4>
      </vt:variant>
      <vt:variant>
        <vt:lpwstr/>
      </vt:variant>
      <vt:variant>
        <vt:lpwstr>_Toc227855131</vt:lpwstr>
      </vt:variant>
      <vt:variant>
        <vt:i4>1769521</vt:i4>
      </vt:variant>
      <vt:variant>
        <vt:i4>164</vt:i4>
      </vt:variant>
      <vt:variant>
        <vt:i4>0</vt:i4>
      </vt:variant>
      <vt:variant>
        <vt:i4>5</vt:i4>
      </vt:variant>
      <vt:variant>
        <vt:lpwstr/>
      </vt:variant>
      <vt:variant>
        <vt:lpwstr>_Toc227855130</vt:lpwstr>
      </vt:variant>
      <vt:variant>
        <vt:i4>1703985</vt:i4>
      </vt:variant>
      <vt:variant>
        <vt:i4>158</vt:i4>
      </vt:variant>
      <vt:variant>
        <vt:i4>0</vt:i4>
      </vt:variant>
      <vt:variant>
        <vt:i4>5</vt:i4>
      </vt:variant>
      <vt:variant>
        <vt:lpwstr/>
      </vt:variant>
      <vt:variant>
        <vt:lpwstr>_Toc227855129</vt:lpwstr>
      </vt:variant>
      <vt:variant>
        <vt:i4>1703985</vt:i4>
      </vt:variant>
      <vt:variant>
        <vt:i4>152</vt:i4>
      </vt:variant>
      <vt:variant>
        <vt:i4>0</vt:i4>
      </vt:variant>
      <vt:variant>
        <vt:i4>5</vt:i4>
      </vt:variant>
      <vt:variant>
        <vt:lpwstr/>
      </vt:variant>
      <vt:variant>
        <vt:lpwstr>_Toc227855128</vt:lpwstr>
      </vt:variant>
      <vt:variant>
        <vt:i4>1703985</vt:i4>
      </vt:variant>
      <vt:variant>
        <vt:i4>146</vt:i4>
      </vt:variant>
      <vt:variant>
        <vt:i4>0</vt:i4>
      </vt:variant>
      <vt:variant>
        <vt:i4>5</vt:i4>
      </vt:variant>
      <vt:variant>
        <vt:lpwstr/>
      </vt:variant>
      <vt:variant>
        <vt:lpwstr>_Toc227855127</vt:lpwstr>
      </vt:variant>
      <vt:variant>
        <vt:i4>1703985</vt:i4>
      </vt:variant>
      <vt:variant>
        <vt:i4>140</vt:i4>
      </vt:variant>
      <vt:variant>
        <vt:i4>0</vt:i4>
      </vt:variant>
      <vt:variant>
        <vt:i4>5</vt:i4>
      </vt:variant>
      <vt:variant>
        <vt:lpwstr/>
      </vt:variant>
      <vt:variant>
        <vt:lpwstr>_Toc227855126</vt:lpwstr>
      </vt:variant>
      <vt:variant>
        <vt:i4>1703985</vt:i4>
      </vt:variant>
      <vt:variant>
        <vt:i4>134</vt:i4>
      </vt:variant>
      <vt:variant>
        <vt:i4>0</vt:i4>
      </vt:variant>
      <vt:variant>
        <vt:i4>5</vt:i4>
      </vt:variant>
      <vt:variant>
        <vt:lpwstr/>
      </vt:variant>
      <vt:variant>
        <vt:lpwstr>_Toc227855125</vt:lpwstr>
      </vt:variant>
      <vt:variant>
        <vt:i4>1703985</vt:i4>
      </vt:variant>
      <vt:variant>
        <vt:i4>128</vt:i4>
      </vt:variant>
      <vt:variant>
        <vt:i4>0</vt:i4>
      </vt:variant>
      <vt:variant>
        <vt:i4>5</vt:i4>
      </vt:variant>
      <vt:variant>
        <vt:lpwstr/>
      </vt:variant>
      <vt:variant>
        <vt:lpwstr>_Toc227855124</vt:lpwstr>
      </vt:variant>
      <vt:variant>
        <vt:i4>1703985</vt:i4>
      </vt:variant>
      <vt:variant>
        <vt:i4>122</vt:i4>
      </vt:variant>
      <vt:variant>
        <vt:i4>0</vt:i4>
      </vt:variant>
      <vt:variant>
        <vt:i4>5</vt:i4>
      </vt:variant>
      <vt:variant>
        <vt:lpwstr/>
      </vt:variant>
      <vt:variant>
        <vt:lpwstr>_Toc227855123</vt:lpwstr>
      </vt:variant>
      <vt:variant>
        <vt:i4>1703985</vt:i4>
      </vt:variant>
      <vt:variant>
        <vt:i4>116</vt:i4>
      </vt:variant>
      <vt:variant>
        <vt:i4>0</vt:i4>
      </vt:variant>
      <vt:variant>
        <vt:i4>5</vt:i4>
      </vt:variant>
      <vt:variant>
        <vt:lpwstr/>
      </vt:variant>
      <vt:variant>
        <vt:lpwstr>_Toc227855122</vt:lpwstr>
      </vt:variant>
      <vt:variant>
        <vt:i4>1703985</vt:i4>
      </vt:variant>
      <vt:variant>
        <vt:i4>110</vt:i4>
      </vt:variant>
      <vt:variant>
        <vt:i4>0</vt:i4>
      </vt:variant>
      <vt:variant>
        <vt:i4>5</vt:i4>
      </vt:variant>
      <vt:variant>
        <vt:lpwstr/>
      </vt:variant>
      <vt:variant>
        <vt:lpwstr>_Toc227855121</vt:lpwstr>
      </vt:variant>
      <vt:variant>
        <vt:i4>1703985</vt:i4>
      </vt:variant>
      <vt:variant>
        <vt:i4>104</vt:i4>
      </vt:variant>
      <vt:variant>
        <vt:i4>0</vt:i4>
      </vt:variant>
      <vt:variant>
        <vt:i4>5</vt:i4>
      </vt:variant>
      <vt:variant>
        <vt:lpwstr/>
      </vt:variant>
      <vt:variant>
        <vt:lpwstr>_Toc227855120</vt:lpwstr>
      </vt:variant>
      <vt:variant>
        <vt:i4>1638449</vt:i4>
      </vt:variant>
      <vt:variant>
        <vt:i4>98</vt:i4>
      </vt:variant>
      <vt:variant>
        <vt:i4>0</vt:i4>
      </vt:variant>
      <vt:variant>
        <vt:i4>5</vt:i4>
      </vt:variant>
      <vt:variant>
        <vt:lpwstr/>
      </vt:variant>
      <vt:variant>
        <vt:lpwstr>_Toc227855119</vt:lpwstr>
      </vt:variant>
      <vt:variant>
        <vt:i4>1638449</vt:i4>
      </vt:variant>
      <vt:variant>
        <vt:i4>92</vt:i4>
      </vt:variant>
      <vt:variant>
        <vt:i4>0</vt:i4>
      </vt:variant>
      <vt:variant>
        <vt:i4>5</vt:i4>
      </vt:variant>
      <vt:variant>
        <vt:lpwstr/>
      </vt:variant>
      <vt:variant>
        <vt:lpwstr>_Toc227855118</vt:lpwstr>
      </vt:variant>
      <vt:variant>
        <vt:i4>1638449</vt:i4>
      </vt:variant>
      <vt:variant>
        <vt:i4>86</vt:i4>
      </vt:variant>
      <vt:variant>
        <vt:i4>0</vt:i4>
      </vt:variant>
      <vt:variant>
        <vt:i4>5</vt:i4>
      </vt:variant>
      <vt:variant>
        <vt:lpwstr/>
      </vt:variant>
      <vt:variant>
        <vt:lpwstr>_Toc227855117</vt:lpwstr>
      </vt:variant>
      <vt:variant>
        <vt:i4>1638449</vt:i4>
      </vt:variant>
      <vt:variant>
        <vt:i4>80</vt:i4>
      </vt:variant>
      <vt:variant>
        <vt:i4>0</vt:i4>
      </vt:variant>
      <vt:variant>
        <vt:i4>5</vt:i4>
      </vt:variant>
      <vt:variant>
        <vt:lpwstr/>
      </vt:variant>
      <vt:variant>
        <vt:lpwstr>_Toc227855116</vt:lpwstr>
      </vt:variant>
      <vt:variant>
        <vt:i4>1638449</vt:i4>
      </vt:variant>
      <vt:variant>
        <vt:i4>74</vt:i4>
      </vt:variant>
      <vt:variant>
        <vt:i4>0</vt:i4>
      </vt:variant>
      <vt:variant>
        <vt:i4>5</vt:i4>
      </vt:variant>
      <vt:variant>
        <vt:lpwstr/>
      </vt:variant>
      <vt:variant>
        <vt:lpwstr>_Toc227855115</vt:lpwstr>
      </vt:variant>
      <vt:variant>
        <vt:i4>1638449</vt:i4>
      </vt:variant>
      <vt:variant>
        <vt:i4>68</vt:i4>
      </vt:variant>
      <vt:variant>
        <vt:i4>0</vt:i4>
      </vt:variant>
      <vt:variant>
        <vt:i4>5</vt:i4>
      </vt:variant>
      <vt:variant>
        <vt:lpwstr/>
      </vt:variant>
      <vt:variant>
        <vt:lpwstr>_Toc227855114</vt:lpwstr>
      </vt:variant>
      <vt:variant>
        <vt:i4>1638449</vt:i4>
      </vt:variant>
      <vt:variant>
        <vt:i4>62</vt:i4>
      </vt:variant>
      <vt:variant>
        <vt:i4>0</vt:i4>
      </vt:variant>
      <vt:variant>
        <vt:i4>5</vt:i4>
      </vt:variant>
      <vt:variant>
        <vt:lpwstr/>
      </vt:variant>
      <vt:variant>
        <vt:lpwstr>_Toc227855113</vt:lpwstr>
      </vt:variant>
      <vt:variant>
        <vt:i4>1638449</vt:i4>
      </vt:variant>
      <vt:variant>
        <vt:i4>56</vt:i4>
      </vt:variant>
      <vt:variant>
        <vt:i4>0</vt:i4>
      </vt:variant>
      <vt:variant>
        <vt:i4>5</vt:i4>
      </vt:variant>
      <vt:variant>
        <vt:lpwstr/>
      </vt:variant>
      <vt:variant>
        <vt:lpwstr>_Toc227855112</vt:lpwstr>
      </vt:variant>
      <vt:variant>
        <vt:i4>1638449</vt:i4>
      </vt:variant>
      <vt:variant>
        <vt:i4>50</vt:i4>
      </vt:variant>
      <vt:variant>
        <vt:i4>0</vt:i4>
      </vt:variant>
      <vt:variant>
        <vt:i4>5</vt:i4>
      </vt:variant>
      <vt:variant>
        <vt:lpwstr/>
      </vt:variant>
      <vt:variant>
        <vt:lpwstr>_Toc227855111</vt:lpwstr>
      </vt:variant>
      <vt:variant>
        <vt:i4>1638449</vt:i4>
      </vt:variant>
      <vt:variant>
        <vt:i4>44</vt:i4>
      </vt:variant>
      <vt:variant>
        <vt:i4>0</vt:i4>
      </vt:variant>
      <vt:variant>
        <vt:i4>5</vt:i4>
      </vt:variant>
      <vt:variant>
        <vt:lpwstr/>
      </vt:variant>
      <vt:variant>
        <vt:lpwstr>_Toc227855110</vt:lpwstr>
      </vt:variant>
      <vt:variant>
        <vt:i4>1572913</vt:i4>
      </vt:variant>
      <vt:variant>
        <vt:i4>38</vt:i4>
      </vt:variant>
      <vt:variant>
        <vt:i4>0</vt:i4>
      </vt:variant>
      <vt:variant>
        <vt:i4>5</vt:i4>
      </vt:variant>
      <vt:variant>
        <vt:lpwstr/>
      </vt:variant>
      <vt:variant>
        <vt:lpwstr>_Toc227855109</vt:lpwstr>
      </vt:variant>
      <vt:variant>
        <vt:i4>1572913</vt:i4>
      </vt:variant>
      <vt:variant>
        <vt:i4>32</vt:i4>
      </vt:variant>
      <vt:variant>
        <vt:i4>0</vt:i4>
      </vt:variant>
      <vt:variant>
        <vt:i4>5</vt:i4>
      </vt:variant>
      <vt:variant>
        <vt:lpwstr/>
      </vt:variant>
      <vt:variant>
        <vt:lpwstr>_Toc227855108</vt:lpwstr>
      </vt:variant>
      <vt:variant>
        <vt:i4>1572913</vt:i4>
      </vt:variant>
      <vt:variant>
        <vt:i4>26</vt:i4>
      </vt:variant>
      <vt:variant>
        <vt:i4>0</vt:i4>
      </vt:variant>
      <vt:variant>
        <vt:i4>5</vt:i4>
      </vt:variant>
      <vt:variant>
        <vt:lpwstr/>
      </vt:variant>
      <vt:variant>
        <vt:lpwstr>_Toc227855107</vt:lpwstr>
      </vt:variant>
      <vt:variant>
        <vt:i4>6291548</vt:i4>
      </vt:variant>
      <vt:variant>
        <vt:i4>18</vt:i4>
      </vt:variant>
      <vt:variant>
        <vt:i4>0</vt:i4>
      </vt:variant>
      <vt:variant>
        <vt:i4>5</vt:i4>
      </vt:variant>
      <vt:variant>
        <vt:lpwstr>mailto:tga.copyright@tga.gov.au</vt:lpwstr>
      </vt:variant>
      <vt:variant>
        <vt:lpwstr/>
      </vt:variant>
      <vt:variant>
        <vt:i4>7995497</vt:i4>
      </vt:variant>
      <vt:variant>
        <vt:i4>12</vt:i4>
      </vt:variant>
      <vt:variant>
        <vt:i4>0</vt:i4>
      </vt:variant>
      <vt:variant>
        <vt:i4>5</vt:i4>
      </vt:variant>
      <vt:variant>
        <vt:lpwstr>https://www.tga.gov.au/australian-public-assessment-report-auspar-guidance</vt:lpwstr>
      </vt:variant>
      <vt:variant>
        <vt:lpwstr/>
      </vt:variant>
      <vt:variant>
        <vt:i4>3473445</vt:i4>
      </vt:variant>
      <vt:variant>
        <vt:i4>6</vt:i4>
      </vt:variant>
      <vt:variant>
        <vt:i4>0</vt:i4>
      </vt:variant>
      <vt:variant>
        <vt:i4>5</vt:i4>
      </vt:variant>
      <vt:variant>
        <vt:lpwstr>https://www.tga.gov.au/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mNEXSPIKE XBB.1.5 </dc:title>
  <dc:subject>Prescription medicines</dc:subject>
  <dc:creator>Therapeutic Goods Administration</dc:creator>
  <cp:keywords/>
  <dc:description/>
  <cp:lastModifiedBy>LACK, Janet</cp:lastModifiedBy>
  <cp:revision>3</cp:revision>
  <dcterms:created xsi:type="dcterms:W3CDTF">2026-05-27T04:28:00Z</dcterms:created>
  <dcterms:modified xsi:type="dcterms:W3CDTF">2026-05-27T04:29:00Z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ontentTypeId">
    <vt:lpwstr>0x010100A0478049D6F4B4408C09CDB7EF399612</vt:lpwstr>
  </property>
</Properties>
</file>