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9D29" w14:textId="77777777" w:rsidR="002A2842" w:rsidRPr="009E06BF" w:rsidRDefault="002A2842" w:rsidP="002A2842">
      <w:pPr>
        <w:rPr>
          <w:rFonts w:cstheme="majorHAnsi"/>
        </w:rPr>
      </w:pPr>
      <w:r w:rsidRPr="009E06BF">
        <w:rPr>
          <w:rFonts w:ascii="Arial" w:hAnsi="Arial" w:cs="Arial"/>
        </w:rPr>
        <w:t>▼</w:t>
      </w:r>
      <w:r w:rsidRPr="009E06BF">
        <w:rPr>
          <w:rFonts w:cstheme="majorHAnsi"/>
        </w:rPr>
        <w:t xml:space="preserve"> This vaccine is subject to additional monitoring in Australia. This will allow quick identification of new safety information. Healthcare professionals are asked to report any suspected adverse events at www.tga.gov.au/reporting-problems.</w:t>
      </w:r>
    </w:p>
    <w:p w14:paraId="36E60D41" w14:textId="3B871053" w:rsidR="002A2842" w:rsidRPr="009E06BF" w:rsidRDefault="002A2842" w:rsidP="009157CD">
      <w:pPr>
        <w:pStyle w:val="Heading1"/>
        <w:ind w:right="255"/>
        <w:rPr>
          <w:rFonts w:cstheme="majorHAnsi"/>
          <w:lang w:val="en-AU"/>
        </w:rPr>
      </w:pPr>
      <w:r w:rsidRPr="009E06BF">
        <w:rPr>
          <w:rFonts w:cstheme="majorHAnsi"/>
        </w:rPr>
        <w:t xml:space="preserve">AUSTRALIAN PRODUCT INFORMATION – </w:t>
      </w:r>
      <w:r w:rsidR="00170E15">
        <w:rPr>
          <w:rFonts w:cstheme="majorHAnsi"/>
        </w:rPr>
        <w:t>mNEXSPIKE XBB.1.5</w:t>
      </w:r>
      <w:r w:rsidR="00FA5A69" w:rsidRPr="004A44BA">
        <w:rPr>
          <w:rFonts w:cstheme="majorHAnsi"/>
        </w:rPr>
        <w:t xml:space="preserve"> </w:t>
      </w:r>
      <w:r w:rsidRPr="009E06BF">
        <w:rPr>
          <w:rFonts w:cstheme="majorHAnsi"/>
        </w:rPr>
        <w:t>(</w:t>
      </w:r>
      <w:r w:rsidR="00404BB4" w:rsidRPr="00404BB4">
        <w:rPr>
          <w:rFonts w:cstheme="majorHAnsi"/>
        </w:rPr>
        <w:t>SARS-CoV-2 spike protein (mRNA) XBB.1.5</w:t>
      </w:r>
      <w:r w:rsidRPr="009E06BF">
        <w:rPr>
          <w:rFonts w:cstheme="majorHAnsi"/>
        </w:rPr>
        <w:t xml:space="preserve">) </w:t>
      </w:r>
      <w:r w:rsidR="00626D35" w:rsidRPr="009E06BF">
        <w:rPr>
          <w:rFonts w:cstheme="majorHAnsi"/>
        </w:rPr>
        <w:t>COVID-19</w:t>
      </w:r>
      <w:r w:rsidRPr="009E06BF">
        <w:rPr>
          <w:rFonts w:cstheme="majorHAnsi"/>
        </w:rPr>
        <w:t xml:space="preserve"> VACCINE</w:t>
      </w:r>
      <w:r w:rsidR="00C40E71">
        <w:rPr>
          <w:rFonts w:cstheme="majorHAnsi"/>
        </w:rPr>
        <w:fldChar w:fldCharType="begin"/>
      </w:r>
      <w:r w:rsidR="00C40E71">
        <w:rPr>
          <w:rFonts w:cstheme="majorHAnsi"/>
        </w:rPr>
        <w:instrText xml:space="preserve"> DOCVARIABLE vault_nd_8dc42982-2667-4d80-ba6c-e859dbe5c8be \* MERGEFORMAT </w:instrText>
      </w:r>
      <w:r w:rsidR="00C40E71">
        <w:rPr>
          <w:rFonts w:cstheme="majorHAnsi"/>
        </w:rPr>
        <w:fldChar w:fldCharType="separate"/>
      </w:r>
      <w:r w:rsidR="00C40E71">
        <w:rPr>
          <w:rFonts w:cstheme="majorHAnsi"/>
        </w:rPr>
        <w:t xml:space="preserve"> </w:t>
      </w:r>
      <w:r w:rsidR="00C40E71">
        <w:rPr>
          <w:rFonts w:cstheme="majorHAnsi"/>
        </w:rPr>
        <w:fldChar w:fldCharType="end"/>
      </w:r>
    </w:p>
    <w:p w14:paraId="330D4EC1" w14:textId="578A5C8A" w:rsidR="0004042D" w:rsidRPr="00066916" w:rsidRDefault="002A2842" w:rsidP="009B0B0F">
      <w:pPr>
        <w:pStyle w:val="Heading1"/>
      </w:pPr>
      <w:r w:rsidRPr="00066916">
        <w:t>1. NAME OF THE MEDICINE</w:t>
      </w:r>
      <w:fldSimple w:instr=" DOCVARIABLE VAULT_ND_b55e310e-c418-4e1e-a19e-a6a30e6e94b9 \* MERGEFORMAT ">
        <w:r w:rsidR="00C40E71">
          <w:t xml:space="preserve"> </w:t>
        </w:r>
      </w:fldSimple>
    </w:p>
    <w:p w14:paraId="66BBF62B" w14:textId="77777777" w:rsidR="004271D0" w:rsidRPr="004271D0" w:rsidRDefault="004271D0" w:rsidP="00782F70">
      <w:pPr>
        <w:pStyle w:val="NoSpacing"/>
        <w:rPr>
          <w:lang w:val="en-AU"/>
        </w:rPr>
      </w:pPr>
    </w:p>
    <w:p w14:paraId="48967575" w14:textId="52B9F269" w:rsidR="009B0B0F" w:rsidRPr="004271D0" w:rsidRDefault="00404BB4" w:rsidP="00680CDE">
      <w:r w:rsidRPr="004271D0">
        <w:t>SARS-CoV-</w:t>
      </w:r>
      <w:proofErr w:type="gramStart"/>
      <w:r w:rsidRPr="004271D0">
        <w:t>2 spike</w:t>
      </w:r>
      <w:proofErr w:type="gramEnd"/>
      <w:r w:rsidRPr="004271D0">
        <w:t xml:space="preserve"> protein (mRNA) XBB.1.5</w:t>
      </w:r>
      <w:r w:rsidRPr="004271D0">
        <w:rPr>
          <w:lang w:val="en-AU"/>
        </w:rPr>
        <w:t xml:space="preserve"> </w:t>
      </w:r>
      <w:r w:rsidR="002A2842" w:rsidRPr="004271D0">
        <w:t xml:space="preserve"> </w:t>
      </w:r>
    </w:p>
    <w:p w14:paraId="42B05ED6" w14:textId="255A5C99" w:rsidR="0004042D" w:rsidRPr="009E06BF" w:rsidRDefault="00AE78D8" w:rsidP="009B0B0F">
      <w:pPr>
        <w:pStyle w:val="Heading1"/>
      </w:pPr>
      <w:r>
        <w:t xml:space="preserve">2. </w:t>
      </w:r>
      <w:r w:rsidR="002A2842" w:rsidRPr="0068161A">
        <w:t>QUALITATIVE</w:t>
      </w:r>
      <w:r w:rsidR="002A2842" w:rsidRPr="009E06BF">
        <w:t xml:space="preserve"> AND QUANTITATIVE COMPOSITION</w:t>
      </w:r>
      <w:fldSimple w:instr=" DOCVARIABLE VAULT_ND_6cf9f8ce-cd65-4338-8a17-2fb1d73ad477 \* MERGEFORMAT ">
        <w:r w:rsidR="00C40E71">
          <w:t xml:space="preserve"> </w:t>
        </w:r>
      </w:fldSimple>
    </w:p>
    <w:p w14:paraId="607B901B" w14:textId="77777777" w:rsidR="00EA5508" w:rsidRPr="009E06BF" w:rsidRDefault="00EA5508" w:rsidP="00EA5508">
      <w:pPr>
        <w:pStyle w:val="NoSpacing"/>
        <w:rPr>
          <w:rFonts w:asciiTheme="majorHAnsi" w:hAnsiTheme="majorHAnsi" w:cstheme="majorHAnsi"/>
        </w:rPr>
      </w:pPr>
    </w:p>
    <w:p w14:paraId="0CE22A67" w14:textId="42957711" w:rsidR="00C071DA" w:rsidRPr="009E06BF" w:rsidRDefault="00400A72" w:rsidP="00C071DA">
      <w:pPr>
        <w:rPr>
          <w:rFonts w:cstheme="majorHAnsi"/>
          <w:b/>
          <w:bCs/>
        </w:rPr>
      </w:pPr>
      <w:r w:rsidRPr="009E06BF">
        <w:rPr>
          <w:rFonts w:cstheme="majorHAnsi"/>
          <w:b/>
          <w:bCs/>
        </w:rPr>
        <w:t>T</w:t>
      </w:r>
      <w:r w:rsidR="00972CDC" w:rsidRPr="009E06BF">
        <w:rPr>
          <w:rFonts w:cstheme="majorHAnsi"/>
          <w:b/>
          <w:bCs/>
        </w:rPr>
        <w:t xml:space="preserve">able 1: </w:t>
      </w:r>
      <w:r w:rsidR="00170E15">
        <w:rPr>
          <w:rFonts w:cstheme="majorHAnsi"/>
          <w:b/>
          <w:bCs/>
        </w:rPr>
        <w:t>mNEXSPIKE XBB.1.5</w:t>
      </w:r>
      <w:r w:rsidR="00972CDC" w:rsidRPr="009E06BF">
        <w:rPr>
          <w:rFonts w:cstheme="majorHAnsi"/>
          <w:b/>
          <w:bCs/>
        </w:rPr>
        <w:t xml:space="preserve"> qualitive and </w:t>
      </w:r>
      <w:r w:rsidR="00EA5508" w:rsidRPr="009E06BF">
        <w:rPr>
          <w:rFonts w:cstheme="majorHAnsi"/>
          <w:b/>
          <w:bCs/>
        </w:rPr>
        <w:t>quantitative</w:t>
      </w:r>
      <w:r w:rsidR="00972CDC" w:rsidRPr="009E06BF">
        <w:rPr>
          <w:rFonts w:cstheme="majorHAnsi"/>
          <w:b/>
          <w:bCs/>
        </w:rPr>
        <w:t xml:space="preserve"> composition</w:t>
      </w:r>
    </w:p>
    <w:tbl>
      <w:tblPr>
        <w:tblW w:w="5000" w:type="pct"/>
        <w:tblLook w:val="04A0" w:firstRow="1" w:lastRow="0" w:firstColumn="1" w:lastColumn="0" w:noHBand="0" w:noVBand="1"/>
      </w:tblPr>
      <w:tblGrid>
        <w:gridCol w:w="3501"/>
        <w:gridCol w:w="1503"/>
        <w:gridCol w:w="1792"/>
        <w:gridCol w:w="3372"/>
      </w:tblGrid>
      <w:tr w:rsidR="00C071DA" w:rsidRPr="009E06BF" w14:paraId="2CB7D4E7" w14:textId="77777777" w:rsidTr="00380F72">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3E303" w14:textId="77777777" w:rsidR="00C071DA" w:rsidRPr="009E06BF" w:rsidRDefault="00C071DA" w:rsidP="006B7A8B">
            <w:pPr>
              <w:spacing w:line="240" w:lineRule="auto"/>
              <w:rPr>
                <w:rFonts w:cstheme="majorHAnsi"/>
                <w:b/>
                <w:lang w:eastAsia="en-GB"/>
              </w:rPr>
            </w:pPr>
            <w:bookmarkStart w:id="0" w:name="OLE_LINK3"/>
            <w:r w:rsidRPr="009E06BF">
              <w:rPr>
                <w:rFonts w:cstheme="majorHAnsi"/>
                <w:b/>
                <w:lang w:eastAsia="en-GB"/>
              </w:rPr>
              <w:t>Strength</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8BD69" w14:textId="77777777" w:rsidR="00C071DA" w:rsidRPr="009E06BF" w:rsidRDefault="00C071DA" w:rsidP="006B7A8B">
            <w:pPr>
              <w:spacing w:line="240" w:lineRule="auto"/>
              <w:rPr>
                <w:rFonts w:cstheme="majorHAnsi"/>
                <w:b/>
                <w:lang w:eastAsia="en-GB"/>
              </w:rPr>
            </w:pPr>
            <w:r w:rsidRPr="009E06BF">
              <w:rPr>
                <w:rFonts w:cstheme="majorHAnsi"/>
                <w:b/>
                <w:lang w:eastAsia="en-GB"/>
              </w:rPr>
              <w:t>Container</w:t>
            </w:r>
          </w:p>
        </w:tc>
        <w:tc>
          <w:tcPr>
            <w:tcW w:w="88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73E63" w14:textId="77777777" w:rsidR="00C071DA" w:rsidRPr="009E06BF" w:rsidRDefault="00C071DA" w:rsidP="006B7A8B">
            <w:pPr>
              <w:spacing w:line="240" w:lineRule="auto"/>
              <w:rPr>
                <w:rFonts w:cstheme="majorHAnsi"/>
                <w:b/>
                <w:lang w:eastAsia="en-GB"/>
              </w:rPr>
            </w:pPr>
            <w:r w:rsidRPr="009E06BF">
              <w:rPr>
                <w:rFonts w:cstheme="majorHAnsi"/>
                <w:b/>
                <w:lang w:eastAsia="en-GB"/>
              </w:rPr>
              <w:t>Dose(s)</w:t>
            </w:r>
          </w:p>
        </w:tc>
        <w:tc>
          <w:tcPr>
            <w:tcW w:w="16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5BD9B" w14:textId="3350538B" w:rsidR="00C071DA" w:rsidRPr="009E06BF" w:rsidRDefault="00C071DA" w:rsidP="006B7A8B">
            <w:pPr>
              <w:spacing w:line="240" w:lineRule="auto"/>
              <w:rPr>
                <w:rFonts w:cstheme="majorHAnsi"/>
                <w:b/>
                <w:lang w:eastAsia="en-GB"/>
              </w:rPr>
            </w:pPr>
            <w:r w:rsidRPr="009E06BF">
              <w:rPr>
                <w:rFonts w:cstheme="majorHAnsi"/>
                <w:b/>
                <w:lang w:eastAsia="en-GB"/>
              </w:rPr>
              <w:t>Composition per dose</w:t>
            </w:r>
          </w:p>
        </w:tc>
      </w:tr>
      <w:tr w:rsidR="00C071DA" w:rsidRPr="009E06BF" w14:paraId="408A5771" w14:textId="77777777" w:rsidTr="00C42203">
        <w:trPr>
          <w:trHeight w:val="1358"/>
        </w:trPr>
        <w:tc>
          <w:tcPr>
            <w:tcW w:w="1722" w:type="pct"/>
            <w:tcBorders>
              <w:top w:val="single" w:sz="4" w:space="0" w:color="000000" w:themeColor="text1"/>
              <w:left w:val="single" w:sz="4" w:space="0" w:color="000000" w:themeColor="text1"/>
              <w:bottom w:val="single" w:sz="4" w:space="0" w:color="auto"/>
              <w:right w:val="single" w:sz="4" w:space="0" w:color="000000" w:themeColor="text1"/>
            </w:tcBorders>
          </w:tcPr>
          <w:p w14:paraId="236F637B" w14:textId="75AABDF7" w:rsidR="00C071DA" w:rsidRPr="00C42203" w:rsidRDefault="008B35DA" w:rsidP="006B7A8B">
            <w:pPr>
              <w:widowControl w:val="0"/>
              <w:spacing w:line="240" w:lineRule="auto"/>
              <w:rPr>
                <w:rFonts w:cstheme="majorHAnsi"/>
                <w:noProof/>
              </w:rPr>
            </w:pPr>
            <w:bookmarkStart w:id="1" w:name="OLE_LINK69"/>
            <w:r w:rsidRPr="00C42203">
              <w:rPr>
                <w:rFonts w:cstheme="majorHAnsi"/>
                <w:noProof/>
              </w:rPr>
              <w:t>10 micrograms</w:t>
            </w:r>
          </w:p>
          <w:bookmarkEnd w:id="1"/>
          <w:p w14:paraId="03483D0E" w14:textId="77777777" w:rsidR="00C071DA" w:rsidRPr="00C42203" w:rsidRDefault="00C071DA" w:rsidP="006B7A8B">
            <w:pPr>
              <w:spacing w:line="240" w:lineRule="auto"/>
              <w:rPr>
                <w:rFonts w:cstheme="majorHAnsi"/>
                <w:noProof/>
              </w:rPr>
            </w:pPr>
          </w:p>
        </w:tc>
        <w:tc>
          <w:tcPr>
            <w:tcW w:w="739" w:type="pct"/>
            <w:tcBorders>
              <w:top w:val="single" w:sz="4" w:space="0" w:color="000000" w:themeColor="text1"/>
              <w:left w:val="single" w:sz="4" w:space="0" w:color="000000" w:themeColor="text1"/>
              <w:bottom w:val="single" w:sz="4" w:space="0" w:color="auto"/>
              <w:right w:val="single" w:sz="4" w:space="0" w:color="000000" w:themeColor="text1"/>
            </w:tcBorders>
          </w:tcPr>
          <w:p w14:paraId="055AEDA0" w14:textId="77777777" w:rsidR="00C071DA" w:rsidRPr="009E06BF" w:rsidRDefault="00C071DA" w:rsidP="006B7A8B">
            <w:pPr>
              <w:spacing w:line="240" w:lineRule="auto"/>
              <w:rPr>
                <w:rFonts w:cstheme="majorHAnsi"/>
                <w:lang w:eastAsia="en-GB"/>
              </w:rPr>
            </w:pPr>
            <w:r w:rsidRPr="009E06BF">
              <w:rPr>
                <w:rFonts w:cstheme="majorHAnsi"/>
                <w:lang w:eastAsia="en-GB"/>
              </w:rPr>
              <w:t>Pre-filled syringe</w:t>
            </w:r>
          </w:p>
        </w:tc>
        <w:tc>
          <w:tcPr>
            <w:tcW w:w="881" w:type="pct"/>
            <w:tcBorders>
              <w:top w:val="single" w:sz="4" w:space="0" w:color="000000" w:themeColor="text1"/>
              <w:left w:val="single" w:sz="4" w:space="0" w:color="000000" w:themeColor="text1"/>
              <w:bottom w:val="single" w:sz="4" w:space="0" w:color="auto"/>
              <w:right w:val="single" w:sz="4" w:space="0" w:color="000000" w:themeColor="text1"/>
            </w:tcBorders>
          </w:tcPr>
          <w:p w14:paraId="0C5AB4B3" w14:textId="77777777" w:rsidR="00C071DA" w:rsidRPr="009E06BF" w:rsidRDefault="00C071DA" w:rsidP="006B7A8B">
            <w:pPr>
              <w:spacing w:line="240" w:lineRule="auto"/>
              <w:rPr>
                <w:rFonts w:cstheme="majorHAnsi"/>
                <w:lang w:eastAsia="en-GB"/>
              </w:rPr>
            </w:pPr>
            <w:r w:rsidRPr="009E06BF">
              <w:rPr>
                <w:rFonts w:cstheme="majorHAnsi"/>
                <w:lang w:eastAsia="en-GB"/>
              </w:rPr>
              <w:t>1 dose of 0.2 mL</w:t>
            </w:r>
          </w:p>
          <w:p w14:paraId="4C556E3B" w14:textId="77777777" w:rsidR="00C071DA" w:rsidRPr="009E06BF" w:rsidRDefault="00C071DA" w:rsidP="006B7A8B">
            <w:pPr>
              <w:spacing w:line="240" w:lineRule="auto"/>
              <w:rPr>
                <w:rFonts w:cstheme="majorHAnsi"/>
                <w:lang w:eastAsia="en-GB"/>
              </w:rPr>
            </w:pPr>
            <w:r w:rsidRPr="009E06BF">
              <w:rPr>
                <w:rFonts w:cstheme="majorHAnsi"/>
                <w:lang w:eastAsia="en-GB"/>
              </w:rPr>
              <w:t xml:space="preserve">For </w:t>
            </w:r>
            <w:proofErr w:type="gramStart"/>
            <w:r w:rsidRPr="009E06BF">
              <w:rPr>
                <w:rFonts w:cstheme="majorHAnsi"/>
                <w:lang w:eastAsia="en-GB"/>
              </w:rPr>
              <w:t>single-use</w:t>
            </w:r>
            <w:proofErr w:type="gramEnd"/>
            <w:r w:rsidRPr="009E06BF">
              <w:rPr>
                <w:rFonts w:cstheme="majorHAnsi"/>
                <w:lang w:eastAsia="en-GB"/>
              </w:rPr>
              <w:t xml:space="preserve"> only.</w:t>
            </w:r>
          </w:p>
        </w:tc>
        <w:tc>
          <w:tcPr>
            <w:tcW w:w="1658" w:type="pct"/>
            <w:tcBorders>
              <w:top w:val="single" w:sz="4" w:space="0" w:color="000000" w:themeColor="text1"/>
              <w:left w:val="single" w:sz="4" w:space="0" w:color="000000" w:themeColor="text1"/>
              <w:bottom w:val="single" w:sz="4" w:space="0" w:color="auto"/>
              <w:right w:val="single" w:sz="4" w:space="0" w:color="000000" w:themeColor="text1"/>
            </w:tcBorders>
          </w:tcPr>
          <w:p w14:paraId="0472BB5B" w14:textId="330E7EEA" w:rsidR="00C071DA" w:rsidRPr="009E06BF" w:rsidRDefault="00C071DA" w:rsidP="006B7A8B">
            <w:pPr>
              <w:spacing w:line="240" w:lineRule="auto"/>
              <w:rPr>
                <w:rFonts w:cstheme="majorHAnsi"/>
                <w:lang w:eastAsia="en-GB"/>
              </w:rPr>
            </w:pPr>
            <w:bookmarkStart w:id="2" w:name="OLE_LINK24"/>
            <w:r w:rsidRPr="009E06BF">
              <w:rPr>
                <w:rFonts w:cstheme="majorHAnsi"/>
                <w:lang w:eastAsia="en-GB"/>
              </w:rPr>
              <w:t xml:space="preserve">One dose (0.2 mL) contains 10 micrograms of </w:t>
            </w:r>
            <w:r w:rsidR="00404BB4" w:rsidRPr="00404BB4">
              <w:rPr>
                <w:rFonts w:cstheme="majorHAnsi"/>
                <w:lang w:eastAsia="en-GB"/>
              </w:rPr>
              <w:t>SARS-CoV-2 spike protein (mRNA) XBB.1.5</w:t>
            </w:r>
            <w:bookmarkEnd w:id="2"/>
          </w:p>
        </w:tc>
      </w:tr>
      <w:bookmarkEnd w:id="0"/>
    </w:tbl>
    <w:p w14:paraId="16496B89" w14:textId="77777777" w:rsidR="00C071DA" w:rsidRPr="009E06BF" w:rsidRDefault="00C071DA" w:rsidP="006D2E33">
      <w:pPr>
        <w:pStyle w:val="NoSpacing"/>
      </w:pPr>
    </w:p>
    <w:p w14:paraId="6F5D7FBC" w14:textId="2585A69D" w:rsidR="00C071DA" w:rsidRPr="009E06BF" w:rsidRDefault="00404BB4" w:rsidP="008A4DB9">
      <w:pPr>
        <w:rPr>
          <w:rFonts w:cstheme="majorHAnsi"/>
        </w:rPr>
      </w:pPr>
      <w:bookmarkStart w:id="3" w:name="OLE_LINK6"/>
      <w:r w:rsidRPr="00404BB4">
        <w:rPr>
          <w:rFonts w:cstheme="majorHAnsi"/>
        </w:rPr>
        <w:t>SARS-CoV-2 spike protein (mRNA) XBB.1.5</w:t>
      </w:r>
      <w:r w:rsidR="007E4D65">
        <w:rPr>
          <w:rFonts w:cstheme="majorHAnsi"/>
        </w:rPr>
        <w:t xml:space="preserve"> </w:t>
      </w:r>
      <w:bookmarkEnd w:id="3"/>
      <w:r w:rsidR="00C071DA" w:rsidRPr="009E06BF">
        <w:rPr>
          <w:rFonts w:cstheme="majorHAnsi"/>
        </w:rPr>
        <w:t xml:space="preserve">is </w:t>
      </w:r>
      <w:r w:rsidR="001279A4">
        <w:rPr>
          <w:rFonts w:cstheme="majorHAnsi"/>
        </w:rPr>
        <w:t xml:space="preserve">a </w:t>
      </w:r>
      <w:r w:rsidR="00C071DA" w:rsidRPr="009E06BF">
        <w:rPr>
          <w:rFonts w:cstheme="majorHAnsi"/>
        </w:rPr>
        <w:t xml:space="preserve">nucleoside-modified messenger RNA (mRNA) encoding the subdomains of spike </w:t>
      </w:r>
      <w:r w:rsidR="00796101">
        <w:rPr>
          <w:rFonts w:eastAsia="Calibri" w:cs="Times New Roman"/>
          <w:szCs w:val="24"/>
        </w:rPr>
        <w:t>r</w:t>
      </w:r>
      <w:r w:rsidR="00796101" w:rsidRPr="002D4774">
        <w:rPr>
          <w:rFonts w:eastAsia="Calibri" w:cs="Times New Roman"/>
          <w:szCs w:val="24"/>
        </w:rPr>
        <w:t>eceptor binding domain</w:t>
      </w:r>
      <w:r w:rsidR="00754987">
        <w:rPr>
          <w:rFonts w:eastAsia="Calibri" w:cs="Times New Roman"/>
          <w:szCs w:val="24"/>
        </w:rPr>
        <w:t xml:space="preserve"> (RBD)</w:t>
      </w:r>
      <w:r w:rsidR="00E21112">
        <w:rPr>
          <w:rFonts w:eastAsia="Calibri" w:cs="Times New Roman"/>
          <w:szCs w:val="24"/>
        </w:rPr>
        <w:t xml:space="preserve"> and</w:t>
      </w:r>
      <w:r w:rsidR="00796101">
        <w:rPr>
          <w:rFonts w:eastAsia="Calibri" w:cs="Times New Roman"/>
          <w:szCs w:val="24"/>
        </w:rPr>
        <w:t xml:space="preserve"> </w:t>
      </w:r>
      <w:r w:rsidR="00D2096A" w:rsidRPr="002D4774">
        <w:rPr>
          <w:rFonts w:eastAsia="Calibri" w:cs="Times New Roman"/>
          <w:szCs w:val="24"/>
        </w:rPr>
        <w:t>N-terminal domain</w:t>
      </w:r>
      <w:r w:rsidR="00D2096A">
        <w:rPr>
          <w:rFonts w:eastAsia="Calibri" w:cs="Times New Roman"/>
          <w:szCs w:val="24"/>
        </w:rPr>
        <w:t xml:space="preserve"> </w:t>
      </w:r>
      <w:r w:rsidR="00E21112">
        <w:rPr>
          <w:rFonts w:cstheme="majorHAnsi"/>
        </w:rPr>
        <w:t>(</w:t>
      </w:r>
      <w:r w:rsidR="00C071DA" w:rsidRPr="009E06BF">
        <w:rPr>
          <w:rFonts w:cstheme="majorHAnsi"/>
        </w:rPr>
        <w:t xml:space="preserve">NTD) protein of the SARS-CoV-2 circulating variant. </w:t>
      </w:r>
    </w:p>
    <w:p w14:paraId="44DC1F73" w14:textId="554E6525" w:rsidR="00BD50EC" w:rsidRPr="004E2812" w:rsidRDefault="00170E15" w:rsidP="00BF5D80">
      <w:pPr>
        <w:spacing w:line="240" w:lineRule="auto"/>
        <w:rPr>
          <w:rFonts w:cstheme="majorHAnsi"/>
          <w:kern w:val="24"/>
          <w:lang w:eastAsia="ja-JP"/>
        </w:rPr>
      </w:pPr>
      <w:r>
        <w:rPr>
          <w:rFonts w:cstheme="majorHAnsi"/>
          <w:kern w:val="24"/>
          <w:lang w:eastAsia="ja-JP"/>
        </w:rPr>
        <w:t>mNEXSPIKE XBB.1.5</w:t>
      </w:r>
      <w:r w:rsidR="00C071DA" w:rsidRPr="00F863FB">
        <w:rPr>
          <w:rFonts w:cstheme="majorHAnsi"/>
          <w:kern w:val="24"/>
          <w:lang w:eastAsia="ja-JP"/>
        </w:rPr>
        <w:t xml:space="preserve"> does </w:t>
      </w:r>
      <w:r w:rsidR="00C071DA" w:rsidRPr="009E06BF">
        <w:rPr>
          <w:rFonts w:cstheme="majorHAnsi"/>
          <w:kern w:val="24"/>
          <w:lang w:eastAsia="ja-JP"/>
        </w:rPr>
        <w:t xml:space="preserve">not contain any preservatives, antibiotics, adjuvants, or human- or animal-derived materials. The </w:t>
      </w:r>
      <w:r w:rsidR="005A3521" w:rsidRPr="00D5600F">
        <w:rPr>
          <w:rFonts w:cstheme="majorHAnsi"/>
          <w:kern w:val="24"/>
          <w:lang w:eastAsia="ja-JP"/>
        </w:rPr>
        <w:t>pre-filled syringe</w:t>
      </w:r>
      <w:r w:rsidR="005A3521" w:rsidRPr="004E2812">
        <w:rPr>
          <w:rFonts w:cstheme="majorHAnsi"/>
          <w:kern w:val="24"/>
          <w:lang w:eastAsia="ja-JP"/>
        </w:rPr>
        <w:t xml:space="preserve"> </w:t>
      </w:r>
      <w:r w:rsidR="00C071DA" w:rsidRPr="004E2812">
        <w:rPr>
          <w:rFonts w:cstheme="majorHAnsi"/>
          <w:kern w:val="24"/>
          <w:lang w:eastAsia="ja-JP"/>
        </w:rPr>
        <w:t>stopper does not contain natural rubber latex</w:t>
      </w:r>
      <w:r w:rsidR="00BD50EC" w:rsidRPr="004E2812">
        <w:rPr>
          <w:rFonts w:cstheme="majorHAnsi"/>
          <w:kern w:val="24"/>
          <w:lang w:eastAsia="ja-JP"/>
        </w:rPr>
        <w:t>.</w:t>
      </w:r>
    </w:p>
    <w:p w14:paraId="448DC351" w14:textId="6B3089F0" w:rsidR="00480985" w:rsidRPr="004E2812" w:rsidRDefault="00480985">
      <w:pPr>
        <w:rPr>
          <w:rFonts w:cstheme="majorHAnsi"/>
        </w:rPr>
      </w:pPr>
      <w:r w:rsidRPr="004E2812">
        <w:rPr>
          <w:rFonts w:cstheme="majorHAnsi"/>
        </w:rPr>
        <w:t>For the full list of excipients, see Section 6.1 List of excipients.</w:t>
      </w:r>
    </w:p>
    <w:p w14:paraId="58111FFE" w14:textId="40B2F5AB" w:rsidR="0004042D" w:rsidRPr="004E2812" w:rsidRDefault="002A2842" w:rsidP="009B0B0F">
      <w:pPr>
        <w:pStyle w:val="Heading1"/>
        <w:rPr>
          <w:rFonts w:cstheme="majorHAnsi"/>
        </w:rPr>
      </w:pPr>
      <w:r w:rsidRPr="004E2812">
        <w:rPr>
          <w:rFonts w:cstheme="majorHAnsi"/>
        </w:rPr>
        <w:t>3. PHARMACEUTICAL FORM</w:t>
      </w:r>
      <w:r w:rsidR="00C40E71" w:rsidRPr="004E2812">
        <w:rPr>
          <w:rFonts w:cstheme="majorHAnsi"/>
        </w:rPr>
        <w:fldChar w:fldCharType="begin"/>
      </w:r>
      <w:r w:rsidR="00C40E71" w:rsidRPr="004E2812">
        <w:rPr>
          <w:rFonts w:cstheme="majorHAnsi"/>
        </w:rPr>
        <w:instrText xml:space="preserve"> DOCVARIABLE VAULT_ND_430e7785-0138-4942-a20a-846d4af04e26 \* MERGEFORMAT </w:instrText>
      </w:r>
      <w:r w:rsidR="00C40E71" w:rsidRPr="004E2812">
        <w:rPr>
          <w:rFonts w:cstheme="majorHAnsi"/>
        </w:rPr>
        <w:fldChar w:fldCharType="separate"/>
      </w:r>
      <w:r w:rsidR="00C40E71" w:rsidRPr="004E2812">
        <w:rPr>
          <w:rFonts w:cstheme="majorHAnsi"/>
        </w:rPr>
        <w:t xml:space="preserve"> </w:t>
      </w:r>
      <w:r w:rsidR="00C40E71" w:rsidRPr="004E2812">
        <w:rPr>
          <w:rFonts w:cstheme="majorHAnsi"/>
        </w:rPr>
        <w:fldChar w:fldCharType="end"/>
      </w:r>
    </w:p>
    <w:p w14:paraId="038A3060" w14:textId="77777777" w:rsidR="008F6E6B" w:rsidRPr="00D5600F" w:rsidRDefault="008F6E6B" w:rsidP="008F6E6B">
      <w:pPr>
        <w:pStyle w:val="NoSpacing"/>
        <w:rPr>
          <w:lang w:val="en-AU"/>
        </w:rPr>
      </w:pPr>
    </w:p>
    <w:p w14:paraId="097CA981" w14:textId="4436C0AB" w:rsidR="00DD6735" w:rsidRPr="00D5600F" w:rsidRDefault="00DD6735" w:rsidP="00DD6735">
      <w:pPr>
        <w:rPr>
          <w:rFonts w:cstheme="majorHAnsi"/>
          <w:lang w:val="en-AU"/>
        </w:rPr>
      </w:pPr>
      <w:r w:rsidRPr="00D5600F">
        <w:rPr>
          <w:rFonts w:cstheme="majorHAnsi"/>
          <w:lang w:val="en-AU"/>
        </w:rPr>
        <w:t>Suspension for injection.</w:t>
      </w:r>
    </w:p>
    <w:p w14:paraId="24052B05" w14:textId="1DE6BC31" w:rsidR="0004042D" w:rsidRPr="00D5600F" w:rsidRDefault="00DD6735">
      <w:pPr>
        <w:rPr>
          <w:rFonts w:cstheme="majorHAnsi"/>
        </w:rPr>
      </w:pPr>
      <w:r w:rsidRPr="004E2812">
        <w:rPr>
          <w:rFonts w:cstheme="majorHAnsi"/>
          <w:lang w:val="en-AU"/>
        </w:rPr>
        <w:t>White to off</w:t>
      </w:r>
      <w:r w:rsidR="007F7332" w:rsidRPr="004E2812">
        <w:rPr>
          <w:rFonts w:cstheme="majorHAnsi"/>
          <w:lang w:val="en-AU"/>
        </w:rPr>
        <w:t>-</w:t>
      </w:r>
      <w:r w:rsidRPr="004E2812">
        <w:rPr>
          <w:rFonts w:cstheme="majorHAnsi"/>
          <w:lang w:val="en-AU"/>
        </w:rPr>
        <w:t xml:space="preserve">white </w:t>
      </w:r>
      <w:r w:rsidRPr="00D5600F">
        <w:rPr>
          <w:rFonts w:cstheme="majorHAnsi"/>
          <w:lang w:val="en-AU"/>
        </w:rPr>
        <w:t>suspension.</w:t>
      </w:r>
    </w:p>
    <w:p w14:paraId="75501DD4" w14:textId="283F73C3" w:rsidR="0004042D" w:rsidRPr="009E06BF" w:rsidRDefault="002A2842">
      <w:pPr>
        <w:pStyle w:val="Heading1"/>
        <w:rPr>
          <w:rFonts w:cstheme="majorHAnsi"/>
        </w:rPr>
      </w:pPr>
      <w:r w:rsidRPr="009E06BF">
        <w:rPr>
          <w:rFonts w:cstheme="majorHAnsi"/>
        </w:rPr>
        <w:t>4. CLINICAL PARTICULARS</w:t>
      </w:r>
      <w:r w:rsidR="00C40E71">
        <w:rPr>
          <w:rFonts w:cstheme="majorHAnsi"/>
        </w:rPr>
        <w:fldChar w:fldCharType="begin"/>
      </w:r>
      <w:r w:rsidR="00C40E71">
        <w:rPr>
          <w:rFonts w:cstheme="majorHAnsi"/>
        </w:rPr>
        <w:instrText xml:space="preserve"> DOCVARIABLE VAULT_ND_d3244af8-b3f1-41e9-8ce6-6e10b6921efe \* MERGEFORMAT </w:instrText>
      </w:r>
      <w:r w:rsidR="00C40E71">
        <w:rPr>
          <w:rFonts w:cstheme="majorHAnsi"/>
        </w:rPr>
        <w:fldChar w:fldCharType="separate"/>
      </w:r>
      <w:r w:rsidR="00C40E71">
        <w:rPr>
          <w:rFonts w:cstheme="majorHAnsi"/>
        </w:rPr>
        <w:t xml:space="preserve"> </w:t>
      </w:r>
      <w:r w:rsidR="00C40E71">
        <w:rPr>
          <w:rFonts w:cstheme="majorHAnsi"/>
        </w:rPr>
        <w:fldChar w:fldCharType="end"/>
      </w:r>
    </w:p>
    <w:p w14:paraId="0284FBED" w14:textId="4C4189F1" w:rsidR="0004042D" w:rsidRPr="00A932D8" w:rsidRDefault="002A2842" w:rsidP="00A932D8">
      <w:pPr>
        <w:pStyle w:val="Heading2"/>
      </w:pPr>
      <w:r w:rsidRPr="00A932D8">
        <w:t>4.1 THERA</w:t>
      </w:r>
      <w:r w:rsidR="00566F73" w:rsidRPr="00A932D8">
        <w:t>P</w:t>
      </w:r>
      <w:r w:rsidRPr="00A932D8">
        <w:t>EUTIC INDICATIONS</w:t>
      </w:r>
      <w:fldSimple w:instr=" DOCVARIABLE VAULT_ND_8d3c0b08-9c8b-4f4f-bd1d-0669ab97f9e0 \* MERGEFORMAT ">
        <w:r w:rsidR="00C40E71">
          <w:t xml:space="preserve"> </w:t>
        </w:r>
      </w:fldSimple>
    </w:p>
    <w:p w14:paraId="78638306" w14:textId="77777777" w:rsidR="008F6E6B" w:rsidRDefault="008F6E6B" w:rsidP="008F6E6B">
      <w:pPr>
        <w:pStyle w:val="NoSpacing"/>
      </w:pPr>
    </w:p>
    <w:p w14:paraId="2BFF8635" w14:textId="5A6552BE" w:rsidR="000A29F3" w:rsidRPr="002118BE" w:rsidRDefault="00170E15" w:rsidP="001E0CC6">
      <w:pPr>
        <w:rPr>
          <w:rFonts w:cstheme="majorHAnsi"/>
        </w:rPr>
      </w:pPr>
      <w:r>
        <w:rPr>
          <w:rFonts w:cstheme="majorHAnsi"/>
        </w:rPr>
        <w:t>mNEXSPIKE XBB.1.5</w:t>
      </w:r>
      <w:r w:rsidR="000A29F3" w:rsidRPr="009E06BF">
        <w:rPr>
          <w:rFonts w:cstheme="majorHAnsi"/>
        </w:rPr>
        <w:t xml:space="preserve"> </w:t>
      </w:r>
      <w:r w:rsidR="00047E42">
        <w:rPr>
          <w:rFonts w:cstheme="majorHAnsi"/>
        </w:rPr>
        <w:t>(</w:t>
      </w:r>
      <w:r w:rsidR="00404BB4" w:rsidRPr="00404BB4">
        <w:rPr>
          <w:rFonts w:cstheme="majorHAnsi"/>
        </w:rPr>
        <w:t>SARS-CoV-2 spike protein (mRNA) XBB.1.5</w:t>
      </w:r>
      <w:r w:rsidR="001E0CC6" w:rsidRPr="002118BE">
        <w:rPr>
          <w:rFonts w:cstheme="majorHAnsi"/>
        </w:rPr>
        <w:t xml:space="preserve">) COVID-19 Vaccine </w:t>
      </w:r>
      <w:r w:rsidR="000A29F3" w:rsidRPr="002118BE">
        <w:rPr>
          <w:rFonts w:cstheme="majorHAnsi"/>
        </w:rPr>
        <w:t>is indicated for:</w:t>
      </w:r>
    </w:p>
    <w:p w14:paraId="04CC5DD3" w14:textId="7EC9A701" w:rsidR="000A29F3" w:rsidRPr="009E06BF" w:rsidRDefault="000A29F3" w:rsidP="000A29F3">
      <w:pPr>
        <w:spacing w:line="240" w:lineRule="auto"/>
        <w:rPr>
          <w:rFonts w:cstheme="majorHAnsi"/>
        </w:rPr>
      </w:pPr>
      <w:r w:rsidRPr="002118BE">
        <w:rPr>
          <w:rFonts w:cstheme="majorHAnsi"/>
        </w:rPr>
        <w:lastRenderedPageBreak/>
        <w:t xml:space="preserve">Active </w:t>
      </w:r>
      <w:proofErr w:type="spellStart"/>
      <w:r w:rsidRPr="002118BE">
        <w:rPr>
          <w:rFonts w:cstheme="majorHAnsi"/>
        </w:rPr>
        <w:t>immunisation</w:t>
      </w:r>
      <w:proofErr w:type="spellEnd"/>
      <w:r w:rsidRPr="002118BE">
        <w:rPr>
          <w:rFonts w:cstheme="majorHAnsi"/>
        </w:rPr>
        <w:t xml:space="preserve"> to prevent </w:t>
      </w:r>
      <w:r w:rsidRPr="00D5600F">
        <w:rPr>
          <w:rFonts w:cstheme="majorHAnsi"/>
        </w:rPr>
        <w:t>coronavirus disease 2019 (COVID</w:t>
      </w:r>
      <w:r w:rsidRPr="00D5600F">
        <w:rPr>
          <w:rFonts w:cstheme="majorHAnsi"/>
        </w:rPr>
        <w:noBreakHyphen/>
        <w:t>19)</w:t>
      </w:r>
      <w:r w:rsidRPr="002118BE">
        <w:rPr>
          <w:rFonts w:cstheme="majorHAnsi"/>
        </w:rPr>
        <w:t xml:space="preserve"> caused by SARS-CoV-2 in individuals 12 years of age and older</w:t>
      </w:r>
      <w:r w:rsidRPr="002118BE">
        <w:rPr>
          <w:rFonts w:cstheme="majorHAnsi"/>
          <w:iCs/>
        </w:rPr>
        <w:t>.</w:t>
      </w:r>
    </w:p>
    <w:p w14:paraId="42C16E4B" w14:textId="7356DF9E" w:rsidR="0004042D" w:rsidRDefault="000A29F3" w:rsidP="0000369A">
      <w:r w:rsidRPr="009E06BF">
        <w:t>The use of this vaccine should be in accordance with official recommendations</w:t>
      </w:r>
      <w:r w:rsidR="00132648">
        <w:t>.</w:t>
      </w:r>
    </w:p>
    <w:p w14:paraId="3E986951" w14:textId="23C02381" w:rsidR="00353CA0" w:rsidRPr="007F1AA1" w:rsidRDefault="002A2842" w:rsidP="007F1AA1">
      <w:pPr>
        <w:pStyle w:val="Heading2"/>
      </w:pPr>
      <w:r w:rsidRPr="007F1AA1">
        <w:t>4.2 DOSE AND METHOD OF ADMINISTRATION</w:t>
      </w:r>
      <w:fldSimple w:instr=" DOCVARIABLE VAULT_ND_1a37914a-39e4-4faf-acbf-a3a125a90741 \* MERGEFORMAT ">
        <w:r w:rsidR="00C40E71">
          <w:t xml:space="preserve"> </w:t>
        </w:r>
      </w:fldSimple>
    </w:p>
    <w:p w14:paraId="295486A6" w14:textId="489FE7B4" w:rsidR="00835976" w:rsidRDefault="005C2B85" w:rsidP="00CE1D41">
      <w:pPr>
        <w:pStyle w:val="Heading3"/>
        <w:rPr>
          <w:rFonts w:cstheme="majorHAnsi"/>
        </w:rPr>
      </w:pPr>
      <w:r w:rsidRPr="009E06BF">
        <w:rPr>
          <w:rFonts w:cstheme="majorHAnsi"/>
        </w:rPr>
        <w:t>Dose</w:t>
      </w:r>
      <w:r w:rsidR="00C40E71">
        <w:rPr>
          <w:rFonts w:cstheme="majorHAnsi"/>
        </w:rPr>
        <w:fldChar w:fldCharType="begin"/>
      </w:r>
      <w:r w:rsidR="00C40E71">
        <w:rPr>
          <w:rFonts w:cstheme="majorHAnsi"/>
        </w:rPr>
        <w:instrText xml:space="preserve"> DOCVARIABLE vault_nd_fd318f83-b3c6-4778-862d-ba9b802bc6ba \* MERGEFORMAT </w:instrText>
      </w:r>
      <w:r w:rsidR="00C40E71">
        <w:rPr>
          <w:rFonts w:cstheme="majorHAnsi"/>
        </w:rPr>
        <w:fldChar w:fldCharType="separate"/>
      </w:r>
      <w:r w:rsidR="00C40E71">
        <w:rPr>
          <w:rFonts w:cstheme="majorHAnsi"/>
        </w:rPr>
        <w:t xml:space="preserve"> </w:t>
      </w:r>
      <w:r w:rsidR="00C40E71">
        <w:rPr>
          <w:rFonts w:cstheme="majorHAnsi"/>
        </w:rPr>
        <w:fldChar w:fldCharType="end"/>
      </w:r>
    </w:p>
    <w:p w14:paraId="3EA06B7D" w14:textId="77777777" w:rsidR="00F435AE" w:rsidRPr="00F435AE" w:rsidRDefault="00F435AE" w:rsidP="00824E57">
      <w:pPr>
        <w:pStyle w:val="NoSpacing"/>
      </w:pPr>
    </w:p>
    <w:p w14:paraId="72A28FF8" w14:textId="7C243B48" w:rsidR="00353CA0" w:rsidRPr="009E06BF" w:rsidRDefault="00353CA0" w:rsidP="00353CA0">
      <w:pPr>
        <w:keepNext/>
        <w:spacing w:line="240" w:lineRule="auto"/>
        <w:rPr>
          <w:rFonts w:cstheme="majorHAnsi"/>
          <w:b/>
          <w:bCs/>
        </w:rPr>
      </w:pPr>
      <w:bookmarkStart w:id="4" w:name="OLE_LINK81"/>
      <w:bookmarkStart w:id="5" w:name="OLE_LINK56"/>
      <w:bookmarkStart w:id="6" w:name="OLE_LINK10"/>
      <w:r w:rsidRPr="009E06BF">
        <w:rPr>
          <w:rFonts w:cstheme="majorHAnsi"/>
          <w:b/>
          <w:bCs/>
        </w:rPr>
        <w:t xml:space="preserve">Table </w:t>
      </w:r>
      <w:r w:rsidR="007B1CA1">
        <w:rPr>
          <w:rFonts w:cstheme="majorHAnsi"/>
          <w:b/>
          <w:bCs/>
        </w:rPr>
        <w:t>2</w:t>
      </w:r>
      <w:r w:rsidRPr="009E06BF">
        <w:rPr>
          <w:rFonts w:cstheme="majorHAnsi"/>
          <w:b/>
          <w:bCs/>
        </w:rPr>
        <w:t>.</w:t>
      </w:r>
      <w:r w:rsidR="008F6E6B">
        <w:rPr>
          <w:rFonts w:cstheme="majorHAnsi"/>
        </w:rPr>
        <w:t xml:space="preserve"> </w:t>
      </w:r>
      <w:r w:rsidR="00170E15">
        <w:rPr>
          <w:rFonts w:cstheme="majorHAnsi"/>
          <w:b/>
          <w:bCs/>
        </w:rPr>
        <w:t>mNEXSPIKE XBB.1.5</w:t>
      </w:r>
      <w:r w:rsidR="008F6E6B">
        <w:rPr>
          <w:rFonts w:cstheme="majorHAnsi"/>
          <w:b/>
          <w:bCs/>
        </w:rPr>
        <w:t xml:space="preserve"> </w:t>
      </w:r>
      <w:r w:rsidR="00B33CC5" w:rsidRPr="009E06BF">
        <w:rPr>
          <w:rFonts w:cstheme="majorHAnsi"/>
          <w:b/>
          <w:bCs/>
        </w:rPr>
        <w:t>dosage</w:t>
      </w:r>
      <w:r w:rsidRPr="009E06BF">
        <w:rPr>
          <w:rFonts w:cstheme="majorHAnsi"/>
          <w:b/>
          <w:bCs/>
          <w:color w:val="FF0000"/>
        </w:rPr>
        <w:t xml:space="preserve"> </w:t>
      </w:r>
    </w:p>
    <w:tbl>
      <w:tblPr>
        <w:tblStyle w:val="TableGrid"/>
        <w:tblW w:w="8545" w:type="dxa"/>
        <w:tblLook w:val="04A0" w:firstRow="1" w:lastRow="0" w:firstColumn="1" w:lastColumn="0" w:noHBand="0" w:noVBand="1"/>
      </w:tblPr>
      <w:tblGrid>
        <w:gridCol w:w="2245"/>
        <w:gridCol w:w="2250"/>
        <w:gridCol w:w="4050"/>
      </w:tblGrid>
      <w:tr w:rsidR="00353CA0" w:rsidRPr="009E06BF" w14:paraId="1FFDCE23" w14:textId="77777777" w:rsidTr="006B7A8B">
        <w:trPr>
          <w:tblHead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9FFD9" w14:textId="77777777" w:rsidR="00353CA0" w:rsidRPr="009E06BF" w:rsidRDefault="00353CA0" w:rsidP="006B7A8B">
            <w:pPr>
              <w:keepNext/>
              <w:rPr>
                <w:rFonts w:cstheme="majorHAnsi"/>
                <w:b/>
                <w:bCs/>
                <w:lang w:eastAsia="en-GB"/>
              </w:rPr>
            </w:pPr>
            <w:bookmarkStart w:id="7" w:name="OLE_LINK9"/>
            <w:r w:rsidRPr="009E06BF">
              <w:rPr>
                <w:rFonts w:cstheme="majorHAnsi"/>
                <w:b/>
                <w:bCs/>
                <w:lang w:eastAsia="en-GB"/>
              </w:rPr>
              <w:t>Age(s)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91142" w14:textId="77777777" w:rsidR="00353CA0" w:rsidRPr="009E06BF" w:rsidRDefault="00353CA0" w:rsidP="006B7A8B">
            <w:pPr>
              <w:keepNext/>
              <w:rPr>
                <w:rFonts w:cstheme="majorHAnsi"/>
                <w:b/>
                <w:bCs/>
                <w:lang w:eastAsia="en-GB"/>
              </w:rPr>
            </w:pPr>
            <w:r w:rsidRPr="009E06BF">
              <w:rPr>
                <w:rFonts w:cstheme="majorHAnsi"/>
                <w:b/>
                <w:bCs/>
                <w:lang w:eastAsia="en-GB"/>
              </w:rPr>
              <w:t>Dose</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7DA42" w14:textId="77777777" w:rsidR="00353CA0" w:rsidRPr="009E06BF" w:rsidRDefault="00353CA0" w:rsidP="006B7A8B">
            <w:pPr>
              <w:keepNext/>
              <w:rPr>
                <w:rFonts w:cstheme="majorHAnsi"/>
                <w:b/>
                <w:bCs/>
                <w:lang w:eastAsia="en-GB"/>
              </w:rPr>
            </w:pPr>
            <w:r w:rsidRPr="009E06BF">
              <w:rPr>
                <w:rFonts w:cstheme="majorHAnsi"/>
                <w:b/>
                <w:bCs/>
                <w:lang w:eastAsia="en-GB"/>
              </w:rPr>
              <w:t>Additional recommendations</w:t>
            </w:r>
          </w:p>
          <w:p w14:paraId="267CE22E" w14:textId="77777777" w:rsidR="00353CA0" w:rsidRPr="009E06BF" w:rsidRDefault="00353CA0" w:rsidP="006B7A8B">
            <w:pPr>
              <w:keepNext/>
              <w:rPr>
                <w:rFonts w:cstheme="majorHAnsi"/>
                <w:b/>
                <w:bCs/>
                <w:lang w:eastAsia="en-GB"/>
              </w:rPr>
            </w:pPr>
          </w:p>
        </w:tc>
      </w:tr>
      <w:tr w:rsidR="00353CA0" w:rsidRPr="009E06BF" w14:paraId="577DE485" w14:textId="77777777" w:rsidTr="006B7A8B">
        <w:trPr>
          <w:trHeight w:val="1268"/>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9DCDE" w14:textId="77777777" w:rsidR="00353CA0" w:rsidRPr="009E06BF" w:rsidRDefault="00353CA0" w:rsidP="006B7A8B">
            <w:pPr>
              <w:rPr>
                <w:rFonts w:eastAsia="SimSun" w:cstheme="majorHAnsi"/>
                <w:sz w:val="24"/>
                <w:szCs w:val="24"/>
                <w:lang w:eastAsia="en-GB"/>
              </w:rPr>
            </w:pPr>
            <w:r w:rsidRPr="009E06BF">
              <w:rPr>
                <w:rFonts w:cstheme="majorHAnsi"/>
                <w:lang w:eastAsia="en-GB"/>
              </w:rPr>
              <w:t>Individuals 12 years of age and older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B2DC7" w14:textId="77777777" w:rsidR="00353CA0" w:rsidRPr="009E06BF" w:rsidRDefault="00353CA0" w:rsidP="006B7A8B">
            <w:pPr>
              <w:rPr>
                <w:rFonts w:cstheme="majorHAnsi"/>
                <w:lang w:eastAsia="en-GB"/>
              </w:rPr>
            </w:pPr>
            <w:r w:rsidRPr="009E06BF">
              <w:rPr>
                <w:rFonts w:cstheme="majorHAnsi"/>
                <w:lang w:eastAsia="en-GB"/>
              </w:rPr>
              <w:t>One dose of 0.2 mL, given intramuscularly</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8122C" w14:textId="15032774" w:rsidR="00353CA0" w:rsidRPr="009E06BF" w:rsidRDefault="00353CA0" w:rsidP="006B7A8B">
            <w:pPr>
              <w:rPr>
                <w:rFonts w:cstheme="majorHAnsi"/>
                <w:lang w:eastAsia="en-GB"/>
              </w:rPr>
            </w:pPr>
            <w:r w:rsidRPr="009E06BF">
              <w:rPr>
                <w:rFonts w:cstheme="majorHAnsi"/>
                <w:bCs/>
                <w:iCs/>
                <w:lang w:eastAsia="en-GB"/>
              </w:rPr>
              <w:t>If previously vaccinated,</w:t>
            </w:r>
            <w:r w:rsidR="008F6E6B">
              <w:rPr>
                <w:rFonts w:cstheme="majorHAnsi"/>
                <w:bCs/>
                <w:iCs/>
                <w:lang w:eastAsia="en-GB"/>
              </w:rPr>
              <w:t xml:space="preserve"> </w:t>
            </w:r>
            <w:r w:rsidR="00170E15">
              <w:rPr>
                <w:rFonts w:cstheme="majorHAnsi"/>
                <w:bCs/>
                <w:iCs/>
                <w:lang w:eastAsia="en-GB"/>
              </w:rPr>
              <w:t>mNEXSPIKE XBB.1.5</w:t>
            </w:r>
            <w:r w:rsidR="008F6E6B">
              <w:rPr>
                <w:rFonts w:cstheme="majorHAnsi"/>
                <w:bCs/>
                <w:iCs/>
                <w:lang w:eastAsia="en-GB"/>
              </w:rPr>
              <w:t xml:space="preserve"> </w:t>
            </w:r>
            <w:r w:rsidRPr="009E06BF">
              <w:rPr>
                <w:rFonts w:cstheme="majorHAnsi"/>
                <w:bCs/>
                <w:iCs/>
                <w:lang w:eastAsia="en-GB"/>
              </w:rPr>
              <w:t>should be administered at least 3 months after a recent dose of a COVID</w:t>
            </w:r>
            <w:r w:rsidRPr="009E06BF">
              <w:rPr>
                <w:rFonts w:cstheme="majorHAnsi"/>
                <w:bCs/>
                <w:iCs/>
                <w:lang w:eastAsia="en-GB"/>
              </w:rPr>
              <w:noBreakHyphen/>
              <w:t xml:space="preserve">19 vaccine </w:t>
            </w:r>
            <w:r w:rsidRPr="00DA2BC9">
              <w:rPr>
                <w:rFonts w:cstheme="majorHAnsi"/>
                <w:bCs/>
                <w:iCs/>
                <w:lang w:eastAsia="en-GB"/>
              </w:rPr>
              <w:t xml:space="preserve">(see </w:t>
            </w:r>
            <w:r w:rsidR="00D9714C" w:rsidRPr="00DA2BC9">
              <w:rPr>
                <w:rFonts w:cstheme="majorHAnsi"/>
                <w:bCs/>
                <w:iCs/>
                <w:lang w:eastAsia="en-GB"/>
              </w:rPr>
              <w:t>s</w:t>
            </w:r>
            <w:r w:rsidRPr="00DA2BC9">
              <w:rPr>
                <w:rFonts w:cstheme="majorHAnsi"/>
                <w:bCs/>
                <w:iCs/>
                <w:lang w:eastAsia="en-GB"/>
              </w:rPr>
              <w:t>ections 4.4</w:t>
            </w:r>
            <w:r w:rsidR="00D9714C" w:rsidRPr="00DA2BC9">
              <w:rPr>
                <w:rFonts w:cstheme="majorHAnsi"/>
                <w:bCs/>
                <w:iCs/>
                <w:lang w:eastAsia="en-GB"/>
              </w:rPr>
              <w:t xml:space="preserve"> </w:t>
            </w:r>
            <w:r w:rsidRPr="00DA2BC9">
              <w:rPr>
                <w:rFonts w:cstheme="majorHAnsi"/>
                <w:bCs/>
                <w:iCs/>
                <w:lang w:eastAsia="en-GB"/>
              </w:rPr>
              <w:t>and 5.1).</w:t>
            </w:r>
          </w:p>
        </w:tc>
      </w:tr>
      <w:bookmarkEnd w:id="4"/>
      <w:bookmarkEnd w:id="5"/>
      <w:bookmarkEnd w:id="7"/>
    </w:tbl>
    <w:p w14:paraId="13B4A78C" w14:textId="77777777" w:rsidR="00353CA0" w:rsidRPr="009E06BF" w:rsidRDefault="00353CA0" w:rsidP="006D2E33">
      <w:pPr>
        <w:pStyle w:val="NoSpacing"/>
      </w:pPr>
    </w:p>
    <w:p w14:paraId="2D3DF1E7" w14:textId="405569BA" w:rsidR="00615936" w:rsidRPr="009E06BF" w:rsidRDefault="00923384" w:rsidP="00353CA0">
      <w:pPr>
        <w:spacing w:line="240" w:lineRule="auto"/>
        <w:rPr>
          <w:rFonts w:cstheme="majorHAnsi"/>
        </w:rPr>
      </w:pPr>
      <w:r w:rsidRPr="00D5600F">
        <w:rPr>
          <w:rFonts w:cstheme="majorHAnsi"/>
        </w:rPr>
        <w:t xml:space="preserve">The use of this vaccine should be in accordance with clinical recommendations in Australia, made by ATAGI in the Australian </w:t>
      </w:r>
      <w:proofErr w:type="spellStart"/>
      <w:r w:rsidRPr="00D5600F">
        <w:rPr>
          <w:rFonts w:cstheme="majorHAnsi"/>
        </w:rPr>
        <w:t>Immunisation</w:t>
      </w:r>
      <w:proofErr w:type="spellEnd"/>
      <w:r w:rsidRPr="00D5600F">
        <w:rPr>
          <w:rFonts w:cstheme="majorHAnsi"/>
        </w:rPr>
        <w:t xml:space="preserve"> Handbook</w:t>
      </w:r>
      <w:r w:rsidR="00DA4F59" w:rsidRPr="00F04235">
        <w:rPr>
          <w:rFonts w:cstheme="majorHAnsi"/>
        </w:rPr>
        <w:t>.</w:t>
      </w:r>
    </w:p>
    <w:bookmarkEnd w:id="6"/>
    <w:p w14:paraId="148C688C" w14:textId="13C45F24" w:rsidR="00353CA0" w:rsidRPr="009E06BF" w:rsidRDefault="00353CA0" w:rsidP="00EB7804">
      <w:pPr>
        <w:pStyle w:val="Heading4"/>
        <w:rPr>
          <w:rFonts w:cstheme="majorHAnsi"/>
          <w:iCs w:val="0"/>
        </w:rPr>
      </w:pPr>
      <w:proofErr w:type="spellStart"/>
      <w:r w:rsidRPr="009E06BF">
        <w:rPr>
          <w:rFonts w:cstheme="majorHAnsi"/>
          <w:iCs w:val="0"/>
        </w:rPr>
        <w:t>Paediatric</w:t>
      </w:r>
      <w:proofErr w:type="spellEnd"/>
      <w:r w:rsidRPr="009E06BF">
        <w:rPr>
          <w:rFonts w:cstheme="majorHAnsi"/>
          <w:iCs w:val="0"/>
        </w:rPr>
        <w:t xml:space="preserve"> population</w:t>
      </w:r>
      <w:r w:rsidR="00C40E71">
        <w:rPr>
          <w:rFonts w:cstheme="majorHAnsi"/>
          <w:iCs w:val="0"/>
        </w:rPr>
        <w:fldChar w:fldCharType="begin"/>
      </w:r>
      <w:r w:rsidR="00C40E71">
        <w:rPr>
          <w:rFonts w:cstheme="majorHAnsi"/>
          <w:iCs w:val="0"/>
        </w:rPr>
        <w:instrText xml:space="preserve"> DOCVARIABLE vault_nd_dc1a3cb6-37f2-4fdc-a0a8-5c4a6be3de5f \* MERGEFORMAT </w:instrText>
      </w:r>
      <w:r w:rsidR="00C40E71">
        <w:rPr>
          <w:rFonts w:cstheme="majorHAnsi"/>
          <w:iCs w:val="0"/>
        </w:rPr>
        <w:fldChar w:fldCharType="separate"/>
      </w:r>
      <w:r w:rsidR="00C40E71">
        <w:rPr>
          <w:rFonts w:cstheme="majorHAnsi"/>
          <w:iCs w:val="0"/>
        </w:rPr>
        <w:t xml:space="preserve"> </w:t>
      </w:r>
      <w:r w:rsidR="00C40E71">
        <w:rPr>
          <w:rFonts w:cstheme="majorHAnsi"/>
          <w:iCs w:val="0"/>
        </w:rPr>
        <w:fldChar w:fldCharType="end"/>
      </w:r>
    </w:p>
    <w:p w14:paraId="5CFB2733" w14:textId="6844D57B" w:rsidR="00353CA0" w:rsidRPr="009E06BF" w:rsidRDefault="00353CA0" w:rsidP="00923384">
      <w:pPr>
        <w:autoSpaceDE w:val="0"/>
        <w:autoSpaceDN w:val="0"/>
        <w:adjustRightInd w:val="0"/>
        <w:spacing w:line="240" w:lineRule="auto"/>
        <w:rPr>
          <w:rFonts w:cstheme="majorHAnsi"/>
        </w:rPr>
      </w:pPr>
      <w:bookmarkStart w:id="8" w:name="OLE_LINK11"/>
      <w:r w:rsidRPr="009E06BF">
        <w:rPr>
          <w:rFonts w:cstheme="majorHAnsi"/>
        </w:rPr>
        <w:t>The safety and efficacy of</w:t>
      </w:r>
      <w:r w:rsidR="00344347">
        <w:rPr>
          <w:rFonts w:cstheme="majorHAnsi"/>
        </w:rPr>
        <w:t xml:space="preserve"> </w:t>
      </w:r>
      <w:r w:rsidR="00170E15">
        <w:rPr>
          <w:rFonts w:cstheme="majorHAnsi"/>
        </w:rPr>
        <w:t>mNEXSPIKE XBB.1.5</w:t>
      </w:r>
      <w:r w:rsidRPr="009E06BF">
        <w:rPr>
          <w:rFonts w:cstheme="majorHAnsi"/>
        </w:rPr>
        <w:t xml:space="preserve"> in children less than 12 years of age have not yet been established. No data </w:t>
      </w:r>
      <w:proofErr w:type="gramStart"/>
      <w:r w:rsidRPr="009E06BF">
        <w:rPr>
          <w:rFonts w:cstheme="majorHAnsi"/>
        </w:rPr>
        <w:t>are</w:t>
      </w:r>
      <w:proofErr w:type="gramEnd"/>
      <w:r w:rsidRPr="009E06BF">
        <w:rPr>
          <w:rFonts w:cstheme="majorHAnsi"/>
        </w:rPr>
        <w:t xml:space="preserve"> available. </w:t>
      </w:r>
      <w:bookmarkEnd w:id="8"/>
    </w:p>
    <w:p w14:paraId="2A1BC371" w14:textId="7322844B" w:rsidR="00353CA0" w:rsidRPr="009E06BF" w:rsidRDefault="00353CA0" w:rsidP="00EB7804">
      <w:pPr>
        <w:pStyle w:val="Heading4"/>
        <w:rPr>
          <w:rFonts w:cstheme="majorHAnsi"/>
        </w:rPr>
      </w:pPr>
      <w:bookmarkStart w:id="9" w:name="OLE_LINK12"/>
      <w:r w:rsidRPr="009E06BF">
        <w:rPr>
          <w:rFonts w:cstheme="majorHAnsi"/>
        </w:rPr>
        <w:t>Elderly</w:t>
      </w:r>
      <w:r w:rsidR="00C40E71">
        <w:rPr>
          <w:rFonts w:cstheme="majorHAnsi"/>
        </w:rPr>
        <w:fldChar w:fldCharType="begin"/>
      </w:r>
      <w:r w:rsidR="00C40E71">
        <w:rPr>
          <w:rFonts w:cstheme="majorHAnsi"/>
        </w:rPr>
        <w:instrText xml:space="preserve"> DOCVARIABLE vault_nd_dde72f89-f0bd-482a-9b87-203ac409de6e \* MERGEFORMAT </w:instrText>
      </w:r>
      <w:r w:rsidR="00C40E71">
        <w:rPr>
          <w:rFonts w:cstheme="majorHAnsi"/>
        </w:rPr>
        <w:fldChar w:fldCharType="separate"/>
      </w:r>
      <w:r w:rsidR="00C40E71">
        <w:rPr>
          <w:rFonts w:cstheme="majorHAnsi"/>
        </w:rPr>
        <w:t xml:space="preserve"> </w:t>
      </w:r>
      <w:r w:rsidR="00C40E71">
        <w:rPr>
          <w:rFonts w:cstheme="majorHAnsi"/>
        </w:rPr>
        <w:fldChar w:fldCharType="end"/>
      </w:r>
    </w:p>
    <w:p w14:paraId="6C70DFA0" w14:textId="4FA9A548" w:rsidR="00353CA0" w:rsidRPr="009E06BF" w:rsidRDefault="00353CA0" w:rsidP="00353CA0">
      <w:pPr>
        <w:spacing w:line="240" w:lineRule="auto"/>
        <w:rPr>
          <w:rFonts w:cstheme="majorHAnsi"/>
        </w:rPr>
      </w:pPr>
      <w:r w:rsidRPr="009E06BF">
        <w:rPr>
          <w:rFonts w:cstheme="majorHAnsi"/>
        </w:rPr>
        <w:t>No dose adjustment is required in elderly individuals ≥65 years of age.</w:t>
      </w:r>
      <w:bookmarkEnd w:id="9"/>
    </w:p>
    <w:p w14:paraId="2483CD05" w14:textId="4899C569" w:rsidR="00353CA0" w:rsidRPr="009E06BF" w:rsidRDefault="00353CA0" w:rsidP="00EB7804">
      <w:pPr>
        <w:pStyle w:val="Heading3"/>
        <w:rPr>
          <w:rFonts w:cstheme="majorHAnsi"/>
        </w:rPr>
      </w:pPr>
      <w:r w:rsidRPr="009E06BF">
        <w:rPr>
          <w:rFonts w:cstheme="majorHAnsi"/>
        </w:rPr>
        <w:t>Method of administration</w:t>
      </w:r>
      <w:r w:rsidR="00C40E71">
        <w:rPr>
          <w:rFonts w:cstheme="majorHAnsi"/>
        </w:rPr>
        <w:fldChar w:fldCharType="begin"/>
      </w:r>
      <w:r w:rsidR="00C40E71">
        <w:rPr>
          <w:rFonts w:cstheme="majorHAnsi"/>
        </w:rPr>
        <w:instrText xml:space="preserve"> DOCVARIABLE vault_nd_bbe18e4a-6e2e-4d94-8226-16c966c9a7e2 \* MERGEFORMAT </w:instrText>
      </w:r>
      <w:r w:rsidR="00C40E71">
        <w:rPr>
          <w:rFonts w:cstheme="majorHAnsi"/>
        </w:rPr>
        <w:fldChar w:fldCharType="separate"/>
      </w:r>
      <w:r w:rsidR="00C40E71">
        <w:rPr>
          <w:rFonts w:cstheme="majorHAnsi"/>
        </w:rPr>
        <w:t xml:space="preserve"> </w:t>
      </w:r>
      <w:r w:rsidR="00C40E71">
        <w:rPr>
          <w:rFonts w:cstheme="majorHAnsi"/>
        </w:rPr>
        <w:fldChar w:fldCharType="end"/>
      </w:r>
    </w:p>
    <w:p w14:paraId="7B7509FC" w14:textId="081F6F08" w:rsidR="00353CA0" w:rsidRPr="009E06BF" w:rsidRDefault="00353CA0" w:rsidP="00353CA0">
      <w:pPr>
        <w:spacing w:line="240" w:lineRule="auto"/>
        <w:rPr>
          <w:rFonts w:cstheme="majorHAnsi"/>
          <w:iCs/>
        </w:rPr>
      </w:pPr>
      <w:bookmarkStart w:id="10" w:name="OLE_LINK13"/>
      <w:r w:rsidRPr="009E06BF">
        <w:rPr>
          <w:rFonts w:cstheme="majorHAnsi"/>
          <w:noProof/>
        </w:rPr>
        <w:t xml:space="preserve">The vaccine </w:t>
      </w:r>
      <w:r w:rsidRPr="009E06BF">
        <w:rPr>
          <w:rFonts w:cstheme="majorHAnsi"/>
          <w:iCs/>
        </w:rPr>
        <w:t xml:space="preserve">should be administered intramuscularly. The preferred site is the deltoid muscle of the upper arm. </w:t>
      </w:r>
    </w:p>
    <w:p w14:paraId="10833D31" w14:textId="5E59F854" w:rsidR="00353CA0" w:rsidRPr="009E06BF" w:rsidRDefault="00353CA0" w:rsidP="00353CA0">
      <w:pPr>
        <w:spacing w:line="240" w:lineRule="auto"/>
        <w:rPr>
          <w:rFonts w:cstheme="majorHAnsi"/>
          <w:iCs/>
        </w:rPr>
      </w:pPr>
      <w:r w:rsidRPr="009E06BF">
        <w:rPr>
          <w:rFonts w:cstheme="majorHAnsi"/>
          <w:iCs/>
        </w:rPr>
        <w:t xml:space="preserve">Do not administer this vaccine intravascularly, subcutaneously or intradermally. </w:t>
      </w:r>
    </w:p>
    <w:p w14:paraId="0E35AC5B" w14:textId="40200D42" w:rsidR="00353CA0" w:rsidRPr="003001AD" w:rsidRDefault="00353CA0" w:rsidP="003001AD">
      <w:pPr>
        <w:rPr>
          <w:rFonts w:eastAsia="SimSun" w:cstheme="majorHAnsi"/>
          <w:lang w:eastAsia="en-GB"/>
        </w:rPr>
      </w:pPr>
      <w:r w:rsidRPr="009E06BF">
        <w:rPr>
          <w:rFonts w:cstheme="majorHAnsi"/>
          <w:iCs/>
        </w:rPr>
        <w:t>The vaccine should not be mixed in the same syringe with any other vaccines or medicinal products.</w:t>
      </w:r>
      <w:r w:rsidR="003C1108">
        <w:rPr>
          <w:rFonts w:cstheme="majorHAnsi"/>
          <w:iCs/>
        </w:rPr>
        <w:t xml:space="preserve"> </w:t>
      </w:r>
      <w:r w:rsidRPr="009E06BF">
        <w:rPr>
          <w:rFonts w:eastAsia="SimSun" w:cstheme="majorHAnsi"/>
          <w:lang w:eastAsia="en-GB"/>
        </w:rPr>
        <w:t>For precautions to be taken before administering the vaccine, see section </w:t>
      </w:r>
      <w:r w:rsidR="00825B88" w:rsidRPr="003001AD">
        <w:rPr>
          <w:rFonts w:eastAsia="SimSun" w:cstheme="majorHAnsi"/>
          <w:lang w:eastAsia="en-GB"/>
        </w:rPr>
        <w:t>4.4 Special Warnings and Precautions for Use</w:t>
      </w:r>
      <w:r w:rsidR="003001AD">
        <w:rPr>
          <w:rFonts w:eastAsia="SimSun" w:cstheme="majorHAnsi"/>
          <w:lang w:eastAsia="en-GB"/>
        </w:rPr>
        <w:t>.</w:t>
      </w:r>
    </w:p>
    <w:p w14:paraId="7B31856F" w14:textId="7AB750A7" w:rsidR="00353CA0" w:rsidRPr="00DD5AE0" w:rsidRDefault="00DD5AE0" w:rsidP="00DD5AE0">
      <w:pPr>
        <w:pStyle w:val="Heading4"/>
        <w:rPr>
          <w:lang w:eastAsia="en-GB"/>
        </w:rPr>
      </w:pPr>
      <w:r w:rsidRPr="00DD5AE0">
        <w:rPr>
          <w:lang w:eastAsia="en-GB"/>
        </w:rPr>
        <w:t>Preparation</w:t>
      </w:r>
      <w:r w:rsidR="00C40E71">
        <w:rPr>
          <w:lang w:eastAsia="en-GB"/>
        </w:rPr>
        <w:fldChar w:fldCharType="begin"/>
      </w:r>
      <w:r w:rsidR="00C40E71">
        <w:rPr>
          <w:lang w:eastAsia="en-GB"/>
        </w:rPr>
        <w:instrText xml:space="preserve"> DOCVARIABLE vault_nd_a9783e1c-0e67-4945-9d91-23b4c17550b7 \* MERGEFORMAT </w:instrText>
      </w:r>
      <w:r w:rsidR="00C40E71">
        <w:rPr>
          <w:lang w:eastAsia="en-GB"/>
        </w:rPr>
        <w:fldChar w:fldCharType="separate"/>
      </w:r>
      <w:r w:rsidR="00C40E71">
        <w:rPr>
          <w:lang w:eastAsia="en-GB"/>
        </w:rPr>
        <w:t xml:space="preserve"> </w:t>
      </w:r>
      <w:r w:rsidR="00C40E71">
        <w:rPr>
          <w:lang w:eastAsia="en-GB"/>
        </w:rPr>
        <w:fldChar w:fldCharType="end"/>
      </w:r>
    </w:p>
    <w:bookmarkEnd w:id="10"/>
    <w:p w14:paraId="5D0FA721" w14:textId="680925FC" w:rsidR="003C1108" w:rsidRPr="00C65381" w:rsidRDefault="003C1108" w:rsidP="003C1108">
      <w:pPr>
        <w:spacing w:line="240" w:lineRule="auto"/>
        <w:rPr>
          <w:rFonts w:cstheme="majorHAnsi"/>
          <w:noProof/>
        </w:rPr>
      </w:pPr>
      <w:r w:rsidRPr="00C65381">
        <w:rPr>
          <w:rFonts w:cstheme="majorHAnsi"/>
          <w:noProof/>
        </w:rPr>
        <w:t xml:space="preserve">The vaccine should be prepared and administered by a trained healthcare professional using aseptic techniques to ensure sterility of the </w:t>
      </w:r>
      <w:r w:rsidR="003D4504" w:rsidRPr="00C65381">
        <w:rPr>
          <w:rFonts w:cstheme="majorHAnsi"/>
          <w:noProof/>
        </w:rPr>
        <w:t>suspension</w:t>
      </w:r>
      <w:r w:rsidRPr="00C65381">
        <w:rPr>
          <w:rFonts w:cstheme="majorHAnsi"/>
          <w:noProof/>
        </w:rPr>
        <w:t>.</w:t>
      </w:r>
    </w:p>
    <w:p w14:paraId="4E96A676" w14:textId="5C63257F" w:rsidR="003C1108" w:rsidRPr="00C65381" w:rsidRDefault="003C1108" w:rsidP="003C1108">
      <w:pPr>
        <w:spacing w:line="240" w:lineRule="auto"/>
        <w:rPr>
          <w:rFonts w:cstheme="majorHAnsi"/>
          <w:noProof/>
        </w:rPr>
      </w:pPr>
      <w:r w:rsidRPr="00C65381">
        <w:rPr>
          <w:rFonts w:cstheme="majorHAnsi"/>
          <w:noProof/>
        </w:rPr>
        <w:t xml:space="preserve">Do not shake or dilute the contents of the pre-filled syringe. </w:t>
      </w:r>
    </w:p>
    <w:p w14:paraId="4542A40C" w14:textId="1DC09311" w:rsidR="003C1108" w:rsidRPr="00C65381" w:rsidRDefault="003C1108" w:rsidP="003C1108">
      <w:pPr>
        <w:spacing w:line="240" w:lineRule="auto"/>
        <w:rPr>
          <w:rFonts w:cstheme="majorHAnsi"/>
          <w:noProof/>
        </w:rPr>
      </w:pPr>
      <w:r w:rsidRPr="00C65381">
        <w:rPr>
          <w:rFonts w:cstheme="majorHAnsi"/>
          <w:noProof/>
        </w:rPr>
        <w:t>Each pre-filled syringe is for single use only. The vaccine comes ready to use once thawed.</w:t>
      </w:r>
    </w:p>
    <w:p w14:paraId="09C566FB" w14:textId="3EB9CA17" w:rsidR="003C1108" w:rsidRPr="00C65381" w:rsidRDefault="003C1108" w:rsidP="003C1108">
      <w:pPr>
        <w:spacing w:line="240" w:lineRule="auto"/>
        <w:rPr>
          <w:rFonts w:cstheme="majorHAnsi"/>
          <w:noProof/>
        </w:rPr>
      </w:pPr>
      <w:r w:rsidRPr="00C65381">
        <w:rPr>
          <w:rFonts w:cstheme="majorHAnsi"/>
          <w:noProof/>
        </w:rPr>
        <w:t xml:space="preserve">One (1) dose of 0.2 mL can be administered from each pre-filled syringe. </w:t>
      </w:r>
    </w:p>
    <w:p w14:paraId="79C8A656" w14:textId="02F47E07" w:rsidR="003C1108" w:rsidRPr="00C65381" w:rsidRDefault="00170E15" w:rsidP="003C1108">
      <w:pPr>
        <w:spacing w:line="240" w:lineRule="auto"/>
        <w:rPr>
          <w:rFonts w:cstheme="majorHAnsi"/>
          <w:noProof/>
        </w:rPr>
      </w:pPr>
      <w:r>
        <w:rPr>
          <w:rFonts w:cstheme="majorHAnsi"/>
          <w:noProof/>
        </w:rPr>
        <w:t>mNEXSPIKE XBB.1.5</w:t>
      </w:r>
      <w:r w:rsidR="00C65381">
        <w:rPr>
          <w:rFonts w:cstheme="majorHAnsi"/>
          <w:noProof/>
        </w:rPr>
        <w:t xml:space="preserve"> </w:t>
      </w:r>
      <w:r w:rsidR="003C1108" w:rsidRPr="00C65381">
        <w:rPr>
          <w:rFonts w:cstheme="majorHAnsi"/>
          <w:noProof/>
        </w:rPr>
        <w:t xml:space="preserve">is supplied in a single-dose, pre-filled syringe (without needle) containing 0.2 mL (10 micrograms) mRNA and must be thawed prior to administration. </w:t>
      </w:r>
    </w:p>
    <w:p w14:paraId="6358D64D" w14:textId="36BAAA8C" w:rsidR="003C1108" w:rsidRPr="00C65381" w:rsidRDefault="003C1108" w:rsidP="003C1108">
      <w:pPr>
        <w:spacing w:line="240" w:lineRule="auto"/>
        <w:rPr>
          <w:rFonts w:cstheme="majorHAnsi"/>
          <w:noProof/>
        </w:rPr>
      </w:pPr>
      <w:r w:rsidRPr="00C65381">
        <w:rPr>
          <w:rFonts w:cstheme="majorHAnsi"/>
          <w:noProof/>
        </w:rPr>
        <w:t>Thaw each pre-filled syringe before use following the instructions below. Syringes may be thawed outside the carton or in the carton itself, either in the refrigerator or at room temperature (Table </w:t>
      </w:r>
      <w:r w:rsidR="007B1CA1">
        <w:rPr>
          <w:rFonts w:cstheme="majorHAnsi"/>
          <w:noProof/>
        </w:rPr>
        <w:t>3</w:t>
      </w:r>
      <w:r w:rsidRPr="00C65381">
        <w:rPr>
          <w:rFonts w:cstheme="majorHAnsi"/>
          <w:noProof/>
        </w:rPr>
        <w:t xml:space="preserve">). </w:t>
      </w:r>
    </w:p>
    <w:p w14:paraId="6222361E" w14:textId="78939633" w:rsidR="003C1108" w:rsidRPr="00ED21FE" w:rsidRDefault="003C1108" w:rsidP="000C3F5F">
      <w:pPr>
        <w:keepNext/>
        <w:keepLines/>
        <w:spacing w:line="240" w:lineRule="auto"/>
        <w:rPr>
          <w:b/>
          <w:bCs/>
        </w:rPr>
      </w:pPr>
      <w:r w:rsidRPr="00C65381">
        <w:rPr>
          <w:rFonts w:cstheme="majorHAnsi"/>
          <w:b/>
          <w:bCs/>
          <w:noProof/>
        </w:rPr>
        <w:lastRenderedPageBreak/>
        <w:t>Table </w:t>
      </w:r>
      <w:r w:rsidR="007B1CA1">
        <w:rPr>
          <w:rFonts w:cstheme="majorHAnsi"/>
          <w:b/>
          <w:bCs/>
          <w:noProof/>
        </w:rPr>
        <w:t>3</w:t>
      </w:r>
      <w:r w:rsidRPr="00C65381">
        <w:rPr>
          <w:rFonts w:cstheme="majorHAnsi"/>
          <w:b/>
          <w:bCs/>
          <w:noProof/>
        </w:rPr>
        <w:t>. Thawing instructions for</w:t>
      </w:r>
      <w:r w:rsidR="00E244A4">
        <w:rPr>
          <w:rFonts w:cstheme="majorHAnsi"/>
          <w:b/>
          <w:bCs/>
          <w:noProof/>
        </w:rPr>
        <w:t xml:space="preserve"> </w:t>
      </w:r>
      <w:r w:rsidR="00170E15">
        <w:rPr>
          <w:rFonts w:cstheme="majorHAnsi"/>
          <w:b/>
          <w:bCs/>
          <w:noProof/>
        </w:rPr>
        <w:t>mNEXSPIKE XBB.1.5</w:t>
      </w:r>
      <w:r w:rsidR="00E244A4">
        <w:rPr>
          <w:rFonts w:cstheme="majorHAnsi"/>
          <w:b/>
          <w:bCs/>
          <w:noProof/>
        </w:rPr>
        <w:t xml:space="preserve"> </w:t>
      </w:r>
      <w:r w:rsidRPr="00C65381">
        <w:rPr>
          <w:rFonts w:cstheme="majorHAnsi"/>
          <w:b/>
          <w:bCs/>
          <w:noProof/>
        </w:rPr>
        <w:t xml:space="preserve">pre-filled syringes and cartons </w:t>
      </w:r>
      <w:r w:rsidRPr="00C65381">
        <w:rPr>
          <w:rFonts w:cstheme="majorHAnsi"/>
          <w:b/>
          <w:bCs/>
        </w:rPr>
        <w:t>before use</w:t>
      </w:r>
    </w:p>
    <w:tbl>
      <w:tblPr>
        <w:tblW w:w="0" w:type="auto"/>
        <w:tblLook w:val="04A0" w:firstRow="1" w:lastRow="0" w:firstColumn="1" w:lastColumn="0" w:noHBand="0" w:noVBand="1"/>
      </w:tblPr>
      <w:tblGrid>
        <w:gridCol w:w="1615"/>
        <w:gridCol w:w="1753"/>
        <w:gridCol w:w="1754"/>
        <w:gridCol w:w="1754"/>
        <w:gridCol w:w="1754"/>
      </w:tblGrid>
      <w:tr w:rsidR="003C1108" w:rsidRPr="009C0F3E" w14:paraId="077B4B9E" w14:textId="77777777" w:rsidTr="00AB2FE5">
        <w:tc>
          <w:tcPr>
            <w:tcW w:w="16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2F730" w14:textId="77777777" w:rsidR="003C1108" w:rsidRPr="00ED21FE" w:rsidRDefault="003C1108" w:rsidP="000C3F5F">
            <w:pPr>
              <w:keepNext/>
              <w:keepLines/>
              <w:spacing w:line="240" w:lineRule="auto"/>
              <w:rPr>
                <w:b/>
                <w:noProof/>
                <w:lang w:eastAsia="en-GB"/>
              </w:rPr>
            </w:pPr>
            <w:r w:rsidRPr="00ED21FE">
              <w:rPr>
                <w:b/>
                <w:noProof/>
                <w:lang w:eastAsia="en-GB"/>
              </w:rPr>
              <w:t>Configuration</w:t>
            </w:r>
          </w:p>
        </w:tc>
        <w:tc>
          <w:tcPr>
            <w:tcW w:w="70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1C18F" w14:textId="77777777" w:rsidR="003C1108" w:rsidRPr="00ED21FE" w:rsidRDefault="003C1108" w:rsidP="000C3F5F">
            <w:pPr>
              <w:keepNext/>
              <w:keepLines/>
              <w:spacing w:line="240" w:lineRule="auto"/>
              <w:jc w:val="center"/>
              <w:rPr>
                <w:b/>
                <w:noProof/>
                <w:lang w:eastAsia="en-GB"/>
              </w:rPr>
            </w:pPr>
            <w:r w:rsidRPr="00ED21FE">
              <w:rPr>
                <w:b/>
                <w:noProof/>
                <w:lang w:eastAsia="en-GB"/>
              </w:rPr>
              <w:t>Thaw instructions and duration</w:t>
            </w:r>
          </w:p>
        </w:tc>
      </w:tr>
      <w:tr w:rsidR="003C1108" w:rsidRPr="009C0F3E" w14:paraId="7279CC12" w14:textId="77777777" w:rsidTr="0041422B">
        <w:tc>
          <w:tcPr>
            <w:tcW w:w="16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09683" w14:textId="77777777" w:rsidR="003C1108" w:rsidRPr="00512A4D" w:rsidRDefault="003C1108" w:rsidP="002345D6">
            <w:pPr>
              <w:keepNext/>
              <w:keepLines/>
              <w:spacing w:line="240" w:lineRule="auto"/>
              <w:rPr>
                <w:b/>
                <w:noProof/>
                <w:lang w:eastAsia="en-GB"/>
              </w:rPr>
            </w:pP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AD637" w14:textId="77777777" w:rsidR="003C1108" w:rsidRPr="00ED21FE" w:rsidRDefault="003C1108" w:rsidP="002345D6">
            <w:pPr>
              <w:keepNext/>
              <w:keepLines/>
              <w:spacing w:line="240" w:lineRule="auto"/>
              <w:jc w:val="center"/>
              <w:rPr>
                <w:b/>
                <w:noProof/>
                <w:lang w:val="it-IT" w:eastAsia="en-GB"/>
              </w:rPr>
            </w:pPr>
            <w:r w:rsidRPr="00512A4D">
              <w:rPr>
                <w:b/>
                <w:noProof/>
                <w:lang w:val="it-IT" w:eastAsia="en-GB"/>
              </w:rPr>
              <w:t>Thaw temperature (in a refrigerator)</w:t>
            </w:r>
            <w:r w:rsidRPr="00ED21FE">
              <w:rPr>
                <w:rStyle w:val="CommentReference"/>
                <w:sz w:val="22"/>
                <w:szCs w:val="22"/>
                <w:lang w:val="it-IT" w:eastAsia="en-GB"/>
              </w:rPr>
              <w:t xml:space="preserve"> </w:t>
            </w:r>
            <w:r w:rsidRPr="00ED21FE">
              <w:rPr>
                <w:b/>
                <w:noProof/>
                <w:lang w:val="it-IT" w:eastAsia="en-GB"/>
              </w:rPr>
              <w:t>(°C)</w:t>
            </w:r>
          </w:p>
        </w:tc>
        <w:tc>
          <w:tcPr>
            <w:tcW w:w="17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18A8BF6B" w14:textId="77777777" w:rsidR="003C1108" w:rsidRPr="00ED21FE" w:rsidRDefault="003C1108" w:rsidP="002345D6">
            <w:pPr>
              <w:keepNext/>
              <w:keepLines/>
              <w:spacing w:line="240" w:lineRule="auto"/>
              <w:jc w:val="center"/>
              <w:rPr>
                <w:b/>
                <w:noProof/>
                <w:lang w:eastAsia="en-GB"/>
              </w:rPr>
            </w:pPr>
            <w:r w:rsidRPr="00ED21FE">
              <w:rPr>
                <w:b/>
                <w:noProof/>
                <w:lang w:eastAsia="en-GB"/>
              </w:rPr>
              <w:t>Thaw duration</w:t>
            </w:r>
            <w:r w:rsidRPr="00ED21FE">
              <w:rPr>
                <w:b/>
                <w:noProof/>
                <w:lang w:eastAsia="en-GB"/>
              </w:rPr>
              <w:br/>
              <w:t>(minutes)</w:t>
            </w:r>
          </w:p>
        </w:tc>
        <w:tc>
          <w:tcPr>
            <w:tcW w:w="1754"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1CC431A2" w14:textId="77777777" w:rsidR="003C1108" w:rsidRPr="00ED21FE" w:rsidRDefault="003C1108" w:rsidP="002345D6">
            <w:pPr>
              <w:keepNext/>
              <w:keepLines/>
              <w:spacing w:line="240" w:lineRule="auto"/>
              <w:jc w:val="center"/>
              <w:rPr>
                <w:b/>
                <w:noProof/>
                <w:lang w:eastAsia="en-GB"/>
              </w:rPr>
            </w:pPr>
            <w:r w:rsidRPr="00ED21FE">
              <w:rPr>
                <w:b/>
                <w:noProof/>
                <w:lang w:eastAsia="en-GB"/>
              </w:rPr>
              <w:t>Thaw temperature</w:t>
            </w:r>
            <w:r w:rsidRPr="00ED21FE">
              <w:rPr>
                <w:b/>
                <w:noProof/>
                <w:lang w:eastAsia="en-GB"/>
              </w:rPr>
              <w:br/>
            </w:r>
            <w:r w:rsidRPr="00ED21FE">
              <w:rPr>
                <w:rStyle w:val="CommentReference"/>
                <w:b/>
                <w:bCs/>
                <w:sz w:val="22"/>
                <w:szCs w:val="22"/>
                <w:lang w:eastAsia="en-GB"/>
              </w:rPr>
              <w:t>(at room temperature)</w:t>
            </w:r>
            <w:r w:rsidRPr="00ED21FE">
              <w:rPr>
                <w:rStyle w:val="CommentReference"/>
                <w:sz w:val="22"/>
                <w:szCs w:val="22"/>
                <w:lang w:eastAsia="en-GB"/>
              </w:rPr>
              <w:t xml:space="preserve"> </w:t>
            </w:r>
            <w:r w:rsidRPr="00ED21FE">
              <w:rPr>
                <w:b/>
                <w:noProof/>
                <w:lang w:eastAsia="en-GB"/>
              </w:rPr>
              <w:t>(°C)</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B0CB73" w14:textId="77777777" w:rsidR="003C1108" w:rsidRPr="00ED21FE" w:rsidRDefault="003C1108" w:rsidP="002345D6">
            <w:pPr>
              <w:keepNext/>
              <w:keepLines/>
              <w:spacing w:line="240" w:lineRule="auto"/>
              <w:jc w:val="center"/>
              <w:rPr>
                <w:b/>
                <w:noProof/>
                <w:lang w:eastAsia="en-GB"/>
              </w:rPr>
            </w:pPr>
            <w:r w:rsidRPr="00ED21FE">
              <w:rPr>
                <w:b/>
                <w:noProof/>
                <w:lang w:eastAsia="en-GB"/>
              </w:rPr>
              <w:t>Thaw duration</w:t>
            </w:r>
            <w:r w:rsidRPr="00ED21FE">
              <w:rPr>
                <w:b/>
                <w:noProof/>
                <w:lang w:eastAsia="en-GB"/>
              </w:rPr>
              <w:br/>
              <w:t>(minutes)</w:t>
            </w:r>
          </w:p>
        </w:tc>
      </w:tr>
      <w:tr w:rsidR="003C1108" w:rsidRPr="009C0F3E" w14:paraId="655479F0" w14:textId="77777777" w:rsidTr="0041422B">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6D1D0" w14:textId="77777777" w:rsidR="003C1108" w:rsidRPr="00ED21FE" w:rsidRDefault="003C1108" w:rsidP="005B53DC">
            <w:pPr>
              <w:keepNext/>
              <w:keepLines/>
              <w:spacing w:line="240" w:lineRule="auto"/>
              <w:rPr>
                <w:noProof/>
                <w:lang w:eastAsia="en-GB"/>
              </w:rPr>
            </w:pPr>
            <w:r w:rsidRPr="00ED21FE">
              <w:rPr>
                <w:noProof/>
                <w:lang w:eastAsia="en-GB"/>
              </w:rPr>
              <w:t xml:space="preserve">Carton of </w:t>
            </w:r>
            <w:r>
              <w:rPr>
                <w:noProof/>
                <w:lang w:eastAsia="en-GB"/>
              </w:rPr>
              <w:t xml:space="preserve">1 or </w:t>
            </w:r>
            <w:r w:rsidRPr="00ED21FE">
              <w:rPr>
                <w:noProof/>
                <w:lang w:eastAsia="en-GB"/>
              </w:rPr>
              <w:t>2</w:t>
            </w:r>
            <w:r>
              <w:rPr>
                <w:noProof/>
                <w:lang w:eastAsia="en-GB"/>
              </w:rPr>
              <w:t xml:space="preserve"> syringes</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BFB65" w14:textId="77777777" w:rsidR="003C1108" w:rsidRPr="00ED21FE" w:rsidRDefault="003C1108" w:rsidP="005B53DC">
            <w:pPr>
              <w:keepNext/>
              <w:keepLines/>
              <w:spacing w:line="240" w:lineRule="auto"/>
              <w:jc w:val="center"/>
              <w:rPr>
                <w:noProof/>
                <w:lang w:eastAsia="en-GB"/>
              </w:rPr>
            </w:pPr>
            <w:r w:rsidRPr="00ED21FE">
              <w:rPr>
                <w:noProof/>
                <w:lang w:eastAsia="en-GB"/>
              </w:rPr>
              <w:t>2 – 8</w:t>
            </w:r>
          </w:p>
        </w:tc>
        <w:tc>
          <w:tcPr>
            <w:tcW w:w="17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6EE81B91" w14:textId="77777777" w:rsidR="003C1108" w:rsidRPr="00ED21FE" w:rsidRDefault="003C1108" w:rsidP="005B53DC">
            <w:pPr>
              <w:keepNext/>
              <w:keepLines/>
              <w:spacing w:line="240" w:lineRule="auto"/>
              <w:jc w:val="center"/>
              <w:rPr>
                <w:noProof/>
                <w:lang w:eastAsia="en-GB"/>
              </w:rPr>
            </w:pPr>
            <w:r w:rsidRPr="00ED21FE">
              <w:rPr>
                <w:noProof/>
                <w:lang w:eastAsia="en-GB"/>
              </w:rPr>
              <w:t>100</w:t>
            </w:r>
          </w:p>
        </w:tc>
        <w:tc>
          <w:tcPr>
            <w:tcW w:w="1754"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59768DA0" w14:textId="77777777" w:rsidR="003C1108" w:rsidRPr="00ED21FE" w:rsidRDefault="003C1108" w:rsidP="005B53DC">
            <w:pPr>
              <w:keepNext/>
              <w:keepLines/>
              <w:spacing w:line="240" w:lineRule="auto"/>
              <w:jc w:val="center"/>
              <w:rPr>
                <w:noProof/>
                <w:lang w:eastAsia="en-GB"/>
              </w:rPr>
            </w:pPr>
            <w:r w:rsidRPr="00ED21FE">
              <w:rPr>
                <w:noProof/>
                <w:lang w:eastAsia="en-GB"/>
              </w:rPr>
              <w:t>15 – 25</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40805" w14:textId="77777777" w:rsidR="003C1108" w:rsidRPr="00ED21FE" w:rsidRDefault="003C1108" w:rsidP="005B53DC">
            <w:pPr>
              <w:keepNext/>
              <w:keepLines/>
              <w:spacing w:line="240" w:lineRule="auto"/>
              <w:jc w:val="center"/>
              <w:rPr>
                <w:noProof/>
                <w:lang w:eastAsia="en-GB"/>
              </w:rPr>
            </w:pPr>
            <w:r w:rsidRPr="00ED21FE">
              <w:rPr>
                <w:noProof/>
                <w:lang w:eastAsia="en-GB"/>
              </w:rPr>
              <w:t>40</w:t>
            </w:r>
          </w:p>
        </w:tc>
      </w:tr>
      <w:tr w:rsidR="003C1108" w:rsidRPr="00BA47F5" w14:paraId="6639EC30" w14:textId="77777777" w:rsidTr="0041422B">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6C905" w14:textId="77777777" w:rsidR="003C1108" w:rsidRPr="00ED21FE" w:rsidRDefault="003C1108" w:rsidP="005B53DC">
            <w:pPr>
              <w:keepNext/>
              <w:keepLines/>
              <w:spacing w:line="240" w:lineRule="auto"/>
              <w:rPr>
                <w:noProof/>
                <w:lang w:eastAsia="en-GB"/>
              </w:rPr>
            </w:pPr>
            <w:r w:rsidRPr="00ED21FE">
              <w:rPr>
                <w:noProof/>
                <w:lang w:eastAsia="en-GB"/>
              </w:rPr>
              <w:t>Carton of 10</w:t>
            </w:r>
            <w:r>
              <w:rPr>
                <w:noProof/>
                <w:lang w:eastAsia="en-GB"/>
              </w:rPr>
              <w:t xml:space="preserve"> syringes</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AC70A" w14:textId="77777777" w:rsidR="003C1108" w:rsidRPr="00ED21FE" w:rsidRDefault="003C1108" w:rsidP="005B53DC">
            <w:pPr>
              <w:keepNext/>
              <w:keepLines/>
              <w:spacing w:line="240" w:lineRule="auto"/>
              <w:jc w:val="center"/>
              <w:rPr>
                <w:noProof/>
                <w:lang w:eastAsia="en-GB"/>
              </w:rPr>
            </w:pPr>
            <w:r w:rsidRPr="00ED21FE">
              <w:rPr>
                <w:noProof/>
                <w:lang w:eastAsia="en-GB"/>
              </w:rPr>
              <w:t>2 – 8</w:t>
            </w:r>
          </w:p>
        </w:tc>
        <w:tc>
          <w:tcPr>
            <w:tcW w:w="17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3FE2BF26" w14:textId="77777777" w:rsidR="003C1108" w:rsidRPr="00ED21FE" w:rsidRDefault="003C1108" w:rsidP="005B53DC">
            <w:pPr>
              <w:keepNext/>
              <w:keepLines/>
              <w:spacing w:line="240" w:lineRule="auto"/>
              <w:jc w:val="center"/>
              <w:rPr>
                <w:noProof/>
                <w:lang w:eastAsia="en-GB"/>
              </w:rPr>
            </w:pPr>
            <w:r w:rsidRPr="00ED21FE">
              <w:rPr>
                <w:noProof/>
                <w:lang w:eastAsia="en-GB"/>
              </w:rPr>
              <w:t>160</w:t>
            </w:r>
          </w:p>
        </w:tc>
        <w:tc>
          <w:tcPr>
            <w:tcW w:w="1754"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tcPr>
          <w:p w14:paraId="78CBD9A9" w14:textId="77777777" w:rsidR="003C1108" w:rsidRPr="00ED21FE" w:rsidRDefault="003C1108" w:rsidP="005B53DC">
            <w:pPr>
              <w:keepNext/>
              <w:keepLines/>
              <w:spacing w:line="240" w:lineRule="auto"/>
              <w:jc w:val="center"/>
              <w:rPr>
                <w:noProof/>
                <w:lang w:eastAsia="en-GB"/>
              </w:rPr>
            </w:pPr>
            <w:r w:rsidRPr="00ED21FE">
              <w:rPr>
                <w:noProof/>
                <w:lang w:eastAsia="en-GB"/>
              </w:rPr>
              <w:t>15 – 25</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A25D3" w14:textId="77777777" w:rsidR="003C1108" w:rsidRPr="00ED21FE" w:rsidRDefault="003C1108" w:rsidP="005B53DC">
            <w:pPr>
              <w:keepNext/>
              <w:keepLines/>
              <w:spacing w:line="240" w:lineRule="auto"/>
              <w:jc w:val="center"/>
              <w:rPr>
                <w:noProof/>
                <w:lang w:eastAsia="en-GB"/>
              </w:rPr>
            </w:pPr>
            <w:r w:rsidRPr="00ED21FE">
              <w:rPr>
                <w:noProof/>
                <w:lang w:eastAsia="en-GB"/>
              </w:rPr>
              <w:t>80</w:t>
            </w:r>
          </w:p>
        </w:tc>
      </w:tr>
      <w:tr w:rsidR="003C1108" w:rsidRPr="00BA47F5" w14:paraId="3A923B1D" w14:textId="77777777" w:rsidTr="0041422B">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6D3CA" w14:textId="77777777" w:rsidR="003C1108" w:rsidRPr="00ED21FE" w:rsidRDefault="003C1108" w:rsidP="005B53DC">
            <w:pPr>
              <w:keepNext/>
              <w:keepLines/>
              <w:spacing w:line="240" w:lineRule="auto"/>
              <w:rPr>
                <w:noProof/>
                <w:lang w:eastAsia="en-GB"/>
              </w:rPr>
            </w:pPr>
            <w:r>
              <w:rPr>
                <w:noProof/>
                <w:lang w:eastAsia="en-GB"/>
              </w:rPr>
              <w:t>One syringe (removed from carton)</w:t>
            </w:r>
          </w:p>
        </w:tc>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7CADF" w14:textId="77777777" w:rsidR="003C1108" w:rsidRPr="00ED21FE" w:rsidRDefault="003C1108" w:rsidP="005B53DC">
            <w:pPr>
              <w:keepNext/>
              <w:keepLines/>
              <w:spacing w:line="240" w:lineRule="auto"/>
              <w:jc w:val="center"/>
              <w:rPr>
                <w:noProof/>
                <w:lang w:eastAsia="en-GB"/>
              </w:rPr>
            </w:pPr>
            <w:r>
              <w:rPr>
                <w:noProof/>
                <w:lang w:eastAsia="en-GB"/>
              </w:rPr>
              <w:t>2 – 8</w:t>
            </w:r>
          </w:p>
        </w:tc>
        <w:tc>
          <w:tcPr>
            <w:tcW w:w="17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654E825C" w14:textId="77777777" w:rsidR="003C1108" w:rsidRPr="00ED21FE" w:rsidRDefault="003C1108" w:rsidP="005B53DC">
            <w:pPr>
              <w:keepNext/>
              <w:keepLines/>
              <w:spacing w:line="240" w:lineRule="auto"/>
              <w:jc w:val="center"/>
              <w:rPr>
                <w:noProof/>
                <w:lang w:eastAsia="en-GB"/>
              </w:rPr>
            </w:pPr>
            <w:r>
              <w:rPr>
                <w:noProof/>
                <w:lang w:eastAsia="en-GB"/>
              </w:rPr>
              <w:t>100</w:t>
            </w:r>
          </w:p>
        </w:tc>
        <w:tc>
          <w:tcPr>
            <w:tcW w:w="1754"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tcPr>
          <w:p w14:paraId="0FEBE9DA" w14:textId="77777777" w:rsidR="003C1108" w:rsidRPr="00ED21FE" w:rsidRDefault="003C1108" w:rsidP="005B53DC">
            <w:pPr>
              <w:keepNext/>
              <w:keepLines/>
              <w:spacing w:line="240" w:lineRule="auto"/>
              <w:jc w:val="center"/>
              <w:rPr>
                <w:noProof/>
                <w:lang w:eastAsia="en-GB"/>
              </w:rPr>
            </w:pPr>
            <w:r>
              <w:rPr>
                <w:noProof/>
                <w:lang w:eastAsia="en-GB"/>
              </w:rPr>
              <w:t>15 – 25</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70F48" w14:textId="77777777" w:rsidR="003C1108" w:rsidRPr="00ED21FE" w:rsidRDefault="003C1108" w:rsidP="005B53DC">
            <w:pPr>
              <w:keepNext/>
              <w:keepLines/>
              <w:spacing w:line="240" w:lineRule="auto"/>
              <w:jc w:val="center"/>
              <w:rPr>
                <w:noProof/>
                <w:lang w:eastAsia="en-GB"/>
              </w:rPr>
            </w:pPr>
            <w:r>
              <w:rPr>
                <w:noProof/>
                <w:lang w:eastAsia="en-GB"/>
              </w:rPr>
              <w:t>40</w:t>
            </w:r>
          </w:p>
        </w:tc>
      </w:tr>
    </w:tbl>
    <w:p w14:paraId="16F287FA" w14:textId="77777777" w:rsidR="003C1108" w:rsidRPr="00ED21FE" w:rsidRDefault="003C1108" w:rsidP="006D2E33">
      <w:pPr>
        <w:pStyle w:val="NoSpacing"/>
      </w:pPr>
    </w:p>
    <w:p w14:paraId="71573D63" w14:textId="1CD1EDED" w:rsidR="003C1108" w:rsidRPr="00ED21FE" w:rsidRDefault="003C1108" w:rsidP="00616363">
      <w:pPr>
        <w:pStyle w:val="Heading4"/>
      </w:pPr>
      <w:r w:rsidRPr="00ED21FE">
        <w:t>Handling instructions</w:t>
      </w:r>
      <w:fldSimple w:instr=" DOCVARIABLE vault_nd_e7b52894-4827-4010-8877-f34c0ac381f6 \* MERGEFORMAT ">
        <w:r w:rsidR="00C40E71">
          <w:t xml:space="preserve"> </w:t>
        </w:r>
      </w:fldSimple>
    </w:p>
    <w:p w14:paraId="3ADAE851" w14:textId="77777777" w:rsidR="003C1108" w:rsidRPr="00E244A4" w:rsidRDefault="003C1108" w:rsidP="003C1108">
      <w:pPr>
        <w:pStyle w:val="ListBullet"/>
        <w:rPr>
          <w:rFonts w:cstheme="majorHAnsi"/>
          <w:lang w:val="en-GB"/>
        </w:rPr>
      </w:pPr>
      <w:r w:rsidRPr="00E244A4">
        <w:rPr>
          <w:rFonts w:cstheme="majorHAnsi"/>
          <w:lang w:val="en-GB"/>
        </w:rPr>
        <w:t>Do not shake.</w:t>
      </w:r>
    </w:p>
    <w:p w14:paraId="7B0F2DE2" w14:textId="77777777" w:rsidR="003C1108" w:rsidRPr="00E244A4" w:rsidRDefault="003C1108" w:rsidP="003C1108">
      <w:pPr>
        <w:pStyle w:val="ListBullet"/>
        <w:rPr>
          <w:rFonts w:cstheme="majorHAnsi"/>
          <w:b/>
          <w:bCs/>
          <w:lang w:val="en-GB"/>
        </w:rPr>
      </w:pPr>
      <w:r w:rsidRPr="00E244A4">
        <w:rPr>
          <w:rFonts w:cstheme="majorHAnsi"/>
          <w:lang w:val="en-GB"/>
        </w:rPr>
        <w:t xml:space="preserve">Pre-filled syringe should be inspected visually for particulate matter and discolouration prior to administration. </w:t>
      </w:r>
    </w:p>
    <w:p w14:paraId="10603BBA" w14:textId="0DBEE744" w:rsidR="003C1108" w:rsidRPr="00E244A4" w:rsidRDefault="00170E15" w:rsidP="003C1108">
      <w:pPr>
        <w:pStyle w:val="ListBullet"/>
        <w:rPr>
          <w:rFonts w:cstheme="majorHAnsi"/>
          <w:lang w:val="en-GB"/>
        </w:rPr>
      </w:pPr>
      <w:r>
        <w:rPr>
          <w:rFonts w:cstheme="majorHAnsi"/>
          <w:noProof/>
        </w:rPr>
        <w:t>mNEXSPIKE XBB.1.5</w:t>
      </w:r>
      <w:r w:rsidR="00E244A4" w:rsidRPr="00E244A4">
        <w:rPr>
          <w:rFonts w:cstheme="majorHAnsi"/>
          <w:noProof/>
        </w:rPr>
        <w:t xml:space="preserve"> </w:t>
      </w:r>
      <w:r w:rsidR="003C1108" w:rsidRPr="00E244A4">
        <w:rPr>
          <w:rFonts w:cstheme="majorHAnsi"/>
          <w:lang w:val="en-GB"/>
        </w:rPr>
        <w:t xml:space="preserve">is a white </w:t>
      </w:r>
      <w:r w:rsidR="003C1108" w:rsidRPr="00E244A4">
        <w:rPr>
          <w:rFonts w:cstheme="majorHAnsi"/>
          <w:color w:val="000000" w:themeColor="text1"/>
          <w:lang w:val="en-GB"/>
        </w:rPr>
        <w:t xml:space="preserve">to off-white </w:t>
      </w:r>
      <w:r w:rsidR="00296A0A">
        <w:rPr>
          <w:rFonts w:cstheme="majorHAnsi"/>
          <w:color w:val="000000" w:themeColor="text1"/>
          <w:lang w:val="en-GB"/>
        </w:rPr>
        <w:t>suspen</w:t>
      </w:r>
      <w:r w:rsidR="003C1108" w:rsidRPr="00E244A4">
        <w:rPr>
          <w:rFonts w:cstheme="majorHAnsi"/>
          <w:color w:val="000000" w:themeColor="text1"/>
          <w:lang w:val="en-GB"/>
        </w:rPr>
        <w:t xml:space="preserve">sion. </w:t>
      </w:r>
      <w:r w:rsidR="003C1108" w:rsidRPr="00E244A4">
        <w:rPr>
          <w:rFonts w:cstheme="majorHAnsi"/>
          <w:lang w:val="en-GB"/>
        </w:rPr>
        <w:t>Do not administer if vaccine is discoloured or contains other particulate matter.</w:t>
      </w:r>
    </w:p>
    <w:p w14:paraId="56E01587" w14:textId="77777777" w:rsidR="003C1108" w:rsidRPr="00E244A4" w:rsidRDefault="003C1108" w:rsidP="003C1108">
      <w:pPr>
        <w:pStyle w:val="ListBullet"/>
        <w:rPr>
          <w:rFonts w:cstheme="majorHAnsi"/>
          <w:lang w:val="en-GB"/>
        </w:rPr>
      </w:pPr>
      <w:r w:rsidRPr="00E244A4">
        <w:rPr>
          <w:rFonts w:cstheme="majorHAnsi"/>
          <w:lang w:val="en-GB"/>
        </w:rPr>
        <w:t xml:space="preserve">Needles are not included in the pre-filled syringe cartons. </w:t>
      </w:r>
    </w:p>
    <w:p w14:paraId="6DA6B667" w14:textId="77777777" w:rsidR="003C1108" w:rsidRPr="00E244A4" w:rsidRDefault="003C1108" w:rsidP="003C1108">
      <w:pPr>
        <w:pStyle w:val="ListBullet"/>
        <w:rPr>
          <w:rFonts w:cstheme="majorHAnsi"/>
          <w:lang w:val="en-GB"/>
        </w:rPr>
      </w:pPr>
      <w:r w:rsidRPr="00E244A4">
        <w:rPr>
          <w:rFonts w:cstheme="majorHAnsi"/>
          <w:lang w:val="en-GB"/>
        </w:rPr>
        <w:t>Use a sterile needle of the appropriate size for intramuscular injection.</w:t>
      </w:r>
    </w:p>
    <w:p w14:paraId="2FB08FDF" w14:textId="77777777" w:rsidR="003C1108" w:rsidRPr="00E244A4" w:rsidRDefault="003C1108" w:rsidP="003C1108">
      <w:pPr>
        <w:pStyle w:val="ListBullet"/>
        <w:rPr>
          <w:rFonts w:cstheme="majorHAnsi"/>
          <w:lang w:val="en-GB"/>
        </w:rPr>
      </w:pPr>
      <w:r w:rsidRPr="00E244A4">
        <w:rPr>
          <w:rFonts w:cstheme="majorHAnsi"/>
          <w:lang w:val="en-GB"/>
        </w:rPr>
        <w:t xml:space="preserve">With tip cap upright, remove tip cap by twisting </w:t>
      </w:r>
      <w:proofErr w:type="gramStart"/>
      <w:r w:rsidRPr="00E244A4">
        <w:rPr>
          <w:rFonts w:cstheme="majorHAnsi"/>
          <w:lang w:val="en-GB"/>
        </w:rPr>
        <w:t>counter-clockwise</w:t>
      </w:r>
      <w:proofErr w:type="gramEnd"/>
      <w:r w:rsidRPr="00E244A4">
        <w:rPr>
          <w:rFonts w:cstheme="majorHAnsi"/>
          <w:lang w:val="en-GB"/>
        </w:rPr>
        <w:t xml:space="preserve"> until tip cap releases. Remove tip cap in a slow, steady motion. Avoid pulling tip cap while twisting.</w:t>
      </w:r>
    </w:p>
    <w:p w14:paraId="238C1AA1" w14:textId="77777777" w:rsidR="003C1108" w:rsidRPr="00E244A4" w:rsidRDefault="003C1108" w:rsidP="003C1108">
      <w:pPr>
        <w:pStyle w:val="ListBullet"/>
        <w:rPr>
          <w:rFonts w:cstheme="majorHAnsi"/>
          <w:lang w:val="en-GB"/>
        </w:rPr>
      </w:pPr>
      <w:r w:rsidRPr="00E244A4">
        <w:rPr>
          <w:rFonts w:cstheme="majorHAnsi"/>
          <w:lang w:val="en-GB"/>
        </w:rPr>
        <w:t xml:space="preserve">Attach the needle by twisting in a clockwise direction until the needle fits securely on the syringe. </w:t>
      </w:r>
    </w:p>
    <w:p w14:paraId="50E66A4E" w14:textId="77777777" w:rsidR="003C1108" w:rsidRPr="00E244A4" w:rsidRDefault="003C1108" w:rsidP="003C1108">
      <w:pPr>
        <w:pStyle w:val="ListBullet"/>
        <w:rPr>
          <w:rFonts w:cstheme="majorHAnsi"/>
          <w:lang w:val="en-GB"/>
        </w:rPr>
      </w:pPr>
      <w:r w:rsidRPr="00E244A4">
        <w:rPr>
          <w:rFonts w:cstheme="majorHAnsi"/>
          <w:lang w:val="en-GB"/>
        </w:rPr>
        <w:t>Uncap the needle when ready for administration.</w:t>
      </w:r>
    </w:p>
    <w:p w14:paraId="328907AE" w14:textId="77777777" w:rsidR="003C1108" w:rsidRPr="00E244A4" w:rsidRDefault="003C1108" w:rsidP="003C1108">
      <w:pPr>
        <w:pStyle w:val="ListBullet"/>
        <w:rPr>
          <w:rFonts w:cstheme="majorHAnsi"/>
          <w:lang w:val="en-GB"/>
        </w:rPr>
      </w:pPr>
      <w:r w:rsidRPr="00E244A4">
        <w:rPr>
          <w:rFonts w:cstheme="majorHAnsi"/>
          <w:lang w:val="en-GB"/>
        </w:rPr>
        <w:t xml:space="preserve">Administer the entire dose intramuscularly. </w:t>
      </w:r>
    </w:p>
    <w:p w14:paraId="4DF873C7" w14:textId="77777777" w:rsidR="003C1108" w:rsidRPr="00E244A4" w:rsidRDefault="003C1108" w:rsidP="003C1108">
      <w:pPr>
        <w:pStyle w:val="ListBullet"/>
        <w:rPr>
          <w:rFonts w:cstheme="majorHAnsi"/>
          <w:lang w:val="en-GB"/>
        </w:rPr>
      </w:pPr>
      <w:r w:rsidRPr="00E244A4">
        <w:rPr>
          <w:rFonts w:cstheme="majorHAnsi"/>
          <w:lang w:val="en-GB"/>
        </w:rPr>
        <w:t>Discard after single use.</w:t>
      </w:r>
    </w:p>
    <w:p w14:paraId="023BB557" w14:textId="77777777" w:rsidR="00B86C7D" w:rsidRPr="00E244A4" w:rsidRDefault="00B86C7D" w:rsidP="00B86C7D">
      <w:pPr>
        <w:pStyle w:val="ListBullet"/>
        <w:numPr>
          <w:ilvl w:val="0"/>
          <w:numId w:val="0"/>
        </w:numPr>
        <w:rPr>
          <w:rFonts w:cstheme="majorHAnsi"/>
        </w:rPr>
      </w:pPr>
    </w:p>
    <w:p w14:paraId="519E721D" w14:textId="2FE644CF" w:rsidR="00BE1E9D" w:rsidRPr="00E244A4" w:rsidRDefault="00B86C7D" w:rsidP="00CE1D41">
      <w:pPr>
        <w:pStyle w:val="ListBullet"/>
        <w:numPr>
          <w:ilvl w:val="0"/>
          <w:numId w:val="0"/>
        </w:numPr>
        <w:rPr>
          <w:rFonts w:cstheme="majorHAnsi"/>
        </w:rPr>
      </w:pPr>
      <w:r w:rsidRPr="009C15B1">
        <w:rPr>
          <w:rFonts w:cstheme="majorHAnsi"/>
        </w:rPr>
        <w:t>For instructions on disposal of the vaccine, see section 6.6 Special Precautions for Disposal.</w:t>
      </w:r>
    </w:p>
    <w:p w14:paraId="3AD5FC6A" w14:textId="1963EC3A" w:rsidR="007E36CB" w:rsidRDefault="002A2842" w:rsidP="007E36CB">
      <w:pPr>
        <w:pStyle w:val="Heading2"/>
      </w:pPr>
      <w:r w:rsidRPr="009E06BF">
        <w:t>4.3 CONTRAINDICATIONS</w:t>
      </w:r>
      <w:fldSimple w:instr=" DOCVARIABLE VAULT_ND_6889e2f8-ff94-4eb7-8533-a9c8631ba1cd \* MERGEFORMAT ">
        <w:r w:rsidR="00C40E71">
          <w:t xml:space="preserve"> </w:t>
        </w:r>
      </w:fldSimple>
    </w:p>
    <w:p w14:paraId="0CE3093A" w14:textId="77777777" w:rsidR="007E36CB" w:rsidRPr="004400A8" w:rsidRDefault="007E36CB" w:rsidP="007E36CB">
      <w:pPr>
        <w:pStyle w:val="NoSpacing"/>
        <w:rPr>
          <w:rFonts w:asciiTheme="majorHAnsi" w:hAnsiTheme="majorHAnsi" w:cstheme="majorHAnsi"/>
        </w:rPr>
      </w:pPr>
    </w:p>
    <w:p w14:paraId="5D1176CA" w14:textId="6B3DD9CE" w:rsidR="00041FB4" w:rsidRDefault="00170E15" w:rsidP="00041FB4">
      <w:pPr>
        <w:spacing w:line="240" w:lineRule="auto"/>
        <w:rPr>
          <w:rFonts w:ascii="Times New Roman" w:hAnsi="Times New Roman"/>
          <w:noProof/>
        </w:rPr>
      </w:pPr>
      <w:r>
        <w:rPr>
          <w:noProof/>
        </w:rPr>
        <w:t>mNEXSPIKE XBB.1.5</w:t>
      </w:r>
      <w:r w:rsidR="00C97A2B" w:rsidRPr="00C97A2B">
        <w:rPr>
          <w:noProof/>
        </w:rPr>
        <w:t xml:space="preserve"> is contraindicated in individuals with known severe allergic reactions (e.g., anaphylaxis) to any component of the vaccine or to a previous dose of</w:t>
      </w:r>
      <w:r w:rsidR="00C97A2B">
        <w:rPr>
          <w:noProof/>
        </w:rPr>
        <w:t xml:space="preserve"> </w:t>
      </w:r>
      <w:r>
        <w:rPr>
          <w:noProof/>
        </w:rPr>
        <w:t>mNEXSPIKE XBB.1.5</w:t>
      </w:r>
      <w:r w:rsidR="00C97A2B">
        <w:rPr>
          <w:noProof/>
        </w:rPr>
        <w:t xml:space="preserve">. </w:t>
      </w:r>
      <w:r w:rsidR="00C97A2B" w:rsidRPr="00C97A2B">
        <w:rPr>
          <w:noProof/>
        </w:rPr>
        <w:t xml:space="preserve"> </w:t>
      </w:r>
    </w:p>
    <w:p w14:paraId="524EF8B5" w14:textId="093D8FD8" w:rsidR="0004042D" w:rsidRPr="009E06BF" w:rsidRDefault="002A2842" w:rsidP="00B40C3C">
      <w:pPr>
        <w:pStyle w:val="Heading2"/>
      </w:pPr>
      <w:r w:rsidRPr="009E06BF">
        <w:t>4.4 SPECIAL WARNINGS AND PRECAUTIONS FOR USE</w:t>
      </w:r>
      <w:fldSimple w:instr=" DOCVARIABLE VAULT_ND_b7fd0c39-9823-4bca-b37d-e1e645137363 \* MERGEFORMAT ">
        <w:r w:rsidR="00C40E71">
          <w:t xml:space="preserve"> </w:t>
        </w:r>
      </w:fldSimple>
    </w:p>
    <w:p w14:paraId="41B95EE3" w14:textId="77777777" w:rsidR="00BE1E59" w:rsidRPr="009C15B1" w:rsidRDefault="00BE1E59" w:rsidP="00BE1E59">
      <w:pPr>
        <w:pStyle w:val="Heading4"/>
        <w:rPr>
          <w:lang w:val="en-GB"/>
        </w:rPr>
      </w:pPr>
      <w:bookmarkStart w:id="11" w:name="_Hlk60142725"/>
      <w:bookmarkStart w:id="12" w:name="OLE_LINK14"/>
      <w:r w:rsidRPr="009C15B1">
        <w:rPr>
          <w:lang w:val="en-GB"/>
        </w:rPr>
        <w:t>Traceability</w:t>
      </w:r>
      <w:r w:rsidRPr="009C15B1">
        <w:rPr>
          <w:lang w:val="en-GB"/>
        </w:rPr>
        <w:fldChar w:fldCharType="begin"/>
      </w:r>
      <w:r w:rsidRPr="009C15B1">
        <w:rPr>
          <w:lang w:val="en-GB"/>
        </w:rPr>
        <w:instrText xml:space="preserve"> DOCVARIABLE vault_nd_2dbc4a57-f293-468e-b1a5-b1e7d3dfa44e \* MERGEFORMAT </w:instrText>
      </w:r>
      <w:r w:rsidRPr="009C15B1">
        <w:rPr>
          <w:lang w:val="en-GB"/>
        </w:rPr>
        <w:fldChar w:fldCharType="separate"/>
      </w:r>
      <w:r w:rsidRPr="009C15B1">
        <w:rPr>
          <w:lang w:val="en-GB"/>
        </w:rPr>
        <w:t xml:space="preserve"> </w:t>
      </w:r>
      <w:r w:rsidRPr="009C15B1">
        <w:rPr>
          <w:lang w:val="en-GB"/>
        </w:rPr>
        <w:fldChar w:fldCharType="end"/>
      </w:r>
    </w:p>
    <w:p w14:paraId="0A92EDCC" w14:textId="4643F404" w:rsidR="00BE1E59" w:rsidRPr="00492DD7" w:rsidRDefault="00BE1E59" w:rsidP="00BE1E59">
      <w:pPr>
        <w:rPr>
          <w:rFonts w:cstheme="majorHAnsi"/>
          <w:lang w:val="en-GB"/>
        </w:rPr>
      </w:pPr>
      <w:proofErr w:type="gramStart"/>
      <w:r w:rsidRPr="009C15B1">
        <w:rPr>
          <w:rFonts w:cstheme="majorHAnsi"/>
          <w:lang w:val="en-GB"/>
        </w:rPr>
        <w:t>In order to</w:t>
      </w:r>
      <w:proofErr w:type="gramEnd"/>
      <w:r w:rsidRPr="009C15B1">
        <w:rPr>
          <w:rFonts w:cstheme="majorHAnsi"/>
          <w:lang w:val="en-GB"/>
        </w:rPr>
        <w:t xml:space="preserve"> improve the traceability of biological medicinal products, the name and the batch number of the administered product should be clearly recorded.</w:t>
      </w:r>
      <w:r w:rsidRPr="00492DD7">
        <w:rPr>
          <w:rFonts w:cstheme="majorHAnsi"/>
          <w:lang w:val="en-GB"/>
        </w:rPr>
        <w:t xml:space="preserve"> </w:t>
      </w:r>
    </w:p>
    <w:p w14:paraId="58612D90" w14:textId="170D4BEE" w:rsidR="00FB36D4" w:rsidRPr="00492DD7" w:rsidRDefault="00BE1E59" w:rsidP="00FB36D4">
      <w:pPr>
        <w:pStyle w:val="Heading4"/>
        <w:rPr>
          <w:rFonts w:cstheme="majorHAnsi"/>
          <w:lang w:val="en-GB"/>
        </w:rPr>
      </w:pPr>
      <w:r w:rsidRPr="00492DD7">
        <w:rPr>
          <w:rFonts w:cstheme="majorHAnsi"/>
          <w:lang w:val="en-GB"/>
        </w:rPr>
        <w:lastRenderedPageBreak/>
        <w:t>Hy</w:t>
      </w:r>
      <w:r w:rsidR="00FB36D4" w:rsidRPr="00492DD7">
        <w:rPr>
          <w:rFonts w:cstheme="majorHAnsi"/>
          <w:lang w:val="en-GB"/>
        </w:rPr>
        <w:t>persensitivity and anaphylaxis</w:t>
      </w:r>
      <w:r w:rsidR="00C40E71">
        <w:rPr>
          <w:rFonts w:cstheme="majorHAnsi"/>
          <w:lang w:val="en-GB"/>
        </w:rPr>
        <w:fldChar w:fldCharType="begin"/>
      </w:r>
      <w:r w:rsidR="00C40E71">
        <w:rPr>
          <w:rFonts w:cstheme="majorHAnsi"/>
          <w:lang w:val="en-GB"/>
        </w:rPr>
        <w:instrText xml:space="preserve"> DOCVARIABLE vault_nd_b2cb7757-bff9-4ba0-a313-f0bf8c21ec9f \* MERGEFORMAT </w:instrText>
      </w:r>
      <w:r w:rsidR="00C40E71">
        <w:rPr>
          <w:rFonts w:cstheme="majorHAnsi"/>
          <w:lang w:val="en-GB"/>
        </w:rPr>
        <w:fldChar w:fldCharType="separate"/>
      </w:r>
      <w:r w:rsidR="00C40E71">
        <w:rPr>
          <w:rFonts w:cstheme="majorHAnsi"/>
          <w:lang w:val="en-GB"/>
        </w:rPr>
        <w:t xml:space="preserve"> </w:t>
      </w:r>
      <w:r w:rsidR="00C40E71">
        <w:rPr>
          <w:rFonts w:cstheme="majorHAnsi"/>
          <w:lang w:val="en-GB"/>
        </w:rPr>
        <w:fldChar w:fldCharType="end"/>
      </w:r>
    </w:p>
    <w:p w14:paraId="4B7611EC" w14:textId="178CA88B" w:rsidR="00FB36D4" w:rsidRPr="00492DD7" w:rsidRDefault="00FB36D4" w:rsidP="006D6AAC">
      <w:pPr>
        <w:spacing w:line="240" w:lineRule="auto"/>
        <w:rPr>
          <w:rFonts w:cstheme="majorHAnsi"/>
          <w:lang w:val="en-GB"/>
        </w:rPr>
      </w:pPr>
      <w:r w:rsidRPr="00492DD7">
        <w:rPr>
          <w:rFonts w:cstheme="majorHAnsi"/>
          <w:lang w:val="en-GB"/>
        </w:rPr>
        <w:t xml:space="preserve">Appropriate medical treatment and supervision should always be readily available in case of an anaphylactic reaction following the administration of the vaccine.  </w:t>
      </w:r>
      <w:bookmarkEnd w:id="11"/>
    </w:p>
    <w:p w14:paraId="3CFA2E1C" w14:textId="2590CF6D" w:rsidR="00FB36D4" w:rsidRPr="00492DD7" w:rsidRDefault="00FB36D4" w:rsidP="006D6AAC">
      <w:pPr>
        <w:pStyle w:val="Heading4"/>
        <w:rPr>
          <w:rFonts w:cstheme="majorHAnsi"/>
          <w:lang w:val="en-GB"/>
        </w:rPr>
      </w:pPr>
      <w:r w:rsidRPr="00492DD7">
        <w:rPr>
          <w:rFonts w:cstheme="majorHAnsi"/>
          <w:lang w:val="en-GB"/>
        </w:rPr>
        <w:t>Myocarditis and pericarditis</w:t>
      </w:r>
      <w:r w:rsidRPr="00492DD7">
        <w:rPr>
          <w:rFonts w:cstheme="majorHAnsi"/>
          <w:lang w:val="en-GB"/>
        </w:rPr>
        <w:fldChar w:fldCharType="begin"/>
      </w:r>
      <w:r w:rsidRPr="00492DD7">
        <w:rPr>
          <w:rFonts w:cstheme="majorHAnsi"/>
          <w:lang w:val="en-GB"/>
        </w:rPr>
        <w:instrText xml:space="preserve"> DOCVARIABLE vault_nd_12076b07-7192-4eb8-9621-d1a3a5b19ae7 \* MERGEFORMAT </w:instrText>
      </w:r>
      <w:r w:rsidRPr="00492DD7">
        <w:rPr>
          <w:rFonts w:cstheme="majorHAnsi"/>
          <w:lang w:val="en-GB"/>
        </w:rPr>
        <w:fldChar w:fldCharType="separate"/>
      </w:r>
      <w:r w:rsidRPr="00492DD7">
        <w:rPr>
          <w:rFonts w:cstheme="majorHAnsi"/>
          <w:lang w:val="en-GB"/>
        </w:rPr>
        <w:t xml:space="preserve"> </w:t>
      </w:r>
      <w:r w:rsidRPr="00492DD7">
        <w:rPr>
          <w:rFonts w:cstheme="majorHAnsi"/>
          <w:lang w:val="en-GB"/>
        </w:rPr>
        <w:fldChar w:fldCharType="end"/>
      </w:r>
    </w:p>
    <w:p w14:paraId="5D8A88D9" w14:textId="7A2B4EFD" w:rsidR="00FB36D4" w:rsidRPr="00492DD7" w:rsidRDefault="00FB36D4" w:rsidP="00D67882">
      <w:pPr>
        <w:rPr>
          <w:lang w:val="en-GB"/>
        </w:rPr>
      </w:pPr>
      <w:r w:rsidRPr="00492DD7">
        <w:rPr>
          <w:lang w:val="en-GB"/>
        </w:rPr>
        <w:t>Postmarketing data with authorised or approved COVID-19 vaccines demonstrate increased risks of myocarditis and pericarditis, particularly within the first week following vaccination and the observed risk is highest in males 12 through 24 years of age.</w:t>
      </w:r>
      <w:r w:rsidRPr="00492DD7">
        <w:rPr>
          <w:lang w:val="en-GB"/>
        </w:rPr>
        <w:fldChar w:fldCharType="begin"/>
      </w:r>
      <w:r w:rsidRPr="00492DD7">
        <w:rPr>
          <w:lang w:val="en-GB"/>
        </w:rPr>
        <w:instrText xml:space="preserve"> DOCVARIABLE vault_nd_0ccbd4bb-f9b7-4197-b7da-2b647a254114 \* MERGEFORMAT </w:instrText>
      </w:r>
      <w:r w:rsidRPr="00492DD7">
        <w:rPr>
          <w:lang w:val="en-GB"/>
        </w:rPr>
        <w:fldChar w:fldCharType="separate"/>
      </w:r>
      <w:r w:rsidRPr="00492DD7">
        <w:rPr>
          <w:lang w:val="en-GB"/>
        </w:rPr>
        <w:t xml:space="preserve"> </w:t>
      </w:r>
      <w:r w:rsidRPr="00492DD7">
        <w:rPr>
          <w:lang w:val="en-GB"/>
        </w:rPr>
        <w:fldChar w:fldCharType="end"/>
      </w:r>
    </w:p>
    <w:p w14:paraId="68DEEDD7" w14:textId="3ED9A5F4" w:rsidR="00FB36D4" w:rsidRPr="00492DD7" w:rsidRDefault="00FB36D4" w:rsidP="00D67882">
      <w:pPr>
        <w:rPr>
          <w:lang w:val="en-GB"/>
        </w:rPr>
      </w:pPr>
      <w:r w:rsidRPr="00492DD7">
        <w:rPr>
          <w:lang w:val="en-GB"/>
        </w:rPr>
        <w:t>Although some cases required intensive care support, available data from short-term follow-up suggest that most individuals have had resolution of symptoms with conservative management. Information is not yet available about potential long-term sequelae.</w:t>
      </w:r>
      <w:r w:rsidRPr="00492DD7">
        <w:rPr>
          <w:lang w:val="en-GB"/>
        </w:rPr>
        <w:fldChar w:fldCharType="begin"/>
      </w:r>
      <w:r w:rsidRPr="00492DD7">
        <w:rPr>
          <w:lang w:val="en-GB"/>
        </w:rPr>
        <w:instrText xml:space="preserve"> DOCVARIABLE vault_nd_99b76164-2f16-47f3-bfd4-8b929d8ec4ab \* MERGEFORMAT </w:instrText>
      </w:r>
      <w:r w:rsidRPr="00492DD7">
        <w:rPr>
          <w:lang w:val="en-GB"/>
        </w:rPr>
        <w:fldChar w:fldCharType="separate"/>
      </w:r>
      <w:r w:rsidRPr="00492DD7">
        <w:rPr>
          <w:lang w:val="en-GB"/>
        </w:rPr>
        <w:t xml:space="preserve"> </w:t>
      </w:r>
      <w:r w:rsidRPr="00492DD7">
        <w:rPr>
          <w:lang w:val="en-GB"/>
        </w:rPr>
        <w:fldChar w:fldCharType="end"/>
      </w:r>
      <w:r w:rsidRPr="00492DD7">
        <w:rPr>
          <w:lang w:val="en-GB"/>
        </w:rPr>
        <w:t xml:space="preserve">No cases of vaccine-related myocarditis or pericarditis have been reported in clinical studies of </w:t>
      </w:r>
      <w:r w:rsidR="00170E15">
        <w:rPr>
          <w:lang w:val="en-GB"/>
        </w:rPr>
        <w:t>mNEXSPIKE XBB.1.5</w:t>
      </w:r>
      <w:r w:rsidRPr="00492DD7">
        <w:rPr>
          <w:lang w:val="en-GB"/>
        </w:rPr>
        <w:t>.</w:t>
      </w:r>
    </w:p>
    <w:p w14:paraId="6EA66314" w14:textId="1C0A469B" w:rsidR="00FB36D4" w:rsidRPr="00492DD7" w:rsidRDefault="00FB36D4" w:rsidP="006D6AAC">
      <w:pPr>
        <w:pStyle w:val="Heading4"/>
        <w:rPr>
          <w:rFonts w:cstheme="majorHAnsi"/>
          <w:lang w:val="en-GB"/>
        </w:rPr>
      </w:pPr>
      <w:r w:rsidRPr="00492DD7">
        <w:rPr>
          <w:rFonts w:cstheme="majorHAnsi"/>
          <w:lang w:val="en-GB"/>
        </w:rPr>
        <w:t>Syncope</w:t>
      </w:r>
      <w:r w:rsidRPr="00492DD7">
        <w:rPr>
          <w:rFonts w:cstheme="majorHAnsi"/>
          <w:lang w:val="en-GB"/>
        </w:rPr>
        <w:fldChar w:fldCharType="begin"/>
      </w:r>
      <w:r w:rsidRPr="00492DD7">
        <w:rPr>
          <w:rFonts w:cstheme="majorHAnsi"/>
          <w:lang w:val="en-GB"/>
        </w:rPr>
        <w:instrText xml:space="preserve"> DOCVARIABLE vault_nd_cc360519-c773-4268-a7fb-c53679116f53 \* MERGEFORMAT </w:instrText>
      </w:r>
      <w:r w:rsidRPr="00492DD7">
        <w:rPr>
          <w:rFonts w:cstheme="majorHAnsi"/>
          <w:lang w:val="en-GB"/>
        </w:rPr>
        <w:fldChar w:fldCharType="separate"/>
      </w:r>
      <w:r w:rsidRPr="00492DD7">
        <w:rPr>
          <w:rFonts w:cstheme="majorHAnsi"/>
          <w:lang w:val="en-GB"/>
        </w:rPr>
        <w:t xml:space="preserve"> </w:t>
      </w:r>
      <w:r w:rsidRPr="00492DD7">
        <w:rPr>
          <w:rFonts w:cstheme="majorHAnsi"/>
          <w:lang w:val="en-GB"/>
        </w:rPr>
        <w:fldChar w:fldCharType="end"/>
      </w:r>
    </w:p>
    <w:p w14:paraId="60EB54B9" w14:textId="4FA12771" w:rsidR="00FB36D4" w:rsidRPr="00D67882" w:rsidRDefault="00FB36D4" w:rsidP="00D67882">
      <w:pPr>
        <w:rPr>
          <w:lang w:val="en-GB"/>
        </w:rPr>
      </w:pPr>
      <w:r w:rsidRPr="00D67882">
        <w:rPr>
          <w:lang w:val="en-GB"/>
        </w:rPr>
        <w:t>Syncope (fainting) may occur in association with administration of injectable vaccines. Procedures should be in place to avoid injury from fainting.</w:t>
      </w:r>
      <w:r w:rsidRPr="00D67882">
        <w:rPr>
          <w:lang w:val="en-GB"/>
        </w:rPr>
        <w:fldChar w:fldCharType="begin"/>
      </w:r>
      <w:r w:rsidRPr="00D67882">
        <w:rPr>
          <w:lang w:val="en-GB"/>
        </w:rPr>
        <w:instrText xml:space="preserve"> DOCVARIABLE vault_nd_d2373920-6562-4e9c-90ee-d7e1ca070dd7 \* MERGEFORMAT </w:instrText>
      </w:r>
      <w:r w:rsidRPr="00D67882">
        <w:rPr>
          <w:lang w:val="en-GB"/>
        </w:rPr>
        <w:fldChar w:fldCharType="separate"/>
      </w:r>
      <w:r w:rsidRPr="00D67882">
        <w:rPr>
          <w:lang w:val="en-GB"/>
        </w:rPr>
        <w:t xml:space="preserve"> </w:t>
      </w:r>
      <w:r w:rsidRPr="00D67882">
        <w:rPr>
          <w:lang w:val="en-GB"/>
        </w:rPr>
        <w:fldChar w:fldCharType="end"/>
      </w:r>
    </w:p>
    <w:p w14:paraId="03890357" w14:textId="13D5500B" w:rsidR="00FB36D4" w:rsidRPr="00492DD7" w:rsidRDefault="00FB36D4" w:rsidP="006D6AAC">
      <w:pPr>
        <w:pStyle w:val="Heading4"/>
        <w:rPr>
          <w:rFonts w:cstheme="majorHAnsi"/>
          <w:lang w:val="en-GB"/>
        </w:rPr>
      </w:pPr>
      <w:r w:rsidRPr="00492DD7">
        <w:rPr>
          <w:rFonts w:cstheme="majorHAnsi"/>
          <w:lang w:val="en-GB"/>
        </w:rPr>
        <w:t>Altered immunocompetence</w:t>
      </w:r>
      <w:r w:rsidRPr="00492DD7">
        <w:rPr>
          <w:rFonts w:cstheme="majorHAnsi"/>
          <w:lang w:val="en-GB"/>
        </w:rPr>
        <w:fldChar w:fldCharType="begin"/>
      </w:r>
      <w:r w:rsidRPr="00492DD7">
        <w:rPr>
          <w:rFonts w:cstheme="majorHAnsi"/>
          <w:lang w:val="en-GB"/>
        </w:rPr>
        <w:instrText xml:space="preserve"> DOCVARIABLE vault_nd_96956246-b810-4ca8-a0e4-9ad14b1df1cd \* MERGEFORMAT </w:instrText>
      </w:r>
      <w:r w:rsidRPr="00492DD7">
        <w:rPr>
          <w:rFonts w:cstheme="majorHAnsi"/>
          <w:lang w:val="en-GB"/>
        </w:rPr>
        <w:fldChar w:fldCharType="separate"/>
      </w:r>
      <w:r w:rsidRPr="00492DD7">
        <w:rPr>
          <w:rFonts w:cstheme="majorHAnsi"/>
          <w:lang w:val="en-GB"/>
        </w:rPr>
        <w:t xml:space="preserve"> </w:t>
      </w:r>
      <w:r w:rsidRPr="00492DD7">
        <w:rPr>
          <w:rFonts w:cstheme="majorHAnsi"/>
          <w:lang w:val="en-GB"/>
        </w:rPr>
        <w:fldChar w:fldCharType="end"/>
      </w:r>
    </w:p>
    <w:p w14:paraId="6FA3E269" w14:textId="3EC04DB1" w:rsidR="00FB36D4" w:rsidRPr="00492DD7" w:rsidRDefault="00FB36D4" w:rsidP="00D67882">
      <w:pPr>
        <w:rPr>
          <w:lang w:val="en-GB"/>
        </w:rPr>
      </w:pPr>
      <w:r w:rsidRPr="00D67882">
        <w:t xml:space="preserve">Immunocompromised persons, including individuals receiving immunosuppressive therapy, may have a diminished immune response to </w:t>
      </w:r>
      <w:r w:rsidR="00170E15">
        <w:t>mNEXSPIKE XBB.1.5</w:t>
      </w:r>
      <w:r w:rsidRPr="00492DD7">
        <w:rPr>
          <w:lang w:val="en-GB"/>
        </w:rPr>
        <w:t>.</w:t>
      </w:r>
      <w:r w:rsidRPr="00492DD7">
        <w:rPr>
          <w:lang w:val="en-GB"/>
        </w:rPr>
        <w:fldChar w:fldCharType="begin"/>
      </w:r>
      <w:r w:rsidRPr="00492DD7">
        <w:rPr>
          <w:lang w:val="en-GB"/>
        </w:rPr>
        <w:instrText xml:space="preserve"> DOCVARIABLE vault_nd_4fc864a7-6004-4f82-9946-63b0ad5dfa35 \* MERGEFORMAT </w:instrText>
      </w:r>
      <w:r w:rsidRPr="00492DD7">
        <w:rPr>
          <w:lang w:val="en-GB"/>
        </w:rPr>
        <w:fldChar w:fldCharType="separate"/>
      </w:r>
      <w:r w:rsidRPr="00492DD7">
        <w:rPr>
          <w:lang w:val="en-GB"/>
        </w:rPr>
        <w:t xml:space="preserve"> </w:t>
      </w:r>
      <w:r w:rsidRPr="00492DD7">
        <w:rPr>
          <w:lang w:val="en-GB"/>
        </w:rPr>
        <w:fldChar w:fldCharType="end"/>
      </w:r>
    </w:p>
    <w:p w14:paraId="7D31D25F" w14:textId="77777777" w:rsidR="00FB36D4" w:rsidRPr="00492DD7" w:rsidRDefault="00FB36D4" w:rsidP="006D6AAC">
      <w:pPr>
        <w:pStyle w:val="Heading4"/>
        <w:rPr>
          <w:rFonts w:cstheme="majorHAnsi"/>
          <w:lang w:val="en-GB"/>
        </w:rPr>
      </w:pPr>
      <w:r w:rsidRPr="00492DD7">
        <w:rPr>
          <w:rFonts w:cstheme="majorHAnsi"/>
          <w:lang w:val="en-GB"/>
        </w:rPr>
        <w:t>Limitations of vaccine effectiveness</w:t>
      </w:r>
      <w:r w:rsidRPr="00492DD7">
        <w:rPr>
          <w:rFonts w:cstheme="majorHAnsi"/>
          <w:lang w:val="en-GB"/>
        </w:rPr>
        <w:fldChar w:fldCharType="begin"/>
      </w:r>
      <w:r w:rsidRPr="00492DD7">
        <w:rPr>
          <w:rFonts w:cstheme="majorHAnsi"/>
          <w:lang w:val="en-GB"/>
        </w:rPr>
        <w:instrText xml:space="preserve"> DOCVARIABLE vault_nd_88e2bbc9-9021-42ff-bccd-8507aa4b15cd \* MERGEFORMAT </w:instrText>
      </w:r>
      <w:r w:rsidRPr="00492DD7">
        <w:rPr>
          <w:rFonts w:cstheme="majorHAnsi"/>
          <w:lang w:val="en-GB"/>
        </w:rPr>
        <w:fldChar w:fldCharType="separate"/>
      </w:r>
      <w:r w:rsidRPr="00492DD7">
        <w:rPr>
          <w:rFonts w:cstheme="majorHAnsi"/>
          <w:lang w:val="en-GB"/>
        </w:rPr>
        <w:t xml:space="preserve"> </w:t>
      </w:r>
      <w:r w:rsidRPr="00492DD7">
        <w:rPr>
          <w:rFonts w:cstheme="majorHAnsi"/>
          <w:lang w:val="en-GB"/>
        </w:rPr>
        <w:fldChar w:fldCharType="end"/>
      </w:r>
    </w:p>
    <w:p w14:paraId="3AA829CC" w14:textId="72716726" w:rsidR="0004042D" w:rsidRPr="00492DD7" w:rsidRDefault="00170E15" w:rsidP="00D67882">
      <w:pPr>
        <w:rPr>
          <w:lang w:val="en-GB"/>
        </w:rPr>
      </w:pPr>
      <w:r>
        <w:rPr>
          <w:noProof/>
        </w:rPr>
        <w:t>mNEXSPIKE XBB.1.5</w:t>
      </w:r>
      <w:r w:rsidR="00A3183A" w:rsidRPr="00A3183A">
        <w:rPr>
          <w:noProof/>
        </w:rPr>
        <w:t xml:space="preserve"> </w:t>
      </w:r>
      <w:r w:rsidR="00FB36D4" w:rsidRPr="00A3183A">
        <w:rPr>
          <w:lang w:val="en-GB"/>
        </w:rPr>
        <w:t xml:space="preserve">may </w:t>
      </w:r>
      <w:r w:rsidR="00FB36D4" w:rsidRPr="00492DD7">
        <w:rPr>
          <w:lang w:val="en-GB"/>
        </w:rPr>
        <w:t>not protect all vaccine recipients.</w:t>
      </w:r>
      <w:r w:rsidR="00FB36D4" w:rsidRPr="00492DD7">
        <w:rPr>
          <w:lang w:val="en-GB"/>
        </w:rPr>
        <w:fldChar w:fldCharType="begin"/>
      </w:r>
      <w:r w:rsidR="00FB36D4" w:rsidRPr="00492DD7">
        <w:rPr>
          <w:lang w:val="en-GB"/>
        </w:rPr>
        <w:instrText xml:space="preserve"> DOCVARIABLE vault_nd_6407f1ef-3f13-4961-95a5-58da764a13c9 \* MERGEFORMAT </w:instrText>
      </w:r>
      <w:r w:rsidR="00FB36D4" w:rsidRPr="00492DD7">
        <w:rPr>
          <w:lang w:val="en-GB"/>
        </w:rPr>
        <w:fldChar w:fldCharType="separate"/>
      </w:r>
      <w:r w:rsidR="00FB36D4" w:rsidRPr="00492DD7">
        <w:rPr>
          <w:lang w:val="en-GB"/>
        </w:rPr>
        <w:t xml:space="preserve"> </w:t>
      </w:r>
      <w:r w:rsidR="00FB36D4" w:rsidRPr="00492DD7">
        <w:rPr>
          <w:lang w:val="en-GB"/>
        </w:rPr>
        <w:fldChar w:fldCharType="end"/>
      </w:r>
      <w:bookmarkEnd w:id="12"/>
    </w:p>
    <w:p w14:paraId="69F1E47F" w14:textId="77777777" w:rsidR="00415406" w:rsidRPr="00492DD7" w:rsidRDefault="00415406" w:rsidP="00492DD7">
      <w:pPr>
        <w:pStyle w:val="Heading3"/>
      </w:pPr>
      <w:r w:rsidRPr="00492DD7">
        <w:t>Use in the elderly</w:t>
      </w:r>
      <w:fldSimple w:instr=" DOCVARIABLE vault_nd_32105e8a-7338-48e4-b703-4176b96a6bb9 \* MERGEFORMAT ">
        <w:r w:rsidRPr="00492DD7">
          <w:t xml:space="preserve"> </w:t>
        </w:r>
      </w:fldSimple>
    </w:p>
    <w:p w14:paraId="44E38438" w14:textId="2A982CE3" w:rsidR="00F022BD" w:rsidRPr="00492DD7" w:rsidRDefault="00F022BD" w:rsidP="00F022BD">
      <w:pPr>
        <w:widowControl w:val="0"/>
        <w:spacing w:line="240" w:lineRule="auto"/>
        <w:rPr>
          <w:rFonts w:cstheme="majorHAnsi"/>
          <w:sz w:val="24"/>
        </w:rPr>
      </w:pPr>
      <w:r w:rsidRPr="00492DD7">
        <w:rPr>
          <w:rFonts w:cstheme="majorHAnsi"/>
        </w:rPr>
        <w:t xml:space="preserve">Clinical studies of </w:t>
      </w:r>
      <w:r w:rsidR="00170E15">
        <w:rPr>
          <w:noProof/>
        </w:rPr>
        <w:t>mNEXSPIKE XBB.1.5</w:t>
      </w:r>
      <w:r w:rsidR="00A3183A" w:rsidRPr="00A3183A">
        <w:rPr>
          <w:noProof/>
        </w:rPr>
        <w:t xml:space="preserve"> </w:t>
      </w:r>
      <w:r w:rsidRPr="00492DD7">
        <w:rPr>
          <w:rFonts w:cstheme="majorHAnsi"/>
        </w:rPr>
        <w:t>included approximately 1634 participants 65 years of age and older and 322 participants 75 years of age and older (see sections 4.8 and 5.1).</w:t>
      </w:r>
    </w:p>
    <w:p w14:paraId="22F3B3CF" w14:textId="77777777" w:rsidR="00F022BD" w:rsidRPr="00492DD7" w:rsidRDefault="00F022BD" w:rsidP="00F022BD">
      <w:pPr>
        <w:widowControl w:val="0"/>
        <w:spacing w:line="240" w:lineRule="auto"/>
        <w:rPr>
          <w:rFonts w:cstheme="majorHAnsi"/>
          <w:i/>
        </w:rPr>
      </w:pPr>
      <w:r w:rsidRPr="00492DD7">
        <w:rPr>
          <w:rFonts w:cstheme="majorHAnsi"/>
        </w:rPr>
        <w:t>Some local and systemic adverse reactions were reported in a lower proportion of participants 65 years of age and older compared to participants 12 years through 64 years of age (see section 4.8).</w:t>
      </w:r>
    </w:p>
    <w:p w14:paraId="085F7781" w14:textId="6AED5E1F" w:rsidR="00F022BD" w:rsidRPr="00492DD7" w:rsidRDefault="00F022BD" w:rsidP="002D1203">
      <w:pPr>
        <w:widowControl w:val="0"/>
        <w:spacing w:line="240" w:lineRule="auto"/>
        <w:rPr>
          <w:rFonts w:cstheme="majorHAnsi"/>
        </w:rPr>
      </w:pPr>
      <w:r w:rsidRPr="00492DD7">
        <w:rPr>
          <w:rFonts w:cstheme="majorHAnsi"/>
        </w:rPr>
        <w:t>Relative vaccine efficacy was similar between participants 65 years of age and older and participants 18 years through 64 years (see section 5.1).</w:t>
      </w:r>
    </w:p>
    <w:p w14:paraId="0F4311FB" w14:textId="77777777" w:rsidR="002238A1" w:rsidRDefault="00415406" w:rsidP="002238A1">
      <w:pPr>
        <w:pStyle w:val="Heading3"/>
      </w:pPr>
      <w:proofErr w:type="spellStart"/>
      <w:r>
        <w:t>Paediatric</w:t>
      </w:r>
      <w:proofErr w:type="spellEnd"/>
      <w:r>
        <w:t xml:space="preserve"> use</w:t>
      </w:r>
      <w:fldSimple w:instr=" DOCVARIABLE vault_nd_f0c3a3c8-a7d5-40c4-8854-139f8e1b8b23 \* MERGEFORMAT ">
        <w:r>
          <w:t xml:space="preserve"> </w:t>
        </w:r>
      </w:fldSimple>
    </w:p>
    <w:p w14:paraId="647B181C" w14:textId="2AFED06A" w:rsidR="002238A1" w:rsidRPr="00BB064C" w:rsidRDefault="002238A1" w:rsidP="002238A1">
      <w:pPr>
        <w:pStyle w:val="NoSpacing"/>
        <w:rPr>
          <w:rFonts w:asciiTheme="majorHAnsi" w:hAnsiTheme="majorHAnsi" w:cstheme="majorHAnsi"/>
        </w:rPr>
      </w:pPr>
      <w:r w:rsidRPr="00BB064C">
        <w:rPr>
          <w:rFonts w:asciiTheme="majorHAnsi" w:hAnsiTheme="majorHAnsi" w:cstheme="majorHAnsi"/>
        </w:rPr>
        <w:t xml:space="preserve">The safety and efficacy of </w:t>
      </w:r>
      <w:r w:rsidR="00170E15">
        <w:rPr>
          <w:rFonts w:asciiTheme="majorHAnsi" w:hAnsiTheme="majorHAnsi" w:cstheme="majorHAnsi"/>
        </w:rPr>
        <w:t>mNEXSPIKE XBB.1.5</w:t>
      </w:r>
      <w:r w:rsidRPr="00BB064C">
        <w:rPr>
          <w:rFonts w:asciiTheme="majorHAnsi" w:hAnsiTheme="majorHAnsi" w:cstheme="majorHAnsi"/>
        </w:rPr>
        <w:t xml:space="preserve"> in children less than 12 years of age have not yet been established. No data </w:t>
      </w:r>
      <w:proofErr w:type="gramStart"/>
      <w:r w:rsidRPr="00BB064C">
        <w:rPr>
          <w:rFonts w:asciiTheme="majorHAnsi" w:hAnsiTheme="majorHAnsi" w:cstheme="majorHAnsi"/>
        </w:rPr>
        <w:t>are</w:t>
      </w:r>
      <w:proofErr w:type="gramEnd"/>
      <w:r w:rsidRPr="00BB064C">
        <w:rPr>
          <w:rFonts w:asciiTheme="majorHAnsi" w:hAnsiTheme="majorHAnsi" w:cstheme="majorHAnsi"/>
        </w:rPr>
        <w:t xml:space="preserve"> available</w:t>
      </w:r>
      <w:r w:rsidR="00BB064C">
        <w:rPr>
          <w:rFonts w:asciiTheme="majorHAnsi" w:hAnsiTheme="majorHAnsi" w:cstheme="majorHAnsi"/>
        </w:rPr>
        <w:t>.</w:t>
      </w:r>
      <w:r w:rsidRPr="00BB064C">
        <w:rPr>
          <w:rFonts w:asciiTheme="majorHAnsi" w:hAnsiTheme="majorHAnsi" w:cstheme="majorHAnsi"/>
        </w:rPr>
        <w:t xml:space="preserve"> </w:t>
      </w:r>
    </w:p>
    <w:p w14:paraId="36CAF32E" w14:textId="53224342" w:rsidR="00415406" w:rsidRPr="004A0D71" w:rsidRDefault="00415406" w:rsidP="00415406">
      <w:pPr>
        <w:pStyle w:val="Heading3"/>
      </w:pPr>
      <w:r w:rsidRPr="004A0D71">
        <w:t>Effects on laboratory tests</w:t>
      </w:r>
      <w:fldSimple w:instr=" DOCVARIABLE vault_nd_b4cb142b-cccb-409e-8dd7-9128cb48b36c \* MERGEFORMAT ">
        <w:r>
          <w:t xml:space="preserve"> </w:t>
        </w:r>
      </w:fldSimple>
    </w:p>
    <w:p w14:paraId="5AEDFA13" w14:textId="5D10C130" w:rsidR="00D6422C" w:rsidRPr="003963DE" w:rsidRDefault="00415406" w:rsidP="00BB3841">
      <w:pPr>
        <w:pStyle w:val="NoSpacing"/>
        <w:rPr>
          <w:rFonts w:asciiTheme="majorHAnsi" w:hAnsiTheme="majorHAnsi" w:cstheme="majorHAnsi"/>
        </w:rPr>
      </w:pPr>
      <w:r w:rsidRPr="008E7A94">
        <w:rPr>
          <w:rFonts w:asciiTheme="majorHAnsi" w:hAnsiTheme="majorHAnsi" w:cstheme="majorHAnsi"/>
        </w:rPr>
        <w:t>No data</w:t>
      </w:r>
      <w:r w:rsidR="00523DA1" w:rsidRPr="008E7A94">
        <w:rPr>
          <w:rFonts w:asciiTheme="majorHAnsi" w:hAnsiTheme="majorHAnsi" w:cstheme="majorHAnsi"/>
        </w:rPr>
        <w:t xml:space="preserve"> </w:t>
      </w:r>
      <w:proofErr w:type="gramStart"/>
      <w:r w:rsidR="00523DA1" w:rsidRPr="008E7A94">
        <w:rPr>
          <w:rFonts w:asciiTheme="majorHAnsi" w:hAnsiTheme="majorHAnsi" w:cstheme="majorHAnsi"/>
        </w:rPr>
        <w:t>are</w:t>
      </w:r>
      <w:proofErr w:type="gramEnd"/>
      <w:r w:rsidRPr="008E7A94">
        <w:rPr>
          <w:rFonts w:asciiTheme="majorHAnsi" w:hAnsiTheme="majorHAnsi" w:cstheme="majorHAnsi"/>
        </w:rPr>
        <w:t xml:space="preserve"> available.</w:t>
      </w:r>
    </w:p>
    <w:p w14:paraId="34C79FB7" w14:textId="67071444" w:rsidR="00FB606A" w:rsidRPr="00FB606A" w:rsidRDefault="002A2842" w:rsidP="00FB606A">
      <w:pPr>
        <w:pStyle w:val="Heading2"/>
      </w:pPr>
      <w:r w:rsidRPr="009E06BF">
        <w:t>4.5 INTERACTIONS WITH OTHER MEDICINES AND OTHER FORMS OF INTERACTIONS</w:t>
      </w:r>
      <w:fldSimple w:instr=" DOCVARIABLE VAULT_ND_b7d9d83d-1ccb-4e76-a001-36ce9c1ba2b4 \* MERGEFORMAT ">
        <w:r w:rsidR="00C40E71">
          <w:t xml:space="preserve"> </w:t>
        </w:r>
      </w:fldSimple>
    </w:p>
    <w:p w14:paraId="2CEFDC66" w14:textId="77777777" w:rsidR="00A410F0" w:rsidRDefault="00A410F0" w:rsidP="00A410F0">
      <w:pPr>
        <w:pStyle w:val="NoSpacing"/>
      </w:pPr>
    </w:p>
    <w:p w14:paraId="34072FE7" w14:textId="48FCF08C" w:rsidR="0004042D" w:rsidRPr="00BB3841" w:rsidRDefault="00170E15" w:rsidP="00FB606A">
      <w:r>
        <w:t>mNEXSPIKE XBB.1.5</w:t>
      </w:r>
      <w:r w:rsidR="009D28D6">
        <w:t xml:space="preserve"> can be concomitantly administered with influenza vaccines (standard and </w:t>
      </w:r>
      <w:proofErr w:type="gramStart"/>
      <w:r w:rsidR="009D28D6">
        <w:t>high-dose</w:t>
      </w:r>
      <w:proofErr w:type="gramEnd"/>
      <w:r w:rsidR="009D28D6">
        <w:t>).</w:t>
      </w:r>
    </w:p>
    <w:p w14:paraId="43141975" w14:textId="5BC0DF5A" w:rsidR="009D28D6" w:rsidRPr="00BB3841" w:rsidRDefault="009D28D6" w:rsidP="00FB606A">
      <w:r>
        <w:t>Different injectable vaccines should be given at different injection sites.</w:t>
      </w:r>
    </w:p>
    <w:p w14:paraId="12C58511" w14:textId="07B68467" w:rsidR="0004042D" w:rsidRDefault="002A2842" w:rsidP="00B40C3C">
      <w:pPr>
        <w:pStyle w:val="Heading2"/>
      </w:pPr>
      <w:r w:rsidRPr="009E06BF">
        <w:lastRenderedPageBreak/>
        <w:t>4.6 FERTILITY, PREGNANCY AND LACTATION</w:t>
      </w:r>
      <w:fldSimple w:instr=" DOCVARIABLE VAULT_ND_8dd87162-0106-47a2-bf10-bde560560d29 \* MERGEFORMAT ">
        <w:r w:rsidR="00C40E71">
          <w:t xml:space="preserve"> </w:t>
        </w:r>
      </w:fldSimple>
    </w:p>
    <w:p w14:paraId="31239E4B" w14:textId="77777777" w:rsidR="00735AC9" w:rsidRPr="00BB064C" w:rsidRDefault="00735AC9" w:rsidP="00735AC9">
      <w:pPr>
        <w:pStyle w:val="Heading3"/>
        <w:rPr>
          <w:rFonts w:cstheme="majorHAnsi"/>
        </w:rPr>
      </w:pPr>
      <w:r w:rsidRPr="00BB064C">
        <w:rPr>
          <w:rFonts w:cstheme="majorHAnsi"/>
        </w:rPr>
        <w:t>Effects on fertility</w:t>
      </w:r>
      <w:r w:rsidRPr="00BB064C">
        <w:rPr>
          <w:rFonts w:cstheme="majorHAnsi"/>
        </w:rPr>
        <w:fldChar w:fldCharType="begin"/>
      </w:r>
      <w:r w:rsidRPr="00BB064C">
        <w:rPr>
          <w:rFonts w:cstheme="majorHAnsi"/>
        </w:rPr>
        <w:instrText xml:space="preserve"> DOCVARIABLE vault_nd_b887f680-b5ef-4b28-ba6d-1e1be21c06ec \* MERGEFORMAT </w:instrText>
      </w:r>
      <w:r w:rsidRPr="00BB064C">
        <w:rPr>
          <w:rFonts w:cstheme="majorHAnsi"/>
        </w:rPr>
        <w:fldChar w:fldCharType="separate"/>
      </w:r>
      <w:r w:rsidRPr="00BB064C">
        <w:rPr>
          <w:rFonts w:cstheme="majorHAnsi"/>
        </w:rPr>
        <w:t xml:space="preserve"> </w:t>
      </w:r>
      <w:r w:rsidRPr="00BB064C">
        <w:rPr>
          <w:rFonts w:cstheme="majorHAnsi"/>
        </w:rPr>
        <w:fldChar w:fldCharType="end"/>
      </w:r>
    </w:p>
    <w:p w14:paraId="04AE6349" w14:textId="2AA5145C" w:rsidR="00735AC9" w:rsidRDefault="00CF4B5A" w:rsidP="00A410F0">
      <w:pPr>
        <w:pStyle w:val="NoSpacing"/>
        <w:rPr>
          <w:rFonts w:asciiTheme="majorHAnsi" w:hAnsiTheme="majorHAnsi" w:cstheme="majorHAnsi"/>
        </w:rPr>
      </w:pPr>
      <w:bookmarkStart w:id="13" w:name="OLE_LINK17"/>
      <w:r w:rsidRPr="00BB064C">
        <w:rPr>
          <w:rFonts w:asciiTheme="majorHAnsi" w:hAnsiTheme="majorHAnsi" w:cstheme="majorHAnsi"/>
        </w:rPr>
        <w:t xml:space="preserve">No data </w:t>
      </w:r>
      <w:proofErr w:type="gramStart"/>
      <w:r w:rsidRPr="00BB064C">
        <w:rPr>
          <w:rFonts w:asciiTheme="majorHAnsi" w:hAnsiTheme="majorHAnsi" w:cstheme="majorHAnsi"/>
        </w:rPr>
        <w:t>are</w:t>
      </w:r>
      <w:proofErr w:type="gramEnd"/>
      <w:r w:rsidRPr="00BB064C">
        <w:rPr>
          <w:rFonts w:asciiTheme="majorHAnsi" w:hAnsiTheme="majorHAnsi" w:cstheme="majorHAnsi"/>
        </w:rPr>
        <w:t xml:space="preserve"> available on fertility in humans with use of </w:t>
      </w:r>
      <w:r w:rsidR="00170E15">
        <w:rPr>
          <w:rFonts w:asciiTheme="majorHAnsi" w:hAnsiTheme="majorHAnsi" w:cstheme="majorHAnsi"/>
          <w:noProof/>
        </w:rPr>
        <w:t>mNEXSPIKE XBB.1.5</w:t>
      </w:r>
      <w:r w:rsidRPr="00BB064C">
        <w:rPr>
          <w:rFonts w:asciiTheme="majorHAnsi" w:hAnsiTheme="majorHAnsi" w:cstheme="majorHAnsi"/>
        </w:rPr>
        <w:t xml:space="preserve">. </w:t>
      </w:r>
      <w:bookmarkEnd w:id="13"/>
    </w:p>
    <w:p w14:paraId="0D078C95" w14:textId="2132E7EB" w:rsidR="008C6D71" w:rsidRPr="003963DE" w:rsidRDefault="0074609F" w:rsidP="00A410F0">
      <w:pPr>
        <w:pStyle w:val="NoSpacing"/>
        <w:rPr>
          <w:rFonts w:asciiTheme="majorHAnsi" w:hAnsiTheme="majorHAnsi" w:cstheme="majorHAnsi"/>
        </w:rPr>
      </w:pPr>
      <w:r w:rsidRPr="0074609F">
        <w:rPr>
          <w:rFonts w:asciiTheme="majorHAnsi" w:hAnsiTheme="majorHAnsi" w:cstheme="majorHAnsi"/>
        </w:rPr>
        <w:t>In a combined fertility and developmental toxicity study, mRNA-1283 vaccine was</w:t>
      </w:r>
      <w:r>
        <w:rPr>
          <w:rFonts w:asciiTheme="majorHAnsi" w:hAnsiTheme="majorHAnsi" w:cstheme="majorHAnsi"/>
        </w:rPr>
        <w:t xml:space="preserve"> </w:t>
      </w:r>
      <w:r w:rsidRPr="0074609F">
        <w:rPr>
          <w:rFonts w:asciiTheme="majorHAnsi" w:hAnsiTheme="majorHAnsi" w:cstheme="majorHAnsi"/>
        </w:rPr>
        <w:t xml:space="preserve">administered to female rats at 80 </w:t>
      </w:r>
      <w:proofErr w:type="spellStart"/>
      <w:r w:rsidRPr="0074609F">
        <w:rPr>
          <w:rFonts w:asciiTheme="majorHAnsi" w:hAnsiTheme="majorHAnsi" w:cstheme="majorHAnsi"/>
        </w:rPr>
        <w:t>μg</w:t>
      </w:r>
      <w:proofErr w:type="spellEnd"/>
      <w:r w:rsidRPr="0074609F">
        <w:rPr>
          <w:rFonts w:asciiTheme="majorHAnsi" w:hAnsiTheme="majorHAnsi" w:cstheme="majorHAnsi"/>
        </w:rPr>
        <w:t>/dose by the intramuscular route (4 doses spanning</w:t>
      </w:r>
      <w:r>
        <w:rPr>
          <w:rFonts w:asciiTheme="majorHAnsi" w:hAnsiTheme="majorHAnsi" w:cstheme="majorHAnsi"/>
        </w:rPr>
        <w:t xml:space="preserve"> </w:t>
      </w:r>
      <w:r w:rsidRPr="0074609F">
        <w:rPr>
          <w:rFonts w:asciiTheme="majorHAnsi" w:hAnsiTheme="majorHAnsi" w:cstheme="majorHAnsi"/>
        </w:rPr>
        <w:t>between pre-mating day 28 and gestation day 13). Anti-SARS-CoV-2 spike NTD and RBD</w:t>
      </w:r>
      <w:r>
        <w:rPr>
          <w:rFonts w:asciiTheme="majorHAnsi" w:hAnsiTheme="majorHAnsi" w:cstheme="majorHAnsi"/>
        </w:rPr>
        <w:t xml:space="preserve"> </w:t>
      </w:r>
      <w:r w:rsidRPr="0074609F">
        <w:rPr>
          <w:rFonts w:asciiTheme="majorHAnsi" w:hAnsiTheme="majorHAnsi" w:cstheme="majorHAnsi"/>
        </w:rPr>
        <w:t>antibodies were present in serum of maternal animals from prior to mating to the end of th</w:t>
      </w:r>
      <w:r>
        <w:rPr>
          <w:rFonts w:asciiTheme="majorHAnsi" w:hAnsiTheme="majorHAnsi" w:cstheme="majorHAnsi"/>
        </w:rPr>
        <w:t xml:space="preserve">e </w:t>
      </w:r>
      <w:r w:rsidRPr="0074609F">
        <w:rPr>
          <w:rFonts w:asciiTheme="majorHAnsi" w:hAnsiTheme="majorHAnsi" w:cstheme="majorHAnsi"/>
        </w:rPr>
        <w:t>study on lactation day 21. There were no vaccine-related adverse effects on female fertility</w:t>
      </w:r>
      <w:r>
        <w:rPr>
          <w:rFonts w:asciiTheme="majorHAnsi" w:hAnsiTheme="majorHAnsi" w:cstheme="majorHAnsi"/>
        </w:rPr>
        <w:t xml:space="preserve"> </w:t>
      </w:r>
      <w:r w:rsidRPr="0074609F">
        <w:rPr>
          <w:rFonts w:asciiTheme="majorHAnsi" w:hAnsiTheme="majorHAnsi" w:cstheme="majorHAnsi"/>
        </w:rPr>
        <w:t>and pregnancy rate. The effect of mNEXSPIKE XBB.1.5 on male fertility has not been</w:t>
      </w:r>
      <w:r>
        <w:rPr>
          <w:rFonts w:asciiTheme="majorHAnsi" w:hAnsiTheme="majorHAnsi" w:cstheme="majorHAnsi"/>
        </w:rPr>
        <w:t xml:space="preserve"> </w:t>
      </w:r>
      <w:r w:rsidRPr="0074609F">
        <w:rPr>
          <w:rFonts w:asciiTheme="majorHAnsi" w:hAnsiTheme="majorHAnsi" w:cstheme="majorHAnsi"/>
        </w:rPr>
        <w:t>determined.</w:t>
      </w:r>
    </w:p>
    <w:p w14:paraId="2ABFEF93" w14:textId="3D8AD7FB" w:rsidR="00C94DBB" w:rsidRPr="00BB064C" w:rsidRDefault="008C79F1" w:rsidP="00D55B54">
      <w:pPr>
        <w:pStyle w:val="Heading3"/>
        <w:spacing w:before="120"/>
        <w:rPr>
          <w:rFonts w:cstheme="majorHAnsi"/>
        </w:rPr>
      </w:pPr>
      <w:r w:rsidRPr="00BB064C">
        <w:rPr>
          <w:rFonts w:cstheme="majorHAnsi"/>
        </w:rPr>
        <w:t>Use in pregnancy – Pregnancy Category B1</w:t>
      </w:r>
      <w:r w:rsidRPr="00BB064C">
        <w:rPr>
          <w:rFonts w:cstheme="majorHAnsi"/>
        </w:rPr>
        <w:fldChar w:fldCharType="begin"/>
      </w:r>
      <w:r w:rsidRPr="00BB064C">
        <w:rPr>
          <w:rFonts w:cstheme="majorHAnsi"/>
        </w:rPr>
        <w:instrText xml:space="preserve"> DOCVARIABLE vault_nd_327c0392-cf74-4d75-b705-3767414d42cd \* MERGEFORMAT </w:instrText>
      </w:r>
      <w:r w:rsidRPr="00BB064C">
        <w:rPr>
          <w:rFonts w:cstheme="majorHAnsi"/>
        </w:rPr>
        <w:fldChar w:fldCharType="separate"/>
      </w:r>
      <w:r w:rsidRPr="00BB064C">
        <w:rPr>
          <w:rFonts w:cstheme="majorHAnsi"/>
        </w:rPr>
        <w:t xml:space="preserve"> </w:t>
      </w:r>
      <w:r w:rsidRPr="00BB064C">
        <w:rPr>
          <w:rFonts w:cstheme="majorHAnsi"/>
        </w:rPr>
        <w:fldChar w:fldCharType="end"/>
      </w:r>
    </w:p>
    <w:p w14:paraId="35510E1B" w14:textId="1D22C6CA" w:rsidR="00C94DBB" w:rsidRPr="00BB064C" w:rsidRDefault="00C94DBB" w:rsidP="00106A8E">
      <w:pPr>
        <w:rPr>
          <w:rFonts w:cstheme="majorHAnsi"/>
        </w:rPr>
      </w:pPr>
      <w:bookmarkStart w:id="14" w:name="OLE_LINK15"/>
      <w:r w:rsidRPr="00BB064C">
        <w:rPr>
          <w:rFonts w:cstheme="majorHAnsi"/>
          <w:shd w:val="clear" w:color="auto" w:fill="FFFFFF"/>
        </w:rPr>
        <w:t xml:space="preserve">No adequate and well-controlled studies of </w:t>
      </w:r>
      <w:r w:rsidR="00170E15">
        <w:rPr>
          <w:rFonts w:cstheme="majorHAnsi"/>
          <w:noProof/>
        </w:rPr>
        <w:t>mNEXSPIKE XBB.1.5</w:t>
      </w:r>
      <w:r w:rsidR="008F48A2" w:rsidRPr="00BB064C">
        <w:rPr>
          <w:rFonts w:cstheme="majorHAnsi"/>
          <w:shd w:val="clear" w:color="auto" w:fill="FFFFFF"/>
        </w:rPr>
        <w:t xml:space="preserve"> </w:t>
      </w:r>
      <w:r w:rsidRPr="00BB064C">
        <w:rPr>
          <w:rFonts w:cstheme="majorHAnsi"/>
          <w:shd w:val="clear" w:color="auto" w:fill="FFFFFF"/>
        </w:rPr>
        <w:t>use in pregnant women have been</w:t>
      </w:r>
      <w:r w:rsidR="004435B1">
        <w:rPr>
          <w:rFonts w:cstheme="majorHAnsi"/>
          <w:shd w:val="clear" w:color="auto" w:fill="FFFFFF"/>
        </w:rPr>
        <w:t xml:space="preserve"> </w:t>
      </w:r>
      <w:r w:rsidRPr="00BB064C">
        <w:rPr>
          <w:rFonts w:cstheme="majorHAnsi"/>
          <w:shd w:val="clear" w:color="auto" w:fill="FFFFFF"/>
        </w:rPr>
        <w:t>conducted. Available clinical data on </w:t>
      </w:r>
      <w:r w:rsidR="00170E15">
        <w:rPr>
          <w:rFonts w:cstheme="majorHAnsi"/>
          <w:noProof/>
        </w:rPr>
        <w:t>mNEXSPIKE XBB.1.5</w:t>
      </w:r>
      <w:r w:rsidR="003D08B2" w:rsidRPr="00BB064C">
        <w:rPr>
          <w:rFonts w:cstheme="majorHAnsi"/>
          <w:noProof/>
        </w:rPr>
        <w:t xml:space="preserve"> </w:t>
      </w:r>
      <w:r w:rsidRPr="00BB064C">
        <w:rPr>
          <w:rFonts w:cstheme="majorHAnsi"/>
          <w:shd w:val="clear" w:color="auto" w:fill="FFFFFF"/>
        </w:rPr>
        <w:t>administered to pregnant women are insufficient to inform vaccine-associated risks in pregnancy</w:t>
      </w:r>
      <w:r w:rsidRPr="00BB064C">
        <w:rPr>
          <w:rFonts w:cstheme="majorHAnsi"/>
        </w:rPr>
        <w:t>.</w:t>
      </w:r>
      <w:bookmarkEnd w:id="14"/>
    </w:p>
    <w:p w14:paraId="18F5F8D5" w14:textId="1C24B83E" w:rsidR="00C94DBB" w:rsidRPr="00BB064C" w:rsidRDefault="00C94DBB" w:rsidP="00A86DCA">
      <w:pPr>
        <w:widowControl w:val="0"/>
        <w:shd w:val="clear" w:color="auto" w:fill="FFFFFF"/>
        <w:spacing w:line="240" w:lineRule="auto"/>
        <w:rPr>
          <w:rFonts w:eastAsia="Calibri" w:cstheme="majorHAnsi"/>
        </w:rPr>
      </w:pPr>
      <w:r w:rsidRPr="00BB064C">
        <w:rPr>
          <w:rFonts w:cstheme="majorHAnsi"/>
          <w:shd w:val="clear" w:color="auto" w:fill="FFFFFF"/>
        </w:rPr>
        <w:t>Pregnant individuals infected with SARS-CoV-2 are at increased risk of severe COVID-19 compared with non-pregnant individuals.</w:t>
      </w:r>
    </w:p>
    <w:p w14:paraId="54539E1E" w14:textId="38EB6DAC" w:rsidR="00C94DBB" w:rsidRPr="00BB064C" w:rsidRDefault="00A1113B" w:rsidP="00132C4D">
      <w:pPr>
        <w:pStyle w:val="NoSpacing"/>
        <w:rPr>
          <w:rFonts w:asciiTheme="majorHAnsi" w:hAnsiTheme="majorHAnsi" w:cstheme="majorHAnsi"/>
          <w:noProof/>
        </w:rPr>
      </w:pPr>
      <w:r w:rsidRPr="00BB064C">
        <w:rPr>
          <w:rFonts w:asciiTheme="majorHAnsi" w:hAnsiTheme="majorHAnsi" w:cstheme="majorHAnsi"/>
          <w:noProof/>
        </w:rPr>
        <w:t xml:space="preserve">A </w:t>
      </w:r>
      <w:r>
        <w:rPr>
          <w:rFonts w:asciiTheme="majorHAnsi" w:hAnsiTheme="majorHAnsi" w:cstheme="majorHAnsi"/>
          <w:noProof/>
        </w:rPr>
        <w:t xml:space="preserve">combined fertility and </w:t>
      </w:r>
      <w:r w:rsidRPr="00BB064C">
        <w:rPr>
          <w:rFonts w:asciiTheme="majorHAnsi" w:hAnsiTheme="majorHAnsi" w:cstheme="majorHAnsi"/>
          <w:noProof/>
        </w:rPr>
        <w:t xml:space="preserve">developmental toxicity study </w:t>
      </w:r>
      <w:r>
        <w:rPr>
          <w:rFonts w:asciiTheme="majorHAnsi" w:hAnsiTheme="majorHAnsi" w:cstheme="majorHAnsi"/>
          <w:noProof/>
        </w:rPr>
        <w:t xml:space="preserve">in </w:t>
      </w:r>
      <w:r w:rsidR="00A23727">
        <w:rPr>
          <w:rFonts w:asciiTheme="majorHAnsi" w:hAnsiTheme="majorHAnsi" w:cstheme="majorHAnsi"/>
          <w:noProof/>
        </w:rPr>
        <w:t xml:space="preserve">female </w:t>
      </w:r>
      <w:r>
        <w:rPr>
          <w:rFonts w:asciiTheme="majorHAnsi" w:hAnsiTheme="majorHAnsi" w:cstheme="majorHAnsi"/>
          <w:noProof/>
        </w:rPr>
        <w:t>rats</w:t>
      </w:r>
      <w:r w:rsidR="00157F5A">
        <w:rPr>
          <w:rFonts w:asciiTheme="majorHAnsi" w:hAnsiTheme="majorHAnsi" w:cstheme="majorHAnsi"/>
          <w:noProof/>
        </w:rPr>
        <w:t xml:space="preserve">, administered 80 </w:t>
      </w:r>
      <w:proofErr w:type="spellStart"/>
      <w:r w:rsidR="00703B58" w:rsidRPr="0074609F">
        <w:rPr>
          <w:rFonts w:asciiTheme="majorHAnsi" w:hAnsiTheme="majorHAnsi" w:cstheme="majorHAnsi"/>
        </w:rPr>
        <w:t>μg</w:t>
      </w:r>
      <w:proofErr w:type="spellEnd"/>
      <w:r w:rsidR="00703B58" w:rsidRPr="0074609F">
        <w:rPr>
          <w:rFonts w:asciiTheme="majorHAnsi" w:hAnsiTheme="majorHAnsi" w:cstheme="majorHAnsi"/>
        </w:rPr>
        <w:t>/dose</w:t>
      </w:r>
      <w:r w:rsidR="00703B58">
        <w:rPr>
          <w:rFonts w:asciiTheme="majorHAnsi" w:hAnsiTheme="majorHAnsi" w:cstheme="majorHAnsi"/>
        </w:rPr>
        <w:t xml:space="preserve"> of</w:t>
      </w:r>
      <w:r w:rsidR="00DD2436">
        <w:rPr>
          <w:rFonts w:asciiTheme="majorHAnsi" w:hAnsiTheme="majorHAnsi" w:cstheme="majorHAnsi"/>
        </w:rPr>
        <w:t xml:space="preserve"> mRNA-1283 vaccine twice prior to ma</w:t>
      </w:r>
      <w:r w:rsidR="00E126FF">
        <w:rPr>
          <w:rFonts w:asciiTheme="majorHAnsi" w:hAnsiTheme="majorHAnsi" w:cstheme="majorHAnsi"/>
        </w:rPr>
        <w:t>ting and twice during gestation,</w:t>
      </w:r>
      <w:r>
        <w:rPr>
          <w:rFonts w:asciiTheme="majorHAnsi" w:hAnsiTheme="majorHAnsi" w:cstheme="majorHAnsi"/>
          <w:noProof/>
        </w:rPr>
        <w:t xml:space="preserve"> </w:t>
      </w:r>
      <w:r w:rsidR="00C94DBB" w:rsidRPr="00BB064C">
        <w:rPr>
          <w:rFonts w:asciiTheme="majorHAnsi" w:hAnsiTheme="majorHAnsi" w:cstheme="majorHAnsi"/>
          <w:noProof/>
        </w:rPr>
        <w:t xml:space="preserve">revealed no evidence of </w:t>
      </w:r>
      <w:r w:rsidR="00132C4D">
        <w:rPr>
          <w:rFonts w:asciiTheme="majorHAnsi" w:hAnsiTheme="majorHAnsi" w:cstheme="majorHAnsi"/>
          <w:noProof/>
        </w:rPr>
        <w:t xml:space="preserve">vaccine-related </w:t>
      </w:r>
      <w:r w:rsidR="00C94DBB" w:rsidRPr="00BB064C">
        <w:rPr>
          <w:rFonts w:asciiTheme="majorHAnsi" w:hAnsiTheme="majorHAnsi" w:cstheme="majorHAnsi"/>
          <w:noProof/>
        </w:rPr>
        <w:t>harm</w:t>
      </w:r>
      <w:r w:rsidR="00132C4D">
        <w:rPr>
          <w:rFonts w:asciiTheme="majorHAnsi" w:hAnsiTheme="majorHAnsi" w:cstheme="majorHAnsi"/>
          <w:noProof/>
        </w:rPr>
        <w:t>ful effects on maternal health, pregnancy outcome, e</w:t>
      </w:r>
      <w:r w:rsidR="00132C4D" w:rsidRPr="00132C4D">
        <w:rPr>
          <w:rFonts w:asciiTheme="majorHAnsi" w:hAnsiTheme="majorHAnsi" w:cstheme="majorHAnsi"/>
          <w:noProof/>
        </w:rPr>
        <w:t>mbryofetal</w:t>
      </w:r>
      <w:r w:rsidR="00132C4D">
        <w:rPr>
          <w:rFonts w:asciiTheme="majorHAnsi" w:hAnsiTheme="majorHAnsi" w:cstheme="majorHAnsi"/>
          <w:noProof/>
        </w:rPr>
        <w:t xml:space="preserve"> </w:t>
      </w:r>
      <w:r w:rsidR="00132C4D" w:rsidRPr="00132C4D">
        <w:rPr>
          <w:rFonts w:asciiTheme="majorHAnsi" w:hAnsiTheme="majorHAnsi" w:cstheme="majorHAnsi"/>
          <w:noProof/>
        </w:rPr>
        <w:t>development, or neonatal development</w:t>
      </w:r>
      <w:r>
        <w:rPr>
          <w:rFonts w:asciiTheme="majorHAnsi" w:hAnsiTheme="majorHAnsi" w:cstheme="majorHAnsi"/>
          <w:noProof/>
        </w:rPr>
        <w:t xml:space="preserve"> </w:t>
      </w:r>
      <w:r w:rsidRPr="00A1113B">
        <w:rPr>
          <w:rFonts w:asciiTheme="majorHAnsi" w:hAnsiTheme="majorHAnsi" w:cstheme="majorHAnsi"/>
          <w:noProof/>
        </w:rPr>
        <w:t>(see Effects on Fertility)</w:t>
      </w:r>
      <w:r w:rsidR="00132C4D" w:rsidRPr="00132C4D">
        <w:rPr>
          <w:rFonts w:asciiTheme="majorHAnsi" w:hAnsiTheme="majorHAnsi" w:cstheme="majorHAnsi"/>
          <w:noProof/>
        </w:rPr>
        <w:t>.</w:t>
      </w:r>
      <w:r w:rsidR="00C94DBB" w:rsidRPr="00BB064C">
        <w:rPr>
          <w:rFonts w:asciiTheme="majorHAnsi" w:hAnsiTheme="majorHAnsi" w:cstheme="majorHAnsi"/>
          <w:noProof/>
        </w:rPr>
        <w:t xml:space="preserve"> </w:t>
      </w:r>
      <w:r w:rsidRPr="00132C4D">
        <w:rPr>
          <w:rFonts w:asciiTheme="majorHAnsi" w:hAnsiTheme="majorHAnsi" w:cstheme="majorHAnsi"/>
          <w:noProof/>
        </w:rPr>
        <w:t>Anti-SARS-CoV-2 spike NTD and RBD antibodies</w:t>
      </w:r>
      <w:r>
        <w:rPr>
          <w:rFonts w:asciiTheme="majorHAnsi" w:hAnsiTheme="majorHAnsi" w:cstheme="majorHAnsi"/>
          <w:noProof/>
        </w:rPr>
        <w:t xml:space="preserve"> </w:t>
      </w:r>
      <w:r w:rsidRPr="00132C4D">
        <w:rPr>
          <w:rFonts w:asciiTheme="majorHAnsi" w:hAnsiTheme="majorHAnsi" w:cstheme="majorHAnsi"/>
          <w:noProof/>
        </w:rPr>
        <w:t>were present in serum of maternal animals from prior to mating to the end of the study on</w:t>
      </w:r>
      <w:r>
        <w:rPr>
          <w:rFonts w:asciiTheme="majorHAnsi" w:hAnsiTheme="majorHAnsi" w:cstheme="majorHAnsi"/>
          <w:noProof/>
        </w:rPr>
        <w:t xml:space="preserve"> </w:t>
      </w:r>
      <w:r w:rsidRPr="00132C4D">
        <w:rPr>
          <w:rFonts w:asciiTheme="majorHAnsi" w:hAnsiTheme="majorHAnsi" w:cstheme="majorHAnsi"/>
          <w:noProof/>
        </w:rPr>
        <w:t>lactation day 21</w:t>
      </w:r>
      <w:r w:rsidR="00A64425">
        <w:rPr>
          <w:rFonts w:asciiTheme="majorHAnsi" w:hAnsiTheme="majorHAnsi" w:cstheme="majorHAnsi"/>
          <w:noProof/>
        </w:rPr>
        <w:t>,</w:t>
      </w:r>
      <w:r w:rsidRPr="00132C4D">
        <w:rPr>
          <w:rFonts w:asciiTheme="majorHAnsi" w:hAnsiTheme="majorHAnsi" w:cstheme="majorHAnsi"/>
          <w:noProof/>
        </w:rPr>
        <w:t xml:space="preserve"> as well as in fetuses and offspring. </w:t>
      </w:r>
    </w:p>
    <w:p w14:paraId="5827CAF8" w14:textId="23241421" w:rsidR="00C94DBB" w:rsidRPr="00BB064C" w:rsidRDefault="00CF4B5A" w:rsidP="00CF4B5A">
      <w:pPr>
        <w:pStyle w:val="Heading3"/>
        <w:rPr>
          <w:rFonts w:cstheme="majorHAnsi"/>
        </w:rPr>
      </w:pPr>
      <w:r w:rsidRPr="00BB064C">
        <w:rPr>
          <w:rFonts w:cstheme="majorHAnsi"/>
        </w:rPr>
        <w:t>Use in lactation</w:t>
      </w:r>
      <w:r w:rsidRPr="00BB064C">
        <w:rPr>
          <w:rFonts w:cstheme="majorHAnsi"/>
        </w:rPr>
        <w:fldChar w:fldCharType="begin"/>
      </w:r>
      <w:r w:rsidRPr="00BB064C">
        <w:rPr>
          <w:rFonts w:cstheme="majorHAnsi"/>
        </w:rPr>
        <w:instrText xml:space="preserve"> DOCVARIABLE vault_nd_c15a206d-2995-4fed-bf5a-6d1a91fea871 \* MERGEFORMAT </w:instrText>
      </w:r>
      <w:r w:rsidRPr="00BB064C">
        <w:rPr>
          <w:rFonts w:cstheme="majorHAnsi"/>
        </w:rPr>
        <w:fldChar w:fldCharType="separate"/>
      </w:r>
      <w:r w:rsidRPr="00BB064C">
        <w:rPr>
          <w:rFonts w:cstheme="majorHAnsi"/>
        </w:rPr>
        <w:t xml:space="preserve"> </w:t>
      </w:r>
      <w:r w:rsidRPr="00BB064C">
        <w:rPr>
          <w:rFonts w:cstheme="majorHAnsi"/>
        </w:rPr>
        <w:fldChar w:fldCharType="end"/>
      </w:r>
    </w:p>
    <w:p w14:paraId="4B044C7B" w14:textId="4A0BF685" w:rsidR="00A64425" w:rsidRDefault="00A64425" w:rsidP="00A64425">
      <w:pPr>
        <w:widowControl w:val="0"/>
        <w:spacing w:line="240" w:lineRule="auto"/>
        <w:rPr>
          <w:rFonts w:cstheme="majorHAnsi"/>
          <w:noProof/>
          <w:lang w:val="en-AU"/>
        </w:rPr>
      </w:pPr>
      <w:bookmarkStart w:id="15" w:name="OLE_LINK16"/>
      <w:r w:rsidRPr="00A64425">
        <w:rPr>
          <w:rFonts w:cstheme="majorHAnsi"/>
          <w:noProof/>
          <w:lang w:val="en-AU"/>
        </w:rPr>
        <w:t>In a combined fertility and developmental toxicity study in rats (see Effects on Fertility)</w:t>
      </w:r>
      <w:r>
        <w:rPr>
          <w:rFonts w:cstheme="majorHAnsi"/>
          <w:noProof/>
          <w:lang w:val="en-AU"/>
        </w:rPr>
        <w:t>, a</w:t>
      </w:r>
      <w:r w:rsidRPr="00A64425">
        <w:rPr>
          <w:rFonts w:cstheme="majorHAnsi"/>
          <w:noProof/>
          <w:lang w:val="en-AU"/>
        </w:rPr>
        <w:t>nti-SARS-CoV-2 spike NTD and RBD antibodies were detected in milk in lactating rats (at</w:t>
      </w:r>
      <w:r>
        <w:rPr>
          <w:rFonts w:cstheme="majorHAnsi"/>
          <w:noProof/>
          <w:lang w:val="en-AU"/>
        </w:rPr>
        <w:t xml:space="preserve"> </w:t>
      </w:r>
      <w:r w:rsidRPr="00A64425">
        <w:rPr>
          <w:rFonts w:cstheme="majorHAnsi"/>
          <w:noProof/>
          <w:lang w:val="en-AU"/>
        </w:rPr>
        <w:t>approximately 10% of the antibody titres in maternal serum) and in serum of their nursing</w:t>
      </w:r>
      <w:r>
        <w:rPr>
          <w:rFonts w:cstheme="majorHAnsi"/>
          <w:noProof/>
          <w:lang w:val="en-AU"/>
        </w:rPr>
        <w:t xml:space="preserve"> </w:t>
      </w:r>
      <w:r w:rsidRPr="00A64425">
        <w:rPr>
          <w:rFonts w:cstheme="majorHAnsi"/>
          <w:noProof/>
          <w:lang w:val="en-AU"/>
        </w:rPr>
        <w:t>pups (approximately the same antibody titres as in maternal serum).</w:t>
      </w:r>
    </w:p>
    <w:p w14:paraId="01C5091B" w14:textId="4AE19455" w:rsidR="008A3E47" w:rsidRPr="008A3E47" w:rsidRDefault="008A3E47" w:rsidP="008A3E47">
      <w:pPr>
        <w:widowControl w:val="0"/>
        <w:spacing w:line="240" w:lineRule="auto"/>
        <w:rPr>
          <w:rFonts w:cstheme="majorHAnsi"/>
          <w:noProof/>
          <w:lang w:val="en-AU"/>
        </w:rPr>
      </w:pPr>
      <w:r w:rsidRPr="008A3E47">
        <w:rPr>
          <w:rFonts w:cstheme="majorHAnsi"/>
          <w:noProof/>
          <w:lang w:val="en-AU"/>
        </w:rPr>
        <w:t xml:space="preserve">No effects on the breastfed newborn/infant are anticipated since the systemic exposure of the breastfeeding woman to </w:t>
      </w:r>
      <w:r w:rsidR="00170E15">
        <w:rPr>
          <w:rFonts w:cstheme="majorHAnsi"/>
          <w:noProof/>
          <w:lang w:val="en-AU"/>
        </w:rPr>
        <w:t>mNEXSPIKE XBB.1.5</w:t>
      </w:r>
      <w:r w:rsidRPr="008A3E47">
        <w:rPr>
          <w:rFonts w:cstheme="majorHAnsi"/>
          <w:noProof/>
          <w:lang w:val="en-AU"/>
        </w:rPr>
        <w:t xml:space="preserve"> is negligible. Observational data from women who were breastfeeding after vaccination with SPIKEVAX (elasomeran) and its variants have not shown a risk for adverse effects in breastfed newborns/infants.</w:t>
      </w:r>
    </w:p>
    <w:p w14:paraId="00028923" w14:textId="53643B69" w:rsidR="008A3E47" w:rsidRPr="008A3E47" w:rsidRDefault="00170E15" w:rsidP="008A3E47">
      <w:pPr>
        <w:widowControl w:val="0"/>
        <w:spacing w:line="240" w:lineRule="auto"/>
        <w:rPr>
          <w:rFonts w:cstheme="majorHAnsi"/>
          <w:noProof/>
          <w:lang w:val="en-AU"/>
        </w:rPr>
      </w:pPr>
      <w:r>
        <w:rPr>
          <w:rFonts w:cstheme="majorHAnsi"/>
          <w:noProof/>
          <w:lang w:val="en-AU"/>
        </w:rPr>
        <w:t>mNEXSPIKE XBB.1.5</w:t>
      </w:r>
      <w:r w:rsidR="008A3E47" w:rsidRPr="008A3E47">
        <w:rPr>
          <w:rFonts w:cstheme="majorHAnsi"/>
          <w:noProof/>
          <w:lang w:val="en-AU"/>
        </w:rPr>
        <w:t xml:space="preserve"> can be used during breast-feeding. </w:t>
      </w:r>
    </w:p>
    <w:bookmarkEnd w:id="15"/>
    <w:p w14:paraId="7E364980" w14:textId="6C004F3B" w:rsidR="0004042D" w:rsidRPr="000A5323" w:rsidRDefault="002A2842" w:rsidP="000A5323">
      <w:pPr>
        <w:pStyle w:val="Heading2"/>
      </w:pPr>
      <w:r w:rsidRPr="000A5323">
        <w:t>4.7 EFFECTS ON ABILITY TO DRIVE AND USE MACHINES</w:t>
      </w:r>
      <w:fldSimple w:instr=" DOCVARIABLE VAULT_ND_a02e76ee-46fb-4edc-ab94-ceb18b6e99b1 \* MERGEFORMAT ">
        <w:r w:rsidR="00C40E71">
          <w:t xml:space="preserve"> </w:t>
        </w:r>
      </w:fldSimple>
    </w:p>
    <w:p w14:paraId="21CB2EE6" w14:textId="77777777" w:rsidR="00E148FE" w:rsidRPr="00622BED" w:rsidRDefault="00E148FE" w:rsidP="00622BED">
      <w:pPr>
        <w:pStyle w:val="NoSpacing"/>
      </w:pPr>
    </w:p>
    <w:p w14:paraId="03AEB1FC" w14:textId="1736AE3C" w:rsidR="0004042D" w:rsidRDefault="0046467F" w:rsidP="00622BED">
      <w:pPr>
        <w:spacing w:line="240" w:lineRule="auto"/>
      </w:pPr>
      <w:bookmarkStart w:id="16" w:name="OLE_LINK18"/>
      <w:r>
        <w:t xml:space="preserve">No studies on the effects of </w:t>
      </w:r>
      <w:r w:rsidR="00170E15">
        <w:rPr>
          <w:noProof/>
        </w:rPr>
        <w:t>mNEXSPIKE XBB.1.5</w:t>
      </w:r>
      <w:r w:rsidR="00B1464A" w:rsidRPr="00A3183A">
        <w:rPr>
          <w:noProof/>
        </w:rPr>
        <w:t xml:space="preserve"> </w:t>
      </w:r>
      <w:r>
        <w:t xml:space="preserve">on the ability to drive and use machines have been </w:t>
      </w:r>
      <w:proofErr w:type="gramStart"/>
      <w:r>
        <w:t>performed</w:t>
      </w:r>
      <w:proofErr w:type="gramEnd"/>
      <w:r>
        <w:rPr>
          <w:color w:val="2B579A"/>
        </w:rPr>
        <w:t>.</w:t>
      </w:r>
      <w:r>
        <w:t xml:space="preserve"> Some of the effects mentioned under section 4.8 </w:t>
      </w:r>
      <w:r w:rsidR="00EB41A2">
        <w:t>Adverse Effects (</w:t>
      </w:r>
      <w:r>
        <w:t>Undesirable Effects</w:t>
      </w:r>
      <w:r w:rsidR="00EB41A2">
        <w:t>)</w:t>
      </w:r>
      <w:r>
        <w:t xml:space="preserve"> may affect the ability to drive or use machines. </w:t>
      </w:r>
      <w:bookmarkEnd w:id="16"/>
    </w:p>
    <w:p w14:paraId="2E09251D" w14:textId="764A993E" w:rsidR="00986FFA" w:rsidRDefault="002A2842" w:rsidP="00484B96">
      <w:pPr>
        <w:pStyle w:val="Heading2"/>
        <w:rPr>
          <w:i/>
          <w:iCs/>
        </w:rPr>
      </w:pPr>
      <w:r w:rsidRPr="009E06BF">
        <w:t>4.8 ADVERSE EFFECTS (UNDESIRABLE EFFECTS)</w:t>
      </w:r>
      <w:r w:rsidR="00C40E71">
        <w:rPr>
          <w:b w:val="0"/>
          <w:bCs w:val="0"/>
        </w:rPr>
        <w:fldChar w:fldCharType="begin"/>
      </w:r>
      <w:r w:rsidR="00C40E71">
        <w:rPr>
          <w:b w:val="0"/>
          <w:bCs w:val="0"/>
        </w:rPr>
        <w:instrText xml:space="preserve"> DOCVARIABLE VAULT_ND_eb81e30b-6ce8-4797-becf-6df0e39a718f \* MERGEFORMAT </w:instrText>
      </w:r>
      <w:r w:rsidR="00C40E71">
        <w:rPr>
          <w:b w:val="0"/>
          <w:bCs w:val="0"/>
        </w:rPr>
        <w:fldChar w:fldCharType="separate"/>
      </w:r>
      <w:r w:rsidR="00C40E71">
        <w:t xml:space="preserve"> </w:t>
      </w:r>
      <w:r w:rsidR="00C40E71">
        <w:rPr>
          <w:b w:val="0"/>
          <w:bCs w:val="0"/>
        </w:rPr>
        <w:fldChar w:fldCharType="end"/>
      </w:r>
    </w:p>
    <w:p w14:paraId="5980F6AD" w14:textId="77777777" w:rsidR="00411C2A" w:rsidRDefault="00411C2A" w:rsidP="00307D97">
      <w:pPr>
        <w:pStyle w:val="NoSpacing"/>
      </w:pPr>
    </w:p>
    <w:p w14:paraId="4028459F" w14:textId="1E8B1A69" w:rsidR="00986FFA" w:rsidRPr="00FD48CC" w:rsidRDefault="00986FFA" w:rsidP="0045310D">
      <w:r w:rsidRPr="00A74B35">
        <w:rPr>
          <w:i/>
          <w:iCs/>
        </w:rPr>
        <w:t xml:space="preserve">Study 1 Evaluated Efficacy and Immunogenicity of Single Dose mNEXSPIKE (Bivalent Original and Omicron BA.4/BA.5) </w:t>
      </w:r>
    </w:p>
    <w:p w14:paraId="39D99CF1" w14:textId="53612699" w:rsidR="00FD48CC" w:rsidRPr="00FD48CC" w:rsidRDefault="00FD48CC" w:rsidP="00FD48CC">
      <w:pPr>
        <w:widowControl w:val="0"/>
        <w:spacing w:line="240" w:lineRule="auto"/>
        <w:rPr>
          <w:sz w:val="24"/>
        </w:rPr>
      </w:pPr>
      <w:r>
        <w:t xml:space="preserve">The safety of </w:t>
      </w:r>
      <w:r w:rsidR="00170E15">
        <w:t>mNEXSPIKE</w:t>
      </w:r>
      <w:r>
        <w:t xml:space="preserve"> was evaluated in a Phase 3 </w:t>
      </w:r>
      <w:proofErr w:type="spellStart"/>
      <w:r>
        <w:t>randomised</w:t>
      </w:r>
      <w:proofErr w:type="spellEnd"/>
      <w:r>
        <w:t xml:space="preserve">, observer-blind, active-controlled clinical study. Study 1 (NCT05815498) was conducted in the United States, United Kingdom, and Canada involving 11 417 participants 12 years of age and older who received a single dose of </w:t>
      </w:r>
      <w:r w:rsidR="00170E15">
        <w:t>mNEXSPIKE</w:t>
      </w:r>
      <w:r>
        <w:t xml:space="preserve"> (10 micrograms mRNA; n=5 706) or </w:t>
      </w:r>
      <w:r w:rsidRPr="00713F4B">
        <w:t>Spikevax bivalent Original/Omicron BA.4</w:t>
      </w:r>
      <w:r>
        <w:t>-</w:t>
      </w:r>
      <w:r w:rsidRPr="00713F4B">
        <w:t xml:space="preserve">5 </w:t>
      </w:r>
      <w:r w:rsidRPr="00446480">
        <w:t>(</w:t>
      </w:r>
      <w:r w:rsidRPr="001F7223">
        <w:t>50</w:t>
      </w:r>
      <w:r>
        <w:t> </w:t>
      </w:r>
      <w:r w:rsidRPr="00446480">
        <w:t>microgram</w:t>
      </w:r>
      <w:r>
        <w:t>s</w:t>
      </w:r>
      <w:r w:rsidRPr="00446480">
        <w:t xml:space="preserve"> mRNA; n=5</w:t>
      </w:r>
      <w:r>
        <w:t> </w:t>
      </w:r>
      <w:r w:rsidRPr="00446480">
        <w:t>711)</w:t>
      </w:r>
      <w:r>
        <w:t xml:space="preserve"> (hereafter referred to as </w:t>
      </w:r>
      <w:r>
        <w:lastRenderedPageBreak/>
        <w:t>comparator vaccine)</w:t>
      </w:r>
      <w:r w:rsidRPr="00446480">
        <w:t xml:space="preserve">. </w:t>
      </w:r>
      <w:r w:rsidRPr="00512A4D">
        <w:t xml:space="preserve">The vaccine formula of </w:t>
      </w:r>
      <w:r>
        <w:t xml:space="preserve">both </w:t>
      </w:r>
      <w:r w:rsidR="00170E15">
        <w:t>mNEXSPIKE</w:t>
      </w:r>
      <w:r w:rsidRPr="00512A4D">
        <w:t xml:space="preserve"> </w:t>
      </w:r>
      <w:r>
        <w:t xml:space="preserve">and comparator vaccine </w:t>
      </w:r>
      <w:r w:rsidRPr="00512A4D">
        <w:t>administered in the study encoded the SARS</w:t>
      </w:r>
      <w:r>
        <w:noBreakHyphen/>
      </w:r>
      <w:r w:rsidRPr="00512A4D">
        <w:t>CoV</w:t>
      </w:r>
      <w:r>
        <w:noBreakHyphen/>
      </w:r>
      <w:r w:rsidRPr="00512A4D">
        <w:t>2 Wuhan-Hu 1 strain (Original) and Omicron variant lineages BA.4 and BA.5 (Omicron</w:t>
      </w:r>
      <w:r>
        <w:t> </w:t>
      </w:r>
      <w:r w:rsidRPr="00512A4D">
        <w:t>BA.4/BA.5)</w:t>
      </w:r>
      <w:r w:rsidRPr="00446480">
        <w:t xml:space="preserve">. </w:t>
      </w:r>
      <w:r>
        <w:t>The median duration of follow</w:t>
      </w:r>
      <w:r>
        <w:noBreakHyphen/>
        <w:t>up for safety was 8.8 months.</w:t>
      </w:r>
    </w:p>
    <w:p w14:paraId="39EA35BD" w14:textId="5112A528" w:rsidR="00FD48CC" w:rsidRPr="008F3E5D" w:rsidRDefault="00FD48CC" w:rsidP="003D2EB7">
      <w:pPr>
        <w:widowControl w:val="0"/>
        <w:spacing w:line="240" w:lineRule="auto"/>
        <w:rPr>
          <w:rFonts w:cstheme="majorHAnsi"/>
        </w:rPr>
      </w:pPr>
      <w:r>
        <w:t>In Study 1, the median age of the population was 56 years (range 12-96); 8.7% of participants were 12 years through 17 years, 62.6% were 18 years through 64 years, and 28.7% were 65 years and older. Overall, 45.7% of the participants were male, 54.3% were female, 13.2% were Hispanic or Latino, 82.2% were White, 11.2% were Black or African American, 3.6% were Asian, 0.4% were American Indian or Alaska Native, 0.1% were Native Hawaiian or Pacific Islander, 0.4% were other races, and 1.5% were Multiracial</w:t>
      </w:r>
      <w:r w:rsidR="00F73D1E">
        <w:t>.</w:t>
      </w:r>
      <w:r>
        <w:t xml:space="preserve"> Demographic characteristics were similar between participants who received </w:t>
      </w:r>
      <w:r w:rsidR="00170E15">
        <w:t>mNEXSPIKE</w:t>
      </w:r>
      <w:r>
        <w:t xml:space="preserve"> and those who received comparator vaccine.</w:t>
      </w:r>
    </w:p>
    <w:p w14:paraId="1F2DF75E" w14:textId="5356C6BF" w:rsidR="0005245F" w:rsidRPr="009C15B1" w:rsidRDefault="0005245F" w:rsidP="0005245F">
      <w:r w:rsidRPr="009C15B1">
        <w:t xml:space="preserve">The most commonly (≥10%) reported adverse reactions following administration </w:t>
      </w:r>
      <w:r w:rsidR="00170E15">
        <w:t>mNEXSPIKE</w:t>
      </w:r>
      <w:r w:rsidRPr="009C15B1">
        <w:t xml:space="preserve"> were injection site pain (68.5%), fatigue (50.4%), headache (44.2%), myalgia (38.2%), arthralgia (29.7%), chills (22.7%), axillary swelling or tenderness (19.7 %) and nausea/vomiting (12.1%).</w:t>
      </w:r>
    </w:p>
    <w:p w14:paraId="2BD90393" w14:textId="16E7A374" w:rsidR="0005245F" w:rsidRPr="001014A9" w:rsidRDefault="0005245F" w:rsidP="00FD48CC">
      <w:r w:rsidRPr="009C15B1">
        <w:t>Overall, there was a higher incidence of some adverse reactions in younger age groups: the incidence of adverse reactions was higher in individuals aged 12 to &lt; 65 years than in those aged 65 years and above.</w:t>
      </w:r>
    </w:p>
    <w:p w14:paraId="0EF3DF91" w14:textId="77777777" w:rsidR="0096590D" w:rsidRPr="009C15B1" w:rsidRDefault="0096590D" w:rsidP="008A686F">
      <w:pPr>
        <w:widowControl w:val="0"/>
        <w:spacing w:after="0" w:line="240" w:lineRule="auto"/>
        <w:rPr>
          <w:rFonts w:eastAsia="Calibri" w:cstheme="majorHAnsi"/>
          <w:color w:val="000000"/>
        </w:rPr>
      </w:pPr>
      <w:r w:rsidRPr="009C15B1">
        <w:rPr>
          <w:rFonts w:eastAsia="Calibri" w:cstheme="majorHAnsi"/>
          <w:color w:val="000000"/>
          <w:u w:val="single"/>
        </w:rPr>
        <w:t>Participants 12 years through 17 years of age:</w:t>
      </w:r>
      <w:r w:rsidRPr="009C15B1">
        <w:rPr>
          <w:rFonts w:eastAsia="Calibri" w:cstheme="majorHAnsi"/>
          <w:color w:val="000000"/>
        </w:rPr>
        <w:t xml:space="preserve"> pain at the injection site (68.8%), headache (54.5%), fatigue (47.3%), myalgia (39.2%), axillary swelling/tenderness (34.6%), chills (31.6%), arthralgia (23.9%), and nausea/vomiting (16.1%). </w:t>
      </w:r>
    </w:p>
    <w:p w14:paraId="3CD478A5" w14:textId="77777777" w:rsidR="0096590D" w:rsidRPr="009C15B1" w:rsidRDefault="0096590D" w:rsidP="008A686F">
      <w:pPr>
        <w:widowControl w:val="0"/>
        <w:spacing w:after="0" w:line="240" w:lineRule="auto"/>
        <w:ind w:left="720"/>
        <w:rPr>
          <w:rFonts w:eastAsia="Calibri" w:cstheme="majorHAnsi"/>
          <w:color w:val="000000"/>
        </w:rPr>
      </w:pPr>
    </w:p>
    <w:p w14:paraId="3E2529E8" w14:textId="77777777" w:rsidR="0096590D" w:rsidRPr="009C15B1" w:rsidRDefault="0096590D" w:rsidP="008A686F">
      <w:pPr>
        <w:widowControl w:val="0"/>
        <w:spacing w:after="0" w:line="240" w:lineRule="auto"/>
        <w:rPr>
          <w:rFonts w:eastAsia="Calibri" w:cstheme="majorHAnsi"/>
          <w:color w:val="000000"/>
        </w:rPr>
      </w:pPr>
      <w:r w:rsidRPr="009C15B1">
        <w:rPr>
          <w:rFonts w:eastAsia="Calibri" w:cstheme="majorHAnsi"/>
          <w:color w:val="000000"/>
          <w:u w:val="single"/>
        </w:rPr>
        <w:t>Participants 18 years through 64 years of age:</w:t>
      </w:r>
      <w:r w:rsidRPr="009C15B1">
        <w:rPr>
          <w:rFonts w:eastAsia="Calibri" w:cstheme="majorHAnsi"/>
          <w:color w:val="000000"/>
        </w:rPr>
        <w:t xml:space="preserve"> pain at the injection site (74.8%), fatigue (54.3%), headache (47.8%), myalgia (41.6%), arthralgia, (32.4%), chills (24.3%), axillary swelling/tenderness (21.7%), and nausea/vomiting (13.8%).</w:t>
      </w:r>
    </w:p>
    <w:p w14:paraId="32C58C90" w14:textId="77777777" w:rsidR="0096590D" w:rsidRPr="009C15B1" w:rsidRDefault="0096590D" w:rsidP="008A686F">
      <w:pPr>
        <w:widowControl w:val="0"/>
        <w:spacing w:after="0" w:line="240" w:lineRule="auto"/>
        <w:rPr>
          <w:rFonts w:eastAsia="Calibri" w:cstheme="majorHAnsi"/>
          <w:color w:val="000000"/>
        </w:rPr>
      </w:pPr>
    </w:p>
    <w:p w14:paraId="5FAE3DA3" w14:textId="77777777" w:rsidR="0096590D" w:rsidRPr="009C15B1" w:rsidRDefault="0096590D" w:rsidP="008A686F">
      <w:pPr>
        <w:widowControl w:val="0"/>
        <w:spacing w:after="0" w:line="240" w:lineRule="auto"/>
        <w:rPr>
          <w:rFonts w:eastAsia="Calibri" w:cstheme="majorHAnsi"/>
          <w:color w:val="000000"/>
        </w:rPr>
      </w:pPr>
      <w:r w:rsidRPr="009C15B1">
        <w:rPr>
          <w:rFonts w:eastAsia="Calibri" w:cstheme="majorHAnsi"/>
          <w:color w:val="000000"/>
          <w:u w:val="single"/>
        </w:rPr>
        <w:t>Participants 65 years of age and older:</w:t>
      </w:r>
      <w:r w:rsidRPr="009C15B1">
        <w:rPr>
          <w:rFonts w:eastAsia="Calibri" w:cstheme="majorHAnsi"/>
          <w:color w:val="000000"/>
        </w:rPr>
        <w:t xml:space="preserve"> pain at the injection site (54.6%), fatigue (43.0%), headache (33.1%), myalgia (30.5%), arthralgia, (25.6%), chills (16.5%), and axillary swelling/tenderness (10.7%).</w:t>
      </w:r>
    </w:p>
    <w:p w14:paraId="1A58F23F" w14:textId="77777777" w:rsidR="00A15E1E" w:rsidRDefault="00A15E1E" w:rsidP="00A15E1E">
      <w:pPr>
        <w:spacing w:line="240" w:lineRule="auto"/>
      </w:pPr>
    </w:p>
    <w:p w14:paraId="417AAD58" w14:textId="431377B6" w:rsidR="00A15E1E" w:rsidRDefault="00A15E1E" w:rsidP="008F3E5D">
      <w:pPr>
        <w:widowControl w:val="0"/>
        <w:spacing w:line="240" w:lineRule="auto"/>
      </w:pPr>
      <w:r>
        <w:t xml:space="preserve">Solicited local and systemic adverse reactions reported following vaccine administration had a median duration of 2 days for </w:t>
      </w:r>
      <w:r w:rsidR="00170E15">
        <w:t>mNEXSPIKE</w:t>
      </w:r>
      <w:r>
        <w:t xml:space="preserve"> and 2 to 3 days for comparator vaccine.</w:t>
      </w:r>
    </w:p>
    <w:p w14:paraId="69797F8A" w14:textId="64981DB8" w:rsidR="00FD48CC" w:rsidRPr="00B241FF" w:rsidRDefault="00FD48CC" w:rsidP="00DB5866">
      <w:pPr>
        <w:pStyle w:val="Heading3"/>
      </w:pPr>
      <w:r w:rsidRPr="009F56F0">
        <w:t>Tabulated list of adverse reactions</w:t>
      </w:r>
      <w:fldSimple w:instr=" DOCVARIABLE vault_nd_d629f354-2b11-45ee-9a0d-681c20ac3bc2 \* MERGEFORMAT ">
        <w:r w:rsidR="00C40E71">
          <w:t xml:space="preserve"> </w:t>
        </w:r>
      </w:fldSimple>
    </w:p>
    <w:p w14:paraId="3A012589" w14:textId="4ECEA74E" w:rsidR="00FD48CC" w:rsidRPr="00DB5866" w:rsidRDefault="00FD48CC" w:rsidP="00FD48CC">
      <w:pPr>
        <w:spacing w:line="240" w:lineRule="auto"/>
        <w:rPr>
          <w:rFonts w:cstheme="majorHAnsi"/>
        </w:rPr>
      </w:pPr>
      <w:r w:rsidRPr="00DB5866">
        <w:rPr>
          <w:rFonts w:cstheme="majorHAnsi"/>
        </w:rPr>
        <w:t xml:space="preserve">The safety profile </w:t>
      </w:r>
      <w:r w:rsidR="00C11605">
        <w:rPr>
          <w:rFonts w:cstheme="majorHAnsi"/>
        </w:rPr>
        <w:t xml:space="preserve">and the frequencies </w:t>
      </w:r>
      <w:r w:rsidR="006322A4">
        <w:rPr>
          <w:rFonts w:cstheme="majorHAnsi"/>
        </w:rPr>
        <w:t xml:space="preserve">of adverse reactions </w:t>
      </w:r>
      <w:r w:rsidRPr="00DB5866">
        <w:rPr>
          <w:rFonts w:cstheme="majorHAnsi"/>
        </w:rPr>
        <w:t xml:space="preserve">presented below </w:t>
      </w:r>
      <w:r w:rsidR="00626CE3">
        <w:rPr>
          <w:rFonts w:cstheme="majorHAnsi"/>
        </w:rPr>
        <w:t>are</w:t>
      </w:r>
      <w:r w:rsidRPr="00DB5866">
        <w:rPr>
          <w:rFonts w:cstheme="majorHAnsi"/>
        </w:rPr>
        <w:t xml:space="preserve"> based on data </w:t>
      </w:r>
      <w:r w:rsidR="006322A4">
        <w:rPr>
          <w:rFonts w:cstheme="majorHAnsi"/>
        </w:rPr>
        <w:t>of 5 706 individuals</w:t>
      </w:r>
      <w:r w:rsidR="00A77593">
        <w:rPr>
          <w:rFonts w:cstheme="majorHAnsi"/>
        </w:rPr>
        <w:t xml:space="preserve"> aged</w:t>
      </w:r>
      <w:r w:rsidR="00B2363C">
        <w:rPr>
          <w:rFonts w:cstheme="majorHAnsi"/>
        </w:rPr>
        <w:t xml:space="preserve"> </w:t>
      </w:r>
      <w:r w:rsidRPr="00DB5866">
        <w:rPr>
          <w:rFonts w:cstheme="majorHAnsi"/>
        </w:rPr>
        <w:t xml:space="preserve">12 years </w:t>
      </w:r>
      <w:r w:rsidR="00A77593">
        <w:rPr>
          <w:rFonts w:cstheme="majorHAnsi"/>
        </w:rPr>
        <w:t xml:space="preserve">and older </w:t>
      </w:r>
      <w:r w:rsidR="0042054D">
        <w:rPr>
          <w:rFonts w:cstheme="majorHAnsi"/>
        </w:rPr>
        <w:t xml:space="preserve">who received a single dose of </w:t>
      </w:r>
      <w:r w:rsidR="00170E15">
        <w:rPr>
          <w:rFonts w:cstheme="majorHAnsi"/>
        </w:rPr>
        <w:t>mNEXSPIKE</w:t>
      </w:r>
      <w:r w:rsidR="0042054D">
        <w:rPr>
          <w:rFonts w:cstheme="majorHAnsi"/>
        </w:rPr>
        <w:t xml:space="preserve"> in Study 1 (see section 5.1)</w:t>
      </w:r>
      <w:r w:rsidRPr="00DB5866">
        <w:rPr>
          <w:rFonts w:cstheme="majorHAnsi"/>
        </w:rPr>
        <w:t>.</w:t>
      </w:r>
    </w:p>
    <w:p w14:paraId="68E17C57" w14:textId="6FD45A4F" w:rsidR="00FD48CC" w:rsidRPr="00DB5866" w:rsidRDefault="00FD48CC" w:rsidP="00FD48CC">
      <w:pPr>
        <w:spacing w:line="240" w:lineRule="auto"/>
        <w:rPr>
          <w:rFonts w:cstheme="majorHAnsi"/>
        </w:rPr>
      </w:pPr>
      <w:r w:rsidRPr="00DB5866">
        <w:rPr>
          <w:rFonts w:cstheme="majorHAnsi"/>
        </w:rPr>
        <w:t>Adverse reactions reported are listed according to the following frequency convention: </w:t>
      </w:r>
    </w:p>
    <w:p w14:paraId="2D6C155C" w14:textId="77777777" w:rsidR="00FD48CC" w:rsidRPr="00DB5866" w:rsidRDefault="00FD48CC" w:rsidP="007740BA">
      <w:pPr>
        <w:pStyle w:val="NoSpacing"/>
        <w:rPr>
          <w:rFonts w:asciiTheme="majorHAnsi" w:hAnsiTheme="majorHAnsi" w:cstheme="majorHAnsi"/>
        </w:rPr>
      </w:pPr>
      <w:r w:rsidRPr="00DB5866">
        <w:rPr>
          <w:rFonts w:asciiTheme="majorHAnsi" w:hAnsiTheme="majorHAnsi" w:cstheme="majorHAnsi"/>
        </w:rPr>
        <w:t>Very common (≥1/10) </w:t>
      </w:r>
    </w:p>
    <w:p w14:paraId="267C38A6" w14:textId="77777777" w:rsidR="00FD48CC" w:rsidRPr="00DB5866" w:rsidRDefault="00FD48CC" w:rsidP="007740BA">
      <w:pPr>
        <w:pStyle w:val="NoSpacing"/>
        <w:rPr>
          <w:rFonts w:asciiTheme="majorHAnsi" w:hAnsiTheme="majorHAnsi" w:cstheme="majorHAnsi"/>
        </w:rPr>
      </w:pPr>
      <w:r w:rsidRPr="00DB5866">
        <w:rPr>
          <w:rFonts w:asciiTheme="majorHAnsi" w:hAnsiTheme="majorHAnsi" w:cstheme="majorHAnsi"/>
        </w:rPr>
        <w:t>Common (≥1/100 to &lt;1/10) </w:t>
      </w:r>
    </w:p>
    <w:p w14:paraId="06960410" w14:textId="77777777" w:rsidR="00FD48CC" w:rsidRPr="00DB5866" w:rsidRDefault="00FD48CC" w:rsidP="007740BA">
      <w:pPr>
        <w:pStyle w:val="NoSpacing"/>
        <w:rPr>
          <w:rFonts w:asciiTheme="majorHAnsi" w:hAnsiTheme="majorHAnsi" w:cstheme="majorHAnsi"/>
        </w:rPr>
      </w:pPr>
      <w:r w:rsidRPr="00DB5866">
        <w:rPr>
          <w:rFonts w:asciiTheme="majorHAnsi" w:hAnsiTheme="majorHAnsi" w:cstheme="majorHAnsi"/>
        </w:rPr>
        <w:t>Uncommon (≥1/1 000 to &lt;1/100) </w:t>
      </w:r>
    </w:p>
    <w:p w14:paraId="44267F6D" w14:textId="77777777" w:rsidR="00FD48CC" w:rsidRPr="00DB5866" w:rsidRDefault="00FD48CC" w:rsidP="007740BA">
      <w:pPr>
        <w:pStyle w:val="NoSpacing"/>
        <w:rPr>
          <w:rFonts w:asciiTheme="majorHAnsi" w:hAnsiTheme="majorHAnsi" w:cstheme="majorHAnsi"/>
        </w:rPr>
      </w:pPr>
      <w:r w:rsidRPr="00DB5866">
        <w:rPr>
          <w:rFonts w:asciiTheme="majorHAnsi" w:hAnsiTheme="majorHAnsi" w:cstheme="majorHAnsi"/>
        </w:rPr>
        <w:t>Rare (≥1/10 000 to &lt;1/1 000) </w:t>
      </w:r>
    </w:p>
    <w:p w14:paraId="13F3597C" w14:textId="77777777" w:rsidR="00FD48CC" w:rsidRPr="00DB5866" w:rsidRDefault="00FD48CC" w:rsidP="007740BA">
      <w:pPr>
        <w:pStyle w:val="NoSpacing"/>
        <w:rPr>
          <w:rFonts w:asciiTheme="majorHAnsi" w:hAnsiTheme="majorHAnsi" w:cstheme="majorHAnsi"/>
        </w:rPr>
      </w:pPr>
      <w:r w:rsidRPr="00DB5866">
        <w:rPr>
          <w:rFonts w:asciiTheme="majorHAnsi" w:hAnsiTheme="majorHAnsi" w:cstheme="majorHAnsi"/>
        </w:rPr>
        <w:t>Very rare (&lt;1/10 000) </w:t>
      </w:r>
    </w:p>
    <w:p w14:paraId="79BC9833" w14:textId="77777777" w:rsidR="00FD48CC" w:rsidRPr="00DB5866" w:rsidRDefault="00FD48CC" w:rsidP="007740BA">
      <w:pPr>
        <w:pStyle w:val="NoSpacing"/>
        <w:rPr>
          <w:rFonts w:asciiTheme="majorHAnsi" w:hAnsiTheme="majorHAnsi" w:cstheme="majorHAnsi"/>
        </w:rPr>
      </w:pPr>
      <w:r w:rsidRPr="00DB5866">
        <w:rPr>
          <w:rFonts w:asciiTheme="majorHAnsi" w:hAnsiTheme="majorHAnsi" w:cstheme="majorHAnsi"/>
        </w:rPr>
        <w:t>Not known (cannot be estimated from the available data)</w:t>
      </w:r>
    </w:p>
    <w:p w14:paraId="5327D888" w14:textId="77777777" w:rsidR="00FD48CC" w:rsidRPr="00DB5866" w:rsidRDefault="00FD48CC" w:rsidP="007740BA">
      <w:pPr>
        <w:pStyle w:val="NoSpacing"/>
        <w:rPr>
          <w:rFonts w:asciiTheme="majorHAnsi" w:hAnsiTheme="majorHAnsi" w:cstheme="majorHAnsi"/>
        </w:rPr>
      </w:pPr>
      <w:r w:rsidRPr="00DB5866">
        <w:rPr>
          <w:rFonts w:asciiTheme="majorHAnsi" w:hAnsiTheme="majorHAnsi" w:cstheme="majorHAnsi"/>
        </w:rPr>
        <w:t> </w:t>
      </w:r>
    </w:p>
    <w:p w14:paraId="3AAACAEC" w14:textId="5B8C3F52" w:rsidR="00FD48CC" w:rsidRPr="00DB5866" w:rsidRDefault="00FD48CC" w:rsidP="00FD48CC">
      <w:pPr>
        <w:spacing w:line="240" w:lineRule="auto"/>
        <w:rPr>
          <w:rFonts w:cstheme="majorHAnsi"/>
        </w:rPr>
      </w:pPr>
      <w:r w:rsidRPr="00DB5866">
        <w:rPr>
          <w:rFonts w:cstheme="majorHAnsi"/>
        </w:rPr>
        <w:t>Within each frequency grouping, adverse reactions are presented in order of decreasing frequency (Table </w:t>
      </w:r>
      <w:r w:rsidR="00005F11">
        <w:rPr>
          <w:rFonts w:cstheme="majorHAnsi"/>
        </w:rPr>
        <w:t>4</w:t>
      </w:r>
      <w:r w:rsidRPr="00DB5866">
        <w:rPr>
          <w:rFonts w:cstheme="majorHAnsi"/>
        </w:rPr>
        <w:t>). </w:t>
      </w:r>
    </w:p>
    <w:p w14:paraId="1AABF3E8" w14:textId="582D003A" w:rsidR="00FD48CC" w:rsidRDefault="00FD48CC" w:rsidP="0077496A">
      <w:pPr>
        <w:keepNext/>
        <w:keepLines/>
        <w:tabs>
          <w:tab w:val="left" w:pos="720"/>
        </w:tabs>
        <w:spacing w:line="240" w:lineRule="auto"/>
        <w:rPr>
          <w:rFonts w:asciiTheme="majorBidi" w:hAnsiTheme="majorBidi" w:cstheme="majorBidi"/>
        </w:rPr>
      </w:pPr>
      <w:r w:rsidRPr="009F56F0">
        <w:rPr>
          <w:b/>
          <w:bCs/>
        </w:rPr>
        <w:lastRenderedPageBreak/>
        <w:t>Table </w:t>
      </w:r>
      <w:r w:rsidR="00005F11">
        <w:rPr>
          <w:b/>
          <w:bCs/>
        </w:rPr>
        <w:t>4</w:t>
      </w:r>
      <w:r w:rsidRPr="009F56F0">
        <w:rPr>
          <w:b/>
          <w:bCs/>
        </w:rPr>
        <w:t>.</w:t>
      </w:r>
      <w:r w:rsidRPr="009F56F0">
        <w:t xml:space="preserve"> </w:t>
      </w:r>
      <w:r w:rsidRPr="009F56F0">
        <w:rPr>
          <w:b/>
          <w:bCs/>
        </w:rPr>
        <w:t xml:space="preserve">Adverse reactions from </w:t>
      </w:r>
      <w:r w:rsidR="00170E15">
        <w:rPr>
          <w:b/>
          <w:bCs/>
        </w:rPr>
        <w:t>mNEXSPIKE</w:t>
      </w:r>
      <w:r w:rsidRPr="009F56F0">
        <w:rPr>
          <w:b/>
          <w:bCs/>
        </w:rPr>
        <w:t xml:space="preserve"> clinical studies experience</w:t>
      </w:r>
      <w:r>
        <w:rPr>
          <w:b/>
          <w:bCs/>
        </w:rPr>
        <w:t xml:space="preserve"> in individuals 12 years of age and 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05"/>
        <w:gridCol w:w="1980"/>
        <w:gridCol w:w="3330"/>
      </w:tblGrid>
      <w:tr w:rsidR="00FD48CC" w:rsidRPr="009F56F0" w14:paraId="738BC2B5" w14:textId="77777777" w:rsidTr="006B7A8B">
        <w:trPr>
          <w:trHeight w:val="20"/>
          <w:tblHeader/>
        </w:trPr>
        <w:tc>
          <w:tcPr>
            <w:tcW w:w="3505" w:type="dxa"/>
            <w:tcBorders>
              <w:top w:val="single" w:sz="4" w:space="0" w:color="auto"/>
              <w:left w:val="single" w:sz="4" w:space="0" w:color="auto"/>
              <w:bottom w:val="single" w:sz="4" w:space="0" w:color="auto"/>
              <w:right w:val="single" w:sz="4" w:space="0" w:color="auto"/>
            </w:tcBorders>
            <w:hideMark/>
          </w:tcPr>
          <w:p w14:paraId="51B8D6BC" w14:textId="77777777" w:rsidR="00FD48CC" w:rsidRPr="009F56F0" w:rsidRDefault="00FD48CC" w:rsidP="0077496A">
            <w:pPr>
              <w:keepNext/>
              <w:keepLines/>
              <w:spacing w:line="240" w:lineRule="auto"/>
              <w:rPr>
                <w:b/>
                <w:bCs/>
                <w:lang w:eastAsia="en-GB"/>
              </w:rPr>
            </w:pPr>
            <w:r w:rsidRPr="009F56F0">
              <w:rPr>
                <w:b/>
                <w:bCs/>
                <w:lang w:eastAsia="en-GB"/>
              </w:rPr>
              <w:t>MedDRA system organ class</w:t>
            </w:r>
            <w:r w:rsidRPr="009F56F0">
              <w:rPr>
                <w:b/>
                <w:bCs/>
                <w:vertAlign w:val="superscript"/>
                <w:lang w:eastAsia="en-GB"/>
              </w:rPr>
              <w:t> </w:t>
            </w:r>
          </w:p>
        </w:tc>
        <w:tc>
          <w:tcPr>
            <w:tcW w:w="1980" w:type="dxa"/>
            <w:tcBorders>
              <w:top w:val="single" w:sz="4" w:space="0" w:color="auto"/>
              <w:left w:val="single" w:sz="4" w:space="0" w:color="auto"/>
              <w:bottom w:val="single" w:sz="4" w:space="0" w:color="auto"/>
              <w:right w:val="single" w:sz="4" w:space="0" w:color="auto"/>
            </w:tcBorders>
            <w:hideMark/>
          </w:tcPr>
          <w:p w14:paraId="3B12D7C5" w14:textId="77777777" w:rsidR="00FD48CC" w:rsidRPr="009F56F0" w:rsidRDefault="00FD48CC" w:rsidP="0077496A">
            <w:pPr>
              <w:keepNext/>
              <w:keepLines/>
              <w:spacing w:line="240" w:lineRule="auto"/>
              <w:rPr>
                <w:b/>
                <w:bCs/>
                <w:lang w:eastAsia="en-GB"/>
              </w:rPr>
            </w:pPr>
            <w:r w:rsidRPr="009F56F0">
              <w:rPr>
                <w:b/>
                <w:bCs/>
                <w:lang w:eastAsia="en-GB"/>
              </w:rPr>
              <w:t>Frequency </w:t>
            </w:r>
          </w:p>
        </w:tc>
        <w:tc>
          <w:tcPr>
            <w:tcW w:w="3330" w:type="dxa"/>
            <w:tcBorders>
              <w:top w:val="single" w:sz="4" w:space="0" w:color="auto"/>
              <w:left w:val="single" w:sz="4" w:space="0" w:color="auto"/>
              <w:bottom w:val="single" w:sz="4" w:space="0" w:color="auto"/>
              <w:right w:val="single" w:sz="4" w:space="0" w:color="auto"/>
            </w:tcBorders>
            <w:hideMark/>
          </w:tcPr>
          <w:p w14:paraId="5CEC6280" w14:textId="77777777" w:rsidR="00FD48CC" w:rsidRPr="009F56F0" w:rsidRDefault="00FD48CC" w:rsidP="0077496A">
            <w:pPr>
              <w:keepNext/>
              <w:keepLines/>
              <w:spacing w:line="240" w:lineRule="auto"/>
              <w:rPr>
                <w:b/>
                <w:bCs/>
                <w:lang w:eastAsia="en-GB"/>
              </w:rPr>
            </w:pPr>
            <w:r w:rsidRPr="009F56F0">
              <w:rPr>
                <w:b/>
                <w:bCs/>
                <w:lang w:eastAsia="en-GB"/>
              </w:rPr>
              <w:t>Adverse reactions</w:t>
            </w:r>
          </w:p>
        </w:tc>
      </w:tr>
      <w:tr w:rsidR="00FD48CC" w:rsidRPr="009F56F0" w14:paraId="4DFD1BE9" w14:textId="77777777" w:rsidTr="006B7A8B">
        <w:trPr>
          <w:trHeight w:val="20"/>
        </w:trPr>
        <w:tc>
          <w:tcPr>
            <w:tcW w:w="3505" w:type="dxa"/>
            <w:tcBorders>
              <w:top w:val="single" w:sz="4" w:space="0" w:color="auto"/>
              <w:left w:val="single" w:sz="4" w:space="0" w:color="auto"/>
              <w:bottom w:val="single" w:sz="4" w:space="0" w:color="auto"/>
              <w:right w:val="single" w:sz="4" w:space="0" w:color="auto"/>
            </w:tcBorders>
            <w:hideMark/>
          </w:tcPr>
          <w:p w14:paraId="53B97D68" w14:textId="77777777" w:rsidR="00FD48CC" w:rsidRPr="009F56F0" w:rsidRDefault="00FD48CC" w:rsidP="0077496A">
            <w:pPr>
              <w:keepNext/>
              <w:keepLines/>
              <w:spacing w:line="240" w:lineRule="auto"/>
              <w:rPr>
                <w:b/>
                <w:bCs/>
                <w:lang w:eastAsia="en-GB"/>
              </w:rPr>
            </w:pPr>
            <w:r w:rsidRPr="009F56F0">
              <w:rPr>
                <w:b/>
                <w:bCs/>
                <w:lang w:eastAsia="en-GB"/>
              </w:rPr>
              <w:t>Blood and lymphatic system disorders </w:t>
            </w:r>
          </w:p>
        </w:tc>
        <w:tc>
          <w:tcPr>
            <w:tcW w:w="1980" w:type="dxa"/>
            <w:tcBorders>
              <w:top w:val="single" w:sz="4" w:space="0" w:color="auto"/>
              <w:left w:val="single" w:sz="4" w:space="0" w:color="auto"/>
              <w:bottom w:val="single" w:sz="4" w:space="0" w:color="auto"/>
              <w:right w:val="single" w:sz="4" w:space="0" w:color="auto"/>
            </w:tcBorders>
          </w:tcPr>
          <w:p w14:paraId="0E0CEF1A" w14:textId="77777777" w:rsidR="00FD48CC" w:rsidRPr="009F56F0" w:rsidRDefault="00FD48CC" w:rsidP="0077496A">
            <w:pPr>
              <w:keepNext/>
              <w:keepLines/>
              <w:spacing w:line="240" w:lineRule="auto"/>
              <w:rPr>
                <w:lang w:eastAsia="en-GB"/>
              </w:rPr>
            </w:pPr>
            <w:r>
              <w:rPr>
                <w:lang w:eastAsia="en-GB"/>
              </w:rPr>
              <w:t>Very common</w:t>
            </w:r>
          </w:p>
        </w:tc>
        <w:tc>
          <w:tcPr>
            <w:tcW w:w="3330" w:type="dxa"/>
            <w:tcBorders>
              <w:top w:val="single" w:sz="4" w:space="0" w:color="auto"/>
              <w:left w:val="single" w:sz="4" w:space="0" w:color="auto"/>
              <w:bottom w:val="single" w:sz="4" w:space="0" w:color="auto"/>
              <w:right w:val="single" w:sz="4" w:space="0" w:color="auto"/>
            </w:tcBorders>
          </w:tcPr>
          <w:p w14:paraId="213D76A3" w14:textId="77777777" w:rsidR="00FD48CC" w:rsidRPr="009F56F0" w:rsidRDefault="00FD48CC" w:rsidP="0077496A">
            <w:pPr>
              <w:keepNext/>
              <w:keepLines/>
              <w:spacing w:line="240" w:lineRule="auto"/>
              <w:rPr>
                <w:lang w:eastAsia="en-GB"/>
              </w:rPr>
            </w:pPr>
            <w:r w:rsidRPr="00ED21FE">
              <w:rPr>
                <w:lang w:eastAsia="en-GB"/>
              </w:rPr>
              <w:t>Lymphadenopathy</w:t>
            </w:r>
            <w:r>
              <w:rPr>
                <w:lang w:eastAsia="en-GB"/>
              </w:rPr>
              <w:t xml:space="preserve">* </w:t>
            </w:r>
          </w:p>
        </w:tc>
      </w:tr>
      <w:tr w:rsidR="00FD48CC" w:rsidRPr="009F56F0" w14:paraId="7601A51C" w14:textId="77777777" w:rsidTr="006B7A8B">
        <w:trPr>
          <w:trHeight w:val="20"/>
        </w:trPr>
        <w:tc>
          <w:tcPr>
            <w:tcW w:w="3505" w:type="dxa"/>
            <w:tcBorders>
              <w:top w:val="single" w:sz="4" w:space="0" w:color="auto"/>
              <w:left w:val="single" w:sz="4" w:space="0" w:color="auto"/>
              <w:bottom w:val="single" w:sz="4" w:space="0" w:color="auto"/>
              <w:right w:val="single" w:sz="4" w:space="0" w:color="auto"/>
            </w:tcBorders>
            <w:hideMark/>
          </w:tcPr>
          <w:p w14:paraId="0224AB8A" w14:textId="77777777" w:rsidR="00FD48CC" w:rsidRPr="009F56F0" w:rsidRDefault="00FD48CC" w:rsidP="006B7A8B">
            <w:pPr>
              <w:spacing w:line="240" w:lineRule="auto"/>
              <w:rPr>
                <w:b/>
                <w:bCs/>
              </w:rPr>
            </w:pPr>
            <w:r w:rsidRPr="009F56F0">
              <w:rPr>
                <w:b/>
                <w:bCs/>
                <w:lang w:eastAsia="en-GB"/>
              </w:rPr>
              <w:t>Nervous system disorders </w:t>
            </w:r>
          </w:p>
        </w:tc>
        <w:tc>
          <w:tcPr>
            <w:tcW w:w="1980" w:type="dxa"/>
            <w:tcBorders>
              <w:top w:val="single" w:sz="4" w:space="0" w:color="auto"/>
              <w:left w:val="single" w:sz="4" w:space="0" w:color="auto"/>
              <w:bottom w:val="single" w:sz="4" w:space="0" w:color="auto"/>
              <w:right w:val="single" w:sz="4" w:space="0" w:color="auto"/>
            </w:tcBorders>
          </w:tcPr>
          <w:p w14:paraId="53D58434" w14:textId="77777777" w:rsidR="00FD48CC" w:rsidRPr="009F56F0" w:rsidRDefault="00FD48CC" w:rsidP="006B7A8B">
            <w:pPr>
              <w:spacing w:line="240" w:lineRule="auto"/>
              <w:rPr>
                <w:lang w:eastAsia="en-GB"/>
              </w:rPr>
            </w:pPr>
            <w:r>
              <w:rPr>
                <w:lang w:eastAsia="en-GB"/>
              </w:rPr>
              <w:t>Very common</w:t>
            </w:r>
          </w:p>
        </w:tc>
        <w:tc>
          <w:tcPr>
            <w:tcW w:w="3330" w:type="dxa"/>
            <w:tcBorders>
              <w:top w:val="single" w:sz="4" w:space="0" w:color="auto"/>
              <w:left w:val="single" w:sz="4" w:space="0" w:color="auto"/>
              <w:bottom w:val="single" w:sz="4" w:space="0" w:color="auto"/>
              <w:right w:val="single" w:sz="4" w:space="0" w:color="auto"/>
            </w:tcBorders>
          </w:tcPr>
          <w:p w14:paraId="413DAC23" w14:textId="77777777" w:rsidR="00FD48CC" w:rsidRPr="009F56F0" w:rsidRDefault="00FD48CC" w:rsidP="006B7A8B">
            <w:pPr>
              <w:spacing w:line="240" w:lineRule="auto"/>
              <w:rPr>
                <w:lang w:eastAsia="en-GB"/>
              </w:rPr>
            </w:pPr>
            <w:r w:rsidRPr="00ED21FE">
              <w:rPr>
                <w:lang w:eastAsia="en-GB"/>
              </w:rPr>
              <w:t>Headache</w:t>
            </w:r>
            <w:r>
              <w:rPr>
                <w:lang w:eastAsia="en-GB"/>
              </w:rPr>
              <w:t xml:space="preserve"> </w:t>
            </w:r>
          </w:p>
        </w:tc>
      </w:tr>
      <w:tr w:rsidR="00FD48CC" w:rsidRPr="009F56F0" w14:paraId="6A440F37" w14:textId="77777777" w:rsidTr="006B7A8B">
        <w:trPr>
          <w:trHeight w:val="20"/>
        </w:trPr>
        <w:tc>
          <w:tcPr>
            <w:tcW w:w="3505" w:type="dxa"/>
            <w:tcBorders>
              <w:top w:val="single" w:sz="4" w:space="0" w:color="auto"/>
              <w:left w:val="single" w:sz="4" w:space="0" w:color="auto"/>
              <w:bottom w:val="single" w:sz="4" w:space="0" w:color="auto"/>
              <w:right w:val="single" w:sz="4" w:space="0" w:color="auto"/>
            </w:tcBorders>
            <w:hideMark/>
          </w:tcPr>
          <w:p w14:paraId="382820AD" w14:textId="77777777" w:rsidR="00FD48CC" w:rsidRPr="009F56F0" w:rsidRDefault="00FD48CC" w:rsidP="006B7A8B">
            <w:pPr>
              <w:spacing w:line="240" w:lineRule="auto"/>
              <w:rPr>
                <w:b/>
                <w:bCs/>
                <w:lang w:eastAsia="en-GB"/>
              </w:rPr>
            </w:pPr>
            <w:r w:rsidRPr="009F56F0">
              <w:rPr>
                <w:b/>
                <w:bCs/>
                <w:lang w:eastAsia="en-GB"/>
              </w:rPr>
              <w:t>Gastrointestinal disorders </w:t>
            </w:r>
          </w:p>
        </w:tc>
        <w:tc>
          <w:tcPr>
            <w:tcW w:w="1980" w:type="dxa"/>
            <w:tcBorders>
              <w:top w:val="single" w:sz="4" w:space="0" w:color="auto"/>
              <w:left w:val="single" w:sz="4" w:space="0" w:color="auto"/>
              <w:bottom w:val="single" w:sz="4" w:space="0" w:color="auto"/>
              <w:right w:val="single" w:sz="4" w:space="0" w:color="auto"/>
            </w:tcBorders>
          </w:tcPr>
          <w:p w14:paraId="767A7046" w14:textId="77777777" w:rsidR="00FD48CC" w:rsidRPr="009F56F0" w:rsidRDefault="00FD48CC" w:rsidP="006B7A8B">
            <w:pPr>
              <w:spacing w:line="240" w:lineRule="auto"/>
              <w:rPr>
                <w:lang w:eastAsia="en-GB"/>
              </w:rPr>
            </w:pPr>
            <w:r>
              <w:rPr>
                <w:lang w:eastAsia="en-GB"/>
              </w:rPr>
              <w:t>Very common</w:t>
            </w:r>
          </w:p>
        </w:tc>
        <w:tc>
          <w:tcPr>
            <w:tcW w:w="3330" w:type="dxa"/>
            <w:tcBorders>
              <w:top w:val="single" w:sz="4" w:space="0" w:color="auto"/>
              <w:left w:val="single" w:sz="4" w:space="0" w:color="auto"/>
              <w:bottom w:val="single" w:sz="4" w:space="0" w:color="auto"/>
              <w:right w:val="single" w:sz="4" w:space="0" w:color="auto"/>
            </w:tcBorders>
          </w:tcPr>
          <w:p w14:paraId="52322F0E" w14:textId="77777777" w:rsidR="00FD48CC" w:rsidRPr="009F56F0" w:rsidRDefault="00FD48CC" w:rsidP="006B7A8B">
            <w:pPr>
              <w:spacing w:line="240" w:lineRule="auto"/>
              <w:rPr>
                <w:lang w:eastAsia="en-GB"/>
              </w:rPr>
            </w:pPr>
            <w:r w:rsidRPr="00ED21FE">
              <w:rPr>
                <w:lang w:eastAsia="en-GB"/>
              </w:rPr>
              <w:t>Nausea/vomiting</w:t>
            </w:r>
            <w:r>
              <w:rPr>
                <w:lang w:eastAsia="en-GB"/>
              </w:rPr>
              <w:t xml:space="preserve"> </w:t>
            </w:r>
          </w:p>
        </w:tc>
      </w:tr>
      <w:tr w:rsidR="00FD48CC" w:rsidRPr="009F56F0" w14:paraId="784DE5CF" w14:textId="77777777" w:rsidTr="006B7A8B">
        <w:trPr>
          <w:trHeight w:val="20"/>
        </w:trPr>
        <w:tc>
          <w:tcPr>
            <w:tcW w:w="3505" w:type="dxa"/>
            <w:tcBorders>
              <w:top w:val="single" w:sz="4" w:space="0" w:color="auto"/>
              <w:left w:val="single" w:sz="4" w:space="0" w:color="auto"/>
              <w:bottom w:val="single" w:sz="4" w:space="0" w:color="auto"/>
              <w:right w:val="single" w:sz="4" w:space="0" w:color="auto"/>
            </w:tcBorders>
          </w:tcPr>
          <w:p w14:paraId="500896BC" w14:textId="77777777" w:rsidR="00FD48CC" w:rsidRPr="009F56F0" w:rsidRDefault="00FD48CC" w:rsidP="006B7A8B">
            <w:pPr>
              <w:spacing w:line="240" w:lineRule="auto"/>
              <w:rPr>
                <w:b/>
                <w:bCs/>
                <w:lang w:eastAsia="en-GB"/>
              </w:rPr>
            </w:pPr>
            <w:r>
              <w:rPr>
                <w:b/>
                <w:bCs/>
                <w:lang w:eastAsia="en-GB"/>
              </w:rPr>
              <w:t>Skin and subcutaneous tissue disorders</w:t>
            </w:r>
          </w:p>
        </w:tc>
        <w:tc>
          <w:tcPr>
            <w:tcW w:w="1980" w:type="dxa"/>
            <w:tcBorders>
              <w:top w:val="single" w:sz="4" w:space="0" w:color="auto"/>
              <w:left w:val="single" w:sz="4" w:space="0" w:color="auto"/>
              <w:bottom w:val="single" w:sz="4" w:space="0" w:color="auto"/>
              <w:right w:val="single" w:sz="4" w:space="0" w:color="auto"/>
            </w:tcBorders>
          </w:tcPr>
          <w:p w14:paraId="748B7765" w14:textId="77777777" w:rsidR="00FD48CC" w:rsidRDefault="00FD48CC" w:rsidP="006B7A8B">
            <w:pPr>
              <w:spacing w:line="240" w:lineRule="auto"/>
              <w:rPr>
                <w:lang w:eastAsia="en-GB"/>
              </w:rPr>
            </w:pPr>
            <w:r>
              <w:rPr>
                <w:lang w:eastAsia="en-GB"/>
              </w:rPr>
              <w:t>Very rare</w:t>
            </w:r>
          </w:p>
        </w:tc>
        <w:tc>
          <w:tcPr>
            <w:tcW w:w="3330" w:type="dxa"/>
            <w:tcBorders>
              <w:top w:val="single" w:sz="4" w:space="0" w:color="auto"/>
              <w:left w:val="single" w:sz="4" w:space="0" w:color="auto"/>
              <w:bottom w:val="single" w:sz="4" w:space="0" w:color="auto"/>
              <w:right w:val="single" w:sz="4" w:space="0" w:color="auto"/>
            </w:tcBorders>
          </w:tcPr>
          <w:p w14:paraId="25705A60" w14:textId="77777777" w:rsidR="00FD48CC" w:rsidRDefault="00FD48CC" w:rsidP="006B7A8B">
            <w:pPr>
              <w:spacing w:line="240" w:lineRule="auto"/>
              <w:rPr>
                <w:lang w:eastAsia="en-GB"/>
              </w:rPr>
            </w:pPr>
            <w:r>
              <w:rPr>
                <w:lang w:eastAsia="en-GB"/>
              </w:rPr>
              <w:t>Rash</w:t>
            </w:r>
          </w:p>
          <w:p w14:paraId="6247D1F1" w14:textId="77777777" w:rsidR="00FD48CC" w:rsidRPr="00ED21FE" w:rsidRDefault="00FD48CC" w:rsidP="006B7A8B">
            <w:pPr>
              <w:spacing w:line="240" w:lineRule="auto"/>
              <w:rPr>
                <w:lang w:eastAsia="en-GB"/>
              </w:rPr>
            </w:pPr>
          </w:p>
        </w:tc>
      </w:tr>
      <w:tr w:rsidR="00FD48CC" w:rsidRPr="009F56F0" w14:paraId="3986663E" w14:textId="77777777" w:rsidTr="006B7A8B">
        <w:trPr>
          <w:trHeight w:val="20"/>
        </w:trPr>
        <w:tc>
          <w:tcPr>
            <w:tcW w:w="3505" w:type="dxa"/>
            <w:tcBorders>
              <w:top w:val="single" w:sz="4" w:space="0" w:color="auto"/>
              <w:left w:val="single" w:sz="4" w:space="0" w:color="auto"/>
              <w:bottom w:val="single" w:sz="4" w:space="0" w:color="auto"/>
              <w:right w:val="single" w:sz="4" w:space="0" w:color="auto"/>
            </w:tcBorders>
            <w:hideMark/>
          </w:tcPr>
          <w:p w14:paraId="5F763F8B" w14:textId="77777777" w:rsidR="00FD48CC" w:rsidRPr="009F56F0" w:rsidRDefault="00FD48CC" w:rsidP="006B7A8B">
            <w:pPr>
              <w:spacing w:line="240" w:lineRule="auto"/>
              <w:rPr>
                <w:b/>
                <w:bCs/>
              </w:rPr>
            </w:pPr>
            <w:r w:rsidRPr="009F56F0">
              <w:rPr>
                <w:b/>
                <w:bCs/>
                <w:lang w:eastAsia="en-GB"/>
              </w:rPr>
              <w:t>Musculoskeletal and connective tissue disorders </w:t>
            </w:r>
          </w:p>
        </w:tc>
        <w:tc>
          <w:tcPr>
            <w:tcW w:w="1980" w:type="dxa"/>
            <w:tcBorders>
              <w:top w:val="single" w:sz="4" w:space="0" w:color="auto"/>
              <w:left w:val="single" w:sz="4" w:space="0" w:color="auto"/>
              <w:bottom w:val="single" w:sz="4" w:space="0" w:color="auto"/>
              <w:right w:val="single" w:sz="4" w:space="0" w:color="auto"/>
            </w:tcBorders>
          </w:tcPr>
          <w:p w14:paraId="56708F63" w14:textId="77777777" w:rsidR="00FD48CC" w:rsidRPr="009F56F0" w:rsidRDefault="00FD48CC" w:rsidP="006B7A8B">
            <w:pPr>
              <w:spacing w:line="240" w:lineRule="auto"/>
              <w:rPr>
                <w:lang w:eastAsia="en-GB"/>
              </w:rPr>
            </w:pPr>
            <w:r>
              <w:rPr>
                <w:lang w:eastAsia="en-GB"/>
              </w:rPr>
              <w:t>Very common</w:t>
            </w:r>
          </w:p>
        </w:tc>
        <w:tc>
          <w:tcPr>
            <w:tcW w:w="3330" w:type="dxa"/>
            <w:tcBorders>
              <w:top w:val="single" w:sz="4" w:space="0" w:color="auto"/>
              <w:left w:val="single" w:sz="4" w:space="0" w:color="auto"/>
              <w:bottom w:val="single" w:sz="4" w:space="0" w:color="auto"/>
              <w:right w:val="single" w:sz="4" w:space="0" w:color="auto"/>
            </w:tcBorders>
          </w:tcPr>
          <w:p w14:paraId="7BA3AE76" w14:textId="77777777" w:rsidR="0091425D" w:rsidRDefault="00FD48CC" w:rsidP="006B7A8B">
            <w:pPr>
              <w:spacing w:line="240" w:lineRule="auto"/>
              <w:rPr>
                <w:lang w:eastAsia="en-GB"/>
              </w:rPr>
            </w:pPr>
            <w:r w:rsidRPr="00ED21FE">
              <w:rPr>
                <w:lang w:eastAsia="en-GB"/>
              </w:rPr>
              <w:t>Myalgia</w:t>
            </w:r>
            <w:r>
              <w:rPr>
                <w:lang w:eastAsia="en-GB"/>
              </w:rPr>
              <w:t xml:space="preserve"> </w:t>
            </w:r>
          </w:p>
          <w:p w14:paraId="3739A547" w14:textId="30EC7DD2" w:rsidR="00FD48CC" w:rsidRPr="009F56F0" w:rsidRDefault="00FD48CC" w:rsidP="006B7A8B">
            <w:pPr>
              <w:spacing w:line="240" w:lineRule="auto"/>
              <w:rPr>
                <w:lang w:eastAsia="en-GB"/>
              </w:rPr>
            </w:pPr>
            <w:r w:rsidRPr="00ED21FE">
              <w:rPr>
                <w:lang w:eastAsia="en-GB"/>
              </w:rPr>
              <w:t>Arthralgia</w:t>
            </w:r>
            <w:r>
              <w:rPr>
                <w:lang w:eastAsia="en-GB"/>
              </w:rPr>
              <w:t xml:space="preserve"> </w:t>
            </w:r>
          </w:p>
        </w:tc>
      </w:tr>
      <w:tr w:rsidR="00FD48CC" w:rsidRPr="009F56F0" w14:paraId="6DB47D59" w14:textId="77777777" w:rsidTr="006B7A8B">
        <w:trPr>
          <w:trHeight w:val="20"/>
        </w:trPr>
        <w:tc>
          <w:tcPr>
            <w:tcW w:w="3505" w:type="dxa"/>
            <w:vMerge w:val="restart"/>
            <w:tcBorders>
              <w:top w:val="single" w:sz="4" w:space="0" w:color="auto"/>
              <w:left w:val="single" w:sz="4" w:space="0" w:color="auto"/>
              <w:bottom w:val="single" w:sz="4" w:space="0" w:color="auto"/>
              <w:right w:val="single" w:sz="4" w:space="0" w:color="auto"/>
            </w:tcBorders>
            <w:hideMark/>
          </w:tcPr>
          <w:p w14:paraId="740D1D01" w14:textId="77777777" w:rsidR="00FD48CC" w:rsidRPr="009F56F0" w:rsidRDefault="00FD48CC" w:rsidP="006B7A8B">
            <w:pPr>
              <w:spacing w:line="240" w:lineRule="auto"/>
              <w:rPr>
                <w:b/>
                <w:bCs/>
                <w:lang w:eastAsia="en-GB"/>
              </w:rPr>
            </w:pPr>
            <w:r w:rsidRPr="009F56F0">
              <w:rPr>
                <w:b/>
                <w:bCs/>
                <w:lang w:eastAsia="en-GB"/>
              </w:rPr>
              <w:t>General disorders and administration site conditions </w:t>
            </w:r>
          </w:p>
        </w:tc>
        <w:tc>
          <w:tcPr>
            <w:tcW w:w="1980" w:type="dxa"/>
            <w:tcBorders>
              <w:top w:val="single" w:sz="4" w:space="0" w:color="auto"/>
              <w:left w:val="single" w:sz="4" w:space="0" w:color="auto"/>
              <w:bottom w:val="single" w:sz="4" w:space="0" w:color="auto"/>
              <w:right w:val="single" w:sz="4" w:space="0" w:color="auto"/>
            </w:tcBorders>
          </w:tcPr>
          <w:p w14:paraId="361EB051" w14:textId="77777777" w:rsidR="00FD48CC" w:rsidRPr="009F56F0" w:rsidRDefault="00FD48CC" w:rsidP="006B7A8B">
            <w:pPr>
              <w:spacing w:line="240" w:lineRule="auto"/>
              <w:rPr>
                <w:lang w:eastAsia="en-GB"/>
              </w:rPr>
            </w:pPr>
            <w:r>
              <w:rPr>
                <w:lang w:eastAsia="en-GB"/>
              </w:rPr>
              <w:t>Very common</w:t>
            </w:r>
          </w:p>
        </w:tc>
        <w:tc>
          <w:tcPr>
            <w:tcW w:w="3330" w:type="dxa"/>
            <w:tcBorders>
              <w:top w:val="single" w:sz="4" w:space="0" w:color="auto"/>
              <w:left w:val="single" w:sz="4" w:space="0" w:color="auto"/>
              <w:bottom w:val="single" w:sz="4" w:space="0" w:color="auto"/>
              <w:right w:val="single" w:sz="4" w:space="0" w:color="auto"/>
            </w:tcBorders>
          </w:tcPr>
          <w:p w14:paraId="525EDE21" w14:textId="77777777" w:rsidR="00FD48CC" w:rsidRDefault="00FD48CC" w:rsidP="006B7A8B">
            <w:pPr>
              <w:spacing w:line="240" w:lineRule="auto"/>
              <w:rPr>
                <w:lang w:eastAsia="en-GB"/>
              </w:rPr>
            </w:pPr>
            <w:r w:rsidRPr="00ED21FE">
              <w:rPr>
                <w:lang w:eastAsia="en-GB"/>
              </w:rPr>
              <w:t>Injection site pain</w:t>
            </w:r>
            <w:r>
              <w:rPr>
                <w:lang w:eastAsia="en-GB"/>
              </w:rPr>
              <w:t xml:space="preserve"> </w:t>
            </w:r>
          </w:p>
          <w:p w14:paraId="71627673" w14:textId="77777777" w:rsidR="00E82EB2" w:rsidRDefault="00FD48CC" w:rsidP="006B7A8B">
            <w:pPr>
              <w:spacing w:line="240" w:lineRule="auto"/>
              <w:rPr>
                <w:lang w:eastAsia="en-GB"/>
              </w:rPr>
            </w:pPr>
            <w:r w:rsidRPr="00ED21FE">
              <w:rPr>
                <w:lang w:eastAsia="en-GB"/>
              </w:rPr>
              <w:t>Fatigue</w:t>
            </w:r>
            <w:r>
              <w:rPr>
                <w:lang w:eastAsia="en-GB"/>
              </w:rPr>
              <w:t xml:space="preserve"> </w:t>
            </w:r>
          </w:p>
          <w:p w14:paraId="1C7C7580" w14:textId="0B5C5CD8" w:rsidR="00FD48CC" w:rsidRPr="009F56F0" w:rsidRDefault="00FD48CC" w:rsidP="006B7A8B">
            <w:pPr>
              <w:spacing w:line="240" w:lineRule="auto"/>
              <w:rPr>
                <w:lang w:eastAsia="en-GB"/>
              </w:rPr>
            </w:pPr>
            <w:r w:rsidRPr="00ED21FE">
              <w:rPr>
                <w:lang w:eastAsia="en-GB"/>
              </w:rPr>
              <w:t>Chills</w:t>
            </w:r>
            <w:r>
              <w:rPr>
                <w:lang w:eastAsia="en-GB"/>
              </w:rPr>
              <w:t xml:space="preserve"> </w:t>
            </w:r>
          </w:p>
        </w:tc>
      </w:tr>
      <w:tr w:rsidR="00FD48CC" w:rsidRPr="009F56F0" w14:paraId="392BD963" w14:textId="77777777" w:rsidTr="006B7A8B">
        <w:trPr>
          <w:trHeight w:val="20"/>
        </w:trPr>
        <w:tc>
          <w:tcPr>
            <w:tcW w:w="3505" w:type="dxa"/>
            <w:vMerge/>
            <w:tcBorders>
              <w:top w:val="single" w:sz="4" w:space="0" w:color="auto"/>
              <w:left w:val="single" w:sz="4" w:space="0" w:color="auto"/>
              <w:bottom w:val="single" w:sz="4" w:space="0" w:color="auto"/>
              <w:right w:val="single" w:sz="4" w:space="0" w:color="auto"/>
            </w:tcBorders>
            <w:vAlign w:val="center"/>
            <w:hideMark/>
          </w:tcPr>
          <w:p w14:paraId="4039B4F8" w14:textId="77777777" w:rsidR="00FD48CC" w:rsidRPr="009F56F0" w:rsidRDefault="00FD48CC" w:rsidP="006B7A8B">
            <w:pPr>
              <w:spacing w:line="240" w:lineRule="auto"/>
              <w:rPr>
                <w:b/>
                <w:bCs/>
                <w:lang w:eastAsia="en-GB"/>
              </w:rPr>
            </w:pPr>
          </w:p>
        </w:tc>
        <w:tc>
          <w:tcPr>
            <w:tcW w:w="1980" w:type="dxa"/>
            <w:tcBorders>
              <w:top w:val="single" w:sz="4" w:space="0" w:color="auto"/>
              <w:left w:val="single" w:sz="4" w:space="0" w:color="auto"/>
              <w:bottom w:val="single" w:sz="4" w:space="0" w:color="auto"/>
              <w:right w:val="single" w:sz="4" w:space="0" w:color="auto"/>
            </w:tcBorders>
          </w:tcPr>
          <w:p w14:paraId="00E06ED5" w14:textId="77777777" w:rsidR="00FD48CC" w:rsidRPr="009F56F0" w:rsidRDefault="00FD48CC" w:rsidP="006B7A8B">
            <w:pPr>
              <w:spacing w:line="240" w:lineRule="auto"/>
              <w:rPr>
                <w:lang w:eastAsia="en-GB"/>
              </w:rPr>
            </w:pPr>
            <w:r>
              <w:rPr>
                <w:lang w:eastAsia="en-GB"/>
              </w:rPr>
              <w:t>Common</w:t>
            </w:r>
          </w:p>
        </w:tc>
        <w:tc>
          <w:tcPr>
            <w:tcW w:w="3330" w:type="dxa"/>
            <w:tcBorders>
              <w:top w:val="single" w:sz="4" w:space="0" w:color="auto"/>
              <w:left w:val="single" w:sz="4" w:space="0" w:color="auto"/>
              <w:bottom w:val="single" w:sz="4" w:space="0" w:color="auto"/>
              <w:right w:val="single" w:sz="4" w:space="0" w:color="auto"/>
            </w:tcBorders>
          </w:tcPr>
          <w:p w14:paraId="3D088199" w14:textId="77777777" w:rsidR="00FD48CC" w:rsidRDefault="00FD48CC" w:rsidP="006B7A8B">
            <w:pPr>
              <w:spacing w:line="240" w:lineRule="auto"/>
            </w:pPr>
            <w:r w:rsidRPr="00ED21FE">
              <w:t>Pyrexia</w:t>
            </w:r>
            <w:r>
              <w:t xml:space="preserve"> </w:t>
            </w:r>
          </w:p>
          <w:p w14:paraId="12F8940D" w14:textId="77777777" w:rsidR="00795E9F" w:rsidRDefault="00FD48CC" w:rsidP="006B7A8B">
            <w:pPr>
              <w:spacing w:line="240" w:lineRule="auto"/>
            </w:pPr>
            <w:r w:rsidRPr="00ED21FE">
              <w:t>Injection site swelling</w:t>
            </w:r>
            <w:r>
              <w:t xml:space="preserve"> </w:t>
            </w:r>
          </w:p>
          <w:p w14:paraId="0A60A879" w14:textId="03CAB7C4" w:rsidR="00FD48CC" w:rsidRPr="009F56F0" w:rsidRDefault="00FD48CC" w:rsidP="006B7A8B">
            <w:pPr>
              <w:spacing w:line="240" w:lineRule="auto"/>
            </w:pPr>
            <w:r w:rsidRPr="00ED21FE">
              <w:t>Injection site erythema</w:t>
            </w:r>
            <w:r>
              <w:t xml:space="preserve"> </w:t>
            </w:r>
          </w:p>
        </w:tc>
      </w:tr>
    </w:tbl>
    <w:p w14:paraId="586757EF" w14:textId="370445C3" w:rsidR="0027085B" w:rsidRPr="002C79A3" w:rsidRDefault="00FD48CC" w:rsidP="002C79A3">
      <w:pPr>
        <w:pStyle w:val="BodyText"/>
        <w:rPr>
          <w:i/>
          <w:iCs/>
          <w:sz w:val="24"/>
        </w:rPr>
      </w:pPr>
      <w:r w:rsidRPr="002961D6">
        <w:rPr>
          <w:iCs/>
        </w:rPr>
        <w:t>*Lymphadenopathy was captured as axillary lymphadenopathy on the same side as the injection site. Other lymph nodes (e.g., cervical, supraclavicular) were affected in some cases.</w:t>
      </w:r>
    </w:p>
    <w:p w14:paraId="446C3470" w14:textId="2E219023" w:rsidR="00256CCE" w:rsidRDefault="00170E15" w:rsidP="00256CCE">
      <w:pPr>
        <w:autoSpaceDE w:val="0"/>
        <w:autoSpaceDN w:val="0"/>
        <w:adjustRightInd w:val="0"/>
        <w:spacing w:line="240" w:lineRule="auto"/>
        <w:jc w:val="both"/>
        <w:rPr>
          <w:rFonts w:ascii="Times New Roman" w:hAnsi="Times New Roman"/>
        </w:rPr>
      </w:pPr>
      <w:proofErr w:type="spellStart"/>
      <w:r>
        <w:t>mNEXSPIKE</w:t>
      </w:r>
      <w:r w:rsidR="00256CCE" w:rsidRPr="009C15B1">
        <w:t>’s</w:t>
      </w:r>
      <w:proofErr w:type="spellEnd"/>
      <w:r w:rsidR="00256CCE" w:rsidRPr="009C15B1">
        <w:t xml:space="preserve"> safety and reactogenicity profile was consistent with the known safety profile of the comparator vaccine. In the overall study population, the incidence of any solicited adverse reactions was lower for the </w:t>
      </w:r>
      <w:r>
        <w:t>mNEXSPIKE</w:t>
      </w:r>
      <w:r w:rsidR="00256CCE" w:rsidRPr="009C15B1">
        <w:t xml:space="preserve"> group compared to the comparator group within 7 days after vaccination. Solicited local and systemic adverse reactions reported following vaccine administration had a median duration of 2 days for </w:t>
      </w:r>
      <w:r>
        <w:t>mNEXSPIKE</w:t>
      </w:r>
      <w:r w:rsidR="00256CCE" w:rsidRPr="009C15B1">
        <w:t xml:space="preserve"> and 2 to 3 days for the comparator vaccine. Local reactions trended lower</w:t>
      </w:r>
      <w:proofErr w:type="gramStart"/>
      <w:r w:rsidR="00256CCE" w:rsidRPr="009C15B1">
        <w:t>, systemic</w:t>
      </w:r>
      <w:proofErr w:type="gramEnd"/>
      <w:r w:rsidR="00256CCE" w:rsidRPr="009C15B1">
        <w:t xml:space="preserve"> reactions were similar.</w:t>
      </w:r>
    </w:p>
    <w:p w14:paraId="723B497C" w14:textId="15B43413" w:rsidR="00222714" w:rsidRPr="009C15B1" w:rsidRDefault="00222714" w:rsidP="00222714">
      <w:pPr>
        <w:pStyle w:val="Heading3"/>
      </w:pPr>
      <w:r w:rsidRPr="009C15B1">
        <w:t>Reporting suspected adverse effects</w:t>
      </w:r>
      <w:fldSimple w:instr=" DOCVARIABLE vault_nd_1cf164a1-754e-4fb2-9d3d-54e3d4815494 \* MERGEFORMAT ">
        <w:r w:rsidRPr="009C15B1">
          <w:t xml:space="preserve"> </w:t>
        </w:r>
      </w:fldSimple>
    </w:p>
    <w:p w14:paraId="1A5269A1" w14:textId="392B741C" w:rsidR="00B12F38" w:rsidRDefault="00222714" w:rsidP="00B141E6">
      <w:pPr>
        <w:rPr>
          <w:rFonts w:cstheme="minorHAnsi"/>
          <w:lang w:val="en"/>
        </w:rPr>
      </w:pPr>
      <w:r w:rsidRPr="009C15B1">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9C15B1">
          <w:rPr>
            <w:rStyle w:val="Hyperlink"/>
            <w:rFonts w:cstheme="minorHAnsi"/>
            <w:lang w:val="en"/>
          </w:rPr>
          <w:t>www.tga.gov.au/reporting-problems</w:t>
        </w:r>
      </w:hyperlink>
      <w:r w:rsidRPr="009C15B1">
        <w:rPr>
          <w:rFonts w:cstheme="minorHAnsi"/>
          <w:lang w:val="en"/>
        </w:rPr>
        <w:t>.</w:t>
      </w:r>
    </w:p>
    <w:p w14:paraId="267C2974" w14:textId="20210DE9" w:rsidR="0004042D" w:rsidRPr="009E06BF" w:rsidRDefault="002A2842" w:rsidP="00B40C3C">
      <w:pPr>
        <w:pStyle w:val="Heading2"/>
      </w:pPr>
      <w:r w:rsidRPr="009E06BF">
        <w:t>4.9 OVERDOSE</w:t>
      </w:r>
      <w:fldSimple w:instr=" DOCVARIABLE VAULT_ND_673fc3c4-0e61-4873-99cd-0a1c750a4ada \* MERGEFORMAT ">
        <w:r w:rsidR="00C40E71">
          <w:t xml:space="preserve"> </w:t>
        </w:r>
      </w:fldSimple>
    </w:p>
    <w:p w14:paraId="25DB0D5F" w14:textId="77777777" w:rsidR="00E148FE" w:rsidRDefault="00E148FE" w:rsidP="00B12F38">
      <w:pPr>
        <w:pStyle w:val="NoSpacing"/>
      </w:pPr>
    </w:p>
    <w:p w14:paraId="086B795C" w14:textId="77777777" w:rsidR="003352AC" w:rsidRPr="009F56F0" w:rsidRDefault="003352AC" w:rsidP="003352AC">
      <w:pPr>
        <w:tabs>
          <w:tab w:val="left" w:pos="720"/>
        </w:tabs>
        <w:autoSpaceDE w:val="0"/>
        <w:autoSpaceDN w:val="0"/>
        <w:adjustRightInd w:val="0"/>
        <w:spacing w:line="240" w:lineRule="auto"/>
        <w:rPr>
          <w:rFonts w:eastAsia="SimSun"/>
          <w:color w:val="000000"/>
          <w:lang w:eastAsia="en-GB"/>
        </w:rPr>
      </w:pPr>
      <w:bookmarkStart w:id="17" w:name="OLE_LINK20"/>
      <w:r w:rsidRPr="009F56F0">
        <w:rPr>
          <w:rFonts w:eastAsia="SimSun"/>
          <w:color w:val="000000"/>
          <w:lang w:eastAsia="en-GB"/>
        </w:rPr>
        <w:t>In the event of overdose, monitoring of vital functions and possible symptomatic treatment is recommended.</w:t>
      </w:r>
    </w:p>
    <w:bookmarkEnd w:id="17"/>
    <w:p w14:paraId="0199E825" w14:textId="50194B9E" w:rsidR="003352AC" w:rsidRPr="007B7DBA" w:rsidRDefault="007B7DBA">
      <w:pPr>
        <w:rPr>
          <w:rFonts w:cstheme="minorHAnsi"/>
          <w:lang w:val="en"/>
        </w:rPr>
      </w:pPr>
      <w:r w:rsidRPr="009C15B1">
        <w:rPr>
          <w:rFonts w:cstheme="minorHAnsi"/>
          <w:lang w:val="en"/>
        </w:rPr>
        <w:t>For information on the management of overdose, contact the Poisons Information Centre on 13 11 26 (Australia).</w:t>
      </w:r>
    </w:p>
    <w:p w14:paraId="378B9146" w14:textId="10BD543D" w:rsidR="0004042D" w:rsidRPr="009E06BF" w:rsidRDefault="002A2842" w:rsidP="00B12F38">
      <w:pPr>
        <w:pStyle w:val="Heading1"/>
        <w:rPr>
          <w:rFonts w:cstheme="majorHAnsi"/>
        </w:rPr>
      </w:pPr>
      <w:r w:rsidRPr="009E06BF">
        <w:rPr>
          <w:rFonts w:cstheme="majorHAnsi"/>
        </w:rPr>
        <w:lastRenderedPageBreak/>
        <w:t>5. PHARMACOLOGICAL PROPERTIES</w:t>
      </w:r>
      <w:r w:rsidR="00C40E71">
        <w:rPr>
          <w:rFonts w:cstheme="majorHAnsi"/>
        </w:rPr>
        <w:fldChar w:fldCharType="begin"/>
      </w:r>
      <w:r w:rsidR="00C40E71">
        <w:rPr>
          <w:rFonts w:cstheme="majorHAnsi"/>
        </w:rPr>
        <w:instrText xml:space="preserve"> DOCVARIABLE VAULT_ND_4639ef99-e16f-49f0-85e9-5df3c4d68752 \* MERGEFORMAT </w:instrText>
      </w:r>
      <w:r w:rsidR="00C40E71">
        <w:rPr>
          <w:rFonts w:cstheme="majorHAnsi"/>
        </w:rPr>
        <w:fldChar w:fldCharType="separate"/>
      </w:r>
      <w:r w:rsidR="00C40E71">
        <w:rPr>
          <w:rFonts w:cstheme="majorHAnsi"/>
        </w:rPr>
        <w:t xml:space="preserve"> </w:t>
      </w:r>
      <w:r w:rsidR="00C40E71">
        <w:rPr>
          <w:rFonts w:cstheme="majorHAnsi"/>
        </w:rPr>
        <w:fldChar w:fldCharType="end"/>
      </w:r>
    </w:p>
    <w:p w14:paraId="0050EDF2" w14:textId="4700257C" w:rsidR="0004042D" w:rsidRPr="009E06BF" w:rsidRDefault="002A2842" w:rsidP="00B40C3C">
      <w:pPr>
        <w:pStyle w:val="Heading2"/>
      </w:pPr>
      <w:r w:rsidRPr="009E06BF">
        <w:t>5.1 PHARMACODYNAMIC PROPERTIES</w:t>
      </w:r>
      <w:fldSimple w:instr=" DOCVARIABLE VAULT_ND_7b0b6f1c-aa90-4d99-a5ca-a56e11f88187 \* MERGEFORMAT ">
        <w:r w:rsidR="00C40E71">
          <w:t xml:space="preserve"> </w:t>
        </w:r>
      </w:fldSimple>
    </w:p>
    <w:p w14:paraId="0E31E375" w14:textId="77777777" w:rsidR="00B12F38" w:rsidRDefault="00B12F38" w:rsidP="00B12F38">
      <w:pPr>
        <w:pStyle w:val="NoSpacing"/>
      </w:pPr>
    </w:p>
    <w:p w14:paraId="3159A7F1" w14:textId="63655559" w:rsidR="00F3669C" w:rsidRPr="00F05B66" w:rsidRDefault="00F3669C" w:rsidP="00B12F38">
      <w:pPr>
        <w:rPr>
          <w:noProof/>
        </w:rPr>
      </w:pPr>
      <w:r w:rsidRPr="006B4557">
        <w:t xml:space="preserve">Pharmacotherapeutic group: </w:t>
      </w:r>
      <w:r>
        <w:rPr>
          <w:bCs/>
          <w:noProof/>
        </w:rPr>
        <w:t>Vaccines</w:t>
      </w:r>
      <w:r w:rsidRPr="007B42D3">
        <w:rPr>
          <w:noProof/>
        </w:rPr>
        <w:t>,</w:t>
      </w:r>
      <w:r>
        <w:rPr>
          <w:noProof/>
        </w:rPr>
        <w:t xml:space="preserve"> COVID-19 vaccines,</w:t>
      </w:r>
      <w:r w:rsidRPr="007B42D3">
        <w:rPr>
          <w:noProof/>
        </w:rPr>
        <w:t xml:space="preserve"> ATC code:</w:t>
      </w:r>
      <w:r w:rsidR="00253B91" w:rsidRPr="00253B91" w:rsidDel="00253B91">
        <w:t xml:space="preserve"> </w:t>
      </w:r>
      <w:r w:rsidRPr="001702DD">
        <w:rPr>
          <w:noProof/>
        </w:rPr>
        <w:t>J07BN01</w:t>
      </w:r>
    </w:p>
    <w:p w14:paraId="48922FC2" w14:textId="10B5C003" w:rsidR="00F3669C" w:rsidRDefault="00F3669C" w:rsidP="003D2750">
      <w:pPr>
        <w:pStyle w:val="Heading3"/>
      </w:pPr>
      <w:r w:rsidRPr="00B3208E">
        <w:t>Mechanism of action</w:t>
      </w:r>
      <w:fldSimple w:instr=" DOCVARIABLE vault_nd_e5a8327c-1631-4982-bf83-90d35875ae1d \* MERGEFORMAT ">
        <w:r w:rsidR="00C40E71">
          <w:t xml:space="preserve"> </w:t>
        </w:r>
      </w:fldSimple>
    </w:p>
    <w:p w14:paraId="2B3F0FF4" w14:textId="1064BBF5" w:rsidR="00F3669C" w:rsidRPr="00727B0D" w:rsidRDefault="00F3669C" w:rsidP="00F3669C">
      <w:pPr>
        <w:autoSpaceDE w:val="0"/>
        <w:autoSpaceDN w:val="0"/>
        <w:adjustRightInd w:val="0"/>
        <w:spacing w:line="240" w:lineRule="auto"/>
      </w:pPr>
      <w:r w:rsidRPr="003D2750">
        <w:t xml:space="preserve">The nucleoside-modified mRNA in </w:t>
      </w:r>
      <w:r w:rsidR="00170E15">
        <w:t>mNEXSPIKE XBB.1.5</w:t>
      </w:r>
      <w:r w:rsidRPr="003D2750">
        <w:t xml:space="preserve"> is formulated in lipid particles, which encodes the membrane-bound, linked N-terminal domain (NTD) and receptor-binding domain (RBD) of the spike (S) glycoprotein from SARS-CoV-2 strains, which are known to be the immuno-dominant epitopes for protective immune responses. The vaccine elicits an immune response to the NTD and RBD of the S antigen, which </w:t>
      </w:r>
      <w:r w:rsidR="004948A3">
        <w:t>may contribute to protection</w:t>
      </w:r>
      <w:r w:rsidR="004948A3" w:rsidRPr="003D2750">
        <w:t xml:space="preserve"> </w:t>
      </w:r>
      <w:r w:rsidRPr="003D2750">
        <w:t>against COVID-19</w:t>
      </w:r>
      <w:r w:rsidRPr="00727B0D">
        <w:t xml:space="preserve">. </w:t>
      </w:r>
    </w:p>
    <w:p w14:paraId="7DD00D31" w14:textId="09D6B744" w:rsidR="00F3669C" w:rsidRDefault="00D051E1" w:rsidP="003B0C0C">
      <w:pPr>
        <w:pStyle w:val="Heading3"/>
      </w:pPr>
      <w:r>
        <w:t>Clinical Trials</w:t>
      </w:r>
      <w:fldSimple w:instr=" DOCVARIABLE vault_nd_1aa42255-39fd-496d-ba7b-3e22eedcd8dd \* MERGEFORMAT ">
        <w:r w:rsidR="00C40E71">
          <w:t xml:space="preserve"> </w:t>
        </w:r>
      </w:fldSimple>
    </w:p>
    <w:p w14:paraId="0D2C9AEA" w14:textId="081B9CE2" w:rsidR="00424F3E" w:rsidRDefault="00424F3E" w:rsidP="003B0C0C">
      <w:pPr>
        <w:pStyle w:val="Heading4"/>
      </w:pPr>
      <w:r w:rsidRPr="00A74B35">
        <w:rPr>
          <w:i/>
        </w:rPr>
        <w:t>Study 1: Evaluated efficacy and immunogenicity of single-dose mNEXSPIKE (Bivalent Original and Omicron BA.4/BA.5)</w:t>
      </w:r>
      <w:r w:rsidR="0013763A" w:rsidRPr="00E45D11">
        <w:rPr>
          <w:i/>
        </w:rPr>
        <w:fldChar w:fldCharType="begin"/>
      </w:r>
      <w:r w:rsidR="0013763A" w:rsidRPr="00E45D11">
        <w:rPr>
          <w:i/>
        </w:rPr>
        <w:instrText xml:space="preserve"> DOCVARIABLE vault_nd_9652c852-01f9-47c0-8bf1-9a1555878ae0 \* MERGEFORMAT </w:instrText>
      </w:r>
      <w:r w:rsidR="0013763A" w:rsidRPr="00E45D11">
        <w:rPr>
          <w:i/>
        </w:rPr>
        <w:fldChar w:fldCharType="separate"/>
      </w:r>
      <w:r w:rsidR="0013763A" w:rsidRPr="00E45D11">
        <w:rPr>
          <w:i/>
        </w:rPr>
        <w:t xml:space="preserve"> </w:t>
      </w:r>
      <w:r w:rsidR="0013763A" w:rsidRPr="00E45D11">
        <w:rPr>
          <w:i/>
        </w:rPr>
        <w:fldChar w:fldCharType="end"/>
      </w:r>
    </w:p>
    <w:p w14:paraId="0CE9E2B0" w14:textId="501D3FFD" w:rsidR="00F3669C" w:rsidRDefault="00F3669C" w:rsidP="003B0C0C">
      <w:pPr>
        <w:pStyle w:val="Heading4"/>
      </w:pPr>
      <w:r w:rsidRPr="00512A4D">
        <w:t>Study 1</w:t>
      </w:r>
      <w:fldSimple w:instr=" DOCVARIABLE vault_nd_d0960612-466f-4cca-9f6e-d01df03c3d0e \* MERGEFORMAT ">
        <w:r w:rsidR="00C40E71">
          <w:t xml:space="preserve"> </w:t>
        </w:r>
      </w:fldSimple>
    </w:p>
    <w:p w14:paraId="3312E7E1" w14:textId="760A7A4F" w:rsidR="00F3669C" w:rsidRDefault="00F3669C" w:rsidP="00F3669C">
      <w:pPr>
        <w:widowControl w:val="0"/>
        <w:spacing w:line="240" w:lineRule="auto"/>
        <w:rPr>
          <w:rFonts w:cs="Arial"/>
        </w:rPr>
      </w:pPr>
      <w:r>
        <w:rPr>
          <w:rFonts w:cs="Arial"/>
        </w:rPr>
        <w:t xml:space="preserve">Study 1 was a Phase 3 </w:t>
      </w:r>
      <w:proofErr w:type="spellStart"/>
      <w:r>
        <w:rPr>
          <w:rFonts w:cs="Arial"/>
        </w:rPr>
        <w:t>randomised</w:t>
      </w:r>
      <w:proofErr w:type="spellEnd"/>
      <w:r>
        <w:rPr>
          <w:rFonts w:cs="Arial"/>
        </w:rPr>
        <w:t xml:space="preserve">, observer-blind, active-controlled clinical trial that evaluated the relative vaccine efficacy, safety and immunogenicity of </w:t>
      </w:r>
      <w:r w:rsidR="00170E15">
        <w:rPr>
          <w:rFonts w:cs="Arial"/>
        </w:rPr>
        <w:t>mNEXSPIKE</w:t>
      </w:r>
      <w:r>
        <w:rPr>
          <w:rFonts w:cs="Arial"/>
        </w:rPr>
        <w:t xml:space="preserve"> in participants 12 years of age and older in the United States, United Kingdom, and Canada. </w:t>
      </w:r>
      <w:proofErr w:type="spellStart"/>
      <w:r>
        <w:rPr>
          <w:rFonts w:cs="Arial"/>
        </w:rPr>
        <w:t>Randomisation</w:t>
      </w:r>
      <w:proofErr w:type="spellEnd"/>
      <w:r>
        <w:rPr>
          <w:rFonts w:cs="Arial"/>
        </w:rPr>
        <w:t xml:space="preserve"> was stratified by age: 12 years through 17 years, 18 through 64 years, and 65 years of age and </w:t>
      </w:r>
      <w:r w:rsidRPr="00516610">
        <w:rPr>
          <w:rFonts w:cs="Arial"/>
        </w:rPr>
        <w:t xml:space="preserve">older. </w:t>
      </w:r>
      <w:r w:rsidRPr="00A91985">
        <w:rPr>
          <w:rFonts w:cs="Arial"/>
        </w:rPr>
        <w:t xml:space="preserve">The study allowed for the inclusion of participants with stable pre-existing medical conditions, defined as disease not requiring significant change in therapy or </w:t>
      </w:r>
      <w:proofErr w:type="spellStart"/>
      <w:r w:rsidRPr="00A91985">
        <w:rPr>
          <w:rFonts w:cs="Arial"/>
        </w:rPr>
        <w:t>hospitalisation</w:t>
      </w:r>
      <w:proofErr w:type="spellEnd"/>
      <w:r w:rsidRPr="00A91985">
        <w:rPr>
          <w:rFonts w:cs="Arial"/>
        </w:rPr>
        <w:t xml:space="preserve"> for worsening disease during the 2 months before enrolment, as well as participants with stable human immunodeficiency virus (HIV) infection.</w:t>
      </w:r>
      <w:r w:rsidRPr="00516610">
        <w:rPr>
          <w:rFonts w:cs="Arial"/>
        </w:rPr>
        <w:t xml:space="preserve"> A total of 11 454 participants were </w:t>
      </w:r>
      <w:proofErr w:type="spellStart"/>
      <w:r w:rsidRPr="00516610">
        <w:rPr>
          <w:rFonts w:cs="Arial"/>
        </w:rPr>
        <w:t>randomised</w:t>
      </w:r>
      <w:proofErr w:type="spellEnd"/>
      <w:r w:rsidRPr="00516610">
        <w:rPr>
          <w:rFonts w:cs="Arial"/>
        </w:rPr>
        <w:t xml:space="preserve"> in a 1:1 ratio to receive </w:t>
      </w:r>
      <w:r w:rsidR="00170E15">
        <w:rPr>
          <w:rFonts w:cs="Arial"/>
        </w:rPr>
        <w:t>mNEXSPIKE</w:t>
      </w:r>
      <w:r w:rsidRPr="00516610">
        <w:rPr>
          <w:rFonts w:cs="Arial"/>
        </w:rPr>
        <w:t xml:space="preserve"> (10 micrograms mRNA; n=5 728), a vaccine formulation </w:t>
      </w:r>
      <w:r>
        <w:rPr>
          <w:rFonts w:cs="Arial"/>
        </w:rPr>
        <w:t>targeting</w:t>
      </w:r>
      <w:r w:rsidRPr="00516610">
        <w:rPr>
          <w:rFonts w:cs="Arial"/>
        </w:rPr>
        <w:t xml:space="preserve"> Original and Omicron BA.4/BA.5</w:t>
      </w:r>
      <w:r>
        <w:rPr>
          <w:rFonts w:cs="Arial"/>
        </w:rPr>
        <w:t xml:space="preserve"> strains</w:t>
      </w:r>
      <w:r w:rsidRPr="00516610">
        <w:rPr>
          <w:rFonts w:cs="Arial"/>
        </w:rPr>
        <w:t xml:space="preserve">, </w:t>
      </w:r>
      <w:r>
        <w:rPr>
          <w:rFonts w:cs="Arial"/>
        </w:rPr>
        <w:t xml:space="preserve">or </w:t>
      </w:r>
      <w:r w:rsidRPr="00516610">
        <w:rPr>
          <w:rFonts w:cs="Arial"/>
        </w:rPr>
        <w:t>Spikevax bivalent Original/Omicron BA.4</w:t>
      </w:r>
      <w:r w:rsidRPr="00516610">
        <w:rPr>
          <w:rFonts w:cs="Arial"/>
        </w:rPr>
        <w:noBreakHyphen/>
        <w:t>5</w:t>
      </w:r>
      <w:r>
        <w:rPr>
          <w:rFonts w:cs="Arial"/>
        </w:rPr>
        <w:t>, the comparator vaccine</w:t>
      </w:r>
      <w:r w:rsidRPr="00516610">
        <w:rPr>
          <w:rFonts w:cs="Arial"/>
        </w:rPr>
        <w:t xml:space="preserve"> (50 micrograms mRNA; n=5 726).</w:t>
      </w:r>
      <w:r w:rsidR="00DE6152" w:rsidRPr="00A91985">
        <w:rPr>
          <w:rFonts w:cs="Arial"/>
        </w:rPr>
        <w:t xml:space="preserve"> </w:t>
      </w:r>
      <w:r w:rsidRPr="00A91985">
        <w:rPr>
          <w:rFonts w:cs="Arial"/>
        </w:rPr>
        <w:t xml:space="preserve">All participants except one in the </w:t>
      </w:r>
      <w:r w:rsidR="00170E15">
        <w:rPr>
          <w:rFonts w:cs="Arial"/>
        </w:rPr>
        <w:t>mNEXSPIKE</w:t>
      </w:r>
      <w:r w:rsidRPr="00A91985">
        <w:rPr>
          <w:rFonts w:cs="Arial"/>
        </w:rPr>
        <w:t xml:space="preserve"> group had previously received at least one dose of a COVID-19 vaccine prior to the study with a median time of 9.8 months since the last dose.</w:t>
      </w:r>
      <w:r w:rsidRPr="00516610">
        <w:rPr>
          <w:rFonts w:cs="Arial"/>
        </w:rPr>
        <w:t xml:space="preserve"> </w:t>
      </w:r>
      <w:r w:rsidRPr="00A91985">
        <w:rPr>
          <w:rFonts w:cs="Arial"/>
        </w:rPr>
        <w:t xml:space="preserve">Participants will be followed for efficacy and safety for </w:t>
      </w:r>
      <w:r>
        <w:rPr>
          <w:rFonts w:cs="Arial"/>
        </w:rPr>
        <w:t>one</w:t>
      </w:r>
      <w:r w:rsidRPr="00A91985">
        <w:rPr>
          <w:rFonts w:cs="Arial"/>
        </w:rPr>
        <w:t xml:space="preserve"> year</w:t>
      </w:r>
      <w:r w:rsidR="00DB4646">
        <w:rPr>
          <w:rFonts w:cs="Arial"/>
        </w:rPr>
        <w:t>.</w:t>
      </w:r>
    </w:p>
    <w:p w14:paraId="4991C6FC" w14:textId="48D46485" w:rsidR="00F3669C" w:rsidRDefault="00F3669C" w:rsidP="00F3669C">
      <w:pPr>
        <w:widowControl w:val="0"/>
        <w:spacing w:line="240" w:lineRule="auto"/>
        <w:rPr>
          <w:rFonts w:cs="Arial"/>
        </w:rPr>
      </w:pPr>
      <w:r>
        <w:rPr>
          <w:rFonts w:cs="Arial"/>
        </w:rPr>
        <w:t xml:space="preserve">The primary efficacy analysis population (referred to as the Per-Protocol Set for Efficacy) included 11 366 participants who received either </w:t>
      </w:r>
      <w:r w:rsidR="00170E15">
        <w:rPr>
          <w:rFonts w:cs="Arial"/>
        </w:rPr>
        <w:t>mNEXSPIKE</w:t>
      </w:r>
      <w:r>
        <w:rPr>
          <w:rFonts w:cs="Arial"/>
        </w:rPr>
        <w:t xml:space="preserve"> (n=5 679) or </w:t>
      </w:r>
      <w:r>
        <w:t>Spikevax bivalent Original/Omicron BA.4</w:t>
      </w:r>
      <w:r>
        <w:noBreakHyphen/>
        <w:t>5</w:t>
      </w:r>
      <w:r>
        <w:rPr>
          <w:rFonts w:cs="Arial"/>
        </w:rPr>
        <w:t xml:space="preserve"> (n=5 687). In the Per-Protocol Set for Efficacy, 45.7% of participants were male, 54.3% were female, 13.1% were Hispanic or Latino; 82.2% were White, 11.1% were African American, 3.6% were Asian, 0.4% were American Indian or Alaska Native, 0.1% were Native Hawaiian or Pacific Islander, 0.3% were other races, and 1.5% were Multiracial. The median age of participants was 56 years (range 12-96) and 28.7% of participants were 65 years of age and older</w:t>
      </w:r>
      <w:r w:rsidR="00FD2C46">
        <w:rPr>
          <w:rFonts w:cs="Arial"/>
        </w:rPr>
        <w:t>.</w:t>
      </w:r>
      <w:r>
        <w:rPr>
          <w:rFonts w:cs="Arial"/>
        </w:rPr>
        <w:t xml:space="preserve"> There were no notable differences in demographics between participants who received </w:t>
      </w:r>
      <w:r w:rsidR="00170E15">
        <w:rPr>
          <w:rFonts w:cs="Arial"/>
        </w:rPr>
        <w:t>mNEXSPIKE</w:t>
      </w:r>
      <w:r>
        <w:rPr>
          <w:rFonts w:cs="Arial"/>
        </w:rPr>
        <w:t xml:space="preserve"> and those who received comparator vaccine. </w:t>
      </w:r>
    </w:p>
    <w:p w14:paraId="1BB16F2D" w14:textId="023C657C" w:rsidR="00F3669C" w:rsidRDefault="00F3669C" w:rsidP="00F3669C">
      <w:pPr>
        <w:widowControl w:val="0"/>
        <w:spacing w:line="240" w:lineRule="auto"/>
        <w:rPr>
          <w:rFonts w:cs="Arial"/>
        </w:rPr>
      </w:pPr>
      <w:r>
        <w:rPr>
          <w:rFonts w:cs="Arial"/>
        </w:rPr>
        <w:t xml:space="preserve">The population for the relative vaccine efficacy analysis included participants 12 years of age and older who were enrolled from </w:t>
      </w:r>
      <w:proofErr w:type="gramStart"/>
      <w:r>
        <w:rPr>
          <w:rFonts w:cs="Arial"/>
        </w:rPr>
        <w:t>28 March 2023, and</w:t>
      </w:r>
      <w:proofErr w:type="gramEnd"/>
      <w:r>
        <w:rPr>
          <w:rFonts w:cs="Arial"/>
        </w:rPr>
        <w:t xml:space="preserve"> followed for the development of COVID-19 through 31 January 2024. The median length of follow-up was 8.8 months. </w:t>
      </w:r>
    </w:p>
    <w:p w14:paraId="026EA143" w14:textId="172124C6" w:rsidR="003D2750" w:rsidRDefault="00F3669C" w:rsidP="00F3669C">
      <w:pPr>
        <w:widowControl w:val="0"/>
        <w:spacing w:line="240" w:lineRule="auto"/>
        <w:rPr>
          <w:rFonts w:cs="Arial"/>
        </w:rPr>
      </w:pPr>
      <w:r>
        <w:rPr>
          <w:rFonts w:cs="Arial"/>
        </w:rPr>
        <w:t xml:space="preserve">The primary efficacy hypothesis in this study was to demonstrate the non-inferior vaccine efficacy against COVID-19 starting 14 days after </w:t>
      </w:r>
      <w:r w:rsidR="00170E15">
        <w:rPr>
          <w:rFonts w:cs="Arial"/>
        </w:rPr>
        <w:t>mNEXSPIKE</w:t>
      </w:r>
      <w:r>
        <w:rPr>
          <w:rFonts w:cs="Arial"/>
        </w:rPr>
        <w:t xml:space="preserve"> to Spikevax bivalent Original/Omicron BA.4</w:t>
      </w:r>
      <w:r>
        <w:rPr>
          <w:rFonts w:cs="Arial"/>
        </w:rPr>
        <w:noBreakHyphen/>
        <w:t xml:space="preserve">5. The statistical criterion to demonstrate non-inferiority required that the lower bound of the 99.4% CI be &gt;-10%; this hypothesis was successfully met </w:t>
      </w:r>
      <w:r w:rsidRPr="00D51616">
        <w:rPr>
          <w:rFonts w:cs="Arial"/>
        </w:rPr>
        <w:t xml:space="preserve">(Table </w:t>
      </w:r>
      <w:r w:rsidR="00005F11">
        <w:rPr>
          <w:rFonts w:cs="Arial"/>
        </w:rPr>
        <w:t>5</w:t>
      </w:r>
      <w:r w:rsidRPr="00D51616">
        <w:rPr>
          <w:rFonts w:cs="Arial"/>
        </w:rPr>
        <w:t>).</w:t>
      </w:r>
    </w:p>
    <w:p w14:paraId="26D57F4C" w14:textId="6D8C8D54" w:rsidR="00F3669C" w:rsidRPr="001E1D6F" w:rsidRDefault="00F3669C" w:rsidP="00140C10">
      <w:pPr>
        <w:keepNext/>
        <w:keepLines/>
        <w:rPr>
          <w:b/>
          <w:bCs/>
        </w:rPr>
      </w:pPr>
      <w:r w:rsidRPr="001E1D6F">
        <w:rPr>
          <w:b/>
          <w:bCs/>
        </w:rPr>
        <w:lastRenderedPageBreak/>
        <w:t xml:space="preserve">Table </w:t>
      </w:r>
      <w:r w:rsidR="00005F11">
        <w:rPr>
          <w:b/>
          <w:bCs/>
        </w:rPr>
        <w:t>5</w:t>
      </w:r>
      <w:r w:rsidRPr="001E1D6F">
        <w:rPr>
          <w:b/>
          <w:bCs/>
        </w:rPr>
        <w:t xml:space="preserve">. Relative vaccine efficacy against COVID-19* in participants 12 years of age and older starting 14 days after a single dose of </w:t>
      </w:r>
      <w:r w:rsidR="00170E15">
        <w:rPr>
          <w:b/>
          <w:bCs/>
        </w:rPr>
        <w:t>mNEXSPIKE</w:t>
      </w:r>
      <w:r w:rsidRPr="001E1D6F">
        <w:rPr>
          <w:b/>
          <w:bCs/>
        </w:rPr>
        <w:t xml:space="preserve"> or comparator mRNA vaccine – Per-Protocol Set for efficacy</w:t>
      </w:r>
    </w:p>
    <w:tbl>
      <w:tblPr>
        <w:tblStyle w:val="TableGrid"/>
        <w:tblW w:w="9900" w:type="dxa"/>
        <w:tblInd w:w="-5" w:type="dxa"/>
        <w:tblLook w:val="04A0" w:firstRow="1" w:lastRow="0" w:firstColumn="1" w:lastColumn="0" w:noHBand="0" w:noVBand="1"/>
      </w:tblPr>
      <w:tblGrid>
        <w:gridCol w:w="1251"/>
        <w:gridCol w:w="1264"/>
        <w:gridCol w:w="1214"/>
        <w:gridCol w:w="1150"/>
        <w:gridCol w:w="1261"/>
        <w:gridCol w:w="1235"/>
        <w:gridCol w:w="1170"/>
        <w:gridCol w:w="1355"/>
      </w:tblGrid>
      <w:tr w:rsidR="00F3669C" w:rsidRPr="00C93AEA" w14:paraId="7CF4DE50" w14:textId="77777777" w:rsidTr="001870E4">
        <w:tc>
          <w:tcPr>
            <w:tcW w:w="12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78156EE" w14:textId="77777777" w:rsidR="00F3669C" w:rsidRPr="00C93AEA" w:rsidRDefault="00F3669C" w:rsidP="00140C10">
            <w:pPr>
              <w:keepNext/>
              <w:keepLines/>
              <w:widowControl w:val="0"/>
              <w:jc w:val="center"/>
              <w:rPr>
                <w:b/>
                <w:bCs/>
                <w:sz w:val="20"/>
              </w:rPr>
            </w:pPr>
            <w:r w:rsidRPr="00C93AEA">
              <w:rPr>
                <w:b/>
                <w:bCs/>
                <w:sz w:val="20"/>
              </w:rPr>
              <w:t>Age</w:t>
            </w:r>
          </w:p>
          <w:p w14:paraId="67F0DDDF" w14:textId="77777777" w:rsidR="00F3669C" w:rsidRPr="00C93AEA" w:rsidRDefault="00F3669C" w:rsidP="00140C10">
            <w:pPr>
              <w:keepNext/>
              <w:keepLines/>
              <w:widowControl w:val="0"/>
              <w:rPr>
                <w:b/>
                <w:bCs/>
                <w:sz w:val="20"/>
              </w:rPr>
            </w:pPr>
          </w:p>
        </w:tc>
        <w:tc>
          <w:tcPr>
            <w:tcW w:w="36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7CA60E" w14:textId="4416C1B5" w:rsidR="00F3669C" w:rsidRPr="00C93AEA" w:rsidRDefault="00170E15" w:rsidP="00140C10">
            <w:pPr>
              <w:keepNext/>
              <w:keepLines/>
              <w:widowControl w:val="0"/>
              <w:jc w:val="center"/>
              <w:rPr>
                <w:b/>
                <w:bCs/>
                <w:sz w:val="20"/>
              </w:rPr>
            </w:pPr>
            <w:proofErr w:type="spellStart"/>
            <w:r>
              <w:rPr>
                <w:b/>
                <w:bCs/>
                <w:sz w:val="20"/>
              </w:rPr>
              <w:t>mNEXSPIKE</w:t>
            </w:r>
            <w:r w:rsidR="00F3669C" w:rsidRPr="00C93AEA">
              <w:rPr>
                <w:b/>
                <w:bCs/>
                <w:sz w:val="20"/>
                <w:vertAlign w:val="superscript"/>
              </w:rPr>
              <w:t>a</w:t>
            </w:r>
            <w:proofErr w:type="spellEnd"/>
          </w:p>
        </w:tc>
        <w:tc>
          <w:tcPr>
            <w:tcW w:w="36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FB2C19" w14:textId="77777777" w:rsidR="00F3669C" w:rsidRPr="00C93AEA" w:rsidRDefault="00F3669C" w:rsidP="00140C10">
            <w:pPr>
              <w:keepNext/>
              <w:keepLines/>
              <w:widowControl w:val="0"/>
              <w:jc w:val="center"/>
              <w:rPr>
                <w:b/>
                <w:bCs/>
                <w:sz w:val="20"/>
              </w:rPr>
            </w:pPr>
            <w:proofErr w:type="spellStart"/>
            <w:r>
              <w:rPr>
                <w:b/>
                <w:bCs/>
                <w:sz w:val="20"/>
              </w:rPr>
              <w:t>Comparator</w:t>
            </w:r>
            <w:r w:rsidRPr="00C93AEA">
              <w:rPr>
                <w:b/>
                <w:bCs/>
                <w:sz w:val="20"/>
                <w:vertAlign w:val="superscript"/>
              </w:rPr>
              <w:t>b</w:t>
            </w:r>
            <w:proofErr w:type="spellEnd"/>
          </w:p>
        </w:tc>
        <w:tc>
          <w:tcPr>
            <w:tcW w:w="13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4D779B8" w14:textId="77777777" w:rsidR="00F3669C" w:rsidRPr="00C93AEA" w:rsidRDefault="00F3669C" w:rsidP="00140C10">
            <w:pPr>
              <w:keepNext/>
              <w:keepLines/>
              <w:widowControl w:val="0"/>
              <w:jc w:val="center"/>
              <w:rPr>
                <w:b/>
                <w:bCs/>
                <w:sz w:val="20"/>
              </w:rPr>
            </w:pPr>
            <w:r w:rsidRPr="00C93AEA">
              <w:rPr>
                <w:b/>
                <w:bCs/>
                <w:sz w:val="20"/>
              </w:rPr>
              <w:t>%</w:t>
            </w:r>
          </w:p>
          <w:p w14:paraId="0965825B" w14:textId="77777777" w:rsidR="00F3669C" w:rsidRPr="00C93AEA" w:rsidRDefault="00F3669C" w:rsidP="00140C10">
            <w:pPr>
              <w:keepNext/>
              <w:keepLines/>
              <w:widowControl w:val="0"/>
              <w:jc w:val="center"/>
              <w:rPr>
                <w:b/>
                <w:bCs/>
                <w:sz w:val="20"/>
              </w:rPr>
            </w:pPr>
            <w:r w:rsidRPr="00C93AEA">
              <w:rPr>
                <w:b/>
                <w:bCs/>
                <w:sz w:val="20"/>
              </w:rPr>
              <w:t xml:space="preserve">Relative </w:t>
            </w:r>
            <w:r>
              <w:rPr>
                <w:b/>
                <w:bCs/>
                <w:sz w:val="20"/>
              </w:rPr>
              <w:t>v</w:t>
            </w:r>
            <w:r w:rsidRPr="00C93AEA">
              <w:rPr>
                <w:b/>
                <w:bCs/>
                <w:sz w:val="20"/>
              </w:rPr>
              <w:t xml:space="preserve">accine </w:t>
            </w:r>
            <w:r>
              <w:rPr>
                <w:b/>
                <w:bCs/>
                <w:sz w:val="20"/>
              </w:rPr>
              <w:t>e</w:t>
            </w:r>
            <w:r w:rsidRPr="00C93AEA">
              <w:rPr>
                <w:b/>
                <w:bCs/>
                <w:sz w:val="20"/>
              </w:rPr>
              <w:t>fficacy</w:t>
            </w:r>
          </w:p>
          <w:p w14:paraId="16468FF0" w14:textId="77777777" w:rsidR="00F3669C" w:rsidRPr="00C93AEA" w:rsidRDefault="00F3669C" w:rsidP="00140C10">
            <w:pPr>
              <w:keepNext/>
              <w:keepLines/>
              <w:widowControl w:val="0"/>
              <w:jc w:val="center"/>
              <w:rPr>
                <w:b/>
                <w:bCs/>
                <w:sz w:val="20"/>
              </w:rPr>
            </w:pPr>
            <w:r w:rsidRPr="00C93AEA">
              <w:rPr>
                <w:b/>
                <w:bCs/>
                <w:sz w:val="20"/>
              </w:rPr>
              <w:t xml:space="preserve">(99.4% </w:t>
            </w:r>
            <w:proofErr w:type="gramStart"/>
            <w:r w:rsidRPr="00C93AEA">
              <w:rPr>
                <w:b/>
                <w:bCs/>
                <w:sz w:val="20"/>
              </w:rPr>
              <w:t>CI)</w:t>
            </w:r>
            <w:r w:rsidRPr="00C93AEA">
              <w:rPr>
                <w:b/>
                <w:bCs/>
                <w:sz w:val="20"/>
                <w:vertAlign w:val="superscript"/>
              </w:rPr>
              <w:t>c</w:t>
            </w:r>
            <w:proofErr w:type="gramEnd"/>
          </w:p>
          <w:p w14:paraId="2C0CAA7A" w14:textId="77777777" w:rsidR="00F3669C" w:rsidRPr="00C93AEA" w:rsidRDefault="00F3669C" w:rsidP="00140C10">
            <w:pPr>
              <w:keepNext/>
              <w:keepLines/>
              <w:widowControl w:val="0"/>
              <w:rPr>
                <w:b/>
                <w:bCs/>
                <w:sz w:val="20"/>
              </w:rPr>
            </w:pPr>
          </w:p>
        </w:tc>
      </w:tr>
      <w:tr w:rsidR="00F3669C" w:rsidRPr="00C93AEA" w14:paraId="4C689BEE" w14:textId="77777777" w:rsidTr="001870E4">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194A7" w14:textId="77777777" w:rsidR="00F3669C" w:rsidRPr="00C93AEA" w:rsidRDefault="00F3669C" w:rsidP="002345D6">
            <w:pPr>
              <w:keepNext/>
              <w:keepLines/>
              <w:widowControl w:val="0"/>
              <w:rPr>
                <w:b/>
                <w:bCs/>
                <w:sz w:val="20"/>
              </w:rPr>
            </w:pP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CB0B298" w14:textId="77777777" w:rsidR="00F3669C" w:rsidRPr="00C93AEA" w:rsidRDefault="00F3669C" w:rsidP="002345D6">
            <w:pPr>
              <w:keepNext/>
              <w:keepLines/>
              <w:widowControl w:val="0"/>
              <w:jc w:val="center"/>
              <w:rPr>
                <w:b/>
                <w:bCs/>
                <w:sz w:val="20"/>
              </w:rPr>
            </w:pPr>
            <w:r w:rsidRPr="00C93AEA">
              <w:rPr>
                <w:b/>
                <w:bCs/>
                <w:sz w:val="20"/>
              </w:rPr>
              <w:t>Participants</w:t>
            </w:r>
          </w:p>
          <w:p w14:paraId="11C04897" w14:textId="77777777" w:rsidR="00F3669C" w:rsidRPr="00C93AEA" w:rsidRDefault="00F3669C" w:rsidP="002345D6">
            <w:pPr>
              <w:keepNext/>
              <w:keepLines/>
              <w:widowControl w:val="0"/>
              <w:jc w:val="center"/>
              <w:rPr>
                <w:b/>
                <w:bCs/>
                <w:sz w:val="20"/>
              </w:rPr>
            </w:pPr>
            <w:r w:rsidRPr="00C93AEA">
              <w:rPr>
                <w:b/>
                <w:bCs/>
                <w:sz w:val="20"/>
              </w:rPr>
              <w:t>(N)</w:t>
            </w:r>
          </w:p>
          <w:p w14:paraId="18AD7464" w14:textId="77777777" w:rsidR="00F3669C" w:rsidRPr="00C93AEA" w:rsidRDefault="00F3669C" w:rsidP="002345D6">
            <w:pPr>
              <w:keepNext/>
              <w:keepLines/>
              <w:widowControl w:val="0"/>
              <w:jc w:val="center"/>
              <w:rPr>
                <w:b/>
                <w:bCs/>
                <w:sz w:val="20"/>
              </w:rPr>
            </w:pPr>
          </w:p>
        </w:tc>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156E842" w14:textId="77777777" w:rsidR="00F3669C" w:rsidRPr="00C93AEA" w:rsidRDefault="00F3669C" w:rsidP="002345D6">
            <w:pPr>
              <w:keepNext/>
              <w:keepLines/>
              <w:widowControl w:val="0"/>
              <w:jc w:val="center"/>
              <w:rPr>
                <w:b/>
                <w:bCs/>
                <w:sz w:val="20"/>
              </w:rPr>
            </w:pPr>
            <w:r w:rsidRPr="00C93AEA">
              <w:rPr>
                <w:b/>
                <w:bCs/>
                <w:sz w:val="20"/>
              </w:rPr>
              <w:t>COVID-19</w:t>
            </w:r>
          </w:p>
          <w:p w14:paraId="0E191435" w14:textId="77777777" w:rsidR="00F3669C" w:rsidRPr="00C93AEA" w:rsidRDefault="00F3669C" w:rsidP="002345D6">
            <w:pPr>
              <w:keepNext/>
              <w:keepLines/>
              <w:widowControl w:val="0"/>
              <w:jc w:val="center"/>
              <w:rPr>
                <w:b/>
                <w:bCs/>
                <w:sz w:val="20"/>
              </w:rPr>
            </w:pPr>
            <w:r>
              <w:rPr>
                <w:b/>
                <w:bCs/>
                <w:sz w:val="20"/>
              </w:rPr>
              <w:t>c</w:t>
            </w:r>
            <w:r w:rsidRPr="00C93AEA">
              <w:rPr>
                <w:b/>
                <w:bCs/>
                <w:sz w:val="20"/>
              </w:rPr>
              <w:t>ases</w:t>
            </w:r>
          </w:p>
          <w:p w14:paraId="7328DBC4" w14:textId="77777777" w:rsidR="00F3669C" w:rsidRPr="00C93AEA" w:rsidRDefault="00F3669C" w:rsidP="002345D6">
            <w:pPr>
              <w:keepNext/>
              <w:keepLines/>
              <w:widowControl w:val="0"/>
              <w:jc w:val="center"/>
              <w:rPr>
                <w:b/>
                <w:bCs/>
                <w:sz w:val="20"/>
              </w:rPr>
            </w:pPr>
            <w:r w:rsidRPr="00C93AEA">
              <w:rPr>
                <w:b/>
                <w:bCs/>
                <w:sz w:val="20"/>
              </w:rPr>
              <w:t>(n)</w:t>
            </w:r>
          </w:p>
          <w:p w14:paraId="0183D5FC" w14:textId="77777777" w:rsidR="00F3669C" w:rsidRPr="00C93AEA" w:rsidRDefault="00F3669C" w:rsidP="002345D6">
            <w:pPr>
              <w:keepNext/>
              <w:keepLines/>
              <w:widowControl w:val="0"/>
              <w:jc w:val="center"/>
              <w:rPr>
                <w:b/>
                <w:bCs/>
                <w:sz w:val="20"/>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B4C7B0" w14:textId="77777777" w:rsidR="00F3669C" w:rsidRPr="00C93AEA" w:rsidRDefault="00F3669C" w:rsidP="002345D6">
            <w:pPr>
              <w:keepNext/>
              <w:keepLines/>
              <w:widowControl w:val="0"/>
              <w:jc w:val="center"/>
              <w:rPr>
                <w:b/>
                <w:bCs/>
                <w:sz w:val="20"/>
              </w:rPr>
            </w:pPr>
            <w:r w:rsidRPr="00C93AEA">
              <w:rPr>
                <w:b/>
                <w:bCs/>
                <w:sz w:val="20"/>
              </w:rPr>
              <w:t xml:space="preserve">Incidence </w:t>
            </w:r>
            <w:r>
              <w:rPr>
                <w:b/>
                <w:bCs/>
                <w:sz w:val="20"/>
              </w:rPr>
              <w:t>r</w:t>
            </w:r>
            <w:r w:rsidRPr="00C93AEA">
              <w:rPr>
                <w:b/>
                <w:bCs/>
                <w:sz w:val="20"/>
              </w:rPr>
              <w:t>ate of COVID-19</w:t>
            </w:r>
          </w:p>
          <w:p w14:paraId="675D8C0B" w14:textId="77777777" w:rsidR="00F3669C" w:rsidRPr="00C93AEA" w:rsidRDefault="00F3669C" w:rsidP="002345D6">
            <w:pPr>
              <w:keepNext/>
              <w:keepLines/>
              <w:widowControl w:val="0"/>
              <w:jc w:val="center"/>
              <w:rPr>
                <w:b/>
                <w:bCs/>
                <w:sz w:val="20"/>
              </w:rPr>
            </w:pPr>
            <w:r>
              <w:rPr>
                <w:b/>
                <w:bCs/>
                <w:sz w:val="20"/>
              </w:rPr>
              <w:t>p</w:t>
            </w:r>
            <w:r w:rsidRPr="00C93AEA">
              <w:rPr>
                <w:b/>
                <w:bCs/>
                <w:sz w:val="20"/>
              </w:rPr>
              <w:t xml:space="preserve">er 100 </w:t>
            </w:r>
            <w:r>
              <w:rPr>
                <w:b/>
                <w:bCs/>
                <w:sz w:val="20"/>
              </w:rPr>
              <w:t>p</w:t>
            </w:r>
            <w:r w:rsidRPr="00C93AEA">
              <w:rPr>
                <w:b/>
                <w:bCs/>
                <w:sz w:val="20"/>
              </w:rPr>
              <w:t>erson-</w:t>
            </w:r>
            <w:r>
              <w:rPr>
                <w:b/>
                <w:bCs/>
                <w:sz w:val="20"/>
              </w:rPr>
              <w:t>m</w:t>
            </w:r>
            <w:r w:rsidRPr="00C93AEA">
              <w:rPr>
                <w:b/>
                <w:bCs/>
                <w:sz w:val="20"/>
              </w:rPr>
              <w:t>onths</w:t>
            </w:r>
          </w:p>
          <w:p w14:paraId="0AD276E3" w14:textId="77777777" w:rsidR="00F3669C" w:rsidRPr="00C93AEA" w:rsidRDefault="00F3669C" w:rsidP="002345D6">
            <w:pPr>
              <w:keepNext/>
              <w:keepLines/>
              <w:widowControl w:val="0"/>
              <w:jc w:val="center"/>
              <w:rPr>
                <w:b/>
                <w:bCs/>
                <w:sz w:val="20"/>
              </w:rPr>
            </w:pPr>
          </w:p>
        </w:tc>
        <w:tc>
          <w:tcPr>
            <w:tcW w:w="1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27A3BA" w14:textId="77777777" w:rsidR="00F3669C" w:rsidRPr="00C93AEA" w:rsidRDefault="00F3669C" w:rsidP="002345D6">
            <w:pPr>
              <w:keepNext/>
              <w:keepLines/>
              <w:widowControl w:val="0"/>
              <w:jc w:val="center"/>
              <w:rPr>
                <w:b/>
                <w:bCs/>
                <w:sz w:val="20"/>
              </w:rPr>
            </w:pPr>
            <w:r w:rsidRPr="00C93AEA">
              <w:rPr>
                <w:b/>
                <w:bCs/>
                <w:sz w:val="20"/>
              </w:rPr>
              <w:t>Participants</w:t>
            </w:r>
          </w:p>
          <w:p w14:paraId="56C0F86D" w14:textId="77777777" w:rsidR="00F3669C" w:rsidRPr="00C93AEA" w:rsidRDefault="00F3669C" w:rsidP="002345D6">
            <w:pPr>
              <w:keepNext/>
              <w:keepLines/>
              <w:widowControl w:val="0"/>
              <w:jc w:val="center"/>
              <w:rPr>
                <w:b/>
                <w:bCs/>
                <w:sz w:val="20"/>
              </w:rPr>
            </w:pPr>
            <w:r w:rsidRPr="00C93AEA">
              <w:rPr>
                <w:b/>
                <w:bCs/>
                <w:sz w:val="20"/>
              </w:rPr>
              <w:t>(N)</w:t>
            </w:r>
          </w:p>
          <w:p w14:paraId="44074FFB" w14:textId="77777777" w:rsidR="00F3669C" w:rsidRPr="00C93AEA" w:rsidRDefault="00F3669C" w:rsidP="002345D6">
            <w:pPr>
              <w:keepNext/>
              <w:keepLines/>
              <w:widowControl w:val="0"/>
              <w:jc w:val="center"/>
              <w:rPr>
                <w:b/>
                <w:bCs/>
                <w:sz w:val="20"/>
              </w:rPr>
            </w:pPr>
          </w:p>
        </w:tc>
        <w:tc>
          <w:tcPr>
            <w:tcW w:w="1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794169D" w14:textId="77777777" w:rsidR="00F3669C" w:rsidRPr="00C93AEA" w:rsidRDefault="00F3669C" w:rsidP="002345D6">
            <w:pPr>
              <w:keepNext/>
              <w:keepLines/>
              <w:widowControl w:val="0"/>
              <w:jc w:val="center"/>
              <w:rPr>
                <w:b/>
                <w:bCs/>
                <w:sz w:val="20"/>
              </w:rPr>
            </w:pPr>
            <w:r w:rsidRPr="00C93AEA">
              <w:rPr>
                <w:b/>
                <w:bCs/>
                <w:sz w:val="20"/>
              </w:rPr>
              <w:t>COVID-19</w:t>
            </w:r>
          </w:p>
          <w:p w14:paraId="37347B59" w14:textId="77777777" w:rsidR="00F3669C" w:rsidRPr="00C93AEA" w:rsidRDefault="00F3669C" w:rsidP="002345D6">
            <w:pPr>
              <w:keepNext/>
              <w:keepLines/>
              <w:widowControl w:val="0"/>
              <w:jc w:val="center"/>
              <w:rPr>
                <w:b/>
                <w:bCs/>
                <w:sz w:val="20"/>
              </w:rPr>
            </w:pPr>
            <w:r>
              <w:rPr>
                <w:b/>
                <w:bCs/>
                <w:sz w:val="20"/>
              </w:rPr>
              <w:t>c</w:t>
            </w:r>
            <w:r w:rsidRPr="00C93AEA">
              <w:rPr>
                <w:b/>
                <w:bCs/>
                <w:sz w:val="20"/>
              </w:rPr>
              <w:t>ases</w:t>
            </w:r>
          </w:p>
          <w:p w14:paraId="736CD7E6" w14:textId="77777777" w:rsidR="00F3669C" w:rsidRPr="00C93AEA" w:rsidRDefault="00F3669C" w:rsidP="002345D6">
            <w:pPr>
              <w:keepNext/>
              <w:keepLines/>
              <w:widowControl w:val="0"/>
              <w:jc w:val="center"/>
              <w:rPr>
                <w:b/>
                <w:bCs/>
                <w:sz w:val="20"/>
              </w:rPr>
            </w:pPr>
            <w:r w:rsidRPr="00C93AEA">
              <w:rPr>
                <w:b/>
                <w:bCs/>
                <w:sz w:val="20"/>
              </w:rPr>
              <w:t>(n)</w:t>
            </w:r>
          </w:p>
          <w:p w14:paraId="31A39934" w14:textId="77777777" w:rsidR="00F3669C" w:rsidRPr="00C93AEA" w:rsidRDefault="00F3669C" w:rsidP="002345D6">
            <w:pPr>
              <w:keepNext/>
              <w:keepLines/>
              <w:widowControl w:val="0"/>
              <w:jc w:val="center"/>
              <w:rPr>
                <w:b/>
                <w:bCs/>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C392319" w14:textId="77777777" w:rsidR="00F3669C" w:rsidRPr="00C93AEA" w:rsidRDefault="00F3669C" w:rsidP="002345D6">
            <w:pPr>
              <w:keepNext/>
              <w:keepLines/>
              <w:widowControl w:val="0"/>
              <w:jc w:val="center"/>
              <w:rPr>
                <w:b/>
                <w:bCs/>
                <w:sz w:val="20"/>
              </w:rPr>
            </w:pPr>
            <w:r w:rsidRPr="00C93AEA">
              <w:rPr>
                <w:b/>
                <w:bCs/>
                <w:sz w:val="20"/>
              </w:rPr>
              <w:t xml:space="preserve">Incidence </w:t>
            </w:r>
            <w:r>
              <w:rPr>
                <w:b/>
                <w:bCs/>
                <w:sz w:val="20"/>
              </w:rPr>
              <w:t>r</w:t>
            </w:r>
            <w:r w:rsidRPr="00C93AEA">
              <w:rPr>
                <w:b/>
                <w:bCs/>
                <w:sz w:val="20"/>
              </w:rPr>
              <w:t>ate of COVID-19</w:t>
            </w:r>
          </w:p>
          <w:p w14:paraId="670473A9" w14:textId="77777777" w:rsidR="00F3669C" w:rsidRPr="00C93AEA" w:rsidRDefault="00F3669C" w:rsidP="002345D6">
            <w:pPr>
              <w:keepNext/>
              <w:keepLines/>
              <w:widowControl w:val="0"/>
              <w:jc w:val="center"/>
              <w:rPr>
                <w:b/>
                <w:bCs/>
                <w:sz w:val="20"/>
              </w:rPr>
            </w:pPr>
            <w:r>
              <w:rPr>
                <w:b/>
                <w:bCs/>
                <w:sz w:val="20"/>
              </w:rPr>
              <w:t>p</w:t>
            </w:r>
            <w:r w:rsidRPr="00C93AEA">
              <w:rPr>
                <w:b/>
                <w:bCs/>
                <w:sz w:val="20"/>
              </w:rPr>
              <w:t xml:space="preserve">er 100 </w:t>
            </w:r>
            <w:r>
              <w:rPr>
                <w:b/>
                <w:bCs/>
                <w:sz w:val="20"/>
              </w:rPr>
              <w:t>p</w:t>
            </w:r>
            <w:r w:rsidRPr="00C93AEA">
              <w:rPr>
                <w:b/>
                <w:bCs/>
                <w:sz w:val="20"/>
              </w:rPr>
              <w:t>erson-</w:t>
            </w:r>
            <w:r>
              <w:rPr>
                <w:b/>
                <w:bCs/>
                <w:sz w:val="20"/>
              </w:rPr>
              <w:t>m</w:t>
            </w:r>
            <w:r w:rsidRPr="00C93AEA">
              <w:rPr>
                <w:b/>
                <w:bCs/>
                <w:sz w:val="20"/>
              </w:rPr>
              <w:t>onths</w:t>
            </w:r>
          </w:p>
          <w:p w14:paraId="30D604B8" w14:textId="77777777" w:rsidR="00F3669C" w:rsidRPr="00C93AEA" w:rsidRDefault="00F3669C" w:rsidP="002345D6">
            <w:pPr>
              <w:keepNext/>
              <w:keepLines/>
              <w:widowControl w:val="0"/>
              <w:jc w:val="center"/>
              <w:rPr>
                <w:b/>
                <w:bCs/>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FD705" w14:textId="77777777" w:rsidR="00F3669C" w:rsidRPr="00C93AEA" w:rsidRDefault="00F3669C" w:rsidP="002345D6">
            <w:pPr>
              <w:keepNext/>
              <w:keepLines/>
              <w:widowControl w:val="0"/>
              <w:rPr>
                <w:b/>
                <w:bCs/>
                <w:sz w:val="20"/>
              </w:rPr>
            </w:pPr>
          </w:p>
        </w:tc>
      </w:tr>
      <w:tr w:rsidR="00F3669C" w:rsidRPr="00C93AEA" w14:paraId="6AA01FB7" w14:textId="77777777" w:rsidTr="00BE6CC2">
        <w:tc>
          <w:tcPr>
            <w:tcW w:w="1251" w:type="dxa"/>
            <w:tcBorders>
              <w:top w:val="single" w:sz="4" w:space="0" w:color="auto"/>
              <w:left w:val="single" w:sz="4" w:space="0" w:color="auto"/>
              <w:bottom w:val="single" w:sz="4" w:space="0" w:color="auto"/>
              <w:right w:val="single" w:sz="4" w:space="0" w:color="auto"/>
            </w:tcBorders>
            <w:vAlign w:val="center"/>
            <w:hideMark/>
          </w:tcPr>
          <w:p w14:paraId="6432CD61" w14:textId="77777777" w:rsidR="00F3669C" w:rsidRPr="00C93AEA" w:rsidRDefault="00F3669C" w:rsidP="00140C10">
            <w:pPr>
              <w:keepNext/>
              <w:keepLines/>
              <w:widowControl w:val="0"/>
              <w:rPr>
                <w:b/>
                <w:bCs/>
                <w:sz w:val="20"/>
              </w:rPr>
            </w:pPr>
            <w:r w:rsidRPr="00C93AEA">
              <w:rPr>
                <w:b/>
                <w:bCs/>
                <w:sz w:val="20"/>
              </w:rPr>
              <w:t>All participants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BFDECDD" w14:textId="4B7A4AB1" w:rsidR="00F3669C" w:rsidRPr="00D16C3E" w:rsidRDefault="00F3669C" w:rsidP="00140C10">
            <w:pPr>
              <w:keepNext/>
              <w:keepLines/>
              <w:widowControl w:val="0"/>
              <w:jc w:val="center"/>
              <w:rPr>
                <w:sz w:val="20"/>
              </w:rPr>
            </w:pPr>
            <w:r w:rsidRPr="00D16C3E">
              <w:rPr>
                <w:sz w:val="20"/>
              </w:rPr>
              <w:t>5</w:t>
            </w:r>
            <w:r w:rsidR="00E322E8" w:rsidRPr="00D16C3E">
              <w:rPr>
                <w:sz w:val="20"/>
              </w:rPr>
              <w:t xml:space="preserve"> </w:t>
            </w:r>
            <w:r w:rsidRPr="00D16C3E">
              <w:rPr>
                <w:sz w:val="20"/>
              </w:rPr>
              <w:t>679</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7749FF8" w14:textId="77777777" w:rsidR="00F3669C" w:rsidRPr="00D16C3E" w:rsidRDefault="00F3669C" w:rsidP="00140C10">
            <w:pPr>
              <w:keepNext/>
              <w:keepLines/>
              <w:widowControl w:val="0"/>
              <w:jc w:val="center"/>
              <w:rPr>
                <w:sz w:val="20"/>
              </w:rPr>
            </w:pPr>
            <w:r w:rsidRPr="00D16C3E">
              <w:rPr>
                <w:sz w:val="20"/>
              </w:rPr>
              <w:t>560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029C416" w14:textId="77777777" w:rsidR="00F3669C" w:rsidRPr="00D16C3E" w:rsidRDefault="00F3669C" w:rsidP="00140C10">
            <w:pPr>
              <w:keepNext/>
              <w:keepLines/>
              <w:widowControl w:val="0"/>
              <w:jc w:val="center"/>
              <w:rPr>
                <w:sz w:val="20"/>
              </w:rPr>
            </w:pPr>
            <w:r w:rsidRPr="00D16C3E">
              <w:rPr>
                <w:sz w:val="20"/>
              </w:rPr>
              <w:t>1.4</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D54556A" w14:textId="2D904B6F" w:rsidR="00F3669C" w:rsidRPr="00D16C3E" w:rsidRDefault="00F3669C" w:rsidP="00140C10">
            <w:pPr>
              <w:keepNext/>
              <w:keepLines/>
              <w:widowControl w:val="0"/>
              <w:jc w:val="center"/>
              <w:rPr>
                <w:sz w:val="20"/>
              </w:rPr>
            </w:pPr>
            <w:r w:rsidRPr="00D16C3E">
              <w:rPr>
                <w:sz w:val="20"/>
              </w:rPr>
              <w:t>5</w:t>
            </w:r>
            <w:r w:rsidR="00E322E8" w:rsidRPr="00D16C3E">
              <w:rPr>
                <w:sz w:val="20"/>
              </w:rPr>
              <w:t xml:space="preserve"> </w:t>
            </w:r>
            <w:r w:rsidRPr="00D16C3E">
              <w:rPr>
                <w:sz w:val="20"/>
              </w:rPr>
              <w:t>687</w:t>
            </w:r>
          </w:p>
        </w:tc>
        <w:tc>
          <w:tcPr>
            <w:tcW w:w="1235" w:type="dxa"/>
            <w:tcBorders>
              <w:top w:val="single" w:sz="4" w:space="0" w:color="auto"/>
              <w:left w:val="single" w:sz="4" w:space="0" w:color="auto"/>
              <w:bottom w:val="single" w:sz="4" w:space="0" w:color="auto"/>
              <w:right w:val="single" w:sz="4" w:space="0" w:color="auto"/>
            </w:tcBorders>
            <w:vAlign w:val="center"/>
            <w:hideMark/>
          </w:tcPr>
          <w:p w14:paraId="475D79AE" w14:textId="77777777" w:rsidR="00F3669C" w:rsidRPr="00D16C3E" w:rsidRDefault="00F3669C" w:rsidP="00140C10">
            <w:pPr>
              <w:keepNext/>
              <w:keepLines/>
              <w:widowControl w:val="0"/>
              <w:jc w:val="center"/>
              <w:rPr>
                <w:sz w:val="20"/>
              </w:rPr>
            </w:pPr>
            <w:r w:rsidRPr="00D16C3E">
              <w:rPr>
                <w:sz w:val="20"/>
              </w:rPr>
              <w:t>617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11EE90" w14:textId="77777777" w:rsidR="00F3669C" w:rsidRPr="00D16C3E" w:rsidRDefault="00F3669C" w:rsidP="00140C10">
            <w:pPr>
              <w:keepNext/>
              <w:keepLines/>
              <w:widowControl w:val="0"/>
              <w:jc w:val="center"/>
              <w:rPr>
                <w:sz w:val="20"/>
              </w:rPr>
            </w:pPr>
            <w:r w:rsidRPr="00D16C3E">
              <w:rPr>
                <w:sz w:val="20"/>
              </w:rPr>
              <w:t>1.5</w:t>
            </w:r>
          </w:p>
        </w:tc>
        <w:tc>
          <w:tcPr>
            <w:tcW w:w="1355" w:type="dxa"/>
            <w:tcBorders>
              <w:top w:val="single" w:sz="4" w:space="0" w:color="auto"/>
              <w:left w:val="single" w:sz="4" w:space="0" w:color="auto"/>
              <w:bottom w:val="single" w:sz="4" w:space="0" w:color="auto"/>
              <w:right w:val="single" w:sz="4" w:space="0" w:color="auto"/>
            </w:tcBorders>
            <w:hideMark/>
          </w:tcPr>
          <w:p w14:paraId="12F9E8CD" w14:textId="77777777" w:rsidR="00F3669C" w:rsidRPr="00D16C3E" w:rsidRDefault="00F3669C" w:rsidP="00140C10">
            <w:pPr>
              <w:keepNext/>
              <w:keepLines/>
              <w:widowControl w:val="0"/>
              <w:jc w:val="center"/>
              <w:rPr>
                <w:sz w:val="20"/>
              </w:rPr>
            </w:pPr>
            <w:r w:rsidRPr="00D16C3E">
              <w:rPr>
                <w:sz w:val="20"/>
              </w:rPr>
              <w:t>9.3</w:t>
            </w:r>
          </w:p>
          <w:p w14:paraId="1864B5D3" w14:textId="77777777" w:rsidR="00F3669C" w:rsidRPr="00D16C3E" w:rsidRDefault="00F3669C" w:rsidP="00140C10">
            <w:pPr>
              <w:keepNext/>
              <w:keepLines/>
              <w:widowControl w:val="0"/>
              <w:jc w:val="center"/>
              <w:rPr>
                <w:sz w:val="20"/>
              </w:rPr>
            </w:pPr>
            <w:r w:rsidRPr="00D16C3E">
              <w:rPr>
                <w:sz w:val="20"/>
              </w:rPr>
              <w:t>(-6.6, 22.8)</w:t>
            </w:r>
          </w:p>
        </w:tc>
      </w:tr>
    </w:tbl>
    <w:p w14:paraId="04776C6B" w14:textId="77777777" w:rsidR="00F3669C" w:rsidRDefault="00F3669C" w:rsidP="00140C10">
      <w:pPr>
        <w:keepNext/>
        <w:keepLines/>
        <w:widowControl w:val="0"/>
        <w:spacing w:after="0" w:line="240" w:lineRule="auto"/>
        <w:ind w:left="144" w:hanging="144"/>
        <w:rPr>
          <w:sz w:val="20"/>
        </w:rPr>
      </w:pPr>
      <w:r>
        <w:rPr>
          <w:sz w:val="20"/>
        </w:rPr>
        <w:t>* Presence of at least one symptom from a list of COVID-19 symptoms and a positive NP swab for SARS</w:t>
      </w:r>
      <w:r>
        <w:rPr>
          <w:sz w:val="20"/>
        </w:rPr>
        <w:noBreakHyphen/>
        <w:t>CoV</w:t>
      </w:r>
      <w:r>
        <w:rPr>
          <w:sz w:val="20"/>
        </w:rPr>
        <w:noBreakHyphen/>
        <w:t xml:space="preserve">2 by RT-PCR. Listed symptoms were fever (temperature &gt;38°C / ≥100.4°F), or chills, cough, shortness of breath or difficulty breathing, fatigue, muscle aches, or body aches, headache, new loss of taste or smell, sore throat, congestion or runny nose, nausea, or vomiting or </w:t>
      </w:r>
      <w:proofErr w:type="spellStart"/>
      <w:r>
        <w:rPr>
          <w:sz w:val="20"/>
        </w:rPr>
        <w:t>diarrhoea</w:t>
      </w:r>
      <w:proofErr w:type="spellEnd"/>
      <w:r>
        <w:rPr>
          <w:sz w:val="20"/>
        </w:rPr>
        <w:t>. </w:t>
      </w:r>
    </w:p>
    <w:p w14:paraId="7487054E" w14:textId="77777777" w:rsidR="00F3669C" w:rsidRDefault="00F3669C" w:rsidP="00140C10">
      <w:pPr>
        <w:keepNext/>
        <w:keepLines/>
        <w:widowControl w:val="0"/>
        <w:spacing w:after="0" w:line="240" w:lineRule="auto"/>
        <w:ind w:left="144" w:hanging="144"/>
        <w:rPr>
          <w:sz w:val="20"/>
        </w:rPr>
      </w:pPr>
      <w:proofErr w:type="gramStart"/>
      <w:r>
        <w:rPr>
          <w:sz w:val="20"/>
          <w:vertAlign w:val="superscript"/>
        </w:rPr>
        <w:t>a</w:t>
      </w:r>
      <w:r>
        <w:rPr>
          <w:sz w:val="20"/>
        </w:rPr>
        <w:t xml:space="preserve"> Dosing</w:t>
      </w:r>
      <w:proofErr w:type="gramEnd"/>
      <w:r>
        <w:rPr>
          <w:sz w:val="20"/>
        </w:rPr>
        <w:t xml:space="preserve"> was a single dose (10 micrograms mRNA).</w:t>
      </w:r>
    </w:p>
    <w:p w14:paraId="7AE389A1" w14:textId="77777777" w:rsidR="00F3669C" w:rsidRDefault="00F3669C" w:rsidP="00140C10">
      <w:pPr>
        <w:keepNext/>
        <w:keepLines/>
        <w:widowControl w:val="0"/>
        <w:spacing w:after="0" w:line="240" w:lineRule="auto"/>
        <w:ind w:left="144" w:hanging="144"/>
        <w:rPr>
          <w:sz w:val="20"/>
        </w:rPr>
      </w:pPr>
      <w:r>
        <w:rPr>
          <w:sz w:val="20"/>
          <w:vertAlign w:val="superscript"/>
        </w:rPr>
        <w:t>b</w:t>
      </w:r>
      <w:r>
        <w:rPr>
          <w:sz w:val="20"/>
        </w:rPr>
        <w:t xml:space="preserve"> Dosing was a single dose (50 micrograms mRNA).</w:t>
      </w:r>
    </w:p>
    <w:p w14:paraId="0623CEEB" w14:textId="68D07446" w:rsidR="00F3669C" w:rsidRDefault="00F3669C" w:rsidP="00140C10">
      <w:pPr>
        <w:keepNext/>
        <w:keepLines/>
        <w:autoSpaceDE w:val="0"/>
        <w:autoSpaceDN w:val="0"/>
        <w:adjustRightInd w:val="0"/>
        <w:spacing w:after="0" w:line="240" w:lineRule="auto"/>
        <w:ind w:left="90" w:hanging="90"/>
        <w:rPr>
          <w:rFonts w:eastAsia="Calibri"/>
          <w:sz w:val="20"/>
        </w:rPr>
      </w:pPr>
      <w:r>
        <w:rPr>
          <w:sz w:val="20"/>
          <w:vertAlign w:val="superscript"/>
        </w:rPr>
        <w:t>c</w:t>
      </w:r>
      <w:r>
        <w:rPr>
          <w:sz w:val="20"/>
        </w:rPr>
        <w:t xml:space="preserve"> Relative Vaccine Efficacy (</w:t>
      </w:r>
      <w:proofErr w:type="spellStart"/>
      <w:r>
        <w:rPr>
          <w:sz w:val="20"/>
        </w:rPr>
        <w:t>rVE</w:t>
      </w:r>
      <w:proofErr w:type="spellEnd"/>
      <w:r>
        <w:rPr>
          <w:sz w:val="20"/>
        </w:rPr>
        <w:t xml:space="preserve">) = </w:t>
      </w:r>
      <w:r>
        <w:rPr>
          <w:rFonts w:eastAsia="Calibri"/>
          <w:sz w:val="20"/>
        </w:rPr>
        <w:t>1-hazard ratio (</w:t>
      </w:r>
      <w:r w:rsidR="00170E15">
        <w:rPr>
          <w:rFonts w:eastAsia="Calibri"/>
          <w:sz w:val="20"/>
        </w:rPr>
        <w:t>mNEXSPIKE</w:t>
      </w:r>
      <w:r>
        <w:rPr>
          <w:rFonts w:eastAsia="Calibri"/>
          <w:sz w:val="20"/>
        </w:rPr>
        <w:t xml:space="preserve"> vs. </w:t>
      </w:r>
      <w:r w:rsidRPr="004C74E2">
        <w:rPr>
          <w:rFonts w:eastAsia="Calibri"/>
          <w:sz w:val="20"/>
        </w:rPr>
        <w:t>Spikevax bivalent Original/Omicron BA.4</w:t>
      </w:r>
      <w:r w:rsidRPr="004C74E2">
        <w:rPr>
          <w:rFonts w:eastAsia="Calibri"/>
          <w:sz w:val="20"/>
        </w:rPr>
        <w:noBreakHyphen/>
        <w:t>5</w:t>
      </w:r>
      <w:r>
        <w:rPr>
          <w:rFonts w:eastAsia="Calibri"/>
          <w:sz w:val="20"/>
        </w:rPr>
        <w:t xml:space="preserve">). Hazard ratio and CI are estimated using a stratified Cox proportional hazard model (stratified by age group per </w:t>
      </w:r>
      <w:proofErr w:type="spellStart"/>
      <w:r>
        <w:rPr>
          <w:rFonts w:eastAsia="Calibri"/>
          <w:sz w:val="20"/>
        </w:rPr>
        <w:t>randomisation</w:t>
      </w:r>
      <w:proofErr w:type="spellEnd"/>
      <w:r>
        <w:rPr>
          <w:rFonts w:eastAsia="Calibri"/>
          <w:sz w:val="20"/>
        </w:rPr>
        <w:t xml:space="preserve">) with Efron's method of tie handling and with the treatment group as a fixed effect. </w:t>
      </w:r>
      <w:r w:rsidRPr="008A2AD5">
        <w:rPr>
          <w:rFonts w:eastAsia="Calibri"/>
          <w:sz w:val="20"/>
        </w:rPr>
        <w:t>Alpha-adjusted 2-sided (99.4%) CI for CDC</w:t>
      </w:r>
      <w:r>
        <w:rPr>
          <w:rFonts w:eastAsia="Calibri"/>
          <w:sz w:val="20"/>
        </w:rPr>
        <w:t>-</w:t>
      </w:r>
      <w:r w:rsidRPr="00A04B57">
        <w:rPr>
          <w:rFonts w:eastAsia="Calibri"/>
          <w:sz w:val="20"/>
        </w:rPr>
        <w:t>defined COVID-19 is calculated using Lan-</w:t>
      </w:r>
      <w:proofErr w:type="spellStart"/>
      <w:r w:rsidRPr="00A04B57">
        <w:rPr>
          <w:rFonts w:eastAsia="Calibri"/>
          <w:sz w:val="20"/>
        </w:rPr>
        <w:t>DeMets</w:t>
      </w:r>
      <w:proofErr w:type="spellEnd"/>
      <w:r w:rsidRPr="00A04B57">
        <w:rPr>
          <w:rFonts w:eastAsia="Calibri"/>
          <w:sz w:val="20"/>
        </w:rPr>
        <w:t xml:space="preserve"> O’Brien-Fleming approximation</w:t>
      </w:r>
      <w:r>
        <w:rPr>
          <w:rFonts w:eastAsia="Calibri"/>
          <w:sz w:val="20"/>
        </w:rPr>
        <w:t xml:space="preserve"> </w:t>
      </w:r>
      <w:r w:rsidRPr="008A2AD5">
        <w:rPr>
          <w:rFonts w:eastAsia="Calibri"/>
          <w:sz w:val="20"/>
        </w:rPr>
        <w:t>spending function (nominal one-sided alpha = 0.0028). It is based on 1177 CDC</w:t>
      </w:r>
      <w:r>
        <w:rPr>
          <w:rFonts w:eastAsia="Calibri"/>
          <w:sz w:val="20"/>
        </w:rPr>
        <w:t>-</w:t>
      </w:r>
      <w:r w:rsidRPr="00A04B57">
        <w:rPr>
          <w:rFonts w:eastAsia="Calibri"/>
          <w:sz w:val="20"/>
        </w:rPr>
        <w:t>defined COVID-19 events, representing 56.4%</w:t>
      </w:r>
      <w:r>
        <w:rPr>
          <w:rFonts w:eastAsia="Calibri"/>
          <w:sz w:val="20"/>
        </w:rPr>
        <w:t xml:space="preserve"> </w:t>
      </w:r>
      <w:r w:rsidRPr="008A2AD5">
        <w:rPr>
          <w:rFonts w:eastAsia="Calibri"/>
          <w:sz w:val="20"/>
        </w:rPr>
        <w:t xml:space="preserve">information fraction of target total number of events (N=2087, target </w:t>
      </w:r>
      <w:proofErr w:type="spellStart"/>
      <w:r w:rsidRPr="008A2AD5">
        <w:rPr>
          <w:rFonts w:eastAsia="Calibri"/>
          <w:sz w:val="20"/>
        </w:rPr>
        <w:t>rVE</w:t>
      </w:r>
      <w:proofErr w:type="spellEnd"/>
      <w:r w:rsidRPr="008A2AD5">
        <w:rPr>
          <w:rFonts w:eastAsia="Calibri"/>
          <w:sz w:val="20"/>
        </w:rPr>
        <w:t xml:space="preserve"> of 3% [mRNA-1283 vs mRNA-1273]).</w:t>
      </w:r>
    </w:p>
    <w:p w14:paraId="01648BE2" w14:textId="77777777" w:rsidR="00E322E8" w:rsidRDefault="00E322E8" w:rsidP="0078768C">
      <w:pPr>
        <w:autoSpaceDE w:val="0"/>
        <w:autoSpaceDN w:val="0"/>
        <w:adjustRightInd w:val="0"/>
        <w:spacing w:line="240" w:lineRule="auto"/>
        <w:ind w:left="144" w:hanging="144"/>
        <w:rPr>
          <w:rFonts w:cs="Arial"/>
        </w:rPr>
      </w:pPr>
    </w:p>
    <w:p w14:paraId="20DD2C4F" w14:textId="13355E04" w:rsidR="00F3669C" w:rsidRDefault="00F3669C" w:rsidP="0078768C">
      <w:pPr>
        <w:autoSpaceDE w:val="0"/>
        <w:autoSpaceDN w:val="0"/>
        <w:adjustRightInd w:val="0"/>
        <w:spacing w:line="240" w:lineRule="auto"/>
        <w:ind w:left="144" w:hanging="144"/>
        <w:rPr>
          <w:rFonts w:cs="Arial"/>
        </w:rPr>
      </w:pPr>
      <w:r w:rsidRPr="00EB028D">
        <w:rPr>
          <w:rFonts w:cs="Arial"/>
        </w:rPr>
        <w:t xml:space="preserve">A subgroup analysis of COVID-19 vaccine cases by age group was conducted (Table </w:t>
      </w:r>
      <w:r w:rsidR="00005F11">
        <w:rPr>
          <w:rFonts w:cs="Arial"/>
        </w:rPr>
        <w:t>6</w:t>
      </w:r>
      <w:r w:rsidRPr="00EB028D">
        <w:rPr>
          <w:rFonts w:cs="Arial"/>
        </w:rPr>
        <w:t>).</w:t>
      </w:r>
    </w:p>
    <w:p w14:paraId="05C4F9AF" w14:textId="200999EB" w:rsidR="00F3669C" w:rsidRPr="001E1D6F" w:rsidRDefault="00F3669C" w:rsidP="00753E60">
      <w:pPr>
        <w:keepNext/>
        <w:keepLines/>
        <w:rPr>
          <w:b/>
          <w:bCs/>
        </w:rPr>
      </w:pPr>
      <w:r w:rsidRPr="001E1D6F">
        <w:rPr>
          <w:b/>
          <w:bCs/>
        </w:rPr>
        <w:t xml:space="preserve">Table </w:t>
      </w:r>
      <w:r w:rsidR="00005F11">
        <w:rPr>
          <w:b/>
          <w:bCs/>
        </w:rPr>
        <w:t>6</w:t>
      </w:r>
      <w:r w:rsidRPr="001E1D6F">
        <w:rPr>
          <w:b/>
          <w:bCs/>
        </w:rPr>
        <w:t xml:space="preserve">. Relative vaccine efficacy against COVID-19* in participants 12 years of age and older by age subgroup starting 14 days after a single dose of </w:t>
      </w:r>
      <w:r w:rsidR="00170E15">
        <w:rPr>
          <w:b/>
          <w:bCs/>
        </w:rPr>
        <w:t>mNEXSPIKE</w:t>
      </w:r>
      <w:r w:rsidRPr="001E1D6F">
        <w:rPr>
          <w:b/>
          <w:bCs/>
        </w:rPr>
        <w:t xml:space="preserve"> or comparator mRNA vaccine – Per</w:t>
      </w:r>
      <w:r w:rsidRPr="001E1D6F">
        <w:rPr>
          <w:b/>
          <w:bCs/>
        </w:rPr>
        <w:noBreakHyphen/>
        <w:t>Protocol Set for efficacy</w:t>
      </w:r>
    </w:p>
    <w:tbl>
      <w:tblPr>
        <w:tblStyle w:val="TableGrid"/>
        <w:tblW w:w="9900" w:type="dxa"/>
        <w:tblInd w:w="-5" w:type="dxa"/>
        <w:tblLayout w:type="fixed"/>
        <w:tblLook w:val="04A0" w:firstRow="1" w:lastRow="0" w:firstColumn="1" w:lastColumn="0" w:noHBand="0" w:noVBand="1"/>
      </w:tblPr>
      <w:tblGrid>
        <w:gridCol w:w="1255"/>
        <w:gridCol w:w="1265"/>
        <w:gridCol w:w="1255"/>
        <w:gridCol w:w="1170"/>
        <w:gridCol w:w="1265"/>
        <w:gridCol w:w="1165"/>
        <w:gridCol w:w="1170"/>
        <w:gridCol w:w="1355"/>
      </w:tblGrid>
      <w:tr w:rsidR="00F3669C" w14:paraId="39C0AE16" w14:textId="77777777" w:rsidTr="001870E4">
        <w:tc>
          <w:tcPr>
            <w:tcW w:w="12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0AB5A7B" w14:textId="77777777" w:rsidR="00F3669C" w:rsidRDefault="00F3669C" w:rsidP="00753E60">
            <w:pPr>
              <w:keepNext/>
              <w:keepLines/>
              <w:jc w:val="center"/>
              <w:rPr>
                <w:b/>
                <w:bCs/>
                <w:sz w:val="20"/>
              </w:rPr>
            </w:pPr>
            <w:r>
              <w:rPr>
                <w:b/>
                <w:bCs/>
                <w:sz w:val="20"/>
              </w:rPr>
              <w:t>Age subgroup</w:t>
            </w:r>
          </w:p>
          <w:p w14:paraId="78BB0B74" w14:textId="77777777" w:rsidR="00F3669C" w:rsidRDefault="00F3669C" w:rsidP="00753E60">
            <w:pPr>
              <w:keepNext/>
              <w:keepLines/>
              <w:jc w:val="center"/>
              <w:rPr>
                <w:b/>
                <w:bCs/>
                <w:sz w:val="20"/>
              </w:rPr>
            </w:pPr>
            <w:r>
              <w:rPr>
                <w:b/>
                <w:bCs/>
                <w:sz w:val="20"/>
              </w:rPr>
              <w:t>(years)</w:t>
            </w:r>
          </w:p>
          <w:p w14:paraId="3AB35B33" w14:textId="77777777" w:rsidR="00F3669C" w:rsidRDefault="00F3669C" w:rsidP="00753E60">
            <w:pPr>
              <w:keepNext/>
              <w:keepLines/>
              <w:jc w:val="center"/>
              <w:rPr>
                <w:sz w:val="20"/>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E8953" w14:textId="2B6282D8" w:rsidR="00F3669C" w:rsidRDefault="00170E15" w:rsidP="00753E60">
            <w:pPr>
              <w:keepNext/>
              <w:keepLines/>
              <w:jc w:val="center"/>
              <w:rPr>
                <w:b/>
                <w:bCs/>
                <w:sz w:val="20"/>
              </w:rPr>
            </w:pPr>
            <w:proofErr w:type="spellStart"/>
            <w:r>
              <w:rPr>
                <w:b/>
                <w:bCs/>
                <w:sz w:val="20"/>
              </w:rPr>
              <w:t>mNEXSPIKE</w:t>
            </w:r>
            <w:r w:rsidR="00F3669C">
              <w:rPr>
                <w:b/>
                <w:bCs/>
                <w:sz w:val="20"/>
                <w:vertAlign w:val="superscript"/>
              </w:rPr>
              <w:t>a</w:t>
            </w:r>
            <w:proofErr w:type="spellEnd"/>
          </w:p>
        </w:tc>
        <w:tc>
          <w:tcPr>
            <w:tcW w:w="3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A6E7CD" w14:textId="77777777" w:rsidR="00F3669C" w:rsidRPr="00EE7F85" w:rsidRDefault="00F3669C" w:rsidP="00753E60">
            <w:pPr>
              <w:keepNext/>
              <w:keepLines/>
              <w:jc w:val="center"/>
              <w:rPr>
                <w:b/>
                <w:bCs/>
                <w:sz w:val="20"/>
              </w:rPr>
            </w:pPr>
            <w:proofErr w:type="spellStart"/>
            <w:r>
              <w:rPr>
                <w:b/>
                <w:bCs/>
                <w:sz w:val="20"/>
              </w:rPr>
              <w:t>Comparator</w:t>
            </w:r>
            <w:r w:rsidRPr="00EE7F85">
              <w:rPr>
                <w:b/>
                <w:bCs/>
                <w:sz w:val="20"/>
                <w:vertAlign w:val="superscript"/>
              </w:rPr>
              <w:t>b</w:t>
            </w:r>
            <w:proofErr w:type="spellEnd"/>
          </w:p>
        </w:tc>
        <w:tc>
          <w:tcPr>
            <w:tcW w:w="13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B179B95" w14:textId="77777777" w:rsidR="00F3669C" w:rsidRDefault="00F3669C" w:rsidP="00753E60">
            <w:pPr>
              <w:keepNext/>
              <w:keepLines/>
              <w:jc w:val="center"/>
              <w:rPr>
                <w:b/>
                <w:bCs/>
                <w:sz w:val="20"/>
              </w:rPr>
            </w:pPr>
            <w:r>
              <w:rPr>
                <w:b/>
                <w:bCs/>
                <w:sz w:val="20"/>
              </w:rPr>
              <w:t>%</w:t>
            </w:r>
          </w:p>
          <w:p w14:paraId="33B8837D" w14:textId="77777777" w:rsidR="00F3669C" w:rsidRDefault="00F3669C" w:rsidP="00753E60">
            <w:pPr>
              <w:keepNext/>
              <w:keepLines/>
              <w:jc w:val="center"/>
              <w:rPr>
                <w:b/>
                <w:bCs/>
                <w:sz w:val="20"/>
              </w:rPr>
            </w:pPr>
            <w:r>
              <w:rPr>
                <w:b/>
                <w:bCs/>
                <w:sz w:val="20"/>
              </w:rPr>
              <w:t>Relative vaccine efficacy</w:t>
            </w:r>
          </w:p>
          <w:p w14:paraId="48991C84" w14:textId="77777777" w:rsidR="00F3669C" w:rsidRDefault="00F3669C" w:rsidP="00753E60">
            <w:pPr>
              <w:keepNext/>
              <w:keepLines/>
              <w:jc w:val="center"/>
              <w:rPr>
                <w:b/>
                <w:bCs/>
                <w:sz w:val="20"/>
              </w:rPr>
            </w:pPr>
            <w:r>
              <w:rPr>
                <w:b/>
                <w:bCs/>
                <w:sz w:val="20"/>
              </w:rPr>
              <w:t xml:space="preserve">(95% </w:t>
            </w:r>
            <w:proofErr w:type="gramStart"/>
            <w:r>
              <w:rPr>
                <w:b/>
                <w:bCs/>
                <w:sz w:val="20"/>
              </w:rPr>
              <w:t>CI)</w:t>
            </w:r>
            <w:r>
              <w:rPr>
                <w:b/>
                <w:bCs/>
                <w:sz w:val="20"/>
                <w:vertAlign w:val="superscript"/>
              </w:rPr>
              <w:t>c</w:t>
            </w:r>
            <w:proofErr w:type="gramEnd"/>
          </w:p>
          <w:p w14:paraId="34E7C015" w14:textId="77777777" w:rsidR="00F3669C" w:rsidRDefault="00F3669C" w:rsidP="00753E60">
            <w:pPr>
              <w:keepNext/>
              <w:keepLines/>
              <w:jc w:val="center"/>
              <w:rPr>
                <w:b/>
                <w:bCs/>
                <w:sz w:val="20"/>
              </w:rPr>
            </w:pPr>
          </w:p>
        </w:tc>
      </w:tr>
      <w:tr w:rsidR="00F3669C" w14:paraId="7469669E" w14:textId="77777777" w:rsidTr="001870E4">
        <w:tc>
          <w:tcPr>
            <w:tcW w:w="1255" w:type="dxa"/>
            <w:vMerge/>
            <w:tcBorders>
              <w:top w:val="single" w:sz="4" w:space="0" w:color="auto"/>
              <w:left w:val="single" w:sz="4" w:space="0" w:color="auto"/>
              <w:bottom w:val="single" w:sz="4" w:space="0" w:color="auto"/>
              <w:right w:val="single" w:sz="4" w:space="0" w:color="auto"/>
            </w:tcBorders>
            <w:vAlign w:val="center"/>
            <w:hideMark/>
          </w:tcPr>
          <w:p w14:paraId="2FE34E45" w14:textId="77777777" w:rsidR="00F3669C" w:rsidRDefault="00F3669C" w:rsidP="00753E60">
            <w:pPr>
              <w:keepNext/>
              <w:keepLines/>
              <w:rPr>
                <w:sz w:val="20"/>
              </w:rPr>
            </w:pPr>
          </w:p>
        </w:tc>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E3E8376" w14:textId="77777777" w:rsidR="00F3669C" w:rsidRDefault="00F3669C" w:rsidP="00753E60">
            <w:pPr>
              <w:keepNext/>
              <w:keepLines/>
              <w:jc w:val="center"/>
              <w:rPr>
                <w:b/>
                <w:bCs/>
                <w:sz w:val="20"/>
              </w:rPr>
            </w:pPr>
            <w:r>
              <w:rPr>
                <w:b/>
                <w:bCs/>
                <w:sz w:val="20"/>
              </w:rPr>
              <w:t>Participants</w:t>
            </w:r>
          </w:p>
          <w:p w14:paraId="7F4609E6" w14:textId="77777777" w:rsidR="00F3669C" w:rsidRDefault="00F3669C" w:rsidP="00753E60">
            <w:pPr>
              <w:keepNext/>
              <w:keepLines/>
              <w:jc w:val="center"/>
              <w:rPr>
                <w:b/>
                <w:bCs/>
                <w:sz w:val="20"/>
              </w:rPr>
            </w:pPr>
            <w:r>
              <w:rPr>
                <w:b/>
                <w:bCs/>
                <w:sz w:val="20"/>
              </w:rPr>
              <w:t>(N)</w:t>
            </w:r>
          </w:p>
          <w:p w14:paraId="3CF6BA0F" w14:textId="77777777" w:rsidR="00F3669C" w:rsidRDefault="00F3669C" w:rsidP="00753E60">
            <w:pPr>
              <w:keepNext/>
              <w:keepLines/>
              <w:jc w:val="center"/>
              <w:rPr>
                <w:b/>
                <w:bCs/>
                <w:sz w:val="20"/>
              </w:rPr>
            </w:pPr>
          </w:p>
        </w:tc>
        <w:tc>
          <w:tcPr>
            <w:tcW w:w="12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04CB4E1" w14:textId="77777777" w:rsidR="00F3669C" w:rsidRDefault="00F3669C" w:rsidP="00753E60">
            <w:pPr>
              <w:keepNext/>
              <w:keepLines/>
              <w:jc w:val="center"/>
              <w:rPr>
                <w:b/>
                <w:bCs/>
                <w:sz w:val="20"/>
              </w:rPr>
            </w:pPr>
            <w:r>
              <w:rPr>
                <w:b/>
                <w:bCs/>
                <w:sz w:val="20"/>
              </w:rPr>
              <w:t>COVID-19</w:t>
            </w:r>
          </w:p>
          <w:p w14:paraId="79C3F6FF" w14:textId="77777777" w:rsidR="00F3669C" w:rsidRDefault="00F3669C" w:rsidP="00753E60">
            <w:pPr>
              <w:keepNext/>
              <w:keepLines/>
              <w:jc w:val="center"/>
              <w:rPr>
                <w:b/>
                <w:bCs/>
                <w:sz w:val="20"/>
              </w:rPr>
            </w:pPr>
            <w:r>
              <w:rPr>
                <w:b/>
                <w:bCs/>
                <w:sz w:val="20"/>
              </w:rPr>
              <w:t>cases</w:t>
            </w:r>
          </w:p>
          <w:p w14:paraId="6DE79DFA" w14:textId="77777777" w:rsidR="00F3669C" w:rsidRDefault="00F3669C" w:rsidP="00753E60">
            <w:pPr>
              <w:keepNext/>
              <w:keepLines/>
              <w:jc w:val="center"/>
              <w:rPr>
                <w:b/>
                <w:bCs/>
                <w:sz w:val="20"/>
              </w:rPr>
            </w:pPr>
            <w:r>
              <w:rPr>
                <w:b/>
                <w:bCs/>
                <w:sz w:val="20"/>
              </w:rPr>
              <w:t>(n)</w:t>
            </w:r>
          </w:p>
          <w:p w14:paraId="69A47E13" w14:textId="77777777" w:rsidR="00F3669C" w:rsidRDefault="00F3669C" w:rsidP="00753E60">
            <w:pPr>
              <w:keepNext/>
              <w:keepLines/>
              <w:jc w:val="center"/>
              <w:rPr>
                <w:b/>
                <w:bCs/>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6857B49" w14:textId="77777777" w:rsidR="00F3669C" w:rsidRDefault="00F3669C" w:rsidP="00753E60">
            <w:pPr>
              <w:keepNext/>
              <w:keepLines/>
              <w:jc w:val="center"/>
              <w:rPr>
                <w:b/>
                <w:bCs/>
                <w:sz w:val="20"/>
              </w:rPr>
            </w:pPr>
            <w:r>
              <w:rPr>
                <w:b/>
                <w:bCs/>
                <w:sz w:val="20"/>
              </w:rPr>
              <w:t>Incidence rate of COVID-19</w:t>
            </w:r>
          </w:p>
          <w:p w14:paraId="29D79E4D" w14:textId="77777777" w:rsidR="00F3669C" w:rsidRDefault="00F3669C" w:rsidP="00753E60">
            <w:pPr>
              <w:keepNext/>
              <w:keepLines/>
              <w:jc w:val="center"/>
              <w:rPr>
                <w:b/>
                <w:bCs/>
                <w:sz w:val="20"/>
              </w:rPr>
            </w:pPr>
            <w:r>
              <w:rPr>
                <w:b/>
                <w:bCs/>
                <w:sz w:val="20"/>
              </w:rPr>
              <w:t>per 100 person-months</w:t>
            </w:r>
          </w:p>
          <w:p w14:paraId="4FE0B056" w14:textId="77777777" w:rsidR="00F3669C" w:rsidRDefault="00F3669C" w:rsidP="00753E60">
            <w:pPr>
              <w:keepNext/>
              <w:keepLines/>
              <w:jc w:val="center"/>
              <w:rPr>
                <w:b/>
                <w:bCs/>
                <w:sz w:val="20"/>
              </w:rPr>
            </w:pPr>
          </w:p>
        </w:tc>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9D9AE34" w14:textId="77777777" w:rsidR="00F3669C" w:rsidRDefault="00F3669C" w:rsidP="00753E60">
            <w:pPr>
              <w:keepNext/>
              <w:keepLines/>
              <w:jc w:val="center"/>
              <w:rPr>
                <w:b/>
                <w:bCs/>
                <w:sz w:val="20"/>
              </w:rPr>
            </w:pPr>
            <w:r>
              <w:rPr>
                <w:b/>
                <w:bCs/>
                <w:sz w:val="20"/>
              </w:rPr>
              <w:t>Participants</w:t>
            </w:r>
          </w:p>
          <w:p w14:paraId="2EFCEE5D" w14:textId="77777777" w:rsidR="00F3669C" w:rsidRDefault="00F3669C" w:rsidP="00753E60">
            <w:pPr>
              <w:keepNext/>
              <w:keepLines/>
              <w:jc w:val="center"/>
              <w:rPr>
                <w:b/>
                <w:bCs/>
                <w:sz w:val="20"/>
              </w:rPr>
            </w:pPr>
            <w:r>
              <w:rPr>
                <w:b/>
                <w:bCs/>
                <w:sz w:val="20"/>
              </w:rPr>
              <w:t>(N)</w:t>
            </w:r>
          </w:p>
          <w:p w14:paraId="385127CC" w14:textId="77777777" w:rsidR="00F3669C" w:rsidRDefault="00F3669C" w:rsidP="00753E60">
            <w:pPr>
              <w:keepNext/>
              <w:keepLines/>
              <w:jc w:val="center"/>
              <w:rPr>
                <w:b/>
                <w:bCs/>
                <w:sz w:val="20"/>
              </w:rPr>
            </w:pPr>
          </w:p>
        </w:tc>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C7097ED" w14:textId="77777777" w:rsidR="00F3669C" w:rsidRDefault="00F3669C" w:rsidP="00753E60">
            <w:pPr>
              <w:keepNext/>
              <w:keepLines/>
              <w:jc w:val="center"/>
              <w:rPr>
                <w:b/>
                <w:bCs/>
                <w:sz w:val="20"/>
              </w:rPr>
            </w:pPr>
            <w:r>
              <w:rPr>
                <w:b/>
                <w:bCs/>
                <w:sz w:val="20"/>
              </w:rPr>
              <w:t>COVID-19</w:t>
            </w:r>
          </w:p>
          <w:p w14:paraId="26811845" w14:textId="77777777" w:rsidR="00F3669C" w:rsidRDefault="00F3669C" w:rsidP="00753E60">
            <w:pPr>
              <w:keepNext/>
              <w:keepLines/>
              <w:jc w:val="center"/>
              <w:rPr>
                <w:b/>
                <w:bCs/>
                <w:sz w:val="20"/>
              </w:rPr>
            </w:pPr>
            <w:r>
              <w:rPr>
                <w:b/>
                <w:bCs/>
                <w:sz w:val="20"/>
              </w:rPr>
              <w:t>cases</w:t>
            </w:r>
          </w:p>
          <w:p w14:paraId="418CD93F" w14:textId="77777777" w:rsidR="00F3669C" w:rsidRDefault="00F3669C" w:rsidP="00753E60">
            <w:pPr>
              <w:keepNext/>
              <w:keepLines/>
              <w:jc w:val="center"/>
              <w:rPr>
                <w:b/>
                <w:bCs/>
                <w:sz w:val="20"/>
              </w:rPr>
            </w:pPr>
            <w:r>
              <w:rPr>
                <w:b/>
                <w:bCs/>
                <w:sz w:val="20"/>
              </w:rPr>
              <w:t>(n)</w:t>
            </w:r>
          </w:p>
          <w:p w14:paraId="537718FB" w14:textId="77777777" w:rsidR="00F3669C" w:rsidRDefault="00F3669C" w:rsidP="00753E60">
            <w:pPr>
              <w:keepNext/>
              <w:keepLines/>
              <w:jc w:val="center"/>
              <w:rPr>
                <w:b/>
                <w:bCs/>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B063FE2" w14:textId="77777777" w:rsidR="00F3669C" w:rsidRDefault="00F3669C" w:rsidP="00753E60">
            <w:pPr>
              <w:keepNext/>
              <w:keepLines/>
              <w:jc w:val="center"/>
              <w:rPr>
                <w:b/>
                <w:bCs/>
                <w:sz w:val="20"/>
              </w:rPr>
            </w:pPr>
            <w:r>
              <w:rPr>
                <w:b/>
                <w:bCs/>
                <w:sz w:val="20"/>
              </w:rPr>
              <w:t>Incidence rate of COVID-19</w:t>
            </w:r>
          </w:p>
          <w:p w14:paraId="59CD8DC1" w14:textId="77777777" w:rsidR="00F3669C" w:rsidRDefault="00F3669C" w:rsidP="00753E60">
            <w:pPr>
              <w:keepNext/>
              <w:keepLines/>
              <w:jc w:val="center"/>
              <w:rPr>
                <w:b/>
                <w:bCs/>
                <w:sz w:val="20"/>
              </w:rPr>
            </w:pPr>
            <w:r>
              <w:rPr>
                <w:b/>
                <w:bCs/>
                <w:sz w:val="20"/>
              </w:rPr>
              <w:t>per 100 person-months</w:t>
            </w:r>
          </w:p>
          <w:p w14:paraId="3DC3F7FC" w14:textId="77777777" w:rsidR="00F3669C" w:rsidRDefault="00F3669C" w:rsidP="00753E60">
            <w:pPr>
              <w:keepNext/>
              <w:keepLines/>
              <w:jc w:val="center"/>
              <w:rPr>
                <w:b/>
                <w:bCs/>
                <w:sz w:val="20"/>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220D5458" w14:textId="77777777" w:rsidR="00F3669C" w:rsidRDefault="00F3669C" w:rsidP="00753E60">
            <w:pPr>
              <w:keepNext/>
              <w:keepLines/>
              <w:rPr>
                <w:b/>
                <w:bCs/>
                <w:sz w:val="20"/>
              </w:rPr>
            </w:pPr>
          </w:p>
        </w:tc>
      </w:tr>
      <w:tr w:rsidR="00F3669C" w14:paraId="46061072" w14:textId="77777777" w:rsidTr="00BE6CC2">
        <w:tc>
          <w:tcPr>
            <w:tcW w:w="1255" w:type="dxa"/>
            <w:tcBorders>
              <w:top w:val="single" w:sz="4" w:space="0" w:color="auto"/>
              <w:left w:val="single" w:sz="4" w:space="0" w:color="auto"/>
              <w:bottom w:val="single" w:sz="4" w:space="0" w:color="auto"/>
              <w:right w:val="single" w:sz="4" w:space="0" w:color="auto"/>
            </w:tcBorders>
            <w:vAlign w:val="center"/>
            <w:hideMark/>
          </w:tcPr>
          <w:p w14:paraId="0A92B383" w14:textId="77777777" w:rsidR="00F3669C" w:rsidRDefault="00F3669C" w:rsidP="00753E60">
            <w:pPr>
              <w:keepNext/>
              <w:keepLines/>
              <w:jc w:val="center"/>
              <w:rPr>
                <w:b/>
                <w:bCs/>
                <w:sz w:val="20"/>
              </w:rPr>
            </w:pPr>
            <w:r>
              <w:rPr>
                <w:b/>
                <w:bCs/>
                <w:spacing w:val="1"/>
                <w:sz w:val="20"/>
              </w:rPr>
              <w:t>12 to &lt;18</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8FD62A9" w14:textId="77777777" w:rsidR="00F3669C" w:rsidRDefault="00F3669C" w:rsidP="00753E60">
            <w:pPr>
              <w:keepNext/>
              <w:keepLines/>
              <w:jc w:val="center"/>
              <w:rPr>
                <w:sz w:val="20"/>
              </w:rPr>
            </w:pPr>
            <w:r>
              <w:rPr>
                <w:rFonts w:eastAsia="Calibri" w:hAnsi="Calibri" w:cs="Arial"/>
                <w:sz w:val="20"/>
              </w:rPr>
              <w:t>491</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BBEBE77" w14:textId="77777777" w:rsidR="00F3669C" w:rsidRDefault="00F3669C" w:rsidP="00753E60">
            <w:pPr>
              <w:keepNext/>
              <w:keepLines/>
              <w:jc w:val="center"/>
              <w:rPr>
                <w:sz w:val="20"/>
              </w:rPr>
            </w:pPr>
            <w:r>
              <w:rPr>
                <w:rFonts w:eastAsia="Calibri" w:hAnsi="Calibri" w:cs="Arial"/>
                <w:sz w:val="20"/>
              </w:rPr>
              <w:t>29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F9DC99A" w14:textId="77777777" w:rsidR="00F3669C" w:rsidRDefault="00F3669C" w:rsidP="00753E60">
            <w:pPr>
              <w:keepNext/>
              <w:keepLines/>
              <w:jc w:val="center"/>
              <w:rPr>
                <w:sz w:val="20"/>
              </w:rPr>
            </w:pPr>
            <w:r>
              <w:rPr>
                <w:sz w:val="20"/>
              </w:rPr>
              <w:t>1.0</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34BE1DA" w14:textId="77777777" w:rsidR="00F3669C" w:rsidRDefault="00F3669C" w:rsidP="00753E60">
            <w:pPr>
              <w:keepNext/>
              <w:keepLines/>
              <w:jc w:val="center"/>
              <w:rPr>
                <w:sz w:val="20"/>
              </w:rPr>
            </w:pPr>
            <w:r>
              <w:rPr>
                <w:rFonts w:eastAsia="Calibri" w:hAnsi="Calibri" w:cs="Arial"/>
                <w:sz w:val="20"/>
              </w:rPr>
              <w:t>490</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12437EC" w14:textId="77777777" w:rsidR="00F3669C" w:rsidRDefault="00F3669C" w:rsidP="00753E60">
            <w:pPr>
              <w:keepNext/>
              <w:keepLines/>
              <w:jc w:val="center"/>
              <w:rPr>
                <w:sz w:val="20"/>
              </w:rPr>
            </w:pPr>
            <w:r>
              <w:rPr>
                <w:rFonts w:eastAsia="Calibri" w:hAnsi="Calibri" w:cs="Arial"/>
                <w:sz w:val="20"/>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821666" w14:textId="77777777" w:rsidR="00F3669C" w:rsidRDefault="00F3669C" w:rsidP="00753E60">
            <w:pPr>
              <w:keepNext/>
              <w:keepLines/>
              <w:jc w:val="center"/>
              <w:rPr>
                <w:sz w:val="20"/>
              </w:rPr>
            </w:pPr>
            <w:r>
              <w:rPr>
                <w:sz w:val="20"/>
              </w:rPr>
              <w:t>0.8</w:t>
            </w:r>
          </w:p>
        </w:tc>
        <w:tc>
          <w:tcPr>
            <w:tcW w:w="1355" w:type="dxa"/>
            <w:tcBorders>
              <w:top w:val="single" w:sz="4" w:space="0" w:color="auto"/>
              <w:left w:val="single" w:sz="4" w:space="0" w:color="auto"/>
              <w:bottom w:val="single" w:sz="4" w:space="0" w:color="auto"/>
              <w:right w:val="single" w:sz="4" w:space="0" w:color="auto"/>
            </w:tcBorders>
            <w:hideMark/>
          </w:tcPr>
          <w:p w14:paraId="4AA233B4" w14:textId="77777777" w:rsidR="00F3669C" w:rsidRDefault="00F3669C" w:rsidP="00753E60">
            <w:pPr>
              <w:keepNext/>
              <w:keepLines/>
              <w:jc w:val="center"/>
              <w:rPr>
                <w:rFonts w:eastAsia="Calibri" w:hAnsi="Calibri" w:cs="Arial"/>
                <w:sz w:val="20"/>
              </w:rPr>
            </w:pPr>
            <w:r>
              <w:rPr>
                <w:rFonts w:eastAsia="Calibri" w:hAnsi="Calibri" w:cs="Arial"/>
                <w:sz w:val="20"/>
              </w:rPr>
              <w:t>-29.2</w:t>
            </w:r>
          </w:p>
          <w:p w14:paraId="4BA64DDE" w14:textId="77777777" w:rsidR="00F3669C" w:rsidRDefault="00F3669C" w:rsidP="00753E60">
            <w:pPr>
              <w:keepNext/>
              <w:keepLines/>
              <w:jc w:val="center"/>
              <w:rPr>
                <w:rFonts w:eastAsiaTheme="minorHAnsi"/>
                <w:sz w:val="20"/>
              </w:rPr>
            </w:pPr>
            <w:r>
              <w:rPr>
                <w:rFonts w:eastAsia="Calibri" w:hAnsi="Calibri" w:cs="Arial"/>
                <w:sz w:val="20"/>
              </w:rPr>
              <w:t>(-123.3, 25.3)</w:t>
            </w:r>
          </w:p>
        </w:tc>
      </w:tr>
      <w:tr w:rsidR="00F3669C" w14:paraId="21A81844" w14:textId="77777777" w:rsidTr="00BE6CC2">
        <w:tc>
          <w:tcPr>
            <w:tcW w:w="1255" w:type="dxa"/>
            <w:tcBorders>
              <w:top w:val="single" w:sz="4" w:space="0" w:color="auto"/>
              <w:left w:val="single" w:sz="4" w:space="0" w:color="auto"/>
              <w:bottom w:val="single" w:sz="4" w:space="0" w:color="auto"/>
              <w:right w:val="single" w:sz="4" w:space="0" w:color="auto"/>
            </w:tcBorders>
            <w:vAlign w:val="center"/>
            <w:hideMark/>
          </w:tcPr>
          <w:p w14:paraId="71B1B43C" w14:textId="77777777" w:rsidR="00F3669C" w:rsidRDefault="00F3669C" w:rsidP="00753E60">
            <w:pPr>
              <w:keepNext/>
              <w:keepLines/>
              <w:jc w:val="center"/>
              <w:rPr>
                <w:sz w:val="20"/>
              </w:rPr>
            </w:pPr>
            <w:r>
              <w:rPr>
                <w:rFonts w:eastAsia="Calibri" w:hAnsi="Calibri" w:cs="Arial"/>
                <w:b/>
                <w:sz w:val="20"/>
              </w:rPr>
              <w:t>18</w:t>
            </w:r>
            <w:r>
              <w:rPr>
                <w:rFonts w:eastAsia="Calibri" w:hAnsi="Calibri" w:cs="Arial"/>
                <w:b/>
                <w:spacing w:val="-3"/>
                <w:sz w:val="20"/>
              </w:rPr>
              <w:t xml:space="preserve"> </w:t>
            </w:r>
            <w:r>
              <w:rPr>
                <w:rFonts w:eastAsia="Calibri" w:hAnsi="Calibri" w:cs="Arial"/>
                <w:b/>
                <w:sz w:val="20"/>
              </w:rPr>
              <w:t>to</w:t>
            </w:r>
            <w:r>
              <w:rPr>
                <w:rFonts w:eastAsia="Calibri" w:hAnsi="Calibri" w:cs="Arial"/>
                <w:b/>
                <w:spacing w:val="-4"/>
                <w:sz w:val="20"/>
              </w:rPr>
              <w:t xml:space="preserve"> </w:t>
            </w:r>
            <w:r>
              <w:rPr>
                <w:rFonts w:eastAsia="Calibri" w:hAnsi="Calibri" w:cs="Arial"/>
                <w:b/>
                <w:sz w:val="20"/>
              </w:rPr>
              <w:t>&lt;65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95C654C" w14:textId="194EAB78" w:rsidR="00F3669C" w:rsidRDefault="00F3669C" w:rsidP="00753E60">
            <w:pPr>
              <w:keepNext/>
              <w:keepLines/>
              <w:jc w:val="center"/>
              <w:rPr>
                <w:sz w:val="20"/>
              </w:rPr>
            </w:pPr>
            <w:r>
              <w:rPr>
                <w:sz w:val="20"/>
              </w:rPr>
              <w:t>3</w:t>
            </w:r>
            <w:r w:rsidR="00E322E8">
              <w:rPr>
                <w:sz w:val="20"/>
              </w:rPr>
              <w:t xml:space="preserve"> </w:t>
            </w:r>
            <w:r>
              <w:rPr>
                <w:sz w:val="20"/>
              </w:rPr>
              <w:t>558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8A6E60E" w14:textId="77777777" w:rsidR="00F3669C" w:rsidRDefault="00F3669C" w:rsidP="00753E60">
            <w:pPr>
              <w:keepNext/>
              <w:keepLines/>
              <w:jc w:val="center"/>
              <w:rPr>
                <w:sz w:val="20"/>
              </w:rPr>
            </w:pPr>
            <w:r>
              <w:rPr>
                <w:sz w:val="20"/>
              </w:rPr>
              <w:t>382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D491EF" w14:textId="77777777" w:rsidR="00F3669C" w:rsidRDefault="00F3669C" w:rsidP="00753E60">
            <w:pPr>
              <w:keepNext/>
              <w:keepLines/>
              <w:jc w:val="center"/>
              <w:rPr>
                <w:sz w:val="20"/>
              </w:rPr>
            </w:pPr>
            <w:r>
              <w:rPr>
                <w:sz w:val="20"/>
              </w:rPr>
              <w:t>1.4</w:t>
            </w:r>
          </w:p>
        </w:tc>
        <w:tc>
          <w:tcPr>
            <w:tcW w:w="1265" w:type="dxa"/>
            <w:tcBorders>
              <w:top w:val="single" w:sz="4" w:space="0" w:color="auto"/>
              <w:left w:val="single" w:sz="4" w:space="0" w:color="auto"/>
              <w:bottom w:val="single" w:sz="4" w:space="0" w:color="auto"/>
              <w:right w:val="single" w:sz="4" w:space="0" w:color="auto"/>
            </w:tcBorders>
            <w:vAlign w:val="center"/>
            <w:hideMark/>
          </w:tcPr>
          <w:p w14:paraId="36EF5890" w14:textId="17E5A04C" w:rsidR="00F3669C" w:rsidRDefault="00F3669C" w:rsidP="00753E60">
            <w:pPr>
              <w:keepNext/>
              <w:keepLines/>
              <w:jc w:val="center"/>
              <w:rPr>
                <w:sz w:val="20"/>
              </w:rPr>
            </w:pPr>
            <w:r>
              <w:rPr>
                <w:sz w:val="20"/>
              </w:rPr>
              <w:t>3</w:t>
            </w:r>
            <w:r w:rsidR="00E322E8">
              <w:rPr>
                <w:sz w:val="20"/>
              </w:rPr>
              <w:t xml:space="preserve"> </w:t>
            </w:r>
            <w:r>
              <w:rPr>
                <w:sz w:val="20"/>
              </w:rPr>
              <w:t>562</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72564E1" w14:textId="77777777" w:rsidR="00F3669C" w:rsidRDefault="00F3669C" w:rsidP="00753E60">
            <w:pPr>
              <w:keepNext/>
              <w:keepLines/>
              <w:jc w:val="center"/>
              <w:rPr>
                <w:sz w:val="20"/>
              </w:rPr>
            </w:pPr>
            <w:r>
              <w:rPr>
                <w:sz w:val="20"/>
              </w:rPr>
              <w:t>422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09BDA0B" w14:textId="77777777" w:rsidR="00F3669C" w:rsidRDefault="00F3669C" w:rsidP="00753E60">
            <w:pPr>
              <w:keepNext/>
              <w:keepLines/>
              <w:jc w:val="center"/>
              <w:rPr>
                <w:sz w:val="20"/>
              </w:rPr>
            </w:pPr>
            <w:r>
              <w:rPr>
                <w:sz w:val="20"/>
              </w:rPr>
              <w:t>1.6</w:t>
            </w:r>
          </w:p>
        </w:tc>
        <w:tc>
          <w:tcPr>
            <w:tcW w:w="1355" w:type="dxa"/>
            <w:tcBorders>
              <w:top w:val="single" w:sz="4" w:space="0" w:color="auto"/>
              <w:left w:val="single" w:sz="4" w:space="0" w:color="auto"/>
              <w:bottom w:val="single" w:sz="4" w:space="0" w:color="auto"/>
              <w:right w:val="single" w:sz="4" w:space="0" w:color="auto"/>
            </w:tcBorders>
            <w:hideMark/>
          </w:tcPr>
          <w:p w14:paraId="4608845B" w14:textId="77777777" w:rsidR="00F3669C" w:rsidRDefault="00F3669C" w:rsidP="00753E60">
            <w:pPr>
              <w:keepNext/>
              <w:keepLines/>
              <w:jc w:val="center"/>
              <w:rPr>
                <w:sz w:val="20"/>
              </w:rPr>
            </w:pPr>
            <w:r>
              <w:rPr>
                <w:sz w:val="20"/>
              </w:rPr>
              <w:t>9.7</w:t>
            </w:r>
          </w:p>
          <w:p w14:paraId="4FCA5EEA" w14:textId="77777777" w:rsidR="00F3669C" w:rsidRDefault="00F3669C" w:rsidP="00753E60">
            <w:pPr>
              <w:keepNext/>
              <w:keepLines/>
              <w:jc w:val="center"/>
              <w:rPr>
                <w:rFonts w:eastAsiaTheme="minorHAnsi"/>
                <w:sz w:val="20"/>
              </w:rPr>
            </w:pPr>
            <w:r>
              <w:rPr>
                <w:sz w:val="20"/>
              </w:rPr>
              <w:t>(-3.8, 21.3)</w:t>
            </w:r>
          </w:p>
        </w:tc>
      </w:tr>
      <w:tr w:rsidR="00F3669C" w14:paraId="7B439A85" w14:textId="77777777" w:rsidTr="00BE6CC2">
        <w:tc>
          <w:tcPr>
            <w:tcW w:w="1255" w:type="dxa"/>
            <w:tcBorders>
              <w:top w:val="single" w:sz="4" w:space="0" w:color="auto"/>
              <w:left w:val="single" w:sz="4" w:space="0" w:color="auto"/>
              <w:bottom w:val="single" w:sz="4" w:space="0" w:color="auto"/>
              <w:right w:val="single" w:sz="4" w:space="0" w:color="auto"/>
            </w:tcBorders>
            <w:vAlign w:val="center"/>
            <w:hideMark/>
          </w:tcPr>
          <w:p w14:paraId="48B7B9B3" w14:textId="77777777" w:rsidR="00F3669C" w:rsidRDefault="00F3669C" w:rsidP="00753E60">
            <w:pPr>
              <w:keepNext/>
              <w:keepLines/>
              <w:jc w:val="center"/>
              <w:rPr>
                <w:sz w:val="20"/>
              </w:rPr>
            </w:pPr>
            <w:r>
              <w:rPr>
                <w:b/>
                <w:bCs/>
                <w:spacing w:val="1"/>
                <w:sz w:val="20"/>
              </w:rPr>
              <w:t>≥65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B5BEF6E" w14:textId="0C0150E7" w:rsidR="00F3669C" w:rsidRDefault="00F3669C" w:rsidP="00753E60">
            <w:pPr>
              <w:keepNext/>
              <w:keepLines/>
              <w:jc w:val="center"/>
              <w:rPr>
                <w:sz w:val="20"/>
              </w:rPr>
            </w:pPr>
            <w:r>
              <w:rPr>
                <w:sz w:val="20"/>
              </w:rPr>
              <w:t>1</w:t>
            </w:r>
            <w:r w:rsidR="00E322E8">
              <w:rPr>
                <w:sz w:val="20"/>
              </w:rPr>
              <w:t xml:space="preserve"> </w:t>
            </w:r>
            <w:r>
              <w:rPr>
                <w:sz w:val="20"/>
              </w:rPr>
              <w:t>630</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0FD1BEA" w14:textId="77777777" w:rsidR="00F3669C" w:rsidRDefault="00F3669C" w:rsidP="00753E60">
            <w:pPr>
              <w:keepNext/>
              <w:keepLines/>
              <w:jc w:val="center"/>
              <w:rPr>
                <w:sz w:val="20"/>
              </w:rPr>
            </w:pPr>
            <w:r>
              <w:rPr>
                <w:sz w:val="20"/>
              </w:rPr>
              <w:t>149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24A864" w14:textId="77777777" w:rsidR="00F3669C" w:rsidRDefault="00F3669C" w:rsidP="00753E60">
            <w:pPr>
              <w:keepNext/>
              <w:keepLines/>
              <w:jc w:val="center"/>
              <w:rPr>
                <w:sz w:val="20"/>
              </w:rPr>
            </w:pPr>
            <w:r>
              <w:rPr>
                <w:sz w:val="20"/>
              </w:rPr>
              <w:t>1.3</w:t>
            </w:r>
          </w:p>
        </w:tc>
        <w:tc>
          <w:tcPr>
            <w:tcW w:w="1265" w:type="dxa"/>
            <w:tcBorders>
              <w:top w:val="single" w:sz="4" w:space="0" w:color="auto"/>
              <w:left w:val="single" w:sz="4" w:space="0" w:color="auto"/>
              <w:bottom w:val="single" w:sz="4" w:space="0" w:color="auto"/>
              <w:right w:val="single" w:sz="4" w:space="0" w:color="auto"/>
            </w:tcBorders>
            <w:vAlign w:val="center"/>
            <w:hideMark/>
          </w:tcPr>
          <w:p w14:paraId="7E5CC9A2" w14:textId="1EA1BA42" w:rsidR="00F3669C" w:rsidRDefault="00F3669C" w:rsidP="00753E60">
            <w:pPr>
              <w:keepNext/>
              <w:keepLines/>
              <w:jc w:val="center"/>
              <w:rPr>
                <w:sz w:val="20"/>
              </w:rPr>
            </w:pPr>
            <w:r>
              <w:rPr>
                <w:sz w:val="20"/>
              </w:rPr>
              <w:t>1</w:t>
            </w:r>
            <w:r w:rsidR="00E322E8">
              <w:rPr>
                <w:sz w:val="20"/>
              </w:rPr>
              <w:t xml:space="preserve"> </w:t>
            </w:r>
            <w:r>
              <w:rPr>
                <w:sz w:val="20"/>
              </w:rPr>
              <w:t>635</w:t>
            </w:r>
          </w:p>
        </w:tc>
        <w:tc>
          <w:tcPr>
            <w:tcW w:w="1165" w:type="dxa"/>
            <w:tcBorders>
              <w:top w:val="single" w:sz="4" w:space="0" w:color="auto"/>
              <w:left w:val="single" w:sz="4" w:space="0" w:color="auto"/>
              <w:bottom w:val="single" w:sz="4" w:space="0" w:color="auto"/>
              <w:right w:val="single" w:sz="4" w:space="0" w:color="auto"/>
            </w:tcBorders>
            <w:vAlign w:val="center"/>
            <w:hideMark/>
          </w:tcPr>
          <w:p w14:paraId="48B04CBA" w14:textId="77777777" w:rsidR="00F3669C" w:rsidRDefault="00F3669C" w:rsidP="00753E60">
            <w:pPr>
              <w:keepNext/>
              <w:keepLines/>
              <w:jc w:val="center"/>
              <w:rPr>
                <w:sz w:val="20"/>
              </w:rPr>
            </w:pPr>
            <w:r>
              <w:rPr>
                <w:sz w:val="20"/>
              </w:rPr>
              <w:t>172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7C6598" w14:textId="77777777" w:rsidR="00F3669C" w:rsidRDefault="00F3669C" w:rsidP="00753E60">
            <w:pPr>
              <w:keepNext/>
              <w:keepLines/>
              <w:jc w:val="center"/>
              <w:rPr>
                <w:sz w:val="20"/>
              </w:rPr>
            </w:pPr>
            <w:r>
              <w:rPr>
                <w:sz w:val="20"/>
              </w:rPr>
              <w:t>1.5</w:t>
            </w:r>
          </w:p>
        </w:tc>
        <w:tc>
          <w:tcPr>
            <w:tcW w:w="1355" w:type="dxa"/>
            <w:tcBorders>
              <w:top w:val="single" w:sz="4" w:space="0" w:color="auto"/>
              <w:left w:val="single" w:sz="4" w:space="0" w:color="auto"/>
              <w:bottom w:val="single" w:sz="4" w:space="0" w:color="auto"/>
              <w:right w:val="single" w:sz="4" w:space="0" w:color="auto"/>
            </w:tcBorders>
            <w:hideMark/>
          </w:tcPr>
          <w:p w14:paraId="755252E1" w14:textId="77777777" w:rsidR="00F3669C" w:rsidRDefault="00F3669C" w:rsidP="00753E60">
            <w:pPr>
              <w:keepNext/>
              <w:keepLines/>
              <w:jc w:val="center"/>
              <w:rPr>
                <w:sz w:val="20"/>
              </w:rPr>
            </w:pPr>
            <w:r>
              <w:rPr>
                <w:sz w:val="20"/>
              </w:rPr>
              <w:t>13.5</w:t>
            </w:r>
          </w:p>
          <w:p w14:paraId="724279B2" w14:textId="77777777" w:rsidR="00F3669C" w:rsidRDefault="00F3669C" w:rsidP="00753E60">
            <w:pPr>
              <w:keepNext/>
              <w:keepLines/>
              <w:jc w:val="center"/>
              <w:rPr>
                <w:rFonts w:eastAsiaTheme="minorHAnsi"/>
                <w:sz w:val="20"/>
              </w:rPr>
            </w:pPr>
            <w:r>
              <w:rPr>
                <w:sz w:val="20"/>
              </w:rPr>
              <w:t>(-7.7, 30.6)</w:t>
            </w:r>
          </w:p>
        </w:tc>
      </w:tr>
    </w:tbl>
    <w:p w14:paraId="701FE0D6" w14:textId="77777777" w:rsidR="00F3669C" w:rsidRDefault="00F3669C" w:rsidP="001E1D6F">
      <w:pPr>
        <w:widowControl w:val="0"/>
        <w:spacing w:after="0" w:line="240" w:lineRule="auto"/>
        <w:ind w:left="144" w:hanging="144"/>
        <w:rPr>
          <w:sz w:val="20"/>
        </w:rPr>
      </w:pPr>
      <w:r>
        <w:rPr>
          <w:sz w:val="20"/>
        </w:rPr>
        <w:t>* Presence of at least one symptom from a list of COVID-19 symptoms and a positive NP swab for SARS</w:t>
      </w:r>
      <w:r>
        <w:rPr>
          <w:sz w:val="20"/>
        </w:rPr>
        <w:noBreakHyphen/>
        <w:t>CoV</w:t>
      </w:r>
      <w:r>
        <w:rPr>
          <w:sz w:val="20"/>
        </w:rPr>
        <w:noBreakHyphen/>
        <w:t xml:space="preserve">2 by RT-PCR. Listed symptoms were fever (temperature &gt;38°C / ≥100.4°F), or chills, cough, shortness of breath or difficulty breathing, fatigue, muscle aches, or body aches, headache, new loss of taste or smell, sore throat, congestion or runny nose, nausea, or vomiting or </w:t>
      </w:r>
      <w:proofErr w:type="spellStart"/>
      <w:r>
        <w:rPr>
          <w:sz w:val="20"/>
        </w:rPr>
        <w:t>diarrhoea</w:t>
      </w:r>
      <w:proofErr w:type="spellEnd"/>
      <w:r>
        <w:rPr>
          <w:sz w:val="20"/>
        </w:rPr>
        <w:t>. </w:t>
      </w:r>
    </w:p>
    <w:p w14:paraId="12016AE8" w14:textId="77777777" w:rsidR="00F3669C" w:rsidRDefault="00F3669C" w:rsidP="001E1D6F">
      <w:pPr>
        <w:widowControl w:val="0"/>
        <w:spacing w:after="0" w:line="240" w:lineRule="auto"/>
        <w:ind w:left="144" w:hanging="144"/>
        <w:rPr>
          <w:sz w:val="20"/>
        </w:rPr>
      </w:pPr>
      <w:proofErr w:type="gramStart"/>
      <w:r>
        <w:rPr>
          <w:sz w:val="20"/>
          <w:vertAlign w:val="superscript"/>
        </w:rPr>
        <w:t>a</w:t>
      </w:r>
      <w:r>
        <w:rPr>
          <w:sz w:val="20"/>
        </w:rPr>
        <w:t xml:space="preserve"> Dosing</w:t>
      </w:r>
      <w:proofErr w:type="gramEnd"/>
      <w:r>
        <w:rPr>
          <w:sz w:val="20"/>
        </w:rPr>
        <w:t xml:space="preserve"> was a single dose (10 mcg mRNA).</w:t>
      </w:r>
    </w:p>
    <w:p w14:paraId="5B6EEED1" w14:textId="77777777" w:rsidR="00F3669C" w:rsidRDefault="00F3669C" w:rsidP="001E1D6F">
      <w:pPr>
        <w:widowControl w:val="0"/>
        <w:spacing w:after="0" w:line="240" w:lineRule="auto"/>
        <w:ind w:left="144" w:hanging="144"/>
        <w:rPr>
          <w:sz w:val="20"/>
        </w:rPr>
      </w:pPr>
      <w:r>
        <w:rPr>
          <w:sz w:val="20"/>
          <w:vertAlign w:val="superscript"/>
        </w:rPr>
        <w:t>b</w:t>
      </w:r>
      <w:r>
        <w:rPr>
          <w:sz w:val="20"/>
        </w:rPr>
        <w:t xml:space="preserve"> Dosing was a single dose (50 mcg mRNA).</w:t>
      </w:r>
    </w:p>
    <w:p w14:paraId="49CCAC08" w14:textId="32C2CB06" w:rsidR="00F3669C" w:rsidRDefault="00F3669C" w:rsidP="001E1D6F">
      <w:pPr>
        <w:widowControl w:val="0"/>
        <w:spacing w:after="0" w:line="240" w:lineRule="auto"/>
        <w:ind w:left="90" w:hanging="90"/>
        <w:rPr>
          <w:rFonts w:cs="Arial"/>
          <w:sz w:val="24"/>
          <w:szCs w:val="24"/>
        </w:rPr>
      </w:pPr>
      <w:r>
        <w:rPr>
          <w:sz w:val="20"/>
          <w:vertAlign w:val="superscript"/>
        </w:rPr>
        <w:t>c</w:t>
      </w:r>
      <w:r>
        <w:rPr>
          <w:sz w:val="20"/>
        </w:rPr>
        <w:t xml:space="preserve"> Relative vaccine efficacy (</w:t>
      </w:r>
      <w:proofErr w:type="spellStart"/>
      <w:r>
        <w:rPr>
          <w:sz w:val="20"/>
        </w:rPr>
        <w:t>rVE</w:t>
      </w:r>
      <w:proofErr w:type="spellEnd"/>
      <w:r>
        <w:rPr>
          <w:sz w:val="20"/>
        </w:rPr>
        <w:t xml:space="preserve">) = </w:t>
      </w:r>
      <w:r>
        <w:rPr>
          <w:rFonts w:eastAsia="Calibri"/>
          <w:sz w:val="20"/>
        </w:rPr>
        <w:t>1-hazard ratio (</w:t>
      </w:r>
      <w:r w:rsidR="00170E15">
        <w:rPr>
          <w:rFonts w:eastAsia="Calibri"/>
          <w:sz w:val="20"/>
        </w:rPr>
        <w:t>mNEXSPIKE</w:t>
      </w:r>
      <w:r>
        <w:rPr>
          <w:rFonts w:eastAsia="Calibri"/>
          <w:sz w:val="20"/>
        </w:rPr>
        <w:t xml:space="preserve"> vs. </w:t>
      </w:r>
      <w:r w:rsidRPr="00F54941">
        <w:rPr>
          <w:rFonts w:eastAsia="Calibri"/>
          <w:sz w:val="20"/>
        </w:rPr>
        <w:t>Spikevax bivalent Original/Omicron BA.4</w:t>
      </w:r>
      <w:r>
        <w:rPr>
          <w:rFonts w:eastAsia="Calibri"/>
          <w:sz w:val="20"/>
        </w:rPr>
        <w:noBreakHyphen/>
      </w:r>
      <w:r w:rsidRPr="00F54941">
        <w:rPr>
          <w:rFonts w:eastAsia="Calibri"/>
          <w:sz w:val="20"/>
        </w:rPr>
        <w:t>5</w:t>
      </w:r>
      <w:r>
        <w:rPr>
          <w:rFonts w:eastAsia="Calibri"/>
          <w:sz w:val="20"/>
        </w:rPr>
        <w:t xml:space="preserve">). Hazard ratio and CI are estimated </w:t>
      </w:r>
      <w:proofErr w:type="gramStart"/>
      <w:r>
        <w:rPr>
          <w:rFonts w:eastAsia="Calibri"/>
          <w:sz w:val="20"/>
        </w:rPr>
        <w:t>using</w:t>
      </w:r>
      <w:proofErr w:type="gramEnd"/>
      <w:r>
        <w:rPr>
          <w:rFonts w:eastAsia="Calibri"/>
          <w:sz w:val="20"/>
        </w:rPr>
        <w:t xml:space="preserve"> a Cox proportional hazard model with Efron's method of tie handling and with the treatment group as a fixed effect.</w:t>
      </w:r>
    </w:p>
    <w:p w14:paraId="6DF07034" w14:textId="75F3848F" w:rsidR="00F3669C" w:rsidRDefault="00F3669C" w:rsidP="00F3669C">
      <w:pPr>
        <w:widowControl w:val="0"/>
        <w:spacing w:line="240" w:lineRule="auto"/>
        <w:rPr>
          <w:rFonts w:eastAsia="Calibri"/>
        </w:rPr>
      </w:pPr>
      <w:r>
        <w:rPr>
          <w:rFonts w:eastAsia="Calibri"/>
        </w:rPr>
        <w:lastRenderedPageBreak/>
        <w:t xml:space="preserve">The primary immunogenicity analysis population included 621 participants who received </w:t>
      </w:r>
      <w:r w:rsidR="00170E15">
        <w:rPr>
          <w:rFonts w:eastAsia="Calibri"/>
        </w:rPr>
        <w:t>mNEXSPIKE</w:t>
      </w:r>
      <w:r>
        <w:rPr>
          <w:rFonts w:eastAsia="Calibri"/>
        </w:rPr>
        <w:t xml:space="preserve"> and 568 participants who received comparator vaccine. Among participants assessed for immunogenicity, 45.3% were male, 54.7% were female, 13.5% were Hispanic or Latino, 80.7% were White, 11.9% were African American or Black, 4.0% were Asian, &lt;0.1% were American Indian or Alaska Native, &lt;0.1% were Native Hawaiian or Pacific Islander, 0.3% were other races, and 2.1% were Multiracial.</w:t>
      </w:r>
      <w:r w:rsidR="00BE77E0">
        <w:rPr>
          <w:rFonts w:eastAsia="Calibri"/>
        </w:rPr>
        <w:t xml:space="preserve"> </w:t>
      </w:r>
    </w:p>
    <w:p w14:paraId="6C8B75A3" w14:textId="74DF94B5" w:rsidR="00F3669C" w:rsidRDefault="00F3669C" w:rsidP="001E1D6F">
      <w:pPr>
        <w:autoSpaceDE w:val="0"/>
        <w:autoSpaceDN w:val="0"/>
        <w:adjustRightInd w:val="0"/>
        <w:spacing w:line="240" w:lineRule="auto"/>
        <w:rPr>
          <w:rFonts w:eastAsia="Calibri"/>
        </w:rPr>
      </w:pPr>
      <w:r w:rsidRPr="00512A4D">
        <w:rPr>
          <w:rFonts w:eastAsia="Calibri"/>
        </w:rPr>
        <w:t xml:space="preserve">A comparison of </w:t>
      </w:r>
      <w:proofErr w:type="spellStart"/>
      <w:r w:rsidRPr="00512A4D">
        <w:rPr>
          <w:rFonts w:eastAsia="Calibri"/>
        </w:rPr>
        <w:t>neutralising</w:t>
      </w:r>
      <w:proofErr w:type="spellEnd"/>
      <w:r w:rsidRPr="00512A4D">
        <w:rPr>
          <w:rFonts w:eastAsia="Calibri"/>
        </w:rPr>
        <w:t xml:space="preserve"> antibody concentrations against a </w:t>
      </w:r>
      <w:proofErr w:type="spellStart"/>
      <w:r w:rsidRPr="00512A4D">
        <w:rPr>
          <w:rFonts w:eastAsia="Calibri"/>
        </w:rPr>
        <w:t>pseudovirus</w:t>
      </w:r>
      <w:proofErr w:type="spellEnd"/>
      <w:r w:rsidRPr="00512A4D">
        <w:rPr>
          <w:rFonts w:eastAsia="Calibri"/>
        </w:rPr>
        <w:t xml:space="preserve"> expressing SARS-CoV-2 Spike protein</w:t>
      </w:r>
      <w:r>
        <w:rPr>
          <w:rFonts w:eastAsia="Calibri"/>
        </w:rPr>
        <w:t>s from the</w:t>
      </w:r>
      <w:r w:rsidRPr="00512A4D">
        <w:rPr>
          <w:rFonts w:eastAsia="Calibri"/>
        </w:rPr>
        <w:t xml:space="preserve"> </w:t>
      </w:r>
      <w:r w:rsidRPr="00AD271F">
        <w:rPr>
          <w:rFonts w:eastAsia="Calibri"/>
        </w:rPr>
        <w:t xml:space="preserve">original </w:t>
      </w:r>
      <w:r>
        <w:rPr>
          <w:rFonts w:eastAsia="Calibri"/>
        </w:rPr>
        <w:t xml:space="preserve">and </w:t>
      </w:r>
      <w:r w:rsidRPr="00512A4D">
        <w:rPr>
          <w:rFonts w:eastAsia="Calibri"/>
        </w:rPr>
        <w:t>Omicron BA.4/BA.5</w:t>
      </w:r>
      <w:r>
        <w:rPr>
          <w:rFonts w:eastAsia="Calibri"/>
        </w:rPr>
        <w:t xml:space="preserve"> strains</w:t>
      </w:r>
      <w:r w:rsidRPr="00512A4D">
        <w:rPr>
          <w:rFonts w:eastAsia="Calibri"/>
        </w:rPr>
        <w:t xml:space="preserve"> was conducted. In the primary immunogenicity analyses of the GMC ratio following </w:t>
      </w:r>
      <w:r w:rsidR="00170E15">
        <w:rPr>
          <w:rFonts w:eastAsia="Calibri"/>
        </w:rPr>
        <w:t>mNEXSPIKE</w:t>
      </w:r>
      <w:r w:rsidRPr="00512A4D">
        <w:rPr>
          <w:rFonts w:eastAsia="Calibri"/>
        </w:rPr>
        <w:t xml:space="preserve"> compared to after </w:t>
      </w:r>
      <w:r>
        <w:rPr>
          <w:rFonts w:eastAsia="Calibri"/>
        </w:rPr>
        <w:t>the comparator vaccine</w:t>
      </w:r>
      <w:r w:rsidRPr="00512A4D">
        <w:rPr>
          <w:rFonts w:eastAsia="Calibri"/>
        </w:rPr>
        <w:t xml:space="preserve">, </w:t>
      </w:r>
      <w:r w:rsidR="00170E15">
        <w:rPr>
          <w:rFonts w:eastAsia="Calibri"/>
        </w:rPr>
        <w:t>mNEXSPIKE</w:t>
      </w:r>
      <w:r w:rsidRPr="00512A4D">
        <w:rPr>
          <w:rFonts w:eastAsia="Calibri"/>
        </w:rPr>
        <w:t xml:space="preserve"> met </w:t>
      </w:r>
      <w:r w:rsidRPr="00512A4D">
        <w:t>the pre-specified non</w:t>
      </w:r>
      <w:r>
        <w:noBreakHyphen/>
      </w:r>
      <w:r w:rsidRPr="00512A4D">
        <w:t>inferiority criterion of the lower bound of the 95% CI &gt;0.667</w:t>
      </w:r>
      <w:r w:rsidRPr="00512A4D">
        <w:rPr>
          <w:rFonts w:eastAsia="Calibri"/>
        </w:rPr>
        <w:t xml:space="preserve">. Analyses of the difference in </w:t>
      </w:r>
      <w:proofErr w:type="spellStart"/>
      <w:r w:rsidRPr="00512A4D">
        <w:rPr>
          <w:rFonts w:eastAsia="Calibri"/>
        </w:rPr>
        <w:t>seroresponse</w:t>
      </w:r>
      <w:proofErr w:type="spellEnd"/>
      <w:r w:rsidRPr="00512A4D">
        <w:rPr>
          <w:rFonts w:eastAsia="Calibri"/>
        </w:rPr>
        <w:t xml:space="preserve"> rates</w:t>
      </w:r>
      <w:r w:rsidRPr="00390491">
        <w:rPr>
          <w:rFonts w:eastAsia="Calibri"/>
        </w:rPr>
        <w:t xml:space="preserve"> </w:t>
      </w:r>
      <w:r w:rsidRPr="00512A4D">
        <w:rPr>
          <w:rFonts w:eastAsia="Calibri"/>
        </w:rPr>
        <w:t xml:space="preserve">also </w:t>
      </w:r>
      <w:r w:rsidRPr="00512A4D">
        <w:t>met the pre-specified non</w:t>
      </w:r>
      <w:r w:rsidRPr="00512A4D">
        <w:noBreakHyphen/>
        <w:t>inferiority criterion with the lower bound of the 95%</w:t>
      </w:r>
      <w:r>
        <w:t> </w:t>
      </w:r>
      <w:r w:rsidRPr="00512A4D">
        <w:t>CI of the SRR-difference &gt;-10%</w:t>
      </w:r>
      <w:r w:rsidRPr="00512A4D">
        <w:rPr>
          <w:rFonts w:eastAsia="Calibri"/>
        </w:rPr>
        <w:t>.</w:t>
      </w:r>
      <w:r w:rsidRPr="00390491">
        <w:rPr>
          <w:rFonts w:eastAsia="Calibri"/>
        </w:rPr>
        <w:t xml:space="preserve"> These analyses are </w:t>
      </w:r>
      <w:proofErr w:type="spellStart"/>
      <w:r w:rsidRPr="00390491">
        <w:rPr>
          <w:rFonts w:eastAsia="Calibri"/>
        </w:rPr>
        <w:t>summarised</w:t>
      </w:r>
      <w:proofErr w:type="spellEnd"/>
      <w:r w:rsidRPr="00390491">
        <w:rPr>
          <w:rFonts w:eastAsia="Calibri"/>
        </w:rPr>
        <w:t xml:space="preserve"> in Table </w:t>
      </w:r>
      <w:r w:rsidR="00005F11">
        <w:rPr>
          <w:rFonts w:eastAsia="Calibri"/>
        </w:rPr>
        <w:t>7</w:t>
      </w:r>
      <w:r w:rsidRPr="00390491">
        <w:rPr>
          <w:rFonts w:eastAsia="Calibri"/>
        </w:rPr>
        <w:t xml:space="preserve"> and Table </w:t>
      </w:r>
      <w:r w:rsidR="00005F11">
        <w:rPr>
          <w:rFonts w:eastAsia="Calibri"/>
        </w:rPr>
        <w:t>8</w:t>
      </w:r>
      <w:r w:rsidRPr="00390491">
        <w:rPr>
          <w:rFonts w:eastAsia="Calibri"/>
        </w:rPr>
        <w:t>.</w:t>
      </w:r>
    </w:p>
    <w:p w14:paraId="7F087918" w14:textId="690B4F73" w:rsidR="00F3669C" w:rsidRPr="001E1D6F" w:rsidRDefault="00F3669C" w:rsidP="001E1D6F">
      <w:pPr>
        <w:rPr>
          <w:b/>
          <w:bCs/>
        </w:rPr>
      </w:pPr>
      <w:r w:rsidRPr="001E1D6F">
        <w:rPr>
          <w:b/>
          <w:bCs/>
        </w:rPr>
        <w:t xml:space="preserve">Table </w:t>
      </w:r>
      <w:r w:rsidR="00005F11">
        <w:rPr>
          <w:b/>
          <w:bCs/>
        </w:rPr>
        <w:t>7</w:t>
      </w:r>
      <w:r w:rsidRPr="001E1D6F">
        <w:rPr>
          <w:b/>
          <w:bCs/>
        </w:rPr>
        <w:t xml:space="preserve">. Comparison of geometric mean concentration 28 days after a single dose of </w:t>
      </w:r>
      <w:r w:rsidR="00170E15">
        <w:rPr>
          <w:b/>
          <w:bCs/>
        </w:rPr>
        <w:t>mNEXSPIKE</w:t>
      </w:r>
      <w:r w:rsidRPr="001E1D6F">
        <w:rPr>
          <w:b/>
          <w:bCs/>
        </w:rPr>
        <w:t xml:space="preserve"> versus 28 days after a single dose of comparator mRNA vaccine – Per</w:t>
      </w:r>
      <w:r w:rsidRPr="001E1D6F">
        <w:rPr>
          <w:b/>
          <w:bCs/>
        </w:rPr>
        <w:noBreakHyphen/>
        <w:t>Protocol immunogenicity subset</w:t>
      </w:r>
      <w:r w:rsidR="007523CE">
        <w:rPr>
          <w:b/>
          <w:bCs/>
        </w:rPr>
        <w:t xml:space="preserve"> </w:t>
      </w:r>
      <w:r w:rsidRPr="001E1D6F">
        <w:rPr>
          <w:b/>
          <w:bCs/>
        </w:rPr>
        <w:t>*</w:t>
      </w:r>
    </w:p>
    <w:tbl>
      <w:tblPr>
        <w:tblStyle w:val="TableGrid"/>
        <w:tblW w:w="9360" w:type="dxa"/>
        <w:tblInd w:w="-5" w:type="dxa"/>
        <w:tblLayout w:type="fixed"/>
        <w:tblLook w:val="04A0" w:firstRow="1" w:lastRow="0" w:firstColumn="1" w:lastColumn="0" w:noHBand="0" w:noVBand="1"/>
      </w:tblPr>
      <w:tblGrid>
        <w:gridCol w:w="1418"/>
        <w:gridCol w:w="2995"/>
        <w:gridCol w:w="2416"/>
        <w:gridCol w:w="2531"/>
      </w:tblGrid>
      <w:tr w:rsidR="00F3669C" w:rsidRPr="006B3C09" w14:paraId="2D3E9BD5"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shd w:val="clear" w:color="auto" w:fill="F2F2F2"/>
            <w:vAlign w:val="bottom"/>
          </w:tcPr>
          <w:p w14:paraId="031A9ABD" w14:textId="77777777" w:rsidR="00F3669C" w:rsidRDefault="00F3669C" w:rsidP="006B7A8B">
            <w:pPr>
              <w:jc w:val="center"/>
              <w:rPr>
                <w:rFonts w:eastAsia="Calibri"/>
                <w:b/>
                <w:bCs/>
                <w:sz w:val="20"/>
              </w:rPr>
            </w:pPr>
            <w:r>
              <w:rPr>
                <w:rFonts w:eastAsia="Calibri"/>
                <w:b/>
                <w:bCs/>
                <w:sz w:val="20"/>
              </w:rPr>
              <w:t>Assay</w:t>
            </w:r>
          </w:p>
          <w:p w14:paraId="2EAEF271" w14:textId="77777777" w:rsidR="00F3669C" w:rsidRDefault="00F3669C" w:rsidP="006B7A8B">
            <w:pPr>
              <w:widowControl w:val="0"/>
              <w:jc w:val="center"/>
              <w:rPr>
                <w:rFonts w:eastAsia="Calibri"/>
                <w:b/>
                <w:bCs/>
                <w:sz w:val="20"/>
              </w:rPr>
            </w:pPr>
          </w:p>
        </w:tc>
        <w:tc>
          <w:tcPr>
            <w:tcW w:w="2995" w:type="dxa"/>
            <w:tcBorders>
              <w:top w:val="single" w:sz="4" w:space="0" w:color="auto"/>
              <w:left w:val="single" w:sz="4" w:space="0" w:color="auto"/>
              <w:bottom w:val="single" w:sz="4" w:space="0" w:color="auto"/>
              <w:right w:val="single" w:sz="4" w:space="0" w:color="auto"/>
            </w:tcBorders>
            <w:shd w:val="clear" w:color="auto" w:fill="F2F2F2"/>
            <w:vAlign w:val="bottom"/>
          </w:tcPr>
          <w:p w14:paraId="0897B239" w14:textId="71F3DEF1" w:rsidR="00F3669C" w:rsidRPr="004C32EB" w:rsidRDefault="00170E15" w:rsidP="006B7A8B">
            <w:pPr>
              <w:jc w:val="center"/>
              <w:rPr>
                <w:rFonts w:eastAsia="Calibri"/>
                <w:b/>
                <w:sz w:val="20"/>
                <w:lang w:val="pt-PT"/>
              </w:rPr>
            </w:pPr>
            <w:r w:rsidRPr="004C32EB">
              <w:rPr>
                <w:rFonts w:eastAsia="Calibri"/>
                <w:b/>
                <w:sz w:val="20"/>
                <w:lang w:val="pt-PT"/>
              </w:rPr>
              <w:t>mNEXSPIKE</w:t>
            </w:r>
            <w:r w:rsidR="00F3669C" w:rsidRPr="004C32EB">
              <w:rPr>
                <w:rFonts w:eastAsia="Calibri"/>
                <w:b/>
                <w:sz w:val="20"/>
                <w:vertAlign w:val="superscript"/>
                <w:lang w:val="pt-PT"/>
              </w:rPr>
              <w:t>a</w:t>
            </w:r>
          </w:p>
          <w:p w14:paraId="3E9CDEAB" w14:textId="77777777" w:rsidR="00F3669C" w:rsidRPr="004C32EB" w:rsidRDefault="00F3669C" w:rsidP="006B7A8B">
            <w:pPr>
              <w:jc w:val="center"/>
              <w:rPr>
                <w:rFonts w:eastAsia="Calibri"/>
                <w:b/>
                <w:sz w:val="20"/>
                <w:lang w:val="pt-PT"/>
              </w:rPr>
            </w:pPr>
            <w:r w:rsidRPr="004C32EB">
              <w:rPr>
                <w:rFonts w:eastAsia="Calibri"/>
                <w:b/>
                <w:sz w:val="20"/>
                <w:lang w:val="pt-PT"/>
              </w:rPr>
              <w:t>GMC</w:t>
            </w:r>
          </w:p>
          <w:p w14:paraId="2317152C" w14:textId="77777777" w:rsidR="00F3669C" w:rsidRPr="004C32EB" w:rsidRDefault="00F3669C" w:rsidP="006B7A8B">
            <w:pPr>
              <w:jc w:val="center"/>
              <w:rPr>
                <w:rFonts w:eastAsia="Calibri"/>
                <w:b/>
                <w:sz w:val="20"/>
                <w:lang w:val="pt-PT"/>
              </w:rPr>
            </w:pPr>
            <w:r w:rsidRPr="004C32EB">
              <w:rPr>
                <w:rFonts w:eastAsia="Calibri"/>
                <w:b/>
                <w:sz w:val="20"/>
                <w:lang w:val="pt-PT"/>
              </w:rPr>
              <w:t>N=621</w:t>
            </w:r>
          </w:p>
          <w:p w14:paraId="479404A9" w14:textId="77777777" w:rsidR="00F3669C" w:rsidRPr="00781FDA" w:rsidRDefault="00F3669C" w:rsidP="006B7A8B">
            <w:pPr>
              <w:jc w:val="center"/>
              <w:rPr>
                <w:rFonts w:eastAsia="Calibri"/>
                <w:b/>
                <w:bCs/>
                <w:sz w:val="20"/>
                <w:lang w:val="it-IT"/>
              </w:rPr>
            </w:pPr>
            <w:r w:rsidRPr="00781FDA">
              <w:rPr>
                <w:rFonts w:eastAsia="Calibri"/>
                <w:b/>
                <w:bCs/>
                <w:sz w:val="20"/>
                <w:lang w:val="it-IT"/>
              </w:rPr>
              <w:t>(95% CI)</w:t>
            </w:r>
            <w:r w:rsidRPr="00781FDA">
              <w:rPr>
                <w:rFonts w:eastAsia="Calibri"/>
                <w:b/>
                <w:bCs/>
                <w:sz w:val="20"/>
                <w:vertAlign w:val="superscript"/>
                <w:lang w:val="it-IT"/>
              </w:rPr>
              <w:t>b</w:t>
            </w:r>
          </w:p>
          <w:p w14:paraId="1483B2C5" w14:textId="77777777" w:rsidR="00F3669C" w:rsidRPr="00781FDA" w:rsidRDefault="00F3669C" w:rsidP="006B7A8B">
            <w:pPr>
              <w:widowControl w:val="0"/>
              <w:tabs>
                <w:tab w:val="left" w:pos="401"/>
              </w:tabs>
              <w:jc w:val="center"/>
              <w:outlineLvl w:val="0"/>
              <w:rPr>
                <w:b/>
                <w:bCs/>
                <w:sz w:val="20"/>
                <w:lang w:val="it-IT"/>
              </w:rPr>
            </w:pPr>
          </w:p>
        </w:tc>
        <w:tc>
          <w:tcPr>
            <w:tcW w:w="2416" w:type="dxa"/>
            <w:tcBorders>
              <w:top w:val="single" w:sz="4" w:space="0" w:color="auto"/>
              <w:left w:val="single" w:sz="4" w:space="0" w:color="auto"/>
              <w:bottom w:val="single" w:sz="4" w:space="0" w:color="auto"/>
              <w:right w:val="single" w:sz="4" w:space="0" w:color="auto"/>
            </w:tcBorders>
            <w:shd w:val="clear" w:color="auto" w:fill="F2F2F2"/>
            <w:vAlign w:val="bottom"/>
          </w:tcPr>
          <w:p w14:paraId="1B6DEE36" w14:textId="77777777" w:rsidR="00F3669C" w:rsidRPr="00B210CF" w:rsidRDefault="00F3669C" w:rsidP="006B7A8B">
            <w:pPr>
              <w:jc w:val="center"/>
              <w:rPr>
                <w:rFonts w:eastAsia="Calibri"/>
                <w:b/>
                <w:bCs/>
                <w:sz w:val="20"/>
              </w:rPr>
            </w:pPr>
            <w:proofErr w:type="spellStart"/>
            <w:r>
              <w:rPr>
                <w:b/>
                <w:bCs/>
              </w:rPr>
              <w:t>Comparator</w:t>
            </w:r>
            <w:r w:rsidRPr="00B210CF">
              <w:rPr>
                <w:rFonts w:eastAsia="Calibri"/>
                <w:b/>
                <w:bCs/>
                <w:sz w:val="20"/>
                <w:vertAlign w:val="superscript"/>
              </w:rPr>
              <w:t>c</w:t>
            </w:r>
            <w:proofErr w:type="spellEnd"/>
          </w:p>
          <w:p w14:paraId="63583B66" w14:textId="77777777" w:rsidR="00F3669C" w:rsidRDefault="00F3669C" w:rsidP="006B7A8B">
            <w:pPr>
              <w:jc w:val="center"/>
              <w:rPr>
                <w:rFonts w:eastAsia="Calibri"/>
                <w:b/>
                <w:bCs/>
                <w:sz w:val="20"/>
              </w:rPr>
            </w:pPr>
            <w:r>
              <w:rPr>
                <w:rFonts w:eastAsia="Calibri"/>
                <w:b/>
                <w:bCs/>
                <w:sz w:val="20"/>
              </w:rPr>
              <w:t>GMC</w:t>
            </w:r>
          </w:p>
          <w:p w14:paraId="4AEB9138" w14:textId="77777777" w:rsidR="00F3669C" w:rsidRDefault="00F3669C" w:rsidP="006B7A8B">
            <w:pPr>
              <w:jc w:val="center"/>
              <w:rPr>
                <w:rFonts w:eastAsia="Calibri"/>
                <w:b/>
                <w:bCs/>
                <w:sz w:val="20"/>
              </w:rPr>
            </w:pPr>
            <w:r>
              <w:rPr>
                <w:rFonts w:eastAsia="Calibri"/>
                <w:b/>
                <w:bCs/>
                <w:sz w:val="20"/>
              </w:rPr>
              <w:t>N=568</w:t>
            </w:r>
          </w:p>
          <w:p w14:paraId="4A2EF107" w14:textId="77777777" w:rsidR="00F3669C" w:rsidRDefault="00F3669C" w:rsidP="006B7A8B">
            <w:pPr>
              <w:jc w:val="center"/>
              <w:rPr>
                <w:rFonts w:eastAsia="Calibri"/>
                <w:b/>
                <w:bCs/>
                <w:sz w:val="20"/>
              </w:rPr>
            </w:pPr>
            <w:r>
              <w:rPr>
                <w:rFonts w:eastAsia="Calibri"/>
                <w:b/>
                <w:bCs/>
                <w:sz w:val="20"/>
              </w:rPr>
              <w:t xml:space="preserve">(95% </w:t>
            </w:r>
            <w:proofErr w:type="gramStart"/>
            <w:r>
              <w:rPr>
                <w:rFonts w:eastAsia="Calibri"/>
                <w:b/>
                <w:bCs/>
                <w:sz w:val="20"/>
              </w:rPr>
              <w:t>CI)</w:t>
            </w:r>
            <w:r>
              <w:rPr>
                <w:rFonts w:eastAsia="Calibri"/>
                <w:b/>
                <w:bCs/>
                <w:sz w:val="20"/>
                <w:vertAlign w:val="superscript"/>
              </w:rPr>
              <w:t>b</w:t>
            </w:r>
            <w:proofErr w:type="gramEnd"/>
          </w:p>
          <w:p w14:paraId="05E171AA" w14:textId="77777777" w:rsidR="00F3669C" w:rsidRDefault="00F3669C" w:rsidP="006B7A8B">
            <w:pPr>
              <w:widowControl w:val="0"/>
              <w:tabs>
                <w:tab w:val="left" w:pos="401"/>
              </w:tabs>
              <w:jc w:val="center"/>
              <w:outlineLvl w:val="0"/>
              <w:rPr>
                <w:b/>
                <w:bCs/>
                <w:sz w:val="20"/>
              </w:rPr>
            </w:pPr>
          </w:p>
        </w:tc>
        <w:tc>
          <w:tcPr>
            <w:tcW w:w="2531" w:type="dxa"/>
            <w:tcBorders>
              <w:top w:val="single" w:sz="4" w:space="0" w:color="auto"/>
              <w:left w:val="single" w:sz="4" w:space="0" w:color="auto"/>
              <w:bottom w:val="single" w:sz="4" w:space="0" w:color="auto"/>
              <w:right w:val="single" w:sz="4" w:space="0" w:color="auto"/>
            </w:tcBorders>
            <w:shd w:val="clear" w:color="auto" w:fill="F2F2F2"/>
            <w:vAlign w:val="bottom"/>
          </w:tcPr>
          <w:p w14:paraId="34D22B40" w14:textId="77777777" w:rsidR="00F3669C" w:rsidRPr="004C32EB" w:rsidRDefault="00F3669C" w:rsidP="006B7A8B">
            <w:pPr>
              <w:jc w:val="center"/>
              <w:rPr>
                <w:rFonts w:eastAsia="Calibri"/>
                <w:b/>
                <w:bCs/>
                <w:sz w:val="20"/>
                <w:vertAlign w:val="superscript"/>
                <w:lang w:val="en-AU"/>
              </w:rPr>
            </w:pPr>
            <w:r w:rsidRPr="004C32EB">
              <w:rPr>
                <w:rFonts w:eastAsia="Calibri"/>
                <w:b/>
                <w:bCs/>
                <w:sz w:val="20"/>
                <w:lang w:val="en-AU"/>
              </w:rPr>
              <w:t>GMC Ratio</w:t>
            </w:r>
          </w:p>
          <w:p w14:paraId="7DD1FB55" w14:textId="33BCC088" w:rsidR="00F3669C" w:rsidRPr="004C32EB" w:rsidRDefault="00F3669C" w:rsidP="006B7A8B">
            <w:pPr>
              <w:tabs>
                <w:tab w:val="left" w:pos="401"/>
              </w:tabs>
              <w:jc w:val="center"/>
              <w:outlineLvl w:val="0"/>
              <w:rPr>
                <w:b/>
                <w:bCs/>
                <w:sz w:val="20"/>
                <w:lang w:val="en-AU"/>
              </w:rPr>
            </w:pPr>
            <w:r w:rsidRPr="004C32EB">
              <w:rPr>
                <w:b/>
                <w:bCs/>
                <w:sz w:val="20"/>
                <w:lang w:val="en-AU"/>
              </w:rPr>
              <w:t>(</w:t>
            </w:r>
            <w:r w:rsidR="00170E15">
              <w:rPr>
                <w:b/>
                <w:bCs/>
                <w:sz w:val="20"/>
                <w:lang w:val="en-AU"/>
              </w:rPr>
              <w:t>mNEXSPIKE</w:t>
            </w:r>
            <w:r w:rsidRPr="004C32EB">
              <w:rPr>
                <w:b/>
                <w:bCs/>
                <w:sz w:val="20"/>
                <w:lang w:val="en-AU"/>
              </w:rPr>
              <w:t xml:space="preserve"> / Comparator)</w:t>
            </w:r>
            <w:r>
              <w:rPr>
                <w:b/>
                <w:bCs/>
                <w:sz w:val="20"/>
              </w:rPr>
              <w:fldChar w:fldCharType="begin"/>
            </w:r>
            <w:r w:rsidRPr="004C32EB">
              <w:rPr>
                <w:b/>
                <w:bCs/>
                <w:sz w:val="20"/>
                <w:lang w:val="en-AU"/>
              </w:rPr>
              <w:instrText xml:space="preserve"> DOCVARIABLE vault_nd_c4aa84c3-645d-4654-a157-ac7174b7d8b0 \* MERGEFORMAT </w:instrText>
            </w:r>
            <w:r>
              <w:rPr>
                <w:b/>
                <w:bCs/>
                <w:sz w:val="20"/>
              </w:rPr>
              <w:fldChar w:fldCharType="separate"/>
            </w:r>
            <w:r w:rsidRPr="004C32EB">
              <w:rPr>
                <w:b/>
                <w:bCs/>
                <w:sz w:val="20"/>
                <w:lang w:val="en-AU"/>
              </w:rPr>
              <w:t xml:space="preserve"> </w:t>
            </w:r>
            <w:r>
              <w:rPr>
                <w:b/>
                <w:bCs/>
                <w:sz w:val="20"/>
              </w:rPr>
              <w:fldChar w:fldCharType="end"/>
            </w:r>
          </w:p>
          <w:p w14:paraId="7BA3D7D9" w14:textId="77777777" w:rsidR="00F3669C" w:rsidRPr="004C32EB" w:rsidRDefault="00F3669C" w:rsidP="006B7A8B">
            <w:pPr>
              <w:tabs>
                <w:tab w:val="left" w:pos="401"/>
              </w:tabs>
              <w:jc w:val="center"/>
              <w:outlineLvl w:val="0"/>
              <w:rPr>
                <w:b/>
                <w:bCs/>
                <w:sz w:val="20"/>
                <w:lang w:val="en-AU"/>
              </w:rPr>
            </w:pPr>
            <w:r w:rsidRPr="004C32EB">
              <w:rPr>
                <w:b/>
                <w:bCs/>
                <w:sz w:val="20"/>
                <w:lang w:val="en-AU"/>
              </w:rPr>
              <w:t xml:space="preserve">(95% </w:t>
            </w:r>
            <w:proofErr w:type="gramStart"/>
            <w:r w:rsidRPr="004C32EB">
              <w:rPr>
                <w:b/>
                <w:bCs/>
                <w:sz w:val="20"/>
                <w:lang w:val="en-AU"/>
              </w:rPr>
              <w:t>CI)</w:t>
            </w:r>
            <w:r w:rsidRPr="004C32EB">
              <w:rPr>
                <w:b/>
                <w:bCs/>
                <w:sz w:val="18"/>
                <w:szCs w:val="18"/>
                <w:vertAlign w:val="superscript"/>
                <w:lang w:val="en-AU"/>
              </w:rPr>
              <w:t>b</w:t>
            </w:r>
            <w:proofErr w:type="gramEnd"/>
            <w:r>
              <w:rPr>
                <w:b/>
                <w:bCs/>
                <w:sz w:val="18"/>
                <w:szCs w:val="18"/>
                <w:vertAlign w:val="superscript"/>
              </w:rPr>
              <w:fldChar w:fldCharType="begin"/>
            </w:r>
            <w:r w:rsidRPr="004C32EB">
              <w:rPr>
                <w:b/>
                <w:bCs/>
                <w:sz w:val="18"/>
                <w:szCs w:val="18"/>
                <w:vertAlign w:val="superscript"/>
                <w:lang w:val="en-AU"/>
              </w:rPr>
              <w:instrText xml:space="preserve"> DOCVARIABLE vault_nd_c0c4e99f-c43b-45e9-8f42-b91a64a6c825 \* MERGEFORMAT </w:instrText>
            </w:r>
            <w:r>
              <w:rPr>
                <w:b/>
                <w:bCs/>
                <w:sz w:val="18"/>
                <w:szCs w:val="18"/>
                <w:vertAlign w:val="superscript"/>
              </w:rPr>
              <w:fldChar w:fldCharType="separate"/>
            </w:r>
            <w:r w:rsidRPr="004C32EB">
              <w:rPr>
                <w:b/>
                <w:bCs/>
                <w:sz w:val="18"/>
                <w:szCs w:val="18"/>
                <w:vertAlign w:val="superscript"/>
                <w:lang w:val="en-AU"/>
              </w:rPr>
              <w:t xml:space="preserve"> </w:t>
            </w:r>
            <w:r>
              <w:rPr>
                <w:b/>
                <w:bCs/>
                <w:sz w:val="18"/>
                <w:szCs w:val="18"/>
                <w:vertAlign w:val="superscript"/>
              </w:rPr>
              <w:fldChar w:fldCharType="end"/>
            </w:r>
          </w:p>
          <w:p w14:paraId="579C964B" w14:textId="77777777" w:rsidR="00F3669C" w:rsidRPr="004C32EB" w:rsidRDefault="00F3669C" w:rsidP="006B7A8B">
            <w:pPr>
              <w:widowControl w:val="0"/>
              <w:tabs>
                <w:tab w:val="left" w:pos="401"/>
              </w:tabs>
              <w:jc w:val="center"/>
              <w:outlineLvl w:val="0"/>
              <w:rPr>
                <w:b/>
                <w:bCs/>
                <w:sz w:val="20"/>
                <w:lang w:val="en-AU"/>
              </w:rPr>
            </w:pPr>
          </w:p>
        </w:tc>
      </w:tr>
      <w:tr w:rsidR="00F3669C" w14:paraId="4CC18FCD"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vAlign w:val="center"/>
            <w:hideMark/>
          </w:tcPr>
          <w:p w14:paraId="55ECF306" w14:textId="77777777" w:rsidR="00F3669C" w:rsidRDefault="00F3669C" w:rsidP="006B7A8B">
            <w:pPr>
              <w:tabs>
                <w:tab w:val="left" w:pos="401"/>
              </w:tabs>
              <w:outlineLvl w:val="0"/>
              <w:rPr>
                <w:sz w:val="20"/>
              </w:rPr>
            </w:pPr>
            <w:r>
              <w:rPr>
                <w:b/>
                <w:bCs/>
                <w:sz w:val="20"/>
              </w:rPr>
              <w:t>Omicron BA.4/BA.5</w:t>
            </w:r>
          </w:p>
        </w:tc>
        <w:tc>
          <w:tcPr>
            <w:tcW w:w="2995" w:type="dxa"/>
            <w:tcBorders>
              <w:top w:val="single" w:sz="4" w:space="0" w:color="auto"/>
              <w:left w:val="single" w:sz="4" w:space="0" w:color="auto"/>
              <w:bottom w:val="single" w:sz="4" w:space="0" w:color="auto"/>
              <w:right w:val="single" w:sz="4" w:space="0" w:color="auto"/>
            </w:tcBorders>
            <w:vAlign w:val="center"/>
            <w:hideMark/>
          </w:tcPr>
          <w:p w14:paraId="7E34134E" w14:textId="77777777" w:rsidR="00F3669C" w:rsidRDefault="00F3669C" w:rsidP="006B7A8B">
            <w:pPr>
              <w:jc w:val="center"/>
              <w:rPr>
                <w:rFonts w:eastAsiaTheme="minorHAnsi"/>
                <w:sz w:val="20"/>
              </w:rPr>
            </w:pPr>
            <w:r>
              <w:rPr>
                <w:sz w:val="20"/>
              </w:rPr>
              <w:t>2340.9</w:t>
            </w:r>
          </w:p>
          <w:p w14:paraId="2ED58748" w14:textId="77777777" w:rsidR="00F3669C" w:rsidRDefault="00F3669C" w:rsidP="006B7A8B">
            <w:pPr>
              <w:jc w:val="center"/>
              <w:rPr>
                <w:rFonts w:ascii="Calibri" w:eastAsia="Calibri" w:hAnsi="Calibri"/>
                <w:b/>
                <w:bCs/>
                <w:sz w:val="20"/>
              </w:rPr>
            </w:pPr>
            <w:r>
              <w:rPr>
                <w:sz w:val="20"/>
              </w:rPr>
              <w:t>(2167.0, 2528.8)</w:t>
            </w:r>
          </w:p>
        </w:tc>
        <w:tc>
          <w:tcPr>
            <w:tcW w:w="2416" w:type="dxa"/>
            <w:tcBorders>
              <w:top w:val="single" w:sz="4" w:space="0" w:color="auto"/>
              <w:left w:val="single" w:sz="4" w:space="0" w:color="auto"/>
              <w:bottom w:val="single" w:sz="4" w:space="0" w:color="auto"/>
              <w:right w:val="single" w:sz="4" w:space="0" w:color="auto"/>
            </w:tcBorders>
            <w:vAlign w:val="center"/>
            <w:hideMark/>
          </w:tcPr>
          <w:p w14:paraId="50B39704" w14:textId="77777777" w:rsidR="00F3669C" w:rsidRDefault="00F3669C" w:rsidP="006B7A8B">
            <w:pPr>
              <w:jc w:val="center"/>
              <w:rPr>
                <w:rFonts w:eastAsiaTheme="minorHAnsi"/>
                <w:sz w:val="20"/>
              </w:rPr>
            </w:pPr>
            <w:r>
              <w:rPr>
                <w:sz w:val="20"/>
              </w:rPr>
              <w:t>1753.8</w:t>
            </w:r>
          </w:p>
          <w:p w14:paraId="14B567B2" w14:textId="77777777" w:rsidR="00F3669C" w:rsidRDefault="00F3669C" w:rsidP="006B7A8B">
            <w:pPr>
              <w:jc w:val="center"/>
              <w:rPr>
                <w:rFonts w:ascii="Calibri" w:eastAsia="Calibri" w:hAnsi="Calibri"/>
                <w:b/>
                <w:bCs/>
                <w:sz w:val="20"/>
              </w:rPr>
            </w:pPr>
            <w:r>
              <w:rPr>
                <w:sz w:val="20"/>
              </w:rPr>
              <w:t>(1618.2, 1900.7)</w:t>
            </w:r>
          </w:p>
        </w:tc>
        <w:tc>
          <w:tcPr>
            <w:tcW w:w="2531" w:type="dxa"/>
            <w:tcBorders>
              <w:top w:val="single" w:sz="4" w:space="0" w:color="auto"/>
              <w:left w:val="single" w:sz="4" w:space="0" w:color="auto"/>
              <w:bottom w:val="single" w:sz="4" w:space="0" w:color="auto"/>
              <w:right w:val="single" w:sz="4" w:space="0" w:color="auto"/>
            </w:tcBorders>
            <w:vAlign w:val="center"/>
            <w:hideMark/>
          </w:tcPr>
          <w:p w14:paraId="0E57D914" w14:textId="77777777" w:rsidR="00F3669C" w:rsidRDefault="00F3669C" w:rsidP="006B7A8B">
            <w:pPr>
              <w:tabs>
                <w:tab w:val="left" w:pos="401"/>
              </w:tabs>
              <w:jc w:val="center"/>
              <w:outlineLvl w:val="0"/>
              <w:rPr>
                <w:sz w:val="20"/>
              </w:rPr>
            </w:pPr>
            <w:r>
              <w:rPr>
                <w:sz w:val="20"/>
              </w:rPr>
              <w:t>1.3</w:t>
            </w:r>
            <w:r>
              <w:rPr>
                <w:sz w:val="20"/>
              </w:rPr>
              <w:fldChar w:fldCharType="begin"/>
            </w:r>
            <w:r>
              <w:rPr>
                <w:sz w:val="20"/>
              </w:rPr>
              <w:instrText xml:space="preserve"> DOCVARIABLE VAULT_ND_f0f498fb-ae2c-4ca6-b13f-d24eadd99d42 \* MERGEFORMAT </w:instrText>
            </w:r>
            <w:r>
              <w:rPr>
                <w:sz w:val="20"/>
              </w:rPr>
              <w:fldChar w:fldCharType="separate"/>
            </w:r>
            <w:r>
              <w:rPr>
                <w:sz w:val="20"/>
              </w:rPr>
              <w:t xml:space="preserve"> </w:t>
            </w:r>
            <w:r>
              <w:rPr>
                <w:sz w:val="20"/>
              </w:rPr>
              <w:fldChar w:fldCharType="end"/>
            </w:r>
          </w:p>
          <w:p w14:paraId="5B2F9DB2" w14:textId="77777777" w:rsidR="00F3669C" w:rsidRDefault="00F3669C" w:rsidP="006B7A8B">
            <w:pPr>
              <w:tabs>
                <w:tab w:val="left" w:pos="401"/>
              </w:tabs>
              <w:jc w:val="center"/>
              <w:outlineLvl w:val="0"/>
              <w:rPr>
                <w:sz w:val="20"/>
              </w:rPr>
            </w:pPr>
            <w:r>
              <w:rPr>
                <w:sz w:val="20"/>
              </w:rPr>
              <w:t>(1.2, 1.5)</w:t>
            </w:r>
            <w:r>
              <w:rPr>
                <w:sz w:val="20"/>
              </w:rPr>
              <w:fldChar w:fldCharType="begin"/>
            </w:r>
            <w:r>
              <w:rPr>
                <w:sz w:val="20"/>
              </w:rPr>
              <w:instrText xml:space="preserve"> DOCVARIABLE VAULT_ND_bb11453b-5d4f-4e6a-ae5d-54312da999a1 \* MERGEFORMAT </w:instrText>
            </w:r>
            <w:r>
              <w:rPr>
                <w:sz w:val="20"/>
              </w:rPr>
              <w:fldChar w:fldCharType="separate"/>
            </w:r>
            <w:r>
              <w:rPr>
                <w:sz w:val="20"/>
              </w:rPr>
              <w:t xml:space="preserve"> </w:t>
            </w:r>
            <w:r>
              <w:rPr>
                <w:sz w:val="20"/>
              </w:rPr>
              <w:fldChar w:fldCharType="end"/>
            </w:r>
          </w:p>
        </w:tc>
      </w:tr>
      <w:tr w:rsidR="00F3669C" w14:paraId="6C7983B0"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vAlign w:val="center"/>
            <w:hideMark/>
          </w:tcPr>
          <w:p w14:paraId="38B69905" w14:textId="77777777" w:rsidR="00F3669C" w:rsidRDefault="00F3669C" w:rsidP="006B7A8B">
            <w:pPr>
              <w:tabs>
                <w:tab w:val="left" w:pos="401"/>
              </w:tabs>
              <w:outlineLvl w:val="0"/>
              <w:rPr>
                <w:sz w:val="20"/>
              </w:rPr>
            </w:pPr>
            <w:r>
              <w:rPr>
                <w:b/>
                <w:bCs/>
                <w:sz w:val="20"/>
              </w:rPr>
              <w:t>Original SARS-CoV-2 (D614G)</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0191DB9" w14:textId="77777777" w:rsidR="00F3669C" w:rsidRDefault="00F3669C" w:rsidP="006B7A8B">
            <w:pPr>
              <w:jc w:val="center"/>
              <w:rPr>
                <w:rFonts w:eastAsiaTheme="minorHAnsi"/>
                <w:sz w:val="20"/>
              </w:rPr>
            </w:pPr>
            <w:r>
              <w:rPr>
                <w:sz w:val="20"/>
              </w:rPr>
              <w:t xml:space="preserve">10631.9 </w:t>
            </w:r>
          </w:p>
          <w:p w14:paraId="6E9611EE" w14:textId="77777777" w:rsidR="00F3669C" w:rsidRDefault="00F3669C" w:rsidP="006B7A8B">
            <w:pPr>
              <w:jc w:val="center"/>
              <w:rPr>
                <w:rFonts w:ascii="Calibri" w:eastAsia="Calibri" w:hAnsi="Calibri"/>
                <w:b/>
                <w:bCs/>
                <w:sz w:val="20"/>
              </w:rPr>
            </w:pPr>
            <w:r>
              <w:rPr>
                <w:sz w:val="20"/>
              </w:rPr>
              <w:t>(9960.2, 11348.9))</w:t>
            </w:r>
          </w:p>
        </w:tc>
        <w:tc>
          <w:tcPr>
            <w:tcW w:w="2416" w:type="dxa"/>
            <w:tcBorders>
              <w:top w:val="single" w:sz="4" w:space="0" w:color="auto"/>
              <w:left w:val="single" w:sz="4" w:space="0" w:color="auto"/>
              <w:bottom w:val="single" w:sz="4" w:space="0" w:color="auto"/>
              <w:right w:val="single" w:sz="4" w:space="0" w:color="auto"/>
            </w:tcBorders>
            <w:vAlign w:val="center"/>
            <w:hideMark/>
          </w:tcPr>
          <w:p w14:paraId="0E3ABB7E" w14:textId="77777777" w:rsidR="00F3669C" w:rsidRDefault="00F3669C" w:rsidP="006B7A8B">
            <w:pPr>
              <w:jc w:val="center"/>
              <w:rPr>
                <w:rFonts w:eastAsiaTheme="minorHAnsi"/>
                <w:sz w:val="20"/>
              </w:rPr>
            </w:pPr>
            <w:r>
              <w:rPr>
                <w:sz w:val="20"/>
              </w:rPr>
              <w:t xml:space="preserve">8576.5 </w:t>
            </w:r>
          </w:p>
          <w:p w14:paraId="7E379721" w14:textId="77777777" w:rsidR="00F3669C" w:rsidRDefault="00F3669C" w:rsidP="006B7A8B">
            <w:pPr>
              <w:jc w:val="center"/>
              <w:rPr>
                <w:rFonts w:ascii="Calibri" w:eastAsia="Calibri" w:hAnsi="Calibri"/>
                <w:b/>
                <w:bCs/>
                <w:sz w:val="20"/>
              </w:rPr>
            </w:pPr>
            <w:r>
              <w:rPr>
                <w:sz w:val="20"/>
              </w:rPr>
              <w:t>(8012.5, 9180.1)</w:t>
            </w:r>
          </w:p>
        </w:tc>
        <w:tc>
          <w:tcPr>
            <w:tcW w:w="2531" w:type="dxa"/>
            <w:tcBorders>
              <w:top w:val="single" w:sz="4" w:space="0" w:color="auto"/>
              <w:left w:val="single" w:sz="4" w:space="0" w:color="auto"/>
              <w:bottom w:val="single" w:sz="4" w:space="0" w:color="auto"/>
              <w:right w:val="single" w:sz="4" w:space="0" w:color="auto"/>
            </w:tcBorders>
            <w:vAlign w:val="center"/>
            <w:hideMark/>
          </w:tcPr>
          <w:p w14:paraId="35ADBC55" w14:textId="77777777" w:rsidR="00F3669C" w:rsidRDefault="00F3669C" w:rsidP="006B7A8B">
            <w:pPr>
              <w:tabs>
                <w:tab w:val="left" w:pos="401"/>
              </w:tabs>
              <w:jc w:val="center"/>
              <w:outlineLvl w:val="0"/>
              <w:rPr>
                <w:sz w:val="20"/>
              </w:rPr>
            </w:pPr>
            <w:r>
              <w:rPr>
                <w:sz w:val="20"/>
              </w:rPr>
              <w:t>1.2</w:t>
            </w:r>
            <w:r>
              <w:rPr>
                <w:sz w:val="20"/>
              </w:rPr>
              <w:fldChar w:fldCharType="begin"/>
            </w:r>
            <w:r>
              <w:rPr>
                <w:sz w:val="20"/>
              </w:rPr>
              <w:instrText xml:space="preserve"> DOCVARIABLE VAULT_ND_b88511fe-c358-4cc4-899a-a28c70100daa \* MERGEFORMAT </w:instrText>
            </w:r>
            <w:r>
              <w:rPr>
                <w:sz w:val="20"/>
              </w:rPr>
              <w:fldChar w:fldCharType="separate"/>
            </w:r>
            <w:r>
              <w:rPr>
                <w:sz w:val="20"/>
              </w:rPr>
              <w:t xml:space="preserve"> </w:t>
            </w:r>
            <w:r>
              <w:rPr>
                <w:sz w:val="20"/>
              </w:rPr>
              <w:fldChar w:fldCharType="end"/>
            </w:r>
          </w:p>
          <w:p w14:paraId="651EDFB8" w14:textId="77777777" w:rsidR="00F3669C" w:rsidRDefault="00F3669C" w:rsidP="006B7A8B">
            <w:pPr>
              <w:tabs>
                <w:tab w:val="left" w:pos="401"/>
              </w:tabs>
              <w:jc w:val="center"/>
              <w:outlineLvl w:val="0"/>
              <w:rPr>
                <w:sz w:val="20"/>
              </w:rPr>
            </w:pPr>
            <w:r>
              <w:rPr>
                <w:sz w:val="20"/>
              </w:rPr>
              <w:t>(1.1, 1.4)</w:t>
            </w:r>
            <w:r>
              <w:rPr>
                <w:sz w:val="20"/>
              </w:rPr>
              <w:fldChar w:fldCharType="begin"/>
            </w:r>
            <w:r>
              <w:rPr>
                <w:sz w:val="20"/>
              </w:rPr>
              <w:instrText xml:space="preserve"> DOCVARIABLE VAULT_ND_921018a8-b7b8-4a94-94d5-654d861c7969 \* MERGEFORMAT </w:instrText>
            </w:r>
            <w:r>
              <w:rPr>
                <w:sz w:val="20"/>
              </w:rPr>
              <w:fldChar w:fldCharType="separate"/>
            </w:r>
            <w:r>
              <w:rPr>
                <w:sz w:val="20"/>
              </w:rPr>
              <w:t xml:space="preserve"> </w:t>
            </w:r>
            <w:r>
              <w:rPr>
                <w:sz w:val="20"/>
              </w:rPr>
              <w:fldChar w:fldCharType="end"/>
            </w:r>
          </w:p>
        </w:tc>
      </w:tr>
    </w:tbl>
    <w:p w14:paraId="6AA2E128" w14:textId="77777777" w:rsidR="00F3669C" w:rsidRPr="00663E51" w:rsidRDefault="00F3669C" w:rsidP="001E1D6F">
      <w:pPr>
        <w:widowControl w:val="0"/>
        <w:spacing w:after="0" w:line="240" w:lineRule="auto"/>
        <w:rPr>
          <w:rFonts w:eastAsia="Calibri"/>
          <w:sz w:val="20"/>
        </w:rPr>
      </w:pPr>
      <w:r w:rsidRPr="00663E51">
        <w:rPr>
          <w:rFonts w:eastAsia="Calibri"/>
          <w:sz w:val="20"/>
        </w:rPr>
        <w:t>N=Number of participants with non-missing data at the corresponding timepoint(s).</w:t>
      </w:r>
    </w:p>
    <w:p w14:paraId="05A4A808" w14:textId="77777777" w:rsidR="00F3669C" w:rsidRPr="00663E51" w:rsidRDefault="00F3669C" w:rsidP="001E1D6F">
      <w:pPr>
        <w:widowControl w:val="0"/>
        <w:spacing w:after="0" w:line="240" w:lineRule="auto"/>
        <w:ind w:left="144" w:hanging="144"/>
        <w:rPr>
          <w:rFonts w:eastAsia="Calibri"/>
          <w:sz w:val="20"/>
        </w:rPr>
      </w:pPr>
      <w:r w:rsidRPr="00512A4D">
        <w:rPr>
          <w:rFonts w:eastAsia="Calibri"/>
          <w:sz w:val="20"/>
        </w:rPr>
        <w:t>* Per-Protocol Immunogenicity Subset included a randomly selected subset of subjects who received study vaccine and did not have a major protocol deviation that impacted immune response and had both pre-dose and post-dose immunogenicity assessment at timepoint of primary interest (28 days post-dose).</w:t>
      </w:r>
    </w:p>
    <w:p w14:paraId="18CEEEFC" w14:textId="77777777" w:rsidR="00F3669C" w:rsidRPr="00663E51" w:rsidRDefault="00F3669C" w:rsidP="001E1D6F">
      <w:pPr>
        <w:widowControl w:val="0"/>
        <w:spacing w:after="0" w:line="240" w:lineRule="auto"/>
        <w:ind w:left="144" w:hanging="144"/>
        <w:rPr>
          <w:sz w:val="20"/>
        </w:rPr>
      </w:pPr>
      <w:proofErr w:type="gramStart"/>
      <w:r w:rsidRPr="00663E51">
        <w:rPr>
          <w:sz w:val="20"/>
          <w:vertAlign w:val="superscript"/>
        </w:rPr>
        <w:t>a</w:t>
      </w:r>
      <w:r w:rsidRPr="00663E51">
        <w:rPr>
          <w:sz w:val="20"/>
        </w:rPr>
        <w:t xml:space="preserve"> Dosing</w:t>
      </w:r>
      <w:proofErr w:type="gramEnd"/>
      <w:r w:rsidRPr="00663E51">
        <w:rPr>
          <w:sz w:val="20"/>
        </w:rPr>
        <w:t xml:space="preserve"> was a single dose (10 micrograms mRNA).</w:t>
      </w:r>
    </w:p>
    <w:p w14:paraId="55B2F63D" w14:textId="6B32FA58" w:rsidR="00F3669C" w:rsidRDefault="00F3669C" w:rsidP="001E1D6F">
      <w:pPr>
        <w:widowControl w:val="0"/>
        <w:spacing w:after="0" w:line="240" w:lineRule="auto"/>
        <w:ind w:left="144" w:hanging="144"/>
        <w:rPr>
          <w:rFonts w:eastAsia="Calibri"/>
          <w:sz w:val="20"/>
        </w:rPr>
      </w:pPr>
      <w:r w:rsidRPr="00663E51">
        <w:rPr>
          <w:sz w:val="20"/>
          <w:vertAlign w:val="superscript"/>
        </w:rPr>
        <w:t>b</w:t>
      </w:r>
      <w:r w:rsidRPr="00663E51">
        <w:rPr>
          <w:sz w:val="20"/>
        </w:rPr>
        <w:t xml:space="preserve"> </w:t>
      </w:r>
      <w:r w:rsidRPr="00663E51">
        <w:rPr>
          <w:rFonts w:eastAsia="Calibri"/>
          <w:sz w:val="20"/>
        </w:rPr>
        <w:t xml:space="preserve">The log-transformed antibody levels are </w:t>
      </w:r>
      <w:proofErr w:type="spellStart"/>
      <w:r w:rsidRPr="00663E51">
        <w:rPr>
          <w:rFonts w:eastAsia="Calibri"/>
          <w:sz w:val="20"/>
        </w:rPr>
        <w:t>analysed</w:t>
      </w:r>
      <w:proofErr w:type="spellEnd"/>
      <w:r w:rsidRPr="00663E51">
        <w:rPr>
          <w:rFonts w:eastAsia="Calibri"/>
          <w:sz w:val="20"/>
        </w:rPr>
        <w:t xml:space="preserve"> using an analysis of covariance</w:t>
      </w:r>
      <w:r>
        <w:rPr>
          <w:rFonts w:eastAsia="Calibri"/>
          <w:sz w:val="20"/>
        </w:rPr>
        <w:t xml:space="preserve"> (ANCOVA) model with the group variable (</w:t>
      </w:r>
      <w:r w:rsidR="00170E15">
        <w:rPr>
          <w:rFonts w:eastAsia="Calibri"/>
          <w:sz w:val="20"/>
        </w:rPr>
        <w:t>mNEXSPIKE</w:t>
      </w:r>
      <w:r>
        <w:rPr>
          <w:rFonts w:eastAsia="Calibri"/>
          <w:sz w:val="20"/>
        </w:rPr>
        <w:t xml:space="preserve"> vs. comparator vaccine) as fixed effect, adjusted by SARS-CoV-2 infection status </w:t>
      </w:r>
      <w:r w:rsidRPr="00153C99">
        <w:rPr>
          <w:rFonts w:eastAsia="Calibri"/>
          <w:sz w:val="20"/>
        </w:rPr>
        <w:t xml:space="preserve">at </w:t>
      </w:r>
      <w:r>
        <w:rPr>
          <w:rFonts w:eastAsia="Calibri"/>
          <w:sz w:val="20"/>
        </w:rPr>
        <w:t xml:space="preserve">baseline, </w:t>
      </w:r>
      <w:proofErr w:type="spellStart"/>
      <w:r>
        <w:rPr>
          <w:rFonts w:eastAsia="Calibri"/>
          <w:sz w:val="20"/>
        </w:rPr>
        <w:t>randomisation</w:t>
      </w:r>
      <w:proofErr w:type="spellEnd"/>
      <w:r>
        <w:rPr>
          <w:rFonts w:eastAsia="Calibri"/>
          <w:sz w:val="20"/>
        </w:rPr>
        <w:t xml:space="preserve"> age group, number of prior COVID-19 boosters (0, 1, 2, &gt;=3), and type of last prior COVID-19 vaccine. Coefficients for Least Square Means use margins by level. The resulted LS means, difference of LS means, and 95% CI are back transformed to the original scale for presentation.</w:t>
      </w:r>
    </w:p>
    <w:p w14:paraId="4D9D60F2" w14:textId="77777777" w:rsidR="00F3669C" w:rsidRDefault="00F3669C" w:rsidP="001E1D6F">
      <w:pPr>
        <w:widowControl w:val="0"/>
        <w:spacing w:after="0" w:line="240" w:lineRule="auto"/>
        <w:ind w:left="144" w:hanging="144"/>
        <w:rPr>
          <w:sz w:val="20"/>
        </w:rPr>
      </w:pPr>
      <w:r>
        <w:rPr>
          <w:rFonts w:eastAsia="Calibri"/>
          <w:sz w:val="20"/>
          <w:vertAlign w:val="superscript"/>
        </w:rPr>
        <w:t>c</w:t>
      </w:r>
      <w:r>
        <w:rPr>
          <w:sz w:val="20"/>
        </w:rPr>
        <w:t xml:space="preserve"> Comparator vaccine dosing was a single dose (50 micrograms mRNA).</w:t>
      </w:r>
    </w:p>
    <w:p w14:paraId="299CF523" w14:textId="77777777" w:rsidR="00F3669C" w:rsidRDefault="00F3669C" w:rsidP="001E1D6F">
      <w:pPr>
        <w:widowControl w:val="0"/>
        <w:spacing w:after="0" w:line="240" w:lineRule="auto"/>
        <w:rPr>
          <w:rFonts w:eastAsia="Calibri"/>
          <w:sz w:val="20"/>
        </w:rPr>
      </w:pPr>
      <w:r>
        <w:rPr>
          <w:rFonts w:eastAsia="Calibri"/>
          <w:sz w:val="20"/>
        </w:rPr>
        <w:t>Note: Antibody values &lt; the lower limit of quantitation (LLOQ) are replaced by 0.5 × LLOQ. Values &gt; the upper limit of quantitation (ULOQ) are replaced by the ULOQ if actual values are not available.</w:t>
      </w:r>
    </w:p>
    <w:p w14:paraId="057515A9" w14:textId="77777777" w:rsidR="00F3669C" w:rsidRDefault="00F3669C" w:rsidP="001E1D6F">
      <w:pPr>
        <w:widowControl w:val="0"/>
        <w:spacing w:after="0" w:line="240" w:lineRule="auto"/>
        <w:rPr>
          <w:rFonts w:eastAsia="Calibri"/>
          <w:sz w:val="24"/>
          <w:szCs w:val="24"/>
        </w:rPr>
      </w:pPr>
    </w:p>
    <w:p w14:paraId="0347F10E" w14:textId="1DBAF31D" w:rsidR="00F3669C" w:rsidRPr="001F385D" w:rsidRDefault="00F3669C" w:rsidP="00753E60">
      <w:pPr>
        <w:keepNext/>
        <w:keepLines/>
        <w:rPr>
          <w:b/>
          <w:bCs/>
        </w:rPr>
      </w:pPr>
      <w:r w:rsidRPr="001F385D">
        <w:rPr>
          <w:b/>
          <w:bCs/>
        </w:rPr>
        <w:lastRenderedPageBreak/>
        <w:t xml:space="preserve">Table </w:t>
      </w:r>
      <w:r w:rsidR="00005F11">
        <w:rPr>
          <w:b/>
          <w:bCs/>
        </w:rPr>
        <w:t>8</w:t>
      </w:r>
      <w:r w:rsidRPr="001F385D">
        <w:rPr>
          <w:b/>
          <w:bCs/>
        </w:rPr>
        <w:t xml:space="preserve">. Comparison of </w:t>
      </w:r>
      <w:proofErr w:type="spellStart"/>
      <w:r w:rsidRPr="001F385D">
        <w:rPr>
          <w:b/>
          <w:bCs/>
        </w:rPr>
        <w:t>seroresponse</w:t>
      </w:r>
      <w:proofErr w:type="spellEnd"/>
      <w:r w:rsidRPr="001F385D">
        <w:rPr>
          <w:b/>
          <w:bCs/>
        </w:rPr>
        <w:t xml:space="preserve"> rate 28 days after a single dose of </w:t>
      </w:r>
      <w:r w:rsidR="00170E15">
        <w:rPr>
          <w:b/>
          <w:bCs/>
        </w:rPr>
        <w:t>mNEXSPIKE</w:t>
      </w:r>
      <w:r w:rsidRPr="001F385D">
        <w:rPr>
          <w:b/>
          <w:bCs/>
        </w:rPr>
        <w:t xml:space="preserve"> versus 28 days after a single dose of comparator mRNA vaccine – Per</w:t>
      </w:r>
      <w:r w:rsidRPr="001F385D">
        <w:rPr>
          <w:b/>
          <w:bCs/>
        </w:rPr>
        <w:noBreakHyphen/>
        <w:t>Protocol immunogenicity subset*</w:t>
      </w:r>
    </w:p>
    <w:tbl>
      <w:tblPr>
        <w:tblStyle w:val="TableGrid"/>
        <w:tblW w:w="9360" w:type="dxa"/>
        <w:tblInd w:w="-5" w:type="dxa"/>
        <w:tblLayout w:type="fixed"/>
        <w:tblLook w:val="04A0" w:firstRow="1" w:lastRow="0" w:firstColumn="1" w:lastColumn="0" w:noHBand="0" w:noVBand="1"/>
      </w:tblPr>
      <w:tblGrid>
        <w:gridCol w:w="1418"/>
        <w:gridCol w:w="2905"/>
        <w:gridCol w:w="2506"/>
        <w:gridCol w:w="2531"/>
      </w:tblGrid>
      <w:tr w:rsidR="00F3669C" w:rsidRPr="003939C3" w14:paraId="0A376CA1"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shd w:val="clear" w:color="auto" w:fill="F2F2F2"/>
            <w:vAlign w:val="bottom"/>
          </w:tcPr>
          <w:p w14:paraId="79F760E7" w14:textId="77777777" w:rsidR="00F3669C" w:rsidRDefault="00F3669C" w:rsidP="00753E60">
            <w:pPr>
              <w:keepNext/>
              <w:keepLines/>
              <w:jc w:val="center"/>
              <w:rPr>
                <w:rFonts w:eastAsia="Calibri"/>
                <w:b/>
                <w:bCs/>
                <w:sz w:val="20"/>
              </w:rPr>
            </w:pPr>
            <w:r>
              <w:rPr>
                <w:rFonts w:eastAsia="Calibri"/>
                <w:b/>
                <w:bCs/>
                <w:sz w:val="20"/>
              </w:rPr>
              <w:t>Assay</w:t>
            </w:r>
          </w:p>
          <w:p w14:paraId="224D6E51" w14:textId="77777777" w:rsidR="00F3669C" w:rsidRDefault="00F3669C" w:rsidP="00753E60">
            <w:pPr>
              <w:keepNext/>
              <w:keepLines/>
              <w:widowControl w:val="0"/>
              <w:jc w:val="center"/>
              <w:rPr>
                <w:rFonts w:eastAsia="Calibri"/>
                <w:b/>
                <w:bCs/>
                <w:sz w:val="20"/>
              </w:rPr>
            </w:pPr>
          </w:p>
        </w:tc>
        <w:tc>
          <w:tcPr>
            <w:tcW w:w="2905" w:type="dxa"/>
            <w:tcBorders>
              <w:top w:val="single" w:sz="4" w:space="0" w:color="auto"/>
              <w:left w:val="single" w:sz="4" w:space="0" w:color="auto"/>
              <w:bottom w:val="single" w:sz="4" w:space="0" w:color="auto"/>
              <w:right w:val="single" w:sz="4" w:space="0" w:color="auto"/>
            </w:tcBorders>
            <w:shd w:val="clear" w:color="auto" w:fill="F2F2F2"/>
            <w:vAlign w:val="bottom"/>
          </w:tcPr>
          <w:p w14:paraId="0F8DCF4D" w14:textId="280D5DCD" w:rsidR="00F3669C" w:rsidRPr="00781FDA" w:rsidRDefault="00170E15" w:rsidP="00753E60">
            <w:pPr>
              <w:keepNext/>
              <w:keepLines/>
              <w:jc w:val="center"/>
              <w:rPr>
                <w:rFonts w:eastAsia="Calibri"/>
                <w:b/>
                <w:bCs/>
                <w:sz w:val="20"/>
                <w:lang w:val="it-IT"/>
              </w:rPr>
            </w:pPr>
            <w:r>
              <w:rPr>
                <w:rFonts w:eastAsia="Calibri"/>
                <w:b/>
                <w:bCs/>
                <w:sz w:val="20"/>
                <w:lang w:val="it-IT"/>
              </w:rPr>
              <w:t>mNEXSPIKE</w:t>
            </w:r>
            <w:r w:rsidR="00F3669C" w:rsidRPr="00781FDA">
              <w:rPr>
                <w:rFonts w:eastAsia="Calibri"/>
                <w:b/>
                <w:bCs/>
                <w:sz w:val="20"/>
                <w:vertAlign w:val="superscript"/>
                <w:lang w:val="it-IT"/>
              </w:rPr>
              <w:t>a</w:t>
            </w:r>
          </w:p>
          <w:p w14:paraId="4E568773" w14:textId="77777777" w:rsidR="00F3669C" w:rsidRPr="00781FDA" w:rsidRDefault="00F3669C" w:rsidP="00753E60">
            <w:pPr>
              <w:keepNext/>
              <w:keepLines/>
              <w:jc w:val="center"/>
              <w:rPr>
                <w:rFonts w:eastAsia="Calibri"/>
                <w:b/>
                <w:bCs/>
                <w:sz w:val="20"/>
                <w:lang w:val="it-IT"/>
              </w:rPr>
            </w:pPr>
            <w:r w:rsidRPr="00781FDA">
              <w:rPr>
                <w:rFonts w:eastAsia="Calibri"/>
                <w:b/>
                <w:bCs/>
                <w:sz w:val="20"/>
                <w:lang w:val="it-IT"/>
              </w:rPr>
              <w:t>Seroresponse rate</w:t>
            </w:r>
            <w:r w:rsidRPr="00781FDA">
              <w:rPr>
                <w:rFonts w:eastAsia="Calibri"/>
                <w:b/>
                <w:bCs/>
                <w:sz w:val="20"/>
                <w:vertAlign w:val="superscript"/>
                <w:lang w:val="it-IT"/>
              </w:rPr>
              <w:t>b</w:t>
            </w:r>
            <w:r w:rsidRPr="00781FDA">
              <w:rPr>
                <w:rFonts w:eastAsia="Calibri"/>
                <w:b/>
                <w:bCs/>
                <w:sz w:val="20"/>
                <w:lang w:val="it-IT"/>
              </w:rPr>
              <w:t xml:space="preserve"> </w:t>
            </w:r>
          </w:p>
          <w:p w14:paraId="689735BE" w14:textId="77777777" w:rsidR="00F3669C" w:rsidRPr="00781FDA" w:rsidRDefault="00F3669C" w:rsidP="00753E60">
            <w:pPr>
              <w:keepNext/>
              <w:keepLines/>
              <w:jc w:val="center"/>
              <w:rPr>
                <w:rFonts w:eastAsia="Calibri"/>
                <w:b/>
                <w:bCs/>
                <w:sz w:val="20"/>
                <w:lang w:val="it-IT"/>
              </w:rPr>
            </w:pPr>
            <w:r w:rsidRPr="00781FDA">
              <w:rPr>
                <w:rFonts w:eastAsia="Calibri"/>
                <w:b/>
                <w:bCs/>
                <w:sz w:val="20"/>
                <w:lang w:val="it-IT"/>
              </w:rPr>
              <w:t>N=621</w:t>
            </w:r>
          </w:p>
          <w:p w14:paraId="0BF5BA9B" w14:textId="77777777" w:rsidR="00F3669C" w:rsidRPr="00781FDA" w:rsidRDefault="00F3669C" w:rsidP="00753E60">
            <w:pPr>
              <w:keepNext/>
              <w:keepLines/>
              <w:jc w:val="center"/>
              <w:rPr>
                <w:rFonts w:eastAsia="Calibri"/>
                <w:b/>
                <w:bCs/>
                <w:sz w:val="20"/>
                <w:lang w:val="it-IT"/>
              </w:rPr>
            </w:pPr>
            <w:r w:rsidRPr="00781FDA">
              <w:rPr>
                <w:rFonts w:eastAsia="Calibri"/>
                <w:b/>
                <w:bCs/>
                <w:sz w:val="20"/>
                <w:lang w:val="it-IT"/>
              </w:rPr>
              <w:t>%</w:t>
            </w:r>
          </w:p>
          <w:p w14:paraId="6D047418" w14:textId="77777777" w:rsidR="00F3669C" w:rsidRPr="00781FDA" w:rsidRDefault="00F3669C" w:rsidP="00753E60">
            <w:pPr>
              <w:keepNext/>
              <w:keepLines/>
              <w:jc w:val="center"/>
              <w:rPr>
                <w:rFonts w:eastAsia="Calibri"/>
                <w:b/>
                <w:bCs/>
                <w:sz w:val="20"/>
                <w:vertAlign w:val="superscript"/>
                <w:lang w:val="it-IT"/>
              </w:rPr>
            </w:pPr>
            <w:r w:rsidRPr="00781FDA">
              <w:rPr>
                <w:rFonts w:eastAsia="Calibri"/>
                <w:b/>
                <w:bCs/>
                <w:sz w:val="20"/>
                <w:lang w:val="it-IT"/>
              </w:rPr>
              <w:t>(95% CI)</w:t>
            </w:r>
            <w:r w:rsidRPr="00781FDA">
              <w:rPr>
                <w:rFonts w:eastAsia="Calibri"/>
                <w:b/>
                <w:bCs/>
                <w:sz w:val="20"/>
                <w:vertAlign w:val="superscript"/>
                <w:lang w:val="it-IT"/>
              </w:rPr>
              <w:t>c</w:t>
            </w:r>
          </w:p>
          <w:p w14:paraId="5EE6A7DD" w14:textId="77777777" w:rsidR="00F3669C" w:rsidRPr="00781FDA" w:rsidRDefault="00F3669C" w:rsidP="00753E60">
            <w:pPr>
              <w:keepNext/>
              <w:keepLines/>
              <w:widowControl w:val="0"/>
              <w:tabs>
                <w:tab w:val="left" w:pos="401"/>
              </w:tabs>
              <w:jc w:val="center"/>
              <w:outlineLvl w:val="0"/>
              <w:rPr>
                <w:sz w:val="20"/>
                <w:lang w:val="it-IT"/>
              </w:rPr>
            </w:pPr>
          </w:p>
        </w:tc>
        <w:tc>
          <w:tcPr>
            <w:tcW w:w="2506" w:type="dxa"/>
            <w:tcBorders>
              <w:top w:val="single" w:sz="4" w:space="0" w:color="auto"/>
              <w:left w:val="single" w:sz="4" w:space="0" w:color="auto"/>
              <w:bottom w:val="single" w:sz="4" w:space="0" w:color="auto"/>
              <w:right w:val="single" w:sz="4" w:space="0" w:color="auto"/>
            </w:tcBorders>
            <w:shd w:val="clear" w:color="auto" w:fill="F2F2F2"/>
            <w:vAlign w:val="bottom"/>
          </w:tcPr>
          <w:p w14:paraId="51C2BFE5" w14:textId="77777777" w:rsidR="00F3669C" w:rsidRPr="00781FDA" w:rsidRDefault="00F3669C" w:rsidP="00753E60">
            <w:pPr>
              <w:keepNext/>
              <w:keepLines/>
              <w:jc w:val="center"/>
              <w:rPr>
                <w:rFonts w:eastAsia="Calibri"/>
                <w:b/>
                <w:bCs/>
                <w:sz w:val="20"/>
                <w:lang w:val="it-IT"/>
              </w:rPr>
            </w:pPr>
            <w:r w:rsidRPr="00781FDA">
              <w:rPr>
                <w:b/>
                <w:bCs/>
                <w:sz w:val="20"/>
                <w:lang w:val="it-IT"/>
              </w:rPr>
              <w:t>Comparator</w:t>
            </w:r>
            <w:r w:rsidRPr="00781FDA">
              <w:rPr>
                <w:rFonts w:eastAsia="Calibri"/>
                <w:b/>
                <w:bCs/>
                <w:sz w:val="20"/>
                <w:vertAlign w:val="superscript"/>
                <w:lang w:val="it-IT"/>
              </w:rPr>
              <w:t>d</w:t>
            </w:r>
          </w:p>
          <w:p w14:paraId="3748A2A3" w14:textId="77777777" w:rsidR="00F3669C" w:rsidRPr="00781FDA" w:rsidRDefault="00F3669C" w:rsidP="00753E60">
            <w:pPr>
              <w:keepNext/>
              <w:keepLines/>
              <w:jc w:val="center"/>
              <w:rPr>
                <w:rFonts w:eastAsia="Calibri"/>
                <w:b/>
                <w:bCs/>
                <w:sz w:val="20"/>
                <w:lang w:val="it-IT"/>
              </w:rPr>
            </w:pPr>
            <w:r w:rsidRPr="00781FDA">
              <w:rPr>
                <w:rFonts w:eastAsia="Calibri"/>
                <w:b/>
                <w:bCs/>
                <w:sz w:val="20"/>
                <w:lang w:val="it-IT"/>
              </w:rPr>
              <w:t>Seroresponse rate</w:t>
            </w:r>
            <w:r w:rsidRPr="00781FDA">
              <w:rPr>
                <w:rFonts w:eastAsia="Calibri"/>
                <w:b/>
                <w:bCs/>
                <w:sz w:val="20"/>
                <w:vertAlign w:val="superscript"/>
                <w:lang w:val="it-IT"/>
              </w:rPr>
              <w:t>b</w:t>
            </w:r>
            <w:r w:rsidRPr="00781FDA">
              <w:rPr>
                <w:rFonts w:eastAsia="Calibri"/>
                <w:b/>
                <w:bCs/>
                <w:sz w:val="20"/>
                <w:lang w:val="it-IT"/>
              </w:rPr>
              <w:t xml:space="preserve"> </w:t>
            </w:r>
          </w:p>
          <w:p w14:paraId="78941703" w14:textId="77777777" w:rsidR="00F3669C" w:rsidRPr="00781FDA" w:rsidRDefault="00F3669C" w:rsidP="00753E60">
            <w:pPr>
              <w:keepNext/>
              <w:keepLines/>
              <w:jc w:val="center"/>
              <w:rPr>
                <w:rFonts w:eastAsia="Calibri"/>
                <w:b/>
                <w:bCs/>
                <w:sz w:val="20"/>
                <w:lang w:val="it-IT"/>
              </w:rPr>
            </w:pPr>
            <w:r w:rsidRPr="00781FDA">
              <w:rPr>
                <w:rFonts w:eastAsia="Calibri"/>
                <w:b/>
                <w:bCs/>
                <w:sz w:val="20"/>
                <w:lang w:val="it-IT"/>
              </w:rPr>
              <w:t>N=568</w:t>
            </w:r>
          </w:p>
          <w:p w14:paraId="6443B916" w14:textId="77777777" w:rsidR="00F3669C" w:rsidRPr="00781FDA" w:rsidRDefault="00F3669C" w:rsidP="00753E60">
            <w:pPr>
              <w:keepNext/>
              <w:keepLines/>
              <w:jc w:val="center"/>
              <w:rPr>
                <w:rFonts w:eastAsia="Calibri"/>
                <w:b/>
                <w:bCs/>
                <w:sz w:val="20"/>
                <w:lang w:val="it-IT"/>
              </w:rPr>
            </w:pPr>
            <w:r w:rsidRPr="00781FDA">
              <w:rPr>
                <w:rFonts w:eastAsia="Calibri"/>
                <w:b/>
                <w:bCs/>
                <w:sz w:val="20"/>
                <w:lang w:val="it-IT"/>
              </w:rPr>
              <w:t>%</w:t>
            </w:r>
          </w:p>
          <w:p w14:paraId="15206985" w14:textId="77777777" w:rsidR="00F3669C" w:rsidRPr="00781FDA" w:rsidRDefault="00F3669C" w:rsidP="00753E60">
            <w:pPr>
              <w:keepNext/>
              <w:keepLines/>
              <w:jc w:val="center"/>
              <w:rPr>
                <w:rFonts w:eastAsia="Calibri"/>
                <w:b/>
                <w:bCs/>
                <w:sz w:val="20"/>
                <w:vertAlign w:val="superscript"/>
                <w:lang w:val="it-IT"/>
              </w:rPr>
            </w:pPr>
            <w:r w:rsidRPr="00781FDA">
              <w:rPr>
                <w:rFonts w:eastAsia="Calibri"/>
                <w:b/>
                <w:bCs/>
                <w:sz w:val="20"/>
                <w:lang w:val="it-IT"/>
              </w:rPr>
              <w:t>(95% CI)</w:t>
            </w:r>
            <w:r w:rsidRPr="00781FDA">
              <w:rPr>
                <w:rFonts w:eastAsia="Calibri"/>
                <w:b/>
                <w:bCs/>
                <w:sz w:val="20"/>
                <w:vertAlign w:val="superscript"/>
                <w:lang w:val="it-IT"/>
              </w:rPr>
              <w:t>c</w:t>
            </w:r>
          </w:p>
          <w:p w14:paraId="177CD5B5" w14:textId="77777777" w:rsidR="00F3669C" w:rsidRPr="00781FDA" w:rsidRDefault="00F3669C" w:rsidP="00753E60">
            <w:pPr>
              <w:keepNext/>
              <w:keepLines/>
              <w:widowControl w:val="0"/>
              <w:tabs>
                <w:tab w:val="left" w:pos="401"/>
              </w:tabs>
              <w:jc w:val="center"/>
              <w:outlineLvl w:val="0"/>
              <w:rPr>
                <w:sz w:val="20"/>
                <w:lang w:val="it-IT"/>
              </w:rPr>
            </w:pPr>
          </w:p>
        </w:tc>
        <w:tc>
          <w:tcPr>
            <w:tcW w:w="2531" w:type="dxa"/>
            <w:tcBorders>
              <w:top w:val="single" w:sz="4" w:space="0" w:color="auto"/>
              <w:left w:val="single" w:sz="4" w:space="0" w:color="auto"/>
              <w:bottom w:val="single" w:sz="4" w:space="0" w:color="auto"/>
              <w:right w:val="single" w:sz="4" w:space="0" w:color="auto"/>
            </w:tcBorders>
            <w:shd w:val="clear" w:color="auto" w:fill="F2F2F2"/>
            <w:vAlign w:val="bottom"/>
          </w:tcPr>
          <w:p w14:paraId="2B1F31AF" w14:textId="77777777" w:rsidR="00F3669C" w:rsidRPr="00781FDA" w:rsidRDefault="00F3669C" w:rsidP="00753E60">
            <w:pPr>
              <w:keepNext/>
              <w:keepLines/>
              <w:jc w:val="center"/>
              <w:rPr>
                <w:rFonts w:eastAsia="Calibri"/>
                <w:b/>
                <w:bCs/>
                <w:sz w:val="20"/>
                <w:lang w:val="it-IT"/>
              </w:rPr>
            </w:pPr>
            <w:r w:rsidRPr="00781FDA">
              <w:rPr>
                <w:rFonts w:eastAsia="Calibri"/>
                <w:b/>
                <w:bCs/>
                <w:sz w:val="20"/>
                <w:lang w:val="it-IT"/>
              </w:rPr>
              <w:t>Difference in</w:t>
            </w:r>
          </w:p>
          <w:p w14:paraId="66C1D180" w14:textId="77777777" w:rsidR="00F3669C" w:rsidRPr="00781FDA" w:rsidRDefault="00F3669C" w:rsidP="00753E60">
            <w:pPr>
              <w:keepNext/>
              <w:keepLines/>
              <w:jc w:val="center"/>
              <w:rPr>
                <w:rFonts w:eastAsia="Calibri"/>
                <w:b/>
                <w:bCs/>
                <w:sz w:val="20"/>
                <w:vertAlign w:val="superscript"/>
                <w:lang w:val="it-IT"/>
              </w:rPr>
            </w:pPr>
            <w:r w:rsidRPr="00781FDA">
              <w:rPr>
                <w:rFonts w:eastAsia="Calibri"/>
                <w:b/>
                <w:bCs/>
                <w:sz w:val="20"/>
                <w:lang w:val="it-IT"/>
              </w:rPr>
              <w:t>seroresponse rate</w:t>
            </w:r>
          </w:p>
          <w:p w14:paraId="348F0DEB" w14:textId="23D45924" w:rsidR="00F3669C" w:rsidRPr="00781FDA" w:rsidRDefault="00F3669C" w:rsidP="00753E60">
            <w:pPr>
              <w:keepNext/>
              <w:keepLines/>
              <w:jc w:val="center"/>
              <w:rPr>
                <w:rFonts w:eastAsia="Calibri"/>
                <w:b/>
                <w:bCs/>
                <w:sz w:val="20"/>
                <w:lang w:val="it-IT"/>
              </w:rPr>
            </w:pPr>
            <w:r w:rsidRPr="00781FDA">
              <w:rPr>
                <w:rFonts w:eastAsia="Calibri"/>
                <w:b/>
                <w:bCs/>
                <w:sz w:val="20"/>
                <w:lang w:val="it-IT"/>
              </w:rPr>
              <w:t>(</w:t>
            </w:r>
            <w:r w:rsidR="00170E15">
              <w:rPr>
                <w:rFonts w:eastAsia="Calibri"/>
                <w:b/>
                <w:bCs/>
                <w:sz w:val="20"/>
                <w:lang w:val="it-IT"/>
              </w:rPr>
              <w:t>mNEXSPIKE</w:t>
            </w:r>
            <w:r w:rsidRPr="00781FDA">
              <w:rPr>
                <w:rFonts w:eastAsia="Calibri"/>
                <w:b/>
                <w:bCs/>
                <w:sz w:val="20"/>
                <w:lang w:val="it-IT"/>
              </w:rPr>
              <w:t xml:space="preserve"> -</w:t>
            </w:r>
            <w:r w:rsidRPr="00781FDA">
              <w:rPr>
                <w:lang w:val="it-IT"/>
              </w:rPr>
              <w:t xml:space="preserve"> </w:t>
            </w:r>
            <w:r w:rsidRPr="00781FDA">
              <w:rPr>
                <w:rFonts w:eastAsia="Calibri"/>
                <w:b/>
                <w:bCs/>
                <w:sz w:val="20"/>
                <w:lang w:val="it-IT"/>
              </w:rPr>
              <w:t>comparator)</w:t>
            </w:r>
          </w:p>
          <w:p w14:paraId="6F15B1DB" w14:textId="77777777" w:rsidR="00F3669C" w:rsidRPr="00781FDA" w:rsidRDefault="00F3669C" w:rsidP="00753E60">
            <w:pPr>
              <w:keepNext/>
              <w:keepLines/>
              <w:tabs>
                <w:tab w:val="left" w:pos="401"/>
              </w:tabs>
              <w:jc w:val="center"/>
              <w:outlineLvl w:val="0"/>
              <w:rPr>
                <w:b/>
                <w:bCs/>
                <w:sz w:val="20"/>
                <w:lang w:val="it-IT"/>
              </w:rPr>
            </w:pPr>
            <w:r w:rsidRPr="00781FDA">
              <w:rPr>
                <w:b/>
                <w:bCs/>
                <w:sz w:val="20"/>
                <w:lang w:val="it-IT"/>
              </w:rPr>
              <w:t>%</w:t>
            </w:r>
            <w:r>
              <w:rPr>
                <w:b/>
                <w:bCs/>
                <w:sz w:val="20"/>
              </w:rPr>
              <w:fldChar w:fldCharType="begin"/>
            </w:r>
            <w:r w:rsidRPr="00781FDA">
              <w:rPr>
                <w:b/>
                <w:bCs/>
                <w:sz w:val="20"/>
                <w:lang w:val="it-IT"/>
              </w:rPr>
              <w:instrText xml:space="preserve"> DOCVARIABLE VAULT_ND_f99e7646-ec40-4d99-9209-34afe5e240bc \* MERGEFORMAT </w:instrText>
            </w:r>
            <w:r>
              <w:rPr>
                <w:b/>
                <w:bCs/>
                <w:sz w:val="20"/>
              </w:rPr>
              <w:fldChar w:fldCharType="separate"/>
            </w:r>
            <w:r w:rsidRPr="00781FDA">
              <w:rPr>
                <w:b/>
                <w:bCs/>
                <w:sz w:val="20"/>
                <w:lang w:val="it-IT"/>
              </w:rPr>
              <w:t xml:space="preserve"> </w:t>
            </w:r>
            <w:r>
              <w:rPr>
                <w:b/>
                <w:bCs/>
                <w:sz w:val="20"/>
              </w:rPr>
              <w:fldChar w:fldCharType="end"/>
            </w:r>
          </w:p>
          <w:p w14:paraId="2E551552" w14:textId="77777777" w:rsidR="00F3669C" w:rsidRPr="00781FDA" w:rsidRDefault="00F3669C" w:rsidP="00753E60">
            <w:pPr>
              <w:keepNext/>
              <w:keepLines/>
              <w:tabs>
                <w:tab w:val="left" w:pos="401"/>
              </w:tabs>
              <w:jc w:val="center"/>
              <w:outlineLvl w:val="0"/>
              <w:rPr>
                <w:b/>
                <w:bCs/>
                <w:sz w:val="20"/>
                <w:vertAlign w:val="superscript"/>
                <w:lang w:val="it-IT"/>
              </w:rPr>
            </w:pPr>
            <w:r w:rsidRPr="00781FDA">
              <w:rPr>
                <w:b/>
                <w:bCs/>
                <w:sz w:val="20"/>
                <w:lang w:val="it-IT"/>
              </w:rPr>
              <w:t>(95% CI)</w:t>
            </w:r>
            <w:r w:rsidRPr="00781FDA">
              <w:rPr>
                <w:b/>
                <w:bCs/>
                <w:sz w:val="20"/>
                <w:vertAlign w:val="superscript"/>
                <w:lang w:val="it-IT"/>
              </w:rPr>
              <w:t>e</w:t>
            </w:r>
            <w:r>
              <w:rPr>
                <w:b/>
                <w:bCs/>
                <w:sz w:val="20"/>
                <w:vertAlign w:val="superscript"/>
              </w:rPr>
              <w:fldChar w:fldCharType="begin"/>
            </w:r>
            <w:r w:rsidRPr="00781FDA">
              <w:rPr>
                <w:b/>
                <w:bCs/>
                <w:sz w:val="20"/>
                <w:vertAlign w:val="superscript"/>
                <w:lang w:val="it-IT"/>
              </w:rPr>
              <w:instrText xml:space="preserve"> DOCVARIABLE vault_nd_df8df2dc-578a-4c3b-9a23-739949297ae3 \* MERGEFORMAT </w:instrText>
            </w:r>
            <w:r>
              <w:rPr>
                <w:b/>
                <w:bCs/>
                <w:sz w:val="20"/>
                <w:vertAlign w:val="superscript"/>
              </w:rPr>
              <w:fldChar w:fldCharType="separate"/>
            </w:r>
            <w:r w:rsidRPr="00781FDA">
              <w:rPr>
                <w:b/>
                <w:bCs/>
                <w:sz w:val="20"/>
                <w:vertAlign w:val="superscript"/>
                <w:lang w:val="it-IT"/>
              </w:rPr>
              <w:t xml:space="preserve"> </w:t>
            </w:r>
            <w:r>
              <w:rPr>
                <w:b/>
                <w:bCs/>
                <w:sz w:val="20"/>
                <w:vertAlign w:val="superscript"/>
              </w:rPr>
              <w:fldChar w:fldCharType="end"/>
            </w:r>
          </w:p>
          <w:p w14:paraId="111FC0E3" w14:textId="77777777" w:rsidR="00F3669C" w:rsidRPr="00781FDA" w:rsidRDefault="00F3669C" w:rsidP="00753E60">
            <w:pPr>
              <w:keepNext/>
              <w:keepLines/>
              <w:widowControl w:val="0"/>
              <w:tabs>
                <w:tab w:val="left" w:pos="401"/>
              </w:tabs>
              <w:jc w:val="center"/>
              <w:outlineLvl w:val="0"/>
              <w:rPr>
                <w:sz w:val="20"/>
                <w:lang w:val="it-IT"/>
              </w:rPr>
            </w:pPr>
          </w:p>
        </w:tc>
      </w:tr>
      <w:tr w:rsidR="00F3669C" w14:paraId="31BED70A"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vAlign w:val="center"/>
            <w:hideMark/>
          </w:tcPr>
          <w:p w14:paraId="0B4F1DC1" w14:textId="77777777" w:rsidR="00F3669C" w:rsidRDefault="00F3669C" w:rsidP="00753E60">
            <w:pPr>
              <w:keepNext/>
              <w:keepLines/>
              <w:tabs>
                <w:tab w:val="left" w:pos="401"/>
              </w:tabs>
              <w:outlineLvl w:val="0"/>
              <w:rPr>
                <w:sz w:val="20"/>
              </w:rPr>
            </w:pPr>
            <w:r>
              <w:rPr>
                <w:b/>
                <w:bCs/>
                <w:sz w:val="20"/>
              </w:rPr>
              <w:t>Omicron BA.4/BA.5</w:t>
            </w:r>
          </w:p>
        </w:tc>
        <w:tc>
          <w:tcPr>
            <w:tcW w:w="2905" w:type="dxa"/>
            <w:tcBorders>
              <w:top w:val="single" w:sz="4" w:space="0" w:color="auto"/>
              <w:left w:val="single" w:sz="4" w:space="0" w:color="auto"/>
              <w:bottom w:val="single" w:sz="4" w:space="0" w:color="auto"/>
              <w:right w:val="single" w:sz="4" w:space="0" w:color="auto"/>
            </w:tcBorders>
            <w:vAlign w:val="center"/>
            <w:hideMark/>
          </w:tcPr>
          <w:p w14:paraId="7535309A" w14:textId="77777777" w:rsidR="00F3669C" w:rsidRDefault="00F3669C" w:rsidP="00753E60">
            <w:pPr>
              <w:keepNext/>
              <w:keepLines/>
              <w:tabs>
                <w:tab w:val="left" w:pos="401"/>
              </w:tabs>
              <w:jc w:val="center"/>
              <w:outlineLvl w:val="0"/>
              <w:rPr>
                <w:sz w:val="20"/>
              </w:rPr>
            </w:pPr>
            <w:r>
              <w:rPr>
                <w:sz w:val="20"/>
              </w:rPr>
              <w:t>79.9</w:t>
            </w:r>
            <w:r>
              <w:rPr>
                <w:sz w:val="20"/>
              </w:rPr>
              <w:fldChar w:fldCharType="begin"/>
            </w:r>
            <w:r>
              <w:rPr>
                <w:sz w:val="20"/>
              </w:rPr>
              <w:instrText xml:space="preserve"> DOCVARIABLE VAULT_ND_ac046a97-4b5a-4d03-8ae6-6ad06c24f98c \* MERGEFORMAT </w:instrText>
            </w:r>
            <w:r>
              <w:rPr>
                <w:sz w:val="20"/>
              </w:rPr>
              <w:fldChar w:fldCharType="separate"/>
            </w:r>
            <w:r>
              <w:rPr>
                <w:sz w:val="20"/>
              </w:rPr>
              <w:t xml:space="preserve"> </w:t>
            </w:r>
            <w:r>
              <w:rPr>
                <w:sz w:val="20"/>
              </w:rPr>
              <w:fldChar w:fldCharType="end"/>
            </w:r>
          </w:p>
          <w:p w14:paraId="14968CB1" w14:textId="77777777" w:rsidR="00F3669C" w:rsidRDefault="00F3669C" w:rsidP="00753E60">
            <w:pPr>
              <w:keepNext/>
              <w:keepLines/>
              <w:tabs>
                <w:tab w:val="left" w:pos="401"/>
              </w:tabs>
              <w:jc w:val="center"/>
              <w:outlineLvl w:val="0"/>
              <w:rPr>
                <w:sz w:val="20"/>
              </w:rPr>
            </w:pPr>
            <w:r>
              <w:rPr>
                <w:sz w:val="20"/>
              </w:rPr>
              <w:t>(76.5, 83.0)</w:t>
            </w:r>
            <w:r>
              <w:rPr>
                <w:sz w:val="20"/>
              </w:rPr>
              <w:fldChar w:fldCharType="begin"/>
            </w:r>
            <w:r>
              <w:rPr>
                <w:sz w:val="20"/>
              </w:rPr>
              <w:instrText xml:space="preserve"> DOCVARIABLE VAULT_ND_f1079aaf-bf0b-4ae7-8475-eb7861f56ff9 \* MERGEFORMAT </w:instrText>
            </w:r>
            <w:r>
              <w:rPr>
                <w:sz w:val="20"/>
              </w:rPr>
              <w:fldChar w:fldCharType="separate"/>
            </w:r>
            <w:r>
              <w:rPr>
                <w:sz w:val="20"/>
              </w:rPr>
              <w:t xml:space="preserve"> </w:t>
            </w:r>
            <w:r>
              <w:rPr>
                <w:sz w:val="20"/>
              </w:rPr>
              <w:fldChar w:fldCharType="end"/>
            </w:r>
          </w:p>
        </w:tc>
        <w:tc>
          <w:tcPr>
            <w:tcW w:w="2506" w:type="dxa"/>
            <w:tcBorders>
              <w:top w:val="single" w:sz="4" w:space="0" w:color="auto"/>
              <w:left w:val="single" w:sz="4" w:space="0" w:color="auto"/>
              <w:bottom w:val="single" w:sz="4" w:space="0" w:color="auto"/>
              <w:right w:val="single" w:sz="4" w:space="0" w:color="auto"/>
            </w:tcBorders>
            <w:vAlign w:val="center"/>
            <w:hideMark/>
          </w:tcPr>
          <w:p w14:paraId="6EA028CE" w14:textId="77777777" w:rsidR="00F3669C" w:rsidRDefault="00F3669C" w:rsidP="00753E60">
            <w:pPr>
              <w:keepNext/>
              <w:keepLines/>
              <w:autoSpaceDE w:val="0"/>
              <w:autoSpaceDN w:val="0"/>
              <w:adjustRightInd w:val="0"/>
              <w:jc w:val="center"/>
              <w:rPr>
                <w:rFonts w:eastAsiaTheme="minorHAnsi"/>
                <w:sz w:val="20"/>
              </w:rPr>
            </w:pPr>
            <w:r>
              <w:rPr>
                <w:sz w:val="20"/>
              </w:rPr>
              <w:t>65.5</w:t>
            </w:r>
          </w:p>
          <w:p w14:paraId="114A641F" w14:textId="77777777" w:rsidR="00F3669C" w:rsidRDefault="00F3669C" w:rsidP="00753E60">
            <w:pPr>
              <w:keepNext/>
              <w:keepLines/>
              <w:jc w:val="center"/>
              <w:rPr>
                <w:rFonts w:ascii="Calibri" w:eastAsia="Calibri" w:hAnsi="Calibri"/>
                <w:sz w:val="20"/>
              </w:rPr>
            </w:pPr>
            <w:r>
              <w:rPr>
                <w:sz w:val="20"/>
              </w:rPr>
              <w:t>(61.4, 69.4)</w:t>
            </w:r>
          </w:p>
        </w:tc>
        <w:tc>
          <w:tcPr>
            <w:tcW w:w="2531" w:type="dxa"/>
            <w:tcBorders>
              <w:top w:val="single" w:sz="4" w:space="0" w:color="auto"/>
              <w:left w:val="single" w:sz="4" w:space="0" w:color="auto"/>
              <w:bottom w:val="single" w:sz="4" w:space="0" w:color="auto"/>
              <w:right w:val="single" w:sz="4" w:space="0" w:color="auto"/>
            </w:tcBorders>
            <w:vAlign w:val="center"/>
            <w:hideMark/>
          </w:tcPr>
          <w:p w14:paraId="6DEFA159" w14:textId="77777777" w:rsidR="00F3669C" w:rsidRDefault="00F3669C" w:rsidP="00753E60">
            <w:pPr>
              <w:keepNext/>
              <w:keepLines/>
              <w:autoSpaceDE w:val="0"/>
              <w:autoSpaceDN w:val="0"/>
              <w:adjustRightInd w:val="0"/>
              <w:jc w:val="center"/>
              <w:rPr>
                <w:rFonts w:eastAsiaTheme="minorHAnsi"/>
                <w:sz w:val="20"/>
              </w:rPr>
            </w:pPr>
            <w:r>
              <w:rPr>
                <w:sz w:val="20"/>
              </w:rPr>
              <w:t>14.4</w:t>
            </w:r>
          </w:p>
          <w:p w14:paraId="1D0DB3FE" w14:textId="77777777" w:rsidR="00F3669C" w:rsidRDefault="00F3669C" w:rsidP="00753E60">
            <w:pPr>
              <w:keepNext/>
              <w:keepLines/>
              <w:tabs>
                <w:tab w:val="left" w:pos="401"/>
              </w:tabs>
              <w:ind w:left="100"/>
              <w:jc w:val="center"/>
              <w:outlineLvl w:val="0"/>
              <w:rPr>
                <w:sz w:val="20"/>
              </w:rPr>
            </w:pPr>
            <w:r>
              <w:rPr>
                <w:sz w:val="20"/>
              </w:rPr>
              <w:t>(9.3, 19.4)</w:t>
            </w:r>
            <w:r>
              <w:rPr>
                <w:sz w:val="20"/>
              </w:rPr>
              <w:fldChar w:fldCharType="begin"/>
            </w:r>
            <w:r>
              <w:rPr>
                <w:sz w:val="20"/>
              </w:rPr>
              <w:instrText xml:space="preserve"> DOCVARIABLE VAULT_ND_c77ba6cc-872f-41b6-8055-3d38a140b5d1 \* MERGEFORMAT </w:instrText>
            </w:r>
            <w:r>
              <w:rPr>
                <w:sz w:val="20"/>
              </w:rPr>
              <w:fldChar w:fldCharType="separate"/>
            </w:r>
            <w:r>
              <w:rPr>
                <w:sz w:val="20"/>
              </w:rPr>
              <w:t xml:space="preserve"> </w:t>
            </w:r>
            <w:r>
              <w:rPr>
                <w:sz w:val="20"/>
              </w:rPr>
              <w:fldChar w:fldCharType="end"/>
            </w:r>
          </w:p>
        </w:tc>
      </w:tr>
      <w:tr w:rsidR="00F3669C" w14:paraId="6EC77F3C"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vAlign w:val="center"/>
            <w:hideMark/>
          </w:tcPr>
          <w:p w14:paraId="014C6437" w14:textId="77777777" w:rsidR="00F3669C" w:rsidRDefault="00F3669C" w:rsidP="00753E60">
            <w:pPr>
              <w:keepNext/>
              <w:keepLines/>
              <w:tabs>
                <w:tab w:val="left" w:pos="401"/>
              </w:tabs>
              <w:outlineLvl w:val="0"/>
              <w:rPr>
                <w:b/>
                <w:bCs/>
                <w:sz w:val="20"/>
              </w:rPr>
            </w:pPr>
            <w:r>
              <w:rPr>
                <w:b/>
                <w:bCs/>
                <w:sz w:val="20"/>
              </w:rPr>
              <w:t>Original SARS-CoV-2 (D614G)</w:t>
            </w:r>
          </w:p>
        </w:tc>
        <w:tc>
          <w:tcPr>
            <w:tcW w:w="2905" w:type="dxa"/>
            <w:tcBorders>
              <w:top w:val="single" w:sz="4" w:space="0" w:color="auto"/>
              <w:left w:val="single" w:sz="4" w:space="0" w:color="auto"/>
              <w:bottom w:val="single" w:sz="4" w:space="0" w:color="auto"/>
              <w:right w:val="single" w:sz="4" w:space="0" w:color="auto"/>
            </w:tcBorders>
            <w:vAlign w:val="center"/>
            <w:hideMark/>
          </w:tcPr>
          <w:p w14:paraId="6AAD53B1" w14:textId="77777777" w:rsidR="00F3669C" w:rsidRDefault="00F3669C" w:rsidP="00753E60">
            <w:pPr>
              <w:keepNext/>
              <w:keepLines/>
              <w:tabs>
                <w:tab w:val="left" w:pos="401"/>
              </w:tabs>
              <w:jc w:val="center"/>
              <w:outlineLvl w:val="0"/>
              <w:rPr>
                <w:sz w:val="20"/>
              </w:rPr>
            </w:pPr>
            <w:r>
              <w:rPr>
                <w:sz w:val="20"/>
              </w:rPr>
              <w:t>83.6</w:t>
            </w:r>
            <w:r>
              <w:rPr>
                <w:sz w:val="20"/>
              </w:rPr>
              <w:fldChar w:fldCharType="begin"/>
            </w:r>
            <w:r>
              <w:rPr>
                <w:sz w:val="20"/>
              </w:rPr>
              <w:instrText xml:space="preserve"> DOCVARIABLE VAULT_ND_42105517-e3b9-425d-b77b-51bdc8a3e026 \* MERGEFORMAT </w:instrText>
            </w:r>
            <w:r>
              <w:rPr>
                <w:sz w:val="20"/>
              </w:rPr>
              <w:fldChar w:fldCharType="separate"/>
            </w:r>
            <w:r>
              <w:rPr>
                <w:sz w:val="20"/>
              </w:rPr>
              <w:t xml:space="preserve"> </w:t>
            </w:r>
            <w:r>
              <w:rPr>
                <w:sz w:val="20"/>
              </w:rPr>
              <w:fldChar w:fldCharType="end"/>
            </w:r>
          </w:p>
          <w:p w14:paraId="1670929C" w14:textId="77777777" w:rsidR="00F3669C" w:rsidRDefault="00F3669C" w:rsidP="00753E60">
            <w:pPr>
              <w:keepNext/>
              <w:keepLines/>
              <w:tabs>
                <w:tab w:val="left" w:pos="401"/>
              </w:tabs>
              <w:jc w:val="center"/>
              <w:outlineLvl w:val="0"/>
              <w:rPr>
                <w:sz w:val="20"/>
              </w:rPr>
            </w:pPr>
            <w:r>
              <w:rPr>
                <w:sz w:val="20"/>
              </w:rPr>
              <w:t>(80.4, 86.4)</w:t>
            </w:r>
            <w:r>
              <w:rPr>
                <w:sz w:val="20"/>
              </w:rPr>
              <w:fldChar w:fldCharType="begin"/>
            </w:r>
            <w:r>
              <w:rPr>
                <w:sz w:val="20"/>
              </w:rPr>
              <w:instrText xml:space="preserve"> DOCVARIABLE VAULT_ND_265971a0-5a98-49db-9052-f960bbcff9a2 \* MERGEFORMAT </w:instrText>
            </w:r>
            <w:r>
              <w:rPr>
                <w:sz w:val="20"/>
              </w:rPr>
              <w:fldChar w:fldCharType="separate"/>
            </w:r>
            <w:r>
              <w:rPr>
                <w:sz w:val="20"/>
              </w:rPr>
              <w:t xml:space="preserve"> </w:t>
            </w:r>
            <w:r>
              <w:rPr>
                <w:sz w:val="20"/>
              </w:rPr>
              <w:fldChar w:fldCharType="end"/>
            </w:r>
          </w:p>
        </w:tc>
        <w:tc>
          <w:tcPr>
            <w:tcW w:w="2506" w:type="dxa"/>
            <w:tcBorders>
              <w:top w:val="single" w:sz="4" w:space="0" w:color="auto"/>
              <w:left w:val="single" w:sz="4" w:space="0" w:color="auto"/>
              <w:bottom w:val="single" w:sz="4" w:space="0" w:color="auto"/>
              <w:right w:val="single" w:sz="4" w:space="0" w:color="auto"/>
            </w:tcBorders>
            <w:vAlign w:val="center"/>
            <w:hideMark/>
          </w:tcPr>
          <w:p w14:paraId="77B5196D" w14:textId="77777777" w:rsidR="00F3669C" w:rsidRDefault="00F3669C" w:rsidP="00753E60">
            <w:pPr>
              <w:keepNext/>
              <w:keepLines/>
              <w:autoSpaceDE w:val="0"/>
              <w:autoSpaceDN w:val="0"/>
              <w:adjustRightInd w:val="0"/>
              <w:jc w:val="center"/>
              <w:rPr>
                <w:rFonts w:eastAsiaTheme="minorHAnsi"/>
                <w:sz w:val="20"/>
              </w:rPr>
            </w:pPr>
            <w:r>
              <w:rPr>
                <w:sz w:val="20"/>
              </w:rPr>
              <w:t>72.9</w:t>
            </w:r>
          </w:p>
          <w:p w14:paraId="799D519F" w14:textId="77777777" w:rsidR="00F3669C" w:rsidRDefault="00F3669C" w:rsidP="00753E60">
            <w:pPr>
              <w:keepNext/>
              <w:keepLines/>
              <w:jc w:val="center"/>
              <w:rPr>
                <w:rFonts w:ascii="Calibri" w:eastAsia="Calibri" w:hAnsi="Calibri"/>
                <w:b/>
                <w:bCs/>
                <w:sz w:val="20"/>
              </w:rPr>
            </w:pPr>
            <w:r>
              <w:rPr>
                <w:sz w:val="20"/>
              </w:rPr>
              <w:t>(69.0, 76.5)</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35137AD" w14:textId="77777777" w:rsidR="00F3669C" w:rsidRDefault="00F3669C" w:rsidP="00753E60">
            <w:pPr>
              <w:keepNext/>
              <w:keepLines/>
              <w:tabs>
                <w:tab w:val="left" w:pos="401"/>
              </w:tabs>
              <w:ind w:left="100"/>
              <w:jc w:val="center"/>
              <w:outlineLvl w:val="0"/>
              <w:rPr>
                <w:sz w:val="20"/>
              </w:rPr>
            </w:pPr>
            <w:r>
              <w:rPr>
                <w:sz w:val="20"/>
              </w:rPr>
              <w:t>10.7</w:t>
            </w:r>
            <w:r>
              <w:rPr>
                <w:sz w:val="20"/>
              </w:rPr>
              <w:fldChar w:fldCharType="begin"/>
            </w:r>
            <w:r>
              <w:rPr>
                <w:sz w:val="20"/>
              </w:rPr>
              <w:instrText xml:space="preserve"> DOCVARIABLE VAULT_ND_00190149-965c-4caa-9b5c-f7a4e13dddff \* MERGEFORMAT </w:instrText>
            </w:r>
            <w:r>
              <w:rPr>
                <w:sz w:val="20"/>
              </w:rPr>
              <w:fldChar w:fldCharType="separate"/>
            </w:r>
            <w:r>
              <w:rPr>
                <w:sz w:val="20"/>
              </w:rPr>
              <w:t xml:space="preserve"> </w:t>
            </w:r>
            <w:r>
              <w:rPr>
                <w:sz w:val="20"/>
              </w:rPr>
              <w:fldChar w:fldCharType="end"/>
            </w:r>
          </w:p>
          <w:p w14:paraId="7DD1A583" w14:textId="77777777" w:rsidR="00F3669C" w:rsidRDefault="00F3669C" w:rsidP="00753E60">
            <w:pPr>
              <w:keepNext/>
              <w:keepLines/>
              <w:tabs>
                <w:tab w:val="left" w:pos="401"/>
              </w:tabs>
              <w:ind w:left="100"/>
              <w:jc w:val="center"/>
              <w:outlineLvl w:val="0"/>
              <w:rPr>
                <w:sz w:val="20"/>
              </w:rPr>
            </w:pPr>
            <w:r>
              <w:rPr>
                <w:sz w:val="20"/>
              </w:rPr>
              <w:t>(6.0, 15.4)</w:t>
            </w:r>
            <w:r>
              <w:rPr>
                <w:sz w:val="20"/>
              </w:rPr>
              <w:fldChar w:fldCharType="begin"/>
            </w:r>
            <w:r>
              <w:rPr>
                <w:sz w:val="20"/>
              </w:rPr>
              <w:instrText xml:space="preserve"> DOCVARIABLE VAULT_ND_5edbcd2c-0410-4cda-acea-045eed978e68 \* MERGEFORMAT </w:instrText>
            </w:r>
            <w:r>
              <w:rPr>
                <w:sz w:val="20"/>
              </w:rPr>
              <w:fldChar w:fldCharType="separate"/>
            </w:r>
            <w:r>
              <w:rPr>
                <w:sz w:val="20"/>
              </w:rPr>
              <w:t xml:space="preserve"> </w:t>
            </w:r>
            <w:r>
              <w:rPr>
                <w:sz w:val="20"/>
              </w:rPr>
              <w:fldChar w:fldCharType="end"/>
            </w:r>
          </w:p>
        </w:tc>
      </w:tr>
    </w:tbl>
    <w:p w14:paraId="3697779D" w14:textId="77777777" w:rsidR="00F3669C" w:rsidRPr="005A60EC" w:rsidRDefault="00F3669C" w:rsidP="001F385D">
      <w:pPr>
        <w:widowControl w:val="0"/>
        <w:spacing w:after="0" w:line="240" w:lineRule="auto"/>
        <w:rPr>
          <w:rFonts w:eastAsia="Calibri"/>
          <w:sz w:val="20"/>
        </w:rPr>
      </w:pPr>
      <w:r>
        <w:rPr>
          <w:rFonts w:eastAsia="Calibri"/>
          <w:sz w:val="20"/>
        </w:rPr>
        <w:t>N=</w:t>
      </w:r>
      <w:r w:rsidRPr="005A60EC">
        <w:rPr>
          <w:rFonts w:eastAsia="Calibri"/>
          <w:sz w:val="20"/>
        </w:rPr>
        <w:t>Number of participants with non-missing data at the corresponding timepoint(s).</w:t>
      </w:r>
    </w:p>
    <w:p w14:paraId="6BD4A05E" w14:textId="77777777" w:rsidR="00F3669C" w:rsidRPr="005A60EC" w:rsidRDefault="00F3669C" w:rsidP="001F385D">
      <w:pPr>
        <w:widowControl w:val="0"/>
        <w:spacing w:after="0" w:line="240" w:lineRule="auto"/>
        <w:ind w:left="144" w:hanging="144"/>
        <w:rPr>
          <w:rFonts w:eastAsia="Calibri"/>
          <w:sz w:val="20"/>
        </w:rPr>
      </w:pPr>
      <w:r w:rsidRPr="00512A4D">
        <w:rPr>
          <w:rFonts w:eastAsia="Calibri"/>
          <w:sz w:val="20"/>
        </w:rPr>
        <w:t xml:space="preserve">* Per-Protocol </w:t>
      </w:r>
      <w:r>
        <w:rPr>
          <w:rFonts w:eastAsia="Calibri"/>
          <w:sz w:val="20"/>
        </w:rPr>
        <w:t>i</w:t>
      </w:r>
      <w:r w:rsidRPr="00512A4D">
        <w:rPr>
          <w:rFonts w:eastAsia="Calibri"/>
          <w:sz w:val="20"/>
        </w:rPr>
        <w:t xml:space="preserve">mmunogenicity </w:t>
      </w:r>
      <w:r>
        <w:rPr>
          <w:rFonts w:eastAsia="Calibri"/>
          <w:sz w:val="20"/>
        </w:rPr>
        <w:t>s</w:t>
      </w:r>
      <w:r w:rsidRPr="00512A4D">
        <w:rPr>
          <w:rFonts w:eastAsia="Calibri"/>
          <w:sz w:val="20"/>
        </w:rPr>
        <w:t xml:space="preserve">ubset included a randomly selected subset of subjects who received study </w:t>
      </w:r>
      <w:proofErr w:type="gramStart"/>
      <w:r w:rsidRPr="00512A4D">
        <w:rPr>
          <w:rFonts w:eastAsia="Calibri"/>
          <w:sz w:val="20"/>
        </w:rPr>
        <w:t>vaccine, and</w:t>
      </w:r>
      <w:proofErr w:type="gramEnd"/>
      <w:r w:rsidRPr="00512A4D">
        <w:rPr>
          <w:rFonts w:eastAsia="Calibri"/>
          <w:sz w:val="20"/>
        </w:rPr>
        <w:t xml:space="preserve"> did not have a major protocol deviation that impacted immune response and had both pre-dose and post-dose immunogenicity assessment at timepoint of primary interest (28 days post-dose).</w:t>
      </w:r>
    </w:p>
    <w:p w14:paraId="57192A49" w14:textId="13F46E49" w:rsidR="00F3669C" w:rsidRPr="005A60EC" w:rsidRDefault="00F3669C" w:rsidP="001F385D">
      <w:pPr>
        <w:widowControl w:val="0"/>
        <w:spacing w:after="0" w:line="240" w:lineRule="auto"/>
        <w:ind w:left="144" w:hanging="144"/>
        <w:rPr>
          <w:sz w:val="20"/>
        </w:rPr>
      </w:pPr>
      <w:r w:rsidRPr="005A60EC">
        <w:rPr>
          <w:sz w:val="20"/>
          <w:vertAlign w:val="superscript"/>
        </w:rPr>
        <w:t>a</w:t>
      </w:r>
      <w:r w:rsidRPr="005A60EC">
        <w:rPr>
          <w:sz w:val="20"/>
        </w:rPr>
        <w:t xml:space="preserve"> </w:t>
      </w:r>
      <w:r w:rsidR="00170E15">
        <w:rPr>
          <w:sz w:val="20"/>
        </w:rPr>
        <w:t>mNEXSPIKE</w:t>
      </w:r>
      <w:r w:rsidRPr="005A60EC">
        <w:rPr>
          <w:sz w:val="20"/>
        </w:rPr>
        <w:t xml:space="preserve"> dosing was a single dose (10 micrograms mRNA).</w:t>
      </w:r>
    </w:p>
    <w:p w14:paraId="7B782156" w14:textId="77777777" w:rsidR="00F3669C" w:rsidRDefault="00F3669C" w:rsidP="001F385D">
      <w:pPr>
        <w:widowControl w:val="0"/>
        <w:spacing w:after="0" w:line="240" w:lineRule="auto"/>
        <w:ind w:left="144" w:hanging="144"/>
        <w:rPr>
          <w:rFonts w:eastAsia="Calibri"/>
          <w:sz w:val="20"/>
        </w:rPr>
      </w:pPr>
      <w:proofErr w:type="gramStart"/>
      <w:r w:rsidRPr="005A60EC">
        <w:rPr>
          <w:sz w:val="20"/>
          <w:vertAlign w:val="superscript"/>
        </w:rPr>
        <w:t>b</w:t>
      </w:r>
      <w:r w:rsidRPr="005A60EC">
        <w:rPr>
          <w:sz w:val="20"/>
        </w:rPr>
        <w:t xml:space="preserve"> </w:t>
      </w:r>
      <w:proofErr w:type="spellStart"/>
      <w:r w:rsidRPr="005A60EC">
        <w:rPr>
          <w:rFonts w:eastAsia="Calibri"/>
          <w:sz w:val="20"/>
        </w:rPr>
        <w:t>Seroresponse</w:t>
      </w:r>
      <w:proofErr w:type="spellEnd"/>
      <w:proofErr w:type="gramEnd"/>
      <w:r w:rsidRPr="005A60EC">
        <w:rPr>
          <w:rFonts w:eastAsia="Calibri"/>
          <w:sz w:val="20"/>
        </w:rPr>
        <w:t xml:space="preserve"> is defined as an antibody value change from baseline below the LLOQ to ≥4 ×</w:t>
      </w:r>
      <w:r>
        <w:rPr>
          <w:rFonts w:eastAsia="Calibri"/>
          <w:sz w:val="20"/>
        </w:rPr>
        <w:t xml:space="preserve"> LLOQ, or at least a 4-fold rise if baseline is ≥ LLOQ and &lt;4 × LLOQ, or at least a 2-fold rise if baseline is ≥4 × LLOQ, where baseline refers </w:t>
      </w:r>
      <w:r w:rsidRPr="00B40BD7">
        <w:rPr>
          <w:rFonts w:eastAsia="Calibri"/>
          <w:sz w:val="20"/>
        </w:rPr>
        <w:t>to pre-dose</w:t>
      </w:r>
      <w:r>
        <w:rPr>
          <w:rFonts w:eastAsia="Calibri"/>
          <w:sz w:val="20"/>
        </w:rPr>
        <w:t>.</w:t>
      </w:r>
    </w:p>
    <w:p w14:paraId="4AA3D2E2" w14:textId="77777777" w:rsidR="00F3669C" w:rsidRDefault="00F3669C" w:rsidP="001F385D">
      <w:pPr>
        <w:widowControl w:val="0"/>
        <w:spacing w:after="0" w:line="240" w:lineRule="auto"/>
        <w:rPr>
          <w:rFonts w:eastAsia="Calibri"/>
          <w:sz w:val="20"/>
        </w:rPr>
      </w:pPr>
      <w:r>
        <w:rPr>
          <w:rFonts w:eastAsia="Calibri"/>
          <w:sz w:val="20"/>
          <w:vertAlign w:val="superscript"/>
        </w:rPr>
        <w:t>c</w:t>
      </w:r>
      <w:r>
        <w:rPr>
          <w:rFonts w:eastAsia="Calibri"/>
          <w:sz w:val="20"/>
        </w:rPr>
        <w:t xml:space="preserve"> 95% CI is calculated using the Clopper-Pearson method.</w:t>
      </w:r>
    </w:p>
    <w:p w14:paraId="09DDFEA6" w14:textId="77777777" w:rsidR="00F3669C" w:rsidRDefault="00F3669C" w:rsidP="001F385D">
      <w:pPr>
        <w:widowControl w:val="0"/>
        <w:spacing w:after="0" w:line="240" w:lineRule="auto"/>
        <w:ind w:left="144" w:hanging="144"/>
        <w:rPr>
          <w:sz w:val="20"/>
        </w:rPr>
      </w:pPr>
      <w:r>
        <w:rPr>
          <w:rFonts w:eastAsia="Calibri"/>
          <w:sz w:val="20"/>
          <w:vertAlign w:val="superscript"/>
        </w:rPr>
        <w:t>d</w:t>
      </w:r>
      <w:r>
        <w:rPr>
          <w:rFonts w:eastAsia="Calibri"/>
          <w:sz w:val="20"/>
        </w:rPr>
        <w:t xml:space="preserve"> </w:t>
      </w:r>
      <w:r>
        <w:rPr>
          <w:sz w:val="20"/>
        </w:rPr>
        <w:t>Comparator dosing was a single dose (50 micrograms mRNA).</w:t>
      </w:r>
    </w:p>
    <w:p w14:paraId="247ED1EA" w14:textId="77777777" w:rsidR="00F3669C" w:rsidRDefault="00F3669C" w:rsidP="001F385D">
      <w:pPr>
        <w:widowControl w:val="0"/>
        <w:spacing w:after="0" w:line="240" w:lineRule="auto"/>
        <w:rPr>
          <w:rFonts w:eastAsia="Calibri"/>
          <w:sz w:val="20"/>
          <w:vertAlign w:val="superscript"/>
        </w:rPr>
      </w:pPr>
      <w:r>
        <w:rPr>
          <w:rFonts w:eastAsia="Calibri"/>
          <w:sz w:val="20"/>
          <w:vertAlign w:val="superscript"/>
        </w:rPr>
        <w:t>e</w:t>
      </w:r>
      <w:r>
        <w:rPr>
          <w:rFonts w:eastAsia="Calibri"/>
          <w:sz w:val="20"/>
        </w:rPr>
        <w:t xml:space="preserve"> 95% CI is calculated using the Miettinen-Nurminen (score) confidence limits.</w:t>
      </w:r>
      <w:r>
        <w:rPr>
          <w:rFonts w:eastAsia="Calibri"/>
          <w:sz w:val="20"/>
          <w:vertAlign w:val="superscript"/>
        </w:rPr>
        <w:t xml:space="preserve"> </w:t>
      </w:r>
    </w:p>
    <w:p w14:paraId="3723A45D" w14:textId="5CFA8ACB" w:rsidR="004C32EB" w:rsidRDefault="00F3669C" w:rsidP="00411C2A">
      <w:pPr>
        <w:pStyle w:val="Heading4"/>
        <w:rPr>
          <w:noProof/>
        </w:rPr>
      </w:pPr>
      <w:r w:rsidRPr="00D92570">
        <w:rPr>
          <w:noProof/>
        </w:rPr>
        <w:t xml:space="preserve">Study </w:t>
      </w:r>
      <w:r>
        <w:rPr>
          <w:noProof/>
        </w:rPr>
        <w:t>2</w:t>
      </w:r>
      <w:r w:rsidR="00C40E71">
        <w:rPr>
          <w:noProof/>
        </w:rPr>
        <w:fldChar w:fldCharType="begin"/>
      </w:r>
      <w:r w:rsidR="00C40E71">
        <w:rPr>
          <w:noProof/>
        </w:rPr>
        <w:instrText xml:space="preserve"> DOCVARIABLE vault_nd_eec52d20-9b97-4fe2-b213-30116bfbea3c \* MERGEFORMAT </w:instrText>
      </w:r>
      <w:r w:rsidR="00C40E71">
        <w:rPr>
          <w:noProof/>
        </w:rPr>
        <w:fldChar w:fldCharType="separate"/>
      </w:r>
      <w:r w:rsidR="00C40E71">
        <w:rPr>
          <w:noProof/>
        </w:rPr>
        <w:t xml:space="preserve"> </w:t>
      </w:r>
      <w:r w:rsidR="00C40E71">
        <w:rPr>
          <w:noProof/>
        </w:rPr>
        <w:fldChar w:fldCharType="end"/>
      </w:r>
    </w:p>
    <w:p w14:paraId="48F1D614" w14:textId="77777777" w:rsidR="00411C2A" w:rsidRPr="00411C2A" w:rsidRDefault="00411C2A" w:rsidP="00E45D11">
      <w:pPr>
        <w:pStyle w:val="NoSpacing"/>
      </w:pPr>
    </w:p>
    <w:p w14:paraId="5F4A6E15" w14:textId="0F636289" w:rsidR="004C32EB" w:rsidRPr="004C32EB" w:rsidRDefault="00411C2A" w:rsidP="004C32EB">
      <w:r w:rsidRPr="00E45D11">
        <w:rPr>
          <w:i/>
          <w:iCs/>
        </w:rPr>
        <w:t xml:space="preserve">Study 2: Evaluated immunogenicity of </w:t>
      </w:r>
      <w:proofErr w:type="gramStart"/>
      <w:r w:rsidRPr="00E45D11">
        <w:rPr>
          <w:i/>
          <w:iCs/>
        </w:rPr>
        <w:t>single-dose</w:t>
      </w:r>
      <w:proofErr w:type="gramEnd"/>
      <w:r w:rsidRPr="00E45D11">
        <w:rPr>
          <w:i/>
          <w:iCs/>
        </w:rPr>
        <w:t xml:space="preserve"> mNEXSPIKE (Monovalent XBB.1.5)</w:t>
      </w:r>
    </w:p>
    <w:p w14:paraId="6AB901FB" w14:textId="28D089A7" w:rsidR="00F3669C" w:rsidRPr="00084FDF" w:rsidRDefault="00F3669C" w:rsidP="00F3669C">
      <w:pPr>
        <w:numPr>
          <w:ilvl w:val="12"/>
          <w:numId w:val="0"/>
        </w:numPr>
        <w:spacing w:line="240" w:lineRule="auto"/>
        <w:ind w:right="-2"/>
        <w:rPr>
          <w:iCs/>
          <w:noProof/>
        </w:rPr>
      </w:pPr>
      <w:r w:rsidRPr="00084FDF">
        <w:rPr>
          <w:iCs/>
          <w:noProof/>
        </w:rPr>
        <w:t xml:space="preserve">Study 2 was </w:t>
      </w:r>
      <w:r>
        <w:rPr>
          <w:iCs/>
          <w:noProof/>
        </w:rPr>
        <w:t>a</w:t>
      </w:r>
      <w:r w:rsidRPr="00084FDF">
        <w:rPr>
          <w:iCs/>
          <w:noProof/>
        </w:rPr>
        <w:t xml:space="preserve"> Phase 3 randomised, observer-blind, active-controlled clinical trial that evaluated the immunogenicity and safety of </w:t>
      </w:r>
      <w:r w:rsidR="00170E15">
        <w:rPr>
          <w:iCs/>
          <w:noProof/>
        </w:rPr>
        <w:t>mNEXSPIKE XBB.1.5</w:t>
      </w:r>
      <w:r w:rsidRPr="00084FDF">
        <w:rPr>
          <w:iCs/>
          <w:noProof/>
        </w:rPr>
        <w:t xml:space="preserve"> in participants 12 years of age and older in Japan. Randomisation was stratified by age: 12 years through 17 years, 18 through 64 years, and 65 years of age and older. The study allowed for the inclusion of participants with stable pre</w:t>
      </w:r>
      <w:r w:rsidRPr="00084FDF">
        <w:rPr>
          <w:iCs/>
          <w:noProof/>
        </w:rPr>
        <w:noBreakHyphen/>
        <w:t xml:space="preserve">existing medical conditions, defined as disease not requiring significant change in therapy or hospitalisation for worsening disease during the two months before enrolment, as well as participants with stable human immunodeficiency virus (HIV) infection. A total of 692 participants were randomised in a 1:1 ratio to receive </w:t>
      </w:r>
      <w:r w:rsidR="00170E15">
        <w:rPr>
          <w:iCs/>
          <w:noProof/>
        </w:rPr>
        <w:t>mNEXSPIKE XBB.1.5</w:t>
      </w:r>
      <w:r w:rsidRPr="00084FDF">
        <w:rPr>
          <w:iCs/>
          <w:noProof/>
        </w:rPr>
        <w:t xml:space="preserve"> (10 micrograms mRNA; n=344), a vaccine formulation targeting Omicron XBB.1.5, or comparator vaccine [targeting Omicron XBB.1.5 (50 mcg mRNA; n=348)]. All participants had previously received at least one dose of a COVID-19 vaccine prior to the study with a median time of 16.7 months since the last dose. </w:t>
      </w:r>
    </w:p>
    <w:p w14:paraId="201ED5E3" w14:textId="633D9878" w:rsidR="00F3669C" w:rsidRPr="00084FDF" w:rsidRDefault="00F3669C" w:rsidP="00F3669C">
      <w:pPr>
        <w:numPr>
          <w:ilvl w:val="12"/>
          <w:numId w:val="0"/>
        </w:numPr>
        <w:spacing w:line="240" w:lineRule="auto"/>
        <w:ind w:right="-2"/>
        <w:rPr>
          <w:iCs/>
          <w:noProof/>
        </w:rPr>
      </w:pPr>
      <w:r w:rsidRPr="00084FDF">
        <w:rPr>
          <w:iCs/>
          <w:noProof/>
        </w:rPr>
        <w:t xml:space="preserve">The primary immunogenicity analysis population included 334 participants who received </w:t>
      </w:r>
      <w:r w:rsidR="00170E15">
        <w:rPr>
          <w:iCs/>
          <w:noProof/>
        </w:rPr>
        <w:t>mNEXSPIKE XBB.1.5</w:t>
      </w:r>
      <w:r w:rsidRPr="00084FDF">
        <w:rPr>
          <w:iCs/>
          <w:noProof/>
        </w:rPr>
        <w:t xml:space="preserve"> and 334 participants who received comparator vaccine. Among participants assessed for immunogenicity, 65.0% were male, 35.0% were female, and all participants were Asian. The median age of participants was 52 years (range 12-83) and 20.7% of participants were 65 years of age and older.</w:t>
      </w:r>
    </w:p>
    <w:p w14:paraId="55CE8D6A" w14:textId="568E80F8" w:rsidR="00F3669C" w:rsidRPr="001F385D" w:rsidRDefault="00F3669C" w:rsidP="00F3669C">
      <w:pPr>
        <w:numPr>
          <w:ilvl w:val="12"/>
          <w:numId w:val="0"/>
        </w:numPr>
        <w:spacing w:line="240" w:lineRule="auto"/>
        <w:ind w:right="-2"/>
        <w:rPr>
          <w:b/>
          <w:bCs/>
          <w:iCs/>
          <w:noProof/>
        </w:rPr>
      </w:pPr>
      <w:r w:rsidRPr="00084FDF">
        <w:rPr>
          <w:iCs/>
          <w:noProof/>
        </w:rPr>
        <w:t xml:space="preserve">A comparison of neutralising antibody concentrations against a pseudovirus expressing Omicron XBB.1.5 strains was conducted. In the primary immunogenicity analyses of the GMC ratio following </w:t>
      </w:r>
      <w:r w:rsidR="00170E15">
        <w:rPr>
          <w:iCs/>
          <w:noProof/>
        </w:rPr>
        <w:t>mNEXSPIKE XBB.1.5</w:t>
      </w:r>
      <w:r w:rsidRPr="00084FDF">
        <w:rPr>
          <w:iCs/>
          <w:noProof/>
        </w:rPr>
        <w:t xml:space="preserve"> compared to after the comparator vaccine, </w:t>
      </w:r>
      <w:r w:rsidR="00170E15">
        <w:rPr>
          <w:iCs/>
          <w:noProof/>
        </w:rPr>
        <w:t>mNEXSPIKE XBB.1.5</w:t>
      </w:r>
      <w:r w:rsidRPr="00084FDF">
        <w:rPr>
          <w:iCs/>
          <w:noProof/>
        </w:rPr>
        <w:t xml:space="preserve"> met the pre-specified non-inferiority criterion of the lower bound of the 95% CI &gt;0.667. Analyses of the difference in seroresponse rates also met the pre-specified non</w:t>
      </w:r>
      <w:r w:rsidRPr="00084FDF">
        <w:rPr>
          <w:iCs/>
          <w:noProof/>
        </w:rPr>
        <w:noBreakHyphen/>
        <w:t xml:space="preserve">inferiority criterion with the lower bound of the 95% CI of the SRR-difference &gt;-10%. These analyses are summarised in Table </w:t>
      </w:r>
      <w:r w:rsidR="008D0718">
        <w:rPr>
          <w:iCs/>
          <w:noProof/>
        </w:rPr>
        <w:t>9</w:t>
      </w:r>
      <w:r w:rsidRPr="00084FDF">
        <w:rPr>
          <w:iCs/>
          <w:noProof/>
        </w:rPr>
        <w:t xml:space="preserve"> and Table </w:t>
      </w:r>
      <w:r w:rsidR="008D0718">
        <w:rPr>
          <w:iCs/>
          <w:noProof/>
        </w:rPr>
        <w:t>10</w:t>
      </w:r>
      <w:r w:rsidRPr="00084FDF">
        <w:rPr>
          <w:iCs/>
          <w:noProof/>
        </w:rPr>
        <w:t>.</w:t>
      </w:r>
    </w:p>
    <w:p w14:paraId="488D0AF2" w14:textId="33F683DC" w:rsidR="00F3669C" w:rsidRPr="001F385D" w:rsidRDefault="00F3669C" w:rsidP="001870E4">
      <w:pPr>
        <w:keepNext/>
        <w:keepLines/>
        <w:rPr>
          <w:b/>
          <w:bCs/>
        </w:rPr>
      </w:pPr>
      <w:r w:rsidRPr="001F385D">
        <w:rPr>
          <w:b/>
          <w:bCs/>
        </w:rPr>
        <w:lastRenderedPageBreak/>
        <w:t xml:space="preserve">Table </w:t>
      </w:r>
      <w:r w:rsidR="008D0718">
        <w:rPr>
          <w:b/>
          <w:bCs/>
        </w:rPr>
        <w:t>9</w:t>
      </w:r>
      <w:r w:rsidRPr="001F385D">
        <w:rPr>
          <w:b/>
          <w:bCs/>
        </w:rPr>
        <w:t xml:space="preserve">. Comparison of geometric mean concentration 28 days after a single dose of </w:t>
      </w:r>
      <w:r w:rsidR="00170E15">
        <w:rPr>
          <w:b/>
          <w:bCs/>
        </w:rPr>
        <w:t>mNEXSPIKE XBB.1.5</w:t>
      </w:r>
      <w:r w:rsidRPr="001F385D">
        <w:rPr>
          <w:b/>
          <w:bCs/>
        </w:rPr>
        <w:t xml:space="preserve"> versus 28 days after a single dose of comparator mRNA vaccine – Per-Protocol immunogenicity set*</w:t>
      </w:r>
    </w:p>
    <w:tbl>
      <w:tblPr>
        <w:tblStyle w:val="TableGrid"/>
        <w:tblW w:w="9360" w:type="dxa"/>
        <w:tblInd w:w="-5" w:type="dxa"/>
        <w:tblLayout w:type="fixed"/>
        <w:tblLook w:val="04A0" w:firstRow="1" w:lastRow="0" w:firstColumn="1" w:lastColumn="0" w:noHBand="0" w:noVBand="1"/>
      </w:tblPr>
      <w:tblGrid>
        <w:gridCol w:w="1418"/>
        <w:gridCol w:w="2995"/>
        <w:gridCol w:w="2416"/>
        <w:gridCol w:w="2531"/>
      </w:tblGrid>
      <w:tr w:rsidR="00F3669C" w:rsidRPr="006B3C09" w14:paraId="3B871272"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shd w:val="clear" w:color="auto" w:fill="F2F2F2"/>
            <w:vAlign w:val="bottom"/>
          </w:tcPr>
          <w:p w14:paraId="65E9B077" w14:textId="77777777" w:rsidR="00F3669C" w:rsidRDefault="00F3669C" w:rsidP="001870E4">
            <w:pPr>
              <w:keepNext/>
              <w:keepLines/>
              <w:jc w:val="center"/>
              <w:rPr>
                <w:rFonts w:eastAsia="Calibri"/>
                <w:b/>
                <w:bCs/>
                <w:sz w:val="20"/>
              </w:rPr>
            </w:pPr>
            <w:r>
              <w:rPr>
                <w:rFonts w:eastAsia="Calibri"/>
                <w:b/>
                <w:bCs/>
                <w:sz w:val="20"/>
              </w:rPr>
              <w:t>Assay</w:t>
            </w:r>
          </w:p>
          <w:p w14:paraId="5123BB2B" w14:textId="77777777" w:rsidR="00F3669C" w:rsidRDefault="00F3669C" w:rsidP="001870E4">
            <w:pPr>
              <w:keepNext/>
              <w:keepLines/>
              <w:widowControl w:val="0"/>
              <w:jc w:val="center"/>
              <w:rPr>
                <w:rFonts w:eastAsia="Calibri"/>
                <w:b/>
                <w:bCs/>
                <w:sz w:val="20"/>
              </w:rPr>
            </w:pPr>
          </w:p>
        </w:tc>
        <w:tc>
          <w:tcPr>
            <w:tcW w:w="2995" w:type="dxa"/>
            <w:tcBorders>
              <w:top w:val="single" w:sz="4" w:space="0" w:color="auto"/>
              <w:left w:val="single" w:sz="4" w:space="0" w:color="auto"/>
              <w:bottom w:val="single" w:sz="4" w:space="0" w:color="auto"/>
              <w:right w:val="single" w:sz="4" w:space="0" w:color="auto"/>
            </w:tcBorders>
            <w:shd w:val="clear" w:color="auto" w:fill="F2F2F2"/>
            <w:vAlign w:val="bottom"/>
          </w:tcPr>
          <w:p w14:paraId="62D036B6" w14:textId="132D59A1" w:rsidR="00F3669C" w:rsidRPr="00781FDA" w:rsidRDefault="00170E15" w:rsidP="001870E4">
            <w:pPr>
              <w:keepNext/>
              <w:keepLines/>
              <w:jc w:val="center"/>
              <w:rPr>
                <w:rFonts w:eastAsia="Calibri"/>
                <w:b/>
                <w:bCs/>
                <w:sz w:val="20"/>
                <w:lang w:val="it-IT"/>
              </w:rPr>
            </w:pPr>
            <w:r>
              <w:rPr>
                <w:rFonts w:eastAsia="Calibri"/>
                <w:b/>
                <w:bCs/>
                <w:sz w:val="20"/>
                <w:lang w:val="it-IT"/>
              </w:rPr>
              <w:t>mNEXSPIKE XBB.1.5</w:t>
            </w:r>
            <w:r w:rsidR="00F3669C" w:rsidRPr="00781FDA">
              <w:rPr>
                <w:rFonts w:eastAsia="Calibri"/>
                <w:b/>
                <w:bCs/>
                <w:sz w:val="20"/>
                <w:lang w:val="it-IT"/>
              </w:rPr>
              <w:t xml:space="preserve"> </w:t>
            </w:r>
          </w:p>
          <w:p w14:paraId="68CFD901" w14:textId="77777777" w:rsidR="00F3669C" w:rsidRPr="00781FDA" w:rsidRDefault="00F3669C" w:rsidP="001870E4">
            <w:pPr>
              <w:keepNext/>
              <w:keepLines/>
              <w:jc w:val="center"/>
              <w:rPr>
                <w:rFonts w:eastAsia="Calibri"/>
                <w:b/>
                <w:bCs/>
                <w:sz w:val="20"/>
                <w:lang w:val="it-IT"/>
              </w:rPr>
            </w:pPr>
            <w:r w:rsidRPr="00781FDA">
              <w:rPr>
                <w:rFonts w:eastAsia="Calibri"/>
                <w:b/>
                <w:bCs/>
                <w:sz w:val="20"/>
                <w:lang w:val="it-IT"/>
              </w:rPr>
              <w:t>GMC</w:t>
            </w:r>
          </w:p>
          <w:p w14:paraId="08C4E2FE" w14:textId="77777777" w:rsidR="00F3669C" w:rsidRPr="00781FDA" w:rsidRDefault="00F3669C" w:rsidP="001870E4">
            <w:pPr>
              <w:keepNext/>
              <w:keepLines/>
              <w:jc w:val="center"/>
              <w:rPr>
                <w:rFonts w:eastAsia="Calibri"/>
                <w:b/>
                <w:bCs/>
                <w:sz w:val="20"/>
                <w:lang w:val="it-IT"/>
              </w:rPr>
            </w:pPr>
            <w:r w:rsidRPr="00781FDA">
              <w:rPr>
                <w:rFonts w:eastAsia="Calibri"/>
                <w:b/>
                <w:bCs/>
                <w:sz w:val="20"/>
                <w:lang w:val="it-IT"/>
              </w:rPr>
              <w:t>(95% CI)</w:t>
            </w:r>
            <w:r w:rsidRPr="00781FDA">
              <w:rPr>
                <w:rFonts w:eastAsia="Calibri"/>
                <w:b/>
                <w:bCs/>
                <w:sz w:val="20"/>
                <w:vertAlign w:val="superscript"/>
                <w:lang w:val="it-IT"/>
              </w:rPr>
              <w:t>a</w:t>
            </w:r>
          </w:p>
          <w:p w14:paraId="0444E5C5" w14:textId="77777777" w:rsidR="00F3669C" w:rsidRPr="00781FDA" w:rsidRDefault="00F3669C" w:rsidP="001870E4">
            <w:pPr>
              <w:keepNext/>
              <w:keepLines/>
              <w:widowControl w:val="0"/>
              <w:tabs>
                <w:tab w:val="left" w:pos="401"/>
              </w:tabs>
              <w:jc w:val="center"/>
              <w:outlineLvl w:val="0"/>
              <w:rPr>
                <w:b/>
                <w:bCs/>
                <w:sz w:val="20"/>
                <w:lang w:val="it-IT"/>
              </w:rPr>
            </w:pPr>
            <w:r w:rsidRPr="00781FDA">
              <w:rPr>
                <w:b/>
                <w:bCs/>
                <w:sz w:val="20"/>
                <w:lang w:val="it-IT"/>
              </w:rPr>
              <w:t>N=334</w:t>
            </w:r>
            <w:r>
              <w:rPr>
                <w:b/>
                <w:bCs/>
                <w:sz w:val="20"/>
              </w:rPr>
              <w:fldChar w:fldCharType="begin"/>
            </w:r>
            <w:r w:rsidRPr="00781FDA">
              <w:rPr>
                <w:b/>
                <w:bCs/>
                <w:sz w:val="20"/>
                <w:lang w:val="it-IT"/>
              </w:rPr>
              <w:instrText xml:space="preserve"> DOCVARIABLE VAULT_ND_5223d0c1-13fc-41d3-9588-4c5ffc5591c4 \* MERGEFORMAT </w:instrText>
            </w:r>
            <w:r>
              <w:rPr>
                <w:b/>
                <w:bCs/>
                <w:sz w:val="20"/>
              </w:rPr>
              <w:fldChar w:fldCharType="separate"/>
            </w:r>
            <w:r w:rsidRPr="00781FDA">
              <w:rPr>
                <w:b/>
                <w:bCs/>
                <w:sz w:val="20"/>
                <w:lang w:val="it-IT"/>
              </w:rPr>
              <w:t xml:space="preserve"> </w:t>
            </w:r>
            <w:r>
              <w:rPr>
                <w:b/>
                <w:bCs/>
                <w:sz w:val="20"/>
              </w:rPr>
              <w:fldChar w:fldCharType="end"/>
            </w:r>
          </w:p>
        </w:tc>
        <w:tc>
          <w:tcPr>
            <w:tcW w:w="2416" w:type="dxa"/>
            <w:tcBorders>
              <w:top w:val="single" w:sz="4" w:space="0" w:color="auto"/>
              <w:left w:val="single" w:sz="4" w:space="0" w:color="auto"/>
              <w:bottom w:val="single" w:sz="4" w:space="0" w:color="auto"/>
              <w:right w:val="single" w:sz="4" w:space="0" w:color="auto"/>
            </w:tcBorders>
            <w:shd w:val="clear" w:color="auto" w:fill="F2F2F2"/>
            <w:vAlign w:val="bottom"/>
          </w:tcPr>
          <w:p w14:paraId="622F7295" w14:textId="77777777" w:rsidR="00F3669C" w:rsidRPr="00D253A7" w:rsidRDefault="00F3669C" w:rsidP="001870E4">
            <w:pPr>
              <w:keepNext/>
              <w:keepLines/>
              <w:jc w:val="center"/>
              <w:rPr>
                <w:rFonts w:eastAsia="Calibri"/>
                <w:b/>
                <w:bCs/>
                <w:sz w:val="20"/>
                <w:lang w:val="it-IT"/>
              </w:rPr>
            </w:pPr>
            <w:r w:rsidRPr="00D253A7">
              <w:rPr>
                <w:rFonts w:eastAsia="Calibri"/>
                <w:b/>
                <w:bCs/>
                <w:sz w:val="20"/>
                <w:lang w:val="it-IT"/>
              </w:rPr>
              <w:t>Comparator</w:t>
            </w:r>
            <w:r w:rsidRPr="00D253A7">
              <w:rPr>
                <w:rFonts w:eastAsia="Calibri"/>
                <w:b/>
                <w:bCs/>
                <w:sz w:val="20"/>
                <w:vertAlign w:val="superscript"/>
                <w:lang w:val="it-IT"/>
              </w:rPr>
              <w:t>b</w:t>
            </w:r>
          </w:p>
          <w:p w14:paraId="514BAAED" w14:textId="77777777" w:rsidR="00F3669C" w:rsidRPr="00D253A7" w:rsidRDefault="00F3669C" w:rsidP="001870E4">
            <w:pPr>
              <w:keepNext/>
              <w:keepLines/>
              <w:jc w:val="center"/>
              <w:rPr>
                <w:rFonts w:eastAsia="Calibri"/>
                <w:b/>
                <w:bCs/>
                <w:sz w:val="20"/>
                <w:lang w:val="it-IT"/>
              </w:rPr>
            </w:pPr>
            <w:r w:rsidRPr="00D253A7">
              <w:rPr>
                <w:rFonts w:eastAsia="Calibri"/>
                <w:b/>
                <w:bCs/>
                <w:sz w:val="20"/>
                <w:lang w:val="it-IT"/>
              </w:rPr>
              <w:t>GMC</w:t>
            </w:r>
          </w:p>
          <w:p w14:paraId="5EE9160B" w14:textId="77777777" w:rsidR="00F3669C" w:rsidRPr="00D253A7" w:rsidRDefault="00F3669C" w:rsidP="001870E4">
            <w:pPr>
              <w:keepNext/>
              <w:keepLines/>
              <w:jc w:val="center"/>
              <w:rPr>
                <w:rFonts w:eastAsia="Calibri"/>
                <w:b/>
                <w:bCs/>
                <w:sz w:val="20"/>
                <w:lang w:val="it-IT"/>
              </w:rPr>
            </w:pPr>
            <w:r w:rsidRPr="00D253A7">
              <w:rPr>
                <w:rFonts w:eastAsia="Calibri"/>
                <w:b/>
                <w:bCs/>
                <w:sz w:val="20"/>
                <w:lang w:val="it-IT"/>
              </w:rPr>
              <w:t>(95% CI)</w:t>
            </w:r>
            <w:r w:rsidRPr="00D253A7">
              <w:rPr>
                <w:rFonts w:eastAsia="Calibri"/>
                <w:b/>
                <w:bCs/>
                <w:sz w:val="20"/>
                <w:vertAlign w:val="superscript"/>
                <w:lang w:val="it-IT"/>
              </w:rPr>
              <w:t>a</w:t>
            </w:r>
          </w:p>
          <w:p w14:paraId="2EFF9CEF" w14:textId="77777777" w:rsidR="00F3669C" w:rsidRPr="00D253A7" w:rsidRDefault="00F3669C" w:rsidP="001870E4">
            <w:pPr>
              <w:keepNext/>
              <w:keepLines/>
              <w:widowControl w:val="0"/>
              <w:tabs>
                <w:tab w:val="left" w:pos="401"/>
              </w:tabs>
              <w:jc w:val="center"/>
              <w:outlineLvl w:val="0"/>
              <w:rPr>
                <w:b/>
                <w:bCs/>
                <w:sz w:val="20"/>
                <w:lang w:val="it-IT"/>
              </w:rPr>
            </w:pPr>
            <w:r w:rsidRPr="00D253A7">
              <w:rPr>
                <w:b/>
                <w:bCs/>
                <w:sz w:val="20"/>
                <w:lang w:val="it-IT"/>
              </w:rPr>
              <w:t>N=334</w:t>
            </w:r>
            <w:r>
              <w:rPr>
                <w:b/>
                <w:bCs/>
                <w:sz w:val="20"/>
              </w:rPr>
              <w:fldChar w:fldCharType="begin"/>
            </w:r>
            <w:r w:rsidRPr="00D253A7">
              <w:rPr>
                <w:b/>
                <w:bCs/>
                <w:sz w:val="20"/>
                <w:lang w:val="it-IT"/>
              </w:rPr>
              <w:instrText xml:space="preserve"> DOCVARIABLE VAULT_ND_6332f521-5546-4921-9db7-a8858271068e \* MERGEFORMAT </w:instrText>
            </w:r>
            <w:r>
              <w:rPr>
                <w:b/>
                <w:bCs/>
                <w:sz w:val="20"/>
              </w:rPr>
              <w:fldChar w:fldCharType="separate"/>
            </w:r>
            <w:r w:rsidRPr="00D253A7">
              <w:rPr>
                <w:b/>
                <w:bCs/>
                <w:sz w:val="20"/>
                <w:lang w:val="it-IT"/>
              </w:rPr>
              <w:t xml:space="preserve"> </w:t>
            </w:r>
            <w:r>
              <w:rPr>
                <w:b/>
                <w:bCs/>
                <w:sz w:val="20"/>
              </w:rPr>
              <w:fldChar w:fldCharType="end"/>
            </w:r>
          </w:p>
        </w:tc>
        <w:tc>
          <w:tcPr>
            <w:tcW w:w="2531" w:type="dxa"/>
            <w:tcBorders>
              <w:top w:val="single" w:sz="4" w:space="0" w:color="auto"/>
              <w:left w:val="single" w:sz="4" w:space="0" w:color="auto"/>
              <w:bottom w:val="single" w:sz="4" w:space="0" w:color="auto"/>
              <w:right w:val="single" w:sz="4" w:space="0" w:color="auto"/>
            </w:tcBorders>
            <w:shd w:val="clear" w:color="auto" w:fill="F2F2F2"/>
            <w:vAlign w:val="bottom"/>
          </w:tcPr>
          <w:p w14:paraId="1F3436BF" w14:textId="77777777" w:rsidR="00F3669C" w:rsidRPr="00F975F6" w:rsidRDefault="00F3669C" w:rsidP="001870E4">
            <w:pPr>
              <w:keepNext/>
              <w:keepLines/>
              <w:jc w:val="center"/>
              <w:rPr>
                <w:rFonts w:eastAsia="Calibri"/>
                <w:b/>
                <w:bCs/>
                <w:sz w:val="20"/>
                <w:vertAlign w:val="superscript"/>
                <w:lang w:val="en-AU"/>
              </w:rPr>
            </w:pPr>
            <w:r w:rsidRPr="00F975F6">
              <w:rPr>
                <w:rFonts w:eastAsia="Calibri"/>
                <w:b/>
                <w:bCs/>
                <w:sz w:val="20"/>
                <w:lang w:val="en-AU"/>
              </w:rPr>
              <w:t>GMC Ratio</w:t>
            </w:r>
          </w:p>
          <w:p w14:paraId="31250086" w14:textId="4DD42CA3" w:rsidR="00F3669C" w:rsidRPr="00F975F6" w:rsidRDefault="00F3669C" w:rsidP="001870E4">
            <w:pPr>
              <w:keepNext/>
              <w:keepLines/>
              <w:tabs>
                <w:tab w:val="left" w:pos="401"/>
              </w:tabs>
              <w:jc w:val="center"/>
              <w:outlineLvl w:val="0"/>
              <w:rPr>
                <w:b/>
                <w:bCs/>
                <w:sz w:val="20"/>
                <w:lang w:val="en-AU"/>
              </w:rPr>
            </w:pPr>
            <w:r w:rsidRPr="00F975F6">
              <w:rPr>
                <w:b/>
                <w:bCs/>
                <w:sz w:val="20"/>
                <w:lang w:val="en-AU"/>
              </w:rPr>
              <w:t>(</w:t>
            </w:r>
            <w:r w:rsidR="00170E15">
              <w:rPr>
                <w:b/>
                <w:bCs/>
                <w:sz w:val="20"/>
                <w:lang w:val="en-AU"/>
              </w:rPr>
              <w:t>mNEXSPIKE XBB.1.5</w:t>
            </w:r>
            <w:r w:rsidRPr="00F975F6">
              <w:rPr>
                <w:b/>
                <w:bCs/>
                <w:sz w:val="20"/>
                <w:lang w:val="en-AU"/>
              </w:rPr>
              <w:t xml:space="preserve"> / comparator)</w:t>
            </w:r>
            <w:r>
              <w:rPr>
                <w:b/>
                <w:bCs/>
                <w:sz w:val="20"/>
              </w:rPr>
              <w:fldChar w:fldCharType="begin"/>
            </w:r>
            <w:r w:rsidRPr="00F975F6">
              <w:rPr>
                <w:b/>
                <w:bCs/>
                <w:sz w:val="20"/>
                <w:lang w:val="en-AU"/>
              </w:rPr>
              <w:instrText xml:space="preserve"> DOCVARIABLE vault_nd_48d405bc-9314-4de7-a517-c1441d570255 \* MERGEFORMAT </w:instrText>
            </w:r>
            <w:r>
              <w:rPr>
                <w:b/>
                <w:bCs/>
                <w:sz w:val="20"/>
              </w:rPr>
              <w:fldChar w:fldCharType="separate"/>
            </w:r>
            <w:r w:rsidRPr="00F975F6">
              <w:rPr>
                <w:b/>
                <w:bCs/>
                <w:sz w:val="20"/>
                <w:lang w:val="en-AU"/>
              </w:rPr>
              <w:t xml:space="preserve"> </w:t>
            </w:r>
            <w:r>
              <w:rPr>
                <w:b/>
                <w:bCs/>
                <w:sz w:val="20"/>
              </w:rPr>
              <w:fldChar w:fldCharType="end"/>
            </w:r>
          </w:p>
          <w:p w14:paraId="7391E4ED" w14:textId="77777777" w:rsidR="00F3669C" w:rsidRPr="00D253A7" w:rsidRDefault="00F3669C" w:rsidP="001870E4">
            <w:pPr>
              <w:keepNext/>
              <w:keepLines/>
              <w:tabs>
                <w:tab w:val="left" w:pos="401"/>
              </w:tabs>
              <w:jc w:val="center"/>
              <w:outlineLvl w:val="0"/>
              <w:rPr>
                <w:b/>
                <w:bCs/>
                <w:sz w:val="20"/>
                <w:lang w:val="it-IT"/>
              </w:rPr>
            </w:pPr>
            <w:r w:rsidRPr="00D253A7">
              <w:rPr>
                <w:b/>
                <w:bCs/>
                <w:sz w:val="20"/>
                <w:lang w:val="it-IT"/>
              </w:rPr>
              <w:t>(95% CI)</w:t>
            </w:r>
            <w:r w:rsidRPr="00D253A7">
              <w:rPr>
                <w:b/>
                <w:bCs/>
                <w:sz w:val="18"/>
                <w:szCs w:val="18"/>
                <w:vertAlign w:val="superscript"/>
                <w:lang w:val="it-IT"/>
              </w:rPr>
              <w:t>a</w:t>
            </w:r>
            <w:r>
              <w:rPr>
                <w:b/>
                <w:bCs/>
                <w:sz w:val="18"/>
                <w:szCs w:val="18"/>
                <w:vertAlign w:val="superscript"/>
              </w:rPr>
              <w:fldChar w:fldCharType="begin"/>
            </w:r>
            <w:r w:rsidRPr="00D253A7">
              <w:rPr>
                <w:b/>
                <w:bCs/>
                <w:sz w:val="18"/>
                <w:szCs w:val="18"/>
                <w:vertAlign w:val="superscript"/>
                <w:lang w:val="it-IT"/>
              </w:rPr>
              <w:instrText xml:space="preserve"> DOCVARIABLE vault_nd_2514bcb3-f295-45b5-b713-5e40573c9e03 \* MERGEFORMAT </w:instrText>
            </w:r>
            <w:r>
              <w:rPr>
                <w:b/>
                <w:bCs/>
                <w:sz w:val="18"/>
                <w:szCs w:val="18"/>
                <w:vertAlign w:val="superscript"/>
              </w:rPr>
              <w:fldChar w:fldCharType="separate"/>
            </w:r>
            <w:r w:rsidRPr="00D253A7">
              <w:rPr>
                <w:b/>
                <w:bCs/>
                <w:sz w:val="18"/>
                <w:szCs w:val="18"/>
                <w:vertAlign w:val="superscript"/>
                <w:lang w:val="it-IT"/>
              </w:rPr>
              <w:t xml:space="preserve"> </w:t>
            </w:r>
            <w:r>
              <w:rPr>
                <w:b/>
                <w:bCs/>
                <w:sz w:val="18"/>
                <w:szCs w:val="18"/>
                <w:vertAlign w:val="superscript"/>
              </w:rPr>
              <w:fldChar w:fldCharType="end"/>
            </w:r>
          </w:p>
          <w:p w14:paraId="3F08468B" w14:textId="77777777" w:rsidR="00F3669C" w:rsidRPr="00D253A7" w:rsidRDefault="00F3669C" w:rsidP="001870E4">
            <w:pPr>
              <w:keepNext/>
              <w:keepLines/>
              <w:widowControl w:val="0"/>
              <w:tabs>
                <w:tab w:val="left" w:pos="401"/>
              </w:tabs>
              <w:jc w:val="center"/>
              <w:outlineLvl w:val="0"/>
              <w:rPr>
                <w:b/>
                <w:bCs/>
                <w:sz w:val="20"/>
                <w:lang w:val="it-IT"/>
              </w:rPr>
            </w:pPr>
          </w:p>
        </w:tc>
      </w:tr>
      <w:tr w:rsidR="00F3669C" w14:paraId="0DA5D637"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vAlign w:val="center"/>
            <w:hideMark/>
          </w:tcPr>
          <w:p w14:paraId="47DB71FC" w14:textId="77777777" w:rsidR="00F3669C" w:rsidRDefault="00F3669C" w:rsidP="001870E4">
            <w:pPr>
              <w:keepNext/>
              <w:keepLines/>
              <w:tabs>
                <w:tab w:val="left" w:pos="401"/>
              </w:tabs>
              <w:outlineLvl w:val="0"/>
              <w:rPr>
                <w:sz w:val="20"/>
              </w:rPr>
            </w:pPr>
            <w:r>
              <w:rPr>
                <w:b/>
                <w:bCs/>
                <w:sz w:val="20"/>
              </w:rPr>
              <w:t>Omicron XBB.1.5</w:t>
            </w:r>
            <w:r>
              <w:rPr>
                <w:b/>
                <w:bCs/>
                <w:sz w:val="20"/>
              </w:rPr>
              <w:fldChar w:fldCharType="begin"/>
            </w:r>
            <w:r>
              <w:rPr>
                <w:b/>
                <w:bCs/>
                <w:sz w:val="20"/>
              </w:rPr>
              <w:instrText xml:space="preserve"> DOCVARIABLE vault_nd_7abdba4d-34dc-4816-81be-7b6737815743 \* MERGEFORMAT </w:instrText>
            </w:r>
            <w:r>
              <w:rPr>
                <w:b/>
                <w:bCs/>
                <w:sz w:val="20"/>
              </w:rPr>
              <w:fldChar w:fldCharType="separate"/>
            </w:r>
            <w:r>
              <w:rPr>
                <w:b/>
                <w:bCs/>
                <w:sz w:val="20"/>
              </w:rPr>
              <w:t xml:space="preserve"> </w:t>
            </w:r>
            <w:r>
              <w:rPr>
                <w:b/>
                <w:bCs/>
                <w:sz w:val="20"/>
              </w:rPr>
              <w:fldChar w:fldCharType="end"/>
            </w:r>
          </w:p>
        </w:tc>
        <w:tc>
          <w:tcPr>
            <w:tcW w:w="2995" w:type="dxa"/>
            <w:tcBorders>
              <w:top w:val="single" w:sz="4" w:space="0" w:color="auto"/>
              <w:left w:val="single" w:sz="4" w:space="0" w:color="auto"/>
              <w:bottom w:val="single" w:sz="4" w:space="0" w:color="auto"/>
              <w:right w:val="single" w:sz="4" w:space="0" w:color="auto"/>
            </w:tcBorders>
            <w:vAlign w:val="center"/>
            <w:hideMark/>
          </w:tcPr>
          <w:p w14:paraId="48B0B0D4" w14:textId="77777777" w:rsidR="00F3669C" w:rsidRDefault="00F3669C" w:rsidP="001870E4">
            <w:pPr>
              <w:keepNext/>
              <w:keepLines/>
              <w:jc w:val="center"/>
              <w:rPr>
                <w:rFonts w:eastAsiaTheme="minorHAnsi"/>
                <w:sz w:val="20"/>
              </w:rPr>
            </w:pPr>
            <w:r>
              <w:rPr>
                <w:sz w:val="20"/>
              </w:rPr>
              <w:t>1757.2</w:t>
            </w:r>
          </w:p>
          <w:p w14:paraId="3D7C9E84" w14:textId="77777777" w:rsidR="00F3669C" w:rsidRDefault="00F3669C" w:rsidP="001870E4">
            <w:pPr>
              <w:keepNext/>
              <w:keepLines/>
              <w:jc w:val="center"/>
              <w:rPr>
                <w:sz w:val="20"/>
              </w:rPr>
            </w:pPr>
            <w:r>
              <w:rPr>
                <w:sz w:val="20"/>
              </w:rPr>
              <w:t>(1580.1, 1954.3)</w:t>
            </w:r>
          </w:p>
          <w:p w14:paraId="70D9FE33" w14:textId="77777777" w:rsidR="00F3669C" w:rsidRDefault="00F3669C" w:rsidP="001870E4">
            <w:pPr>
              <w:keepNext/>
              <w:keepLines/>
              <w:jc w:val="center"/>
              <w:rPr>
                <w:sz w:val="20"/>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75F9D8F8" w14:textId="77777777" w:rsidR="00F3669C" w:rsidRDefault="00F3669C" w:rsidP="001870E4">
            <w:pPr>
              <w:keepNext/>
              <w:keepLines/>
              <w:jc w:val="center"/>
              <w:rPr>
                <w:sz w:val="20"/>
              </w:rPr>
            </w:pPr>
            <w:r>
              <w:rPr>
                <w:sz w:val="20"/>
              </w:rPr>
              <w:t xml:space="preserve">1470.4 </w:t>
            </w:r>
          </w:p>
          <w:p w14:paraId="0D059869" w14:textId="77777777" w:rsidR="00F3669C" w:rsidRDefault="00F3669C" w:rsidP="001870E4">
            <w:pPr>
              <w:keepNext/>
              <w:keepLines/>
              <w:jc w:val="center"/>
              <w:rPr>
                <w:sz w:val="20"/>
              </w:rPr>
            </w:pPr>
            <w:r>
              <w:rPr>
                <w:sz w:val="20"/>
              </w:rPr>
              <w:t>(1322.4, 1635.0)</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AB4A06E" w14:textId="77777777" w:rsidR="00F3669C" w:rsidRDefault="00F3669C" w:rsidP="001870E4">
            <w:pPr>
              <w:keepNext/>
              <w:keepLines/>
              <w:tabs>
                <w:tab w:val="left" w:pos="401"/>
              </w:tabs>
              <w:jc w:val="center"/>
              <w:outlineLvl w:val="0"/>
              <w:rPr>
                <w:sz w:val="20"/>
              </w:rPr>
            </w:pPr>
            <w:r>
              <w:rPr>
                <w:sz w:val="20"/>
              </w:rPr>
              <w:t>1.20</w:t>
            </w:r>
            <w:r>
              <w:rPr>
                <w:sz w:val="20"/>
              </w:rPr>
              <w:fldChar w:fldCharType="begin"/>
            </w:r>
            <w:r>
              <w:rPr>
                <w:sz w:val="20"/>
              </w:rPr>
              <w:instrText xml:space="preserve"> DOCVARIABLE VAULT_ND_f0bc89f4-bcfc-4bf8-94b6-0c54fe2e5ecf \* MERGEFORMAT </w:instrText>
            </w:r>
            <w:r>
              <w:rPr>
                <w:sz w:val="20"/>
              </w:rPr>
              <w:fldChar w:fldCharType="separate"/>
            </w:r>
            <w:r>
              <w:rPr>
                <w:sz w:val="20"/>
              </w:rPr>
              <w:t xml:space="preserve"> </w:t>
            </w:r>
            <w:r>
              <w:rPr>
                <w:sz w:val="20"/>
              </w:rPr>
              <w:fldChar w:fldCharType="end"/>
            </w:r>
          </w:p>
          <w:p w14:paraId="6E7B5CD9" w14:textId="77777777" w:rsidR="00F3669C" w:rsidRDefault="00F3669C" w:rsidP="001870E4">
            <w:pPr>
              <w:keepNext/>
              <w:keepLines/>
              <w:tabs>
                <w:tab w:val="left" w:pos="401"/>
              </w:tabs>
              <w:jc w:val="center"/>
              <w:outlineLvl w:val="0"/>
              <w:rPr>
                <w:sz w:val="20"/>
              </w:rPr>
            </w:pPr>
            <w:r>
              <w:rPr>
                <w:sz w:val="20"/>
              </w:rPr>
              <w:t xml:space="preserve">(1.03, </w:t>
            </w:r>
            <w:r w:rsidRPr="0062261F">
              <w:rPr>
                <w:sz w:val="20"/>
              </w:rPr>
              <w:t>1.</w:t>
            </w:r>
            <w:r>
              <w:rPr>
                <w:sz w:val="20"/>
              </w:rPr>
              <w:t>39)</w:t>
            </w:r>
            <w:r>
              <w:rPr>
                <w:sz w:val="20"/>
              </w:rPr>
              <w:fldChar w:fldCharType="begin"/>
            </w:r>
            <w:r>
              <w:rPr>
                <w:sz w:val="20"/>
              </w:rPr>
              <w:instrText xml:space="preserve"> DOCVARIABLE VAULT_ND_d59c5fa5-d909-425c-9532-274190f3351c \* MERGEFORMAT </w:instrText>
            </w:r>
            <w:r>
              <w:rPr>
                <w:sz w:val="20"/>
              </w:rPr>
              <w:fldChar w:fldCharType="separate"/>
            </w:r>
            <w:r>
              <w:rPr>
                <w:sz w:val="20"/>
              </w:rPr>
              <w:t xml:space="preserve"> </w:t>
            </w:r>
            <w:r>
              <w:rPr>
                <w:sz w:val="20"/>
              </w:rPr>
              <w:fldChar w:fldCharType="end"/>
            </w:r>
          </w:p>
        </w:tc>
      </w:tr>
    </w:tbl>
    <w:p w14:paraId="5C543CF4" w14:textId="77777777" w:rsidR="00F3669C" w:rsidRDefault="00F3669C" w:rsidP="001870E4">
      <w:pPr>
        <w:keepNext/>
        <w:keepLines/>
        <w:widowControl w:val="0"/>
        <w:spacing w:after="0" w:line="240" w:lineRule="auto"/>
        <w:rPr>
          <w:rFonts w:eastAsia="Calibri"/>
          <w:sz w:val="20"/>
        </w:rPr>
      </w:pPr>
      <w:r>
        <w:rPr>
          <w:rFonts w:eastAsia="Calibri"/>
          <w:sz w:val="20"/>
        </w:rPr>
        <w:t>N=Number of participants with non-missing data at baseline and the corresponding timepoint(s).</w:t>
      </w:r>
    </w:p>
    <w:p w14:paraId="26B33A14" w14:textId="77777777" w:rsidR="00F3669C" w:rsidRDefault="00F3669C" w:rsidP="001870E4">
      <w:pPr>
        <w:keepNext/>
        <w:keepLines/>
        <w:widowControl w:val="0"/>
        <w:spacing w:after="0" w:line="240" w:lineRule="auto"/>
        <w:ind w:left="144" w:hanging="144"/>
        <w:rPr>
          <w:rFonts w:eastAsia="Calibri"/>
          <w:sz w:val="20"/>
        </w:rPr>
      </w:pPr>
      <w:r>
        <w:rPr>
          <w:rFonts w:eastAsia="Calibri"/>
          <w:sz w:val="20"/>
        </w:rPr>
        <w:t>* Per-Protocol immunogenicity set included subjects who received study vaccine, did not have a major protocol deviation that impacted immune response, and had both pre-dose and post-dose immunogenicity assessment at timepoint of primary interest (28 days post-dose).</w:t>
      </w:r>
    </w:p>
    <w:p w14:paraId="44C7D826" w14:textId="5FC13710" w:rsidR="00F3669C" w:rsidRDefault="00F3669C" w:rsidP="001870E4">
      <w:pPr>
        <w:keepNext/>
        <w:keepLines/>
        <w:widowControl w:val="0"/>
        <w:spacing w:after="0" w:line="240" w:lineRule="auto"/>
        <w:ind w:left="144" w:hanging="144"/>
        <w:rPr>
          <w:rFonts w:eastAsia="Calibri"/>
          <w:sz w:val="20"/>
        </w:rPr>
      </w:pPr>
      <w:proofErr w:type="spellStart"/>
      <w:r>
        <w:rPr>
          <w:sz w:val="20"/>
          <w:vertAlign w:val="superscript"/>
        </w:rPr>
        <w:t>a</w:t>
      </w:r>
      <w:proofErr w:type="spellEnd"/>
      <w:r>
        <w:rPr>
          <w:sz w:val="20"/>
        </w:rPr>
        <w:t xml:space="preserve"> </w:t>
      </w:r>
      <w:r>
        <w:rPr>
          <w:rFonts w:eastAsia="Calibri"/>
          <w:sz w:val="20"/>
        </w:rPr>
        <w:t xml:space="preserve">The log-transformed antibody levels are </w:t>
      </w:r>
      <w:proofErr w:type="spellStart"/>
      <w:r>
        <w:rPr>
          <w:rFonts w:eastAsia="Calibri"/>
          <w:sz w:val="20"/>
        </w:rPr>
        <w:t>analysed</w:t>
      </w:r>
      <w:proofErr w:type="spellEnd"/>
      <w:r>
        <w:rPr>
          <w:rFonts w:eastAsia="Calibri"/>
          <w:sz w:val="20"/>
        </w:rPr>
        <w:t xml:space="preserve"> using an analysis of covariance (ANCOVA) model with the group variable (</w:t>
      </w:r>
      <w:r w:rsidR="00170E15">
        <w:rPr>
          <w:rFonts w:eastAsia="Calibri"/>
          <w:sz w:val="20"/>
        </w:rPr>
        <w:t>mNEXSPIKE XBB.1.5</w:t>
      </w:r>
      <w:r>
        <w:rPr>
          <w:rFonts w:eastAsia="Calibri"/>
          <w:sz w:val="20"/>
        </w:rPr>
        <w:t xml:space="preserve"> vs. comparator vaccine) as fixed effect, adjusted by SARS-CoV-2 infection status at baseline, randomization age group, number of prior COVID-19 boosters (0, 1, 2, &gt;=3), and type of last prior COVID-19 vaccine. </w:t>
      </w:r>
      <w:r w:rsidRPr="002C1A38">
        <w:rPr>
          <w:rFonts w:eastAsia="Calibri"/>
          <w:sz w:val="20"/>
        </w:rPr>
        <w:t xml:space="preserve">LS </w:t>
      </w:r>
      <w:r>
        <w:rPr>
          <w:rFonts w:eastAsia="Calibri"/>
          <w:sz w:val="20"/>
        </w:rPr>
        <w:t>m</w:t>
      </w:r>
      <w:r w:rsidRPr="002C1A38">
        <w:rPr>
          <w:rFonts w:eastAsia="Calibri"/>
          <w:sz w:val="20"/>
        </w:rPr>
        <w:t>eans are based on observed margin</w:t>
      </w:r>
      <w:r>
        <w:rPr>
          <w:rFonts w:eastAsia="Calibri"/>
          <w:sz w:val="20"/>
        </w:rPr>
        <w:t>. The resulted LS means, difference of LS means, and 95% CI are back transformed to the original scale for presentation.</w:t>
      </w:r>
    </w:p>
    <w:p w14:paraId="41BBFD33" w14:textId="77777777" w:rsidR="00F3669C" w:rsidRDefault="00F3669C" w:rsidP="001870E4">
      <w:pPr>
        <w:keepNext/>
        <w:keepLines/>
        <w:widowControl w:val="0"/>
        <w:spacing w:after="0" w:line="240" w:lineRule="auto"/>
        <w:ind w:left="90" w:hanging="90"/>
        <w:rPr>
          <w:rFonts w:eastAsia="Calibri"/>
          <w:sz w:val="20"/>
        </w:rPr>
      </w:pPr>
      <w:r>
        <w:rPr>
          <w:rFonts w:eastAsia="Calibri"/>
          <w:sz w:val="20"/>
          <w:vertAlign w:val="superscript"/>
        </w:rPr>
        <w:t>b</w:t>
      </w:r>
      <w:r>
        <w:rPr>
          <w:rFonts w:eastAsia="Calibri"/>
          <w:sz w:val="20"/>
        </w:rPr>
        <w:t xml:space="preserve"> Comparator vaccine dosing w</w:t>
      </w:r>
      <w:r>
        <w:rPr>
          <w:sz w:val="20"/>
        </w:rPr>
        <w:t>as a single dose (</w:t>
      </w:r>
      <w:r w:rsidRPr="00243C5E">
        <w:rPr>
          <w:sz w:val="20"/>
        </w:rPr>
        <w:t xml:space="preserve">SPIKEVAX 2024-2025 Formula </w:t>
      </w:r>
      <w:r>
        <w:rPr>
          <w:sz w:val="20"/>
        </w:rPr>
        <w:t xml:space="preserve">50 mcg mRNA). </w:t>
      </w:r>
      <w:r>
        <w:rPr>
          <w:rFonts w:eastAsia="Calibri"/>
          <w:sz w:val="20"/>
        </w:rPr>
        <w:t>Note: Antibody values &lt; the lower limit of quantitation (LLOQ) are replaced by 0.5 × LLOQ. Values &gt; the upper limit of quantitation (ULOQ) are replaced by the ULOQ if actual values are not available.</w:t>
      </w:r>
    </w:p>
    <w:p w14:paraId="4617493A" w14:textId="77777777" w:rsidR="00D2528B" w:rsidRDefault="00D2528B" w:rsidP="001F385D">
      <w:pPr>
        <w:widowControl w:val="0"/>
        <w:spacing w:after="0" w:line="240" w:lineRule="auto"/>
        <w:ind w:left="90" w:hanging="90"/>
        <w:rPr>
          <w:rFonts w:eastAsia="Calibri"/>
          <w:sz w:val="20"/>
        </w:rPr>
      </w:pPr>
    </w:p>
    <w:p w14:paraId="230E4463" w14:textId="126A5674" w:rsidR="00F3669C" w:rsidRPr="001F385D" w:rsidRDefault="00F3669C" w:rsidP="00F975F6">
      <w:pPr>
        <w:keepNext/>
        <w:keepLines/>
        <w:rPr>
          <w:b/>
          <w:bCs/>
        </w:rPr>
      </w:pPr>
      <w:r w:rsidRPr="001F385D">
        <w:rPr>
          <w:b/>
          <w:bCs/>
        </w:rPr>
        <w:t xml:space="preserve">Table </w:t>
      </w:r>
      <w:r w:rsidR="008D0718">
        <w:rPr>
          <w:b/>
          <w:bCs/>
        </w:rPr>
        <w:t>10</w:t>
      </w:r>
      <w:r w:rsidRPr="001F385D">
        <w:rPr>
          <w:b/>
          <w:bCs/>
        </w:rPr>
        <w:t xml:space="preserve">. Comparison of </w:t>
      </w:r>
      <w:proofErr w:type="spellStart"/>
      <w:r w:rsidRPr="001F385D">
        <w:rPr>
          <w:b/>
          <w:bCs/>
        </w:rPr>
        <w:t>seroresponse</w:t>
      </w:r>
      <w:proofErr w:type="spellEnd"/>
      <w:r w:rsidRPr="001F385D">
        <w:rPr>
          <w:b/>
          <w:bCs/>
        </w:rPr>
        <w:t xml:space="preserve"> rate 28 days after a single dose of </w:t>
      </w:r>
      <w:r w:rsidR="00170E15">
        <w:rPr>
          <w:b/>
          <w:bCs/>
        </w:rPr>
        <w:t>mNEXSPIKE XBB.1.5</w:t>
      </w:r>
      <w:r w:rsidRPr="001F385D">
        <w:rPr>
          <w:b/>
          <w:bCs/>
        </w:rPr>
        <w:t xml:space="preserve"> versus 28 days after a single dose of comparator mRNA vaccine – Per-Protocol immunogenicity set*</w:t>
      </w:r>
    </w:p>
    <w:tbl>
      <w:tblPr>
        <w:tblStyle w:val="TableGrid"/>
        <w:tblW w:w="9360" w:type="dxa"/>
        <w:tblInd w:w="-5" w:type="dxa"/>
        <w:tblLayout w:type="fixed"/>
        <w:tblLook w:val="04A0" w:firstRow="1" w:lastRow="0" w:firstColumn="1" w:lastColumn="0" w:noHBand="0" w:noVBand="1"/>
      </w:tblPr>
      <w:tblGrid>
        <w:gridCol w:w="1418"/>
        <w:gridCol w:w="2905"/>
        <w:gridCol w:w="2506"/>
        <w:gridCol w:w="2531"/>
      </w:tblGrid>
      <w:tr w:rsidR="00F3669C" w14:paraId="555159E0"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shd w:val="clear" w:color="auto" w:fill="F2F2F2"/>
            <w:vAlign w:val="bottom"/>
          </w:tcPr>
          <w:p w14:paraId="756251AB" w14:textId="77777777" w:rsidR="00F3669C" w:rsidRDefault="00F3669C" w:rsidP="00F975F6">
            <w:pPr>
              <w:keepNext/>
              <w:keepLines/>
              <w:jc w:val="center"/>
              <w:rPr>
                <w:rFonts w:eastAsia="Calibri"/>
                <w:b/>
                <w:bCs/>
                <w:sz w:val="20"/>
              </w:rPr>
            </w:pPr>
            <w:r>
              <w:rPr>
                <w:rFonts w:eastAsia="Calibri"/>
                <w:b/>
                <w:bCs/>
                <w:sz w:val="20"/>
              </w:rPr>
              <w:t>Assay</w:t>
            </w:r>
          </w:p>
          <w:p w14:paraId="57E406CE" w14:textId="77777777" w:rsidR="00F3669C" w:rsidRDefault="00F3669C" w:rsidP="00F975F6">
            <w:pPr>
              <w:keepNext/>
              <w:keepLines/>
              <w:widowControl w:val="0"/>
              <w:jc w:val="center"/>
              <w:rPr>
                <w:rFonts w:eastAsia="Calibri"/>
                <w:b/>
                <w:bCs/>
                <w:sz w:val="20"/>
              </w:rPr>
            </w:pPr>
          </w:p>
        </w:tc>
        <w:tc>
          <w:tcPr>
            <w:tcW w:w="2905" w:type="dxa"/>
            <w:tcBorders>
              <w:top w:val="single" w:sz="4" w:space="0" w:color="auto"/>
              <w:left w:val="single" w:sz="4" w:space="0" w:color="auto"/>
              <w:bottom w:val="single" w:sz="4" w:space="0" w:color="auto"/>
              <w:right w:val="single" w:sz="4" w:space="0" w:color="auto"/>
            </w:tcBorders>
            <w:shd w:val="clear" w:color="auto" w:fill="F2F2F2"/>
            <w:vAlign w:val="bottom"/>
          </w:tcPr>
          <w:p w14:paraId="61E5E613" w14:textId="14835A5D" w:rsidR="00F3669C" w:rsidRPr="00781FDA" w:rsidRDefault="00170E15" w:rsidP="00F975F6">
            <w:pPr>
              <w:keepNext/>
              <w:keepLines/>
              <w:jc w:val="center"/>
              <w:rPr>
                <w:rFonts w:eastAsia="Calibri"/>
                <w:b/>
                <w:bCs/>
                <w:sz w:val="20"/>
                <w:lang w:val="it-IT"/>
              </w:rPr>
            </w:pPr>
            <w:r>
              <w:rPr>
                <w:rFonts w:eastAsia="Calibri"/>
                <w:b/>
                <w:bCs/>
                <w:sz w:val="20"/>
                <w:lang w:val="it-IT"/>
              </w:rPr>
              <w:t>mNEXSPIKE XBB.1.5</w:t>
            </w:r>
          </w:p>
          <w:p w14:paraId="4BB84D8E" w14:textId="77777777" w:rsidR="00F3669C" w:rsidRPr="00781FDA" w:rsidRDefault="00F3669C" w:rsidP="00F975F6">
            <w:pPr>
              <w:keepNext/>
              <w:keepLines/>
              <w:jc w:val="center"/>
              <w:rPr>
                <w:rFonts w:eastAsia="Calibri"/>
                <w:b/>
                <w:bCs/>
                <w:sz w:val="20"/>
                <w:lang w:val="it-IT"/>
              </w:rPr>
            </w:pPr>
            <w:r w:rsidRPr="00781FDA">
              <w:rPr>
                <w:rFonts w:eastAsia="Calibri"/>
                <w:b/>
                <w:bCs/>
                <w:sz w:val="20"/>
                <w:lang w:val="it-IT"/>
              </w:rPr>
              <w:t>Seroresponse rate</w:t>
            </w:r>
            <w:r w:rsidRPr="00781FDA">
              <w:rPr>
                <w:rFonts w:eastAsia="Calibri"/>
                <w:b/>
                <w:bCs/>
                <w:sz w:val="20"/>
                <w:vertAlign w:val="superscript"/>
                <w:lang w:val="it-IT"/>
              </w:rPr>
              <w:t>a</w:t>
            </w:r>
            <w:r w:rsidRPr="00781FDA">
              <w:rPr>
                <w:rFonts w:eastAsia="Calibri"/>
                <w:b/>
                <w:bCs/>
                <w:sz w:val="20"/>
                <w:lang w:val="it-IT"/>
              </w:rPr>
              <w:t xml:space="preserve"> </w:t>
            </w:r>
          </w:p>
          <w:p w14:paraId="78841494" w14:textId="77777777" w:rsidR="00F3669C" w:rsidRPr="00781FDA" w:rsidRDefault="00F3669C" w:rsidP="00F975F6">
            <w:pPr>
              <w:keepNext/>
              <w:keepLines/>
              <w:jc w:val="center"/>
              <w:rPr>
                <w:rFonts w:eastAsia="Calibri"/>
                <w:b/>
                <w:bCs/>
                <w:sz w:val="20"/>
                <w:lang w:val="it-IT"/>
              </w:rPr>
            </w:pPr>
            <w:r w:rsidRPr="00781FDA">
              <w:rPr>
                <w:rFonts w:eastAsia="Calibri"/>
                <w:b/>
                <w:bCs/>
                <w:sz w:val="20"/>
                <w:lang w:val="it-IT"/>
              </w:rPr>
              <w:t>%</w:t>
            </w:r>
          </w:p>
          <w:p w14:paraId="7E16635A" w14:textId="77777777" w:rsidR="00F3669C" w:rsidRPr="00781FDA" w:rsidRDefault="00F3669C" w:rsidP="00F975F6">
            <w:pPr>
              <w:keepNext/>
              <w:keepLines/>
              <w:jc w:val="center"/>
              <w:rPr>
                <w:rFonts w:eastAsia="Calibri"/>
                <w:b/>
                <w:bCs/>
                <w:sz w:val="20"/>
                <w:vertAlign w:val="superscript"/>
                <w:lang w:val="it-IT"/>
              </w:rPr>
            </w:pPr>
            <w:r w:rsidRPr="00781FDA">
              <w:rPr>
                <w:rFonts w:eastAsia="Calibri"/>
                <w:b/>
                <w:bCs/>
                <w:sz w:val="20"/>
                <w:lang w:val="it-IT"/>
              </w:rPr>
              <w:t>(95% CI)</w:t>
            </w:r>
            <w:r w:rsidRPr="00781FDA">
              <w:rPr>
                <w:rFonts w:eastAsia="Calibri"/>
                <w:b/>
                <w:bCs/>
                <w:sz w:val="20"/>
                <w:vertAlign w:val="superscript"/>
                <w:lang w:val="it-IT"/>
              </w:rPr>
              <w:t>b</w:t>
            </w:r>
          </w:p>
          <w:p w14:paraId="3BEE81FC" w14:textId="77777777" w:rsidR="00F3669C" w:rsidRPr="00781FDA" w:rsidRDefault="00F3669C" w:rsidP="00F975F6">
            <w:pPr>
              <w:keepNext/>
              <w:keepLines/>
              <w:widowControl w:val="0"/>
              <w:tabs>
                <w:tab w:val="left" w:pos="401"/>
              </w:tabs>
              <w:jc w:val="center"/>
              <w:outlineLvl w:val="0"/>
              <w:rPr>
                <w:sz w:val="20"/>
                <w:lang w:val="it-IT"/>
              </w:rPr>
            </w:pPr>
            <w:r w:rsidRPr="00781FDA">
              <w:rPr>
                <w:sz w:val="20"/>
                <w:lang w:val="it-IT"/>
              </w:rPr>
              <w:t>N=334</w:t>
            </w:r>
            <w:r>
              <w:rPr>
                <w:sz w:val="20"/>
              </w:rPr>
              <w:fldChar w:fldCharType="begin"/>
            </w:r>
            <w:r w:rsidRPr="00781FDA">
              <w:rPr>
                <w:sz w:val="20"/>
                <w:lang w:val="it-IT"/>
              </w:rPr>
              <w:instrText xml:space="preserve"> DOCVARIABLE VAULT_ND_a275aeb3-489e-4a60-900e-ff8e3b23b8b3 \* MERGEFORMAT </w:instrText>
            </w:r>
            <w:r>
              <w:rPr>
                <w:sz w:val="20"/>
              </w:rPr>
              <w:fldChar w:fldCharType="separate"/>
            </w:r>
            <w:r w:rsidRPr="00781FDA">
              <w:rPr>
                <w:sz w:val="20"/>
                <w:lang w:val="it-IT"/>
              </w:rPr>
              <w:t xml:space="preserve"> </w:t>
            </w:r>
            <w:r>
              <w:rPr>
                <w:sz w:val="20"/>
              </w:rPr>
              <w:fldChar w:fldCharType="end"/>
            </w:r>
          </w:p>
        </w:tc>
        <w:tc>
          <w:tcPr>
            <w:tcW w:w="2506" w:type="dxa"/>
            <w:tcBorders>
              <w:top w:val="single" w:sz="4" w:space="0" w:color="auto"/>
              <w:left w:val="single" w:sz="4" w:space="0" w:color="auto"/>
              <w:bottom w:val="single" w:sz="4" w:space="0" w:color="auto"/>
              <w:right w:val="single" w:sz="4" w:space="0" w:color="auto"/>
            </w:tcBorders>
            <w:shd w:val="clear" w:color="auto" w:fill="F2F2F2"/>
            <w:vAlign w:val="bottom"/>
          </w:tcPr>
          <w:p w14:paraId="47FD77FD" w14:textId="77777777" w:rsidR="00F3669C" w:rsidRPr="00D253A7" w:rsidRDefault="00F3669C" w:rsidP="00F975F6">
            <w:pPr>
              <w:keepNext/>
              <w:keepLines/>
              <w:jc w:val="center"/>
              <w:rPr>
                <w:rFonts w:eastAsia="Calibri"/>
                <w:b/>
                <w:bCs/>
                <w:sz w:val="20"/>
                <w:lang w:val="it-IT"/>
              </w:rPr>
            </w:pPr>
            <w:r w:rsidRPr="00D253A7">
              <w:rPr>
                <w:rFonts w:eastAsia="Calibri"/>
                <w:b/>
                <w:bCs/>
                <w:sz w:val="20"/>
                <w:lang w:val="it-IT"/>
              </w:rPr>
              <w:t>Comparator</w:t>
            </w:r>
          </w:p>
          <w:p w14:paraId="61F0FDC6" w14:textId="77777777" w:rsidR="00F3669C" w:rsidRPr="00D253A7" w:rsidRDefault="00F3669C" w:rsidP="00F975F6">
            <w:pPr>
              <w:keepNext/>
              <w:keepLines/>
              <w:jc w:val="center"/>
              <w:rPr>
                <w:rFonts w:eastAsia="Calibri"/>
                <w:b/>
                <w:bCs/>
                <w:sz w:val="20"/>
                <w:lang w:val="it-IT"/>
              </w:rPr>
            </w:pPr>
            <w:r w:rsidRPr="00D253A7">
              <w:rPr>
                <w:rFonts w:eastAsia="Calibri"/>
                <w:b/>
                <w:bCs/>
                <w:sz w:val="20"/>
                <w:lang w:val="it-IT"/>
              </w:rPr>
              <w:t>Seroresponse rate</w:t>
            </w:r>
            <w:r w:rsidRPr="00D253A7">
              <w:rPr>
                <w:rFonts w:eastAsia="Calibri"/>
                <w:b/>
                <w:bCs/>
                <w:sz w:val="20"/>
                <w:vertAlign w:val="superscript"/>
                <w:lang w:val="it-IT"/>
              </w:rPr>
              <w:t>a</w:t>
            </w:r>
            <w:r w:rsidRPr="00D253A7">
              <w:rPr>
                <w:rFonts w:eastAsia="Calibri"/>
                <w:b/>
                <w:bCs/>
                <w:sz w:val="20"/>
                <w:lang w:val="it-IT"/>
              </w:rPr>
              <w:t xml:space="preserve"> </w:t>
            </w:r>
          </w:p>
          <w:p w14:paraId="75447F1A" w14:textId="77777777" w:rsidR="00F3669C" w:rsidRPr="00D253A7" w:rsidRDefault="00F3669C" w:rsidP="00F975F6">
            <w:pPr>
              <w:keepNext/>
              <w:keepLines/>
              <w:jc w:val="center"/>
              <w:rPr>
                <w:rFonts w:eastAsia="Calibri"/>
                <w:b/>
                <w:bCs/>
                <w:sz w:val="20"/>
                <w:lang w:val="it-IT"/>
              </w:rPr>
            </w:pPr>
            <w:r w:rsidRPr="00D253A7">
              <w:rPr>
                <w:rFonts w:eastAsia="Calibri"/>
                <w:b/>
                <w:bCs/>
                <w:sz w:val="20"/>
                <w:lang w:val="it-IT"/>
              </w:rPr>
              <w:t>%</w:t>
            </w:r>
          </w:p>
          <w:p w14:paraId="5FCCF10B" w14:textId="77777777" w:rsidR="00F3669C" w:rsidRPr="00D253A7" w:rsidRDefault="00F3669C" w:rsidP="00F975F6">
            <w:pPr>
              <w:keepNext/>
              <w:keepLines/>
              <w:jc w:val="center"/>
              <w:rPr>
                <w:rFonts w:eastAsia="Calibri"/>
                <w:b/>
                <w:bCs/>
                <w:sz w:val="20"/>
                <w:vertAlign w:val="superscript"/>
                <w:lang w:val="it-IT"/>
              </w:rPr>
            </w:pPr>
            <w:r w:rsidRPr="00D253A7">
              <w:rPr>
                <w:rFonts w:eastAsia="Calibri"/>
                <w:b/>
                <w:bCs/>
                <w:sz w:val="20"/>
                <w:lang w:val="it-IT"/>
              </w:rPr>
              <w:t>(95% CI)</w:t>
            </w:r>
            <w:r w:rsidRPr="00D253A7">
              <w:rPr>
                <w:rFonts w:eastAsia="Calibri"/>
                <w:b/>
                <w:bCs/>
                <w:sz w:val="20"/>
                <w:vertAlign w:val="superscript"/>
                <w:lang w:val="it-IT"/>
              </w:rPr>
              <w:t>b</w:t>
            </w:r>
          </w:p>
          <w:p w14:paraId="544822B7" w14:textId="77777777" w:rsidR="00F3669C" w:rsidRPr="00D253A7" w:rsidRDefault="00F3669C" w:rsidP="00F975F6">
            <w:pPr>
              <w:keepNext/>
              <w:keepLines/>
              <w:widowControl w:val="0"/>
              <w:tabs>
                <w:tab w:val="left" w:pos="401"/>
              </w:tabs>
              <w:jc w:val="center"/>
              <w:outlineLvl w:val="0"/>
              <w:rPr>
                <w:sz w:val="20"/>
                <w:lang w:val="it-IT"/>
              </w:rPr>
            </w:pPr>
            <w:r w:rsidRPr="00D253A7">
              <w:rPr>
                <w:sz w:val="20"/>
                <w:lang w:val="it-IT"/>
              </w:rPr>
              <w:t>N=334</w:t>
            </w:r>
            <w:r>
              <w:rPr>
                <w:sz w:val="20"/>
              </w:rPr>
              <w:fldChar w:fldCharType="begin"/>
            </w:r>
            <w:r w:rsidRPr="00D253A7">
              <w:rPr>
                <w:sz w:val="20"/>
                <w:lang w:val="it-IT"/>
              </w:rPr>
              <w:instrText xml:space="preserve"> DOCVARIABLE VAULT_ND_7c07440e-c408-41fd-9827-aec4326ab3b1 \* MERGEFORMAT </w:instrText>
            </w:r>
            <w:r>
              <w:rPr>
                <w:sz w:val="20"/>
              </w:rPr>
              <w:fldChar w:fldCharType="separate"/>
            </w:r>
            <w:r w:rsidRPr="00D253A7">
              <w:rPr>
                <w:sz w:val="20"/>
                <w:lang w:val="it-IT"/>
              </w:rPr>
              <w:t xml:space="preserve"> </w:t>
            </w:r>
            <w:r>
              <w:rPr>
                <w:sz w:val="20"/>
              </w:rPr>
              <w:fldChar w:fldCharType="end"/>
            </w:r>
          </w:p>
        </w:tc>
        <w:tc>
          <w:tcPr>
            <w:tcW w:w="2531" w:type="dxa"/>
            <w:tcBorders>
              <w:top w:val="single" w:sz="4" w:space="0" w:color="auto"/>
              <w:left w:val="single" w:sz="4" w:space="0" w:color="auto"/>
              <w:bottom w:val="single" w:sz="4" w:space="0" w:color="auto"/>
              <w:right w:val="single" w:sz="4" w:space="0" w:color="auto"/>
            </w:tcBorders>
            <w:shd w:val="clear" w:color="auto" w:fill="F2F2F2"/>
            <w:vAlign w:val="bottom"/>
          </w:tcPr>
          <w:p w14:paraId="6E6899A6" w14:textId="77777777" w:rsidR="00F3669C" w:rsidRDefault="00F3669C" w:rsidP="00F975F6">
            <w:pPr>
              <w:keepNext/>
              <w:keepLines/>
              <w:jc w:val="center"/>
              <w:rPr>
                <w:rFonts w:eastAsia="Calibri"/>
                <w:b/>
                <w:bCs/>
                <w:sz w:val="20"/>
              </w:rPr>
            </w:pPr>
            <w:r>
              <w:rPr>
                <w:rFonts w:eastAsia="Calibri"/>
                <w:b/>
                <w:bCs/>
                <w:sz w:val="20"/>
              </w:rPr>
              <w:t>Difference in</w:t>
            </w:r>
          </w:p>
          <w:p w14:paraId="3DDB66F9" w14:textId="77777777" w:rsidR="00F3669C" w:rsidRDefault="00F3669C" w:rsidP="00F975F6">
            <w:pPr>
              <w:keepNext/>
              <w:keepLines/>
              <w:jc w:val="center"/>
              <w:rPr>
                <w:rFonts w:eastAsia="Calibri"/>
                <w:b/>
                <w:bCs/>
                <w:sz w:val="20"/>
                <w:vertAlign w:val="superscript"/>
              </w:rPr>
            </w:pPr>
            <w:proofErr w:type="spellStart"/>
            <w:r>
              <w:rPr>
                <w:rFonts w:eastAsia="Calibri"/>
                <w:b/>
                <w:bCs/>
                <w:sz w:val="20"/>
              </w:rPr>
              <w:t>seroresponse</w:t>
            </w:r>
            <w:proofErr w:type="spellEnd"/>
            <w:r>
              <w:rPr>
                <w:rFonts w:eastAsia="Calibri"/>
                <w:b/>
                <w:bCs/>
                <w:sz w:val="20"/>
              </w:rPr>
              <w:t xml:space="preserve"> rate</w:t>
            </w:r>
          </w:p>
          <w:p w14:paraId="250A2711" w14:textId="0E2E5A6F" w:rsidR="00F3669C" w:rsidRDefault="00F3669C" w:rsidP="00F975F6">
            <w:pPr>
              <w:keepNext/>
              <w:keepLines/>
              <w:jc w:val="center"/>
              <w:rPr>
                <w:rFonts w:eastAsia="Calibri"/>
                <w:b/>
                <w:bCs/>
                <w:sz w:val="20"/>
              </w:rPr>
            </w:pPr>
            <w:r>
              <w:rPr>
                <w:rFonts w:eastAsia="Calibri"/>
                <w:b/>
                <w:bCs/>
                <w:sz w:val="20"/>
              </w:rPr>
              <w:t>(</w:t>
            </w:r>
            <w:r w:rsidR="00170E15">
              <w:rPr>
                <w:rFonts w:eastAsia="Calibri"/>
                <w:b/>
                <w:bCs/>
                <w:sz w:val="20"/>
              </w:rPr>
              <w:t>mNEXSPIKE XBB.1.5</w:t>
            </w:r>
            <w:r w:rsidR="009250A2">
              <w:rPr>
                <w:rFonts w:eastAsia="Calibri"/>
                <w:b/>
                <w:bCs/>
                <w:sz w:val="20"/>
              </w:rPr>
              <w:t xml:space="preserve"> </w:t>
            </w:r>
            <w:r>
              <w:rPr>
                <w:rFonts w:eastAsia="Calibri"/>
                <w:b/>
                <w:bCs/>
                <w:sz w:val="20"/>
              </w:rPr>
              <w:t>-comparator)</w:t>
            </w:r>
          </w:p>
          <w:p w14:paraId="11896B08" w14:textId="77777777" w:rsidR="00F3669C" w:rsidRDefault="00F3669C" w:rsidP="00F975F6">
            <w:pPr>
              <w:keepNext/>
              <w:keepLines/>
              <w:tabs>
                <w:tab w:val="left" w:pos="401"/>
              </w:tabs>
              <w:jc w:val="center"/>
              <w:outlineLvl w:val="0"/>
              <w:rPr>
                <w:b/>
                <w:bCs/>
                <w:sz w:val="20"/>
              </w:rPr>
            </w:pPr>
            <w:r>
              <w:rPr>
                <w:b/>
                <w:bCs/>
                <w:sz w:val="20"/>
              </w:rPr>
              <w:t>%</w:t>
            </w:r>
            <w:r>
              <w:rPr>
                <w:b/>
                <w:bCs/>
                <w:sz w:val="20"/>
              </w:rPr>
              <w:fldChar w:fldCharType="begin"/>
            </w:r>
            <w:r>
              <w:rPr>
                <w:b/>
                <w:bCs/>
                <w:sz w:val="20"/>
              </w:rPr>
              <w:instrText xml:space="preserve"> DOCVARIABLE VAULT_ND_d0404e35-22b4-4d81-9925-20126308771f \* MERGEFORMAT </w:instrText>
            </w:r>
            <w:r>
              <w:rPr>
                <w:b/>
                <w:bCs/>
                <w:sz w:val="20"/>
              </w:rPr>
              <w:fldChar w:fldCharType="separate"/>
            </w:r>
            <w:r>
              <w:rPr>
                <w:b/>
                <w:bCs/>
                <w:sz w:val="20"/>
              </w:rPr>
              <w:t xml:space="preserve"> </w:t>
            </w:r>
            <w:r>
              <w:rPr>
                <w:b/>
                <w:bCs/>
                <w:sz w:val="20"/>
              </w:rPr>
              <w:fldChar w:fldCharType="end"/>
            </w:r>
          </w:p>
          <w:p w14:paraId="5FDBB9B1" w14:textId="77777777" w:rsidR="00F3669C" w:rsidRDefault="00F3669C" w:rsidP="00F975F6">
            <w:pPr>
              <w:keepNext/>
              <w:keepLines/>
              <w:tabs>
                <w:tab w:val="left" w:pos="401"/>
              </w:tabs>
              <w:jc w:val="center"/>
              <w:outlineLvl w:val="0"/>
              <w:rPr>
                <w:b/>
                <w:bCs/>
                <w:sz w:val="20"/>
                <w:vertAlign w:val="superscript"/>
              </w:rPr>
            </w:pPr>
            <w:r>
              <w:rPr>
                <w:b/>
                <w:bCs/>
                <w:sz w:val="20"/>
              </w:rPr>
              <w:t xml:space="preserve">(95% </w:t>
            </w:r>
            <w:proofErr w:type="gramStart"/>
            <w:r>
              <w:rPr>
                <w:b/>
                <w:bCs/>
                <w:sz w:val="20"/>
              </w:rPr>
              <w:t>CI)</w:t>
            </w:r>
            <w:r>
              <w:rPr>
                <w:b/>
                <w:bCs/>
                <w:sz w:val="20"/>
                <w:vertAlign w:val="superscript"/>
              </w:rPr>
              <w:t>c</w:t>
            </w:r>
            <w:proofErr w:type="gramEnd"/>
            <w:r>
              <w:rPr>
                <w:b/>
                <w:bCs/>
                <w:sz w:val="20"/>
                <w:vertAlign w:val="superscript"/>
              </w:rPr>
              <w:fldChar w:fldCharType="begin"/>
            </w:r>
            <w:r>
              <w:rPr>
                <w:b/>
                <w:bCs/>
                <w:sz w:val="20"/>
                <w:vertAlign w:val="superscript"/>
              </w:rPr>
              <w:instrText xml:space="preserve"> DOCVARIABLE vault_nd_ab0c7807-ca65-4559-9812-58919869ab91 \* MERGEFORMAT </w:instrText>
            </w:r>
            <w:r>
              <w:rPr>
                <w:b/>
                <w:bCs/>
                <w:sz w:val="20"/>
                <w:vertAlign w:val="superscript"/>
              </w:rPr>
              <w:fldChar w:fldCharType="separate"/>
            </w:r>
            <w:r>
              <w:rPr>
                <w:b/>
                <w:bCs/>
                <w:sz w:val="20"/>
                <w:vertAlign w:val="superscript"/>
              </w:rPr>
              <w:t xml:space="preserve"> </w:t>
            </w:r>
            <w:r>
              <w:rPr>
                <w:b/>
                <w:bCs/>
                <w:sz w:val="20"/>
                <w:vertAlign w:val="superscript"/>
              </w:rPr>
              <w:fldChar w:fldCharType="end"/>
            </w:r>
          </w:p>
          <w:p w14:paraId="0B6FA674" w14:textId="77777777" w:rsidR="00F3669C" w:rsidRDefault="00F3669C" w:rsidP="00F975F6">
            <w:pPr>
              <w:keepNext/>
              <w:keepLines/>
              <w:widowControl w:val="0"/>
              <w:tabs>
                <w:tab w:val="left" w:pos="401"/>
              </w:tabs>
              <w:jc w:val="center"/>
              <w:outlineLvl w:val="0"/>
              <w:rPr>
                <w:sz w:val="20"/>
              </w:rPr>
            </w:pPr>
          </w:p>
        </w:tc>
      </w:tr>
      <w:tr w:rsidR="00F3669C" w14:paraId="14B730C1" w14:textId="77777777" w:rsidTr="006B7A8B">
        <w:trPr>
          <w:cantSplit/>
          <w:trHeight w:val="300"/>
        </w:trPr>
        <w:tc>
          <w:tcPr>
            <w:tcW w:w="1418" w:type="dxa"/>
            <w:tcBorders>
              <w:top w:val="single" w:sz="4" w:space="0" w:color="auto"/>
              <w:left w:val="single" w:sz="4" w:space="0" w:color="auto"/>
              <w:bottom w:val="single" w:sz="4" w:space="0" w:color="auto"/>
              <w:right w:val="single" w:sz="4" w:space="0" w:color="auto"/>
            </w:tcBorders>
            <w:vAlign w:val="center"/>
            <w:hideMark/>
          </w:tcPr>
          <w:p w14:paraId="2CF1C6E2" w14:textId="77777777" w:rsidR="00F3669C" w:rsidRDefault="00F3669C" w:rsidP="00F975F6">
            <w:pPr>
              <w:keepNext/>
              <w:keepLines/>
              <w:tabs>
                <w:tab w:val="left" w:pos="401"/>
              </w:tabs>
              <w:outlineLvl w:val="0"/>
              <w:rPr>
                <w:sz w:val="20"/>
              </w:rPr>
            </w:pPr>
            <w:r>
              <w:rPr>
                <w:b/>
                <w:bCs/>
                <w:sz w:val="20"/>
              </w:rPr>
              <w:t>Omicron XBB.1.5</w:t>
            </w:r>
            <w:r>
              <w:rPr>
                <w:b/>
                <w:bCs/>
                <w:sz w:val="20"/>
              </w:rPr>
              <w:fldChar w:fldCharType="begin"/>
            </w:r>
            <w:r>
              <w:rPr>
                <w:b/>
                <w:bCs/>
                <w:sz w:val="20"/>
              </w:rPr>
              <w:instrText xml:space="preserve"> DOCVARIABLE vault_nd_3fbb7088-521f-4e67-81dc-5de93849087f \* MERGEFORMAT </w:instrText>
            </w:r>
            <w:r>
              <w:rPr>
                <w:b/>
                <w:bCs/>
                <w:sz w:val="20"/>
              </w:rPr>
              <w:fldChar w:fldCharType="separate"/>
            </w:r>
            <w:r>
              <w:rPr>
                <w:b/>
                <w:bCs/>
                <w:sz w:val="20"/>
              </w:rPr>
              <w:t xml:space="preserve"> </w:t>
            </w:r>
            <w:r>
              <w:rPr>
                <w:b/>
                <w:bCs/>
                <w:sz w:val="20"/>
              </w:rPr>
              <w:fldChar w:fldCharType="end"/>
            </w:r>
          </w:p>
        </w:tc>
        <w:tc>
          <w:tcPr>
            <w:tcW w:w="2905" w:type="dxa"/>
            <w:tcBorders>
              <w:top w:val="single" w:sz="4" w:space="0" w:color="auto"/>
              <w:left w:val="single" w:sz="4" w:space="0" w:color="auto"/>
              <w:bottom w:val="single" w:sz="4" w:space="0" w:color="auto"/>
              <w:right w:val="single" w:sz="4" w:space="0" w:color="auto"/>
            </w:tcBorders>
            <w:vAlign w:val="center"/>
            <w:hideMark/>
          </w:tcPr>
          <w:p w14:paraId="5267A424" w14:textId="77777777" w:rsidR="00F3669C" w:rsidRDefault="00F3669C" w:rsidP="00F975F6">
            <w:pPr>
              <w:keepNext/>
              <w:keepLines/>
              <w:tabs>
                <w:tab w:val="left" w:pos="401"/>
              </w:tabs>
              <w:jc w:val="center"/>
              <w:outlineLvl w:val="0"/>
              <w:rPr>
                <w:sz w:val="20"/>
              </w:rPr>
            </w:pPr>
            <w:r>
              <w:rPr>
                <w:sz w:val="20"/>
              </w:rPr>
              <w:t>92.2</w:t>
            </w:r>
            <w:r>
              <w:rPr>
                <w:sz w:val="20"/>
              </w:rPr>
              <w:fldChar w:fldCharType="begin"/>
            </w:r>
            <w:r>
              <w:rPr>
                <w:sz w:val="20"/>
              </w:rPr>
              <w:instrText xml:space="preserve"> DOCVARIABLE VAULT_ND_7767c37f-b1b5-426f-bf6d-666aa80e29d1 \* MERGEFORMAT </w:instrText>
            </w:r>
            <w:r>
              <w:rPr>
                <w:sz w:val="20"/>
              </w:rPr>
              <w:fldChar w:fldCharType="separate"/>
            </w:r>
            <w:r>
              <w:rPr>
                <w:sz w:val="20"/>
              </w:rPr>
              <w:t xml:space="preserve"> </w:t>
            </w:r>
            <w:r>
              <w:rPr>
                <w:sz w:val="20"/>
              </w:rPr>
              <w:fldChar w:fldCharType="end"/>
            </w:r>
          </w:p>
          <w:p w14:paraId="6D10E353" w14:textId="77777777" w:rsidR="00F3669C" w:rsidRDefault="00F3669C" w:rsidP="00F975F6">
            <w:pPr>
              <w:keepNext/>
              <w:keepLines/>
              <w:tabs>
                <w:tab w:val="left" w:pos="401"/>
              </w:tabs>
              <w:jc w:val="center"/>
              <w:outlineLvl w:val="0"/>
              <w:rPr>
                <w:sz w:val="20"/>
              </w:rPr>
            </w:pPr>
            <w:r>
              <w:rPr>
                <w:sz w:val="20"/>
              </w:rPr>
              <w:t>(88.8, 94.9)</w:t>
            </w:r>
            <w:r>
              <w:rPr>
                <w:sz w:val="20"/>
              </w:rPr>
              <w:fldChar w:fldCharType="begin"/>
            </w:r>
            <w:r>
              <w:rPr>
                <w:sz w:val="20"/>
              </w:rPr>
              <w:instrText xml:space="preserve"> DOCVARIABLE VAULT_ND_bd9d443b-87ba-46ab-9309-f68eb8eeb693 \* MERGEFORMAT </w:instrText>
            </w:r>
            <w:r>
              <w:rPr>
                <w:sz w:val="20"/>
              </w:rPr>
              <w:fldChar w:fldCharType="separate"/>
            </w:r>
            <w:r>
              <w:rPr>
                <w:sz w:val="20"/>
              </w:rPr>
              <w:t xml:space="preserve"> </w:t>
            </w:r>
            <w:r>
              <w:rPr>
                <w:sz w:val="20"/>
              </w:rPr>
              <w:fldChar w:fldCharType="end"/>
            </w:r>
          </w:p>
          <w:p w14:paraId="3BEDD6B9" w14:textId="77777777" w:rsidR="00F3669C" w:rsidRDefault="00F3669C" w:rsidP="00F975F6">
            <w:pPr>
              <w:keepNext/>
              <w:keepLines/>
              <w:tabs>
                <w:tab w:val="left" w:pos="401"/>
              </w:tabs>
              <w:jc w:val="center"/>
              <w:outlineLvl w:val="0"/>
              <w:rPr>
                <w:sz w:val="20"/>
              </w:rPr>
            </w:pPr>
          </w:p>
        </w:tc>
        <w:tc>
          <w:tcPr>
            <w:tcW w:w="2506" w:type="dxa"/>
            <w:tcBorders>
              <w:top w:val="single" w:sz="4" w:space="0" w:color="auto"/>
              <w:left w:val="single" w:sz="4" w:space="0" w:color="auto"/>
              <w:bottom w:val="single" w:sz="4" w:space="0" w:color="auto"/>
              <w:right w:val="single" w:sz="4" w:space="0" w:color="auto"/>
            </w:tcBorders>
            <w:vAlign w:val="center"/>
            <w:hideMark/>
          </w:tcPr>
          <w:p w14:paraId="2E533C84" w14:textId="77777777" w:rsidR="00F3669C" w:rsidRDefault="00F3669C" w:rsidP="00F975F6">
            <w:pPr>
              <w:keepNext/>
              <w:keepLines/>
              <w:autoSpaceDE w:val="0"/>
              <w:autoSpaceDN w:val="0"/>
              <w:adjustRightInd w:val="0"/>
              <w:jc w:val="center"/>
              <w:rPr>
                <w:rFonts w:eastAsiaTheme="minorHAnsi"/>
                <w:sz w:val="20"/>
              </w:rPr>
            </w:pPr>
            <w:r>
              <w:rPr>
                <w:sz w:val="20"/>
              </w:rPr>
              <w:t>86.8</w:t>
            </w:r>
          </w:p>
          <w:p w14:paraId="4A456E77" w14:textId="77777777" w:rsidR="00F3669C" w:rsidRDefault="00F3669C" w:rsidP="00F975F6">
            <w:pPr>
              <w:keepNext/>
              <w:keepLines/>
              <w:jc w:val="center"/>
              <w:rPr>
                <w:sz w:val="20"/>
              </w:rPr>
            </w:pPr>
            <w:r>
              <w:rPr>
                <w:sz w:val="20"/>
              </w:rPr>
              <w:t>(82.7, 90.3)</w:t>
            </w:r>
          </w:p>
          <w:p w14:paraId="64ABB541" w14:textId="77777777" w:rsidR="00F3669C" w:rsidRDefault="00F3669C" w:rsidP="00F975F6">
            <w:pPr>
              <w:keepNext/>
              <w:keepLines/>
              <w:autoSpaceDE w:val="0"/>
              <w:autoSpaceDN w:val="0"/>
              <w:adjustRightInd w:val="0"/>
              <w:jc w:val="center"/>
              <w:rPr>
                <w:sz w:val="20"/>
              </w:rPr>
            </w:pPr>
          </w:p>
        </w:tc>
        <w:tc>
          <w:tcPr>
            <w:tcW w:w="2531" w:type="dxa"/>
            <w:tcBorders>
              <w:top w:val="single" w:sz="4" w:space="0" w:color="auto"/>
              <w:left w:val="single" w:sz="4" w:space="0" w:color="auto"/>
              <w:bottom w:val="single" w:sz="4" w:space="0" w:color="auto"/>
              <w:right w:val="single" w:sz="4" w:space="0" w:color="auto"/>
            </w:tcBorders>
            <w:vAlign w:val="center"/>
            <w:hideMark/>
          </w:tcPr>
          <w:p w14:paraId="2A555947" w14:textId="77777777" w:rsidR="00F3669C" w:rsidRDefault="00F3669C" w:rsidP="00F975F6">
            <w:pPr>
              <w:keepNext/>
              <w:keepLines/>
              <w:autoSpaceDE w:val="0"/>
              <w:autoSpaceDN w:val="0"/>
              <w:adjustRightInd w:val="0"/>
              <w:jc w:val="center"/>
              <w:rPr>
                <w:sz w:val="20"/>
              </w:rPr>
            </w:pPr>
            <w:r>
              <w:rPr>
                <w:sz w:val="20"/>
              </w:rPr>
              <w:t>5.4</w:t>
            </w:r>
          </w:p>
          <w:p w14:paraId="274ECA64" w14:textId="77777777" w:rsidR="00F3669C" w:rsidRDefault="00F3669C" w:rsidP="00F975F6">
            <w:pPr>
              <w:keepNext/>
              <w:keepLines/>
              <w:tabs>
                <w:tab w:val="left" w:pos="401"/>
              </w:tabs>
              <w:ind w:left="100"/>
              <w:jc w:val="center"/>
              <w:outlineLvl w:val="0"/>
              <w:rPr>
                <w:sz w:val="20"/>
              </w:rPr>
            </w:pPr>
            <w:r>
              <w:rPr>
                <w:sz w:val="20"/>
              </w:rPr>
              <w:t>(0.8, 10.2)</w:t>
            </w:r>
            <w:r>
              <w:rPr>
                <w:sz w:val="20"/>
              </w:rPr>
              <w:fldChar w:fldCharType="begin"/>
            </w:r>
            <w:r>
              <w:rPr>
                <w:sz w:val="20"/>
              </w:rPr>
              <w:instrText xml:space="preserve"> DOCVARIABLE VAULT_ND_ea157eed-cb38-490a-b374-c87f18a557b6 \* MERGEFORMAT </w:instrText>
            </w:r>
            <w:r>
              <w:rPr>
                <w:sz w:val="20"/>
              </w:rPr>
              <w:fldChar w:fldCharType="separate"/>
            </w:r>
            <w:r>
              <w:rPr>
                <w:sz w:val="20"/>
              </w:rPr>
              <w:t xml:space="preserve"> </w:t>
            </w:r>
            <w:r>
              <w:rPr>
                <w:sz w:val="20"/>
              </w:rPr>
              <w:fldChar w:fldCharType="end"/>
            </w:r>
          </w:p>
        </w:tc>
      </w:tr>
    </w:tbl>
    <w:p w14:paraId="78017275" w14:textId="77777777" w:rsidR="00F3669C" w:rsidRDefault="00F3669C" w:rsidP="001F385D">
      <w:pPr>
        <w:widowControl w:val="0"/>
        <w:spacing w:after="0" w:line="240" w:lineRule="auto"/>
        <w:rPr>
          <w:rFonts w:eastAsia="Calibri"/>
          <w:sz w:val="20"/>
        </w:rPr>
      </w:pPr>
      <w:r>
        <w:rPr>
          <w:rFonts w:eastAsia="Calibri"/>
          <w:sz w:val="20"/>
        </w:rPr>
        <w:t>N=Number of participants with non-missing data at baseline and the corresponding timepoint(s).</w:t>
      </w:r>
    </w:p>
    <w:p w14:paraId="6A90E85D" w14:textId="77777777" w:rsidR="00F3669C" w:rsidRDefault="00F3669C" w:rsidP="001F385D">
      <w:pPr>
        <w:widowControl w:val="0"/>
        <w:spacing w:after="0" w:line="240" w:lineRule="auto"/>
        <w:ind w:left="144" w:hanging="144"/>
        <w:rPr>
          <w:rFonts w:eastAsia="Calibri"/>
          <w:sz w:val="20"/>
        </w:rPr>
      </w:pPr>
      <w:r>
        <w:rPr>
          <w:rFonts w:eastAsia="Calibri"/>
          <w:sz w:val="20"/>
        </w:rPr>
        <w:t>* Per-Protocol immunogenicity set included subjects who received study vaccine, did not have a major protocol deviation that impacted immune response, and had both pre-dose and post-dose immunogenicity assessment at timepoint of primary interest (28 days post-dose).</w:t>
      </w:r>
    </w:p>
    <w:p w14:paraId="542F2D59" w14:textId="77777777" w:rsidR="00F3669C" w:rsidRDefault="00F3669C" w:rsidP="001F385D">
      <w:pPr>
        <w:widowControl w:val="0"/>
        <w:spacing w:after="0" w:line="240" w:lineRule="auto"/>
        <w:ind w:left="144" w:hanging="144"/>
        <w:rPr>
          <w:rFonts w:eastAsia="Calibri"/>
          <w:sz w:val="20"/>
        </w:rPr>
      </w:pPr>
      <w:proofErr w:type="gramStart"/>
      <w:r>
        <w:rPr>
          <w:sz w:val="20"/>
          <w:vertAlign w:val="superscript"/>
        </w:rPr>
        <w:t>a</w:t>
      </w:r>
      <w:r>
        <w:rPr>
          <w:sz w:val="20"/>
        </w:rPr>
        <w:t xml:space="preserve"> </w:t>
      </w:r>
      <w:proofErr w:type="spellStart"/>
      <w:r>
        <w:rPr>
          <w:rFonts w:eastAsia="Calibri"/>
          <w:sz w:val="20"/>
        </w:rPr>
        <w:t>Seroresponse</w:t>
      </w:r>
      <w:proofErr w:type="spellEnd"/>
      <w:proofErr w:type="gramEnd"/>
      <w:r>
        <w:rPr>
          <w:rFonts w:eastAsia="Calibri"/>
          <w:sz w:val="20"/>
        </w:rPr>
        <w:t xml:space="preserve"> is defined as an antibody value change from baseline below the LLOQ to ≥4 × LLOQ, or at least a 4-fold rise if baseline is ≥ LLOQ and &lt;4 × LLOQ, or at least a 2-fold rise if baseline is ≥4 × LLOQ, where baseline refers to pre-dose.</w:t>
      </w:r>
    </w:p>
    <w:p w14:paraId="30EB88F3" w14:textId="77777777" w:rsidR="00F3669C" w:rsidRDefault="00F3669C" w:rsidP="001F385D">
      <w:pPr>
        <w:widowControl w:val="0"/>
        <w:spacing w:after="0" w:line="240" w:lineRule="auto"/>
        <w:rPr>
          <w:rFonts w:eastAsia="Calibri"/>
          <w:sz w:val="20"/>
        </w:rPr>
      </w:pPr>
      <w:r>
        <w:rPr>
          <w:rFonts w:eastAsia="Calibri"/>
          <w:sz w:val="20"/>
          <w:vertAlign w:val="superscript"/>
        </w:rPr>
        <w:t>b</w:t>
      </w:r>
      <w:r>
        <w:rPr>
          <w:rFonts w:eastAsia="Calibri"/>
          <w:sz w:val="20"/>
        </w:rPr>
        <w:t xml:space="preserve"> 95% CI is calculated using the Clopper-Pearson method.</w:t>
      </w:r>
    </w:p>
    <w:p w14:paraId="3BC50347" w14:textId="70E609F5" w:rsidR="0004042D" w:rsidRDefault="00F3669C" w:rsidP="001F385D">
      <w:pPr>
        <w:widowControl w:val="0"/>
        <w:spacing w:after="0" w:line="240" w:lineRule="auto"/>
        <w:rPr>
          <w:rFonts w:eastAsia="Calibri"/>
          <w:sz w:val="20"/>
          <w:vertAlign w:val="superscript"/>
        </w:rPr>
      </w:pPr>
      <w:proofErr w:type="gramStart"/>
      <w:r>
        <w:rPr>
          <w:rFonts w:eastAsia="Calibri"/>
          <w:sz w:val="20"/>
          <w:vertAlign w:val="superscript"/>
        </w:rPr>
        <w:t>c</w:t>
      </w:r>
      <w:r>
        <w:rPr>
          <w:rFonts w:eastAsia="Calibri"/>
          <w:sz w:val="20"/>
        </w:rPr>
        <w:t xml:space="preserve"> 95</w:t>
      </w:r>
      <w:proofErr w:type="gramEnd"/>
      <w:r>
        <w:rPr>
          <w:rFonts w:eastAsia="Calibri"/>
          <w:sz w:val="20"/>
        </w:rPr>
        <w:t>% CI is calculated using the Miettinen-Nurminen (score) confidence limits.</w:t>
      </w:r>
      <w:r>
        <w:rPr>
          <w:rFonts w:eastAsia="Calibri"/>
          <w:sz w:val="20"/>
          <w:vertAlign w:val="superscript"/>
        </w:rPr>
        <w:t xml:space="preserve"> </w:t>
      </w:r>
    </w:p>
    <w:p w14:paraId="717ADF17" w14:textId="67C674BE" w:rsidR="00E148FE" w:rsidRDefault="002A2842" w:rsidP="00927234">
      <w:pPr>
        <w:pStyle w:val="Heading2"/>
        <w:rPr>
          <w:noProof/>
        </w:rPr>
      </w:pPr>
      <w:r w:rsidRPr="009E06BF">
        <w:t>5.2 PHARMACOKINETIC PROPERTIES</w:t>
      </w:r>
      <w:r w:rsidR="00C40E71">
        <w:fldChar w:fldCharType="begin"/>
      </w:r>
      <w:r w:rsidR="00C40E71">
        <w:rPr>
          <w:b w:val="0"/>
          <w:bCs w:val="0"/>
        </w:rPr>
        <w:instrText xml:space="preserve"> DOCVARIABLE VAULT_ND_50add397-e3be-490c-a35e-c6d353d06b22 \* MERGEFORMAT </w:instrText>
      </w:r>
      <w:r w:rsidR="00C40E71">
        <w:fldChar w:fldCharType="separate"/>
      </w:r>
      <w:r w:rsidR="00C40E71">
        <w:t xml:space="preserve"> </w:t>
      </w:r>
      <w:r w:rsidR="00C40E71">
        <w:fldChar w:fldCharType="end"/>
      </w:r>
    </w:p>
    <w:p w14:paraId="0D21EAEA" w14:textId="1AD61E32" w:rsidR="0004042D" w:rsidRDefault="00307297" w:rsidP="001F385D">
      <w:pPr>
        <w:spacing w:line="240" w:lineRule="auto"/>
        <w:ind w:right="-2"/>
        <w:rPr>
          <w:iCs/>
          <w:noProof/>
        </w:rPr>
      </w:pPr>
      <w:r w:rsidRPr="009F56F0">
        <w:rPr>
          <w:iCs/>
          <w:noProof/>
        </w:rPr>
        <w:t>Not applicable.</w:t>
      </w:r>
    </w:p>
    <w:p w14:paraId="5138701D" w14:textId="44CA7A25" w:rsidR="00E148FE" w:rsidRPr="001F385D" w:rsidRDefault="002A2842" w:rsidP="00927234">
      <w:pPr>
        <w:pStyle w:val="Heading2"/>
      </w:pPr>
      <w:r w:rsidRPr="009E06BF">
        <w:t>5.3 PRECLINICAL SAFETY DATA</w:t>
      </w:r>
      <w:r w:rsidR="00C40E71">
        <w:fldChar w:fldCharType="begin"/>
      </w:r>
      <w:r w:rsidR="00C40E71">
        <w:rPr>
          <w:b w:val="0"/>
          <w:bCs w:val="0"/>
        </w:rPr>
        <w:instrText xml:space="preserve"> DOCVARIABLE VAULT_ND_c1d6c05f-e293-480e-a212-882060dafcc2 \* MERGEFORMAT </w:instrText>
      </w:r>
      <w:r w:rsidR="00C40E71">
        <w:fldChar w:fldCharType="separate"/>
      </w:r>
      <w:r w:rsidR="00C40E71">
        <w:t xml:space="preserve"> </w:t>
      </w:r>
      <w:r w:rsidR="00C40E71">
        <w:fldChar w:fldCharType="end"/>
      </w:r>
    </w:p>
    <w:p w14:paraId="1F296C38" w14:textId="271AA243" w:rsidR="00B35F80" w:rsidRDefault="00B35F80" w:rsidP="00B35F80">
      <w:pPr>
        <w:pStyle w:val="Heading3"/>
      </w:pPr>
      <w:r w:rsidRPr="00B878CC">
        <w:t>Genotoxicity</w:t>
      </w:r>
      <w:fldSimple w:instr=" DOCVARIABLE vault_nd_6a8f17ac-a908-42c1-a28a-d8737c4bcbc6 \* MERGEFORMAT ">
        <w:r>
          <w:t xml:space="preserve"> </w:t>
        </w:r>
      </w:fldSimple>
    </w:p>
    <w:p w14:paraId="5816A0D0" w14:textId="2F15C32F" w:rsidR="00E74DE6" w:rsidRPr="001149E1" w:rsidRDefault="00E74DE6" w:rsidP="00E74DE6">
      <w:r>
        <w:t xml:space="preserve">The lipid components SM-102 and PEG-2000-DMG of the vaccine were negative in the bacterial reverse mutation Ames test and </w:t>
      </w:r>
      <w:r w:rsidRPr="002345D6">
        <w:rPr>
          <w:rFonts w:eastAsiaTheme="majorEastAsia" w:cstheme="majorBidi"/>
          <w:i/>
          <w:iCs/>
        </w:rPr>
        <w:t>in vitro</w:t>
      </w:r>
      <w:r>
        <w:t xml:space="preserve"> micronucleus test in human peripheral blood lymphocytes. A luciferase mRNA in SM-102-</w:t>
      </w:r>
      <w:r>
        <w:lastRenderedPageBreak/>
        <w:t>containing lipid nanoparticles was negative in a rat bone marrow micronucleus assay (IV dose of SM-102</w:t>
      </w:r>
      <w:r w:rsidR="00D63438">
        <w:t xml:space="preserve"> 32.7 </w:t>
      </w:r>
      <w:r>
        <w:t>mg/kg, PEG-2000-DMG</w:t>
      </w:r>
      <w:r w:rsidR="00D63438">
        <w:t xml:space="preserve"> 5.4</w:t>
      </w:r>
      <w:r>
        <w:t xml:space="preserve"> mg/kg), whilst a surrogate ZIKA mRNA-based vaccine formulated in SM-102-containing lipid nanoparticles induced micronuclei in male rats, but not in females (IV dose of SM-102 60 mg/kg, PEG-2000-DMG 6 mg/kg). The weight of evidence suggests the genotoxicity potential of the lipid components SM-102 and PEG-2000-DMG is very low. The other components of mNEXSPIKE XBB.1.5 (other lipids and mRNA) are not expected to be genotoxic.</w:t>
      </w:r>
      <w:fldSimple w:instr=" DOCVARIABLE vault_nd_9b7d4fe7-0163-4eb0-a092-2ce4a5eb2491 \* MERGEFORMAT ">
        <w:r w:rsidR="00923669">
          <w:t xml:space="preserve"> </w:t>
        </w:r>
      </w:fldSimple>
    </w:p>
    <w:p w14:paraId="7CFFDF1A" w14:textId="77777777" w:rsidR="00335957" w:rsidRPr="009C15B1" w:rsidRDefault="00335957" w:rsidP="00335957">
      <w:pPr>
        <w:pStyle w:val="Heading3"/>
      </w:pPr>
      <w:r w:rsidRPr="00772FA5">
        <w:t>Carcinogenicity</w:t>
      </w:r>
      <w:r w:rsidRPr="009C15B1">
        <w:fldChar w:fldCharType="begin"/>
      </w:r>
      <w:r w:rsidRPr="009C15B1">
        <w:rPr>
          <w:highlight w:val="magenta"/>
        </w:rPr>
        <w:instrText xml:space="preserve"> DOCVARIABLE vault_nd_e5377070-1be0-48be-8f20-726d31fedc60 \* MERGEFORMAT </w:instrText>
      </w:r>
      <w:r w:rsidRPr="009C15B1">
        <w:fldChar w:fldCharType="separate"/>
      </w:r>
      <w:r w:rsidRPr="009C15B1">
        <w:t xml:space="preserve"> </w:t>
      </w:r>
      <w:r w:rsidRPr="009C15B1">
        <w:fldChar w:fldCharType="end"/>
      </w:r>
    </w:p>
    <w:p w14:paraId="012B1DC7" w14:textId="4362EE24" w:rsidR="0004042D" w:rsidRPr="001F385D" w:rsidRDefault="00335957" w:rsidP="000F170A">
      <w:r w:rsidRPr="009C15B1">
        <w:t>Carcinogenicity studies were not performed. The components of the vaccine (lipids and mRNA) are not expected to have carcinogenic potential.</w:t>
      </w:r>
    </w:p>
    <w:p w14:paraId="28C90DD5" w14:textId="7859124D" w:rsidR="0004042D" w:rsidRPr="009E06BF" w:rsidRDefault="002A2842" w:rsidP="00374442">
      <w:pPr>
        <w:pStyle w:val="Heading1"/>
        <w:rPr>
          <w:rFonts w:cstheme="majorHAnsi"/>
        </w:rPr>
      </w:pPr>
      <w:r w:rsidRPr="009E06BF">
        <w:rPr>
          <w:rFonts w:cstheme="majorHAnsi"/>
        </w:rPr>
        <w:t>6. PHARMACEUTICAL PARTICULARS</w:t>
      </w:r>
      <w:r w:rsidR="00C40E71">
        <w:rPr>
          <w:rFonts w:cstheme="majorHAnsi"/>
        </w:rPr>
        <w:fldChar w:fldCharType="begin"/>
      </w:r>
      <w:r w:rsidR="00C40E71">
        <w:rPr>
          <w:rFonts w:cstheme="majorHAnsi"/>
        </w:rPr>
        <w:instrText xml:space="preserve"> DOCVARIABLE VAULT_ND_b364c82e-b7b6-4725-a7d5-2904919aaa64 \* MERGEFORMAT </w:instrText>
      </w:r>
      <w:r w:rsidR="00C40E71">
        <w:rPr>
          <w:rFonts w:cstheme="majorHAnsi"/>
        </w:rPr>
        <w:fldChar w:fldCharType="separate"/>
      </w:r>
      <w:r w:rsidR="00C40E71">
        <w:rPr>
          <w:rFonts w:cstheme="majorHAnsi"/>
        </w:rPr>
        <w:t xml:space="preserve"> </w:t>
      </w:r>
      <w:r w:rsidR="00C40E71">
        <w:rPr>
          <w:rFonts w:cstheme="majorHAnsi"/>
        </w:rPr>
        <w:fldChar w:fldCharType="end"/>
      </w:r>
    </w:p>
    <w:p w14:paraId="35EF214D" w14:textId="78F18205" w:rsidR="00D7319D" w:rsidRPr="009E06BF" w:rsidRDefault="002A2842" w:rsidP="00B40C3C">
      <w:pPr>
        <w:pStyle w:val="Heading2"/>
        <w:rPr>
          <w:szCs w:val="28"/>
        </w:rPr>
      </w:pPr>
      <w:r w:rsidRPr="009E06BF">
        <w:t>6.1 LIST OF EXCIPIENTS</w:t>
      </w:r>
      <w:fldSimple w:instr=" DOCVARIABLE VAULT_ND_62262cdf-ae73-4965-a863-62403d574497 \* MERGEFORMAT ">
        <w:r w:rsidR="00C40E71">
          <w:t xml:space="preserve"> </w:t>
        </w:r>
      </w:fldSimple>
    </w:p>
    <w:p w14:paraId="7D56626A" w14:textId="77777777" w:rsidR="00D8522C" w:rsidRDefault="00D8522C" w:rsidP="009443C5">
      <w:pPr>
        <w:pStyle w:val="NoSpacing"/>
        <w:rPr>
          <w:rFonts w:asciiTheme="majorHAnsi" w:hAnsiTheme="majorHAnsi" w:cstheme="majorHAnsi"/>
          <w:lang w:val="en-AU"/>
        </w:rPr>
      </w:pPr>
      <w:bookmarkStart w:id="18" w:name="OLE_LINK22"/>
    </w:p>
    <w:p w14:paraId="2CC85708" w14:textId="24F8F186" w:rsidR="00C854A6" w:rsidRPr="009E06BF" w:rsidRDefault="00C854A6" w:rsidP="009443C5">
      <w:pPr>
        <w:pStyle w:val="NoSpacing"/>
        <w:rPr>
          <w:rFonts w:asciiTheme="majorHAnsi" w:hAnsiTheme="majorHAnsi" w:cstheme="majorHAnsi"/>
          <w:lang w:val="en-AU"/>
        </w:rPr>
      </w:pPr>
      <w:r w:rsidRPr="009E06BF">
        <w:rPr>
          <w:rFonts w:asciiTheme="majorHAnsi" w:hAnsiTheme="majorHAnsi" w:cstheme="majorHAnsi"/>
          <w:lang w:val="en-AU"/>
        </w:rPr>
        <w:t>Heptadecan-9-yl 8-[2-hydroxyethyl-(6-oxo-6-</w:t>
      </w:r>
      <w:proofErr w:type="gramStart"/>
      <w:r w:rsidRPr="009E06BF">
        <w:rPr>
          <w:rFonts w:asciiTheme="majorHAnsi" w:hAnsiTheme="majorHAnsi" w:cstheme="majorHAnsi"/>
          <w:lang w:val="en-AU"/>
        </w:rPr>
        <w:t>undecoxyhexyl)amino</w:t>
      </w:r>
      <w:proofErr w:type="gramEnd"/>
      <w:r w:rsidRPr="009E06BF">
        <w:rPr>
          <w:rFonts w:asciiTheme="majorHAnsi" w:hAnsiTheme="majorHAnsi" w:cstheme="majorHAnsi"/>
          <w:lang w:val="en-AU"/>
        </w:rPr>
        <w:t>]octanoate</w:t>
      </w:r>
    </w:p>
    <w:p w14:paraId="1CBF95C4" w14:textId="77777777" w:rsidR="00C854A6" w:rsidRPr="009E06BF" w:rsidRDefault="00C854A6" w:rsidP="009443C5">
      <w:pPr>
        <w:pStyle w:val="NoSpacing"/>
        <w:rPr>
          <w:rFonts w:asciiTheme="majorHAnsi" w:hAnsiTheme="majorHAnsi" w:cstheme="majorHAnsi"/>
          <w:lang w:val="en-AU"/>
        </w:rPr>
      </w:pPr>
      <w:r w:rsidRPr="009E06BF">
        <w:rPr>
          <w:rFonts w:asciiTheme="majorHAnsi" w:hAnsiTheme="majorHAnsi" w:cstheme="majorHAnsi"/>
          <w:lang w:val="en-AU"/>
        </w:rPr>
        <w:t>Cholesterol</w:t>
      </w:r>
    </w:p>
    <w:p w14:paraId="154ED2A0" w14:textId="77777777" w:rsidR="00374442" w:rsidRPr="009E06BF" w:rsidRDefault="00374442" w:rsidP="009443C5">
      <w:pPr>
        <w:pStyle w:val="NoSpacing"/>
        <w:rPr>
          <w:rFonts w:asciiTheme="majorHAnsi" w:hAnsiTheme="majorHAnsi" w:cstheme="majorHAnsi"/>
          <w:lang w:val="en-AU"/>
        </w:rPr>
      </w:pPr>
      <w:r w:rsidRPr="009E06BF">
        <w:rPr>
          <w:rFonts w:asciiTheme="majorHAnsi" w:hAnsiTheme="majorHAnsi" w:cstheme="majorHAnsi"/>
          <w:lang w:val="en-AU"/>
        </w:rPr>
        <w:t>Distearoylphosphatidylcholine</w:t>
      </w:r>
    </w:p>
    <w:p w14:paraId="1262598F" w14:textId="7724B0E0" w:rsidR="00D7319D" w:rsidRPr="009E06BF" w:rsidRDefault="00374442" w:rsidP="009443C5">
      <w:pPr>
        <w:pStyle w:val="NoSpacing"/>
        <w:rPr>
          <w:rFonts w:asciiTheme="majorHAnsi" w:hAnsiTheme="majorHAnsi" w:cstheme="majorHAnsi"/>
        </w:rPr>
      </w:pPr>
      <w:r w:rsidRPr="009E06BF">
        <w:rPr>
          <w:rFonts w:asciiTheme="majorHAnsi" w:hAnsiTheme="majorHAnsi" w:cstheme="majorHAnsi"/>
          <w:lang w:val="en-AU"/>
        </w:rPr>
        <w:t>1,2-dimyristoyl-rac-glycero-3-methoxypolyethylene glycol-2000</w:t>
      </w:r>
    </w:p>
    <w:p w14:paraId="3E6BCAB3" w14:textId="77777777" w:rsidR="00D7319D" w:rsidRPr="009E06BF" w:rsidRDefault="00D7319D" w:rsidP="009443C5">
      <w:pPr>
        <w:pStyle w:val="NoSpacing"/>
        <w:rPr>
          <w:rFonts w:asciiTheme="majorHAnsi" w:hAnsiTheme="majorHAnsi" w:cstheme="majorHAnsi"/>
        </w:rPr>
      </w:pPr>
      <w:r w:rsidRPr="009E06BF">
        <w:rPr>
          <w:rFonts w:asciiTheme="majorHAnsi" w:hAnsiTheme="majorHAnsi" w:cstheme="majorHAnsi"/>
        </w:rPr>
        <w:t xml:space="preserve">Trometamol </w:t>
      </w:r>
    </w:p>
    <w:p w14:paraId="484C190E" w14:textId="77777777" w:rsidR="00D7319D" w:rsidRPr="009E06BF" w:rsidRDefault="00D7319D" w:rsidP="009443C5">
      <w:pPr>
        <w:pStyle w:val="NoSpacing"/>
        <w:rPr>
          <w:rFonts w:asciiTheme="majorHAnsi" w:hAnsiTheme="majorHAnsi" w:cstheme="majorHAnsi"/>
        </w:rPr>
      </w:pPr>
      <w:r w:rsidRPr="009E06BF">
        <w:rPr>
          <w:rFonts w:asciiTheme="majorHAnsi" w:hAnsiTheme="majorHAnsi" w:cstheme="majorHAnsi"/>
        </w:rPr>
        <w:t xml:space="preserve">Trometamol hydrochloride </w:t>
      </w:r>
    </w:p>
    <w:p w14:paraId="435C266F" w14:textId="25122C1F" w:rsidR="0004042D" w:rsidRPr="009E06BF" w:rsidRDefault="00D7319D" w:rsidP="00203C89">
      <w:pPr>
        <w:pStyle w:val="NoSpacing"/>
        <w:rPr>
          <w:rFonts w:asciiTheme="majorHAnsi" w:hAnsiTheme="majorHAnsi" w:cstheme="majorHAnsi"/>
        </w:rPr>
      </w:pPr>
      <w:r w:rsidRPr="009E06BF">
        <w:rPr>
          <w:rFonts w:asciiTheme="majorHAnsi" w:hAnsiTheme="majorHAnsi" w:cstheme="majorHAnsi"/>
        </w:rPr>
        <w:t xml:space="preserve">Sucrose </w:t>
      </w:r>
      <w:bookmarkEnd w:id="18"/>
    </w:p>
    <w:p w14:paraId="413B52B5" w14:textId="63432641" w:rsidR="0004042D" w:rsidRDefault="002A2842" w:rsidP="00B40C3C">
      <w:pPr>
        <w:pStyle w:val="Heading2"/>
      </w:pPr>
      <w:r w:rsidRPr="009E06BF">
        <w:t>6.2 INCOMPATIBILITIES</w:t>
      </w:r>
      <w:fldSimple w:instr=" DOCVARIABLE VAULT_ND_623e9d69-5432-4a34-8c8b-199c9599c52a \* MERGEFORMAT ">
        <w:r w:rsidR="00C40E71">
          <w:t xml:space="preserve"> </w:t>
        </w:r>
      </w:fldSimple>
    </w:p>
    <w:p w14:paraId="34A03074" w14:textId="77777777" w:rsidR="00E148FE" w:rsidRPr="00902F7E" w:rsidRDefault="00E148FE" w:rsidP="00902F7E">
      <w:pPr>
        <w:pStyle w:val="NoSpacing"/>
      </w:pPr>
    </w:p>
    <w:p w14:paraId="1BE0B030" w14:textId="30707D83" w:rsidR="0004042D" w:rsidRDefault="00473A56" w:rsidP="00473A56">
      <w:pPr>
        <w:rPr>
          <w:noProof/>
        </w:rPr>
      </w:pPr>
      <w:r w:rsidRPr="00473A56">
        <w:t>In the absence of compatibility studies, this medicinal product must not be mixed with other medicinal products</w:t>
      </w:r>
      <w:r>
        <w:rPr>
          <w:noProof/>
        </w:rPr>
        <w:t>.</w:t>
      </w:r>
    </w:p>
    <w:p w14:paraId="15D3F164" w14:textId="52CC7CA0" w:rsidR="0004042D" w:rsidRDefault="002A2842" w:rsidP="00B40C3C">
      <w:pPr>
        <w:pStyle w:val="Heading2"/>
      </w:pPr>
      <w:r w:rsidRPr="009E06BF">
        <w:t>6.3 SHELF LIFE</w:t>
      </w:r>
      <w:fldSimple w:instr=" DOCVARIABLE VAULT_ND_066e25ff-4a66-42f5-83d3-5107e0693da1 \* MERGEFORMAT ">
        <w:r w:rsidR="00C40E71">
          <w:t xml:space="preserve"> </w:t>
        </w:r>
      </w:fldSimple>
    </w:p>
    <w:p w14:paraId="5BBFAC2E" w14:textId="77777777" w:rsidR="00E148FE" w:rsidRPr="00902F7E" w:rsidRDefault="00E148FE" w:rsidP="00902F7E">
      <w:pPr>
        <w:pStyle w:val="NoSpacing"/>
      </w:pPr>
    </w:p>
    <w:p w14:paraId="2667E5BB" w14:textId="77777777" w:rsidR="007B345A" w:rsidRDefault="007B345A" w:rsidP="007B345A">
      <w:pPr>
        <w:rPr>
          <w:rFonts w:cstheme="minorHAnsi"/>
          <w:lang w:val="en"/>
        </w:rPr>
      </w:pPr>
      <w:r w:rsidRPr="009C15B1">
        <w:rPr>
          <w:rFonts w:cstheme="minorHAnsi"/>
          <w:lang w:val="en"/>
        </w:rPr>
        <w:t>In Australia, information on the shelf life can be found on the public summary of the Australian Register of Therapeutic Goods (ARTG). The expiry date can be found on the packaging.</w:t>
      </w:r>
      <w:r w:rsidRPr="00786C37">
        <w:rPr>
          <w:rFonts w:cstheme="minorHAnsi"/>
          <w:lang w:val="en"/>
        </w:rPr>
        <w:t xml:space="preserve"> </w:t>
      </w:r>
    </w:p>
    <w:p w14:paraId="6256D6B3" w14:textId="70EDBF95" w:rsidR="00CF3165" w:rsidRPr="00AF6746" w:rsidRDefault="006F526E" w:rsidP="00AF6746">
      <w:pPr>
        <w:spacing w:line="240" w:lineRule="auto"/>
        <w:rPr>
          <w:noProof/>
        </w:rPr>
      </w:pPr>
      <w:r>
        <w:rPr>
          <w:rFonts w:cstheme="minorHAnsi"/>
          <w:lang w:val="en"/>
        </w:rPr>
        <w:t>9 months</w:t>
      </w:r>
      <w:r w:rsidR="00AF6746">
        <w:rPr>
          <w:rFonts w:cstheme="minorHAnsi"/>
          <w:lang w:val="en"/>
        </w:rPr>
        <w:t xml:space="preserve"> </w:t>
      </w:r>
      <w:r w:rsidR="00AF6746" w:rsidRPr="00EA2A75">
        <w:rPr>
          <w:noProof/>
        </w:rPr>
        <w:t>at -</w:t>
      </w:r>
      <w:r w:rsidR="00AF6746">
        <w:rPr>
          <w:noProof/>
        </w:rPr>
        <w:t>4</w:t>
      </w:r>
      <w:r w:rsidR="00AF6746" w:rsidRPr="00EA2A75">
        <w:rPr>
          <w:noProof/>
        </w:rPr>
        <w:t>0</w:t>
      </w:r>
      <w:r w:rsidR="00AF6746" w:rsidRPr="00AF6746">
        <w:rPr>
          <w:noProof/>
          <w:vertAlign w:val="superscript"/>
        </w:rPr>
        <w:t>o</w:t>
      </w:r>
      <w:r w:rsidR="00AF6746" w:rsidRPr="00EA2A75">
        <w:rPr>
          <w:noProof/>
        </w:rPr>
        <w:t>C to -15</w:t>
      </w:r>
      <w:r w:rsidR="00AF6746" w:rsidRPr="00AF6746">
        <w:rPr>
          <w:noProof/>
          <w:vertAlign w:val="superscript"/>
        </w:rPr>
        <w:t>o</w:t>
      </w:r>
      <w:r w:rsidR="00AF6746" w:rsidRPr="00EA2A75">
        <w:rPr>
          <w:noProof/>
        </w:rPr>
        <w:t>C.</w:t>
      </w:r>
    </w:p>
    <w:p w14:paraId="7BE7470C" w14:textId="6BDBAB57" w:rsidR="00A300E6" w:rsidRPr="00EA2A75" w:rsidRDefault="00A300E6" w:rsidP="00A300E6">
      <w:pPr>
        <w:spacing w:line="240" w:lineRule="auto"/>
        <w:rPr>
          <w:noProof/>
        </w:rPr>
      </w:pPr>
      <w:r w:rsidRPr="00EA2A75">
        <w:rPr>
          <w:noProof/>
        </w:rPr>
        <w:t xml:space="preserve">Within the period of </w:t>
      </w:r>
      <w:r w:rsidR="009B11BD">
        <w:rPr>
          <w:noProof/>
        </w:rPr>
        <w:t>9 months</w:t>
      </w:r>
      <w:r w:rsidRPr="00EA2A75">
        <w:rPr>
          <w:noProof/>
        </w:rPr>
        <w:t xml:space="preserve">, after removal from the freezer, pre-filled syringes may be stored refrigerated at 2°C to 8°C, protected from light, </w:t>
      </w:r>
      <w:r w:rsidRPr="00263F5B">
        <w:rPr>
          <w:noProof/>
        </w:rPr>
        <w:t xml:space="preserve">for </w:t>
      </w:r>
      <w:r w:rsidR="00CC4DD5">
        <w:rPr>
          <w:noProof/>
        </w:rPr>
        <w:t>30</w:t>
      </w:r>
      <w:r w:rsidR="00CC4DD5" w:rsidRPr="00263F5B">
        <w:rPr>
          <w:noProof/>
        </w:rPr>
        <w:t> </w:t>
      </w:r>
      <w:r w:rsidRPr="00263F5B">
        <w:rPr>
          <w:noProof/>
        </w:rPr>
        <w:t>days (see</w:t>
      </w:r>
      <w:r w:rsidRPr="00EA2A75">
        <w:rPr>
          <w:noProof/>
        </w:rPr>
        <w:t xml:space="preserve"> section 6.4).</w:t>
      </w:r>
    </w:p>
    <w:p w14:paraId="227EBB8E" w14:textId="3686EE61" w:rsidR="00A300E6" w:rsidRPr="00EA2A75" w:rsidRDefault="00A300E6" w:rsidP="00A300E6">
      <w:pPr>
        <w:spacing w:line="240" w:lineRule="auto"/>
        <w:rPr>
          <w:noProof/>
        </w:rPr>
      </w:pPr>
      <w:r w:rsidRPr="00EA2A75">
        <w:rPr>
          <w:noProof/>
        </w:rPr>
        <w:t>Once thawed, the vaccine should not be refrozen.</w:t>
      </w:r>
    </w:p>
    <w:p w14:paraId="008A033D" w14:textId="0D30713E" w:rsidR="001636D8" w:rsidRDefault="00A300E6" w:rsidP="001870E4">
      <w:pPr>
        <w:rPr>
          <w:noProof/>
        </w:rPr>
      </w:pPr>
      <w:r w:rsidRPr="00EA2A75">
        <w:rPr>
          <w:noProof/>
        </w:rPr>
        <w:t>Pre-filled syringes may be stored at</w:t>
      </w:r>
      <w:r w:rsidR="001636D8">
        <w:rPr>
          <w:noProof/>
        </w:rPr>
        <w:t xml:space="preserve"> 23</w:t>
      </w:r>
      <w:r w:rsidRPr="00EA2A75">
        <w:rPr>
          <w:noProof/>
        </w:rPr>
        <w:t>°Cto 2</w:t>
      </w:r>
      <w:r w:rsidR="001636D8">
        <w:rPr>
          <w:noProof/>
        </w:rPr>
        <w:t>7</w:t>
      </w:r>
      <w:r w:rsidRPr="00EA2A75">
        <w:rPr>
          <w:noProof/>
        </w:rPr>
        <w:t xml:space="preserve">°Cup to 24 hours after removal from refrigerated conditions. </w:t>
      </w:r>
    </w:p>
    <w:p w14:paraId="4D38EDD4" w14:textId="2271BDC5" w:rsidR="00170E15" w:rsidRDefault="007817CD" w:rsidP="001870E4">
      <w:pPr>
        <w:rPr>
          <w:noProof/>
        </w:rPr>
      </w:pPr>
      <w:r w:rsidRPr="007817CD">
        <w:rPr>
          <w:noProof/>
        </w:rPr>
        <w:t>The pre-filled syringe is for single use in one patient only. Discard any residue.</w:t>
      </w:r>
    </w:p>
    <w:p w14:paraId="7A72A90D" w14:textId="678C7B02" w:rsidR="0004042D" w:rsidRPr="009E06BF" w:rsidRDefault="002A2842" w:rsidP="00B40C3C">
      <w:pPr>
        <w:pStyle w:val="Heading2"/>
      </w:pPr>
      <w:r w:rsidRPr="009E06BF">
        <w:t>6.4 SPECIAL PRECAUTIONS FOR STORAGE</w:t>
      </w:r>
      <w:fldSimple w:instr=" DOCVARIABLE VAULT_ND_d60b6342-3dd1-4171-a6c8-a1be74f225bd \* MERGEFORMAT ">
        <w:r w:rsidR="00C40E71">
          <w:t xml:space="preserve"> </w:t>
        </w:r>
      </w:fldSimple>
    </w:p>
    <w:p w14:paraId="589DFA0B" w14:textId="77777777" w:rsidR="00E148FE" w:rsidRDefault="00E148FE" w:rsidP="00AA1D1E">
      <w:pPr>
        <w:pStyle w:val="NoSpacing"/>
        <w:rPr>
          <w:noProof/>
        </w:rPr>
      </w:pPr>
    </w:p>
    <w:p w14:paraId="1C68FBD6" w14:textId="1675011D" w:rsidR="00DF7330" w:rsidRPr="00F24482" w:rsidRDefault="00DF7330" w:rsidP="00DF7330">
      <w:pPr>
        <w:rPr>
          <w:noProof/>
        </w:rPr>
      </w:pPr>
      <w:r w:rsidRPr="00F24482">
        <w:rPr>
          <w:noProof/>
        </w:rPr>
        <w:t xml:space="preserve">Store in a freezer at </w:t>
      </w:r>
      <w:r w:rsidRPr="00EA2A75">
        <w:rPr>
          <w:noProof/>
        </w:rPr>
        <w:t>-</w:t>
      </w:r>
      <w:r>
        <w:rPr>
          <w:noProof/>
        </w:rPr>
        <w:t>4</w:t>
      </w:r>
      <w:r w:rsidRPr="00EA2A75">
        <w:rPr>
          <w:noProof/>
        </w:rPr>
        <w:t>0</w:t>
      </w:r>
      <w:r w:rsidRPr="00AF6746">
        <w:rPr>
          <w:noProof/>
          <w:vertAlign w:val="superscript"/>
        </w:rPr>
        <w:t>o</w:t>
      </w:r>
      <w:r w:rsidRPr="00EA2A75">
        <w:rPr>
          <w:noProof/>
        </w:rPr>
        <w:t>C to -15</w:t>
      </w:r>
      <w:r w:rsidRPr="00AF6746">
        <w:rPr>
          <w:noProof/>
          <w:vertAlign w:val="superscript"/>
        </w:rPr>
        <w:t>o</w:t>
      </w:r>
      <w:r w:rsidRPr="00EA2A75">
        <w:rPr>
          <w:noProof/>
        </w:rPr>
        <w:t>C.</w:t>
      </w:r>
    </w:p>
    <w:p w14:paraId="0292095A" w14:textId="77777777" w:rsidR="00DF7330" w:rsidRPr="00F24482" w:rsidRDefault="00DF7330" w:rsidP="00DF7330">
      <w:pPr>
        <w:rPr>
          <w:noProof/>
        </w:rPr>
      </w:pPr>
      <w:r w:rsidRPr="00F24482">
        <w:rPr>
          <w:noProof/>
        </w:rPr>
        <w:t>Once thawed, store in a refrigerator (2°C to 8°C) and do not refreeze.</w:t>
      </w:r>
      <w:r>
        <w:rPr>
          <w:noProof/>
        </w:rPr>
        <w:fldChar w:fldCharType="begin"/>
      </w:r>
      <w:r>
        <w:rPr>
          <w:noProof/>
        </w:rPr>
        <w:instrText xml:space="preserve"> DOCVARIABLE vault_nd_a10ade9f-dadd-4f8c-9b96-cfcdcb17b310 \* MERGEFORMAT </w:instrText>
      </w:r>
      <w:r>
        <w:rPr>
          <w:noProof/>
        </w:rPr>
        <w:fldChar w:fldCharType="separate"/>
      </w:r>
      <w:r>
        <w:rPr>
          <w:noProof/>
        </w:rPr>
        <w:t xml:space="preserve"> </w:t>
      </w:r>
      <w:r>
        <w:rPr>
          <w:noProof/>
        </w:rPr>
        <w:fldChar w:fldCharType="end"/>
      </w:r>
    </w:p>
    <w:p w14:paraId="377D758C" w14:textId="77777777" w:rsidR="00DF7330" w:rsidRPr="00F24482" w:rsidRDefault="00DF7330" w:rsidP="00DF7330">
      <w:pPr>
        <w:rPr>
          <w:noProof/>
        </w:rPr>
      </w:pPr>
      <w:r w:rsidRPr="00F24482">
        <w:rPr>
          <w:noProof/>
        </w:rPr>
        <w:lastRenderedPageBreak/>
        <w:t>Keep the pre-filled syringe in the outer carton in order to protect from light.</w:t>
      </w:r>
      <w:r>
        <w:rPr>
          <w:noProof/>
        </w:rPr>
        <w:fldChar w:fldCharType="begin"/>
      </w:r>
      <w:r>
        <w:rPr>
          <w:noProof/>
        </w:rPr>
        <w:instrText xml:space="preserve"> DOCVARIABLE vault_nd_44d36bdb-27b3-4353-98c7-e8625e0a9658 \* MERGEFORMAT </w:instrText>
      </w:r>
      <w:r>
        <w:rPr>
          <w:noProof/>
        </w:rPr>
        <w:fldChar w:fldCharType="separate"/>
      </w:r>
      <w:r>
        <w:rPr>
          <w:noProof/>
        </w:rPr>
        <w:t xml:space="preserve"> </w:t>
      </w:r>
      <w:r>
        <w:rPr>
          <w:noProof/>
        </w:rPr>
        <w:fldChar w:fldCharType="end"/>
      </w:r>
    </w:p>
    <w:p w14:paraId="760B30E0" w14:textId="6DF489C1" w:rsidR="00DF7330" w:rsidRPr="00F24482" w:rsidRDefault="00DF7330" w:rsidP="00BE0980">
      <w:pPr>
        <w:rPr>
          <w:noProof/>
        </w:rPr>
      </w:pPr>
      <w:r w:rsidRPr="00F24482">
        <w:rPr>
          <w:noProof/>
        </w:rPr>
        <w:t>For storage conditions after thawing, see section 6.3.</w:t>
      </w:r>
      <w:r>
        <w:rPr>
          <w:noProof/>
        </w:rPr>
        <w:fldChar w:fldCharType="begin"/>
      </w:r>
      <w:r>
        <w:rPr>
          <w:noProof/>
        </w:rPr>
        <w:instrText xml:space="preserve"> DOCVARIABLE vault_nd_20e639c1-2712-4d53-86e2-7d96064197b9 \* MERGEFORMAT </w:instrText>
      </w:r>
      <w:r>
        <w:rPr>
          <w:noProof/>
        </w:rPr>
        <w:fldChar w:fldCharType="separate"/>
      </w:r>
      <w:r>
        <w:rPr>
          <w:noProof/>
        </w:rPr>
        <w:t xml:space="preserve"> </w:t>
      </w:r>
      <w:r>
        <w:rPr>
          <w:noProof/>
        </w:rPr>
        <w:fldChar w:fldCharType="end"/>
      </w:r>
    </w:p>
    <w:p w14:paraId="265EEEC6" w14:textId="77777777" w:rsidR="00DF7330" w:rsidRPr="00790080" w:rsidRDefault="00DF7330" w:rsidP="003A7FF8">
      <w:pPr>
        <w:pStyle w:val="Heading4"/>
        <w:rPr>
          <w:i/>
          <w:noProof/>
        </w:rPr>
      </w:pPr>
      <w:r w:rsidRPr="00BE0980">
        <w:t>Transportation of thawed pre-filled syringes in liquid state at 2°C to 8°C</w:t>
      </w:r>
      <w:fldSimple w:instr=" DOCVARIABLE vault_nd_13f983da-be6d-4a3b-ad7a-122b24c175dc \* MERGEFORMAT ">
        <w:r w:rsidRPr="00BE0980">
          <w:t xml:space="preserve"> </w:t>
        </w:r>
      </w:fldSimple>
    </w:p>
    <w:p w14:paraId="45D1CB17" w14:textId="2239D9B5" w:rsidR="00DF7330" w:rsidRDefault="00DF7330" w:rsidP="00DF7330">
      <w:pPr>
        <w:rPr>
          <w:rFonts w:asciiTheme="minorHAnsi" w:hAnsiTheme="minorHAnsi"/>
          <w:i/>
          <w:noProof/>
        </w:rPr>
      </w:pPr>
      <w:r w:rsidRPr="00F24482">
        <w:rPr>
          <w:noProof/>
        </w:rPr>
        <w:t xml:space="preserve">If transport at </w:t>
      </w:r>
      <w:r w:rsidR="00D75202" w:rsidRPr="00EA2A75">
        <w:rPr>
          <w:noProof/>
        </w:rPr>
        <w:t>-</w:t>
      </w:r>
      <w:r w:rsidR="00D75202">
        <w:rPr>
          <w:noProof/>
        </w:rPr>
        <w:t>4</w:t>
      </w:r>
      <w:r w:rsidR="00D75202" w:rsidRPr="00EA2A75">
        <w:rPr>
          <w:noProof/>
        </w:rPr>
        <w:t>0</w:t>
      </w:r>
      <w:r w:rsidR="00D75202" w:rsidRPr="00AF6746">
        <w:rPr>
          <w:noProof/>
          <w:vertAlign w:val="superscript"/>
        </w:rPr>
        <w:t>o</w:t>
      </w:r>
      <w:r w:rsidR="00D75202" w:rsidRPr="00EA2A75">
        <w:rPr>
          <w:noProof/>
        </w:rPr>
        <w:t>C to -15</w:t>
      </w:r>
      <w:r w:rsidR="00D75202" w:rsidRPr="00AF6746">
        <w:rPr>
          <w:noProof/>
          <w:vertAlign w:val="superscript"/>
        </w:rPr>
        <w:t>o</w:t>
      </w:r>
      <w:r w:rsidR="00D75202" w:rsidRPr="00EA2A75">
        <w:rPr>
          <w:noProof/>
        </w:rPr>
        <w:t>C</w:t>
      </w:r>
      <w:r w:rsidR="00D75202" w:rsidRPr="001E3DCA">
        <w:rPr>
          <w:noProof/>
        </w:rPr>
        <w:t xml:space="preserve"> </w:t>
      </w:r>
      <w:r w:rsidRPr="001E3DCA">
        <w:rPr>
          <w:noProof/>
        </w:rPr>
        <w:t>is</w:t>
      </w:r>
      <w:r w:rsidRPr="00F24482">
        <w:rPr>
          <w:noProof/>
        </w:rPr>
        <w:t xml:space="preserve"> not feasible, available data support transportation of one or more thawed pre-filled syringes in liquid state at 2°C to 8°C. Once thawed and transported in liquid state at 2°C to 8°C, pre-filled syringes should not be refrozen and should be stored at 2°C to 8°C until use. Pre-filled syringe transport duration is limited by the shipper qualification</w:t>
      </w:r>
      <w:r>
        <w:rPr>
          <w:noProof/>
        </w:rPr>
        <w:t>.</w:t>
      </w:r>
    </w:p>
    <w:p w14:paraId="4DB5E910" w14:textId="7AB2C462" w:rsidR="00902F7E" w:rsidRDefault="002A2842" w:rsidP="00837CFA">
      <w:pPr>
        <w:pStyle w:val="Heading2"/>
      </w:pPr>
      <w:r w:rsidRPr="009E06BF">
        <w:t>6.5 NATURE AND CONTENTS OF CONTAINER</w:t>
      </w:r>
      <w:fldSimple w:instr=" DOCVARIABLE VAULT_ND_5d303628-cfd2-4fc5-b150-862c90e52619 \* MERGEFORMAT ">
        <w:r w:rsidR="00C40E71">
          <w:t xml:space="preserve"> </w:t>
        </w:r>
      </w:fldSimple>
    </w:p>
    <w:p w14:paraId="3E106725" w14:textId="77777777" w:rsidR="00E148FE" w:rsidRPr="00530AAF" w:rsidRDefault="00E148FE" w:rsidP="00530AAF">
      <w:pPr>
        <w:pStyle w:val="NoSpacing"/>
      </w:pPr>
    </w:p>
    <w:p w14:paraId="004AED5B" w14:textId="6FA2A58C" w:rsidR="00384A88" w:rsidRPr="00627CCE" w:rsidRDefault="00384A88" w:rsidP="00837CFA">
      <w:r w:rsidRPr="00DF61B9">
        <w:t>0.2</w:t>
      </w:r>
      <w:r>
        <w:t xml:space="preserve"> </w:t>
      </w:r>
      <w:r w:rsidRPr="00627CCE">
        <w:t xml:space="preserve">mL </w:t>
      </w:r>
      <w:r w:rsidR="006A1E47">
        <w:t>suspen</w:t>
      </w:r>
      <w:r w:rsidRPr="00627CCE">
        <w:t xml:space="preserve">sion in a pre-filled syringe (cyclic olefin copolymer) with plunger stopper (coated </w:t>
      </w:r>
      <w:proofErr w:type="spellStart"/>
      <w:r w:rsidRPr="00627CCE">
        <w:t>bromobutyl</w:t>
      </w:r>
      <w:proofErr w:type="spellEnd"/>
      <w:r w:rsidRPr="00627CCE">
        <w:t xml:space="preserve"> rubber) and a tip cap (</w:t>
      </w:r>
      <w:proofErr w:type="spellStart"/>
      <w:r w:rsidRPr="00627CCE">
        <w:t>bromobutyl</w:t>
      </w:r>
      <w:proofErr w:type="spellEnd"/>
      <w:r w:rsidRPr="00627CCE">
        <w:t xml:space="preserve"> rubber, without needle).</w:t>
      </w:r>
    </w:p>
    <w:p w14:paraId="3CA25CAA" w14:textId="398A964F" w:rsidR="00384A88" w:rsidRPr="00627CCE" w:rsidRDefault="00384A88" w:rsidP="00837CFA">
      <w:r w:rsidRPr="00627CCE">
        <w:t xml:space="preserve">The pre-filled syringe is packaged in </w:t>
      </w:r>
      <w:r>
        <w:t xml:space="preserve">either a blister pack or </w:t>
      </w:r>
      <w:r w:rsidRPr="00627CCE">
        <w:t xml:space="preserve">a paper inner tray within a carton containing </w:t>
      </w:r>
      <w:r>
        <w:t xml:space="preserve">1, or 10 </w:t>
      </w:r>
      <w:r w:rsidRPr="00627CCE">
        <w:t>pre-filled syringe</w:t>
      </w:r>
      <w:r>
        <w:t>s</w:t>
      </w:r>
      <w:r w:rsidRPr="00627CCE">
        <w:t>.</w:t>
      </w:r>
    </w:p>
    <w:p w14:paraId="3BC9C97D" w14:textId="77777777" w:rsidR="00384A88" w:rsidRPr="00627CCE" w:rsidRDefault="00384A88" w:rsidP="00837CFA">
      <w:r w:rsidRPr="00627CCE">
        <w:t xml:space="preserve">Pack sizes: </w:t>
      </w:r>
    </w:p>
    <w:p w14:paraId="4743912F" w14:textId="77777777" w:rsidR="00384A88" w:rsidRDefault="00384A88" w:rsidP="0033034C">
      <w:r>
        <w:t>1 pre-filled syringe</w:t>
      </w:r>
    </w:p>
    <w:p w14:paraId="6941DC5A" w14:textId="77777777" w:rsidR="00384A88" w:rsidRPr="00627CCE" w:rsidRDefault="00384A88" w:rsidP="0033034C">
      <w:r w:rsidRPr="00627CCE">
        <w:t>10 pre-filled syringes</w:t>
      </w:r>
    </w:p>
    <w:p w14:paraId="478F314D" w14:textId="1296D739" w:rsidR="00384A88" w:rsidRPr="00837CFA" w:rsidRDefault="00384A88" w:rsidP="0033034C">
      <w:r w:rsidRPr="00627CCE">
        <w:t xml:space="preserve">Each pre-filled syringe contains </w:t>
      </w:r>
      <w:r w:rsidRPr="00DF61B9">
        <w:t>0.2</w:t>
      </w:r>
      <w:r>
        <w:t xml:space="preserve"> </w:t>
      </w:r>
      <w:proofErr w:type="spellStart"/>
      <w:r w:rsidRPr="00627CCE">
        <w:t>mL.</w:t>
      </w:r>
      <w:proofErr w:type="spellEnd"/>
      <w:r w:rsidRPr="00627CCE">
        <w:t xml:space="preserve"> </w:t>
      </w:r>
    </w:p>
    <w:p w14:paraId="29F483D9" w14:textId="1AD9D510" w:rsidR="0004042D" w:rsidRDefault="00384A88" w:rsidP="0033034C">
      <w:pPr>
        <w:rPr>
          <w:noProof/>
        </w:rPr>
      </w:pPr>
      <w:r w:rsidRPr="008225EB">
        <w:rPr>
          <w:noProof/>
        </w:rPr>
        <w:t>Not all pack sizes may be marketed.</w:t>
      </w:r>
    </w:p>
    <w:p w14:paraId="2472E7E3" w14:textId="4D74BF87" w:rsidR="0004042D" w:rsidRDefault="002A2842" w:rsidP="00B40C3C">
      <w:pPr>
        <w:pStyle w:val="Heading2"/>
      </w:pPr>
      <w:r w:rsidRPr="009E06BF">
        <w:t>6.6 SPECIAL PRECAUTIONS FOR DISPOSAL</w:t>
      </w:r>
      <w:fldSimple w:instr=" DOCVARIABLE VAULT_ND_74fa3c82-1eca-4f25-bd38-f36a807b1b20 \* MERGEFORMAT ">
        <w:r w:rsidR="00C40E71">
          <w:t xml:space="preserve"> </w:t>
        </w:r>
      </w:fldSimple>
    </w:p>
    <w:p w14:paraId="5ADCE8F1" w14:textId="77777777" w:rsidR="00E148FE" w:rsidRPr="00837CFA" w:rsidRDefault="00E148FE" w:rsidP="00837CFA">
      <w:pPr>
        <w:pStyle w:val="NoSpacing"/>
      </w:pPr>
    </w:p>
    <w:p w14:paraId="6736B0F3" w14:textId="41802D09" w:rsidR="0004042D" w:rsidRDefault="002767C6" w:rsidP="00902F7E">
      <w:pPr>
        <w:spacing w:line="240" w:lineRule="auto"/>
      </w:pPr>
      <w:r w:rsidRPr="009C0F3E">
        <w:t>Any unused medicinal product or waste material should be disposed of in accordance with local requirements.</w:t>
      </w:r>
    </w:p>
    <w:p w14:paraId="382F510A" w14:textId="0513A6E7" w:rsidR="0004042D" w:rsidRPr="009E06BF" w:rsidRDefault="002A2842" w:rsidP="00B40C3C">
      <w:pPr>
        <w:pStyle w:val="Heading2"/>
      </w:pPr>
      <w:r w:rsidRPr="009E06BF">
        <w:t>6.7 PHYSICOCHEMICAL PROPERTIES</w:t>
      </w:r>
      <w:fldSimple w:instr=" DOCVARIABLE VAULT_ND_2b52e089-286a-45bb-814d-60957b375429 \* MERGEFORMAT ">
        <w:r w:rsidR="00C40E71">
          <w:t xml:space="preserve"> </w:t>
        </w:r>
      </w:fldSimple>
    </w:p>
    <w:p w14:paraId="27BBAE71" w14:textId="77777777" w:rsidR="004317DC" w:rsidRDefault="008E7187" w:rsidP="00817196">
      <w:pPr>
        <w:pStyle w:val="Heading3"/>
      </w:pPr>
      <w:r w:rsidRPr="008E7187">
        <w:t>CAS number</w:t>
      </w:r>
      <w:fldSimple w:instr=" DOCVARIABLE vault_nd_79ab4e4c-48eb-46c2-8e59-ce43578f2ba3 \* MERGEFORMAT ">
        <w:r w:rsidRPr="008E7187">
          <w:t xml:space="preserve"> </w:t>
        </w:r>
      </w:fldSimple>
    </w:p>
    <w:p w14:paraId="09289C72" w14:textId="142698AC" w:rsidR="008E7187" w:rsidRPr="008251B0" w:rsidRDefault="00B95149" w:rsidP="001870E4">
      <w:r w:rsidRPr="008251B0">
        <w:t>3004805-96-0</w:t>
      </w:r>
    </w:p>
    <w:p w14:paraId="0AEC483A" w14:textId="18A5913E" w:rsidR="0004042D" w:rsidRPr="009E06BF" w:rsidRDefault="002A2842" w:rsidP="00530AAF">
      <w:pPr>
        <w:pStyle w:val="Heading1"/>
      </w:pPr>
      <w:r w:rsidRPr="009E06BF">
        <w:t xml:space="preserve">7. MEDICINE SCHEDULE (POISONS </w:t>
      </w:r>
      <w:r w:rsidRPr="002D3FC0">
        <w:t>STANDARD</w:t>
      </w:r>
      <w:r w:rsidRPr="009E06BF">
        <w:t>)</w:t>
      </w:r>
      <w:fldSimple w:instr=" DOCVARIABLE VAULT_ND_aaad1c19-e989-4c82-9dd4-d8032c2ddeb7 \* MERGEFORMAT ">
        <w:r w:rsidR="00C40E71">
          <w:t xml:space="preserve"> </w:t>
        </w:r>
      </w:fldSimple>
    </w:p>
    <w:p w14:paraId="6F101CBB" w14:textId="77777777" w:rsidR="00752EC7" w:rsidRDefault="00752EC7" w:rsidP="001870E4">
      <w:pPr>
        <w:pStyle w:val="NoSpacing"/>
      </w:pPr>
    </w:p>
    <w:p w14:paraId="259B9E75" w14:textId="41F5000F" w:rsidR="0004042D" w:rsidRPr="001870E4" w:rsidRDefault="00580FD8" w:rsidP="00752EC7">
      <w:r>
        <w:t>Prescription only medicine (Schedule 4)</w:t>
      </w:r>
    </w:p>
    <w:p w14:paraId="5E1AA99F" w14:textId="33F91C52" w:rsidR="0004042D" w:rsidRPr="00764893" w:rsidRDefault="002A2842" w:rsidP="00764893">
      <w:pPr>
        <w:pStyle w:val="Heading1"/>
      </w:pPr>
      <w:r w:rsidRPr="009E06BF">
        <w:t>8. SPONSOR</w:t>
      </w:r>
      <w:fldSimple w:instr=" DOCVARIABLE VAULT_ND_ed391dc2-11ee-42c2-b12c-d5e9e545d8dc \* MERGEFORMAT ">
        <w:r w:rsidR="00C40E71">
          <w:t xml:space="preserve"> </w:t>
        </w:r>
      </w:fldSimple>
    </w:p>
    <w:p w14:paraId="0DA5D1A2" w14:textId="77777777" w:rsidR="00E148FE" w:rsidRPr="00530AAF" w:rsidRDefault="00E148FE" w:rsidP="001870E4">
      <w:pPr>
        <w:pStyle w:val="NoSpacing"/>
      </w:pPr>
    </w:p>
    <w:p w14:paraId="0ECED6A9" w14:textId="77777777" w:rsidR="00CA4FA1" w:rsidRDefault="00CA4FA1" w:rsidP="009F27DB">
      <w:pPr>
        <w:spacing w:after="0"/>
      </w:pPr>
      <w:r>
        <w:t>Moderna Australia Pty Ltd</w:t>
      </w:r>
    </w:p>
    <w:p w14:paraId="300DD1C2" w14:textId="77777777" w:rsidR="00CA4FA1" w:rsidRDefault="00CA4FA1" w:rsidP="00CA4FA1">
      <w:pPr>
        <w:spacing w:after="0"/>
      </w:pPr>
      <w:r>
        <w:t xml:space="preserve">Level 49, 101 Collins Street </w:t>
      </w:r>
    </w:p>
    <w:p w14:paraId="1D34DA71" w14:textId="77777777" w:rsidR="00CA4FA1" w:rsidRDefault="00CA4FA1" w:rsidP="00CA4FA1">
      <w:pPr>
        <w:spacing w:after="0"/>
      </w:pPr>
      <w:r>
        <w:t xml:space="preserve">Melbourne </w:t>
      </w:r>
    </w:p>
    <w:p w14:paraId="0FACE829" w14:textId="77777777" w:rsidR="00CA4FA1" w:rsidRDefault="00CA4FA1" w:rsidP="00CA4FA1">
      <w:pPr>
        <w:spacing w:after="0"/>
      </w:pPr>
      <w:r>
        <w:t>VIC, 3000</w:t>
      </w:r>
    </w:p>
    <w:p w14:paraId="77532ED4" w14:textId="77777777" w:rsidR="00CA4FA1" w:rsidRDefault="00CA4FA1" w:rsidP="00CA4FA1">
      <w:pPr>
        <w:spacing w:after="0"/>
      </w:pPr>
      <w:r w:rsidRPr="00D447BC">
        <w:lastRenderedPageBreak/>
        <w:t>www.modernacovid19global.com/au/</w:t>
      </w:r>
    </w:p>
    <w:p w14:paraId="4D387539" w14:textId="77777777" w:rsidR="00CA4FA1" w:rsidRDefault="00CA4FA1" w:rsidP="00CA4FA1">
      <w:pPr>
        <w:spacing w:after="0"/>
      </w:pPr>
      <w:r w:rsidRPr="00F864FA">
        <w:t xml:space="preserve">Phone: </w:t>
      </w:r>
      <w:r w:rsidRPr="00F2704D">
        <w:t>1800</w:t>
      </w:r>
      <w:r>
        <w:t xml:space="preserve"> </w:t>
      </w:r>
      <w:r w:rsidRPr="00F2704D">
        <w:t>344</w:t>
      </w:r>
      <w:r>
        <w:t xml:space="preserve"> </w:t>
      </w:r>
      <w:r w:rsidRPr="00F2704D">
        <w:t>018</w:t>
      </w:r>
    </w:p>
    <w:p w14:paraId="09F5EF71" w14:textId="157AAA69" w:rsidR="00CA4FA1" w:rsidRDefault="00CA4FA1" w:rsidP="00CA4FA1">
      <w:pPr>
        <w:spacing w:after="0"/>
      </w:pPr>
      <w:r>
        <w:t xml:space="preserve">Email address: </w:t>
      </w:r>
      <w:hyperlink r:id="rId12" w:history="1">
        <w:r w:rsidR="00530231">
          <w:rPr>
            <w:rStyle w:val="Hyperlink"/>
          </w:rPr>
          <w:t>wecare@modernatx.com</w:t>
        </w:r>
      </w:hyperlink>
    </w:p>
    <w:p w14:paraId="13A73ACC" w14:textId="5807DE2E" w:rsidR="0004042D" w:rsidRPr="00764893" w:rsidRDefault="002A2842" w:rsidP="00764893">
      <w:pPr>
        <w:pStyle w:val="Heading1"/>
      </w:pPr>
      <w:r w:rsidRPr="009E06BF">
        <w:t>9. DATE OF FIRST APPROVAL</w:t>
      </w:r>
      <w:fldSimple w:instr=" DOCVARIABLE VAULT_ND_b58a222a-4088-448b-ab4d-51aaaf4f2b5c \* MERGEFORMAT ">
        <w:r w:rsidR="00C40E71">
          <w:t xml:space="preserve"> </w:t>
        </w:r>
      </w:fldSimple>
    </w:p>
    <w:p w14:paraId="7BC78A49" w14:textId="77777777" w:rsidR="00752EC7" w:rsidRDefault="00752EC7" w:rsidP="00AA3430">
      <w:pPr>
        <w:pStyle w:val="NoSpacing"/>
      </w:pPr>
    </w:p>
    <w:p w14:paraId="736916C1" w14:textId="72201746" w:rsidR="00CA4FA1" w:rsidRPr="009E06BF" w:rsidRDefault="00F8515A">
      <w:pPr>
        <w:rPr>
          <w:rFonts w:cstheme="majorHAnsi"/>
        </w:rPr>
      </w:pPr>
      <w:r>
        <w:rPr>
          <w:rFonts w:cstheme="majorHAnsi"/>
        </w:rPr>
        <w:t>18 December 2025</w:t>
      </w:r>
    </w:p>
    <w:sectPr w:rsidR="00CA4FA1" w:rsidRPr="009E06BF" w:rsidSect="00AC7A78">
      <w:headerReference w:type="even" r:id="rId13"/>
      <w:headerReference w:type="default" r:id="rId14"/>
      <w:footerReference w:type="even" r:id="rId15"/>
      <w:footerReference w:type="default" r:id="rId16"/>
      <w:headerReference w:type="first" r:id="rId17"/>
      <w:footerReference w:type="first" r:id="rId18"/>
      <w:pgSz w:w="11906" w:h="16838" w:code="9"/>
      <w:pgMar w:top="1440" w:right="432"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5D87" w14:textId="77777777" w:rsidR="00C32D4E" w:rsidRDefault="00C32D4E" w:rsidP="008C447E">
      <w:pPr>
        <w:spacing w:after="0" w:line="240" w:lineRule="auto"/>
      </w:pPr>
      <w:r>
        <w:separator/>
      </w:r>
    </w:p>
  </w:endnote>
  <w:endnote w:type="continuationSeparator" w:id="0">
    <w:p w14:paraId="3561BC99" w14:textId="77777777" w:rsidR="00C32D4E" w:rsidRDefault="00C32D4E" w:rsidP="008C447E">
      <w:pPr>
        <w:spacing w:after="0" w:line="240" w:lineRule="auto"/>
      </w:pPr>
      <w:r>
        <w:continuationSeparator/>
      </w:r>
    </w:p>
  </w:endnote>
  <w:endnote w:type="continuationNotice" w:id="1">
    <w:p w14:paraId="1AB658DA" w14:textId="77777777" w:rsidR="00C32D4E" w:rsidRDefault="00C32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4768" w14:textId="0583E94D" w:rsidR="00F8515A" w:rsidRDefault="009157CD">
    <w:pPr>
      <w:pStyle w:val="Footer"/>
    </w:pPr>
    <w:r>
      <w:rPr>
        <w:noProof/>
      </w:rPr>
      <mc:AlternateContent>
        <mc:Choice Requires="wps">
          <w:drawing>
            <wp:anchor distT="0" distB="0" distL="0" distR="0" simplePos="0" relativeHeight="251662336" behindDoc="0" locked="0" layoutInCell="1" allowOverlap="1" wp14:anchorId="3099E05A" wp14:editId="3D5E98D5">
              <wp:simplePos x="635" y="635"/>
              <wp:positionH relativeFrom="page">
                <wp:align>center</wp:align>
              </wp:positionH>
              <wp:positionV relativeFrom="page">
                <wp:align>bottom</wp:align>
              </wp:positionV>
              <wp:extent cx="622300" cy="404495"/>
              <wp:effectExtent l="0" t="0" r="6350" b="0"/>
              <wp:wrapNone/>
              <wp:docPr id="5110841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88BA2C" w14:textId="4E5AE541"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9E05A"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2E88BA2C" w14:textId="4E5AE541"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29EB" w14:textId="0DCEF69D" w:rsidR="00675196" w:rsidRPr="003952DE" w:rsidRDefault="009157CD" w:rsidP="006E3215">
    <w:pPr>
      <w:pStyle w:val="Footer"/>
      <w:rPr>
        <w:lang w:val="en-AU"/>
      </w:rPr>
    </w:pPr>
    <w:r>
      <w:rPr>
        <w:noProof/>
      </w:rPr>
      <mc:AlternateContent>
        <mc:Choice Requires="wps">
          <w:drawing>
            <wp:anchor distT="0" distB="0" distL="0" distR="0" simplePos="0" relativeHeight="251663360" behindDoc="0" locked="0" layoutInCell="1" allowOverlap="1" wp14:anchorId="57D798CF" wp14:editId="596D7576">
              <wp:simplePos x="819150" y="9896475"/>
              <wp:positionH relativeFrom="page">
                <wp:align>center</wp:align>
              </wp:positionH>
              <wp:positionV relativeFrom="page">
                <wp:align>bottom</wp:align>
              </wp:positionV>
              <wp:extent cx="622300" cy="404495"/>
              <wp:effectExtent l="0" t="0" r="6350" b="0"/>
              <wp:wrapNone/>
              <wp:docPr id="16238824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1B3CEF8" w14:textId="4A17E41F"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798CF" id="_x0000_t202" coordsize="21600,21600" o:spt="202" path="m,l,21600r21600,l21600,xe">
              <v:stroke joinstyle="miter"/>
              <v:path gradientshapeok="t" o:connecttype="rect"/>
            </v:shapetype>
            <v:shape id="Text Box 6" o:spid="_x0000_s1028"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61B3CEF8" w14:textId="4A17E41F"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v:textbox>
              <w10:wrap anchorx="page" anchory="page"/>
            </v:shape>
          </w:pict>
        </mc:Fallback>
      </mc:AlternateContent>
    </w:r>
    <w:sdt>
      <w:sdtPr>
        <w:id w:val="644553442"/>
        <w:docPartObj>
          <w:docPartGallery w:val="Page Numbers (Bottom of Page)"/>
          <w:docPartUnique/>
        </w:docPartObj>
      </w:sdtPr>
      <w:sdtEndPr>
        <w:rPr>
          <w:noProof/>
        </w:rPr>
      </w:sdtEndPr>
      <w:sdtContent>
        <w:r w:rsidR="00170E15" w:rsidRPr="00EA78EB">
          <w:rPr>
            <w:lang w:val="en-AU"/>
          </w:rPr>
          <w:t>mNEXSPIKE XBB.1.5</w:t>
        </w:r>
        <w:r w:rsidR="006E3215" w:rsidRPr="003952DE">
          <w:rPr>
            <w:lang w:val="en-AU"/>
          </w:rPr>
          <w:t xml:space="preserve"> (mRNA-1283) PI </w:t>
        </w:r>
        <w:r w:rsidR="00EC2F3C" w:rsidRPr="00307D97">
          <w:rPr>
            <w:lang w:val="en-AU"/>
          </w:rPr>
          <w:t>v</w:t>
        </w:r>
        <w:r w:rsidR="001D787D">
          <w:rPr>
            <w:lang w:val="en-AU"/>
          </w:rPr>
          <w:t>1.0</w:t>
        </w:r>
        <w:r w:rsidR="00EC2F3C" w:rsidRPr="00307D97">
          <w:rPr>
            <w:lang w:val="en-AU"/>
          </w:rPr>
          <w:t>_</w:t>
        </w:r>
        <w:r w:rsidR="001D787D">
          <w:rPr>
            <w:lang w:val="en-AU"/>
          </w:rPr>
          <w:t>1</w:t>
        </w:r>
        <w:r w:rsidR="00F8515A">
          <w:rPr>
            <w:lang w:val="en-AU"/>
          </w:rPr>
          <w:t>8</w:t>
        </w:r>
        <w:r w:rsidR="001D787D">
          <w:rPr>
            <w:lang w:val="en-AU"/>
          </w:rPr>
          <w:t>Dec25</w:t>
        </w:r>
        <w:r w:rsidR="006E3215" w:rsidRPr="002345D6">
          <w:rPr>
            <w:lang w:val="en-AU"/>
          </w:rPr>
          <w:tab/>
        </w:r>
        <w:r w:rsidR="006E3215" w:rsidRPr="002345D6">
          <w:rPr>
            <w:lang w:val="en-AU"/>
          </w:rPr>
          <w:tab/>
        </w:r>
        <w:r w:rsidR="00675196">
          <w:fldChar w:fldCharType="begin"/>
        </w:r>
        <w:r w:rsidR="00675196" w:rsidRPr="002345D6">
          <w:rPr>
            <w:lang w:val="en-AU"/>
          </w:rPr>
          <w:instrText xml:space="preserve"> PAGE   \* MERGEFORMAT </w:instrText>
        </w:r>
        <w:r w:rsidR="00675196">
          <w:fldChar w:fldCharType="separate"/>
        </w:r>
        <w:r w:rsidR="00675196" w:rsidRPr="002345D6">
          <w:rPr>
            <w:noProof/>
            <w:lang w:val="en-AU"/>
          </w:rPr>
          <w:t>2</w:t>
        </w:r>
        <w:r w:rsidR="00675196">
          <w:rPr>
            <w:noProof/>
          </w:rPr>
          <w:fldChar w:fldCharType="end"/>
        </w:r>
      </w:sdtContent>
    </w:sdt>
  </w:p>
  <w:p w14:paraId="39337452" w14:textId="109CB6B0" w:rsidR="00BD383A" w:rsidRPr="003952DE" w:rsidRDefault="00BD383A">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E243" w14:textId="12154677" w:rsidR="00F8515A" w:rsidRDefault="009157CD">
    <w:pPr>
      <w:pStyle w:val="Footer"/>
    </w:pPr>
    <w:r>
      <w:rPr>
        <w:noProof/>
      </w:rPr>
      <mc:AlternateContent>
        <mc:Choice Requires="wps">
          <w:drawing>
            <wp:anchor distT="0" distB="0" distL="0" distR="0" simplePos="0" relativeHeight="251661312" behindDoc="0" locked="0" layoutInCell="1" allowOverlap="1" wp14:anchorId="553D0A90" wp14:editId="23716CB4">
              <wp:simplePos x="635" y="635"/>
              <wp:positionH relativeFrom="page">
                <wp:align>center</wp:align>
              </wp:positionH>
              <wp:positionV relativeFrom="page">
                <wp:align>bottom</wp:align>
              </wp:positionV>
              <wp:extent cx="622300" cy="404495"/>
              <wp:effectExtent l="0" t="0" r="6350" b="0"/>
              <wp:wrapNone/>
              <wp:docPr id="8433153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E497ADE" w14:textId="43FB7C40"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D0A90" id="_x0000_t202" coordsize="21600,21600" o:spt="202" path="m,l,21600r21600,l21600,xe">
              <v:stroke joinstyle="miter"/>
              <v:path gradientshapeok="t" o:connecttype="rect"/>
            </v:shapetype>
            <v:shape id="Text Box 4" o:spid="_x0000_s1030"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5E497ADE" w14:textId="43FB7C40"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9423" w14:textId="77777777" w:rsidR="00C32D4E" w:rsidRDefault="00C32D4E" w:rsidP="008C447E">
      <w:pPr>
        <w:spacing w:after="0" w:line="240" w:lineRule="auto"/>
      </w:pPr>
      <w:r>
        <w:separator/>
      </w:r>
    </w:p>
  </w:footnote>
  <w:footnote w:type="continuationSeparator" w:id="0">
    <w:p w14:paraId="377651FD" w14:textId="77777777" w:rsidR="00C32D4E" w:rsidRDefault="00C32D4E" w:rsidP="008C447E">
      <w:pPr>
        <w:spacing w:after="0" w:line="240" w:lineRule="auto"/>
      </w:pPr>
      <w:r>
        <w:continuationSeparator/>
      </w:r>
    </w:p>
  </w:footnote>
  <w:footnote w:type="continuationNotice" w:id="1">
    <w:p w14:paraId="5A252896" w14:textId="77777777" w:rsidR="00C32D4E" w:rsidRDefault="00C32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668C" w14:textId="15F02512" w:rsidR="00F8515A" w:rsidRDefault="009157CD">
    <w:pPr>
      <w:pStyle w:val="Header"/>
    </w:pPr>
    <w:r>
      <w:rPr>
        <w:noProof/>
      </w:rPr>
      <mc:AlternateContent>
        <mc:Choice Requires="wps">
          <w:drawing>
            <wp:anchor distT="0" distB="0" distL="0" distR="0" simplePos="0" relativeHeight="251659264" behindDoc="0" locked="0" layoutInCell="1" allowOverlap="1" wp14:anchorId="38CAEB8C" wp14:editId="2D438B29">
              <wp:simplePos x="635" y="635"/>
              <wp:positionH relativeFrom="page">
                <wp:align>center</wp:align>
              </wp:positionH>
              <wp:positionV relativeFrom="page">
                <wp:align>top</wp:align>
              </wp:positionV>
              <wp:extent cx="622300" cy="404495"/>
              <wp:effectExtent l="0" t="0" r="6350" b="14605"/>
              <wp:wrapNone/>
              <wp:docPr id="13444258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A18663C" w14:textId="7516F811"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AEB8C"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5A18663C" w14:textId="7516F811"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606"/>
    </w:tblGrid>
    <w:tr w:rsidR="009157CD" w:rsidRPr="000B2145" w14:paraId="1FB89127" w14:textId="77777777" w:rsidTr="009157CD">
      <w:trPr>
        <w:trHeight w:val="841"/>
      </w:trPr>
      <w:tc>
        <w:tcPr>
          <w:tcW w:w="9606" w:type="dxa"/>
          <w:shd w:val="clear" w:color="auto" w:fill="E4F2E0"/>
        </w:tcPr>
        <w:p w14:paraId="244254B6" w14:textId="77777777" w:rsidR="009157CD" w:rsidRPr="009157CD" w:rsidRDefault="009157CD" w:rsidP="009157CD">
          <w:pPr>
            <w:pStyle w:val="Footer"/>
            <w:rPr>
              <w:rFonts w:asciiTheme="minorHAnsi" w:hAnsiTheme="minorHAnsi"/>
              <w:sz w:val="16"/>
              <w:szCs w:val="16"/>
            </w:rPr>
          </w:pPr>
          <w:bookmarkStart w:id="19" w:name="_Hlk109054010"/>
          <w:r w:rsidRPr="009157CD">
            <w:rPr>
              <w:rFonts w:asciiTheme="minorHAnsi" w:hAnsiTheme="minorHAnsi"/>
              <w:sz w:val="16"/>
              <w:szCs w:val="16"/>
            </w:rPr>
            <w:t xml:space="preserve">AusPAR – mNEXSPIKE -SARS-CoV-2 spike protein (mRNA) XBB.1.5 - Moderna - PM-2024-05463-1-2 18 May 2026 This is the Product Information that was approved with the submission described in this AusPAR. It may have been superseded. For the most recent PI, please refer to the TGA website at &lt; </w:t>
          </w:r>
          <w:hyperlink r:id="rId1" w:history="1">
            <w:r w:rsidRPr="009157CD">
              <w:rPr>
                <w:rStyle w:val="Hyperlink"/>
                <w:rFonts w:asciiTheme="minorHAnsi" w:hAnsiTheme="minorHAnsi"/>
                <w:sz w:val="16"/>
                <w:szCs w:val="16"/>
              </w:rPr>
              <w:t>https://www.tga.gov.au/products/australian-register-therapeutic-goods-artg/product-information-pi</w:t>
            </w:r>
          </w:hyperlink>
          <w:r w:rsidRPr="009157CD">
            <w:rPr>
              <w:rFonts w:asciiTheme="minorHAnsi" w:hAnsiTheme="minorHAnsi"/>
              <w:sz w:val="16"/>
              <w:szCs w:val="16"/>
              <w:u w:val="single"/>
            </w:rPr>
            <w:t>&gt;</w:t>
          </w:r>
        </w:p>
      </w:tc>
    </w:tr>
    <w:bookmarkEnd w:id="19"/>
  </w:tbl>
  <w:p w14:paraId="5A5A583C" w14:textId="50A9E071" w:rsidR="00F8515A" w:rsidRPr="009157CD" w:rsidRDefault="00F8515A" w:rsidP="00915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25B" w14:textId="5E8BAD4F" w:rsidR="00F8515A" w:rsidRDefault="009157CD">
    <w:pPr>
      <w:pStyle w:val="Header"/>
    </w:pPr>
    <w:r>
      <w:rPr>
        <w:noProof/>
      </w:rPr>
      <mc:AlternateContent>
        <mc:Choice Requires="wps">
          <w:drawing>
            <wp:anchor distT="0" distB="0" distL="0" distR="0" simplePos="0" relativeHeight="251658240" behindDoc="0" locked="0" layoutInCell="1" allowOverlap="1" wp14:anchorId="2F84ABA2" wp14:editId="28262A4D">
              <wp:simplePos x="635" y="635"/>
              <wp:positionH relativeFrom="page">
                <wp:align>center</wp:align>
              </wp:positionH>
              <wp:positionV relativeFrom="page">
                <wp:align>top</wp:align>
              </wp:positionV>
              <wp:extent cx="622300" cy="404495"/>
              <wp:effectExtent l="0" t="0" r="6350" b="14605"/>
              <wp:wrapNone/>
              <wp:docPr id="6486065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098478F" w14:textId="6CFDE741"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4ABA2" id="_x0000_t202" coordsize="21600,21600" o:spt="202" path="m,l,21600r21600,l21600,xe">
              <v:stroke joinstyle="miter"/>
              <v:path gradientshapeok="t" o:connecttype="rect"/>
            </v:shapetype>
            <v:shape id="Text Box 1" o:spid="_x0000_s1029"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0098478F" w14:textId="6CFDE741" w:rsidR="009157CD" w:rsidRPr="009157CD" w:rsidRDefault="009157CD" w:rsidP="009157CD">
                    <w:pPr>
                      <w:spacing w:after="0"/>
                      <w:rPr>
                        <w:rFonts w:ascii="Aptos" w:eastAsia="Aptos" w:hAnsi="Aptos" w:cs="Aptos"/>
                        <w:noProof/>
                        <w:color w:val="FF0000"/>
                        <w:sz w:val="24"/>
                        <w:szCs w:val="24"/>
                      </w:rPr>
                    </w:pPr>
                    <w:r w:rsidRPr="009157C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734664"/>
    <w:multiLevelType w:val="hybridMultilevel"/>
    <w:tmpl w:val="5A3C2CB6"/>
    <w:lvl w:ilvl="0" w:tplc="890E6F4A">
      <w:start w:val="1"/>
      <w:numFmt w:val="bullet"/>
      <w:lvlText w:val=""/>
      <w:lvlJc w:val="left"/>
      <w:pPr>
        <w:ind w:left="720" w:hanging="360"/>
      </w:pPr>
      <w:rPr>
        <w:rFonts w:ascii="Symbol" w:hAnsi="Symbol"/>
      </w:rPr>
    </w:lvl>
    <w:lvl w:ilvl="1" w:tplc="C9AE989A">
      <w:start w:val="1"/>
      <w:numFmt w:val="bullet"/>
      <w:lvlText w:val=""/>
      <w:lvlJc w:val="left"/>
      <w:pPr>
        <w:ind w:left="720" w:hanging="360"/>
      </w:pPr>
      <w:rPr>
        <w:rFonts w:ascii="Symbol" w:hAnsi="Symbol"/>
      </w:rPr>
    </w:lvl>
    <w:lvl w:ilvl="2" w:tplc="F94EC05C">
      <w:start w:val="1"/>
      <w:numFmt w:val="bullet"/>
      <w:lvlText w:val=""/>
      <w:lvlJc w:val="left"/>
      <w:pPr>
        <w:ind w:left="720" w:hanging="360"/>
      </w:pPr>
      <w:rPr>
        <w:rFonts w:ascii="Symbol" w:hAnsi="Symbol"/>
      </w:rPr>
    </w:lvl>
    <w:lvl w:ilvl="3" w:tplc="0E169CF8">
      <w:start w:val="1"/>
      <w:numFmt w:val="bullet"/>
      <w:lvlText w:val=""/>
      <w:lvlJc w:val="left"/>
      <w:pPr>
        <w:ind w:left="720" w:hanging="360"/>
      </w:pPr>
      <w:rPr>
        <w:rFonts w:ascii="Symbol" w:hAnsi="Symbol"/>
      </w:rPr>
    </w:lvl>
    <w:lvl w:ilvl="4" w:tplc="77268776">
      <w:start w:val="1"/>
      <w:numFmt w:val="bullet"/>
      <w:lvlText w:val=""/>
      <w:lvlJc w:val="left"/>
      <w:pPr>
        <w:ind w:left="720" w:hanging="360"/>
      </w:pPr>
      <w:rPr>
        <w:rFonts w:ascii="Symbol" w:hAnsi="Symbol"/>
      </w:rPr>
    </w:lvl>
    <w:lvl w:ilvl="5" w:tplc="2794D7D4">
      <w:start w:val="1"/>
      <w:numFmt w:val="bullet"/>
      <w:lvlText w:val=""/>
      <w:lvlJc w:val="left"/>
      <w:pPr>
        <w:ind w:left="720" w:hanging="360"/>
      </w:pPr>
      <w:rPr>
        <w:rFonts w:ascii="Symbol" w:hAnsi="Symbol"/>
      </w:rPr>
    </w:lvl>
    <w:lvl w:ilvl="6" w:tplc="7CAC4A9A">
      <w:start w:val="1"/>
      <w:numFmt w:val="bullet"/>
      <w:lvlText w:val=""/>
      <w:lvlJc w:val="left"/>
      <w:pPr>
        <w:ind w:left="720" w:hanging="360"/>
      </w:pPr>
      <w:rPr>
        <w:rFonts w:ascii="Symbol" w:hAnsi="Symbol"/>
      </w:rPr>
    </w:lvl>
    <w:lvl w:ilvl="7" w:tplc="64A0CB8A">
      <w:start w:val="1"/>
      <w:numFmt w:val="bullet"/>
      <w:lvlText w:val=""/>
      <w:lvlJc w:val="left"/>
      <w:pPr>
        <w:ind w:left="720" w:hanging="360"/>
      </w:pPr>
      <w:rPr>
        <w:rFonts w:ascii="Symbol" w:hAnsi="Symbol"/>
      </w:rPr>
    </w:lvl>
    <w:lvl w:ilvl="8" w:tplc="0140595A">
      <w:start w:val="1"/>
      <w:numFmt w:val="bullet"/>
      <w:lvlText w:val=""/>
      <w:lvlJc w:val="left"/>
      <w:pPr>
        <w:ind w:left="720" w:hanging="360"/>
      </w:pPr>
      <w:rPr>
        <w:rFonts w:ascii="Symbol" w:hAnsi="Symbol"/>
      </w:rPr>
    </w:lvl>
  </w:abstractNum>
  <w:abstractNum w:abstractNumId="10" w15:restartNumberingAfterBreak="0">
    <w:nsid w:val="238C686F"/>
    <w:multiLevelType w:val="hybridMultilevel"/>
    <w:tmpl w:val="57501366"/>
    <w:lvl w:ilvl="0" w:tplc="A39E9412">
      <w:start w:val="1"/>
      <w:numFmt w:val="bullet"/>
      <w:lvlText w:val=""/>
      <w:lvlJc w:val="left"/>
      <w:pPr>
        <w:ind w:left="720" w:hanging="360"/>
      </w:pPr>
      <w:rPr>
        <w:rFonts w:ascii="Symbol" w:hAnsi="Symbol"/>
      </w:rPr>
    </w:lvl>
    <w:lvl w:ilvl="1" w:tplc="E418F19E">
      <w:start w:val="1"/>
      <w:numFmt w:val="bullet"/>
      <w:lvlText w:val=""/>
      <w:lvlJc w:val="left"/>
      <w:pPr>
        <w:ind w:left="720" w:hanging="360"/>
      </w:pPr>
      <w:rPr>
        <w:rFonts w:ascii="Symbol" w:hAnsi="Symbol"/>
      </w:rPr>
    </w:lvl>
    <w:lvl w:ilvl="2" w:tplc="F4DC61A4">
      <w:start w:val="1"/>
      <w:numFmt w:val="bullet"/>
      <w:lvlText w:val=""/>
      <w:lvlJc w:val="left"/>
      <w:pPr>
        <w:ind w:left="720" w:hanging="360"/>
      </w:pPr>
      <w:rPr>
        <w:rFonts w:ascii="Symbol" w:hAnsi="Symbol"/>
      </w:rPr>
    </w:lvl>
    <w:lvl w:ilvl="3" w:tplc="58BEE41E">
      <w:start w:val="1"/>
      <w:numFmt w:val="bullet"/>
      <w:lvlText w:val=""/>
      <w:lvlJc w:val="left"/>
      <w:pPr>
        <w:ind w:left="720" w:hanging="360"/>
      </w:pPr>
      <w:rPr>
        <w:rFonts w:ascii="Symbol" w:hAnsi="Symbol"/>
      </w:rPr>
    </w:lvl>
    <w:lvl w:ilvl="4" w:tplc="19AE8F3C">
      <w:start w:val="1"/>
      <w:numFmt w:val="bullet"/>
      <w:lvlText w:val=""/>
      <w:lvlJc w:val="left"/>
      <w:pPr>
        <w:ind w:left="720" w:hanging="360"/>
      </w:pPr>
      <w:rPr>
        <w:rFonts w:ascii="Symbol" w:hAnsi="Symbol"/>
      </w:rPr>
    </w:lvl>
    <w:lvl w:ilvl="5" w:tplc="77DA848E">
      <w:start w:val="1"/>
      <w:numFmt w:val="bullet"/>
      <w:lvlText w:val=""/>
      <w:lvlJc w:val="left"/>
      <w:pPr>
        <w:ind w:left="720" w:hanging="360"/>
      </w:pPr>
      <w:rPr>
        <w:rFonts w:ascii="Symbol" w:hAnsi="Symbol"/>
      </w:rPr>
    </w:lvl>
    <w:lvl w:ilvl="6" w:tplc="B51ED12A">
      <w:start w:val="1"/>
      <w:numFmt w:val="bullet"/>
      <w:lvlText w:val=""/>
      <w:lvlJc w:val="left"/>
      <w:pPr>
        <w:ind w:left="720" w:hanging="360"/>
      </w:pPr>
      <w:rPr>
        <w:rFonts w:ascii="Symbol" w:hAnsi="Symbol"/>
      </w:rPr>
    </w:lvl>
    <w:lvl w:ilvl="7" w:tplc="EABE1E7A">
      <w:start w:val="1"/>
      <w:numFmt w:val="bullet"/>
      <w:lvlText w:val=""/>
      <w:lvlJc w:val="left"/>
      <w:pPr>
        <w:ind w:left="720" w:hanging="360"/>
      </w:pPr>
      <w:rPr>
        <w:rFonts w:ascii="Symbol" w:hAnsi="Symbol"/>
      </w:rPr>
    </w:lvl>
    <w:lvl w:ilvl="8" w:tplc="87705BCA">
      <w:start w:val="1"/>
      <w:numFmt w:val="bullet"/>
      <w:lvlText w:val=""/>
      <w:lvlJc w:val="left"/>
      <w:pPr>
        <w:ind w:left="720" w:hanging="360"/>
      </w:pPr>
      <w:rPr>
        <w:rFonts w:ascii="Symbol" w:hAnsi="Symbol"/>
      </w:rPr>
    </w:lvl>
  </w:abstractNum>
  <w:abstractNum w:abstractNumId="11" w15:restartNumberingAfterBreak="0">
    <w:nsid w:val="2F2C54D9"/>
    <w:multiLevelType w:val="hybridMultilevel"/>
    <w:tmpl w:val="9A064128"/>
    <w:lvl w:ilvl="0" w:tplc="F5323C00">
      <w:start w:val="1"/>
      <w:numFmt w:val="bullet"/>
      <w:lvlText w:val=""/>
      <w:lvlJc w:val="left"/>
      <w:pPr>
        <w:ind w:left="720" w:hanging="360"/>
      </w:pPr>
      <w:rPr>
        <w:rFonts w:ascii="Symbol" w:hAnsi="Symbol"/>
      </w:rPr>
    </w:lvl>
    <w:lvl w:ilvl="1" w:tplc="303A788A">
      <w:start w:val="1"/>
      <w:numFmt w:val="bullet"/>
      <w:lvlText w:val=""/>
      <w:lvlJc w:val="left"/>
      <w:pPr>
        <w:ind w:left="720" w:hanging="360"/>
      </w:pPr>
      <w:rPr>
        <w:rFonts w:ascii="Symbol" w:hAnsi="Symbol"/>
      </w:rPr>
    </w:lvl>
    <w:lvl w:ilvl="2" w:tplc="CF8821D0">
      <w:start w:val="1"/>
      <w:numFmt w:val="bullet"/>
      <w:lvlText w:val=""/>
      <w:lvlJc w:val="left"/>
      <w:pPr>
        <w:ind w:left="720" w:hanging="360"/>
      </w:pPr>
      <w:rPr>
        <w:rFonts w:ascii="Symbol" w:hAnsi="Symbol"/>
      </w:rPr>
    </w:lvl>
    <w:lvl w:ilvl="3" w:tplc="78804254">
      <w:start w:val="1"/>
      <w:numFmt w:val="bullet"/>
      <w:lvlText w:val=""/>
      <w:lvlJc w:val="left"/>
      <w:pPr>
        <w:ind w:left="720" w:hanging="360"/>
      </w:pPr>
      <w:rPr>
        <w:rFonts w:ascii="Symbol" w:hAnsi="Symbol"/>
      </w:rPr>
    </w:lvl>
    <w:lvl w:ilvl="4" w:tplc="20F835AC">
      <w:start w:val="1"/>
      <w:numFmt w:val="bullet"/>
      <w:lvlText w:val=""/>
      <w:lvlJc w:val="left"/>
      <w:pPr>
        <w:ind w:left="720" w:hanging="360"/>
      </w:pPr>
      <w:rPr>
        <w:rFonts w:ascii="Symbol" w:hAnsi="Symbol"/>
      </w:rPr>
    </w:lvl>
    <w:lvl w:ilvl="5" w:tplc="8C24B33A">
      <w:start w:val="1"/>
      <w:numFmt w:val="bullet"/>
      <w:lvlText w:val=""/>
      <w:lvlJc w:val="left"/>
      <w:pPr>
        <w:ind w:left="720" w:hanging="360"/>
      </w:pPr>
      <w:rPr>
        <w:rFonts w:ascii="Symbol" w:hAnsi="Symbol"/>
      </w:rPr>
    </w:lvl>
    <w:lvl w:ilvl="6" w:tplc="319EC16C">
      <w:start w:val="1"/>
      <w:numFmt w:val="bullet"/>
      <w:lvlText w:val=""/>
      <w:lvlJc w:val="left"/>
      <w:pPr>
        <w:ind w:left="720" w:hanging="360"/>
      </w:pPr>
      <w:rPr>
        <w:rFonts w:ascii="Symbol" w:hAnsi="Symbol"/>
      </w:rPr>
    </w:lvl>
    <w:lvl w:ilvl="7" w:tplc="CC544DB0">
      <w:start w:val="1"/>
      <w:numFmt w:val="bullet"/>
      <w:lvlText w:val=""/>
      <w:lvlJc w:val="left"/>
      <w:pPr>
        <w:ind w:left="720" w:hanging="360"/>
      </w:pPr>
      <w:rPr>
        <w:rFonts w:ascii="Symbol" w:hAnsi="Symbol"/>
      </w:rPr>
    </w:lvl>
    <w:lvl w:ilvl="8" w:tplc="B09A9C58">
      <w:start w:val="1"/>
      <w:numFmt w:val="bullet"/>
      <w:lvlText w:val=""/>
      <w:lvlJc w:val="left"/>
      <w:pPr>
        <w:ind w:left="720" w:hanging="360"/>
      </w:pPr>
      <w:rPr>
        <w:rFonts w:ascii="Symbol" w:hAnsi="Symbol"/>
      </w:rPr>
    </w:lvl>
  </w:abstractNum>
  <w:abstractNum w:abstractNumId="12" w15:restartNumberingAfterBreak="0">
    <w:nsid w:val="2FAE5FE4"/>
    <w:multiLevelType w:val="hybridMultilevel"/>
    <w:tmpl w:val="00900156"/>
    <w:lvl w:ilvl="0" w:tplc="B67419DC">
      <w:start w:val="1"/>
      <w:numFmt w:val="bullet"/>
      <w:lvlText w:val=""/>
      <w:lvlJc w:val="left"/>
      <w:pPr>
        <w:ind w:left="1080" w:hanging="360"/>
      </w:pPr>
      <w:rPr>
        <w:rFonts w:ascii="Symbol" w:hAnsi="Symbol"/>
      </w:rPr>
    </w:lvl>
    <w:lvl w:ilvl="1" w:tplc="88DE2FF2">
      <w:start w:val="1"/>
      <w:numFmt w:val="bullet"/>
      <w:lvlText w:val=""/>
      <w:lvlJc w:val="left"/>
      <w:pPr>
        <w:ind w:left="1080" w:hanging="360"/>
      </w:pPr>
      <w:rPr>
        <w:rFonts w:ascii="Symbol" w:hAnsi="Symbol"/>
      </w:rPr>
    </w:lvl>
    <w:lvl w:ilvl="2" w:tplc="9E84B368">
      <w:start w:val="1"/>
      <w:numFmt w:val="bullet"/>
      <w:lvlText w:val=""/>
      <w:lvlJc w:val="left"/>
      <w:pPr>
        <w:ind w:left="1080" w:hanging="360"/>
      </w:pPr>
      <w:rPr>
        <w:rFonts w:ascii="Symbol" w:hAnsi="Symbol"/>
      </w:rPr>
    </w:lvl>
    <w:lvl w:ilvl="3" w:tplc="2722BF1E">
      <w:start w:val="1"/>
      <w:numFmt w:val="bullet"/>
      <w:lvlText w:val=""/>
      <w:lvlJc w:val="left"/>
      <w:pPr>
        <w:ind w:left="1080" w:hanging="360"/>
      </w:pPr>
      <w:rPr>
        <w:rFonts w:ascii="Symbol" w:hAnsi="Symbol"/>
      </w:rPr>
    </w:lvl>
    <w:lvl w:ilvl="4" w:tplc="71287D9E">
      <w:start w:val="1"/>
      <w:numFmt w:val="bullet"/>
      <w:lvlText w:val=""/>
      <w:lvlJc w:val="left"/>
      <w:pPr>
        <w:ind w:left="1080" w:hanging="360"/>
      </w:pPr>
      <w:rPr>
        <w:rFonts w:ascii="Symbol" w:hAnsi="Symbol"/>
      </w:rPr>
    </w:lvl>
    <w:lvl w:ilvl="5" w:tplc="A8EE32B6">
      <w:start w:val="1"/>
      <w:numFmt w:val="bullet"/>
      <w:lvlText w:val=""/>
      <w:lvlJc w:val="left"/>
      <w:pPr>
        <w:ind w:left="1080" w:hanging="360"/>
      </w:pPr>
      <w:rPr>
        <w:rFonts w:ascii="Symbol" w:hAnsi="Symbol"/>
      </w:rPr>
    </w:lvl>
    <w:lvl w:ilvl="6" w:tplc="C84C7F0E">
      <w:start w:val="1"/>
      <w:numFmt w:val="bullet"/>
      <w:lvlText w:val=""/>
      <w:lvlJc w:val="left"/>
      <w:pPr>
        <w:ind w:left="1080" w:hanging="360"/>
      </w:pPr>
      <w:rPr>
        <w:rFonts w:ascii="Symbol" w:hAnsi="Symbol"/>
      </w:rPr>
    </w:lvl>
    <w:lvl w:ilvl="7" w:tplc="BA643F0C">
      <w:start w:val="1"/>
      <w:numFmt w:val="bullet"/>
      <w:lvlText w:val=""/>
      <w:lvlJc w:val="left"/>
      <w:pPr>
        <w:ind w:left="1080" w:hanging="360"/>
      </w:pPr>
      <w:rPr>
        <w:rFonts w:ascii="Symbol" w:hAnsi="Symbol"/>
      </w:rPr>
    </w:lvl>
    <w:lvl w:ilvl="8" w:tplc="086EA9C4">
      <w:start w:val="1"/>
      <w:numFmt w:val="bullet"/>
      <w:lvlText w:val=""/>
      <w:lvlJc w:val="left"/>
      <w:pPr>
        <w:ind w:left="1080" w:hanging="360"/>
      </w:pPr>
      <w:rPr>
        <w:rFonts w:ascii="Symbol" w:hAnsi="Symbol"/>
      </w:rPr>
    </w:lvl>
  </w:abstractNum>
  <w:abstractNum w:abstractNumId="13" w15:restartNumberingAfterBreak="0">
    <w:nsid w:val="3605229E"/>
    <w:multiLevelType w:val="hybridMultilevel"/>
    <w:tmpl w:val="76644EB0"/>
    <w:lvl w:ilvl="0" w:tplc="0B426240">
      <w:start w:val="1"/>
      <w:numFmt w:val="bullet"/>
      <w:lvlText w:val=""/>
      <w:lvlJc w:val="left"/>
      <w:pPr>
        <w:ind w:left="720" w:hanging="360"/>
      </w:pPr>
      <w:rPr>
        <w:rFonts w:ascii="Symbol" w:hAnsi="Symbol"/>
      </w:rPr>
    </w:lvl>
    <w:lvl w:ilvl="1" w:tplc="B52CFD8E">
      <w:start w:val="1"/>
      <w:numFmt w:val="bullet"/>
      <w:lvlText w:val=""/>
      <w:lvlJc w:val="left"/>
      <w:pPr>
        <w:ind w:left="720" w:hanging="360"/>
      </w:pPr>
      <w:rPr>
        <w:rFonts w:ascii="Symbol" w:hAnsi="Symbol"/>
      </w:rPr>
    </w:lvl>
    <w:lvl w:ilvl="2" w:tplc="CF4667E6">
      <w:start w:val="1"/>
      <w:numFmt w:val="bullet"/>
      <w:lvlText w:val=""/>
      <w:lvlJc w:val="left"/>
      <w:pPr>
        <w:ind w:left="720" w:hanging="360"/>
      </w:pPr>
      <w:rPr>
        <w:rFonts w:ascii="Symbol" w:hAnsi="Symbol"/>
      </w:rPr>
    </w:lvl>
    <w:lvl w:ilvl="3" w:tplc="3990AEAE">
      <w:start w:val="1"/>
      <w:numFmt w:val="bullet"/>
      <w:lvlText w:val=""/>
      <w:lvlJc w:val="left"/>
      <w:pPr>
        <w:ind w:left="720" w:hanging="360"/>
      </w:pPr>
      <w:rPr>
        <w:rFonts w:ascii="Symbol" w:hAnsi="Symbol"/>
      </w:rPr>
    </w:lvl>
    <w:lvl w:ilvl="4" w:tplc="BB52CE1C">
      <w:start w:val="1"/>
      <w:numFmt w:val="bullet"/>
      <w:lvlText w:val=""/>
      <w:lvlJc w:val="left"/>
      <w:pPr>
        <w:ind w:left="720" w:hanging="360"/>
      </w:pPr>
      <w:rPr>
        <w:rFonts w:ascii="Symbol" w:hAnsi="Symbol"/>
      </w:rPr>
    </w:lvl>
    <w:lvl w:ilvl="5" w:tplc="892039A6">
      <w:start w:val="1"/>
      <w:numFmt w:val="bullet"/>
      <w:lvlText w:val=""/>
      <w:lvlJc w:val="left"/>
      <w:pPr>
        <w:ind w:left="720" w:hanging="360"/>
      </w:pPr>
      <w:rPr>
        <w:rFonts w:ascii="Symbol" w:hAnsi="Symbol"/>
      </w:rPr>
    </w:lvl>
    <w:lvl w:ilvl="6" w:tplc="0FCC5C72">
      <w:start w:val="1"/>
      <w:numFmt w:val="bullet"/>
      <w:lvlText w:val=""/>
      <w:lvlJc w:val="left"/>
      <w:pPr>
        <w:ind w:left="720" w:hanging="360"/>
      </w:pPr>
      <w:rPr>
        <w:rFonts w:ascii="Symbol" w:hAnsi="Symbol"/>
      </w:rPr>
    </w:lvl>
    <w:lvl w:ilvl="7" w:tplc="FACE4426">
      <w:start w:val="1"/>
      <w:numFmt w:val="bullet"/>
      <w:lvlText w:val=""/>
      <w:lvlJc w:val="left"/>
      <w:pPr>
        <w:ind w:left="720" w:hanging="360"/>
      </w:pPr>
      <w:rPr>
        <w:rFonts w:ascii="Symbol" w:hAnsi="Symbol"/>
      </w:rPr>
    </w:lvl>
    <w:lvl w:ilvl="8" w:tplc="CD42D854">
      <w:start w:val="1"/>
      <w:numFmt w:val="bullet"/>
      <w:lvlText w:val=""/>
      <w:lvlJc w:val="left"/>
      <w:pPr>
        <w:ind w:left="720" w:hanging="360"/>
      </w:pPr>
      <w:rPr>
        <w:rFonts w:ascii="Symbol" w:hAnsi="Symbol"/>
      </w:rPr>
    </w:lvl>
  </w:abstractNum>
  <w:abstractNum w:abstractNumId="14" w15:restartNumberingAfterBreak="0">
    <w:nsid w:val="41B87E0A"/>
    <w:multiLevelType w:val="hybridMultilevel"/>
    <w:tmpl w:val="442E0F22"/>
    <w:lvl w:ilvl="0" w:tplc="02B64B58">
      <w:start w:val="1"/>
      <w:numFmt w:val="bullet"/>
      <w:lvlText w:val=""/>
      <w:lvlJc w:val="left"/>
      <w:pPr>
        <w:ind w:left="720" w:hanging="360"/>
      </w:pPr>
      <w:rPr>
        <w:rFonts w:ascii="Symbol" w:hAnsi="Symbol"/>
      </w:rPr>
    </w:lvl>
    <w:lvl w:ilvl="1" w:tplc="E06C2058">
      <w:start w:val="1"/>
      <w:numFmt w:val="bullet"/>
      <w:lvlText w:val=""/>
      <w:lvlJc w:val="left"/>
      <w:pPr>
        <w:ind w:left="720" w:hanging="360"/>
      </w:pPr>
      <w:rPr>
        <w:rFonts w:ascii="Symbol" w:hAnsi="Symbol"/>
      </w:rPr>
    </w:lvl>
    <w:lvl w:ilvl="2" w:tplc="47341FB2">
      <w:start w:val="1"/>
      <w:numFmt w:val="bullet"/>
      <w:lvlText w:val=""/>
      <w:lvlJc w:val="left"/>
      <w:pPr>
        <w:ind w:left="720" w:hanging="360"/>
      </w:pPr>
      <w:rPr>
        <w:rFonts w:ascii="Symbol" w:hAnsi="Symbol"/>
      </w:rPr>
    </w:lvl>
    <w:lvl w:ilvl="3" w:tplc="67802B4C">
      <w:start w:val="1"/>
      <w:numFmt w:val="bullet"/>
      <w:lvlText w:val=""/>
      <w:lvlJc w:val="left"/>
      <w:pPr>
        <w:ind w:left="720" w:hanging="360"/>
      </w:pPr>
      <w:rPr>
        <w:rFonts w:ascii="Symbol" w:hAnsi="Symbol"/>
      </w:rPr>
    </w:lvl>
    <w:lvl w:ilvl="4" w:tplc="6106987C">
      <w:start w:val="1"/>
      <w:numFmt w:val="bullet"/>
      <w:lvlText w:val=""/>
      <w:lvlJc w:val="left"/>
      <w:pPr>
        <w:ind w:left="720" w:hanging="360"/>
      </w:pPr>
      <w:rPr>
        <w:rFonts w:ascii="Symbol" w:hAnsi="Symbol"/>
      </w:rPr>
    </w:lvl>
    <w:lvl w:ilvl="5" w:tplc="67466622">
      <w:start w:val="1"/>
      <w:numFmt w:val="bullet"/>
      <w:lvlText w:val=""/>
      <w:lvlJc w:val="left"/>
      <w:pPr>
        <w:ind w:left="720" w:hanging="360"/>
      </w:pPr>
      <w:rPr>
        <w:rFonts w:ascii="Symbol" w:hAnsi="Symbol"/>
      </w:rPr>
    </w:lvl>
    <w:lvl w:ilvl="6" w:tplc="8E04CF18">
      <w:start w:val="1"/>
      <w:numFmt w:val="bullet"/>
      <w:lvlText w:val=""/>
      <w:lvlJc w:val="left"/>
      <w:pPr>
        <w:ind w:left="720" w:hanging="360"/>
      </w:pPr>
      <w:rPr>
        <w:rFonts w:ascii="Symbol" w:hAnsi="Symbol"/>
      </w:rPr>
    </w:lvl>
    <w:lvl w:ilvl="7" w:tplc="6394BFF8">
      <w:start w:val="1"/>
      <w:numFmt w:val="bullet"/>
      <w:lvlText w:val=""/>
      <w:lvlJc w:val="left"/>
      <w:pPr>
        <w:ind w:left="720" w:hanging="360"/>
      </w:pPr>
      <w:rPr>
        <w:rFonts w:ascii="Symbol" w:hAnsi="Symbol"/>
      </w:rPr>
    </w:lvl>
    <w:lvl w:ilvl="8" w:tplc="3320DE38">
      <w:start w:val="1"/>
      <w:numFmt w:val="bullet"/>
      <w:lvlText w:val=""/>
      <w:lvlJc w:val="left"/>
      <w:pPr>
        <w:ind w:left="720" w:hanging="360"/>
      </w:pPr>
      <w:rPr>
        <w:rFonts w:ascii="Symbol" w:hAnsi="Symbol"/>
      </w:rPr>
    </w:lvl>
  </w:abstractNum>
  <w:abstractNum w:abstractNumId="15" w15:restartNumberingAfterBreak="0">
    <w:nsid w:val="4AE624B3"/>
    <w:multiLevelType w:val="hybridMultilevel"/>
    <w:tmpl w:val="397EF00E"/>
    <w:lvl w:ilvl="0" w:tplc="F81E189C">
      <w:start w:val="1"/>
      <w:numFmt w:val="bullet"/>
      <w:lvlText w:val=""/>
      <w:lvlJc w:val="left"/>
      <w:pPr>
        <w:ind w:left="1080" w:hanging="360"/>
      </w:pPr>
      <w:rPr>
        <w:rFonts w:ascii="Symbol" w:hAnsi="Symbol"/>
      </w:rPr>
    </w:lvl>
    <w:lvl w:ilvl="1" w:tplc="56DCCBCC">
      <w:start w:val="1"/>
      <w:numFmt w:val="bullet"/>
      <w:lvlText w:val=""/>
      <w:lvlJc w:val="left"/>
      <w:pPr>
        <w:ind w:left="1080" w:hanging="360"/>
      </w:pPr>
      <w:rPr>
        <w:rFonts w:ascii="Symbol" w:hAnsi="Symbol"/>
      </w:rPr>
    </w:lvl>
    <w:lvl w:ilvl="2" w:tplc="FE5C9872">
      <w:start w:val="1"/>
      <w:numFmt w:val="bullet"/>
      <w:lvlText w:val=""/>
      <w:lvlJc w:val="left"/>
      <w:pPr>
        <w:ind w:left="1080" w:hanging="360"/>
      </w:pPr>
      <w:rPr>
        <w:rFonts w:ascii="Symbol" w:hAnsi="Symbol"/>
      </w:rPr>
    </w:lvl>
    <w:lvl w:ilvl="3" w:tplc="C42C6746">
      <w:start w:val="1"/>
      <w:numFmt w:val="bullet"/>
      <w:lvlText w:val=""/>
      <w:lvlJc w:val="left"/>
      <w:pPr>
        <w:ind w:left="1080" w:hanging="360"/>
      </w:pPr>
      <w:rPr>
        <w:rFonts w:ascii="Symbol" w:hAnsi="Symbol"/>
      </w:rPr>
    </w:lvl>
    <w:lvl w:ilvl="4" w:tplc="6B32B3A0">
      <w:start w:val="1"/>
      <w:numFmt w:val="bullet"/>
      <w:lvlText w:val=""/>
      <w:lvlJc w:val="left"/>
      <w:pPr>
        <w:ind w:left="1080" w:hanging="360"/>
      </w:pPr>
      <w:rPr>
        <w:rFonts w:ascii="Symbol" w:hAnsi="Symbol"/>
      </w:rPr>
    </w:lvl>
    <w:lvl w:ilvl="5" w:tplc="A5E858BC">
      <w:start w:val="1"/>
      <w:numFmt w:val="bullet"/>
      <w:lvlText w:val=""/>
      <w:lvlJc w:val="left"/>
      <w:pPr>
        <w:ind w:left="1080" w:hanging="360"/>
      </w:pPr>
      <w:rPr>
        <w:rFonts w:ascii="Symbol" w:hAnsi="Symbol"/>
      </w:rPr>
    </w:lvl>
    <w:lvl w:ilvl="6" w:tplc="7F02FEA4">
      <w:start w:val="1"/>
      <w:numFmt w:val="bullet"/>
      <w:lvlText w:val=""/>
      <w:lvlJc w:val="left"/>
      <w:pPr>
        <w:ind w:left="1080" w:hanging="360"/>
      </w:pPr>
      <w:rPr>
        <w:rFonts w:ascii="Symbol" w:hAnsi="Symbol"/>
      </w:rPr>
    </w:lvl>
    <w:lvl w:ilvl="7" w:tplc="9DAA1350">
      <w:start w:val="1"/>
      <w:numFmt w:val="bullet"/>
      <w:lvlText w:val=""/>
      <w:lvlJc w:val="left"/>
      <w:pPr>
        <w:ind w:left="1080" w:hanging="360"/>
      </w:pPr>
      <w:rPr>
        <w:rFonts w:ascii="Symbol" w:hAnsi="Symbol"/>
      </w:rPr>
    </w:lvl>
    <w:lvl w:ilvl="8" w:tplc="34342E20">
      <w:start w:val="1"/>
      <w:numFmt w:val="bullet"/>
      <w:lvlText w:val=""/>
      <w:lvlJc w:val="left"/>
      <w:pPr>
        <w:ind w:left="1080" w:hanging="360"/>
      </w:pPr>
      <w:rPr>
        <w:rFonts w:ascii="Symbol" w:hAnsi="Symbol"/>
      </w:rPr>
    </w:lvl>
  </w:abstractNum>
  <w:abstractNum w:abstractNumId="16" w15:restartNumberingAfterBreak="0">
    <w:nsid w:val="4AFF53C5"/>
    <w:multiLevelType w:val="hybridMultilevel"/>
    <w:tmpl w:val="D3AC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06F06"/>
    <w:multiLevelType w:val="hybridMultilevel"/>
    <w:tmpl w:val="320EB33C"/>
    <w:lvl w:ilvl="0" w:tplc="B3F06D6C">
      <w:start w:val="1"/>
      <w:numFmt w:val="bullet"/>
      <w:lvlText w:val=""/>
      <w:lvlJc w:val="left"/>
      <w:pPr>
        <w:ind w:left="720" w:hanging="360"/>
      </w:pPr>
      <w:rPr>
        <w:rFonts w:ascii="Symbol" w:hAnsi="Symbol"/>
      </w:rPr>
    </w:lvl>
    <w:lvl w:ilvl="1" w:tplc="5344ED94">
      <w:start w:val="1"/>
      <w:numFmt w:val="bullet"/>
      <w:lvlText w:val=""/>
      <w:lvlJc w:val="left"/>
      <w:pPr>
        <w:ind w:left="720" w:hanging="360"/>
      </w:pPr>
      <w:rPr>
        <w:rFonts w:ascii="Symbol" w:hAnsi="Symbol"/>
      </w:rPr>
    </w:lvl>
    <w:lvl w:ilvl="2" w:tplc="F2DED66A">
      <w:start w:val="1"/>
      <w:numFmt w:val="bullet"/>
      <w:lvlText w:val=""/>
      <w:lvlJc w:val="left"/>
      <w:pPr>
        <w:ind w:left="720" w:hanging="360"/>
      </w:pPr>
      <w:rPr>
        <w:rFonts w:ascii="Symbol" w:hAnsi="Symbol"/>
      </w:rPr>
    </w:lvl>
    <w:lvl w:ilvl="3" w:tplc="5CB88898">
      <w:start w:val="1"/>
      <w:numFmt w:val="bullet"/>
      <w:lvlText w:val=""/>
      <w:lvlJc w:val="left"/>
      <w:pPr>
        <w:ind w:left="720" w:hanging="360"/>
      </w:pPr>
      <w:rPr>
        <w:rFonts w:ascii="Symbol" w:hAnsi="Symbol"/>
      </w:rPr>
    </w:lvl>
    <w:lvl w:ilvl="4" w:tplc="A25E738E">
      <w:start w:val="1"/>
      <w:numFmt w:val="bullet"/>
      <w:lvlText w:val=""/>
      <w:lvlJc w:val="left"/>
      <w:pPr>
        <w:ind w:left="720" w:hanging="360"/>
      </w:pPr>
      <w:rPr>
        <w:rFonts w:ascii="Symbol" w:hAnsi="Symbol"/>
      </w:rPr>
    </w:lvl>
    <w:lvl w:ilvl="5" w:tplc="70862CE2">
      <w:start w:val="1"/>
      <w:numFmt w:val="bullet"/>
      <w:lvlText w:val=""/>
      <w:lvlJc w:val="left"/>
      <w:pPr>
        <w:ind w:left="720" w:hanging="360"/>
      </w:pPr>
      <w:rPr>
        <w:rFonts w:ascii="Symbol" w:hAnsi="Symbol"/>
      </w:rPr>
    </w:lvl>
    <w:lvl w:ilvl="6" w:tplc="274C00F6">
      <w:start w:val="1"/>
      <w:numFmt w:val="bullet"/>
      <w:lvlText w:val=""/>
      <w:lvlJc w:val="left"/>
      <w:pPr>
        <w:ind w:left="720" w:hanging="360"/>
      </w:pPr>
      <w:rPr>
        <w:rFonts w:ascii="Symbol" w:hAnsi="Symbol"/>
      </w:rPr>
    </w:lvl>
    <w:lvl w:ilvl="7" w:tplc="2D94DB84">
      <w:start w:val="1"/>
      <w:numFmt w:val="bullet"/>
      <w:lvlText w:val=""/>
      <w:lvlJc w:val="left"/>
      <w:pPr>
        <w:ind w:left="720" w:hanging="360"/>
      </w:pPr>
      <w:rPr>
        <w:rFonts w:ascii="Symbol" w:hAnsi="Symbol"/>
      </w:rPr>
    </w:lvl>
    <w:lvl w:ilvl="8" w:tplc="01D007AA">
      <w:start w:val="1"/>
      <w:numFmt w:val="bullet"/>
      <w:lvlText w:val=""/>
      <w:lvlJc w:val="left"/>
      <w:pPr>
        <w:ind w:left="720" w:hanging="360"/>
      </w:pPr>
      <w:rPr>
        <w:rFonts w:ascii="Symbol" w:hAnsi="Symbol"/>
      </w:rPr>
    </w:lvl>
  </w:abstractNum>
  <w:abstractNum w:abstractNumId="18" w15:restartNumberingAfterBreak="0">
    <w:nsid w:val="62E24098"/>
    <w:multiLevelType w:val="hybridMultilevel"/>
    <w:tmpl w:val="8D04706A"/>
    <w:lvl w:ilvl="0" w:tplc="260ABD9A">
      <w:start w:val="1"/>
      <w:numFmt w:val="bullet"/>
      <w:lvlText w:val=""/>
      <w:lvlJc w:val="left"/>
      <w:pPr>
        <w:ind w:left="720" w:hanging="360"/>
      </w:pPr>
      <w:rPr>
        <w:rFonts w:ascii="Symbol" w:hAnsi="Symbol"/>
      </w:rPr>
    </w:lvl>
    <w:lvl w:ilvl="1" w:tplc="36CA6778">
      <w:start w:val="1"/>
      <w:numFmt w:val="bullet"/>
      <w:lvlText w:val=""/>
      <w:lvlJc w:val="left"/>
      <w:pPr>
        <w:ind w:left="720" w:hanging="360"/>
      </w:pPr>
      <w:rPr>
        <w:rFonts w:ascii="Symbol" w:hAnsi="Symbol"/>
      </w:rPr>
    </w:lvl>
    <w:lvl w:ilvl="2" w:tplc="FCD2BC0C">
      <w:start w:val="1"/>
      <w:numFmt w:val="bullet"/>
      <w:lvlText w:val=""/>
      <w:lvlJc w:val="left"/>
      <w:pPr>
        <w:ind w:left="720" w:hanging="360"/>
      </w:pPr>
      <w:rPr>
        <w:rFonts w:ascii="Symbol" w:hAnsi="Symbol"/>
      </w:rPr>
    </w:lvl>
    <w:lvl w:ilvl="3" w:tplc="B22AA824">
      <w:start w:val="1"/>
      <w:numFmt w:val="bullet"/>
      <w:lvlText w:val=""/>
      <w:lvlJc w:val="left"/>
      <w:pPr>
        <w:ind w:left="720" w:hanging="360"/>
      </w:pPr>
      <w:rPr>
        <w:rFonts w:ascii="Symbol" w:hAnsi="Symbol"/>
      </w:rPr>
    </w:lvl>
    <w:lvl w:ilvl="4" w:tplc="2208FF62">
      <w:start w:val="1"/>
      <w:numFmt w:val="bullet"/>
      <w:lvlText w:val=""/>
      <w:lvlJc w:val="left"/>
      <w:pPr>
        <w:ind w:left="720" w:hanging="360"/>
      </w:pPr>
      <w:rPr>
        <w:rFonts w:ascii="Symbol" w:hAnsi="Symbol"/>
      </w:rPr>
    </w:lvl>
    <w:lvl w:ilvl="5" w:tplc="D6D8D7E8">
      <w:start w:val="1"/>
      <w:numFmt w:val="bullet"/>
      <w:lvlText w:val=""/>
      <w:lvlJc w:val="left"/>
      <w:pPr>
        <w:ind w:left="720" w:hanging="360"/>
      </w:pPr>
      <w:rPr>
        <w:rFonts w:ascii="Symbol" w:hAnsi="Symbol"/>
      </w:rPr>
    </w:lvl>
    <w:lvl w:ilvl="6" w:tplc="9872D81C">
      <w:start w:val="1"/>
      <w:numFmt w:val="bullet"/>
      <w:lvlText w:val=""/>
      <w:lvlJc w:val="left"/>
      <w:pPr>
        <w:ind w:left="720" w:hanging="360"/>
      </w:pPr>
      <w:rPr>
        <w:rFonts w:ascii="Symbol" w:hAnsi="Symbol"/>
      </w:rPr>
    </w:lvl>
    <w:lvl w:ilvl="7" w:tplc="264A64AA">
      <w:start w:val="1"/>
      <w:numFmt w:val="bullet"/>
      <w:lvlText w:val=""/>
      <w:lvlJc w:val="left"/>
      <w:pPr>
        <w:ind w:left="720" w:hanging="360"/>
      </w:pPr>
      <w:rPr>
        <w:rFonts w:ascii="Symbol" w:hAnsi="Symbol"/>
      </w:rPr>
    </w:lvl>
    <w:lvl w:ilvl="8" w:tplc="60C034F2">
      <w:start w:val="1"/>
      <w:numFmt w:val="bullet"/>
      <w:lvlText w:val=""/>
      <w:lvlJc w:val="left"/>
      <w:pPr>
        <w:ind w:left="720" w:hanging="360"/>
      </w:pPr>
      <w:rPr>
        <w:rFonts w:ascii="Symbol" w:hAnsi="Symbol"/>
      </w:rPr>
    </w:lvl>
  </w:abstractNum>
  <w:abstractNum w:abstractNumId="19" w15:restartNumberingAfterBreak="0">
    <w:nsid w:val="78007247"/>
    <w:multiLevelType w:val="hybridMultilevel"/>
    <w:tmpl w:val="C63EB41A"/>
    <w:lvl w:ilvl="0" w:tplc="C696FD98">
      <w:start w:val="1"/>
      <w:numFmt w:val="bullet"/>
      <w:lvlText w:val=""/>
      <w:lvlJc w:val="left"/>
      <w:pPr>
        <w:ind w:left="720" w:hanging="360"/>
      </w:pPr>
      <w:rPr>
        <w:rFonts w:ascii="Symbol" w:hAnsi="Symbol"/>
      </w:rPr>
    </w:lvl>
    <w:lvl w:ilvl="1" w:tplc="3CA62124">
      <w:start w:val="1"/>
      <w:numFmt w:val="bullet"/>
      <w:lvlText w:val=""/>
      <w:lvlJc w:val="left"/>
      <w:pPr>
        <w:ind w:left="720" w:hanging="360"/>
      </w:pPr>
      <w:rPr>
        <w:rFonts w:ascii="Symbol" w:hAnsi="Symbol"/>
      </w:rPr>
    </w:lvl>
    <w:lvl w:ilvl="2" w:tplc="D7B8527E">
      <w:start w:val="1"/>
      <w:numFmt w:val="bullet"/>
      <w:lvlText w:val=""/>
      <w:lvlJc w:val="left"/>
      <w:pPr>
        <w:ind w:left="720" w:hanging="360"/>
      </w:pPr>
      <w:rPr>
        <w:rFonts w:ascii="Symbol" w:hAnsi="Symbol"/>
      </w:rPr>
    </w:lvl>
    <w:lvl w:ilvl="3" w:tplc="4052DEF0">
      <w:start w:val="1"/>
      <w:numFmt w:val="bullet"/>
      <w:lvlText w:val=""/>
      <w:lvlJc w:val="left"/>
      <w:pPr>
        <w:ind w:left="720" w:hanging="360"/>
      </w:pPr>
      <w:rPr>
        <w:rFonts w:ascii="Symbol" w:hAnsi="Symbol"/>
      </w:rPr>
    </w:lvl>
    <w:lvl w:ilvl="4" w:tplc="4E929BDE">
      <w:start w:val="1"/>
      <w:numFmt w:val="bullet"/>
      <w:lvlText w:val=""/>
      <w:lvlJc w:val="left"/>
      <w:pPr>
        <w:ind w:left="720" w:hanging="360"/>
      </w:pPr>
      <w:rPr>
        <w:rFonts w:ascii="Symbol" w:hAnsi="Symbol"/>
      </w:rPr>
    </w:lvl>
    <w:lvl w:ilvl="5" w:tplc="31C48FF2">
      <w:start w:val="1"/>
      <w:numFmt w:val="bullet"/>
      <w:lvlText w:val=""/>
      <w:lvlJc w:val="left"/>
      <w:pPr>
        <w:ind w:left="720" w:hanging="360"/>
      </w:pPr>
      <w:rPr>
        <w:rFonts w:ascii="Symbol" w:hAnsi="Symbol"/>
      </w:rPr>
    </w:lvl>
    <w:lvl w:ilvl="6" w:tplc="AB1CE36E">
      <w:start w:val="1"/>
      <w:numFmt w:val="bullet"/>
      <w:lvlText w:val=""/>
      <w:lvlJc w:val="left"/>
      <w:pPr>
        <w:ind w:left="720" w:hanging="360"/>
      </w:pPr>
      <w:rPr>
        <w:rFonts w:ascii="Symbol" w:hAnsi="Symbol"/>
      </w:rPr>
    </w:lvl>
    <w:lvl w:ilvl="7" w:tplc="856CEB9A">
      <w:start w:val="1"/>
      <w:numFmt w:val="bullet"/>
      <w:lvlText w:val=""/>
      <w:lvlJc w:val="left"/>
      <w:pPr>
        <w:ind w:left="720" w:hanging="360"/>
      </w:pPr>
      <w:rPr>
        <w:rFonts w:ascii="Symbol" w:hAnsi="Symbol"/>
      </w:rPr>
    </w:lvl>
    <w:lvl w:ilvl="8" w:tplc="0E94C606">
      <w:start w:val="1"/>
      <w:numFmt w:val="bullet"/>
      <w:lvlText w:val=""/>
      <w:lvlJc w:val="left"/>
      <w:pPr>
        <w:ind w:left="720" w:hanging="360"/>
      </w:pPr>
      <w:rPr>
        <w:rFonts w:ascii="Symbol" w:hAnsi="Symbol"/>
      </w:rPr>
    </w:lvl>
  </w:abstractNum>
  <w:num w:numId="1" w16cid:durableId="701782335">
    <w:abstractNumId w:val="8"/>
  </w:num>
  <w:num w:numId="2" w16cid:durableId="1470241944">
    <w:abstractNumId w:val="6"/>
  </w:num>
  <w:num w:numId="3" w16cid:durableId="1575965772">
    <w:abstractNumId w:val="5"/>
  </w:num>
  <w:num w:numId="4" w16cid:durableId="2021615306">
    <w:abstractNumId w:val="4"/>
  </w:num>
  <w:num w:numId="5" w16cid:durableId="1723015674">
    <w:abstractNumId w:val="7"/>
  </w:num>
  <w:num w:numId="6" w16cid:durableId="1379402494">
    <w:abstractNumId w:val="3"/>
  </w:num>
  <w:num w:numId="7" w16cid:durableId="1908299111">
    <w:abstractNumId w:val="2"/>
  </w:num>
  <w:num w:numId="8" w16cid:durableId="1298683762">
    <w:abstractNumId w:val="1"/>
  </w:num>
  <w:num w:numId="9" w16cid:durableId="867448422">
    <w:abstractNumId w:val="0"/>
  </w:num>
  <w:num w:numId="10" w16cid:durableId="1704092246">
    <w:abstractNumId w:val="16"/>
  </w:num>
  <w:num w:numId="11" w16cid:durableId="1275213465">
    <w:abstractNumId w:val="10"/>
  </w:num>
  <w:num w:numId="12" w16cid:durableId="955216481">
    <w:abstractNumId w:val="17"/>
  </w:num>
  <w:num w:numId="13" w16cid:durableId="1822964763">
    <w:abstractNumId w:val="9"/>
  </w:num>
  <w:num w:numId="14" w16cid:durableId="664090909">
    <w:abstractNumId w:val="11"/>
  </w:num>
  <w:num w:numId="15" w16cid:durableId="223178301">
    <w:abstractNumId w:val="13"/>
  </w:num>
  <w:num w:numId="16" w16cid:durableId="1763797368">
    <w:abstractNumId w:val="14"/>
  </w:num>
  <w:num w:numId="17" w16cid:durableId="1206454763">
    <w:abstractNumId w:val="18"/>
  </w:num>
  <w:num w:numId="18" w16cid:durableId="723409802">
    <w:abstractNumId w:val="19"/>
  </w:num>
  <w:num w:numId="19" w16cid:durableId="405614333">
    <w:abstractNumId w:val="12"/>
  </w:num>
  <w:num w:numId="20" w16cid:durableId="17666094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umen_Document_Id" w:val="84039f1e-8706-44ab-9699-9cafb5aa3650"/>
    <w:docVar w:name="VAULT_ND_00190149-965c-4caa-9b5c-f7a4e13dddff" w:val=" "/>
    <w:docVar w:name="VAULT_ND_066e25ff-4a66-42f5-83d3-5107e0693da1" w:val=" "/>
    <w:docVar w:name="vault_nd_0ccbd4bb-f9b7-4197-b7da-2b647a254114" w:val=" "/>
    <w:docVar w:name="vault_nd_12076b07-7192-4eb8-9621-d1a3a5b19ae7" w:val=" "/>
    <w:docVar w:name="vault_nd_13f983da-be6d-4a3b-ad7a-122b24c175dc" w:val=" "/>
    <w:docVar w:name="VAULT_ND_1a37914a-39e4-4faf-acbf-a3a125a90741" w:val=" "/>
    <w:docVar w:name="vault_nd_1aa42255-39fd-496d-ba7b-3e22eedcd8dd" w:val=" "/>
    <w:docVar w:name="vault_nd_1cf164a1-754e-4fb2-9d3d-54e3d4815494" w:val=" "/>
    <w:docVar w:name="vault_nd_20e639c1-2712-4d53-86e2-7d96064197b9" w:val=" "/>
    <w:docVar w:name="vault_nd_2514bcb3-f295-45b5-b713-5e40573c9e03" w:val=" "/>
    <w:docVar w:name="VAULT_ND_265971a0-5a98-49db-9052-f960bbcff9a2" w:val=" "/>
    <w:docVar w:name="VAULT_ND_2b52e089-286a-45bb-814d-60957b375429" w:val=" "/>
    <w:docVar w:name="vault_nd_2dbc4a57-f293-468e-b1a5-b1e7d3dfa44e" w:val=" "/>
    <w:docVar w:name="vault_nd_2e72b3f9-d2e3-4856-a7c5-c5b0e2d1da7e" w:val=" "/>
    <w:docVar w:name="vault_nd_32105e8a-7338-48e4-b703-4176b96a6bb9" w:val=" "/>
    <w:docVar w:name="vault_nd_327c0392-cf74-4d75-b705-3767414d42cd" w:val=" "/>
    <w:docVar w:name="vault_nd_3fbb7088-521f-4e67-81dc-5de93849087f" w:val=" "/>
    <w:docVar w:name="VAULT_ND_42105517-e3b9-425d-b77b-51bdc8a3e026" w:val=" "/>
    <w:docVar w:name="VAULT_ND_430e7785-0138-4942-a20a-846d4af04e26" w:val=" "/>
    <w:docVar w:name="vault_nd_44d36bdb-27b3-4353-98c7-e8625e0a9658" w:val=" "/>
    <w:docVar w:name="VAULT_ND_4639ef99-e16f-49f0-85e9-5df3c4d68752" w:val=" "/>
    <w:docVar w:name="vault_nd_48d405bc-9314-4de7-a517-c1441d570255" w:val=" "/>
    <w:docVar w:name="vault_nd_4fc864a7-6004-4f82-9946-63b0ad5dfa35" w:val=" "/>
    <w:docVar w:name="VAULT_ND_50add397-e3be-490c-a35e-c6d353d06b22" w:val=" "/>
    <w:docVar w:name="VAULT_ND_5223d0c1-13fc-41d3-9588-4c5ffc5591c4" w:val=" "/>
    <w:docVar w:name="VAULT_ND_5d303628-cfd2-4fc5-b150-862c90e52619" w:val=" "/>
    <w:docVar w:name="VAULT_ND_5edbcd2c-0410-4cda-acea-045eed978e68" w:val=" "/>
    <w:docVar w:name="VAULT_ND_62262cdf-ae73-4965-a863-62403d574497" w:val=" "/>
    <w:docVar w:name="VAULT_ND_623e9d69-5432-4a34-8c8b-199c9599c52a" w:val=" "/>
    <w:docVar w:name="VAULT_ND_6332f521-5546-4921-9db7-a8858271068e" w:val=" "/>
    <w:docVar w:name="vault_nd_6407f1ef-3f13-4961-95a5-58da764a13c9" w:val=" "/>
    <w:docVar w:name="VAULT_ND_673fc3c4-0e61-4873-99cd-0a1c750a4ada" w:val=" "/>
    <w:docVar w:name="VAULT_ND_6889e2f8-ff94-4eb7-8533-a9c8631ba1cd" w:val=" "/>
    <w:docVar w:name="vault_nd_6a8f17ac-a908-42c1-a28a-d8737c4bcbc6" w:val=" "/>
    <w:docVar w:name="VAULT_ND_6cf9f8ce-cd65-4338-8a17-2fb1d73ad477" w:val=" "/>
    <w:docVar w:name="VAULT_ND_74fa3c82-1eca-4f25-bd38-f36a807b1b20" w:val=" "/>
    <w:docVar w:name="VAULT_ND_7767c37f-b1b5-426f-bf6d-666aa80e29d1" w:val=" "/>
    <w:docVar w:name="vault_nd_79ab4e4c-48eb-46c2-8e59-ce43578f2ba3" w:val=" "/>
    <w:docVar w:name="vault_nd_7abdba4d-34dc-4816-81be-7b6737815743" w:val=" "/>
    <w:docVar w:name="VAULT_ND_7b0b6f1c-aa90-4d99-a5ca-a56e11f88187" w:val=" "/>
    <w:docVar w:name="VAULT_ND_7c07440e-c408-41fd-9827-aec4326ab3b1" w:val=" "/>
    <w:docVar w:name="vault_nd_88e2bbc9-9021-42ff-bccd-8507aa4b15cd" w:val=" "/>
    <w:docVar w:name="VAULT_ND_8d3c0b08-9c8b-4f4f-bd1d-0669ab97f9e0" w:val=" "/>
    <w:docVar w:name="vault_nd_8dc42982-2667-4d80-ba6c-e859dbe5c8be" w:val=" "/>
    <w:docVar w:name="VAULT_ND_8dd87162-0106-47a2-bf10-bde560560d29" w:val=" "/>
    <w:docVar w:name="VAULT_ND_921018a8-b7b8-4a94-94d5-654d861c7969" w:val=" "/>
    <w:docVar w:name="vault_nd_9652c852-01f9-47c0-8bf1-9a1555878ae0" w:val=" "/>
    <w:docVar w:name="vault_nd_96956246-b810-4ca8-a0e4-9ad14b1df1cd" w:val=" "/>
    <w:docVar w:name="vault_nd_99b76164-2f16-47f3-bfd4-8b929d8ec4ab" w:val=" "/>
    <w:docVar w:name="vault_nd_9b7d4fe7-0163-4eb0-a092-2ce4a5eb2491" w:val=" "/>
    <w:docVar w:name="VAULT_ND_a02e76ee-46fb-4edc-ab94-ceb18b6e99b1" w:val=" "/>
    <w:docVar w:name="vault_nd_a10ade9f-dadd-4f8c-9b96-cfcdcb17b310" w:val=" "/>
    <w:docVar w:name="VAULT_ND_a275aeb3-489e-4a60-900e-ff8e3b23b8b3" w:val=" "/>
    <w:docVar w:name="vault_nd_a9783e1c-0e67-4945-9d91-23b4c17550b7" w:val=" "/>
    <w:docVar w:name="VAULT_ND_aaad1c19-e989-4c82-9dd4-d8032c2ddeb7" w:val=" "/>
    <w:docVar w:name="vault_nd_ab0c7807-ca65-4559-9812-58919869ab91" w:val=" "/>
    <w:docVar w:name="VAULT_ND_ac046a97-4b5a-4d03-8ae6-6ad06c24f98c" w:val=" "/>
    <w:docVar w:name="vault_nd_b2cb7757-bff9-4ba0-a313-f0bf8c21ec9f" w:val=" "/>
    <w:docVar w:name="VAULT_ND_b364c82e-b7b6-4725-a7d5-2904919aaa64" w:val=" "/>
    <w:docVar w:name="vault_nd_b4cb142b-cccb-409e-8dd7-9128cb48b36c" w:val=" "/>
    <w:docVar w:name="VAULT_ND_b55e310e-c418-4e1e-a19e-a6a30e6e94b9" w:val=" "/>
    <w:docVar w:name="VAULT_ND_b58a222a-4088-448b-ab4d-51aaaf4f2b5c" w:val=" "/>
    <w:docVar w:name="VAULT_ND_b7d9d83d-1ccb-4e76-a001-36ce9c1ba2b4" w:val=" "/>
    <w:docVar w:name="VAULT_ND_b7fd0c39-9823-4bca-b37d-e1e645137363" w:val=" "/>
    <w:docVar w:name="VAULT_ND_b88511fe-c358-4cc4-899a-a28c70100daa" w:val=" "/>
    <w:docVar w:name="vault_nd_b887f680-b5ef-4b28-ba6d-1e1be21c06ec" w:val=" "/>
    <w:docVar w:name="VAULT_ND_bb11453b-5d4f-4e6a-ae5d-54312da999a1" w:val=" "/>
    <w:docVar w:name="vault_nd_bbe18e4a-6e2e-4d94-8226-16c966c9a7e2" w:val=" "/>
    <w:docVar w:name="VAULT_ND_bd9d443b-87ba-46ab-9309-f68eb8eeb693" w:val=" "/>
    <w:docVar w:name="vault_nd_c0c4e99f-c43b-45e9-8f42-b91a64a6c825" w:val=" "/>
    <w:docVar w:name="vault_nd_c15a206d-2995-4fed-bf5a-6d1a91fea871" w:val=" "/>
    <w:docVar w:name="VAULT_ND_c1d6c05f-e293-480e-a212-882060dafcc2" w:val=" "/>
    <w:docVar w:name="vault_nd_c4aa84c3-645d-4654-a157-ac7174b7d8b0" w:val=" "/>
    <w:docVar w:name="VAULT_ND_c77ba6cc-872f-41b6-8055-3d38a140b5d1" w:val=" "/>
    <w:docVar w:name="vault_nd_cc360519-c773-4268-a7fb-c53679116f53" w:val=" "/>
    <w:docVar w:name="VAULT_ND_d0404e35-22b4-4d81-9925-20126308771f" w:val=" "/>
    <w:docVar w:name="vault_nd_d0960612-466f-4cca-9f6e-d01df03c3d0e" w:val=" "/>
    <w:docVar w:name="vault_nd_d2373920-6562-4e9c-90ee-d7e1ca070dd7" w:val=" "/>
    <w:docVar w:name="VAULT_ND_d3244af8-b3f1-41e9-8ce6-6e10b6921efe" w:val=" "/>
    <w:docVar w:name="VAULT_ND_d59c5fa5-d909-425c-9532-274190f3351c" w:val=" "/>
    <w:docVar w:name="VAULT_ND_d60b6342-3dd1-4171-a6c8-a1be74f225bd" w:val=" "/>
    <w:docVar w:name="vault_nd_d629f354-2b11-45ee-9a0d-681c20ac3bc2" w:val=" "/>
    <w:docVar w:name="vault_nd_dc1a3cb6-37f2-4fdc-a0a8-5c4a6be3de5f" w:val=" "/>
    <w:docVar w:name="vault_nd_dde72f89-f0bd-482a-9b87-203ac409de6e" w:val=" "/>
    <w:docVar w:name="vault_nd_df8df2dc-578a-4c3b-9a23-739949297ae3" w:val=" "/>
    <w:docVar w:name="vault_nd_e5377070-1be0-48be-8f20-726d31fedc60" w:val=" "/>
    <w:docVar w:name="vault_nd_e5a8327c-1631-4982-bf83-90d35875ae1d" w:val=" "/>
    <w:docVar w:name="vault_nd_e7b52894-4827-4010-8877-f34c0ac381f6" w:val=" "/>
    <w:docVar w:name="VAULT_ND_ea157eed-cb38-490a-b374-c87f18a557b6" w:val=" "/>
    <w:docVar w:name="VAULT_ND_eb81e30b-6ce8-4797-becf-6df0e39a718f" w:val=" "/>
    <w:docVar w:name="VAULT_ND_ed391dc2-11ee-42c2-b12c-d5e9e545d8dc" w:val=" "/>
    <w:docVar w:name="vault_nd_eec52d20-9b97-4fe2-b213-30116bfbea3c" w:val=" "/>
    <w:docVar w:name="VAULT_ND_f0bc89f4-bcfc-4bf8-94b6-0c54fe2e5ecf" w:val=" "/>
    <w:docVar w:name="vault_nd_f0c3a3c8-a7d5-40c4-8854-139f8e1b8b23" w:val=" "/>
    <w:docVar w:name="VAULT_ND_f0f498fb-ae2c-4ca6-b13f-d24eadd99d42" w:val=" "/>
    <w:docVar w:name="VAULT_ND_f1079aaf-bf0b-4ae7-8475-eb7861f56ff9" w:val=" "/>
    <w:docVar w:name="VAULT_ND_f99e7646-ec40-4d99-9209-34afe5e240bc" w:val=" "/>
    <w:docVar w:name="vault_nd_fd318f83-b3c6-4778-862d-ba9b802bc6ba" w:val=" "/>
  </w:docVars>
  <w:rsids>
    <w:rsidRoot w:val="00B47730"/>
    <w:rsid w:val="0000369A"/>
    <w:rsid w:val="00005F11"/>
    <w:rsid w:val="0002475D"/>
    <w:rsid w:val="00031E01"/>
    <w:rsid w:val="00033DAB"/>
    <w:rsid w:val="00034616"/>
    <w:rsid w:val="0003555E"/>
    <w:rsid w:val="00035CDB"/>
    <w:rsid w:val="0004042D"/>
    <w:rsid w:val="00041FB4"/>
    <w:rsid w:val="00044912"/>
    <w:rsid w:val="0004780C"/>
    <w:rsid w:val="00047E42"/>
    <w:rsid w:val="0005245F"/>
    <w:rsid w:val="0006063C"/>
    <w:rsid w:val="0006340D"/>
    <w:rsid w:val="00066916"/>
    <w:rsid w:val="000679E1"/>
    <w:rsid w:val="0007623B"/>
    <w:rsid w:val="00077E32"/>
    <w:rsid w:val="00082F0B"/>
    <w:rsid w:val="00085D27"/>
    <w:rsid w:val="00087625"/>
    <w:rsid w:val="0009326B"/>
    <w:rsid w:val="000A242E"/>
    <w:rsid w:val="000A29F3"/>
    <w:rsid w:val="000A5323"/>
    <w:rsid w:val="000B0E00"/>
    <w:rsid w:val="000B2539"/>
    <w:rsid w:val="000B4A6C"/>
    <w:rsid w:val="000B5CAD"/>
    <w:rsid w:val="000C0744"/>
    <w:rsid w:val="000C3F5F"/>
    <w:rsid w:val="000D0251"/>
    <w:rsid w:val="000D5EF9"/>
    <w:rsid w:val="000F170A"/>
    <w:rsid w:val="000F4E4E"/>
    <w:rsid w:val="000F540E"/>
    <w:rsid w:val="000F70C8"/>
    <w:rsid w:val="001014A9"/>
    <w:rsid w:val="00102660"/>
    <w:rsid w:val="00106A8E"/>
    <w:rsid w:val="001149E1"/>
    <w:rsid w:val="0012186F"/>
    <w:rsid w:val="00124CC2"/>
    <w:rsid w:val="001279A4"/>
    <w:rsid w:val="00132648"/>
    <w:rsid w:val="00132C4D"/>
    <w:rsid w:val="00132E5C"/>
    <w:rsid w:val="0013763A"/>
    <w:rsid w:val="00140C10"/>
    <w:rsid w:val="001471A7"/>
    <w:rsid w:val="00147C82"/>
    <w:rsid w:val="0015074B"/>
    <w:rsid w:val="001576A7"/>
    <w:rsid w:val="00157F5A"/>
    <w:rsid w:val="001636D8"/>
    <w:rsid w:val="00165532"/>
    <w:rsid w:val="0017051C"/>
    <w:rsid w:val="00170E15"/>
    <w:rsid w:val="00173519"/>
    <w:rsid w:val="00173878"/>
    <w:rsid w:val="0017688D"/>
    <w:rsid w:val="00180579"/>
    <w:rsid w:val="00182E77"/>
    <w:rsid w:val="001844D2"/>
    <w:rsid w:val="00184E9D"/>
    <w:rsid w:val="001870E4"/>
    <w:rsid w:val="00187C1A"/>
    <w:rsid w:val="00192A66"/>
    <w:rsid w:val="001A6753"/>
    <w:rsid w:val="001C0C12"/>
    <w:rsid w:val="001C6F33"/>
    <w:rsid w:val="001D01ED"/>
    <w:rsid w:val="001D1CE3"/>
    <w:rsid w:val="001D787D"/>
    <w:rsid w:val="001E0CC6"/>
    <w:rsid w:val="001E1D6F"/>
    <w:rsid w:val="001E75BD"/>
    <w:rsid w:val="001E7DB7"/>
    <w:rsid w:val="001F385D"/>
    <w:rsid w:val="00200792"/>
    <w:rsid w:val="00203C89"/>
    <w:rsid w:val="00203FCC"/>
    <w:rsid w:val="002118BE"/>
    <w:rsid w:val="002118E6"/>
    <w:rsid w:val="00222714"/>
    <w:rsid w:val="002238A1"/>
    <w:rsid w:val="00224D07"/>
    <w:rsid w:val="002345D6"/>
    <w:rsid w:val="00234DF2"/>
    <w:rsid w:val="00235C9F"/>
    <w:rsid w:val="0023793D"/>
    <w:rsid w:val="00241515"/>
    <w:rsid w:val="00247B42"/>
    <w:rsid w:val="00253060"/>
    <w:rsid w:val="00253B91"/>
    <w:rsid w:val="00253EB8"/>
    <w:rsid w:val="002561F2"/>
    <w:rsid w:val="00256CCE"/>
    <w:rsid w:val="00270026"/>
    <w:rsid w:val="0027085B"/>
    <w:rsid w:val="00274E4E"/>
    <w:rsid w:val="0027559A"/>
    <w:rsid w:val="002767C6"/>
    <w:rsid w:val="0027688A"/>
    <w:rsid w:val="00280B99"/>
    <w:rsid w:val="00281299"/>
    <w:rsid w:val="00281D31"/>
    <w:rsid w:val="00286FF1"/>
    <w:rsid w:val="00287E1D"/>
    <w:rsid w:val="00291B53"/>
    <w:rsid w:val="0029639D"/>
    <w:rsid w:val="00296A0A"/>
    <w:rsid w:val="00296AEB"/>
    <w:rsid w:val="0029715E"/>
    <w:rsid w:val="002A1373"/>
    <w:rsid w:val="002A1C5C"/>
    <w:rsid w:val="002A2842"/>
    <w:rsid w:val="002A6518"/>
    <w:rsid w:val="002A70EC"/>
    <w:rsid w:val="002B02E1"/>
    <w:rsid w:val="002C0004"/>
    <w:rsid w:val="002C2583"/>
    <w:rsid w:val="002C6B2F"/>
    <w:rsid w:val="002C7863"/>
    <w:rsid w:val="002C79A3"/>
    <w:rsid w:val="002D1203"/>
    <w:rsid w:val="002D3FC0"/>
    <w:rsid w:val="002E7EC3"/>
    <w:rsid w:val="003001AD"/>
    <w:rsid w:val="00300AE7"/>
    <w:rsid w:val="003012F9"/>
    <w:rsid w:val="00302F99"/>
    <w:rsid w:val="00304863"/>
    <w:rsid w:val="00306C08"/>
    <w:rsid w:val="00307297"/>
    <w:rsid w:val="00307D97"/>
    <w:rsid w:val="00310D02"/>
    <w:rsid w:val="00313CC5"/>
    <w:rsid w:val="00316501"/>
    <w:rsid w:val="00320FA1"/>
    <w:rsid w:val="00326F90"/>
    <w:rsid w:val="0033032D"/>
    <w:rsid w:val="0033034C"/>
    <w:rsid w:val="00330BCE"/>
    <w:rsid w:val="00334B4F"/>
    <w:rsid w:val="00334C51"/>
    <w:rsid w:val="003352AC"/>
    <w:rsid w:val="00335957"/>
    <w:rsid w:val="00336D38"/>
    <w:rsid w:val="003377BD"/>
    <w:rsid w:val="00344347"/>
    <w:rsid w:val="003501D0"/>
    <w:rsid w:val="00353CA0"/>
    <w:rsid w:val="0035615B"/>
    <w:rsid w:val="003561F2"/>
    <w:rsid w:val="003573E7"/>
    <w:rsid w:val="00364188"/>
    <w:rsid w:val="00373AF8"/>
    <w:rsid w:val="00374442"/>
    <w:rsid w:val="0037533D"/>
    <w:rsid w:val="00380F72"/>
    <w:rsid w:val="00384A88"/>
    <w:rsid w:val="003939C3"/>
    <w:rsid w:val="003952DE"/>
    <w:rsid w:val="00395C50"/>
    <w:rsid w:val="003963DE"/>
    <w:rsid w:val="003964FE"/>
    <w:rsid w:val="003978B3"/>
    <w:rsid w:val="003A0192"/>
    <w:rsid w:val="003A1063"/>
    <w:rsid w:val="003A7FF8"/>
    <w:rsid w:val="003B0171"/>
    <w:rsid w:val="003B0AEA"/>
    <w:rsid w:val="003B0C0C"/>
    <w:rsid w:val="003B191D"/>
    <w:rsid w:val="003B31C8"/>
    <w:rsid w:val="003B3C88"/>
    <w:rsid w:val="003B4E9F"/>
    <w:rsid w:val="003C055C"/>
    <w:rsid w:val="003C1108"/>
    <w:rsid w:val="003C5A57"/>
    <w:rsid w:val="003D08B2"/>
    <w:rsid w:val="003D2750"/>
    <w:rsid w:val="003D2EB7"/>
    <w:rsid w:val="003D3066"/>
    <w:rsid w:val="003D4504"/>
    <w:rsid w:val="003D5080"/>
    <w:rsid w:val="003E1EF2"/>
    <w:rsid w:val="003E328F"/>
    <w:rsid w:val="003F54D5"/>
    <w:rsid w:val="00400A72"/>
    <w:rsid w:val="00400E0E"/>
    <w:rsid w:val="0040448B"/>
    <w:rsid w:val="00404BB4"/>
    <w:rsid w:val="004074CF"/>
    <w:rsid w:val="00411C2A"/>
    <w:rsid w:val="00412F41"/>
    <w:rsid w:val="0041422B"/>
    <w:rsid w:val="00415406"/>
    <w:rsid w:val="0042054D"/>
    <w:rsid w:val="00424F3E"/>
    <w:rsid w:val="00424F7A"/>
    <w:rsid w:val="004271D0"/>
    <w:rsid w:val="004317DC"/>
    <w:rsid w:val="004400A8"/>
    <w:rsid w:val="004435B1"/>
    <w:rsid w:val="00443CC8"/>
    <w:rsid w:val="0045310D"/>
    <w:rsid w:val="0045663F"/>
    <w:rsid w:val="0046404B"/>
    <w:rsid w:val="0046467F"/>
    <w:rsid w:val="00465B9D"/>
    <w:rsid w:val="004665D2"/>
    <w:rsid w:val="00473A56"/>
    <w:rsid w:val="004765FE"/>
    <w:rsid w:val="00480985"/>
    <w:rsid w:val="00484B96"/>
    <w:rsid w:val="00484C5C"/>
    <w:rsid w:val="004850A5"/>
    <w:rsid w:val="004857F1"/>
    <w:rsid w:val="00486947"/>
    <w:rsid w:val="004904FA"/>
    <w:rsid w:val="00490A97"/>
    <w:rsid w:val="00492DD7"/>
    <w:rsid w:val="00493205"/>
    <w:rsid w:val="004947B9"/>
    <w:rsid w:val="004948A3"/>
    <w:rsid w:val="004955EA"/>
    <w:rsid w:val="0049660F"/>
    <w:rsid w:val="00497C9C"/>
    <w:rsid w:val="004A216D"/>
    <w:rsid w:val="004A2DD2"/>
    <w:rsid w:val="004A44BA"/>
    <w:rsid w:val="004A6FAB"/>
    <w:rsid w:val="004B1E56"/>
    <w:rsid w:val="004B573A"/>
    <w:rsid w:val="004B57D0"/>
    <w:rsid w:val="004C155D"/>
    <w:rsid w:val="004C32EB"/>
    <w:rsid w:val="004C74D8"/>
    <w:rsid w:val="004D3EC0"/>
    <w:rsid w:val="004D4D7D"/>
    <w:rsid w:val="004D54BE"/>
    <w:rsid w:val="004D7166"/>
    <w:rsid w:val="004E2812"/>
    <w:rsid w:val="004E488E"/>
    <w:rsid w:val="004E7B4E"/>
    <w:rsid w:val="004F2139"/>
    <w:rsid w:val="004F2212"/>
    <w:rsid w:val="00500174"/>
    <w:rsid w:val="00503E9F"/>
    <w:rsid w:val="00507B07"/>
    <w:rsid w:val="00510E0D"/>
    <w:rsid w:val="00521284"/>
    <w:rsid w:val="00523DA1"/>
    <w:rsid w:val="00523F9C"/>
    <w:rsid w:val="00526BE5"/>
    <w:rsid w:val="00527CEA"/>
    <w:rsid w:val="00530231"/>
    <w:rsid w:val="00530AAF"/>
    <w:rsid w:val="00545440"/>
    <w:rsid w:val="0054584E"/>
    <w:rsid w:val="00553FB7"/>
    <w:rsid w:val="00562694"/>
    <w:rsid w:val="00564CA7"/>
    <w:rsid w:val="00565444"/>
    <w:rsid w:val="00566F73"/>
    <w:rsid w:val="00573B89"/>
    <w:rsid w:val="00574139"/>
    <w:rsid w:val="00574D8B"/>
    <w:rsid w:val="00580FD8"/>
    <w:rsid w:val="00583DCA"/>
    <w:rsid w:val="0058637B"/>
    <w:rsid w:val="00593180"/>
    <w:rsid w:val="0059467F"/>
    <w:rsid w:val="005A3521"/>
    <w:rsid w:val="005A4C71"/>
    <w:rsid w:val="005A6B21"/>
    <w:rsid w:val="005B2E91"/>
    <w:rsid w:val="005B53DC"/>
    <w:rsid w:val="005C2B85"/>
    <w:rsid w:val="005C6820"/>
    <w:rsid w:val="005D3295"/>
    <w:rsid w:val="005E4CFF"/>
    <w:rsid w:val="005F6B50"/>
    <w:rsid w:val="005F77EF"/>
    <w:rsid w:val="00600915"/>
    <w:rsid w:val="0060349E"/>
    <w:rsid w:val="0060549B"/>
    <w:rsid w:val="00606AEA"/>
    <w:rsid w:val="006111AC"/>
    <w:rsid w:val="006138B2"/>
    <w:rsid w:val="00615936"/>
    <w:rsid w:val="00616363"/>
    <w:rsid w:val="00621799"/>
    <w:rsid w:val="00622BED"/>
    <w:rsid w:val="00626CE3"/>
    <w:rsid w:val="00626D35"/>
    <w:rsid w:val="00626DC7"/>
    <w:rsid w:val="006322A4"/>
    <w:rsid w:val="006340EB"/>
    <w:rsid w:val="00637393"/>
    <w:rsid w:val="0064250A"/>
    <w:rsid w:val="00647A09"/>
    <w:rsid w:val="00647DD0"/>
    <w:rsid w:val="006511B7"/>
    <w:rsid w:val="00651398"/>
    <w:rsid w:val="00652CC2"/>
    <w:rsid w:val="0065386C"/>
    <w:rsid w:val="00660CFE"/>
    <w:rsid w:val="00670BE2"/>
    <w:rsid w:val="00675196"/>
    <w:rsid w:val="00676739"/>
    <w:rsid w:val="00680CDE"/>
    <w:rsid w:val="00681317"/>
    <w:rsid w:val="0068161A"/>
    <w:rsid w:val="00690C60"/>
    <w:rsid w:val="00693F2D"/>
    <w:rsid w:val="00694D5C"/>
    <w:rsid w:val="00697653"/>
    <w:rsid w:val="006A1E47"/>
    <w:rsid w:val="006A5831"/>
    <w:rsid w:val="006A7DF0"/>
    <w:rsid w:val="006B399C"/>
    <w:rsid w:val="006B3C09"/>
    <w:rsid w:val="006B4ABA"/>
    <w:rsid w:val="006B69C0"/>
    <w:rsid w:val="006B766C"/>
    <w:rsid w:val="006B7A8B"/>
    <w:rsid w:val="006C2D91"/>
    <w:rsid w:val="006C3834"/>
    <w:rsid w:val="006C4E57"/>
    <w:rsid w:val="006C5E6B"/>
    <w:rsid w:val="006D0878"/>
    <w:rsid w:val="006D0C54"/>
    <w:rsid w:val="006D2233"/>
    <w:rsid w:val="006D2E33"/>
    <w:rsid w:val="006D621E"/>
    <w:rsid w:val="006D6AAC"/>
    <w:rsid w:val="006E3215"/>
    <w:rsid w:val="006E595D"/>
    <w:rsid w:val="006E71EE"/>
    <w:rsid w:val="006F282A"/>
    <w:rsid w:val="006F3EDD"/>
    <w:rsid w:val="006F526E"/>
    <w:rsid w:val="00700C10"/>
    <w:rsid w:val="00700C8F"/>
    <w:rsid w:val="00703B58"/>
    <w:rsid w:val="00711FA5"/>
    <w:rsid w:val="00720B4D"/>
    <w:rsid w:val="007221DC"/>
    <w:rsid w:val="00723FB2"/>
    <w:rsid w:val="0072699A"/>
    <w:rsid w:val="007270AA"/>
    <w:rsid w:val="00730148"/>
    <w:rsid w:val="00732542"/>
    <w:rsid w:val="00735AC9"/>
    <w:rsid w:val="00736A5A"/>
    <w:rsid w:val="00737213"/>
    <w:rsid w:val="0074252B"/>
    <w:rsid w:val="0074609F"/>
    <w:rsid w:val="007523CE"/>
    <w:rsid w:val="00752EC7"/>
    <w:rsid w:val="00753E60"/>
    <w:rsid w:val="00754987"/>
    <w:rsid w:val="0075639A"/>
    <w:rsid w:val="00757F09"/>
    <w:rsid w:val="00761178"/>
    <w:rsid w:val="00764893"/>
    <w:rsid w:val="00765E60"/>
    <w:rsid w:val="00772FA5"/>
    <w:rsid w:val="007740BA"/>
    <w:rsid w:val="007745B7"/>
    <w:rsid w:val="0077480D"/>
    <w:rsid w:val="0077496A"/>
    <w:rsid w:val="00780CD6"/>
    <w:rsid w:val="007817CD"/>
    <w:rsid w:val="00781FDA"/>
    <w:rsid w:val="00782F70"/>
    <w:rsid w:val="007831FC"/>
    <w:rsid w:val="00783AA2"/>
    <w:rsid w:val="00787275"/>
    <w:rsid w:val="0078768C"/>
    <w:rsid w:val="007947BA"/>
    <w:rsid w:val="00794D78"/>
    <w:rsid w:val="00795E9F"/>
    <w:rsid w:val="00796101"/>
    <w:rsid w:val="007B005D"/>
    <w:rsid w:val="007B0E93"/>
    <w:rsid w:val="007B1CA1"/>
    <w:rsid w:val="007B345A"/>
    <w:rsid w:val="007B4C03"/>
    <w:rsid w:val="007B7DBA"/>
    <w:rsid w:val="007D4016"/>
    <w:rsid w:val="007D4B7C"/>
    <w:rsid w:val="007D678A"/>
    <w:rsid w:val="007E36CB"/>
    <w:rsid w:val="007E4B19"/>
    <w:rsid w:val="007E4D65"/>
    <w:rsid w:val="007E6401"/>
    <w:rsid w:val="007E67E4"/>
    <w:rsid w:val="007E788C"/>
    <w:rsid w:val="007F1AA1"/>
    <w:rsid w:val="007F2B23"/>
    <w:rsid w:val="007F7332"/>
    <w:rsid w:val="008030F8"/>
    <w:rsid w:val="0081373F"/>
    <w:rsid w:val="008139F8"/>
    <w:rsid w:val="00817196"/>
    <w:rsid w:val="0081739B"/>
    <w:rsid w:val="00822B56"/>
    <w:rsid w:val="00824E57"/>
    <w:rsid w:val="008251B0"/>
    <w:rsid w:val="00825B88"/>
    <w:rsid w:val="00834B6B"/>
    <w:rsid w:val="00835976"/>
    <w:rsid w:val="00837A0B"/>
    <w:rsid w:val="00837CFA"/>
    <w:rsid w:val="00841A67"/>
    <w:rsid w:val="008432CB"/>
    <w:rsid w:val="00853C78"/>
    <w:rsid w:val="008559A1"/>
    <w:rsid w:val="00855F2C"/>
    <w:rsid w:val="008574CC"/>
    <w:rsid w:val="00865044"/>
    <w:rsid w:val="00866B54"/>
    <w:rsid w:val="00866C0F"/>
    <w:rsid w:val="00870EA4"/>
    <w:rsid w:val="00872385"/>
    <w:rsid w:val="008736EA"/>
    <w:rsid w:val="008756F9"/>
    <w:rsid w:val="00882A83"/>
    <w:rsid w:val="008876ED"/>
    <w:rsid w:val="00887AD7"/>
    <w:rsid w:val="00891E09"/>
    <w:rsid w:val="0089213F"/>
    <w:rsid w:val="008979F1"/>
    <w:rsid w:val="008A3E47"/>
    <w:rsid w:val="008A4BB9"/>
    <w:rsid w:val="008A4DB9"/>
    <w:rsid w:val="008A5209"/>
    <w:rsid w:val="008A53E5"/>
    <w:rsid w:val="008A686F"/>
    <w:rsid w:val="008A7D30"/>
    <w:rsid w:val="008B35DA"/>
    <w:rsid w:val="008B5014"/>
    <w:rsid w:val="008C447E"/>
    <w:rsid w:val="008C5920"/>
    <w:rsid w:val="008C629E"/>
    <w:rsid w:val="008C6D71"/>
    <w:rsid w:val="008C79F1"/>
    <w:rsid w:val="008D0718"/>
    <w:rsid w:val="008D62BA"/>
    <w:rsid w:val="008E3120"/>
    <w:rsid w:val="008E7187"/>
    <w:rsid w:val="008E7A94"/>
    <w:rsid w:val="008E7E5A"/>
    <w:rsid w:val="008E7FDF"/>
    <w:rsid w:val="008F0162"/>
    <w:rsid w:val="008F29B9"/>
    <w:rsid w:val="008F3E5D"/>
    <w:rsid w:val="008F48A2"/>
    <w:rsid w:val="008F6E6B"/>
    <w:rsid w:val="00902F7E"/>
    <w:rsid w:val="00905D9F"/>
    <w:rsid w:val="00905E68"/>
    <w:rsid w:val="00910324"/>
    <w:rsid w:val="0091425D"/>
    <w:rsid w:val="009157CD"/>
    <w:rsid w:val="00923384"/>
    <w:rsid w:val="00923669"/>
    <w:rsid w:val="009250A2"/>
    <w:rsid w:val="009264E0"/>
    <w:rsid w:val="00927234"/>
    <w:rsid w:val="00927B29"/>
    <w:rsid w:val="00931363"/>
    <w:rsid w:val="00934D7F"/>
    <w:rsid w:val="00935E4F"/>
    <w:rsid w:val="0094300C"/>
    <w:rsid w:val="009443C5"/>
    <w:rsid w:val="00951A80"/>
    <w:rsid w:val="00954383"/>
    <w:rsid w:val="009544E6"/>
    <w:rsid w:val="0095753E"/>
    <w:rsid w:val="0096245A"/>
    <w:rsid w:val="00964080"/>
    <w:rsid w:val="009642BC"/>
    <w:rsid w:val="0096590D"/>
    <w:rsid w:val="00972CDC"/>
    <w:rsid w:val="00972D8B"/>
    <w:rsid w:val="00972F27"/>
    <w:rsid w:val="00976DAB"/>
    <w:rsid w:val="00981598"/>
    <w:rsid w:val="00986FFA"/>
    <w:rsid w:val="009A0C8B"/>
    <w:rsid w:val="009A2D13"/>
    <w:rsid w:val="009A3333"/>
    <w:rsid w:val="009A6A4B"/>
    <w:rsid w:val="009B0AEA"/>
    <w:rsid w:val="009B0B0F"/>
    <w:rsid w:val="009B11BD"/>
    <w:rsid w:val="009B3A00"/>
    <w:rsid w:val="009B4B97"/>
    <w:rsid w:val="009B4DBC"/>
    <w:rsid w:val="009B7647"/>
    <w:rsid w:val="009C1220"/>
    <w:rsid w:val="009C15B1"/>
    <w:rsid w:val="009C18F9"/>
    <w:rsid w:val="009C5857"/>
    <w:rsid w:val="009D28D6"/>
    <w:rsid w:val="009D2A89"/>
    <w:rsid w:val="009E0068"/>
    <w:rsid w:val="009E06BF"/>
    <w:rsid w:val="009E084E"/>
    <w:rsid w:val="009E0A03"/>
    <w:rsid w:val="009F27DB"/>
    <w:rsid w:val="009F28D5"/>
    <w:rsid w:val="009F668C"/>
    <w:rsid w:val="00A00743"/>
    <w:rsid w:val="00A0250A"/>
    <w:rsid w:val="00A06B8B"/>
    <w:rsid w:val="00A1113B"/>
    <w:rsid w:val="00A15A82"/>
    <w:rsid w:val="00A15E1E"/>
    <w:rsid w:val="00A16182"/>
    <w:rsid w:val="00A1737A"/>
    <w:rsid w:val="00A20A4A"/>
    <w:rsid w:val="00A23727"/>
    <w:rsid w:val="00A26EEC"/>
    <w:rsid w:val="00A300E6"/>
    <w:rsid w:val="00A3183A"/>
    <w:rsid w:val="00A35708"/>
    <w:rsid w:val="00A410F0"/>
    <w:rsid w:val="00A464D4"/>
    <w:rsid w:val="00A47E61"/>
    <w:rsid w:val="00A50AD7"/>
    <w:rsid w:val="00A55E3D"/>
    <w:rsid w:val="00A64425"/>
    <w:rsid w:val="00A74B35"/>
    <w:rsid w:val="00A74E0E"/>
    <w:rsid w:val="00A77593"/>
    <w:rsid w:val="00A86DCA"/>
    <w:rsid w:val="00A87674"/>
    <w:rsid w:val="00A91635"/>
    <w:rsid w:val="00A932D8"/>
    <w:rsid w:val="00AA091E"/>
    <w:rsid w:val="00AA0FE5"/>
    <w:rsid w:val="00AA1D1E"/>
    <w:rsid w:val="00AA1D8D"/>
    <w:rsid w:val="00AA3430"/>
    <w:rsid w:val="00AA389B"/>
    <w:rsid w:val="00AA6728"/>
    <w:rsid w:val="00AB2FE5"/>
    <w:rsid w:val="00AC3EC1"/>
    <w:rsid w:val="00AC621C"/>
    <w:rsid w:val="00AC7519"/>
    <w:rsid w:val="00AC7A78"/>
    <w:rsid w:val="00AD0555"/>
    <w:rsid w:val="00AD6A38"/>
    <w:rsid w:val="00AE309A"/>
    <w:rsid w:val="00AE78D8"/>
    <w:rsid w:val="00AF5A35"/>
    <w:rsid w:val="00AF6746"/>
    <w:rsid w:val="00B02A40"/>
    <w:rsid w:val="00B12F38"/>
    <w:rsid w:val="00B141E6"/>
    <w:rsid w:val="00B1464A"/>
    <w:rsid w:val="00B20527"/>
    <w:rsid w:val="00B2363C"/>
    <w:rsid w:val="00B23A4D"/>
    <w:rsid w:val="00B241FF"/>
    <w:rsid w:val="00B26F9C"/>
    <w:rsid w:val="00B33CC5"/>
    <w:rsid w:val="00B35F80"/>
    <w:rsid w:val="00B3662B"/>
    <w:rsid w:val="00B40C3C"/>
    <w:rsid w:val="00B44F75"/>
    <w:rsid w:val="00B47730"/>
    <w:rsid w:val="00B47BBD"/>
    <w:rsid w:val="00B50D0F"/>
    <w:rsid w:val="00B60A9B"/>
    <w:rsid w:val="00B6217A"/>
    <w:rsid w:val="00B623EB"/>
    <w:rsid w:val="00B629FF"/>
    <w:rsid w:val="00B62D4B"/>
    <w:rsid w:val="00B635B5"/>
    <w:rsid w:val="00B64A1E"/>
    <w:rsid w:val="00B7745D"/>
    <w:rsid w:val="00B833FE"/>
    <w:rsid w:val="00B86C7D"/>
    <w:rsid w:val="00B9401B"/>
    <w:rsid w:val="00B95149"/>
    <w:rsid w:val="00B97243"/>
    <w:rsid w:val="00BA504B"/>
    <w:rsid w:val="00BB064C"/>
    <w:rsid w:val="00BB3841"/>
    <w:rsid w:val="00BB6592"/>
    <w:rsid w:val="00BB7010"/>
    <w:rsid w:val="00BB72F0"/>
    <w:rsid w:val="00BC1AB5"/>
    <w:rsid w:val="00BC28AA"/>
    <w:rsid w:val="00BC2F2D"/>
    <w:rsid w:val="00BC519E"/>
    <w:rsid w:val="00BD0C05"/>
    <w:rsid w:val="00BD28E1"/>
    <w:rsid w:val="00BD383A"/>
    <w:rsid w:val="00BD50EC"/>
    <w:rsid w:val="00BD7A47"/>
    <w:rsid w:val="00BE0980"/>
    <w:rsid w:val="00BE1E59"/>
    <w:rsid w:val="00BE1E9D"/>
    <w:rsid w:val="00BE63A6"/>
    <w:rsid w:val="00BE6CC2"/>
    <w:rsid w:val="00BE77E0"/>
    <w:rsid w:val="00BF1B87"/>
    <w:rsid w:val="00BF4678"/>
    <w:rsid w:val="00BF5D80"/>
    <w:rsid w:val="00BF6693"/>
    <w:rsid w:val="00C038CB"/>
    <w:rsid w:val="00C071DA"/>
    <w:rsid w:val="00C11605"/>
    <w:rsid w:val="00C178C9"/>
    <w:rsid w:val="00C237B9"/>
    <w:rsid w:val="00C2609D"/>
    <w:rsid w:val="00C32464"/>
    <w:rsid w:val="00C32D4E"/>
    <w:rsid w:val="00C33EAE"/>
    <w:rsid w:val="00C374E3"/>
    <w:rsid w:val="00C40E71"/>
    <w:rsid w:val="00C42203"/>
    <w:rsid w:val="00C423ED"/>
    <w:rsid w:val="00C425EA"/>
    <w:rsid w:val="00C505C0"/>
    <w:rsid w:val="00C65381"/>
    <w:rsid w:val="00C70388"/>
    <w:rsid w:val="00C74412"/>
    <w:rsid w:val="00C80D23"/>
    <w:rsid w:val="00C83B50"/>
    <w:rsid w:val="00C854A6"/>
    <w:rsid w:val="00C900F6"/>
    <w:rsid w:val="00C91C46"/>
    <w:rsid w:val="00C93EF8"/>
    <w:rsid w:val="00C94DBB"/>
    <w:rsid w:val="00C9517F"/>
    <w:rsid w:val="00C97052"/>
    <w:rsid w:val="00C97A2B"/>
    <w:rsid w:val="00CA364C"/>
    <w:rsid w:val="00CA433D"/>
    <w:rsid w:val="00CA4FA1"/>
    <w:rsid w:val="00CB0664"/>
    <w:rsid w:val="00CB2F4E"/>
    <w:rsid w:val="00CC42D4"/>
    <w:rsid w:val="00CC4DD5"/>
    <w:rsid w:val="00CC5974"/>
    <w:rsid w:val="00CD3DA6"/>
    <w:rsid w:val="00CE1D41"/>
    <w:rsid w:val="00CF3165"/>
    <w:rsid w:val="00CF4B5A"/>
    <w:rsid w:val="00CF6523"/>
    <w:rsid w:val="00CF721B"/>
    <w:rsid w:val="00D025CD"/>
    <w:rsid w:val="00D051E1"/>
    <w:rsid w:val="00D130EB"/>
    <w:rsid w:val="00D1556F"/>
    <w:rsid w:val="00D16C3E"/>
    <w:rsid w:val="00D2096A"/>
    <w:rsid w:val="00D21EF6"/>
    <w:rsid w:val="00D2528B"/>
    <w:rsid w:val="00D253A7"/>
    <w:rsid w:val="00D307AD"/>
    <w:rsid w:val="00D36576"/>
    <w:rsid w:val="00D40C90"/>
    <w:rsid w:val="00D50AAE"/>
    <w:rsid w:val="00D5242B"/>
    <w:rsid w:val="00D53DE4"/>
    <w:rsid w:val="00D555CC"/>
    <w:rsid w:val="00D55B54"/>
    <w:rsid w:val="00D5600F"/>
    <w:rsid w:val="00D63438"/>
    <w:rsid w:val="00D6422C"/>
    <w:rsid w:val="00D67882"/>
    <w:rsid w:val="00D7200C"/>
    <w:rsid w:val="00D7266A"/>
    <w:rsid w:val="00D7319D"/>
    <w:rsid w:val="00D73395"/>
    <w:rsid w:val="00D75202"/>
    <w:rsid w:val="00D83C0F"/>
    <w:rsid w:val="00D8522C"/>
    <w:rsid w:val="00D8599C"/>
    <w:rsid w:val="00D85E9B"/>
    <w:rsid w:val="00D85EBF"/>
    <w:rsid w:val="00D924BA"/>
    <w:rsid w:val="00D9339A"/>
    <w:rsid w:val="00D93F51"/>
    <w:rsid w:val="00D95B9B"/>
    <w:rsid w:val="00D9714C"/>
    <w:rsid w:val="00DA2BC9"/>
    <w:rsid w:val="00DA4F59"/>
    <w:rsid w:val="00DB4646"/>
    <w:rsid w:val="00DB5866"/>
    <w:rsid w:val="00DB5EC2"/>
    <w:rsid w:val="00DB61CC"/>
    <w:rsid w:val="00DB6829"/>
    <w:rsid w:val="00DB7083"/>
    <w:rsid w:val="00DC4CDF"/>
    <w:rsid w:val="00DD2436"/>
    <w:rsid w:val="00DD5261"/>
    <w:rsid w:val="00DD5AE0"/>
    <w:rsid w:val="00DD6735"/>
    <w:rsid w:val="00DD7557"/>
    <w:rsid w:val="00DE2D85"/>
    <w:rsid w:val="00DE339C"/>
    <w:rsid w:val="00DE3464"/>
    <w:rsid w:val="00DE35BD"/>
    <w:rsid w:val="00DE6152"/>
    <w:rsid w:val="00DE6A53"/>
    <w:rsid w:val="00DF6DC4"/>
    <w:rsid w:val="00DF7330"/>
    <w:rsid w:val="00DF7F64"/>
    <w:rsid w:val="00E01EFC"/>
    <w:rsid w:val="00E073CD"/>
    <w:rsid w:val="00E126FF"/>
    <w:rsid w:val="00E148FE"/>
    <w:rsid w:val="00E160DB"/>
    <w:rsid w:val="00E21112"/>
    <w:rsid w:val="00E24288"/>
    <w:rsid w:val="00E244A4"/>
    <w:rsid w:val="00E322E8"/>
    <w:rsid w:val="00E34DD9"/>
    <w:rsid w:val="00E41F25"/>
    <w:rsid w:val="00E43FA9"/>
    <w:rsid w:val="00E45D11"/>
    <w:rsid w:val="00E50123"/>
    <w:rsid w:val="00E52663"/>
    <w:rsid w:val="00E54450"/>
    <w:rsid w:val="00E55148"/>
    <w:rsid w:val="00E57022"/>
    <w:rsid w:val="00E652F8"/>
    <w:rsid w:val="00E66BA3"/>
    <w:rsid w:val="00E70434"/>
    <w:rsid w:val="00E72D68"/>
    <w:rsid w:val="00E74DE6"/>
    <w:rsid w:val="00E7544F"/>
    <w:rsid w:val="00E81B90"/>
    <w:rsid w:val="00E82EB2"/>
    <w:rsid w:val="00E927F8"/>
    <w:rsid w:val="00EA1D99"/>
    <w:rsid w:val="00EA4937"/>
    <w:rsid w:val="00EA4D2D"/>
    <w:rsid w:val="00EA5508"/>
    <w:rsid w:val="00EA6282"/>
    <w:rsid w:val="00EA7215"/>
    <w:rsid w:val="00EA78EB"/>
    <w:rsid w:val="00EB069B"/>
    <w:rsid w:val="00EB2017"/>
    <w:rsid w:val="00EB2844"/>
    <w:rsid w:val="00EB41A2"/>
    <w:rsid w:val="00EB4AF3"/>
    <w:rsid w:val="00EB7804"/>
    <w:rsid w:val="00EB79D6"/>
    <w:rsid w:val="00EC2F3C"/>
    <w:rsid w:val="00EC6EAD"/>
    <w:rsid w:val="00EC7DF3"/>
    <w:rsid w:val="00ED1435"/>
    <w:rsid w:val="00ED4359"/>
    <w:rsid w:val="00EE3E12"/>
    <w:rsid w:val="00EE40DF"/>
    <w:rsid w:val="00EE7BD9"/>
    <w:rsid w:val="00F022BD"/>
    <w:rsid w:val="00F04235"/>
    <w:rsid w:val="00F103F0"/>
    <w:rsid w:val="00F1149B"/>
    <w:rsid w:val="00F148D4"/>
    <w:rsid w:val="00F1657B"/>
    <w:rsid w:val="00F3669C"/>
    <w:rsid w:val="00F4228C"/>
    <w:rsid w:val="00F435AE"/>
    <w:rsid w:val="00F43B3B"/>
    <w:rsid w:val="00F43EEA"/>
    <w:rsid w:val="00F5230E"/>
    <w:rsid w:val="00F53ACB"/>
    <w:rsid w:val="00F55492"/>
    <w:rsid w:val="00F554AE"/>
    <w:rsid w:val="00F6051B"/>
    <w:rsid w:val="00F66FB1"/>
    <w:rsid w:val="00F73D1E"/>
    <w:rsid w:val="00F7652F"/>
    <w:rsid w:val="00F8398D"/>
    <w:rsid w:val="00F8515A"/>
    <w:rsid w:val="00F863FB"/>
    <w:rsid w:val="00F91982"/>
    <w:rsid w:val="00F93CAD"/>
    <w:rsid w:val="00F971F9"/>
    <w:rsid w:val="00F975F6"/>
    <w:rsid w:val="00FA5A69"/>
    <w:rsid w:val="00FA686C"/>
    <w:rsid w:val="00FB36D4"/>
    <w:rsid w:val="00FB606A"/>
    <w:rsid w:val="00FC5229"/>
    <w:rsid w:val="00FC6098"/>
    <w:rsid w:val="00FC693F"/>
    <w:rsid w:val="00FC6C75"/>
    <w:rsid w:val="00FC729E"/>
    <w:rsid w:val="00FD2C46"/>
    <w:rsid w:val="00FD3B84"/>
    <w:rsid w:val="00FD48CC"/>
    <w:rsid w:val="00FE0C33"/>
    <w:rsid w:val="00FE16E4"/>
    <w:rsid w:val="00FF2014"/>
    <w:rsid w:val="00FF41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813FE"/>
  <w14:defaultImageDpi w14:val="330"/>
  <w15:docId w15:val="{4E2F2F9B-8090-4712-B21F-B8A2F05B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82"/>
    <w:rPr>
      <w:rFonts w:asciiTheme="majorHAnsi" w:hAnsiTheme="majorHAnsi"/>
    </w:rPr>
  </w:style>
  <w:style w:type="paragraph" w:styleId="Heading1">
    <w:name w:val="heading 1"/>
    <w:basedOn w:val="Normal"/>
    <w:next w:val="Normal"/>
    <w:link w:val="Heading1Char"/>
    <w:uiPriority w:val="9"/>
    <w:qFormat/>
    <w:rsid w:val="00C038CB"/>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89213F"/>
    <w:pPr>
      <w:keepNext/>
      <w:keepLines/>
      <w:spacing w:before="200" w:after="0"/>
      <w:outlineLvl w:val="1"/>
    </w:pPr>
    <w:rPr>
      <w:rFonts w:eastAsiaTheme="majorEastAsia" w:cstheme="majorHAnsi"/>
      <w:b/>
      <w:bCs/>
      <w:sz w:val="24"/>
      <w:szCs w:val="26"/>
    </w:rPr>
  </w:style>
  <w:style w:type="paragraph" w:styleId="Heading3">
    <w:name w:val="heading 3"/>
    <w:basedOn w:val="Normal"/>
    <w:next w:val="Normal"/>
    <w:link w:val="Heading3Char"/>
    <w:uiPriority w:val="9"/>
    <w:unhideWhenUsed/>
    <w:qFormat/>
    <w:rsid w:val="00C32464"/>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EB7804"/>
    <w:pPr>
      <w:keepNext/>
      <w:keepLines/>
      <w:spacing w:before="200" w:after="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038CB"/>
    <w:rPr>
      <w:rFonts w:eastAsiaTheme="majorEastAsia" w:cstheme="majorBidi"/>
      <w:b/>
      <w:bCs/>
      <w:sz w:val="28"/>
      <w:szCs w:val="28"/>
    </w:rPr>
  </w:style>
  <w:style w:type="character" w:customStyle="1" w:styleId="Heading2Char">
    <w:name w:val="Heading 2 Char"/>
    <w:basedOn w:val="DefaultParagraphFont"/>
    <w:link w:val="Heading2"/>
    <w:uiPriority w:val="9"/>
    <w:rsid w:val="0089213F"/>
    <w:rPr>
      <w:rFonts w:asciiTheme="majorHAnsi" w:eastAsiaTheme="majorEastAsia" w:hAnsiTheme="majorHAnsi" w:cstheme="majorHAnsi"/>
      <w:b/>
      <w:bCs/>
      <w:sz w:val="24"/>
      <w:szCs w:val="26"/>
    </w:rPr>
  </w:style>
  <w:style w:type="character" w:customStyle="1" w:styleId="Heading3Char">
    <w:name w:val="Heading 3 Char"/>
    <w:basedOn w:val="DefaultParagraphFont"/>
    <w:link w:val="Heading3"/>
    <w:uiPriority w:val="9"/>
    <w:rsid w:val="00C32464"/>
    <w:rPr>
      <w:rFonts w:asciiTheme="majorHAnsi" w:eastAsiaTheme="majorEastAsia" w:hAnsiTheme="majorHAnsi"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EB7804"/>
    <w:rPr>
      <w:rFonts w:asciiTheme="majorHAnsi" w:eastAsiaTheme="majorEastAsia" w:hAnsiTheme="majorHAnsi" w:cstheme="majorBidi"/>
      <w:bCs/>
      <w:iCs/>
      <w:u w:val="single"/>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MEAEnBodyText">
    <w:name w:val="EMEA En Body Text"/>
    <w:basedOn w:val="Normal"/>
    <w:rsid w:val="00C071DA"/>
    <w:pPr>
      <w:spacing w:before="120" w:after="120" w:line="240" w:lineRule="auto"/>
      <w:jc w:val="both"/>
    </w:pPr>
    <w:rPr>
      <w:rFonts w:ascii="Times New Roman" w:eastAsia="Times New Roman" w:hAnsi="Times New Roman" w:cs="Times New Roman"/>
      <w:szCs w:val="20"/>
    </w:rPr>
  </w:style>
  <w:style w:type="paragraph" w:customStyle="1" w:styleId="Default">
    <w:name w:val="Default"/>
    <w:rsid w:val="00D7319D"/>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 w:type="paragraph" w:styleId="EndnoteText">
    <w:name w:val="endnote text"/>
    <w:basedOn w:val="Normal"/>
    <w:link w:val="EndnoteTextChar"/>
    <w:rsid w:val="008C447E"/>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8C447E"/>
    <w:rPr>
      <w:rFonts w:ascii="Times New Roman" w:eastAsia="Times New Roman" w:hAnsi="Times New Roman" w:cs="Times New Roman"/>
      <w:sz w:val="20"/>
      <w:szCs w:val="20"/>
      <w:lang w:val="en-GB"/>
    </w:rPr>
  </w:style>
  <w:style w:type="character" w:styleId="EndnoteReference">
    <w:name w:val="endnote reference"/>
    <w:basedOn w:val="DefaultParagraphFont"/>
    <w:rsid w:val="008C447E"/>
    <w:rPr>
      <w:vertAlign w:val="superscript"/>
    </w:rPr>
  </w:style>
  <w:style w:type="character" w:styleId="CommentReference">
    <w:name w:val="annotation reference"/>
    <w:aliases w:val="-H18,Annotationmark,CommentReference"/>
    <w:uiPriority w:val="99"/>
    <w:qFormat/>
    <w:rsid w:val="003C1108"/>
    <w:rPr>
      <w:sz w:val="16"/>
      <w:szCs w:val="16"/>
    </w:rPr>
  </w:style>
  <w:style w:type="character" w:styleId="Hyperlink">
    <w:name w:val="Hyperlink"/>
    <w:basedOn w:val="DefaultParagraphFont"/>
    <w:uiPriority w:val="99"/>
    <w:unhideWhenUsed/>
    <w:rsid w:val="00222714"/>
    <w:rPr>
      <w:color w:val="0000FF" w:themeColor="hyperlink"/>
      <w:u w:val="single"/>
    </w:rPr>
  </w:style>
  <w:style w:type="character" w:customStyle="1" w:styleId="cf01">
    <w:name w:val="cf01"/>
    <w:basedOn w:val="DefaultParagraphFont"/>
    <w:rsid w:val="00FD48CC"/>
    <w:rPr>
      <w:rFonts w:ascii="Segoe UI" w:hAnsi="Segoe UI" w:cs="Segoe UI" w:hint="default"/>
      <w:sz w:val="18"/>
      <w:szCs w:val="18"/>
    </w:rPr>
  </w:style>
  <w:style w:type="paragraph" w:styleId="CommentText">
    <w:name w:val="annotation text"/>
    <w:basedOn w:val="Normal"/>
    <w:link w:val="CommentTextChar"/>
    <w:uiPriority w:val="99"/>
    <w:unhideWhenUsed/>
    <w:rsid w:val="00B241FF"/>
    <w:pPr>
      <w:spacing w:line="240" w:lineRule="auto"/>
    </w:pPr>
    <w:rPr>
      <w:sz w:val="20"/>
      <w:szCs w:val="20"/>
    </w:rPr>
  </w:style>
  <w:style w:type="character" w:customStyle="1" w:styleId="CommentTextChar">
    <w:name w:val="Comment Text Char"/>
    <w:basedOn w:val="DefaultParagraphFont"/>
    <w:link w:val="CommentText"/>
    <w:uiPriority w:val="99"/>
    <w:rsid w:val="00B241FF"/>
    <w:rPr>
      <w:sz w:val="20"/>
      <w:szCs w:val="20"/>
    </w:rPr>
  </w:style>
  <w:style w:type="paragraph" w:styleId="CommentSubject">
    <w:name w:val="annotation subject"/>
    <w:basedOn w:val="CommentText"/>
    <w:next w:val="CommentText"/>
    <w:link w:val="CommentSubjectChar"/>
    <w:uiPriority w:val="99"/>
    <w:semiHidden/>
    <w:unhideWhenUsed/>
    <w:rsid w:val="00B241FF"/>
    <w:rPr>
      <w:b/>
      <w:bCs/>
    </w:rPr>
  </w:style>
  <w:style w:type="character" w:customStyle="1" w:styleId="CommentSubjectChar">
    <w:name w:val="Comment Subject Char"/>
    <w:basedOn w:val="CommentTextChar"/>
    <w:link w:val="CommentSubject"/>
    <w:uiPriority w:val="99"/>
    <w:semiHidden/>
    <w:rsid w:val="00B241FF"/>
    <w:rPr>
      <w:b/>
      <w:bCs/>
      <w:sz w:val="20"/>
      <w:szCs w:val="20"/>
    </w:rPr>
  </w:style>
  <w:style w:type="paragraph" w:customStyle="1" w:styleId="pf0">
    <w:name w:val="pf0"/>
    <w:basedOn w:val="Normal"/>
    <w:rsid w:val="00F3669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6340D"/>
    <w:pPr>
      <w:spacing w:after="0" w:line="240" w:lineRule="auto"/>
    </w:pPr>
    <w:rPr>
      <w:rFonts w:asciiTheme="majorHAnsi" w:hAnsiTheme="majorHAnsi"/>
    </w:rPr>
  </w:style>
  <w:style w:type="character" w:styleId="Mention">
    <w:name w:val="Mention"/>
    <w:basedOn w:val="DefaultParagraphFont"/>
    <w:uiPriority w:val="99"/>
    <w:unhideWhenUsed/>
    <w:rsid w:val="00972F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6358">
      <w:bodyDiv w:val="1"/>
      <w:marLeft w:val="0"/>
      <w:marRight w:val="0"/>
      <w:marTop w:val="0"/>
      <w:marBottom w:val="0"/>
      <w:divBdr>
        <w:top w:val="none" w:sz="0" w:space="0" w:color="auto"/>
        <w:left w:val="none" w:sz="0" w:space="0" w:color="auto"/>
        <w:bottom w:val="none" w:sz="0" w:space="0" w:color="auto"/>
        <w:right w:val="none" w:sz="0" w:space="0" w:color="auto"/>
      </w:divBdr>
    </w:div>
    <w:div w:id="293995761">
      <w:bodyDiv w:val="1"/>
      <w:marLeft w:val="0"/>
      <w:marRight w:val="0"/>
      <w:marTop w:val="0"/>
      <w:marBottom w:val="0"/>
      <w:divBdr>
        <w:top w:val="none" w:sz="0" w:space="0" w:color="auto"/>
        <w:left w:val="none" w:sz="0" w:space="0" w:color="auto"/>
        <w:bottom w:val="none" w:sz="0" w:space="0" w:color="auto"/>
        <w:right w:val="none" w:sz="0" w:space="0" w:color="auto"/>
      </w:divBdr>
    </w:div>
    <w:div w:id="373389249">
      <w:bodyDiv w:val="1"/>
      <w:marLeft w:val="0"/>
      <w:marRight w:val="0"/>
      <w:marTop w:val="0"/>
      <w:marBottom w:val="0"/>
      <w:divBdr>
        <w:top w:val="none" w:sz="0" w:space="0" w:color="auto"/>
        <w:left w:val="none" w:sz="0" w:space="0" w:color="auto"/>
        <w:bottom w:val="none" w:sz="0" w:space="0" w:color="auto"/>
        <w:right w:val="none" w:sz="0" w:space="0" w:color="auto"/>
      </w:divBdr>
    </w:div>
    <w:div w:id="500395327">
      <w:bodyDiv w:val="1"/>
      <w:marLeft w:val="0"/>
      <w:marRight w:val="0"/>
      <w:marTop w:val="0"/>
      <w:marBottom w:val="0"/>
      <w:divBdr>
        <w:top w:val="none" w:sz="0" w:space="0" w:color="auto"/>
        <w:left w:val="none" w:sz="0" w:space="0" w:color="auto"/>
        <w:bottom w:val="none" w:sz="0" w:space="0" w:color="auto"/>
        <w:right w:val="none" w:sz="0" w:space="0" w:color="auto"/>
      </w:divBdr>
    </w:div>
    <w:div w:id="509415341">
      <w:bodyDiv w:val="1"/>
      <w:marLeft w:val="0"/>
      <w:marRight w:val="0"/>
      <w:marTop w:val="0"/>
      <w:marBottom w:val="0"/>
      <w:divBdr>
        <w:top w:val="none" w:sz="0" w:space="0" w:color="auto"/>
        <w:left w:val="none" w:sz="0" w:space="0" w:color="auto"/>
        <w:bottom w:val="none" w:sz="0" w:space="0" w:color="auto"/>
        <w:right w:val="none" w:sz="0" w:space="0" w:color="auto"/>
      </w:divBdr>
    </w:div>
    <w:div w:id="728966213">
      <w:bodyDiv w:val="1"/>
      <w:marLeft w:val="0"/>
      <w:marRight w:val="0"/>
      <w:marTop w:val="0"/>
      <w:marBottom w:val="0"/>
      <w:divBdr>
        <w:top w:val="none" w:sz="0" w:space="0" w:color="auto"/>
        <w:left w:val="none" w:sz="0" w:space="0" w:color="auto"/>
        <w:bottom w:val="none" w:sz="0" w:space="0" w:color="auto"/>
        <w:right w:val="none" w:sz="0" w:space="0" w:color="auto"/>
      </w:divBdr>
    </w:div>
    <w:div w:id="820538834">
      <w:bodyDiv w:val="1"/>
      <w:marLeft w:val="0"/>
      <w:marRight w:val="0"/>
      <w:marTop w:val="0"/>
      <w:marBottom w:val="0"/>
      <w:divBdr>
        <w:top w:val="none" w:sz="0" w:space="0" w:color="auto"/>
        <w:left w:val="none" w:sz="0" w:space="0" w:color="auto"/>
        <w:bottom w:val="none" w:sz="0" w:space="0" w:color="auto"/>
        <w:right w:val="none" w:sz="0" w:space="0" w:color="auto"/>
      </w:divBdr>
    </w:div>
    <w:div w:id="833840889">
      <w:bodyDiv w:val="1"/>
      <w:marLeft w:val="0"/>
      <w:marRight w:val="0"/>
      <w:marTop w:val="0"/>
      <w:marBottom w:val="0"/>
      <w:divBdr>
        <w:top w:val="none" w:sz="0" w:space="0" w:color="auto"/>
        <w:left w:val="none" w:sz="0" w:space="0" w:color="auto"/>
        <w:bottom w:val="none" w:sz="0" w:space="0" w:color="auto"/>
        <w:right w:val="none" w:sz="0" w:space="0" w:color="auto"/>
      </w:divBdr>
    </w:div>
    <w:div w:id="1092896331">
      <w:bodyDiv w:val="1"/>
      <w:marLeft w:val="0"/>
      <w:marRight w:val="0"/>
      <w:marTop w:val="0"/>
      <w:marBottom w:val="0"/>
      <w:divBdr>
        <w:top w:val="none" w:sz="0" w:space="0" w:color="auto"/>
        <w:left w:val="none" w:sz="0" w:space="0" w:color="auto"/>
        <w:bottom w:val="none" w:sz="0" w:space="0" w:color="auto"/>
        <w:right w:val="none" w:sz="0" w:space="0" w:color="auto"/>
      </w:divBdr>
    </w:div>
    <w:div w:id="1160923321">
      <w:bodyDiv w:val="1"/>
      <w:marLeft w:val="0"/>
      <w:marRight w:val="0"/>
      <w:marTop w:val="0"/>
      <w:marBottom w:val="0"/>
      <w:divBdr>
        <w:top w:val="none" w:sz="0" w:space="0" w:color="auto"/>
        <w:left w:val="none" w:sz="0" w:space="0" w:color="auto"/>
        <w:bottom w:val="none" w:sz="0" w:space="0" w:color="auto"/>
        <w:right w:val="none" w:sz="0" w:space="0" w:color="auto"/>
      </w:divBdr>
    </w:div>
    <w:div w:id="1175262999">
      <w:bodyDiv w:val="1"/>
      <w:marLeft w:val="0"/>
      <w:marRight w:val="0"/>
      <w:marTop w:val="0"/>
      <w:marBottom w:val="0"/>
      <w:divBdr>
        <w:top w:val="none" w:sz="0" w:space="0" w:color="auto"/>
        <w:left w:val="none" w:sz="0" w:space="0" w:color="auto"/>
        <w:bottom w:val="none" w:sz="0" w:space="0" w:color="auto"/>
        <w:right w:val="none" w:sz="0" w:space="0" w:color="auto"/>
      </w:divBdr>
    </w:div>
    <w:div w:id="1221332809">
      <w:bodyDiv w:val="1"/>
      <w:marLeft w:val="0"/>
      <w:marRight w:val="0"/>
      <w:marTop w:val="0"/>
      <w:marBottom w:val="0"/>
      <w:divBdr>
        <w:top w:val="none" w:sz="0" w:space="0" w:color="auto"/>
        <w:left w:val="none" w:sz="0" w:space="0" w:color="auto"/>
        <w:bottom w:val="none" w:sz="0" w:space="0" w:color="auto"/>
        <w:right w:val="none" w:sz="0" w:space="0" w:color="auto"/>
      </w:divBdr>
    </w:div>
    <w:div w:id="1255867628">
      <w:bodyDiv w:val="1"/>
      <w:marLeft w:val="0"/>
      <w:marRight w:val="0"/>
      <w:marTop w:val="0"/>
      <w:marBottom w:val="0"/>
      <w:divBdr>
        <w:top w:val="none" w:sz="0" w:space="0" w:color="auto"/>
        <w:left w:val="none" w:sz="0" w:space="0" w:color="auto"/>
        <w:bottom w:val="none" w:sz="0" w:space="0" w:color="auto"/>
        <w:right w:val="none" w:sz="0" w:space="0" w:color="auto"/>
      </w:divBdr>
    </w:div>
    <w:div w:id="1384599404">
      <w:bodyDiv w:val="1"/>
      <w:marLeft w:val="0"/>
      <w:marRight w:val="0"/>
      <w:marTop w:val="0"/>
      <w:marBottom w:val="0"/>
      <w:divBdr>
        <w:top w:val="none" w:sz="0" w:space="0" w:color="auto"/>
        <w:left w:val="none" w:sz="0" w:space="0" w:color="auto"/>
        <w:bottom w:val="none" w:sz="0" w:space="0" w:color="auto"/>
        <w:right w:val="none" w:sz="0" w:space="0" w:color="auto"/>
      </w:divBdr>
    </w:div>
    <w:div w:id="1427920896">
      <w:bodyDiv w:val="1"/>
      <w:marLeft w:val="0"/>
      <w:marRight w:val="0"/>
      <w:marTop w:val="0"/>
      <w:marBottom w:val="0"/>
      <w:divBdr>
        <w:top w:val="none" w:sz="0" w:space="0" w:color="auto"/>
        <w:left w:val="none" w:sz="0" w:space="0" w:color="auto"/>
        <w:bottom w:val="none" w:sz="0" w:space="0" w:color="auto"/>
        <w:right w:val="none" w:sz="0" w:space="0" w:color="auto"/>
      </w:divBdr>
    </w:div>
    <w:div w:id="1565410135">
      <w:bodyDiv w:val="1"/>
      <w:marLeft w:val="0"/>
      <w:marRight w:val="0"/>
      <w:marTop w:val="0"/>
      <w:marBottom w:val="0"/>
      <w:divBdr>
        <w:top w:val="none" w:sz="0" w:space="0" w:color="auto"/>
        <w:left w:val="none" w:sz="0" w:space="0" w:color="auto"/>
        <w:bottom w:val="none" w:sz="0" w:space="0" w:color="auto"/>
        <w:right w:val="none" w:sz="0" w:space="0" w:color="auto"/>
      </w:divBdr>
    </w:div>
    <w:div w:id="1635140440">
      <w:bodyDiv w:val="1"/>
      <w:marLeft w:val="0"/>
      <w:marRight w:val="0"/>
      <w:marTop w:val="0"/>
      <w:marBottom w:val="0"/>
      <w:divBdr>
        <w:top w:val="none" w:sz="0" w:space="0" w:color="auto"/>
        <w:left w:val="none" w:sz="0" w:space="0" w:color="auto"/>
        <w:bottom w:val="none" w:sz="0" w:space="0" w:color="auto"/>
        <w:right w:val="none" w:sz="0" w:space="0" w:color="auto"/>
      </w:divBdr>
    </w:div>
    <w:div w:id="1905336678">
      <w:bodyDiv w:val="1"/>
      <w:marLeft w:val="0"/>
      <w:marRight w:val="0"/>
      <w:marTop w:val="0"/>
      <w:marBottom w:val="0"/>
      <w:divBdr>
        <w:top w:val="none" w:sz="0" w:space="0" w:color="auto"/>
        <w:left w:val="none" w:sz="0" w:space="0" w:color="auto"/>
        <w:bottom w:val="none" w:sz="0" w:space="0" w:color="auto"/>
        <w:right w:val="none" w:sz="0" w:space="0" w:color="auto"/>
      </w:divBdr>
    </w:div>
    <w:div w:id="1923679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acmedinfo@modernat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78049D6F4B4408C09CDB7EF399612" ma:contentTypeVersion="8" ma:contentTypeDescription="Create a new document." ma:contentTypeScope="" ma:versionID="d2267b7fa2602e99b4389f6e94e86374">
  <xsd:schema xmlns:xsd="http://www.w3.org/2001/XMLSchema" xmlns:xs="http://www.w3.org/2001/XMLSchema" xmlns:p="http://schemas.microsoft.com/office/2006/metadata/properties" xmlns:ns2="fe8e9ee1-c2e3-4952-8c38-c734ea004ddf" xmlns:ns3="e75b8da0-2475-4e39-99e2-00680a850146" targetNamespace="http://schemas.microsoft.com/office/2006/metadata/properties" ma:root="true" ma:fieldsID="b19ae64b677abb01d6b086d50fff9601" ns2:_="" ns3:_="">
    <xsd:import namespace="fe8e9ee1-c2e3-4952-8c38-c734ea004ddf"/>
    <xsd:import namespace="e75b8da0-2475-4e39-99e2-00680a850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e9ee1-c2e3-4952-8c38-c734ea004d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b8da0-2475-4e39-99e2-00680a850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6CEF4-506F-4689-BBA6-D046B65C427F}">
  <ds:schemaRefs>
    <ds:schemaRef ds:uri="fe8e9ee1-c2e3-4952-8c38-c734ea004ddf"/>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e75b8da0-2475-4e39-99e2-00680a850146"/>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18B7290-37EA-4E23-8A55-FC07C7542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e9ee1-c2e3-4952-8c38-c734ea004ddf"/>
    <ds:schemaRef ds:uri="e75b8da0-2475-4e39-99e2-00680a850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7B0AF7A-C5D2-4AC4-92F9-986083C5C4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6426</Words>
  <Characters>36377</Characters>
  <Application>Microsoft Office Word</Application>
  <DocSecurity>0</DocSecurity>
  <Lines>773</Lines>
  <Paragraphs>423</Paragraphs>
  <ScaleCrop>false</ScaleCrop>
  <HeadingPairs>
    <vt:vector size="2" baseType="variant">
      <vt:variant>
        <vt:lpstr>Title</vt:lpstr>
      </vt:variant>
      <vt:variant>
        <vt:i4>1</vt:i4>
      </vt:variant>
    </vt:vector>
  </HeadingPairs>
  <TitlesOfParts>
    <vt:vector size="1" baseType="lpstr">
      <vt:lpstr>Attachment Product information mNEXSPIKE XBB.1.5 </vt:lpstr>
    </vt:vector>
  </TitlesOfParts>
  <Manager/>
  <Company>Moderna Australia Pty Ltd</Company>
  <LinksUpToDate>false</LinksUpToDate>
  <CharactersWithSpaces>42380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mNEXSPIKE XBB.1.5 </dc:title>
  <dc:subject>prescription medicine</dc:subject>
  <dc:creator>Moderna Australia Pty Ltd</dc:creator>
  <cp:keywords/>
  <dc:description>generated by python-docx</dc:description>
  <cp:lastModifiedBy>LACK, Janet</cp:lastModifiedBy>
  <cp:revision>2</cp:revision>
  <cp:lastPrinted>2024-10-28T09:54:00Z</cp:lastPrinted>
  <dcterms:created xsi:type="dcterms:W3CDTF">2026-05-27T04:51:00Z</dcterms:created>
  <dcterms:modified xsi:type="dcterms:W3CDTF">2026-05-27T04:51:00Z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0x010100A0478049D6F4B4408C09CDB7EF399612</vt:lpwstr>
  </property>
  <property fmtid="{D5CDD505-2E9C-101B-9397-08002B2CF9AE}" pid="3" name="ClassificationContentMarkingHeaderShapeIds">
    <vt:lpwstr>26a8f35c,50224f4b,78baf7d5</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3243f875,1e7686a6,60ca7ac7</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2026-05-27T04:43:14Z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785a7058-e625-44d2-9d97-dceddd9430c1</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