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162B053" w:rsidR="00F02AEC" w:rsidRPr="00215D48" w:rsidRDefault="00346EC2" w:rsidP="007452E8">
            <w:pPr>
              <w:pStyle w:val="Title"/>
            </w:pPr>
            <w:r w:rsidRPr="00346EC2">
              <w:t>Australian Public Assessment Report for</w:t>
            </w:r>
            <w:r w:rsidR="004C4FB0">
              <w:t xml:space="preserve"> </w:t>
            </w:r>
            <w:proofErr w:type="spellStart"/>
            <w:r w:rsidR="004C4FB0" w:rsidRPr="004C4FB0">
              <w:t>E</w:t>
            </w:r>
            <w:r w:rsidR="004C4FB0">
              <w:t>kterly</w:t>
            </w:r>
            <w:proofErr w:type="spellEnd"/>
          </w:p>
        </w:tc>
      </w:tr>
      <w:tr w:rsidR="00F02AEC" w:rsidRPr="00215D48" w14:paraId="318A40A3" w14:textId="77777777" w:rsidTr="00346EC2">
        <w:trPr>
          <w:trHeight w:val="995"/>
        </w:trPr>
        <w:tc>
          <w:tcPr>
            <w:tcW w:w="8720" w:type="dxa"/>
          </w:tcPr>
          <w:p w14:paraId="1AA7C701" w14:textId="7650F6A8" w:rsidR="00F02AEC" w:rsidRPr="00215D48" w:rsidRDefault="00346EC2" w:rsidP="007452E8">
            <w:pPr>
              <w:pStyle w:val="Subtitle"/>
              <w:ind w:left="0"/>
            </w:pPr>
            <w:r w:rsidRPr="00346EC2">
              <w:t xml:space="preserve">Active ingredient: </w:t>
            </w:r>
            <w:proofErr w:type="spellStart"/>
            <w:r w:rsidR="00EC25CB">
              <w:t>sebetralstat</w:t>
            </w:r>
            <w:proofErr w:type="spellEnd"/>
          </w:p>
        </w:tc>
      </w:tr>
      <w:tr w:rsidR="00346EC2" w:rsidRPr="00215D48" w14:paraId="362CCAE4" w14:textId="77777777" w:rsidTr="007452E8">
        <w:trPr>
          <w:trHeight w:val="1916"/>
        </w:trPr>
        <w:tc>
          <w:tcPr>
            <w:tcW w:w="8720" w:type="dxa"/>
          </w:tcPr>
          <w:p w14:paraId="709C45C0" w14:textId="094DA699" w:rsidR="00346EC2" w:rsidRPr="00215D48" w:rsidRDefault="009F359E" w:rsidP="007452E8">
            <w:pPr>
              <w:pStyle w:val="Subtitle"/>
              <w:ind w:left="0"/>
            </w:pPr>
            <w:r>
              <w:t>Sponsor</w:t>
            </w:r>
            <w:r w:rsidR="00346EC2" w:rsidRPr="00346EC2">
              <w:t xml:space="preserve">: </w:t>
            </w:r>
            <w:r w:rsidR="004C4FB0" w:rsidRPr="004C4FB0">
              <w:t>JACE Pharma Pty Ltd</w:t>
            </w:r>
          </w:p>
        </w:tc>
      </w:tr>
      <w:tr w:rsidR="00F02AEC" w:rsidRPr="00215D48" w14:paraId="37F2AA1F" w14:textId="77777777" w:rsidTr="007452E8">
        <w:tc>
          <w:tcPr>
            <w:tcW w:w="8720" w:type="dxa"/>
          </w:tcPr>
          <w:p w14:paraId="1FDE8DCD" w14:textId="5E5CA093" w:rsidR="00F02AEC" w:rsidRPr="00215D48" w:rsidRDefault="004C4FB0" w:rsidP="007452E8">
            <w:pPr>
              <w:pStyle w:val="Date"/>
            </w:pPr>
            <w:r>
              <w:t>April</w:t>
            </w:r>
            <w:r w:rsidR="00F02AEC" w:rsidRPr="00215D48">
              <w:t xml:space="preserve"> </w:t>
            </w:r>
            <w:r>
              <w:t>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0D16D24" w:rsidR="00175CD8" w:rsidRPr="00346EC2" w:rsidRDefault="00F02AEC" w:rsidP="00346EC2">
      <w:pPr>
        <w:pStyle w:val="LegalCopy"/>
        <w:rPr>
          <w:rFonts w:cs="Arial"/>
        </w:rPr>
      </w:pPr>
      <w:r w:rsidRPr="00215D48">
        <w:rPr>
          <w:rFonts w:cs="Arial"/>
        </w:rPr>
        <w:t>© Commonwealth of Australia 20</w:t>
      </w:r>
      <w:r>
        <w:rPr>
          <w:rFonts w:cs="Arial"/>
        </w:rPr>
        <w:t>2</w:t>
      </w:r>
      <w:r w:rsidR="0009023D">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7E20F96" w14:textId="5C47502B" w:rsidR="00767C53"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8878050" w:history="1">
            <w:r w:rsidR="00767C53" w:rsidRPr="006E2022">
              <w:rPr>
                <w:rStyle w:val="Hyperlink"/>
                <w:noProof/>
              </w:rPr>
              <w:t>List of abbreviations</w:t>
            </w:r>
            <w:r w:rsidR="00767C53">
              <w:rPr>
                <w:noProof/>
                <w:webHidden/>
              </w:rPr>
              <w:tab/>
            </w:r>
            <w:r w:rsidR="00767C53">
              <w:rPr>
                <w:noProof/>
                <w:webHidden/>
              </w:rPr>
              <w:fldChar w:fldCharType="begin"/>
            </w:r>
            <w:r w:rsidR="00767C53">
              <w:rPr>
                <w:noProof/>
                <w:webHidden/>
              </w:rPr>
              <w:instrText xml:space="preserve"> PAGEREF _Toc228878050 \h </w:instrText>
            </w:r>
            <w:r w:rsidR="00767C53">
              <w:rPr>
                <w:noProof/>
                <w:webHidden/>
              </w:rPr>
            </w:r>
            <w:r w:rsidR="00767C53">
              <w:rPr>
                <w:noProof/>
                <w:webHidden/>
              </w:rPr>
              <w:fldChar w:fldCharType="separate"/>
            </w:r>
            <w:r w:rsidR="00767C53">
              <w:rPr>
                <w:noProof/>
                <w:webHidden/>
              </w:rPr>
              <w:t>4</w:t>
            </w:r>
            <w:r w:rsidR="00767C53">
              <w:rPr>
                <w:noProof/>
                <w:webHidden/>
              </w:rPr>
              <w:fldChar w:fldCharType="end"/>
            </w:r>
          </w:hyperlink>
        </w:p>
        <w:p w14:paraId="267CB3ED" w14:textId="1BD726EF" w:rsidR="00767C53" w:rsidRDefault="00767C5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8878051" w:history="1">
            <w:r w:rsidRPr="006E2022">
              <w:rPr>
                <w:rStyle w:val="Hyperlink"/>
                <w:noProof/>
              </w:rPr>
              <w:t>Product submission</w:t>
            </w:r>
            <w:r>
              <w:rPr>
                <w:noProof/>
                <w:webHidden/>
              </w:rPr>
              <w:tab/>
            </w:r>
            <w:r>
              <w:rPr>
                <w:noProof/>
                <w:webHidden/>
              </w:rPr>
              <w:fldChar w:fldCharType="begin"/>
            </w:r>
            <w:r>
              <w:rPr>
                <w:noProof/>
                <w:webHidden/>
              </w:rPr>
              <w:instrText xml:space="preserve"> PAGEREF _Toc228878051 \h </w:instrText>
            </w:r>
            <w:r>
              <w:rPr>
                <w:noProof/>
                <w:webHidden/>
              </w:rPr>
            </w:r>
            <w:r>
              <w:rPr>
                <w:noProof/>
                <w:webHidden/>
              </w:rPr>
              <w:fldChar w:fldCharType="separate"/>
            </w:r>
            <w:r>
              <w:rPr>
                <w:noProof/>
                <w:webHidden/>
              </w:rPr>
              <w:t>5</w:t>
            </w:r>
            <w:r>
              <w:rPr>
                <w:noProof/>
                <w:webHidden/>
              </w:rPr>
              <w:fldChar w:fldCharType="end"/>
            </w:r>
          </w:hyperlink>
        </w:p>
        <w:p w14:paraId="190F5B0D" w14:textId="3DC69493"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52" w:history="1">
            <w:r w:rsidRPr="006E2022">
              <w:rPr>
                <w:rStyle w:val="Hyperlink"/>
                <w:noProof/>
                <w:lang w:eastAsia="en-AU"/>
              </w:rPr>
              <w:t>Submission details</w:t>
            </w:r>
            <w:r>
              <w:rPr>
                <w:noProof/>
                <w:webHidden/>
              </w:rPr>
              <w:tab/>
            </w:r>
            <w:r>
              <w:rPr>
                <w:noProof/>
                <w:webHidden/>
              </w:rPr>
              <w:fldChar w:fldCharType="begin"/>
            </w:r>
            <w:r>
              <w:rPr>
                <w:noProof/>
                <w:webHidden/>
              </w:rPr>
              <w:instrText xml:space="preserve"> PAGEREF _Toc228878052 \h </w:instrText>
            </w:r>
            <w:r>
              <w:rPr>
                <w:noProof/>
                <w:webHidden/>
              </w:rPr>
            </w:r>
            <w:r>
              <w:rPr>
                <w:noProof/>
                <w:webHidden/>
              </w:rPr>
              <w:fldChar w:fldCharType="separate"/>
            </w:r>
            <w:r>
              <w:rPr>
                <w:noProof/>
                <w:webHidden/>
              </w:rPr>
              <w:t>5</w:t>
            </w:r>
            <w:r>
              <w:rPr>
                <w:noProof/>
                <w:webHidden/>
              </w:rPr>
              <w:fldChar w:fldCharType="end"/>
            </w:r>
          </w:hyperlink>
        </w:p>
        <w:p w14:paraId="7D24ADED" w14:textId="2B3C59DF"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53" w:history="1">
            <w:r w:rsidRPr="006E2022">
              <w:rPr>
                <w:rStyle w:val="Hyperlink"/>
                <w:noProof/>
              </w:rPr>
              <w:t>Product background</w:t>
            </w:r>
            <w:r>
              <w:rPr>
                <w:noProof/>
                <w:webHidden/>
              </w:rPr>
              <w:tab/>
            </w:r>
            <w:r>
              <w:rPr>
                <w:noProof/>
                <w:webHidden/>
              </w:rPr>
              <w:fldChar w:fldCharType="begin"/>
            </w:r>
            <w:r>
              <w:rPr>
                <w:noProof/>
                <w:webHidden/>
              </w:rPr>
              <w:instrText xml:space="preserve"> PAGEREF _Toc228878053 \h </w:instrText>
            </w:r>
            <w:r>
              <w:rPr>
                <w:noProof/>
                <w:webHidden/>
              </w:rPr>
            </w:r>
            <w:r>
              <w:rPr>
                <w:noProof/>
                <w:webHidden/>
              </w:rPr>
              <w:fldChar w:fldCharType="separate"/>
            </w:r>
            <w:r>
              <w:rPr>
                <w:noProof/>
                <w:webHidden/>
              </w:rPr>
              <w:t>6</w:t>
            </w:r>
            <w:r>
              <w:rPr>
                <w:noProof/>
                <w:webHidden/>
              </w:rPr>
              <w:fldChar w:fldCharType="end"/>
            </w:r>
          </w:hyperlink>
        </w:p>
        <w:p w14:paraId="033163BF" w14:textId="3D6231F1" w:rsidR="00767C53" w:rsidRDefault="00767C5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8878054" w:history="1">
            <w:r w:rsidRPr="006E2022">
              <w:rPr>
                <w:rStyle w:val="Hyperlink"/>
                <w:noProof/>
              </w:rPr>
              <w:t>Disease or condition</w:t>
            </w:r>
            <w:r>
              <w:rPr>
                <w:noProof/>
                <w:webHidden/>
              </w:rPr>
              <w:tab/>
            </w:r>
            <w:r>
              <w:rPr>
                <w:noProof/>
                <w:webHidden/>
              </w:rPr>
              <w:fldChar w:fldCharType="begin"/>
            </w:r>
            <w:r>
              <w:rPr>
                <w:noProof/>
                <w:webHidden/>
              </w:rPr>
              <w:instrText xml:space="preserve"> PAGEREF _Toc228878054 \h </w:instrText>
            </w:r>
            <w:r>
              <w:rPr>
                <w:noProof/>
                <w:webHidden/>
              </w:rPr>
            </w:r>
            <w:r>
              <w:rPr>
                <w:noProof/>
                <w:webHidden/>
              </w:rPr>
              <w:fldChar w:fldCharType="separate"/>
            </w:r>
            <w:r>
              <w:rPr>
                <w:noProof/>
                <w:webHidden/>
              </w:rPr>
              <w:t>6</w:t>
            </w:r>
            <w:r>
              <w:rPr>
                <w:noProof/>
                <w:webHidden/>
              </w:rPr>
              <w:fldChar w:fldCharType="end"/>
            </w:r>
          </w:hyperlink>
        </w:p>
        <w:p w14:paraId="18CC599A" w14:textId="7DB2DA92" w:rsidR="00767C53" w:rsidRDefault="00767C5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8878055" w:history="1">
            <w:r w:rsidRPr="006E2022">
              <w:rPr>
                <w:rStyle w:val="Hyperlink"/>
                <w:noProof/>
              </w:rPr>
              <w:t>Current treatment options</w:t>
            </w:r>
            <w:r>
              <w:rPr>
                <w:noProof/>
                <w:webHidden/>
              </w:rPr>
              <w:tab/>
            </w:r>
            <w:r>
              <w:rPr>
                <w:noProof/>
                <w:webHidden/>
              </w:rPr>
              <w:fldChar w:fldCharType="begin"/>
            </w:r>
            <w:r>
              <w:rPr>
                <w:noProof/>
                <w:webHidden/>
              </w:rPr>
              <w:instrText xml:space="preserve"> PAGEREF _Toc228878055 \h </w:instrText>
            </w:r>
            <w:r>
              <w:rPr>
                <w:noProof/>
                <w:webHidden/>
              </w:rPr>
            </w:r>
            <w:r>
              <w:rPr>
                <w:noProof/>
                <w:webHidden/>
              </w:rPr>
              <w:fldChar w:fldCharType="separate"/>
            </w:r>
            <w:r>
              <w:rPr>
                <w:noProof/>
                <w:webHidden/>
              </w:rPr>
              <w:t>6</w:t>
            </w:r>
            <w:r>
              <w:rPr>
                <w:noProof/>
                <w:webHidden/>
              </w:rPr>
              <w:fldChar w:fldCharType="end"/>
            </w:r>
          </w:hyperlink>
        </w:p>
        <w:p w14:paraId="729619CC" w14:textId="0311AB1B" w:rsidR="00767C53" w:rsidRDefault="00767C5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8878056" w:history="1">
            <w:r w:rsidRPr="006E2022">
              <w:rPr>
                <w:rStyle w:val="Hyperlink"/>
                <w:noProof/>
              </w:rPr>
              <w:t>Clinical rationale</w:t>
            </w:r>
            <w:r>
              <w:rPr>
                <w:noProof/>
                <w:webHidden/>
              </w:rPr>
              <w:tab/>
            </w:r>
            <w:r>
              <w:rPr>
                <w:noProof/>
                <w:webHidden/>
              </w:rPr>
              <w:fldChar w:fldCharType="begin"/>
            </w:r>
            <w:r>
              <w:rPr>
                <w:noProof/>
                <w:webHidden/>
              </w:rPr>
              <w:instrText xml:space="preserve"> PAGEREF _Toc228878056 \h </w:instrText>
            </w:r>
            <w:r>
              <w:rPr>
                <w:noProof/>
                <w:webHidden/>
              </w:rPr>
            </w:r>
            <w:r>
              <w:rPr>
                <w:noProof/>
                <w:webHidden/>
              </w:rPr>
              <w:fldChar w:fldCharType="separate"/>
            </w:r>
            <w:r>
              <w:rPr>
                <w:noProof/>
                <w:webHidden/>
              </w:rPr>
              <w:t>6</w:t>
            </w:r>
            <w:r>
              <w:rPr>
                <w:noProof/>
                <w:webHidden/>
              </w:rPr>
              <w:fldChar w:fldCharType="end"/>
            </w:r>
          </w:hyperlink>
        </w:p>
        <w:p w14:paraId="0368A871" w14:textId="771DF740"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57" w:history="1">
            <w:r w:rsidRPr="006E2022">
              <w:rPr>
                <w:rStyle w:val="Hyperlink"/>
                <w:noProof/>
              </w:rPr>
              <w:t>Regulatory status</w:t>
            </w:r>
            <w:r>
              <w:rPr>
                <w:noProof/>
                <w:webHidden/>
              </w:rPr>
              <w:tab/>
            </w:r>
            <w:r>
              <w:rPr>
                <w:noProof/>
                <w:webHidden/>
              </w:rPr>
              <w:fldChar w:fldCharType="begin"/>
            </w:r>
            <w:r>
              <w:rPr>
                <w:noProof/>
                <w:webHidden/>
              </w:rPr>
              <w:instrText xml:space="preserve"> PAGEREF _Toc228878057 \h </w:instrText>
            </w:r>
            <w:r>
              <w:rPr>
                <w:noProof/>
                <w:webHidden/>
              </w:rPr>
            </w:r>
            <w:r>
              <w:rPr>
                <w:noProof/>
                <w:webHidden/>
              </w:rPr>
              <w:fldChar w:fldCharType="separate"/>
            </w:r>
            <w:r>
              <w:rPr>
                <w:noProof/>
                <w:webHidden/>
              </w:rPr>
              <w:t>7</w:t>
            </w:r>
            <w:r>
              <w:rPr>
                <w:noProof/>
                <w:webHidden/>
              </w:rPr>
              <w:fldChar w:fldCharType="end"/>
            </w:r>
          </w:hyperlink>
        </w:p>
        <w:p w14:paraId="611297F1" w14:textId="38D61DF6" w:rsidR="00767C53" w:rsidRDefault="00767C5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8878058" w:history="1">
            <w:r w:rsidRPr="006E2022">
              <w:rPr>
                <w:rStyle w:val="Hyperlink"/>
                <w:noProof/>
              </w:rPr>
              <w:t>Australian regulatory status</w:t>
            </w:r>
            <w:r>
              <w:rPr>
                <w:noProof/>
                <w:webHidden/>
              </w:rPr>
              <w:tab/>
            </w:r>
            <w:r>
              <w:rPr>
                <w:noProof/>
                <w:webHidden/>
              </w:rPr>
              <w:fldChar w:fldCharType="begin"/>
            </w:r>
            <w:r>
              <w:rPr>
                <w:noProof/>
                <w:webHidden/>
              </w:rPr>
              <w:instrText xml:space="preserve"> PAGEREF _Toc228878058 \h </w:instrText>
            </w:r>
            <w:r>
              <w:rPr>
                <w:noProof/>
                <w:webHidden/>
              </w:rPr>
            </w:r>
            <w:r>
              <w:rPr>
                <w:noProof/>
                <w:webHidden/>
              </w:rPr>
              <w:fldChar w:fldCharType="separate"/>
            </w:r>
            <w:r>
              <w:rPr>
                <w:noProof/>
                <w:webHidden/>
              </w:rPr>
              <w:t>7</w:t>
            </w:r>
            <w:r>
              <w:rPr>
                <w:noProof/>
                <w:webHidden/>
              </w:rPr>
              <w:fldChar w:fldCharType="end"/>
            </w:r>
          </w:hyperlink>
        </w:p>
        <w:p w14:paraId="215BEECA" w14:textId="32BD2F79" w:rsidR="00767C53" w:rsidRDefault="00767C5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8878059" w:history="1">
            <w:r w:rsidRPr="006E2022">
              <w:rPr>
                <w:rStyle w:val="Hyperlink"/>
                <w:noProof/>
              </w:rPr>
              <w:t>International regulatory status</w:t>
            </w:r>
            <w:r>
              <w:rPr>
                <w:noProof/>
                <w:webHidden/>
              </w:rPr>
              <w:tab/>
            </w:r>
            <w:r>
              <w:rPr>
                <w:noProof/>
                <w:webHidden/>
              </w:rPr>
              <w:fldChar w:fldCharType="begin"/>
            </w:r>
            <w:r>
              <w:rPr>
                <w:noProof/>
                <w:webHidden/>
              </w:rPr>
              <w:instrText xml:space="preserve"> PAGEREF _Toc228878059 \h </w:instrText>
            </w:r>
            <w:r>
              <w:rPr>
                <w:noProof/>
                <w:webHidden/>
              </w:rPr>
            </w:r>
            <w:r>
              <w:rPr>
                <w:noProof/>
                <w:webHidden/>
              </w:rPr>
              <w:fldChar w:fldCharType="separate"/>
            </w:r>
            <w:r>
              <w:rPr>
                <w:noProof/>
                <w:webHidden/>
              </w:rPr>
              <w:t>7</w:t>
            </w:r>
            <w:r>
              <w:rPr>
                <w:noProof/>
                <w:webHidden/>
              </w:rPr>
              <w:fldChar w:fldCharType="end"/>
            </w:r>
          </w:hyperlink>
        </w:p>
        <w:p w14:paraId="5EE486FC" w14:textId="1E8480F8" w:rsidR="00767C53" w:rsidRDefault="00767C5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8878060" w:history="1">
            <w:r w:rsidRPr="006E2022">
              <w:rPr>
                <w:rStyle w:val="Hyperlink"/>
                <w:noProof/>
              </w:rPr>
              <w:t>Registration timeline</w:t>
            </w:r>
            <w:r>
              <w:rPr>
                <w:noProof/>
                <w:webHidden/>
              </w:rPr>
              <w:tab/>
            </w:r>
            <w:r>
              <w:rPr>
                <w:noProof/>
                <w:webHidden/>
              </w:rPr>
              <w:fldChar w:fldCharType="begin"/>
            </w:r>
            <w:r>
              <w:rPr>
                <w:noProof/>
                <w:webHidden/>
              </w:rPr>
              <w:instrText xml:space="preserve"> PAGEREF _Toc228878060 \h </w:instrText>
            </w:r>
            <w:r>
              <w:rPr>
                <w:noProof/>
                <w:webHidden/>
              </w:rPr>
            </w:r>
            <w:r>
              <w:rPr>
                <w:noProof/>
                <w:webHidden/>
              </w:rPr>
              <w:fldChar w:fldCharType="separate"/>
            </w:r>
            <w:r>
              <w:rPr>
                <w:noProof/>
                <w:webHidden/>
              </w:rPr>
              <w:t>7</w:t>
            </w:r>
            <w:r>
              <w:rPr>
                <w:noProof/>
                <w:webHidden/>
              </w:rPr>
              <w:fldChar w:fldCharType="end"/>
            </w:r>
          </w:hyperlink>
        </w:p>
        <w:p w14:paraId="001B55F4" w14:textId="2EACF826" w:rsidR="00767C53" w:rsidRDefault="00767C5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8878061" w:history="1">
            <w:r w:rsidRPr="006E2022">
              <w:rPr>
                <w:rStyle w:val="Hyperlink"/>
                <w:noProof/>
              </w:rPr>
              <w:t>Assessment overview</w:t>
            </w:r>
            <w:r>
              <w:rPr>
                <w:noProof/>
                <w:webHidden/>
              </w:rPr>
              <w:tab/>
            </w:r>
            <w:r>
              <w:rPr>
                <w:noProof/>
                <w:webHidden/>
              </w:rPr>
              <w:fldChar w:fldCharType="begin"/>
            </w:r>
            <w:r>
              <w:rPr>
                <w:noProof/>
                <w:webHidden/>
              </w:rPr>
              <w:instrText xml:space="preserve"> PAGEREF _Toc228878061 \h </w:instrText>
            </w:r>
            <w:r>
              <w:rPr>
                <w:noProof/>
                <w:webHidden/>
              </w:rPr>
            </w:r>
            <w:r>
              <w:rPr>
                <w:noProof/>
                <w:webHidden/>
              </w:rPr>
              <w:fldChar w:fldCharType="separate"/>
            </w:r>
            <w:r>
              <w:rPr>
                <w:noProof/>
                <w:webHidden/>
              </w:rPr>
              <w:t>8</w:t>
            </w:r>
            <w:r>
              <w:rPr>
                <w:noProof/>
                <w:webHidden/>
              </w:rPr>
              <w:fldChar w:fldCharType="end"/>
            </w:r>
          </w:hyperlink>
        </w:p>
        <w:p w14:paraId="33BD3467" w14:textId="0F3D4737"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62" w:history="1">
            <w:r w:rsidRPr="006E2022">
              <w:rPr>
                <w:rStyle w:val="Hyperlink"/>
                <w:noProof/>
              </w:rPr>
              <w:t>Quality evaluation summary</w:t>
            </w:r>
            <w:r>
              <w:rPr>
                <w:noProof/>
                <w:webHidden/>
              </w:rPr>
              <w:tab/>
            </w:r>
            <w:r>
              <w:rPr>
                <w:noProof/>
                <w:webHidden/>
              </w:rPr>
              <w:fldChar w:fldCharType="begin"/>
            </w:r>
            <w:r>
              <w:rPr>
                <w:noProof/>
                <w:webHidden/>
              </w:rPr>
              <w:instrText xml:space="preserve"> PAGEREF _Toc228878062 \h </w:instrText>
            </w:r>
            <w:r>
              <w:rPr>
                <w:noProof/>
                <w:webHidden/>
              </w:rPr>
            </w:r>
            <w:r>
              <w:rPr>
                <w:noProof/>
                <w:webHidden/>
              </w:rPr>
              <w:fldChar w:fldCharType="separate"/>
            </w:r>
            <w:r>
              <w:rPr>
                <w:noProof/>
                <w:webHidden/>
              </w:rPr>
              <w:t>8</w:t>
            </w:r>
            <w:r>
              <w:rPr>
                <w:noProof/>
                <w:webHidden/>
              </w:rPr>
              <w:fldChar w:fldCharType="end"/>
            </w:r>
          </w:hyperlink>
        </w:p>
        <w:p w14:paraId="7C902730" w14:textId="3D43AC71"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63" w:history="1">
            <w:r w:rsidRPr="006E2022">
              <w:rPr>
                <w:rStyle w:val="Hyperlink"/>
                <w:noProof/>
              </w:rPr>
              <w:t>Nonclinical evaluation summary</w:t>
            </w:r>
            <w:r>
              <w:rPr>
                <w:noProof/>
                <w:webHidden/>
              </w:rPr>
              <w:tab/>
            </w:r>
            <w:r>
              <w:rPr>
                <w:noProof/>
                <w:webHidden/>
              </w:rPr>
              <w:fldChar w:fldCharType="begin"/>
            </w:r>
            <w:r>
              <w:rPr>
                <w:noProof/>
                <w:webHidden/>
              </w:rPr>
              <w:instrText xml:space="preserve"> PAGEREF _Toc228878063 \h </w:instrText>
            </w:r>
            <w:r>
              <w:rPr>
                <w:noProof/>
                <w:webHidden/>
              </w:rPr>
            </w:r>
            <w:r>
              <w:rPr>
                <w:noProof/>
                <w:webHidden/>
              </w:rPr>
              <w:fldChar w:fldCharType="separate"/>
            </w:r>
            <w:r>
              <w:rPr>
                <w:noProof/>
                <w:webHidden/>
              </w:rPr>
              <w:t>9</w:t>
            </w:r>
            <w:r>
              <w:rPr>
                <w:noProof/>
                <w:webHidden/>
              </w:rPr>
              <w:fldChar w:fldCharType="end"/>
            </w:r>
          </w:hyperlink>
        </w:p>
        <w:p w14:paraId="413C4783" w14:textId="4292AA3C"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64" w:history="1">
            <w:r w:rsidRPr="006E2022">
              <w:rPr>
                <w:rStyle w:val="Hyperlink"/>
                <w:noProof/>
              </w:rPr>
              <w:t>Clinical evaluation summary</w:t>
            </w:r>
            <w:r>
              <w:rPr>
                <w:noProof/>
                <w:webHidden/>
              </w:rPr>
              <w:tab/>
            </w:r>
            <w:r>
              <w:rPr>
                <w:noProof/>
                <w:webHidden/>
              </w:rPr>
              <w:fldChar w:fldCharType="begin"/>
            </w:r>
            <w:r>
              <w:rPr>
                <w:noProof/>
                <w:webHidden/>
              </w:rPr>
              <w:instrText xml:space="preserve"> PAGEREF _Toc228878064 \h </w:instrText>
            </w:r>
            <w:r>
              <w:rPr>
                <w:noProof/>
                <w:webHidden/>
              </w:rPr>
            </w:r>
            <w:r>
              <w:rPr>
                <w:noProof/>
                <w:webHidden/>
              </w:rPr>
              <w:fldChar w:fldCharType="separate"/>
            </w:r>
            <w:r>
              <w:rPr>
                <w:noProof/>
                <w:webHidden/>
              </w:rPr>
              <w:t>11</w:t>
            </w:r>
            <w:r>
              <w:rPr>
                <w:noProof/>
                <w:webHidden/>
              </w:rPr>
              <w:fldChar w:fldCharType="end"/>
            </w:r>
          </w:hyperlink>
        </w:p>
        <w:p w14:paraId="409035CC" w14:textId="14C15BB5" w:rsidR="00767C53" w:rsidRDefault="00767C5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8878065" w:history="1">
            <w:r w:rsidRPr="006E2022">
              <w:rPr>
                <w:rStyle w:val="Hyperlink"/>
                <w:noProof/>
              </w:rPr>
              <w:t>Pharmacology</w:t>
            </w:r>
            <w:r>
              <w:rPr>
                <w:noProof/>
                <w:webHidden/>
              </w:rPr>
              <w:tab/>
            </w:r>
            <w:r>
              <w:rPr>
                <w:noProof/>
                <w:webHidden/>
              </w:rPr>
              <w:fldChar w:fldCharType="begin"/>
            </w:r>
            <w:r>
              <w:rPr>
                <w:noProof/>
                <w:webHidden/>
              </w:rPr>
              <w:instrText xml:space="preserve"> PAGEREF _Toc228878065 \h </w:instrText>
            </w:r>
            <w:r>
              <w:rPr>
                <w:noProof/>
                <w:webHidden/>
              </w:rPr>
            </w:r>
            <w:r>
              <w:rPr>
                <w:noProof/>
                <w:webHidden/>
              </w:rPr>
              <w:fldChar w:fldCharType="separate"/>
            </w:r>
            <w:r>
              <w:rPr>
                <w:noProof/>
                <w:webHidden/>
              </w:rPr>
              <w:t>11</w:t>
            </w:r>
            <w:r>
              <w:rPr>
                <w:noProof/>
                <w:webHidden/>
              </w:rPr>
              <w:fldChar w:fldCharType="end"/>
            </w:r>
          </w:hyperlink>
        </w:p>
        <w:p w14:paraId="776C9857" w14:textId="524C29B3" w:rsidR="00767C53" w:rsidRDefault="00767C5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8878066" w:history="1">
            <w:r w:rsidRPr="006E2022">
              <w:rPr>
                <w:rStyle w:val="Hyperlink"/>
                <w:noProof/>
              </w:rPr>
              <w:t>Efficacy</w:t>
            </w:r>
            <w:r>
              <w:rPr>
                <w:noProof/>
                <w:webHidden/>
              </w:rPr>
              <w:tab/>
            </w:r>
            <w:r>
              <w:rPr>
                <w:noProof/>
                <w:webHidden/>
              </w:rPr>
              <w:fldChar w:fldCharType="begin"/>
            </w:r>
            <w:r>
              <w:rPr>
                <w:noProof/>
                <w:webHidden/>
              </w:rPr>
              <w:instrText xml:space="preserve"> PAGEREF _Toc228878066 \h </w:instrText>
            </w:r>
            <w:r>
              <w:rPr>
                <w:noProof/>
                <w:webHidden/>
              </w:rPr>
            </w:r>
            <w:r>
              <w:rPr>
                <w:noProof/>
                <w:webHidden/>
              </w:rPr>
              <w:fldChar w:fldCharType="separate"/>
            </w:r>
            <w:r>
              <w:rPr>
                <w:noProof/>
                <w:webHidden/>
              </w:rPr>
              <w:t>15</w:t>
            </w:r>
            <w:r>
              <w:rPr>
                <w:noProof/>
                <w:webHidden/>
              </w:rPr>
              <w:fldChar w:fldCharType="end"/>
            </w:r>
          </w:hyperlink>
        </w:p>
        <w:p w14:paraId="1C1D3B84" w14:textId="4DDFC469" w:rsidR="00767C53" w:rsidRDefault="00767C5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8878067" w:history="1">
            <w:r w:rsidRPr="006E2022">
              <w:rPr>
                <w:rStyle w:val="Hyperlink"/>
                <w:noProof/>
              </w:rPr>
              <w:t>Safety</w:t>
            </w:r>
            <w:r>
              <w:rPr>
                <w:noProof/>
                <w:webHidden/>
              </w:rPr>
              <w:tab/>
            </w:r>
            <w:r>
              <w:rPr>
                <w:noProof/>
                <w:webHidden/>
              </w:rPr>
              <w:fldChar w:fldCharType="begin"/>
            </w:r>
            <w:r>
              <w:rPr>
                <w:noProof/>
                <w:webHidden/>
              </w:rPr>
              <w:instrText xml:space="preserve"> PAGEREF _Toc228878067 \h </w:instrText>
            </w:r>
            <w:r>
              <w:rPr>
                <w:noProof/>
                <w:webHidden/>
              </w:rPr>
            </w:r>
            <w:r>
              <w:rPr>
                <w:noProof/>
                <w:webHidden/>
              </w:rPr>
              <w:fldChar w:fldCharType="separate"/>
            </w:r>
            <w:r>
              <w:rPr>
                <w:noProof/>
                <w:webHidden/>
              </w:rPr>
              <w:t>21</w:t>
            </w:r>
            <w:r>
              <w:rPr>
                <w:noProof/>
                <w:webHidden/>
              </w:rPr>
              <w:fldChar w:fldCharType="end"/>
            </w:r>
          </w:hyperlink>
        </w:p>
        <w:p w14:paraId="2880FED0" w14:textId="48E66566"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68" w:history="1">
            <w:r w:rsidRPr="006E2022">
              <w:rPr>
                <w:rStyle w:val="Hyperlink"/>
                <w:noProof/>
                <w:lang w:eastAsia="en-AU"/>
              </w:rPr>
              <w:t xml:space="preserve">Risk management </w:t>
            </w:r>
            <w:r w:rsidRPr="006E2022">
              <w:rPr>
                <w:rStyle w:val="Hyperlink"/>
                <w:noProof/>
              </w:rPr>
              <w:t>plan</w:t>
            </w:r>
            <w:r>
              <w:rPr>
                <w:noProof/>
                <w:webHidden/>
              </w:rPr>
              <w:tab/>
            </w:r>
            <w:r>
              <w:rPr>
                <w:noProof/>
                <w:webHidden/>
              </w:rPr>
              <w:fldChar w:fldCharType="begin"/>
            </w:r>
            <w:r>
              <w:rPr>
                <w:noProof/>
                <w:webHidden/>
              </w:rPr>
              <w:instrText xml:space="preserve"> PAGEREF _Toc228878068 \h </w:instrText>
            </w:r>
            <w:r>
              <w:rPr>
                <w:noProof/>
                <w:webHidden/>
              </w:rPr>
            </w:r>
            <w:r>
              <w:rPr>
                <w:noProof/>
                <w:webHidden/>
              </w:rPr>
              <w:fldChar w:fldCharType="separate"/>
            </w:r>
            <w:r>
              <w:rPr>
                <w:noProof/>
                <w:webHidden/>
              </w:rPr>
              <w:t>24</w:t>
            </w:r>
            <w:r>
              <w:rPr>
                <w:noProof/>
                <w:webHidden/>
              </w:rPr>
              <w:fldChar w:fldCharType="end"/>
            </w:r>
          </w:hyperlink>
        </w:p>
        <w:p w14:paraId="77BC2C74" w14:textId="50267E2B"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69" w:history="1">
            <w:r w:rsidRPr="006E2022">
              <w:rPr>
                <w:rStyle w:val="Hyperlink"/>
                <w:noProof/>
              </w:rPr>
              <w:t>Risk-benefit analysis</w:t>
            </w:r>
            <w:r>
              <w:rPr>
                <w:noProof/>
                <w:webHidden/>
              </w:rPr>
              <w:tab/>
            </w:r>
            <w:r>
              <w:rPr>
                <w:noProof/>
                <w:webHidden/>
              </w:rPr>
              <w:fldChar w:fldCharType="begin"/>
            </w:r>
            <w:r>
              <w:rPr>
                <w:noProof/>
                <w:webHidden/>
              </w:rPr>
              <w:instrText xml:space="preserve"> PAGEREF _Toc228878069 \h </w:instrText>
            </w:r>
            <w:r>
              <w:rPr>
                <w:noProof/>
                <w:webHidden/>
              </w:rPr>
            </w:r>
            <w:r>
              <w:rPr>
                <w:noProof/>
                <w:webHidden/>
              </w:rPr>
              <w:fldChar w:fldCharType="separate"/>
            </w:r>
            <w:r>
              <w:rPr>
                <w:noProof/>
                <w:webHidden/>
              </w:rPr>
              <w:t>24</w:t>
            </w:r>
            <w:r>
              <w:rPr>
                <w:noProof/>
                <w:webHidden/>
              </w:rPr>
              <w:fldChar w:fldCharType="end"/>
            </w:r>
          </w:hyperlink>
        </w:p>
        <w:p w14:paraId="09025581" w14:textId="28AA173D" w:rsidR="00767C53" w:rsidRDefault="00767C5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8878070" w:history="1">
            <w:r w:rsidRPr="006E2022">
              <w:rPr>
                <w:rStyle w:val="Hyperlink"/>
                <w:noProof/>
              </w:rPr>
              <w:t>Assessment outcome</w:t>
            </w:r>
            <w:r>
              <w:rPr>
                <w:noProof/>
                <w:webHidden/>
              </w:rPr>
              <w:tab/>
            </w:r>
            <w:r>
              <w:rPr>
                <w:noProof/>
                <w:webHidden/>
              </w:rPr>
              <w:fldChar w:fldCharType="begin"/>
            </w:r>
            <w:r>
              <w:rPr>
                <w:noProof/>
                <w:webHidden/>
              </w:rPr>
              <w:instrText xml:space="preserve"> PAGEREF _Toc228878070 \h </w:instrText>
            </w:r>
            <w:r>
              <w:rPr>
                <w:noProof/>
                <w:webHidden/>
              </w:rPr>
            </w:r>
            <w:r>
              <w:rPr>
                <w:noProof/>
                <w:webHidden/>
              </w:rPr>
              <w:fldChar w:fldCharType="separate"/>
            </w:r>
            <w:r>
              <w:rPr>
                <w:noProof/>
                <w:webHidden/>
              </w:rPr>
              <w:t>25</w:t>
            </w:r>
            <w:r>
              <w:rPr>
                <w:noProof/>
                <w:webHidden/>
              </w:rPr>
              <w:fldChar w:fldCharType="end"/>
            </w:r>
          </w:hyperlink>
        </w:p>
        <w:p w14:paraId="3996F6FA" w14:textId="5F8A2391"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71" w:history="1">
            <w:r w:rsidRPr="006E2022">
              <w:rPr>
                <w:rStyle w:val="Hyperlink"/>
                <w:noProof/>
              </w:rPr>
              <w:t>Specific conditions of registration</w:t>
            </w:r>
            <w:r>
              <w:rPr>
                <w:noProof/>
                <w:webHidden/>
              </w:rPr>
              <w:tab/>
            </w:r>
            <w:r>
              <w:rPr>
                <w:noProof/>
                <w:webHidden/>
              </w:rPr>
              <w:fldChar w:fldCharType="begin"/>
            </w:r>
            <w:r>
              <w:rPr>
                <w:noProof/>
                <w:webHidden/>
              </w:rPr>
              <w:instrText xml:space="preserve"> PAGEREF _Toc228878071 \h </w:instrText>
            </w:r>
            <w:r>
              <w:rPr>
                <w:noProof/>
                <w:webHidden/>
              </w:rPr>
            </w:r>
            <w:r>
              <w:rPr>
                <w:noProof/>
                <w:webHidden/>
              </w:rPr>
              <w:fldChar w:fldCharType="separate"/>
            </w:r>
            <w:r>
              <w:rPr>
                <w:noProof/>
                <w:webHidden/>
              </w:rPr>
              <w:t>25</w:t>
            </w:r>
            <w:r>
              <w:rPr>
                <w:noProof/>
                <w:webHidden/>
              </w:rPr>
              <w:fldChar w:fldCharType="end"/>
            </w:r>
          </w:hyperlink>
        </w:p>
        <w:p w14:paraId="6F8DA8BD" w14:textId="37507D78" w:rsidR="00767C53" w:rsidRDefault="00767C5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8878072" w:history="1">
            <w:r w:rsidRPr="006E2022">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_Toc228878072 \h </w:instrText>
            </w:r>
            <w:r>
              <w:rPr>
                <w:noProof/>
                <w:webHidden/>
              </w:rPr>
            </w:r>
            <w:r>
              <w:rPr>
                <w:noProof/>
                <w:webHidden/>
              </w:rPr>
              <w:fldChar w:fldCharType="separate"/>
            </w:r>
            <w:r>
              <w:rPr>
                <w:noProof/>
                <w:webHidden/>
              </w:rPr>
              <w:t>26</w:t>
            </w:r>
            <w:r>
              <w:rPr>
                <w:noProof/>
                <w:webHidden/>
              </w:rPr>
              <w:fldChar w:fldCharType="end"/>
            </w:r>
          </w:hyperlink>
        </w:p>
        <w:p w14:paraId="71208EB7" w14:textId="288F4549" w:rsidR="004C4FB0" w:rsidRDefault="00F02AEC" w:rsidP="004C4FB0">
          <w:r w:rsidRPr="00215D48">
            <w:fldChar w:fldCharType="end"/>
          </w:r>
        </w:p>
      </w:sdtContent>
    </w:sdt>
    <w:bookmarkStart w:id="0" w:name="_Toc103679287" w:displacedByCustomXml="prev"/>
    <w:bookmarkStart w:id="1" w:name="_Toc98931917" w:displacedByCustomXml="prev"/>
    <w:bookmarkStart w:id="2" w:name="_Toc356305216" w:displacedByCustomXml="prev"/>
    <w:bookmarkStart w:id="3" w:name="_Toc323739589" w:displacedByCustomXml="prev"/>
    <w:p w14:paraId="008F3978" w14:textId="77777777" w:rsidR="009F359E" w:rsidRDefault="009F359E" w:rsidP="00A736EC">
      <w:r>
        <w:br w:type="page"/>
      </w:r>
    </w:p>
    <w:p w14:paraId="1E73AB93" w14:textId="535F0D54" w:rsidR="00324B33" w:rsidRDefault="00324B33" w:rsidP="00A736EC">
      <w:pPr>
        <w:pStyle w:val="Heading2"/>
      </w:pPr>
      <w:bookmarkStart w:id="4" w:name="_Toc228878050"/>
      <w:r>
        <w:lastRenderedPageBreak/>
        <w:t xml:space="preserve">List of </w:t>
      </w:r>
      <w:r w:rsidRPr="00A736EC">
        <w:t>abbreviations</w:t>
      </w:r>
      <w:bookmarkEnd w:id="4"/>
      <w:bookmarkEnd w:id="1"/>
      <w:bookmarkEnd w:id="0"/>
    </w:p>
    <w:tbl>
      <w:tblPr>
        <w:tblStyle w:val="TableTGAblue2023"/>
        <w:tblW w:w="5000" w:type="pct"/>
        <w:tblLook w:val="04A0" w:firstRow="1" w:lastRow="0" w:firstColumn="1" w:lastColumn="0" w:noHBand="0" w:noVBand="1"/>
      </w:tblPr>
      <w:tblGrid>
        <w:gridCol w:w="2174"/>
        <w:gridCol w:w="6886"/>
      </w:tblGrid>
      <w:tr w:rsidR="0072451D" w:rsidRPr="0072451D" w14:paraId="75B413E4" w14:textId="77777777" w:rsidTr="00FD1A5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662F5117" w14:textId="77777777" w:rsidR="0072451D" w:rsidRPr="0072451D" w:rsidRDefault="0072451D" w:rsidP="00FD1A54">
            <w:pPr>
              <w:rPr>
                <w:szCs w:val="22"/>
              </w:rPr>
            </w:pPr>
            <w:r w:rsidRPr="0072451D">
              <w:rPr>
                <w:szCs w:val="22"/>
              </w:rPr>
              <w:t>Abbreviation</w:t>
            </w:r>
          </w:p>
        </w:tc>
        <w:tc>
          <w:tcPr>
            <w:tcW w:w="3800" w:type="pct"/>
          </w:tcPr>
          <w:p w14:paraId="4046C303" w14:textId="77777777" w:rsidR="0072451D" w:rsidRPr="0072451D" w:rsidRDefault="0072451D" w:rsidP="00FD1A54">
            <w:pPr>
              <w:cnfStyle w:val="100000000000" w:firstRow="1" w:lastRow="0" w:firstColumn="0" w:lastColumn="0" w:oddVBand="0" w:evenVBand="0" w:oddHBand="0" w:evenHBand="0" w:firstRowFirstColumn="0" w:firstRowLastColumn="0" w:lastRowFirstColumn="0" w:lastRowLastColumn="0"/>
              <w:rPr>
                <w:szCs w:val="22"/>
              </w:rPr>
            </w:pPr>
            <w:r w:rsidRPr="0072451D">
              <w:rPr>
                <w:szCs w:val="22"/>
              </w:rPr>
              <w:t>Meaning</w:t>
            </w:r>
          </w:p>
        </w:tc>
      </w:tr>
      <w:tr w:rsidR="0072451D" w:rsidRPr="0072451D" w14:paraId="6222D3DB"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6C0ED0" w14:textId="77777777" w:rsidR="0072451D" w:rsidRPr="0072451D" w:rsidRDefault="0072451D" w:rsidP="00FD1A54">
            <w:pPr>
              <w:rPr>
                <w:szCs w:val="22"/>
              </w:rPr>
            </w:pPr>
            <w:r w:rsidRPr="0072451D">
              <w:rPr>
                <w:szCs w:val="22"/>
              </w:rPr>
              <w:t>ARTG</w:t>
            </w:r>
          </w:p>
        </w:tc>
        <w:tc>
          <w:tcPr>
            <w:tcW w:w="3800" w:type="pct"/>
          </w:tcPr>
          <w:p w14:paraId="0480F425"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Australian Register of Therapeutic Goods</w:t>
            </w:r>
          </w:p>
        </w:tc>
      </w:tr>
      <w:tr w:rsidR="0072451D" w:rsidRPr="0072451D" w14:paraId="76E9496E"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265D09" w14:textId="77777777" w:rsidR="0072451D" w:rsidRPr="0072451D" w:rsidRDefault="0072451D" w:rsidP="00FD1A54">
            <w:pPr>
              <w:rPr>
                <w:szCs w:val="22"/>
              </w:rPr>
            </w:pPr>
            <w:r w:rsidRPr="0072451D">
              <w:rPr>
                <w:rFonts w:cs="TimesNewRomanPSMT"/>
                <w:szCs w:val="22"/>
                <w14:ligatures w14:val="standardContextual"/>
              </w:rPr>
              <w:t>AUC</w:t>
            </w:r>
          </w:p>
        </w:tc>
        <w:tc>
          <w:tcPr>
            <w:tcW w:w="3800" w:type="pct"/>
          </w:tcPr>
          <w:p w14:paraId="73CC125C"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rFonts w:cs="TimesNewRomanPSMT"/>
                <w:szCs w:val="22"/>
                <w14:ligatures w14:val="standardContextual"/>
              </w:rPr>
              <w:t>Area under concentration-time curve</w:t>
            </w:r>
          </w:p>
        </w:tc>
      </w:tr>
      <w:tr w:rsidR="0072451D" w:rsidRPr="0072451D" w14:paraId="0CAF8BFD"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B30475" w14:textId="77777777" w:rsidR="0072451D" w:rsidRPr="0072451D" w:rsidRDefault="0072451D" w:rsidP="00FD1A54">
            <w:pPr>
              <w:rPr>
                <w:szCs w:val="22"/>
              </w:rPr>
            </w:pPr>
            <w:r w:rsidRPr="0072451D">
              <w:rPr>
                <w:rFonts w:cs="TimesNewRomanPSMT"/>
                <w:sz w:val="23"/>
                <w:szCs w:val="23"/>
                <w14:ligatures w14:val="standardContextual"/>
              </w:rPr>
              <w:t>AUC</w:t>
            </w:r>
            <w:r w:rsidRPr="0072451D">
              <w:rPr>
                <w:rFonts w:cs="TimesNewRomanPSMT"/>
                <w:sz w:val="15"/>
                <w:szCs w:val="15"/>
                <w14:ligatures w14:val="standardContextual"/>
              </w:rPr>
              <w:t xml:space="preserve">0-inf </w:t>
            </w:r>
          </w:p>
        </w:tc>
        <w:tc>
          <w:tcPr>
            <w:tcW w:w="3800" w:type="pct"/>
          </w:tcPr>
          <w:p w14:paraId="64BEF450"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rFonts w:cs="TimesNewRomanPSMT"/>
                <w:szCs w:val="22"/>
                <w14:ligatures w14:val="standardContextual"/>
              </w:rPr>
              <w:t>AUC extrapolated to infinity</w:t>
            </w:r>
          </w:p>
        </w:tc>
      </w:tr>
      <w:tr w:rsidR="0072451D" w:rsidRPr="0072451D" w14:paraId="3DFB8858"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9A241A" w14:textId="77777777" w:rsidR="0072451D" w:rsidRPr="0072451D" w:rsidRDefault="0072451D" w:rsidP="00FD1A54">
            <w:pPr>
              <w:rPr>
                <w:rFonts w:cs="TimesNewRomanPSMT"/>
                <w:sz w:val="23"/>
                <w:szCs w:val="23"/>
                <w14:ligatures w14:val="standardContextual"/>
              </w:rPr>
            </w:pPr>
            <w:r w:rsidRPr="0072451D">
              <w:rPr>
                <w:rFonts w:cs="TimesNewRomanPSMT"/>
                <w:sz w:val="23"/>
                <w:szCs w:val="23"/>
                <w14:ligatures w14:val="standardContextual"/>
              </w:rPr>
              <w:t>AUC</w:t>
            </w:r>
            <w:r w:rsidRPr="0072451D">
              <w:rPr>
                <w:rFonts w:cs="TimesNewRomanPSMT"/>
                <w:sz w:val="15"/>
                <w:szCs w:val="15"/>
                <w14:ligatures w14:val="standardContextual"/>
              </w:rPr>
              <w:t>0-t</w:t>
            </w:r>
          </w:p>
        </w:tc>
        <w:tc>
          <w:tcPr>
            <w:tcW w:w="3800" w:type="pct"/>
          </w:tcPr>
          <w:p w14:paraId="4567E651"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rFonts w:cs="TimesNewRomanPSMT"/>
                <w:szCs w:val="22"/>
                <w14:ligatures w14:val="standardContextual"/>
              </w:rPr>
            </w:pPr>
            <w:r w:rsidRPr="0072451D">
              <w:rPr>
                <w:rFonts w:cs="TimesNewRomanPSMT"/>
                <w:szCs w:val="22"/>
                <w14:ligatures w14:val="standardContextual"/>
              </w:rPr>
              <w:t>AUC from time of dosing to time of last measurable concentration</w:t>
            </w:r>
          </w:p>
        </w:tc>
      </w:tr>
      <w:tr w:rsidR="0072451D" w:rsidRPr="0072451D" w14:paraId="57BE4D90"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AA666A" w14:textId="77777777" w:rsidR="0072451D" w:rsidRPr="0072451D" w:rsidRDefault="0072451D" w:rsidP="00FD1A54">
            <w:pPr>
              <w:rPr>
                <w:rFonts w:cs="TimesNewRomanPSMT"/>
                <w:szCs w:val="22"/>
                <w14:ligatures w14:val="standardContextual"/>
              </w:rPr>
            </w:pPr>
            <w:r w:rsidRPr="0072451D">
              <w:rPr>
                <w:rFonts w:cs="TimesNewRomanPSMT"/>
                <w:szCs w:val="22"/>
                <w14:ligatures w14:val="standardContextual"/>
              </w:rPr>
              <w:t>CL/F</w:t>
            </w:r>
          </w:p>
        </w:tc>
        <w:tc>
          <w:tcPr>
            <w:tcW w:w="3800" w:type="pct"/>
          </w:tcPr>
          <w:p w14:paraId="094FDC2D" w14:textId="048DF93E" w:rsidR="0072451D" w:rsidRPr="0072451D" w:rsidRDefault="0072451D" w:rsidP="00A736EC">
            <w:pPr>
              <w:cnfStyle w:val="000000000000" w:firstRow="0" w:lastRow="0" w:firstColumn="0" w:lastColumn="0" w:oddVBand="0" w:evenVBand="0" w:oddHBand="0" w:evenHBand="0" w:firstRowFirstColumn="0" w:firstRowLastColumn="0" w:lastRowFirstColumn="0" w:lastRowLastColumn="0"/>
              <w:rPr>
                <w:rFonts w:cs="TimesNewRomanPSMT"/>
                <w:szCs w:val="22"/>
                <w14:ligatures w14:val="standardContextual"/>
              </w:rPr>
            </w:pPr>
            <w:r w:rsidRPr="0072451D">
              <w:rPr>
                <w:rFonts w:cs="TimesNewRomanPSMT"/>
                <w:szCs w:val="22"/>
                <w14:ligatures w14:val="standardContextual"/>
              </w:rPr>
              <w:t>Apparent total clearance of the drug from plasma after oral</w:t>
            </w:r>
            <w:r w:rsidR="00A736EC">
              <w:rPr>
                <w:rFonts w:cs="TimesNewRomanPSMT"/>
                <w:szCs w:val="22"/>
                <w14:ligatures w14:val="standardContextual"/>
              </w:rPr>
              <w:t xml:space="preserve"> </w:t>
            </w:r>
            <w:r w:rsidRPr="0072451D">
              <w:rPr>
                <w:rFonts w:cs="TimesNewRomanPSMT"/>
                <w:szCs w:val="22"/>
                <w14:ligatures w14:val="standardContextual"/>
              </w:rPr>
              <w:t>administration</w:t>
            </w:r>
          </w:p>
        </w:tc>
      </w:tr>
      <w:tr w:rsidR="0072451D" w:rsidRPr="0072451D" w14:paraId="336AECB9"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B27563" w14:textId="77777777" w:rsidR="0072451D" w:rsidRPr="0072451D" w:rsidRDefault="0072451D" w:rsidP="00FD1A54">
            <w:pPr>
              <w:rPr>
                <w:rFonts w:cs="TimesNewRomanPSMT"/>
                <w:sz w:val="23"/>
                <w:szCs w:val="23"/>
                <w14:ligatures w14:val="standardContextual"/>
              </w:rPr>
            </w:pPr>
            <w:r w:rsidRPr="0072451D">
              <w:rPr>
                <w:rFonts w:cs="TimesNewRomanPSMT"/>
                <w:sz w:val="23"/>
                <w:szCs w:val="23"/>
                <w14:ligatures w14:val="standardContextual"/>
              </w:rPr>
              <w:t>C</w:t>
            </w:r>
            <w:r w:rsidRPr="0072451D">
              <w:rPr>
                <w:rFonts w:cs="TimesNewRomanPSMT"/>
                <w:sz w:val="15"/>
                <w:szCs w:val="15"/>
                <w14:ligatures w14:val="standardContextual"/>
              </w:rPr>
              <w:t xml:space="preserve">max </w:t>
            </w:r>
          </w:p>
        </w:tc>
        <w:tc>
          <w:tcPr>
            <w:tcW w:w="3800" w:type="pct"/>
          </w:tcPr>
          <w:p w14:paraId="6B4E3C44"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rFonts w:cs="TimesNewRomanPSMT"/>
                <w:szCs w:val="22"/>
                <w14:ligatures w14:val="standardContextual"/>
              </w:rPr>
            </w:pPr>
            <w:r w:rsidRPr="0072451D">
              <w:rPr>
                <w:rFonts w:cs="TimesNewRomanPSMT"/>
                <w:szCs w:val="22"/>
                <w14:ligatures w14:val="standardContextual"/>
              </w:rPr>
              <w:t>Maximum concentration</w:t>
            </w:r>
          </w:p>
        </w:tc>
      </w:tr>
      <w:tr w:rsidR="0072451D" w:rsidRPr="0072451D" w14:paraId="65F42A39"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083DF7" w14:textId="77777777" w:rsidR="0072451D" w:rsidRPr="0072451D" w:rsidRDefault="0072451D" w:rsidP="00FD1A54">
            <w:pPr>
              <w:rPr>
                <w:szCs w:val="22"/>
              </w:rPr>
            </w:pPr>
            <w:r w:rsidRPr="0072451D">
              <w:rPr>
                <w:szCs w:val="22"/>
              </w:rPr>
              <w:t>CMI</w:t>
            </w:r>
          </w:p>
        </w:tc>
        <w:tc>
          <w:tcPr>
            <w:tcW w:w="3800" w:type="pct"/>
          </w:tcPr>
          <w:p w14:paraId="5F3DEE84"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Consumer Medicines Information</w:t>
            </w:r>
          </w:p>
        </w:tc>
      </w:tr>
      <w:tr w:rsidR="0072451D" w:rsidRPr="0072451D" w14:paraId="522E5C72"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04B89A" w14:textId="77777777" w:rsidR="0072451D" w:rsidRPr="0072451D" w:rsidRDefault="0072451D" w:rsidP="00FD1A54">
            <w:pPr>
              <w:rPr>
                <w:szCs w:val="22"/>
              </w:rPr>
            </w:pPr>
            <w:r w:rsidRPr="0072451D">
              <w:rPr>
                <w:szCs w:val="22"/>
              </w:rPr>
              <w:t>Evaluator</w:t>
            </w:r>
          </w:p>
        </w:tc>
        <w:tc>
          <w:tcPr>
            <w:tcW w:w="3800" w:type="pct"/>
          </w:tcPr>
          <w:p w14:paraId="472ADB5D"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A technical expert employed at the TGA who assesses the safety, quality, and efficacy of medicines and medical devices before they are approved for the Australian market.</w:t>
            </w:r>
          </w:p>
        </w:tc>
      </w:tr>
      <w:tr w:rsidR="0072451D" w:rsidRPr="0072451D" w14:paraId="5A65F111"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9D5D33" w14:textId="77777777" w:rsidR="0072451D" w:rsidRPr="0072451D" w:rsidRDefault="0072451D" w:rsidP="00FD1A54">
            <w:pPr>
              <w:rPr>
                <w:szCs w:val="22"/>
              </w:rPr>
            </w:pPr>
            <w:r w:rsidRPr="0072451D">
              <w:t>Delegate</w:t>
            </w:r>
          </w:p>
        </w:tc>
        <w:tc>
          <w:tcPr>
            <w:tcW w:w="3800" w:type="pct"/>
          </w:tcPr>
          <w:p w14:paraId="4B0D5AEC"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The Delegate of the Secretary of the Department of Health, Disability and Ageing who decided the submission under section 25 of the Act.</w:t>
            </w:r>
          </w:p>
        </w:tc>
      </w:tr>
      <w:tr w:rsidR="0072451D" w:rsidRPr="0072451D" w14:paraId="6A9DF7BF"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DDF125" w14:textId="77777777" w:rsidR="0072451D" w:rsidRPr="0072451D" w:rsidRDefault="0072451D" w:rsidP="00FD1A54">
            <w:r w:rsidRPr="0072451D">
              <w:rPr>
                <w:iCs/>
                <w:szCs w:val="22"/>
                <w:lang w:val="en-US"/>
              </w:rPr>
              <w:t xml:space="preserve">HAE </w:t>
            </w:r>
          </w:p>
        </w:tc>
        <w:tc>
          <w:tcPr>
            <w:tcW w:w="3800" w:type="pct"/>
          </w:tcPr>
          <w:p w14:paraId="4478D55C"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iCs/>
                <w:szCs w:val="22"/>
                <w:lang w:val="en-US"/>
              </w:rPr>
              <w:t>Hereditary angioedema</w:t>
            </w:r>
          </w:p>
        </w:tc>
      </w:tr>
      <w:tr w:rsidR="0072451D" w:rsidRPr="0072451D" w14:paraId="5F08570C"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6459C" w14:textId="77777777" w:rsidR="0072451D" w:rsidRPr="0072451D" w:rsidRDefault="0072451D" w:rsidP="00FD1A54">
            <w:pPr>
              <w:rPr>
                <w:iCs/>
                <w:szCs w:val="22"/>
                <w:lang w:val="en-US"/>
              </w:rPr>
            </w:pPr>
            <w:r w:rsidRPr="0072451D">
              <w:t>IMP</w:t>
            </w:r>
          </w:p>
        </w:tc>
        <w:tc>
          <w:tcPr>
            <w:tcW w:w="3800" w:type="pct"/>
          </w:tcPr>
          <w:p w14:paraId="421948BD"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iCs/>
                <w:szCs w:val="22"/>
                <w:lang w:val="en-US"/>
              </w:rPr>
            </w:pPr>
            <w:r w:rsidRPr="0072451D">
              <w:rPr>
                <w:szCs w:val="22"/>
              </w:rPr>
              <w:t>Investigational medicinal product</w:t>
            </w:r>
          </w:p>
        </w:tc>
      </w:tr>
      <w:tr w:rsidR="0072451D" w:rsidRPr="0072451D" w14:paraId="48FD88FE"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003FC6" w14:textId="77777777" w:rsidR="0072451D" w:rsidRPr="0072451D" w:rsidRDefault="0072451D" w:rsidP="00FD1A54">
            <w:r w:rsidRPr="0072451D">
              <w:t>PGI-C</w:t>
            </w:r>
          </w:p>
        </w:tc>
        <w:tc>
          <w:tcPr>
            <w:tcW w:w="3800" w:type="pct"/>
          </w:tcPr>
          <w:p w14:paraId="4A9B75A8"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Patient Global Impression of Change</w:t>
            </w:r>
          </w:p>
        </w:tc>
      </w:tr>
      <w:tr w:rsidR="0072451D" w:rsidRPr="0072451D" w14:paraId="778CCDFE"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7D65BE" w14:textId="77777777" w:rsidR="0072451D" w:rsidRPr="0072451D" w:rsidRDefault="0072451D" w:rsidP="00FD1A54">
            <w:pPr>
              <w:rPr>
                <w:szCs w:val="22"/>
              </w:rPr>
            </w:pPr>
            <w:r w:rsidRPr="0072451D">
              <w:rPr>
                <w:szCs w:val="22"/>
              </w:rPr>
              <w:t>PI</w:t>
            </w:r>
          </w:p>
        </w:tc>
        <w:tc>
          <w:tcPr>
            <w:tcW w:w="3800" w:type="pct"/>
          </w:tcPr>
          <w:p w14:paraId="02B51254"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Product Information</w:t>
            </w:r>
          </w:p>
        </w:tc>
      </w:tr>
      <w:tr w:rsidR="0072451D" w:rsidRPr="0072451D" w14:paraId="4F821795"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C7934B" w14:textId="77777777" w:rsidR="0072451D" w:rsidRPr="0072451D" w:rsidRDefault="0072451D" w:rsidP="00FD1A54">
            <w:pPr>
              <w:rPr>
                <w:szCs w:val="22"/>
              </w:rPr>
            </w:pPr>
            <w:r w:rsidRPr="0072451D">
              <w:t>PK</w:t>
            </w:r>
          </w:p>
        </w:tc>
        <w:tc>
          <w:tcPr>
            <w:tcW w:w="3800" w:type="pct"/>
          </w:tcPr>
          <w:p w14:paraId="566A8521"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Pharmacokinetics</w:t>
            </w:r>
          </w:p>
        </w:tc>
      </w:tr>
      <w:tr w:rsidR="0072451D" w:rsidRPr="0072451D" w14:paraId="561B7D8C"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CF8BBD" w14:textId="77777777" w:rsidR="0072451D" w:rsidRPr="0072451D" w:rsidRDefault="0072451D" w:rsidP="00FD1A54">
            <w:pPr>
              <w:rPr>
                <w:szCs w:val="22"/>
              </w:rPr>
            </w:pPr>
            <w:r w:rsidRPr="0072451D">
              <w:rPr>
                <w:szCs w:val="22"/>
              </w:rPr>
              <w:t>RMP</w:t>
            </w:r>
          </w:p>
        </w:tc>
        <w:tc>
          <w:tcPr>
            <w:tcW w:w="3800" w:type="pct"/>
          </w:tcPr>
          <w:p w14:paraId="5130BEFB"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Risk management plan</w:t>
            </w:r>
          </w:p>
        </w:tc>
      </w:tr>
      <w:tr w:rsidR="0072451D" w:rsidRPr="0072451D" w14:paraId="696B8E22"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AC3FF1" w14:textId="77777777" w:rsidR="0072451D" w:rsidRPr="0072451D" w:rsidRDefault="0072451D" w:rsidP="00FD1A54">
            <w:pPr>
              <w:rPr>
                <w:szCs w:val="22"/>
              </w:rPr>
            </w:pPr>
            <w:r w:rsidRPr="0072451D">
              <w:rPr>
                <w:szCs w:val="22"/>
              </w:rPr>
              <w:t>TGA</w:t>
            </w:r>
          </w:p>
        </w:tc>
        <w:tc>
          <w:tcPr>
            <w:tcW w:w="3800" w:type="pct"/>
          </w:tcPr>
          <w:p w14:paraId="261E09D2"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Therapeutic Goods Administration</w:t>
            </w:r>
          </w:p>
        </w:tc>
      </w:tr>
      <w:tr w:rsidR="0072451D" w:rsidRPr="0072451D" w14:paraId="03C65EEB"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38AE2D" w14:textId="77777777" w:rsidR="0072451D" w:rsidRPr="0072451D" w:rsidRDefault="0072451D" w:rsidP="00FD1A54">
            <w:pPr>
              <w:rPr>
                <w:szCs w:val="22"/>
              </w:rPr>
            </w:pPr>
            <w:r w:rsidRPr="0072451D">
              <w:rPr>
                <w:rFonts w:cs="TimesNewRomanPSMT"/>
                <w:sz w:val="23"/>
                <w:szCs w:val="23"/>
                <w14:ligatures w14:val="standardContextual"/>
              </w:rPr>
              <w:t>T</w:t>
            </w:r>
            <w:r w:rsidRPr="0072451D">
              <w:rPr>
                <w:rFonts w:cs="TimesNewRomanPSMT"/>
                <w:sz w:val="15"/>
                <w:szCs w:val="15"/>
                <w14:ligatures w14:val="standardContextual"/>
              </w:rPr>
              <w:t xml:space="preserve">max </w:t>
            </w:r>
          </w:p>
        </w:tc>
        <w:tc>
          <w:tcPr>
            <w:tcW w:w="3800" w:type="pct"/>
          </w:tcPr>
          <w:p w14:paraId="3F7EEFE8" w14:textId="77777777" w:rsidR="0072451D" w:rsidRPr="0072451D" w:rsidRDefault="0072451D" w:rsidP="00FD1A54">
            <w:pPr>
              <w:cnfStyle w:val="000000000000" w:firstRow="0" w:lastRow="0" w:firstColumn="0" w:lastColumn="0" w:oddVBand="0" w:evenVBand="0" w:oddHBand="0" w:evenHBand="0" w:firstRowFirstColumn="0" w:firstRowLastColumn="0" w:lastRowFirstColumn="0" w:lastRowLastColumn="0"/>
              <w:rPr>
                <w:szCs w:val="22"/>
              </w:rPr>
            </w:pPr>
            <w:r w:rsidRPr="0072451D">
              <w:rPr>
                <w:rFonts w:cs="TimesNewRomanPSMT"/>
                <w:szCs w:val="22"/>
                <w14:ligatures w14:val="standardContextual"/>
              </w:rPr>
              <w:t>Time to C</w:t>
            </w:r>
            <w:r w:rsidRPr="00E44488">
              <w:rPr>
                <w:rFonts w:cs="TimesNewRomanPSMT"/>
                <w:szCs w:val="22"/>
                <w:vertAlign w:val="subscript"/>
                <w14:ligatures w14:val="standardContextual"/>
              </w:rPr>
              <w:t>max</w:t>
            </w:r>
          </w:p>
        </w:tc>
      </w:tr>
      <w:tr w:rsidR="0072451D" w:rsidRPr="0072451D" w14:paraId="5D937315" w14:textId="77777777" w:rsidTr="00FD1A5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34035B" w14:textId="77777777" w:rsidR="0072451D" w:rsidRPr="0072451D" w:rsidRDefault="0072451D" w:rsidP="00FD1A54">
            <w:pPr>
              <w:rPr>
                <w:szCs w:val="22"/>
              </w:rPr>
            </w:pPr>
            <w:r w:rsidRPr="0072451D">
              <w:rPr>
                <w:szCs w:val="22"/>
              </w:rPr>
              <w:t>V</w:t>
            </w:r>
            <w:r w:rsidRPr="00E44488">
              <w:rPr>
                <w:szCs w:val="22"/>
                <w:vertAlign w:val="subscript"/>
              </w:rPr>
              <w:t>z</w:t>
            </w:r>
            <w:r w:rsidRPr="0072451D">
              <w:rPr>
                <w:szCs w:val="22"/>
              </w:rPr>
              <w:t>/F</w:t>
            </w:r>
          </w:p>
        </w:tc>
        <w:tc>
          <w:tcPr>
            <w:tcW w:w="3800" w:type="pct"/>
          </w:tcPr>
          <w:p w14:paraId="008A8816" w14:textId="63D1A439" w:rsidR="0072451D" w:rsidRPr="0072451D" w:rsidRDefault="0072451D" w:rsidP="00A736EC">
            <w:pPr>
              <w:cnfStyle w:val="000000000000" w:firstRow="0" w:lastRow="0" w:firstColumn="0" w:lastColumn="0" w:oddVBand="0" w:evenVBand="0" w:oddHBand="0" w:evenHBand="0" w:firstRowFirstColumn="0" w:firstRowLastColumn="0" w:lastRowFirstColumn="0" w:lastRowLastColumn="0"/>
              <w:rPr>
                <w:szCs w:val="22"/>
              </w:rPr>
            </w:pPr>
            <w:r w:rsidRPr="0072451D">
              <w:rPr>
                <w:szCs w:val="22"/>
              </w:rPr>
              <w:t>Apparent volume of distribution during the terminal phase after</w:t>
            </w:r>
            <w:r w:rsidR="00A736EC">
              <w:rPr>
                <w:szCs w:val="22"/>
              </w:rPr>
              <w:t xml:space="preserve"> </w:t>
            </w:r>
            <w:r w:rsidRPr="0072451D">
              <w:rPr>
                <w:szCs w:val="22"/>
              </w:rPr>
              <w:t>oral drug administration</w:t>
            </w:r>
          </w:p>
        </w:tc>
      </w:tr>
    </w:tbl>
    <w:p w14:paraId="02FB1F38" w14:textId="77777777" w:rsidR="00324B33" w:rsidRPr="00FD119B" w:rsidRDefault="00324B33" w:rsidP="00A736EC">
      <w:r w:rsidRPr="00FD119B">
        <w:br w:type="page"/>
      </w:r>
    </w:p>
    <w:p w14:paraId="44C2A39C" w14:textId="77777777" w:rsidR="00324B33" w:rsidRDefault="00324B33" w:rsidP="00324B33">
      <w:pPr>
        <w:pStyle w:val="Heading2"/>
      </w:pPr>
      <w:bookmarkStart w:id="5" w:name="_Toc103679288"/>
      <w:bookmarkStart w:id="6" w:name="_Toc228878051"/>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28878052"/>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13728BD6" w:rsidR="00324B33" w:rsidRPr="00BD5DBD" w:rsidRDefault="00324B33" w:rsidP="007452E8">
            <w:pPr>
              <w:rPr>
                <w:i/>
                <w:szCs w:val="22"/>
              </w:rPr>
            </w:pPr>
            <w:r w:rsidRPr="00BD5DBD">
              <w:rPr>
                <w:i/>
                <w:szCs w:val="22"/>
              </w:rPr>
              <w:t>Type of submission:</w:t>
            </w:r>
          </w:p>
        </w:tc>
        <w:tc>
          <w:tcPr>
            <w:tcW w:w="3423" w:type="pct"/>
          </w:tcPr>
          <w:p w14:paraId="4F07C303" w14:textId="0274ACD8" w:rsidR="00324B33" w:rsidRPr="00BD5DBD" w:rsidRDefault="00324B33" w:rsidP="007452E8">
            <w:pPr>
              <w:rPr>
                <w:szCs w:val="22"/>
              </w:rPr>
            </w:pPr>
            <w:r w:rsidRPr="00BD5DBD">
              <w:rPr>
                <w:szCs w:val="22"/>
              </w:rPr>
              <w:t>New chemical entit</w:t>
            </w:r>
            <w:r w:rsidR="00566A5B">
              <w:rPr>
                <w:szCs w:val="22"/>
              </w:rPr>
              <w:t>y</w:t>
            </w:r>
          </w:p>
        </w:tc>
      </w:tr>
      <w:tr w:rsidR="00324B33" w:rsidRPr="00BD5DBD" w14:paraId="13482B61" w14:textId="77777777" w:rsidTr="00F865A7">
        <w:tc>
          <w:tcPr>
            <w:tcW w:w="1577" w:type="pct"/>
          </w:tcPr>
          <w:p w14:paraId="2C427FCF" w14:textId="2A68756F" w:rsidR="00324B33" w:rsidRPr="00BD5DBD" w:rsidRDefault="00324B33" w:rsidP="007452E8">
            <w:pPr>
              <w:rPr>
                <w:i/>
                <w:szCs w:val="22"/>
              </w:rPr>
            </w:pPr>
            <w:r w:rsidRPr="00BD5DBD">
              <w:rPr>
                <w:i/>
                <w:szCs w:val="22"/>
              </w:rPr>
              <w:t>Product names:</w:t>
            </w:r>
          </w:p>
        </w:tc>
        <w:tc>
          <w:tcPr>
            <w:tcW w:w="3423" w:type="pct"/>
          </w:tcPr>
          <w:p w14:paraId="0E2DEF76" w14:textId="3594D48A" w:rsidR="00324B33" w:rsidRPr="00BD5DBD" w:rsidRDefault="00566A5B" w:rsidP="007452E8">
            <w:pPr>
              <w:rPr>
                <w:szCs w:val="22"/>
              </w:rPr>
            </w:pPr>
            <w:r w:rsidRPr="00566A5B">
              <w:rPr>
                <w:szCs w:val="22"/>
              </w:rPr>
              <w:t>Ekterly</w:t>
            </w:r>
          </w:p>
        </w:tc>
      </w:tr>
      <w:tr w:rsidR="00324B33" w:rsidRPr="00BD5DBD" w14:paraId="01255B5B" w14:textId="77777777" w:rsidTr="00F865A7">
        <w:tc>
          <w:tcPr>
            <w:tcW w:w="1577" w:type="pct"/>
          </w:tcPr>
          <w:p w14:paraId="52B4F3D7" w14:textId="3F7DAA91" w:rsidR="00324B33" w:rsidRPr="00BD5DBD" w:rsidRDefault="00324B33" w:rsidP="007452E8">
            <w:pPr>
              <w:rPr>
                <w:i/>
                <w:szCs w:val="22"/>
              </w:rPr>
            </w:pPr>
            <w:r w:rsidRPr="00BD5DBD">
              <w:rPr>
                <w:i/>
                <w:szCs w:val="22"/>
              </w:rPr>
              <w:t>Active ingredient:</w:t>
            </w:r>
          </w:p>
        </w:tc>
        <w:tc>
          <w:tcPr>
            <w:tcW w:w="3423" w:type="pct"/>
          </w:tcPr>
          <w:p w14:paraId="02FB6383" w14:textId="54FA0F56" w:rsidR="00324B33" w:rsidRPr="00BD5DBD" w:rsidRDefault="00EC25CB" w:rsidP="007452E8">
            <w:pPr>
              <w:rPr>
                <w:szCs w:val="22"/>
              </w:rPr>
            </w:pPr>
            <w:r>
              <w:rPr>
                <w:szCs w:val="22"/>
              </w:rPr>
              <w:t>sebetralstat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C4618EB"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45EC11DC" w:rsidR="00AE1947" w:rsidRPr="00BD5DBD" w:rsidRDefault="00745A12" w:rsidP="00602658">
            <w:pPr>
              <w:rPr>
                <w:szCs w:val="22"/>
              </w:rPr>
            </w:pPr>
            <w:r>
              <w:rPr>
                <w:szCs w:val="22"/>
              </w:rPr>
              <w:t>9 October 2025</w:t>
            </w:r>
          </w:p>
        </w:tc>
      </w:tr>
      <w:tr w:rsidR="004A20BC" w:rsidRPr="00BD5DBD" w14:paraId="1BD35D08" w14:textId="77777777" w:rsidTr="00F865A7">
        <w:tc>
          <w:tcPr>
            <w:tcW w:w="1577"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3423" w:type="pct"/>
          </w:tcPr>
          <w:p w14:paraId="2C96449F" w14:textId="22342A35" w:rsidR="004A20BC" w:rsidRPr="00D16D43" w:rsidRDefault="00D16D43" w:rsidP="00602658">
            <w:pPr>
              <w:rPr>
                <w:iCs/>
                <w:szCs w:val="22"/>
              </w:rPr>
            </w:pPr>
            <w:r w:rsidRPr="00D16D43">
              <w:rPr>
                <w:iCs/>
                <w:szCs w:val="22"/>
                <w:lang w:val="en-US"/>
              </w:rPr>
              <w:t>Ekterly is indicated for the treatment of hereditary angioedema (HAE) attacks caused by C1 inhibitor deficiency or dysfunction in patients aged 12 years and older</w:t>
            </w:r>
            <w:r>
              <w:rPr>
                <w:iCs/>
                <w:szCs w:val="22"/>
                <w:lang w:val="en-US"/>
              </w:rPr>
              <w:t>.</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6461FF0" w:rsidR="00324B33" w:rsidRPr="00BD5DBD" w:rsidRDefault="001A4DBA" w:rsidP="007452E8">
            <w:pPr>
              <w:rPr>
                <w:szCs w:val="22"/>
              </w:rPr>
            </w:pPr>
            <w:r w:rsidRPr="001A4DBA">
              <w:rPr>
                <w:szCs w:val="22"/>
              </w:rPr>
              <w:t>19 November 2025</w:t>
            </w:r>
          </w:p>
        </w:tc>
      </w:tr>
      <w:tr w:rsidR="00324B33" w:rsidRPr="00BD5DBD" w14:paraId="547E08D7" w14:textId="77777777" w:rsidTr="00F865A7">
        <w:tc>
          <w:tcPr>
            <w:tcW w:w="1577" w:type="pct"/>
          </w:tcPr>
          <w:p w14:paraId="5030EF30" w14:textId="5B9E9D1A" w:rsidR="00324B33" w:rsidRPr="00BD5DBD" w:rsidRDefault="00324B33" w:rsidP="007452E8">
            <w:pPr>
              <w:rPr>
                <w:i/>
                <w:szCs w:val="22"/>
              </w:rPr>
            </w:pPr>
            <w:r w:rsidRPr="00BD5DBD">
              <w:rPr>
                <w:i/>
                <w:szCs w:val="22"/>
              </w:rPr>
              <w:t>ARTG number:</w:t>
            </w:r>
          </w:p>
        </w:tc>
        <w:tc>
          <w:tcPr>
            <w:tcW w:w="3423" w:type="pct"/>
          </w:tcPr>
          <w:p w14:paraId="0054E912" w14:textId="75FC1145" w:rsidR="00324B33" w:rsidRPr="00BD5DBD" w:rsidRDefault="00A71D46" w:rsidP="007452E8">
            <w:pPr>
              <w:rPr>
                <w:szCs w:val="22"/>
              </w:rPr>
            </w:pPr>
            <w:hyperlink r:id="rId17" w:history="1">
              <w:r w:rsidRPr="00A71D46">
                <w:rPr>
                  <w:rStyle w:val="Hyperlink"/>
                  <w:szCs w:val="22"/>
                </w:rPr>
                <w:t>462847</w:t>
              </w:r>
            </w:hyperlink>
          </w:p>
        </w:tc>
      </w:tr>
      <w:tr w:rsidR="00324B33" w:rsidRPr="00BD5DBD" w14:paraId="7618393F" w14:textId="77777777" w:rsidTr="00F865A7">
        <w:tc>
          <w:tcPr>
            <w:tcW w:w="1577"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198E8C96"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3EB9299C" w:rsidR="00324B33" w:rsidRPr="00BD5DBD" w:rsidRDefault="009F359E" w:rsidP="007452E8">
            <w:pPr>
              <w:rPr>
                <w:i/>
                <w:szCs w:val="22"/>
              </w:rPr>
            </w:pPr>
            <w:r>
              <w:rPr>
                <w:i/>
                <w:szCs w:val="22"/>
              </w:rPr>
              <w:t>Sponsor</w:t>
            </w:r>
            <w:r w:rsidR="00324B33" w:rsidRPr="00BD5DBD">
              <w:rPr>
                <w:i/>
                <w:szCs w:val="22"/>
              </w:rPr>
              <w:t>’s name and address:</w:t>
            </w:r>
          </w:p>
        </w:tc>
        <w:tc>
          <w:tcPr>
            <w:tcW w:w="3423" w:type="pct"/>
          </w:tcPr>
          <w:p w14:paraId="68DD94B0" w14:textId="6EAD1A61" w:rsidR="00324B33" w:rsidRPr="00BD5DBD" w:rsidRDefault="006877B3" w:rsidP="006877B3">
            <w:pPr>
              <w:rPr>
                <w:szCs w:val="22"/>
              </w:rPr>
            </w:pPr>
            <w:r w:rsidRPr="006877B3">
              <w:rPr>
                <w:szCs w:val="22"/>
              </w:rPr>
              <w:t>JACE Pharma Pty Ltd</w:t>
            </w:r>
            <w:r>
              <w:rPr>
                <w:szCs w:val="22"/>
              </w:rPr>
              <w:t xml:space="preserve">, </w:t>
            </w:r>
            <w:r w:rsidRPr="006877B3">
              <w:rPr>
                <w:szCs w:val="22"/>
              </w:rPr>
              <w:t>Level 2, 8 Clunies Ross Court Brisbane Technology Park</w:t>
            </w:r>
            <w:r w:rsidR="00ED12E5">
              <w:rPr>
                <w:szCs w:val="22"/>
              </w:rPr>
              <w:t>,</w:t>
            </w:r>
            <w:r>
              <w:rPr>
                <w:szCs w:val="22"/>
              </w:rPr>
              <w:t xml:space="preserve"> </w:t>
            </w:r>
            <w:r w:rsidRPr="006877B3">
              <w:rPr>
                <w:szCs w:val="22"/>
              </w:rPr>
              <w:t>Eight Mile Plains, Queensland 4113</w:t>
            </w:r>
          </w:p>
        </w:tc>
      </w:tr>
      <w:tr w:rsidR="00324B33" w:rsidRPr="00BD5DBD" w14:paraId="5322B989" w14:textId="77777777" w:rsidTr="00F865A7">
        <w:tc>
          <w:tcPr>
            <w:tcW w:w="1577" w:type="pct"/>
          </w:tcPr>
          <w:p w14:paraId="24F217E3" w14:textId="4AF09732" w:rsidR="00324B33" w:rsidRPr="00BD5DBD" w:rsidRDefault="00324B33" w:rsidP="007452E8">
            <w:pPr>
              <w:rPr>
                <w:i/>
                <w:szCs w:val="22"/>
              </w:rPr>
            </w:pPr>
            <w:r w:rsidRPr="00BD5DBD">
              <w:rPr>
                <w:i/>
                <w:szCs w:val="22"/>
              </w:rPr>
              <w:t>Dose form:</w:t>
            </w:r>
          </w:p>
        </w:tc>
        <w:tc>
          <w:tcPr>
            <w:tcW w:w="3423" w:type="pct"/>
          </w:tcPr>
          <w:p w14:paraId="768B254C" w14:textId="1AAB4D06" w:rsidR="00324B33" w:rsidRPr="00BD5DBD" w:rsidRDefault="003062D7" w:rsidP="007452E8">
            <w:pPr>
              <w:rPr>
                <w:szCs w:val="22"/>
              </w:rPr>
            </w:pPr>
            <w:r>
              <w:t>Film-coated</w:t>
            </w:r>
            <w:r>
              <w:rPr>
                <w:spacing w:val="-7"/>
              </w:rPr>
              <w:t xml:space="preserve"> </w:t>
            </w:r>
            <w:r>
              <w:t>tablet</w:t>
            </w:r>
          </w:p>
        </w:tc>
      </w:tr>
      <w:tr w:rsidR="00324B33" w:rsidRPr="00BD5DBD" w14:paraId="115243E6" w14:textId="77777777" w:rsidTr="00F865A7">
        <w:tc>
          <w:tcPr>
            <w:tcW w:w="1577" w:type="pct"/>
          </w:tcPr>
          <w:p w14:paraId="7634B062" w14:textId="0AE54404" w:rsidR="00324B33" w:rsidRPr="00BD5DBD" w:rsidRDefault="00324B33" w:rsidP="007452E8">
            <w:pPr>
              <w:rPr>
                <w:i/>
                <w:szCs w:val="22"/>
              </w:rPr>
            </w:pPr>
            <w:r w:rsidRPr="00BD5DBD">
              <w:rPr>
                <w:i/>
                <w:szCs w:val="22"/>
              </w:rPr>
              <w:t>Strength:</w:t>
            </w:r>
          </w:p>
        </w:tc>
        <w:tc>
          <w:tcPr>
            <w:tcW w:w="3423" w:type="pct"/>
          </w:tcPr>
          <w:p w14:paraId="5E5F83DB" w14:textId="4EEB6441" w:rsidR="00324B33" w:rsidRPr="00BD5DBD" w:rsidRDefault="00CC7D95" w:rsidP="007452E8">
            <w:pPr>
              <w:rPr>
                <w:szCs w:val="22"/>
              </w:rPr>
            </w:pPr>
            <w:r>
              <w:t>Each</w:t>
            </w:r>
            <w:r>
              <w:rPr>
                <w:spacing w:val="-8"/>
              </w:rPr>
              <w:t xml:space="preserve"> </w:t>
            </w:r>
            <w:r>
              <w:t>film-coated</w:t>
            </w:r>
            <w:r>
              <w:rPr>
                <w:spacing w:val="-7"/>
              </w:rPr>
              <w:t xml:space="preserve"> </w:t>
            </w:r>
            <w:r>
              <w:t>tablet</w:t>
            </w:r>
            <w:r>
              <w:rPr>
                <w:spacing w:val="-7"/>
              </w:rPr>
              <w:t xml:space="preserve"> </w:t>
            </w:r>
            <w:r>
              <w:t>contains</w:t>
            </w:r>
            <w:r>
              <w:rPr>
                <w:spacing w:val="-8"/>
              </w:rPr>
              <w:t xml:space="preserve"> </w:t>
            </w:r>
            <w:r>
              <w:t>300</w:t>
            </w:r>
            <w:r>
              <w:rPr>
                <w:spacing w:val="-8"/>
              </w:rPr>
              <w:t xml:space="preserve"> </w:t>
            </w:r>
            <w:r>
              <w:t>mg</w:t>
            </w:r>
            <w:r>
              <w:rPr>
                <w:spacing w:val="-8"/>
              </w:rPr>
              <w:t xml:space="preserve"> </w:t>
            </w:r>
            <w:r w:rsidR="00EC25CB">
              <w:rPr>
                <w:spacing w:val="-2"/>
              </w:rPr>
              <w:t>sebetralstat</w:t>
            </w:r>
          </w:p>
        </w:tc>
      </w:tr>
      <w:tr w:rsidR="00324B33" w:rsidRPr="00BD5DBD" w14:paraId="34B07BA6" w14:textId="77777777" w:rsidTr="00F865A7">
        <w:tc>
          <w:tcPr>
            <w:tcW w:w="1577" w:type="pct"/>
          </w:tcPr>
          <w:p w14:paraId="1C039224" w14:textId="186F01AE" w:rsidR="00324B33" w:rsidRPr="00BD5DBD" w:rsidRDefault="00324B33" w:rsidP="007452E8">
            <w:pPr>
              <w:rPr>
                <w:i/>
                <w:szCs w:val="22"/>
              </w:rPr>
            </w:pPr>
            <w:r w:rsidRPr="00BD5DBD">
              <w:rPr>
                <w:i/>
                <w:szCs w:val="22"/>
              </w:rPr>
              <w:t>Container:</w:t>
            </w:r>
          </w:p>
        </w:tc>
        <w:tc>
          <w:tcPr>
            <w:tcW w:w="3423" w:type="pct"/>
          </w:tcPr>
          <w:p w14:paraId="500A42C6" w14:textId="6335BB68" w:rsidR="00324B33" w:rsidRPr="00BD5DBD" w:rsidRDefault="00F5340A" w:rsidP="007452E8">
            <w:pPr>
              <w:rPr>
                <w:szCs w:val="22"/>
              </w:rPr>
            </w:pPr>
            <w:r>
              <w:t>Tablets</w:t>
            </w:r>
            <w:r>
              <w:rPr>
                <w:spacing w:val="-4"/>
              </w:rPr>
              <w:t xml:space="preserve"> </w:t>
            </w:r>
            <w:r>
              <w:t>are</w:t>
            </w:r>
            <w:r>
              <w:rPr>
                <w:spacing w:val="-3"/>
              </w:rPr>
              <w:t xml:space="preserve"> </w:t>
            </w:r>
            <w:r>
              <w:t>packed</w:t>
            </w:r>
            <w:r>
              <w:rPr>
                <w:spacing w:val="-3"/>
              </w:rPr>
              <w:t xml:space="preserve"> </w:t>
            </w:r>
            <w:r>
              <w:t>in</w:t>
            </w:r>
            <w:r>
              <w:rPr>
                <w:spacing w:val="-4"/>
              </w:rPr>
              <w:t xml:space="preserve"> </w:t>
            </w:r>
            <w:r w:rsidR="00BB6D5C" w:rsidRPr="00BB6D5C">
              <w:rPr>
                <w:spacing w:val="-4"/>
              </w:rPr>
              <w:t xml:space="preserve">Oriented Polyamide/Aluminum/Polyvinyl Chloride </w:t>
            </w:r>
            <w:r w:rsidR="00BB6D5C">
              <w:rPr>
                <w:spacing w:val="-4"/>
              </w:rPr>
              <w:t>(</w:t>
            </w:r>
            <w:r>
              <w:t>oPA/Al/PVC</w:t>
            </w:r>
            <w:r w:rsidR="00BB6D5C">
              <w:t>)</w:t>
            </w:r>
            <w:r>
              <w:rPr>
                <w:spacing w:val="-4"/>
              </w:rPr>
              <w:t xml:space="preserve"> </w:t>
            </w:r>
            <w:r>
              <w:t>with</w:t>
            </w:r>
            <w:r>
              <w:rPr>
                <w:spacing w:val="-3"/>
              </w:rPr>
              <w:t xml:space="preserve"> </w:t>
            </w:r>
            <w:r>
              <w:t>aluminium</w:t>
            </w:r>
            <w:r>
              <w:rPr>
                <w:spacing w:val="-4"/>
              </w:rPr>
              <w:t xml:space="preserve"> </w:t>
            </w:r>
            <w:r>
              <w:t>lidding</w:t>
            </w:r>
            <w:r>
              <w:rPr>
                <w:spacing w:val="-3"/>
              </w:rPr>
              <w:t xml:space="preserve"> </w:t>
            </w:r>
            <w:r>
              <w:t>blisters</w:t>
            </w:r>
            <w:r>
              <w:rPr>
                <w:spacing w:val="-4"/>
              </w:rPr>
              <w:t xml:space="preserve"> </w:t>
            </w:r>
            <w:r>
              <w:t>(1</w:t>
            </w:r>
            <w:r>
              <w:rPr>
                <w:spacing w:val="-4"/>
              </w:rPr>
              <w:t xml:space="preserve"> </w:t>
            </w:r>
            <w:r>
              <w:t>tablet</w:t>
            </w:r>
            <w:r>
              <w:rPr>
                <w:spacing w:val="-4"/>
              </w:rPr>
              <w:t xml:space="preserve"> </w:t>
            </w:r>
            <w:r>
              <w:t>per</w:t>
            </w:r>
            <w:r>
              <w:rPr>
                <w:spacing w:val="-4"/>
              </w:rPr>
              <w:t xml:space="preserve"> </w:t>
            </w:r>
            <w:r>
              <w:t>blister).</w:t>
            </w:r>
          </w:p>
        </w:tc>
      </w:tr>
      <w:tr w:rsidR="00324B33" w:rsidRPr="00BD5DBD" w14:paraId="176B6773" w14:textId="77777777" w:rsidTr="00F865A7">
        <w:tc>
          <w:tcPr>
            <w:tcW w:w="1577" w:type="pct"/>
          </w:tcPr>
          <w:p w14:paraId="71846159" w14:textId="75A03AD6" w:rsidR="00324B33" w:rsidRPr="00BD5DBD" w:rsidRDefault="00324B33" w:rsidP="007452E8">
            <w:pPr>
              <w:rPr>
                <w:i/>
                <w:szCs w:val="22"/>
              </w:rPr>
            </w:pPr>
            <w:r w:rsidRPr="00BD5DBD">
              <w:rPr>
                <w:i/>
                <w:szCs w:val="22"/>
              </w:rPr>
              <w:t>Pack size:</w:t>
            </w:r>
          </w:p>
        </w:tc>
        <w:tc>
          <w:tcPr>
            <w:tcW w:w="3423" w:type="pct"/>
          </w:tcPr>
          <w:p w14:paraId="7E978F8F" w14:textId="43C53903" w:rsidR="00324B33" w:rsidRPr="00BD5DBD" w:rsidRDefault="002A6D4F" w:rsidP="007452E8">
            <w:pPr>
              <w:rPr>
                <w:szCs w:val="22"/>
              </w:rPr>
            </w:pPr>
            <w:r>
              <w:rPr>
                <w:szCs w:val="22"/>
              </w:rPr>
              <w:t>Four or six tablets</w:t>
            </w:r>
          </w:p>
        </w:tc>
      </w:tr>
      <w:tr w:rsidR="00324B33" w:rsidRPr="00BD5DBD" w14:paraId="5AFDEED3" w14:textId="77777777" w:rsidTr="00F865A7">
        <w:tc>
          <w:tcPr>
            <w:tcW w:w="1577" w:type="pct"/>
          </w:tcPr>
          <w:p w14:paraId="03884BD1" w14:textId="635F1C90" w:rsidR="00324B33" w:rsidRPr="00BD5DBD" w:rsidRDefault="00324B33" w:rsidP="007452E8">
            <w:pPr>
              <w:rPr>
                <w:i/>
                <w:szCs w:val="22"/>
              </w:rPr>
            </w:pPr>
            <w:r w:rsidRPr="00BD5DBD">
              <w:rPr>
                <w:i/>
                <w:szCs w:val="22"/>
              </w:rPr>
              <w:t>Route of administration:</w:t>
            </w:r>
          </w:p>
        </w:tc>
        <w:tc>
          <w:tcPr>
            <w:tcW w:w="3423" w:type="pct"/>
          </w:tcPr>
          <w:p w14:paraId="1ED1357E" w14:textId="567CDBB1" w:rsidR="00324B33" w:rsidRPr="00BD5DBD" w:rsidRDefault="002A6D4F"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5AE7A6B4" w:rsidR="00666911" w:rsidRDefault="00DE2A64" w:rsidP="007452E8">
            <w:pPr>
              <w:rPr>
                <w:szCs w:val="22"/>
              </w:rPr>
            </w:pPr>
            <w:r>
              <w:t>300</w:t>
            </w:r>
            <w:r>
              <w:rPr>
                <w:spacing w:val="-3"/>
              </w:rPr>
              <w:t xml:space="preserve"> </w:t>
            </w:r>
            <w:r>
              <w:t>mg</w:t>
            </w:r>
            <w:r>
              <w:rPr>
                <w:spacing w:val="-2"/>
              </w:rPr>
              <w:t xml:space="preserve"> </w:t>
            </w:r>
            <w:r>
              <w:t>administered</w:t>
            </w:r>
            <w:r>
              <w:rPr>
                <w:spacing w:val="-2"/>
              </w:rPr>
              <w:t xml:space="preserve"> </w:t>
            </w:r>
            <w:r>
              <w:t>at</w:t>
            </w:r>
            <w:r>
              <w:rPr>
                <w:spacing w:val="-2"/>
              </w:rPr>
              <w:t xml:space="preserve"> </w:t>
            </w:r>
            <w:r>
              <w:t>the</w:t>
            </w:r>
            <w:r>
              <w:rPr>
                <w:spacing w:val="-2"/>
              </w:rPr>
              <w:t xml:space="preserve"> </w:t>
            </w:r>
            <w:r>
              <w:t>earliest</w:t>
            </w:r>
            <w:r>
              <w:rPr>
                <w:spacing w:val="-3"/>
              </w:rPr>
              <w:t xml:space="preserve"> </w:t>
            </w:r>
            <w:r>
              <w:t>recognition</w:t>
            </w:r>
            <w:r>
              <w:rPr>
                <w:spacing w:val="-3"/>
              </w:rPr>
              <w:t xml:space="preserve"> </w:t>
            </w:r>
            <w:r>
              <w:t>of</w:t>
            </w:r>
            <w:r>
              <w:rPr>
                <w:spacing w:val="-3"/>
              </w:rPr>
              <w:t xml:space="preserve"> </w:t>
            </w:r>
            <w:r>
              <w:t>an</w:t>
            </w:r>
            <w:r>
              <w:rPr>
                <w:spacing w:val="-2"/>
              </w:rPr>
              <w:t xml:space="preserve"> </w:t>
            </w:r>
            <w:r>
              <w:t>attack.</w:t>
            </w:r>
            <w:r>
              <w:rPr>
                <w:spacing w:val="-3"/>
              </w:rPr>
              <w:t xml:space="preserve"> </w:t>
            </w:r>
            <w:r>
              <w:t>A second dose of 300 mg may be taken at least 3 hours after the first dose if response is inadequate, or if symptoms worsen or recur.</w:t>
            </w:r>
          </w:p>
          <w:p w14:paraId="3D0B2D5C" w14:textId="52D7A04B" w:rsidR="00324B33" w:rsidRPr="00BD5DBD" w:rsidRDefault="00324B33" w:rsidP="007452E8">
            <w:pPr>
              <w:rPr>
                <w:szCs w:val="22"/>
              </w:rPr>
            </w:pPr>
            <w:r w:rsidRPr="00BD5DBD">
              <w:rPr>
                <w:szCs w:val="22"/>
              </w:rPr>
              <w:t>For further information regarding dosage, refer to the Product Information.</w:t>
            </w:r>
          </w:p>
        </w:tc>
      </w:tr>
      <w:tr w:rsidR="0017005C" w:rsidRPr="00BD5DBD" w14:paraId="7B7BB6AE" w14:textId="77777777" w:rsidTr="00F865A7">
        <w:tc>
          <w:tcPr>
            <w:tcW w:w="1577" w:type="pct"/>
          </w:tcPr>
          <w:p w14:paraId="3A76AFF7" w14:textId="01D9E92A" w:rsidR="00700558" w:rsidRPr="00AE7CF7" w:rsidRDefault="0070330F" w:rsidP="00AE7CF7">
            <w:pPr>
              <w:rPr>
                <w:i/>
                <w:szCs w:val="22"/>
              </w:rPr>
            </w:pPr>
            <w:r w:rsidRPr="00BD5DBD">
              <w:rPr>
                <w:i/>
                <w:szCs w:val="22"/>
              </w:rPr>
              <w:t>Pregnancy category:</w:t>
            </w:r>
          </w:p>
        </w:tc>
        <w:tc>
          <w:tcPr>
            <w:tcW w:w="3423" w:type="pct"/>
          </w:tcPr>
          <w:p w14:paraId="35E401AF" w14:textId="77777777" w:rsidR="007E4FF8" w:rsidRPr="007E4FF8" w:rsidRDefault="007E4FF8" w:rsidP="007E4FF8">
            <w:pPr>
              <w:rPr>
                <w:b/>
                <w:bCs/>
              </w:rPr>
            </w:pPr>
            <w:r w:rsidRPr="007E4FF8">
              <w:rPr>
                <w:b/>
                <w:bCs/>
              </w:rPr>
              <w:t>Category D</w:t>
            </w:r>
          </w:p>
          <w:p w14:paraId="07217151" w14:textId="77777777" w:rsidR="007E4FF8" w:rsidRPr="007E4FF8" w:rsidRDefault="007E4FF8" w:rsidP="007E4FF8">
            <w:r w:rsidRPr="007E4FF8">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w:t>
            </w:r>
            <w:r w:rsidRPr="00BD5DBD">
              <w:rPr>
                <w:szCs w:val="22"/>
              </w:rPr>
              <w:lastRenderedPageBreak/>
              <w:t xml:space="preserve">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28878053"/>
      <w:r>
        <w:lastRenderedPageBreak/>
        <w:t>Product background</w:t>
      </w:r>
      <w:bookmarkEnd w:id="11"/>
      <w:bookmarkEnd w:id="12"/>
      <w:bookmarkEnd w:id="13"/>
      <w:bookmarkEnd w:id="14"/>
    </w:p>
    <w:p w14:paraId="59BF31D1" w14:textId="615AEF76" w:rsidR="001500A8" w:rsidRDefault="00324B33" w:rsidP="00AE7CF7">
      <w:r w:rsidRPr="00065839">
        <w:t xml:space="preserve">This AusPAR describes the submission by </w:t>
      </w:r>
      <w:r w:rsidR="0087631E" w:rsidRPr="004C4FB0">
        <w:t>JACE Pharma Pty</w:t>
      </w:r>
      <w:r w:rsidRPr="00065839">
        <w:t xml:space="preserve"> (the </w:t>
      </w:r>
      <w:r w:rsidR="009F359E">
        <w:t>Sponsor</w:t>
      </w:r>
      <w:r w:rsidRPr="00065839">
        <w:t xml:space="preserve">) to register </w:t>
      </w:r>
      <w:r w:rsidR="005A6F5C" w:rsidRPr="004C4FB0">
        <w:t xml:space="preserve">Ekterly </w:t>
      </w:r>
      <w:r w:rsidR="005A6F5C">
        <w:t>(</w:t>
      </w:r>
      <w:r w:rsidR="00EC25CB">
        <w:t>sebetralstat</w:t>
      </w:r>
      <w:r w:rsidRPr="00065839">
        <w:t>) for the following proposed indication:</w:t>
      </w:r>
      <w:r w:rsidR="00D63760" w:rsidRPr="00065839">
        <w:rPr>
          <w:vertAlign w:val="superscript"/>
        </w:rPr>
        <w:footnoteReference w:id="1"/>
      </w:r>
    </w:p>
    <w:p w14:paraId="7625DC8C" w14:textId="0C7BAAD0" w:rsidR="0084130D" w:rsidRPr="00AE7CF7" w:rsidRDefault="0084130D" w:rsidP="00AE7CF7">
      <w:pPr>
        <w:ind w:left="720"/>
        <w:rPr>
          <w:i/>
          <w:iCs/>
        </w:rPr>
      </w:pPr>
      <w:r w:rsidRPr="00AE7CF7">
        <w:rPr>
          <w:i/>
          <w:iCs/>
        </w:rPr>
        <w:t>Ekterly is for 'the treatment of hereditary angioedema (HAE) attacks in adult and adolescents aged 12 years and older’.</w:t>
      </w:r>
    </w:p>
    <w:p w14:paraId="1E63A2AE" w14:textId="5FCD6C6F" w:rsidR="00CB6813" w:rsidRDefault="00005DFC" w:rsidP="00CB6813">
      <w:pPr>
        <w:pStyle w:val="Heading4"/>
      </w:pPr>
      <w:bookmarkStart w:id="15" w:name="_Toc228878054"/>
      <w:bookmarkStart w:id="16" w:name="_Toc314842485"/>
      <w:bookmarkStart w:id="17" w:name="_Toc247691504"/>
      <w:r>
        <w:t>D</w:t>
      </w:r>
      <w:r w:rsidR="00CB6813" w:rsidRPr="00C12D65">
        <w:t>isease</w:t>
      </w:r>
      <w:r w:rsidR="006428C5">
        <w:t xml:space="preserve"> or condition</w:t>
      </w:r>
      <w:bookmarkEnd w:id="15"/>
    </w:p>
    <w:p w14:paraId="6C235881" w14:textId="26EA4060" w:rsidR="00D46121" w:rsidRPr="00D46121" w:rsidRDefault="00383C6E" w:rsidP="00AE7CF7">
      <w:pPr>
        <w:rPr>
          <w:lang w:val="en-US"/>
        </w:rPr>
      </w:pPr>
      <w:r>
        <w:rPr>
          <w:lang w:val="en-US"/>
        </w:rPr>
        <w:t>H</w:t>
      </w:r>
      <w:r w:rsidRPr="00383C6E">
        <w:rPr>
          <w:lang w:val="en-US"/>
        </w:rPr>
        <w:t xml:space="preserve">ereditary angioedema </w:t>
      </w:r>
      <w:r w:rsidR="00D46121" w:rsidRPr="00D46121">
        <w:rPr>
          <w:lang w:val="en-US"/>
        </w:rPr>
        <w:t>generally refers to a genetic condition which is either inherited as an autosomal dominant (75% of cases) or occurs from spontaneous mutations (25%) and results in dysfunction</w:t>
      </w:r>
      <w:r>
        <w:rPr>
          <w:lang w:val="en-US"/>
        </w:rPr>
        <w:t>al</w:t>
      </w:r>
      <w:r w:rsidR="00D46121" w:rsidRPr="00D46121">
        <w:rPr>
          <w:lang w:val="en-US"/>
        </w:rPr>
        <w:t xml:space="preserve"> C1 inhibitor regulation of bradykinin production. HAE either results in reduced levels of C1 inhibitor (Type 1 HAE, 85% of cases) or mutation of C1 inhibitor (Type II HAE, 15% of cases), leading to excess production of bradykinin. There are also types of HAE syndrome with normal C1 inhibitor levels which may not be due to bradykinin production (e.g. type III HAE).</w:t>
      </w:r>
    </w:p>
    <w:p w14:paraId="23073983" w14:textId="2FFD7044" w:rsidR="00D46121" w:rsidRPr="00D46121" w:rsidRDefault="00D46121" w:rsidP="00AE7CF7">
      <w:pPr>
        <w:rPr>
          <w:lang w:val="en-US"/>
        </w:rPr>
      </w:pPr>
      <w:r w:rsidRPr="00D46121">
        <w:rPr>
          <w:lang w:val="en-US"/>
        </w:rPr>
        <w:t>HAE is characterised by ‘attacks’ which can, but do not necessarily, occur following an identified trigger such as stress, trauma, infection, menstruation, pregnancy or medications. Attacks produce general signs of inflam</w:t>
      </w:r>
      <w:r>
        <w:rPr>
          <w:lang w:val="en-US"/>
        </w:rPr>
        <w:t>m</w:t>
      </w:r>
      <w:r w:rsidRPr="00D46121">
        <w:rPr>
          <w:lang w:val="en-US"/>
        </w:rPr>
        <w:t>ation such as skin swelling, abdominal pain, submucosal oedema or upper airways swelling. The latter can produce potentially life-threatening airways obstruction if not treated. Attacks develop over 12-36 hours and can, if untreated, last 2-5 days before subsiding.</w:t>
      </w:r>
    </w:p>
    <w:p w14:paraId="673618C0" w14:textId="77777777" w:rsidR="00D46121" w:rsidRPr="00D46121" w:rsidRDefault="00D46121" w:rsidP="00AE7CF7">
      <w:pPr>
        <w:rPr>
          <w:lang w:val="en-US"/>
        </w:rPr>
      </w:pPr>
      <w:r w:rsidRPr="00D46121">
        <w:rPr>
          <w:lang w:val="en-US"/>
        </w:rPr>
        <w:t>The unpredictable, sometimes frequent and severe nature of HAE attacks has a significant impact on the quality of life of people with HAE.</w:t>
      </w:r>
    </w:p>
    <w:p w14:paraId="255E083A" w14:textId="77777777" w:rsidR="00CB6813" w:rsidRDefault="00CB6813" w:rsidP="00AE7CF7">
      <w:pPr>
        <w:pStyle w:val="Heading4"/>
      </w:pPr>
      <w:bookmarkStart w:id="18" w:name="_Toc228878055"/>
      <w:r>
        <w:t xml:space="preserve">Current treatment </w:t>
      </w:r>
      <w:r w:rsidRPr="00AE7CF7">
        <w:t>options</w:t>
      </w:r>
      <w:bookmarkEnd w:id="18"/>
    </w:p>
    <w:p w14:paraId="6079E9AC" w14:textId="77777777" w:rsidR="00B342F9" w:rsidRPr="00B342F9" w:rsidRDefault="00B342F9" w:rsidP="00AE7CF7">
      <w:pPr>
        <w:rPr>
          <w:lang w:val="en-US"/>
        </w:rPr>
      </w:pPr>
      <w:r w:rsidRPr="00B342F9">
        <w:rPr>
          <w:lang w:val="en-US"/>
        </w:rPr>
        <w:t>Treatment of acute HAE attacks depends on severity and the body part affected, and compromise of the airways can require urgent intervention independent of controlling the HAE attack itself.</w:t>
      </w:r>
    </w:p>
    <w:p w14:paraId="400661DF" w14:textId="77777777" w:rsidR="00B342F9" w:rsidRPr="00B342F9" w:rsidRDefault="00B342F9" w:rsidP="00B342F9">
      <w:pPr>
        <w:rPr>
          <w:lang w:val="en-US"/>
        </w:rPr>
      </w:pPr>
      <w:r w:rsidRPr="00B342F9">
        <w:rPr>
          <w:lang w:val="en-US"/>
        </w:rPr>
        <w:t>To terminate or reduce the severity of HAE attacks plasma or recombinant C1 inhibitor concentrates (e.g. Berinert) can be administered to lower bradykinin levels.</w:t>
      </w:r>
    </w:p>
    <w:p w14:paraId="4FE5818D" w14:textId="698720E0" w:rsidR="00B342F9" w:rsidRPr="00B342F9" w:rsidRDefault="00B342F9" w:rsidP="00AE7CF7">
      <w:pPr>
        <w:rPr>
          <w:lang w:val="en-US"/>
        </w:rPr>
      </w:pPr>
      <w:r w:rsidRPr="00B342F9">
        <w:rPr>
          <w:lang w:val="en-US"/>
        </w:rPr>
        <w:t xml:space="preserve">In recent years </w:t>
      </w:r>
      <w:proofErr w:type="gramStart"/>
      <w:r w:rsidRPr="00B342F9">
        <w:rPr>
          <w:lang w:val="en-US"/>
        </w:rPr>
        <w:t>a number of</w:t>
      </w:r>
      <w:proofErr w:type="gramEnd"/>
      <w:r w:rsidRPr="00B342F9">
        <w:rPr>
          <w:lang w:val="en-US"/>
        </w:rPr>
        <w:t xml:space="preserve"> medications have been developed which are either plasma kallikrein inhibitors (e.g. landelumab) or bradykinin antagonists (e.g. icatibant). </w:t>
      </w:r>
      <w:r w:rsidR="00EC25CB">
        <w:rPr>
          <w:lang w:val="en-US"/>
        </w:rPr>
        <w:t>sebetralstat</w:t>
      </w:r>
      <w:r w:rsidRPr="00B342F9">
        <w:rPr>
          <w:lang w:val="en-US"/>
        </w:rPr>
        <w:t xml:space="preserve"> would be the first oral on-demand treatment, for use when an attack starts, registered in Australia.</w:t>
      </w:r>
    </w:p>
    <w:p w14:paraId="37C47E09" w14:textId="14D3762D" w:rsidR="00CB6813" w:rsidRDefault="00CB6813" w:rsidP="00CB6813">
      <w:pPr>
        <w:pStyle w:val="Heading4"/>
      </w:pPr>
      <w:bookmarkStart w:id="19" w:name="_Toc228878056"/>
      <w:r>
        <w:t>C</w:t>
      </w:r>
      <w:r w:rsidRPr="00DE1344">
        <w:t>linical rational</w:t>
      </w:r>
      <w:r w:rsidR="0025785B">
        <w:t>e</w:t>
      </w:r>
      <w:bookmarkEnd w:id="19"/>
    </w:p>
    <w:p w14:paraId="2BFD7B91" w14:textId="3F03CA57" w:rsidR="00B751B0" w:rsidRDefault="007F073A" w:rsidP="00AE7CF7">
      <w:r w:rsidRPr="00B751B0">
        <w:t>Bradykinin is a bioactive peptide produced</w:t>
      </w:r>
      <w:r w:rsidR="00AE7CF7">
        <w:t xml:space="preserve"> </w:t>
      </w:r>
      <w:r w:rsidRPr="00B751B0">
        <w:t>through the</w:t>
      </w:r>
      <w:r w:rsidR="00AE7CF7">
        <w:t xml:space="preserve"> </w:t>
      </w:r>
      <w:r w:rsidRPr="00B751B0">
        <w:t>kinin–kallikrein system</w:t>
      </w:r>
      <w:r w:rsidR="00AE7CF7">
        <w:t xml:space="preserve"> </w:t>
      </w:r>
      <w:r w:rsidRPr="00B751B0">
        <w:t>via the enzymatic cleavage of precursor proteins called</w:t>
      </w:r>
      <w:r w:rsidR="00AE7CF7">
        <w:t xml:space="preserve"> </w:t>
      </w:r>
      <w:r w:rsidRPr="00B751B0">
        <w:t>kininogens</w:t>
      </w:r>
      <w:r w:rsidR="00353D8D" w:rsidRPr="00B751B0">
        <w:t>.</w:t>
      </w:r>
    </w:p>
    <w:p w14:paraId="463FB5DA" w14:textId="107D9B67" w:rsidR="007F073A" w:rsidRPr="00B751B0" w:rsidRDefault="00D63767" w:rsidP="00AE7CF7">
      <w:r w:rsidRPr="00B751B0">
        <w:t xml:space="preserve">Plasma </w:t>
      </w:r>
      <w:r w:rsidR="00B751B0" w:rsidRPr="00B751B0">
        <w:t>k</w:t>
      </w:r>
      <w:r w:rsidRPr="00B751B0">
        <w:t xml:space="preserve">allikrein </w:t>
      </w:r>
      <w:r w:rsidR="0008667F" w:rsidRPr="00B751B0">
        <w:t>is responsible for the vascular production of bradykinin.</w:t>
      </w:r>
      <w:r w:rsidR="00B751B0">
        <w:t xml:space="preserve"> </w:t>
      </w:r>
      <w:r w:rsidR="0008667F" w:rsidRPr="00B751B0">
        <w:t>It circulates in the blood as an inactive zymogen</w:t>
      </w:r>
      <w:r w:rsidR="00777C48">
        <w:t xml:space="preserve">, </w:t>
      </w:r>
      <w:r w:rsidR="0008667F" w:rsidRPr="00B751B0">
        <w:t xml:space="preserve">prekallikrein. It is activated into plasma kallikrein primarily by </w:t>
      </w:r>
      <w:r w:rsidR="0008667F" w:rsidRPr="00B751B0">
        <w:lastRenderedPageBreak/>
        <w:t>Factor XIIa</w:t>
      </w:r>
      <w:r w:rsidR="00AA5BBA">
        <w:t>.</w:t>
      </w:r>
      <w:r w:rsidR="00E95D15" w:rsidRPr="00B751B0">
        <w:t xml:space="preserve"> </w:t>
      </w:r>
      <w:r w:rsidR="0008667F" w:rsidRPr="00B751B0">
        <w:t xml:space="preserve">It specifically cleaves </w:t>
      </w:r>
      <w:r w:rsidR="00383C6E">
        <w:t>h</w:t>
      </w:r>
      <w:r w:rsidR="0008667F" w:rsidRPr="00B751B0">
        <w:t>igh</w:t>
      </w:r>
      <w:r w:rsidR="00383C6E">
        <w:t xml:space="preserve"> m</w:t>
      </w:r>
      <w:r w:rsidR="0008667F" w:rsidRPr="00B751B0">
        <w:t>olecular</w:t>
      </w:r>
      <w:r w:rsidR="00383C6E">
        <w:t xml:space="preserve"> w</w:t>
      </w:r>
      <w:r w:rsidR="0008667F" w:rsidRPr="00B751B0">
        <w:t xml:space="preserve">eight </w:t>
      </w:r>
      <w:r w:rsidR="00383C6E">
        <w:t>k</w:t>
      </w:r>
      <w:r w:rsidR="0008667F" w:rsidRPr="00B751B0">
        <w:t>ininogen</w:t>
      </w:r>
      <w:r w:rsidR="00383C6E">
        <w:t>s</w:t>
      </w:r>
      <w:r w:rsidR="0008667F" w:rsidRPr="00B751B0">
        <w:t xml:space="preserve"> to release bradykinin directly.</w:t>
      </w:r>
    </w:p>
    <w:p w14:paraId="09ACA114" w14:textId="4A503167" w:rsidR="00725FDF" w:rsidRDefault="00D519EB" w:rsidP="00AE7CF7">
      <w:r>
        <w:t>S</w:t>
      </w:r>
      <w:r w:rsidR="00EC25CB">
        <w:t>ebetralstat</w:t>
      </w:r>
      <w:r w:rsidR="00725FDF" w:rsidRPr="00725FDF">
        <w:t xml:space="preserve"> is a novel small molecule inhibitor of human plasma</w:t>
      </w:r>
      <w:r w:rsidR="00B751B0">
        <w:t xml:space="preserve"> </w:t>
      </w:r>
      <w:r w:rsidR="00725FDF" w:rsidRPr="00B751B0">
        <w:t>kallikrein</w:t>
      </w:r>
      <w:r w:rsidR="00C82992">
        <w:t xml:space="preserve"> (PKa)</w:t>
      </w:r>
      <w:r w:rsidR="00B751B0" w:rsidRPr="00B751B0">
        <w:t xml:space="preserve">. Following oral administration, it is rapidly absorbed, resulting in near complete suppression of </w:t>
      </w:r>
      <w:r w:rsidR="00BF56E7" w:rsidRPr="00BF56E7">
        <w:t xml:space="preserve">plasma kallikrein </w:t>
      </w:r>
      <w:r w:rsidR="00B751B0" w:rsidRPr="00B751B0">
        <w:t>activity</w:t>
      </w:r>
      <w:r w:rsidR="002E69A6">
        <w:t xml:space="preserve">, thereby inhibiting </w:t>
      </w:r>
      <w:r w:rsidR="002E69A6" w:rsidRPr="002E69A6">
        <w:t>the cleavage of high molecular weight kininogens to bradykinin</w:t>
      </w:r>
      <w:r w:rsidR="00B751B0">
        <w:t>.</w:t>
      </w:r>
      <w:r w:rsidR="001C1743">
        <w:t xml:space="preserve"> </w:t>
      </w:r>
      <w:r w:rsidR="00315AF3">
        <w:t xml:space="preserve">The </w:t>
      </w:r>
      <w:r w:rsidR="009F359E">
        <w:t>Sponsor</w:t>
      </w:r>
      <w:r w:rsidR="00315AF3">
        <w:t xml:space="preserve"> proposes that </w:t>
      </w:r>
      <w:r w:rsidR="00EC25CB">
        <w:t>sebetralstat</w:t>
      </w:r>
      <w:r w:rsidR="00F64C8B">
        <w:t xml:space="preserve"> prevent</w:t>
      </w:r>
      <w:r w:rsidR="00777C48">
        <w:t>s</w:t>
      </w:r>
      <w:r w:rsidR="00F64C8B">
        <w:t xml:space="preserve"> spontaneous activation of the kallikrein kinin system</w:t>
      </w:r>
      <w:r w:rsidR="00AC1643">
        <w:t xml:space="preserve"> </w:t>
      </w:r>
      <w:r w:rsidR="00D0233A">
        <w:t xml:space="preserve">via </w:t>
      </w:r>
      <w:r w:rsidR="00FE22DF">
        <w:t>reduce</w:t>
      </w:r>
      <w:r w:rsidR="00D0233A">
        <w:t>d</w:t>
      </w:r>
      <w:r w:rsidR="00FE22DF">
        <w:t xml:space="preserve"> </w:t>
      </w:r>
      <w:r w:rsidR="00D0233A" w:rsidRPr="00D0233A">
        <w:t xml:space="preserve">bradykinin </w:t>
      </w:r>
      <w:r w:rsidR="00D0233A">
        <w:t>production which suppress</w:t>
      </w:r>
      <w:r w:rsidR="00777C48">
        <w:t>es</w:t>
      </w:r>
      <w:r w:rsidR="00D0233A">
        <w:t xml:space="preserve"> </w:t>
      </w:r>
      <w:r w:rsidR="00F64C8B">
        <w:t>vascular</w:t>
      </w:r>
      <w:r w:rsidR="00D0233A">
        <w:t xml:space="preserve"> </w:t>
      </w:r>
      <w:r w:rsidR="00F64C8B">
        <w:t>permeability and subsequent edema in mucosal and/or subcutaneous tissues.</w:t>
      </w:r>
    </w:p>
    <w:p w14:paraId="0D615854" w14:textId="77777777" w:rsidR="00324B33" w:rsidRPr="003F31A2" w:rsidRDefault="00324B33" w:rsidP="00AE7CF7">
      <w:pPr>
        <w:pStyle w:val="Heading3"/>
      </w:pPr>
      <w:bookmarkStart w:id="20" w:name="_Toc103679291"/>
      <w:bookmarkStart w:id="21" w:name="_Toc228878057"/>
      <w:r>
        <w:t xml:space="preserve">Regulatory </w:t>
      </w:r>
      <w:r w:rsidRPr="00AE7CF7">
        <w:t>status</w:t>
      </w:r>
      <w:bookmarkEnd w:id="16"/>
      <w:bookmarkEnd w:id="17"/>
      <w:bookmarkEnd w:id="20"/>
      <w:bookmarkEnd w:id="21"/>
    </w:p>
    <w:p w14:paraId="72C889D6" w14:textId="7E200950" w:rsidR="0017005C" w:rsidRPr="00BD5DBD" w:rsidRDefault="0017005C" w:rsidP="00AE7CF7">
      <w:pPr>
        <w:pStyle w:val="Heading4"/>
      </w:pPr>
      <w:bookmarkStart w:id="22" w:name="_Toc228878058"/>
      <w:r w:rsidRPr="00BD5DBD">
        <w:t>Australian regulatory</w:t>
      </w:r>
      <w:r>
        <w:t xml:space="preserve"> </w:t>
      </w:r>
      <w:r w:rsidRPr="00AE7CF7">
        <w:t>sta</w:t>
      </w:r>
      <w:r w:rsidR="0025785B" w:rsidRPr="00AE7CF7">
        <w:t>t</w:t>
      </w:r>
      <w:r w:rsidRPr="00AE7CF7">
        <w:t>us</w:t>
      </w:r>
      <w:bookmarkEnd w:id="22"/>
    </w:p>
    <w:p w14:paraId="6A8633FA" w14:textId="7B7B5FF6" w:rsidR="00324B33" w:rsidRDefault="00324B33" w:rsidP="00AE7CF7">
      <w:r w:rsidRPr="00BD5DBD">
        <w:t>This product is considered a new chemical</w:t>
      </w:r>
      <w:r w:rsidR="008C754C" w:rsidRPr="00BD5DBD">
        <w:t xml:space="preserve"> entity</w:t>
      </w:r>
      <w:r w:rsidRPr="00BD5DBD">
        <w:t xml:space="preserve"> for Australian regulatory purposes.</w:t>
      </w:r>
    </w:p>
    <w:p w14:paraId="546C1031" w14:textId="4EF98FA1" w:rsidR="0017005C" w:rsidRDefault="00131B1B" w:rsidP="00AE7CF7">
      <w:pPr>
        <w:pStyle w:val="Heading4"/>
      </w:pPr>
      <w:bookmarkStart w:id="23" w:name="_Toc228878059"/>
      <w:r>
        <w:t xml:space="preserve">International </w:t>
      </w:r>
      <w:r w:rsidR="0017005C" w:rsidRPr="00BD5DBD">
        <w:t>regulatory</w:t>
      </w:r>
      <w:r w:rsidR="0017005C">
        <w:t xml:space="preserve"> </w:t>
      </w:r>
      <w:r w:rsidR="0017005C" w:rsidRPr="00AE7CF7">
        <w:t>status</w:t>
      </w:r>
      <w:bookmarkEnd w:id="23"/>
    </w:p>
    <w:p w14:paraId="7FDF4A0B" w14:textId="7700CADE" w:rsidR="008F4A62" w:rsidRDefault="008F4A62" w:rsidP="00AE7CF7">
      <w:r w:rsidRPr="00BD5DBD">
        <w:t xml:space="preserve">At the time the TGA considered this submission, a similar submission had been </w:t>
      </w:r>
      <w:r>
        <w:t xml:space="preserve">considered by other regulatory agencies. </w:t>
      </w:r>
      <w:r w:rsidR="00777C48">
        <w:t>Table 1</w:t>
      </w:r>
      <w:r w:rsidRPr="00BD5DBD">
        <w:t xml:space="preserve"> summarises these submissions</w:t>
      </w:r>
      <w:r w:rsidR="003E1E03">
        <w:t>.</w:t>
      </w:r>
    </w:p>
    <w:p w14:paraId="10CCADDD" w14:textId="54D1C85A" w:rsidR="00777C48" w:rsidRDefault="00777C48" w:rsidP="00AE7CF7">
      <w:pPr>
        <w:pStyle w:val="TableTitle"/>
      </w:pPr>
      <w:r>
        <w:t xml:space="preserve">Table 1. </w:t>
      </w:r>
      <w:r w:rsidRPr="00777C48">
        <w:t xml:space="preserve">International regulatory status at </w:t>
      </w:r>
      <w:r w:rsidRPr="00AE7CF7">
        <w:t>the</w:t>
      </w:r>
      <w:r w:rsidRPr="00777C48">
        <w:t xml:space="preserve"> time the TGA considered this submission</w:t>
      </w:r>
    </w:p>
    <w:tbl>
      <w:tblPr>
        <w:tblStyle w:val="TableTGAblue2023"/>
        <w:tblW w:w="0" w:type="auto"/>
        <w:tblLook w:val="04A0" w:firstRow="1" w:lastRow="0" w:firstColumn="1" w:lastColumn="0" w:noHBand="0" w:noVBand="1"/>
      </w:tblPr>
      <w:tblGrid>
        <w:gridCol w:w="1858"/>
        <w:gridCol w:w="2037"/>
        <w:gridCol w:w="1693"/>
        <w:gridCol w:w="3472"/>
      </w:tblGrid>
      <w:tr w:rsidR="00973FAB" w:rsidRPr="00EF19D7" w14:paraId="7A3888E3" w14:textId="77777777" w:rsidTr="00AE7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4D4B20" w14:textId="77777777" w:rsidR="003E1E03" w:rsidRPr="00EF19D7" w:rsidRDefault="003E1E03" w:rsidP="00973FAB">
            <w:pPr>
              <w:spacing w:after="0" w:line="240" w:lineRule="auto"/>
              <w:rPr>
                <w:rFonts w:eastAsia="Times New Roman"/>
                <w:b w:val="0"/>
                <w:bCs/>
                <w:szCs w:val="22"/>
              </w:rPr>
            </w:pPr>
            <w:r w:rsidRPr="00EF19D7">
              <w:rPr>
                <w:rFonts w:eastAsia="Times New Roman"/>
                <w:bCs/>
                <w:szCs w:val="22"/>
              </w:rPr>
              <w:t>Country</w:t>
            </w:r>
          </w:p>
        </w:tc>
        <w:tc>
          <w:tcPr>
            <w:tcW w:w="0" w:type="auto"/>
            <w:hideMark/>
          </w:tcPr>
          <w:p w14:paraId="7247C691" w14:textId="77777777" w:rsidR="003E1E03" w:rsidRPr="00EF19D7" w:rsidRDefault="003E1E03" w:rsidP="00973FA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szCs w:val="22"/>
              </w:rPr>
            </w:pPr>
            <w:r w:rsidRPr="00EF19D7">
              <w:rPr>
                <w:rFonts w:eastAsia="Times New Roman"/>
                <w:bCs/>
                <w:szCs w:val="22"/>
              </w:rPr>
              <w:t>Date of Submission / Intent to submit</w:t>
            </w:r>
          </w:p>
        </w:tc>
        <w:tc>
          <w:tcPr>
            <w:tcW w:w="0" w:type="auto"/>
            <w:hideMark/>
          </w:tcPr>
          <w:p w14:paraId="46998E81" w14:textId="77777777" w:rsidR="003E1E03" w:rsidRPr="00EF19D7" w:rsidRDefault="003E1E03" w:rsidP="00973FA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szCs w:val="22"/>
              </w:rPr>
            </w:pPr>
            <w:r w:rsidRPr="00EF19D7">
              <w:rPr>
                <w:rFonts w:eastAsia="Times New Roman"/>
                <w:bCs/>
                <w:szCs w:val="22"/>
              </w:rPr>
              <w:t>Date of Approval</w:t>
            </w:r>
          </w:p>
        </w:tc>
        <w:tc>
          <w:tcPr>
            <w:tcW w:w="0" w:type="auto"/>
            <w:hideMark/>
          </w:tcPr>
          <w:p w14:paraId="0BFCBF03" w14:textId="77777777" w:rsidR="003E1E03" w:rsidRPr="00EF19D7" w:rsidRDefault="003E1E03" w:rsidP="00973FA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szCs w:val="22"/>
              </w:rPr>
            </w:pPr>
            <w:r w:rsidRPr="00EF19D7">
              <w:rPr>
                <w:rFonts w:eastAsia="Times New Roman"/>
                <w:bCs/>
                <w:szCs w:val="22"/>
              </w:rPr>
              <w:t>Proposed indication</w:t>
            </w:r>
          </w:p>
        </w:tc>
      </w:tr>
      <w:tr w:rsidR="00973FAB" w:rsidRPr="00EF19D7" w14:paraId="51FBC25D" w14:textId="77777777" w:rsidTr="00AE7CF7">
        <w:tc>
          <w:tcPr>
            <w:cnfStyle w:val="001000000000" w:firstRow="0" w:lastRow="0" w:firstColumn="1" w:lastColumn="0" w:oddVBand="0" w:evenVBand="0" w:oddHBand="0" w:evenHBand="0" w:firstRowFirstColumn="0" w:firstRowLastColumn="0" w:lastRowFirstColumn="0" w:lastRowLastColumn="0"/>
            <w:tcW w:w="0" w:type="auto"/>
            <w:hideMark/>
          </w:tcPr>
          <w:p w14:paraId="65E87282" w14:textId="77777777" w:rsidR="003E1E03" w:rsidRPr="00EF19D7" w:rsidRDefault="003E1E03" w:rsidP="000403DA">
            <w:pPr>
              <w:spacing w:after="0" w:line="240" w:lineRule="auto"/>
              <w:rPr>
                <w:rFonts w:eastAsia="Times New Roman"/>
                <w:szCs w:val="22"/>
              </w:rPr>
            </w:pPr>
            <w:r w:rsidRPr="00EF19D7">
              <w:rPr>
                <w:rFonts w:eastAsia="Times New Roman"/>
                <w:szCs w:val="22"/>
              </w:rPr>
              <w:t>USA</w:t>
            </w:r>
          </w:p>
        </w:tc>
        <w:tc>
          <w:tcPr>
            <w:tcW w:w="0" w:type="auto"/>
            <w:hideMark/>
          </w:tcPr>
          <w:p w14:paraId="217DE3C8"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17 June 2024</w:t>
            </w:r>
          </w:p>
        </w:tc>
        <w:tc>
          <w:tcPr>
            <w:tcW w:w="0" w:type="auto"/>
            <w:hideMark/>
          </w:tcPr>
          <w:p w14:paraId="7598417A"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N/A – review ongoing</w:t>
            </w:r>
          </w:p>
        </w:tc>
        <w:tc>
          <w:tcPr>
            <w:tcW w:w="0" w:type="auto"/>
            <w:hideMark/>
          </w:tcPr>
          <w:p w14:paraId="6D14CCA5"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For the treatment of hereditary angioedema (HAE) attacks in adult and paediatric patients aged 12 years and older.</w:t>
            </w:r>
          </w:p>
        </w:tc>
      </w:tr>
      <w:tr w:rsidR="00973FAB" w:rsidRPr="00EF19D7" w14:paraId="04163955" w14:textId="77777777" w:rsidTr="00AE7CF7">
        <w:tc>
          <w:tcPr>
            <w:cnfStyle w:val="001000000000" w:firstRow="0" w:lastRow="0" w:firstColumn="1" w:lastColumn="0" w:oddVBand="0" w:evenVBand="0" w:oddHBand="0" w:evenHBand="0" w:firstRowFirstColumn="0" w:firstRowLastColumn="0" w:lastRowFirstColumn="0" w:lastRowLastColumn="0"/>
            <w:tcW w:w="0" w:type="auto"/>
            <w:hideMark/>
          </w:tcPr>
          <w:p w14:paraId="425C3D55" w14:textId="77777777" w:rsidR="003E1E03" w:rsidRPr="00EF19D7" w:rsidRDefault="003E1E03" w:rsidP="000403DA">
            <w:pPr>
              <w:spacing w:after="0" w:line="240" w:lineRule="auto"/>
              <w:rPr>
                <w:rFonts w:eastAsia="Times New Roman"/>
                <w:szCs w:val="22"/>
              </w:rPr>
            </w:pPr>
            <w:r w:rsidRPr="00EF19D7">
              <w:rPr>
                <w:rFonts w:eastAsia="Times New Roman"/>
                <w:szCs w:val="22"/>
              </w:rPr>
              <w:t>EU/EEA – Centralised Procedure</w:t>
            </w:r>
          </w:p>
        </w:tc>
        <w:tc>
          <w:tcPr>
            <w:tcW w:w="0" w:type="auto"/>
            <w:hideMark/>
          </w:tcPr>
          <w:p w14:paraId="67A9ADA8"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25 July 2024</w:t>
            </w:r>
          </w:p>
        </w:tc>
        <w:tc>
          <w:tcPr>
            <w:tcW w:w="0" w:type="auto"/>
            <w:hideMark/>
          </w:tcPr>
          <w:p w14:paraId="737806AE"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N/A – review ongoing</w:t>
            </w:r>
          </w:p>
        </w:tc>
        <w:tc>
          <w:tcPr>
            <w:tcW w:w="0" w:type="auto"/>
            <w:hideMark/>
          </w:tcPr>
          <w:p w14:paraId="5EA53CB1"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For the treatment of hereditary angioedema (HAE) attacks in adult and adolescents aged 12 years and older.</w:t>
            </w:r>
          </w:p>
        </w:tc>
      </w:tr>
      <w:tr w:rsidR="00973FAB" w:rsidRPr="00EF19D7" w14:paraId="591341DD" w14:textId="77777777" w:rsidTr="00AE7CF7">
        <w:tc>
          <w:tcPr>
            <w:cnfStyle w:val="001000000000" w:firstRow="0" w:lastRow="0" w:firstColumn="1" w:lastColumn="0" w:oddVBand="0" w:evenVBand="0" w:oddHBand="0" w:evenHBand="0" w:firstRowFirstColumn="0" w:firstRowLastColumn="0" w:lastRowFirstColumn="0" w:lastRowLastColumn="0"/>
            <w:tcW w:w="0" w:type="auto"/>
            <w:hideMark/>
          </w:tcPr>
          <w:p w14:paraId="63A21BFD" w14:textId="77777777" w:rsidR="003E1E03" w:rsidRPr="00EF19D7" w:rsidRDefault="003E1E03" w:rsidP="000403DA">
            <w:pPr>
              <w:spacing w:after="0" w:line="240" w:lineRule="auto"/>
              <w:rPr>
                <w:rFonts w:eastAsia="Times New Roman"/>
                <w:szCs w:val="22"/>
              </w:rPr>
            </w:pPr>
            <w:r w:rsidRPr="00EF19D7">
              <w:rPr>
                <w:rFonts w:eastAsia="Times New Roman"/>
                <w:szCs w:val="22"/>
              </w:rPr>
              <w:t>United Kingdom</w:t>
            </w:r>
          </w:p>
        </w:tc>
        <w:tc>
          <w:tcPr>
            <w:tcW w:w="0" w:type="auto"/>
            <w:hideMark/>
          </w:tcPr>
          <w:p w14:paraId="5D1895E5"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30 September 2024</w:t>
            </w:r>
          </w:p>
        </w:tc>
        <w:tc>
          <w:tcPr>
            <w:tcW w:w="0" w:type="auto"/>
            <w:hideMark/>
          </w:tcPr>
          <w:p w14:paraId="133B5BFE"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N/A – submission pending</w:t>
            </w:r>
          </w:p>
        </w:tc>
        <w:tc>
          <w:tcPr>
            <w:tcW w:w="0" w:type="auto"/>
            <w:hideMark/>
          </w:tcPr>
          <w:p w14:paraId="6744E508"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For the treatment of hereditary angioedema (HAE) attacks in adult and adolescents aged 12 years and older.</w:t>
            </w:r>
          </w:p>
        </w:tc>
      </w:tr>
      <w:tr w:rsidR="00973FAB" w:rsidRPr="00EF19D7" w14:paraId="7A51A28D" w14:textId="77777777" w:rsidTr="00AE7CF7">
        <w:tc>
          <w:tcPr>
            <w:cnfStyle w:val="001000000000" w:firstRow="0" w:lastRow="0" w:firstColumn="1" w:lastColumn="0" w:oddVBand="0" w:evenVBand="0" w:oddHBand="0" w:evenHBand="0" w:firstRowFirstColumn="0" w:firstRowLastColumn="0" w:lastRowFirstColumn="0" w:lastRowLastColumn="0"/>
            <w:tcW w:w="0" w:type="auto"/>
            <w:hideMark/>
          </w:tcPr>
          <w:p w14:paraId="52D2B2F2" w14:textId="77777777" w:rsidR="003E1E03" w:rsidRPr="00EF19D7" w:rsidRDefault="003E1E03" w:rsidP="000403DA">
            <w:pPr>
              <w:spacing w:after="0" w:line="240" w:lineRule="auto"/>
              <w:rPr>
                <w:rFonts w:eastAsia="Times New Roman"/>
                <w:szCs w:val="22"/>
              </w:rPr>
            </w:pPr>
            <w:r w:rsidRPr="00EF19D7">
              <w:rPr>
                <w:rFonts w:eastAsia="Times New Roman"/>
                <w:szCs w:val="22"/>
              </w:rPr>
              <w:t>Singapore</w:t>
            </w:r>
          </w:p>
        </w:tc>
        <w:tc>
          <w:tcPr>
            <w:tcW w:w="0" w:type="auto"/>
            <w:hideMark/>
          </w:tcPr>
          <w:p w14:paraId="7827CAD2"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13 September 2024</w:t>
            </w:r>
          </w:p>
        </w:tc>
        <w:tc>
          <w:tcPr>
            <w:tcW w:w="0" w:type="auto"/>
            <w:hideMark/>
          </w:tcPr>
          <w:p w14:paraId="299CE37C"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N/A – submission pending</w:t>
            </w:r>
          </w:p>
        </w:tc>
        <w:tc>
          <w:tcPr>
            <w:tcW w:w="0" w:type="auto"/>
            <w:hideMark/>
          </w:tcPr>
          <w:p w14:paraId="02CFD601"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For the treatment of hereditary angioedema (HAE) attacks in adult and adolescents aged 12 years and older.</w:t>
            </w:r>
          </w:p>
        </w:tc>
      </w:tr>
      <w:tr w:rsidR="00973FAB" w:rsidRPr="00EF19D7" w14:paraId="372CF8EB" w14:textId="77777777" w:rsidTr="00AE7CF7">
        <w:tc>
          <w:tcPr>
            <w:cnfStyle w:val="001000000000" w:firstRow="0" w:lastRow="0" w:firstColumn="1" w:lastColumn="0" w:oddVBand="0" w:evenVBand="0" w:oddHBand="0" w:evenHBand="0" w:firstRowFirstColumn="0" w:firstRowLastColumn="0" w:lastRowFirstColumn="0" w:lastRowLastColumn="0"/>
            <w:tcW w:w="0" w:type="auto"/>
            <w:hideMark/>
          </w:tcPr>
          <w:p w14:paraId="28D5F24A" w14:textId="77777777" w:rsidR="003E1E03" w:rsidRPr="00EF19D7" w:rsidRDefault="003E1E03" w:rsidP="000403DA">
            <w:pPr>
              <w:spacing w:after="0" w:line="240" w:lineRule="auto"/>
              <w:rPr>
                <w:rFonts w:eastAsia="Times New Roman"/>
                <w:szCs w:val="22"/>
              </w:rPr>
            </w:pPr>
            <w:r w:rsidRPr="00EF19D7">
              <w:rPr>
                <w:rFonts w:eastAsia="Times New Roman"/>
                <w:szCs w:val="22"/>
              </w:rPr>
              <w:t>Switzerland</w:t>
            </w:r>
          </w:p>
        </w:tc>
        <w:tc>
          <w:tcPr>
            <w:tcW w:w="0" w:type="auto"/>
            <w:hideMark/>
          </w:tcPr>
          <w:p w14:paraId="32BCBD0D"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30 September 2024</w:t>
            </w:r>
          </w:p>
        </w:tc>
        <w:tc>
          <w:tcPr>
            <w:tcW w:w="0" w:type="auto"/>
            <w:hideMark/>
          </w:tcPr>
          <w:p w14:paraId="0DAD7018"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N/A – submission pending</w:t>
            </w:r>
          </w:p>
        </w:tc>
        <w:tc>
          <w:tcPr>
            <w:tcW w:w="0" w:type="auto"/>
            <w:hideMark/>
          </w:tcPr>
          <w:p w14:paraId="51B2106D" w14:textId="77777777" w:rsidR="003E1E03" w:rsidRPr="00EF19D7" w:rsidRDefault="003E1E03" w:rsidP="000403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EF19D7">
              <w:rPr>
                <w:rFonts w:eastAsia="Times New Roman"/>
                <w:szCs w:val="22"/>
              </w:rPr>
              <w:t>For the treatment of hereditary angioedema (HAE) attacks in adult and adolescents aged 12 years and older.</w:t>
            </w:r>
          </w:p>
        </w:tc>
      </w:tr>
    </w:tbl>
    <w:p w14:paraId="6D92589C" w14:textId="09786CEF" w:rsidR="00324B33" w:rsidRDefault="00324B33" w:rsidP="00AE7CF7">
      <w:pPr>
        <w:pStyle w:val="Heading2"/>
      </w:pPr>
      <w:bookmarkStart w:id="24" w:name="_Toc504480011"/>
      <w:bookmarkStart w:id="25" w:name="_Toc103679293"/>
      <w:bookmarkStart w:id="26" w:name="_Toc228878060"/>
      <w:r w:rsidRPr="00AE7CF7">
        <w:t>Registration</w:t>
      </w:r>
      <w:r>
        <w:t xml:space="preserve"> timeline</w:t>
      </w:r>
      <w:bookmarkEnd w:id="24"/>
      <w:bookmarkEnd w:id="25"/>
      <w:bookmarkEnd w:id="26"/>
    </w:p>
    <w:p w14:paraId="225E3D87" w14:textId="2DD6A040" w:rsidR="00324B33" w:rsidRPr="00BD5DBD" w:rsidRDefault="00236F91" w:rsidP="00AE7CF7">
      <w:r>
        <w:t>Table 2</w:t>
      </w:r>
      <w:r w:rsidR="00324B33" w:rsidRPr="00BD5DBD">
        <w:t xml:space="preserve"> captures the key steps and dates for this submission.</w:t>
      </w:r>
    </w:p>
    <w:p w14:paraId="5B779104" w14:textId="68A3595B" w:rsidR="0017005C" w:rsidRDefault="00FE0C22" w:rsidP="00AE7CF7">
      <w:r>
        <w:rPr>
          <w:szCs w:val="22"/>
        </w:rPr>
        <w:t>Ekterly</w:t>
      </w:r>
      <w:r w:rsidR="00804897">
        <w:rPr>
          <w:szCs w:val="22"/>
        </w:rPr>
        <w:t xml:space="preserve"> with its proposed indication was given</w:t>
      </w:r>
      <w:r w:rsidR="00804897" w:rsidRPr="00804897">
        <w:t xml:space="preserve"> </w:t>
      </w:r>
      <w:hyperlink r:id="rId21" w:history="1">
        <w:r w:rsidR="00804897">
          <w:rPr>
            <w:rStyle w:val="Hyperlink"/>
          </w:rPr>
          <w:t>orphan drug designation</w:t>
        </w:r>
      </w:hyperlink>
      <w:r>
        <w:t xml:space="preserve"> on </w:t>
      </w:r>
      <w:r w:rsidRPr="00FE0C22">
        <w:t>2nd August 2024</w:t>
      </w:r>
      <w:r w:rsidR="0061246C">
        <w:t>.</w:t>
      </w:r>
    </w:p>
    <w:p w14:paraId="44628C5F" w14:textId="1A6FDA5E" w:rsidR="00324B33" w:rsidRDefault="00324B33" w:rsidP="00AE7CF7">
      <w:pPr>
        <w:pStyle w:val="TableTitle"/>
      </w:pPr>
      <w:r w:rsidRPr="002C1232">
        <w:lastRenderedPageBreak/>
        <w:t xml:space="preserve">Table </w:t>
      </w:r>
      <w:r w:rsidR="008B1CB5">
        <w:fldChar w:fldCharType="begin"/>
      </w:r>
      <w:r w:rsidR="008B1CB5">
        <w:instrText xml:space="preserve"> SEQ Table \* ARABIC </w:instrText>
      </w:r>
      <w:r w:rsidR="008B1CB5">
        <w:fldChar w:fldCharType="separate"/>
      </w:r>
      <w:r w:rsidR="008B1CB5" w:rsidRPr="002C1232">
        <w:t>2</w:t>
      </w:r>
      <w:r w:rsidR="008B1CB5">
        <w:fldChar w:fldCharType="end"/>
      </w:r>
      <w:r w:rsidR="00777C48">
        <w:t>.</w:t>
      </w:r>
      <w:r w:rsidRPr="002C1232">
        <w:t xml:space="preserve"> Timeline for </w:t>
      </w:r>
      <w:proofErr w:type="spellStart"/>
      <w:r w:rsidR="0089402D" w:rsidRPr="0089402D">
        <w:t>Ekterly</w:t>
      </w:r>
      <w:proofErr w:type="spellEnd"/>
      <w:r w:rsidR="0089402D" w:rsidRPr="0089402D">
        <w:t xml:space="preserve"> </w:t>
      </w:r>
      <w:r w:rsidR="006E6059">
        <w:t>(</w:t>
      </w:r>
      <w:proofErr w:type="spellStart"/>
      <w:r w:rsidR="00EC25CB">
        <w:t>sebetralstat</w:t>
      </w:r>
      <w:proofErr w:type="spellEnd"/>
      <w:r w:rsidR="006E6059">
        <w:t>), s</w:t>
      </w:r>
      <w:r w:rsidRPr="002C1232">
        <w:t xml:space="preserve">ubmission </w:t>
      </w:r>
      <w:r w:rsidR="0089402D" w:rsidRPr="0089402D">
        <w:t>PM-2024-</w:t>
      </w:r>
      <w:r w:rsidR="0089402D" w:rsidRPr="00AE7CF7">
        <w:t>04190</w:t>
      </w:r>
      <w:r w:rsidR="0089402D" w:rsidRPr="0089402D">
        <w:t>-1-2</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AE7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AE7CF7">
            <w:r w:rsidRPr="00D01DDB">
              <w:t>Description</w:t>
            </w:r>
          </w:p>
        </w:tc>
        <w:tc>
          <w:tcPr>
            <w:tcW w:w="2977" w:type="dxa"/>
          </w:tcPr>
          <w:p w14:paraId="79AFDC4B" w14:textId="05792035" w:rsidR="00324B33" w:rsidRPr="00D01DDB" w:rsidRDefault="00324B33" w:rsidP="00AE7CF7">
            <w:pPr>
              <w:cnfStyle w:val="100000000000" w:firstRow="1" w:lastRow="0" w:firstColumn="0" w:lastColumn="0" w:oddVBand="0" w:evenVBand="0" w:oddHBand="0" w:evenHBand="0" w:firstRowFirstColumn="0" w:firstRowLastColumn="0" w:lastRowFirstColumn="0" w:lastRowLastColumn="0"/>
            </w:pPr>
            <w:r w:rsidRPr="00D01DDB">
              <w:t>Date</w:t>
            </w:r>
          </w:p>
        </w:tc>
      </w:tr>
      <w:tr w:rsidR="00324B33" w:rsidRPr="00D01DDB" w14:paraId="1398460B" w14:textId="77777777" w:rsidTr="00AE7CF7">
        <w:tc>
          <w:tcPr>
            <w:cnfStyle w:val="001000000000" w:firstRow="0" w:lastRow="0" w:firstColumn="1" w:lastColumn="0" w:oddVBand="0" w:evenVBand="0" w:oddHBand="0" w:evenHBand="0" w:firstRowFirstColumn="0" w:firstRowLastColumn="0" w:lastRowFirstColumn="0" w:lastRowLastColumn="0"/>
            <w:tcW w:w="5665" w:type="dxa"/>
          </w:tcPr>
          <w:p w14:paraId="1106CC1E" w14:textId="72BB3B84" w:rsidR="002E69A6" w:rsidRPr="002E69A6" w:rsidRDefault="00324B33" w:rsidP="00AE7CF7">
            <w:r w:rsidRPr="00E679D1">
              <w:t>Designation (Orphan)</w:t>
            </w:r>
          </w:p>
        </w:tc>
        <w:tc>
          <w:tcPr>
            <w:tcW w:w="2977" w:type="dxa"/>
          </w:tcPr>
          <w:p w14:paraId="4CD143CF" w14:textId="0A0F2B15" w:rsidR="00324B33" w:rsidRPr="00D01DDB" w:rsidRDefault="0061246C" w:rsidP="00AE7CF7">
            <w:pPr>
              <w:cnfStyle w:val="000000000000" w:firstRow="0" w:lastRow="0" w:firstColumn="0" w:lastColumn="0" w:oddVBand="0" w:evenVBand="0" w:oddHBand="0" w:evenHBand="0" w:firstRowFirstColumn="0" w:firstRowLastColumn="0" w:lastRowFirstColumn="0" w:lastRowLastColumn="0"/>
            </w:pPr>
            <w:r w:rsidRPr="0061246C">
              <w:t>2 August 2024</w:t>
            </w:r>
          </w:p>
        </w:tc>
      </w:tr>
      <w:tr w:rsidR="00324B33" w:rsidRPr="00D01DDB" w14:paraId="23610C53" w14:textId="77777777" w:rsidTr="00AE7CF7">
        <w:tc>
          <w:tcPr>
            <w:cnfStyle w:val="001000000000" w:firstRow="0" w:lastRow="0" w:firstColumn="1" w:lastColumn="0" w:oddVBand="0" w:evenVBand="0" w:oddHBand="0" w:evenHBand="0" w:firstRowFirstColumn="0" w:firstRowLastColumn="0" w:lastRowFirstColumn="0" w:lastRowLastColumn="0"/>
            <w:tcW w:w="5665" w:type="dxa"/>
          </w:tcPr>
          <w:p w14:paraId="759D2A12" w14:textId="4D46D246" w:rsidR="00324B33" w:rsidRPr="00E679D1" w:rsidRDefault="00324B33" w:rsidP="00AE7CF7">
            <w:r w:rsidRPr="00E679D1">
              <w:t>Submission dossier accepted evaluation commenced</w:t>
            </w:r>
          </w:p>
        </w:tc>
        <w:tc>
          <w:tcPr>
            <w:tcW w:w="2977" w:type="dxa"/>
          </w:tcPr>
          <w:p w14:paraId="2963D9D8" w14:textId="69BE7015" w:rsidR="00324B33" w:rsidRPr="00D01DDB" w:rsidRDefault="0061246C" w:rsidP="00AE7CF7">
            <w:pPr>
              <w:cnfStyle w:val="000000000000" w:firstRow="0" w:lastRow="0" w:firstColumn="0" w:lastColumn="0" w:oddVBand="0" w:evenVBand="0" w:oddHBand="0" w:evenHBand="0" w:firstRowFirstColumn="0" w:firstRowLastColumn="0" w:lastRowFirstColumn="0" w:lastRowLastColumn="0"/>
            </w:pPr>
            <w:r>
              <w:t xml:space="preserve">30 October 2024 </w:t>
            </w:r>
          </w:p>
        </w:tc>
      </w:tr>
      <w:tr w:rsidR="00803926" w:rsidRPr="00D01DDB" w14:paraId="16D13F79" w14:textId="77777777" w:rsidTr="00AE7CF7">
        <w:tc>
          <w:tcPr>
            <w:cnfStyle w:val="001000000000" w:firstRow="0" w:lastRow="0" w:firstColumn="1" w:lastColumn="0" w:oddVBand="0" w:evenVBand="0" w:oddHBand="0" w:evenHBand="0" w:firstRowFirstColumn="0" w:firstRowLastColumn="0" w:lastRowFirstColumn="0" w:lastRowLastColumn="0"/>
            <w:tcW w:w="5665" w:type="dxa"/>
          </w:tcPr>
          <w:p w14:paraId="6858B45A" w14:textId="0BB67609" w:rsidR="00803926" w:rsidRPr="00E679D1" w:rsidDel="00C62B1C" w:rsidRDefault="00803926" w:rsidP="00AE7CF7">
            <w:r>
              <w:t>Evaluation completed</w:t>
            </w:r>
          </w:p>
        </w:tc>
        <w:tc>
          <w:tcPr>
            <w:tcW w:w="2977" w:type="dxa"/>
          </w:tcPr>
          <w:p w14:paraId="2E0BD403" w14:textId="661C401B" w:rsidR="00803926" w:rsidRPr="00D01DDB" w:rsidRDefault="004A44A6" w:rsidP="00AE7CF7">
            <w:pPr>
              <w:cnfStyle w:val="000000000000" w:firstRow="0" w:lastRow="0" w:firstColumn="0" w:lastColumn="0" w:oddVBand="0" w:evenVBand="0" w:oddHBand="0" w:evenHBand="0" w:firstRowFirstColumn="0" w:firstRowLastColumn="0" w:lastRowFirstColumn="0" w:lastRowLastColumn="0"/>
            </w:pPr>
            <w:r>
              <w:t>11 July 2025</w:t>
            </w:r>
          </w:p>
        </w:tc>
      </w:tr>
      <w:tr w:rsidR="00324B33" w:rsidRPr="00D01DDB" w14:paraId="6E5D32FE" w14:textId="77777777" w:rsidTr="00AE7CF7">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AE7CF7">
            <w:r w:rsidRPr="00E679D1">
              <w:t>Registration decision (Outcome)</w:t>
            </w:r>
          </w:p>
        </w:tc>
        <w:tc>
          <w:tcPr>
            <w:tcW w:w="2977" w:type="dxa"/>
          </w:tcPr>
          <w:p w14:paraId="62987ABD" w14:textId="5E950A80" w:rsidR="00324B33" w:rsidRPr="00D01DDB" w:rsidRDefault="004A44A6" w:rsidP="00AE7CF7">
            <w:pPr>
              <w:cnfStyle w:val="000000000000" w:firstRow="0" w:lastRow="0" w:firstColumn="0" w:lastColumn="0" w:oddVBand="0" w:evenVBand="0" w:oddHBand="0" w:evenHBand="0" w:firstRowFirstColumn="0" w:firstRowLastColumn="0" w:lastRowFirstColumn="0" w:lastRowLastColumn="0"/>
            </w:pPr>
            <w:r w:rsidRPr="004A44A6">
              <w:t>9 October 2025</w:t>
            </w:r>
          </w:p>
        </w:tc>
      </w:tr>
      <w:tr w:rsidR="00324B33" w:rsidRPr="00D01DDB" w14:paraId="6DDCDDA4" w14:textId="77777777" w:rsidTr="00AE7CF7">
        <w:tc>
          <w:tcPr>
            <w:cnfStyle w:val="001000000000" w:firstRow="0" w:lastRow="0" w:firstColumn="1" w:lastColumn="0" w:oddVBand="0" w:evenVBand="0" w:oddHBand="0" w:evenHBand="0" w:firstRowFirstColumn="0" w:firstRowLastColumn="0" w:lastRowFirstColumn="0" w:lastRowLastColumn="0"/>
            <w:tcW w:w="5665" w:type="dxa"/>
          </w:tcPr>
          <w:p w14:paraId="192FD19D" w14:textId="2CF091D4" w:rsidR="00324B33" w:rsidRPr="00E679D1" w:rsidRDefault="00C00844" w:rsidP="00AE7CF7">
            <w:r>
              <w:t>R</w:t>
            </w:r>
            <w:r w:rsidR="0013132F" w:rsidRPr="00E679D1">
              <w:t xml:space="preserve">egistration </w:t>
            </w:r>
            <w:r w:rsidR="005C4B46" w:rsidRPr="00E679D1">
              <w:t xml:space="preserve">in </w:t>
            </w:r>
            <w:r w:rsidR="0013132F" w:rsidRPr="00E679D1">
              <w:t xml:space="preserve">the </w:t>
            </w:r>
            <w:proofErr w:type="spellStart"/>
            <w:r w:rsidR="0013132F" w:rsidRPr="00E679D1">
              <w:t>ARTG</w:t>
            </w:r>
            <w:proofErr w:type="spellEnd"/>
            <w:r w:rsidR="0013132F" w:rsidRPr="00E679D1">
              <w:t xml:space="preserve"> completed</w:t>
            </w:r>
          </w:p>
        </w:tc>
        <w:tc>
          <w:tcPr>
            <w:tcW w:w="2977" w:type="dxa"/>
          </w:tcPr>
          <w:p w14:paraId="5A8923FD" w14:textId="0316A795" w:rsidR="00324B33" w:rsidRPr="00D01DDB" w:rsidRDefault="004A44A6" w:rsidP="00AE7CF7">
            <w:pPr>
              <w:cnfStyle w:val="000000000000" w:firstRow="0" w:lastRow="0" w:firstColumn="0" w:lastColumn="0" w:oddVBand="0" w:evenVBand="0" w:oddHBand="0" w:evenHBand="0" w:firstRowFirstColumn="0" w:firstRowLastColumn="0" w:lastRowFirstColumn="0" w:lastRowLastColumn="0"/>
            </w:pPr>
            <w:r>
              <w:t>19 November 2025</w:t>
            </w:r>
          </w:p>
        </w:tc>
      </w:tr>
      <w:tr w:rsidR="00324B33" w:rsidRPr="00D01DDB" w14:paraId="56D922E2" w14:textId="77777777" w:rsidTr="00AE7CF7">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AE7CF7">
            <w:r w:rsidRPr="00E679D1">
              <w:t>Number of working days from submission dossier acceptance to registration decision*</w:t>
            </w:r>
          </w:p>
        </w:tc>
        <w:tc>
          <w:tcPr>
            <w:tcW w:w="2977" w:type="dxa"/>
          </w:tcPr>
          <w:p w14:paraId="5BAF9FA1" w14:textId="5BCA29EE" w:rsidR="00324B33" w:rsidRPr="00D01DDB" w:rsidRDefault="004B0269" w:rsidP="00AE7CF7">
            <w:pPr>
              <w:cnfStyle w:val="000000000000" w:firstRow="0" w:lastRow="0" w:firstColumn="0" w:lastColumn="0" w:oddVBand="0" w:evenVBand="0" w:oddHBand="0" w:evenHBand="0" w:firstRowFirstColumn="0" w:firstRowLastColumn="0" w:lastRowFirstColumn="0" w:lastRowLastColumn="0"/>
            </w:pPr>
            <w:r>
              <w:t>183</w:t>
            </w:r>
          </w:p>
        </w:tc>
      </w:tr>
    </w:tbl>
    <w:p w14:paraId="7B02554C" w14:textId="77777777" w:rsidR="00433318" w:rsidRDefault="00433318" w:rsidP="00AE7CF7">
      <w:pPr>
        <w:pStyle w:val="TableDescription"/>
      </w:pPr>
      <w:r>
        <w:t>*</w:t>
      </w:r>
      <w:r w:rsidRPr="00BF3774">
        <w:t xml:space="preserve">Statutory </w:t>
      </w:r>
      <w:r>
        <w:t xml:space="preserve">timeframe for standard submissions is 255 </w:t>
      </w:r>
      <w:r w:rsidRPr="00AE7CF7">
        <w:t>working</w:t>
      </w:r>
      <w:r>
        <w:t xml:space="preserve"> days</w:t>
      </w:r>
    </w:p>
    <w:p w14:paraId="220925F1" w14:textId="6D179C81" w:rsidR="00C22214" w:rsidRPr="00792A32" w:rsidRDefault="00083763" w:rsidP="00AE7CF7">
      <w:pPr>
        <w:pStyle w:val="Heading2"/>
      </w:pPr>
      <w:bookmarkStart w:id="27" w:name="_Toc196046504"/>
      <w:bookmarkStart w:id="28" w:name="_Toc247691527"/>
      <w:bookmarkStart w:id="29" w:name="_Toc314842510"/>
      <w:bookmarkStart w:id="30" w:name="_Toc103679294"/>
      <w:bookmarkStart w:id="31" w:name="_Toc228878061"/>
      <w:r>
        <w:t xml:space="preserve">Assessment </w:t>
      </w:r>
      <w:r w:rsidR="00C22214" w:rsidRPr="00AE7CF7">
        <w:t>overview</w:t>
      </w:r>
      <w:bookmarkEnd w:id="27"/>
      <w:bookmarkEnd w:id="28"/>
      <w:bookmarkEnd w:id="29"/>
      <w:bookmarkEnd w:id="30"/>
      <w:bookmarkEnd w:id="31"/>
    </w:p>
    <w:p w14:paraId="179A6328" w14:textId="519DFC77" w:rsidR="00AD089E" w:rsidRPr="00AE7CF7" w:rsidRDefault="00AD089E" w:rsidP="00AE7CF7">
      <w:bookmarkStart w:id="32" w:name="_Toc247691528"/>
      <w:bookmarkStart w:id="33" w:name="_Toc314842511"/>
      <w:r w:rsidRPr="00AD089E">
        <w:t xml:space="preserve">This submission was evaluated as part of the </w:t>
      </w:r>
      <w:hyperlink r:id="rId22" w:history="1">
        <w:r w:rsidRPr="00AD089E">
          <w:rPr>
            <w:rStyle w:val="Hyperlink"/>
            <w:szCs w:val="22"/>
          </w:rPr>
          <w:t>Australia-Canada-Singapore-Switzerland-United Kingdom (ACCESS) Consortium</w:t>
        </w:r>
      </w:hyperlink>
      <w:r w:rsidRPr="00AD089E">
        <w:t xml:space="preserve"> with work-sharing between the TGA, Health Sciences Authority Singapore, Swissmedic and the Medicines and Healthcare Products Regulatory</w:t>
      </w:r>
      <w:r w:rsidR="00683913">
        <w:t>.</w:t>
      </w:r>
      <w:r w:rsidRPr="00AD089E">
        <w:t xml:space="preserve"> Each regulator made independent decisions regarding approval (market authorisation) of the new medicine</w:t>
      </w:r>
      <w:r w:rsidR="00557D78">
        <w:t>.</w:t>
      </w:r>
    </w:p>
    <w:p w14:paraId="37F5A1C0" w14:textId="5D3D5FE0" w:rsidR="00C22214" w:rsidRDefault="00095C6A" w:rsidP="00AE7CF7">
      <w:pPr>
        <w:pStyle w:val="Heading3"/>
      </w:pPr>
      <w:bookmarkStart w:id="34" w:name="_Toc103679295"/>
      <w:bookmarkStart w:id="35" w:name="_Toc228878062"/>
      <w:r>
        <w:t>Q</w:t>
      </w:r>
      <w:r w:rsidR="00C22214">
        <w:t>uality</w:t>
      </w:r>
      <w:bookmarkEnd w:id="32"/>
      <w:bookmarkEnd w:id="33"/>
      <w:bookmarkEnd w:id="34"/>
      <w:r w:rsidR="007E6443">
        <w:t xml:space="preserve"> evaluation</w:t>
      </w:r>
      <w:r>
        <w:t xml:space="preserve"> </w:t>
      </w:r>
      <w:r w:rsidRPr="00AE7CF7">
        <w:t>summary</w:t>
      </w:r>
      <w:bookmarkEnd w:id="35"/>
    </w:p>
    <w:p w14:paraId="31936C10" w14:textId="54E5D4F2" w:rsidR="0065420F" w:rsidRDefault="00AA46CA" w:rsidP="00AE7CF7">
      <w:r>
        <w:t>S</w:t>
      </w:r>
      <w:r w:rsidR="00EC25CB">
        <w:t>ebetralstat</w:t>
      </w:r>
      <w:r w:rsidR="00173672" w:rsidRPr="00173672">
        <w:t xml:space="preserve"> (INN/USAN) is a white to off-white, slightly hygroscopic crystalline solid. The molecular formula is C</w:t>
      </w:r>
      <w:r w:rsidR="00173672" w:rsidRPr="002E69A6">
        <w:rPr>
          <w:vertAlign w:val="subscript"/>
        </w:rPr>
        <w:t>26</w:t>
      </w:r>
      <w:r w:rsidR="00173672" w:rsidRPr="00173672">
        <w:t>H</w:t>
      </w:r>
      <w:r w:rsidR="00173672" w:rsidRPr="002E69A6">
        <w:rPr>
          <w:vertAlign w:val="subscript"/>
        </w:rPr>
        <w:t>26</w:t>
      </w:r>
      <w:r w:rsidR="00173672" w:rsidRPr="00173672">
        <w:t>FN</w:t>
      </w:r>
      <w:r w:rsidR="00173672" w:rsidRPr="002E69A6">
        <w:rPr>
          <w:vertAlign w:val="subscript"/>
        </w:rPr>
        <w:t>5</w:t>
      </w:r>
      <w:r w:rsidR="00173672" w:rsidRPr="00173672">
        <w:t>O</w:t>
      </w:r>
      <w:r w:rsidR="00173672" w:rsidRPr="002E69A6">
        <w:rPr>
          <w:vertAlign w:val="subscript"/>
        </w:rPr>
        <w:t>4</w:t>
      </w:r>
      <w:r w:rsidR="00173672" w:rsidRPr="00173672">
        <w:t xml:space="preserve"> with relative molecular mass 491.52</w:t>
      </w:r>
      <w:r w:rsidR="0065420F">
        <w:t xml:space="preserve"> (Figure 1)</w:t>
      </w:r>
      <w:r w:rsidR="001372FC">
        <w:t>. A</w:t>
      </w:r>
      <w:r w:rsidR="001372FC" w:rsidRPr="001372FC">
        <w:t xml:space="preserve">queous solubility </w:t>
      </w:r>
      <w:r w:rsidR="001372FC">
        <w:t>is</w:t>
      </w:r>
      <w:r w:rsidR="001372FC" w:rsidRPr="001372FC">
        <w:t xml:space="preserve"> low across neutral conditions, with increased solubility at low </w:t>
      </w:r>
      <w:proofErr w:type="spellStart"/>
      <w:r w:rsidR="001372FC" w:rsidRPr="001372FC">
        <w:t>pH</w:t>
      </w:r>
      <w:r w:rsidR="001372FC">
        <w:t>.</w:t>
      </w:r>
      <w:proofErr w:type="spellEnd"/>
    </w:p>
    <w:p w14:paraId="19587D07" w14:textId="2C9C13CE" w:rsidR="0065420F" w:rsidRDefault="0065420F" w:rsidP="00AE7CF7">
      <w:pPr>
        <w:pStyle w:val="FigureTitle"/>
      </w:pPr>
      <w:r>
        <w:t xml:space="preserve">Figure 1. Structure of </w:t>
      </w:r>
      <w:proofErr w:type="spellStart"/>
      <w:r w:rsidR="00EC25CB" w:rsidRPr="00AE7CF7">
        <w:t>sebetralstat</w:t>
      </w:r>
      <w:proofErr w:type="spellEnd"/>
    </w:p>
    <w:p w14:paraId="084C6C74" w14:textId="387A0C68" w:rsidR="0065420F" w:rsidRDefault="0065420F" w:rsidP="00AE7CF7">
      <w:r w:rsidRPr="0065420F">
        <w:rPr>
          <w:noProof/>
        </w:rPr>
        <w:drawing>
          <wp:inline distT="0" distB="0" distL="0" distR="0" wp14:anchorId="3D3ABFDB" wp14:editId="5D98493D">
            <wp:extent cx="3168755" cy="1141730"/>
            <wp:effectExtent l="0" t="0" r="0" b="1270"/>
            <wp:docPr id="6462359" name="Picture 1" descr="Figure 1. Structure of sebetral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359" name="Picture 1" descr="Figure 1. Structure of sebetralstat"/>
                    <pic:cNvPicPr/>
                  </pic:nvPicPr>
                  <pic:blipFill>
                    <a:blip r:embed="rId23"/>
                    <a:stretch>
                      <a:fillRect/>
                    </a:stretch>
                  </pic:blipFill>
                  <pic:spPr>
                    <a:xfrm>
                      <a:off x="0" y="0"/>
                      <a:ext cx="3173588" cy="1143471"/>
                    </a:xfrm>
                    <a:prstGeom prst="rect">
                      <a:avLst/>
                    </a:prstGeom>
                  </pic:spPr>
                </pic:pic>
              </a:graphicData>
            </a:graphic>
          </wp:inline>
        </w:drawing>
      </w:r>
    </w:p>
    <w:p w14:paraId="205CCC14" w14:textId="05883E0F" w:rsidR="002107DB" w:rsidRDefault="00CF463D" w:rsidP="00AE7CF7">
      <w:r w:rsidRPr="00CF463D">
        <w:t xml:space="preserve">The manufacturing route is described as a convergent, eight-step chemical synthesis. Three starting </w:t>
      </w:r>
      <w:r w:rsidR="00AE7CF7" w:rsidRPr="00CF463D">
        <w:t>materials are</w:t>
      </w:r>
      <w:r w:rsidRPr="00CF463D">
        <w:t xml:space="preserve"> used to generate two key intermediates, which are coupled to form </w:t>
      </w:r>
      <w:r w:rsidR="00EC25CB">
        <w:t>sebetralstat</w:t>
      </w:r>
      <w:r w:rsidRPr="00CF463D">
        <w:t>. The control strategy is built around identification of critical steps and parameters that directly affect impurity formation, reaction completeness, and solid-state outcome, supported by in-process controls and intermediate specifications.</w:t>
      </w:r>
      <w:r w:rsidR="00DD5AD7" w:rsidRPr="00DD5AD7">
        <w:t xml:space="preserve"> Starting material selection and control are described in line with ICH Q11 principles</w:t>
      </w:r>
      <w:r w:rsidR="004B1F22">
        <w:t>.</w:t>
      </w:r>
      <w:r w:rsidR="00EE6F42">
        <w:rPr>
          <w:rStyle w:val="FootnoteReference"/>
        </w:rPr>
        <w:footnoteReference w:id="2"/>
      </w:r>
    </w:p>
    <w:p w14:paraId="3A42BA32" w14:textId="11D2BD5F" w:rsidR="00CF463D" w:rsidRDefault="004B1F22" w:rsidP="00AE7CF7">
      <w:r>
        <w:t>S</w:t>
      </w:r>
      <w:r w:rsidRPr="004B1F22">
        <w:t>tarting material specifications have been developed to assure that named impurities are readily purged and other impurities are controlled</w:t>
      </w:r>
      <w:r w:rsidR="002107DB">
        <w:t xml:space="preserve">. </w:t>
      </w:r>
      <w:r w:rsidR="002107DB" w:rsidRPr="002107DB">
        <w:t>Impurity control is presented across structurally related organic impurities, residual reagents/solvents, potential mutagenic (genotoxic) impurities, and elemental impurities, aligned to relevant ICH guidance.</w:t>
      </w:r>
      <w:r w:rsidR="002857EC">
        <w:t xml:space="preserve"> </w:t>
      </w:r>
      <w:r w:rsidR="002857EC" w:rsidRPr="002857EC">
        <w:t xml:space="preserve">The control strategy combines drug substance specification controls (e.g., 2-chloropropane) with upstream controls </w:t>
      </w:r>
      <w:r w:rsidR="002857EC" w:rsidRPr="002857EC">
        <w:lastRenderedPageBreak/>
        <w:t>in starting material and intermediate specifications, consistent with an ICH M7 approach</w:t>
      </w:r>
      <w:r w:rsidR="00DF302A">
        <w:t>.</w:t>
      </w:r>
      <w:r w:rsidR="00DF302A">
        <w:rPr>
          <w:rStyle w:val="FootnoteReference"/>
        </w:rPr>
        <w:footnoteReference w:id="3"/>
      </w:r>
      <w:r w:rsidR="0068379D">
        <w:t xml:space="preserve"> </w:t>
      </w:r>
      <w:r w:rsidR="0068379D" w:rsidRPr="0068379D">
        <w:t>Residual solvents (including cleaning solvents, process solvents, and solvents potentially formed during processing) are controlled using limits set according to ICH Q3C</w:t>
      </w:r>
      <w:r w:rsidR="002E735D">
        <w:t>.</w:t>
      </w:r>
      <w:r w:rsidR="002E735D">
        <w:rPr>
          <w:rStyle w:val="FootnoteReference"/>
        </w:rPr>
        <w:footnoteReference w:id="4"/>
      </w:r>
    </w:p>
    <w:p w14:paraId="6127E67C" w14:textId="3CF2298A" w:rsidR="006A53D6" w:rsidRDefault="006A53D6" w:rsidP="00AE7CF7">
      <w:r>
        <w:t>The drug product is an oral, immediate</w:t>
      </w:r>
      <w:r>
        <w:noBreakHyphen/>
        <w:t>release, film</w:t>
      </w:r>
      <w:r>
        <w:noBreakHyphen/>
        <w:t xml:space="preserve">coated tablet containing 300 mg of </w:t>
      </w:r>
      <w:r w:rsidR="00EC25CB">
        <w:t>sebetralstat</w:t>
      </w:r>
      <w:r w:rsidR="00F62A59">
        <w:t>. T</w:t>
      </w:r>
      <w:r w:rsidR="00F62A59" w:rsidRPr="00F62A59">
        <w:t>here are no novel excipients and no excipients of human or animal origin; excipients used are noted as being present in medicines approved for children aged 12 years and older.</w:t>
      </w:r>
    </w:p>
    <w:p w14:paraId="57890EEB" w14:textId="1BC0EB3A" w:rsidR="00690422" w:rsidRDefault="00690422" w:rsidP="001F226E">
      <w:r>
        <w:t>The d</w:t>
      </w:r>
      <w:r w:rsidRPr="00690422">
        <w:t>rug product control strategy compris</w:t>
      </w:r>
      <w:r>
        <w:t>es</w:t>
      </w:r>
      <w:r w:rsidRPr="00690422">
        <w:t xml:space="preserve"> standard tests for identity, assay,</w:t>
      </w:r>
      <w:r>
        <w:t xml:space="preserve"> </w:t>
      </w:r>
      <w:r w:rsidRPr="00690422">
        <w:t xml:space="preserve">impurities/degradants, dissolution, uniformity, and key physical attributes, with stability specifications aligned to release criteria and defined acceptance limits. Degradants and specified/unspecified impurities are controlled per the specification, and limits are supported through toxicological assessment and ICH aligned justification. Validated or qualified chromatographic methods are used for assay and impurities, and dissolution testing is performed using the defined acidic medium and conditions described for routine </w:t>
      </w:r>
      <w:r>
        <w:t>quality control.</w:t>
      </w:r>
    </w:p>
    <w:p w14:paraId="0559F869" w14:textId="08C07977" w:rsidR="00FD631F" w:rsidRDefault="00FD631F" w:rsidP="001F226E">
      <w:r>
        <w:t xml:space="preserve">The container closure system described includes a </w:t>
      </w:r>
      <w:proofErr w:type="gramStart"/>
      <w:r>
        <w:t>high density</w:t>
      </w:r>
      <w:proofErr w:type="gramEnd"/>
      <w:r>
        <w:t xml:space="preserve"> polyethylene (HDPE) bottle with a polypropylene child resistant closure and induction seal liner, with silica gel desiccant included, providing moisture protection consistent with the product’s hygroscopicity considerations.</w:t>
      </w:r>
    </w:p>
    <w:p w14:paraId="668C20AB" w14:textId="23F2AA48" w:rsidR="00FD631F" w:rsidRPr="00173672" w:rsidRDefault="00FD631F" w:rsidP="001F226E">
      <w:r>
        <w:t xml:space="preserve">The stability program described includes long term and accelerated studies on representative commercial or registration batches in the proposed commercial packaging configuration. Monitored attributes include assay, impurities/degradants, dissolution, moisture and physical properties, and appearance (including coating) against defined acceptance criteria. Based on the reported stability outcomes, the data support </w:t>
      </w:r>
      <w:r w:rsidR="00777C48">
        <w:t>a shelf life of</w:t>
      </w:r>
      <w:r w:rsidR="00F52149">
        <w:t xml:space="preserve"> 36</w:t>
      </w:r>
      <w:r w:rsidR="00777C48">
        <w:t xml:space="preserve"> months for the </w:t>
      </w:r>
      <w:proofErr w:type="spellStart"/>
      <w:r w:rsidR="00EC25CB">
        <w:t>sebetralstat</w:t>
      </w:r>
      <w:proofErr w:type="spellEnd"/>
      <w:r w:rsidR="00777C48">
        <w:t xml:space="preserve"> 300 mg film-coated tablets packed in oPA/Al/PVC/Al blisters</w:t>
      </w:r>
      <w:r w:rsidR="007B5C26">
        <w:t>.</w:t>
      </w:r>
    </w:p>
    <w:p w14:paraId="406EE1CC" w14:textId="43DA7E9A" w:rsidR="001751D7" w:rsidRDefault="001751D7" w:rsidP="001751D7">
      <w:r w:rsidRPr="001751D7">
        <w:t>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pharmacopoeial standards and the technical guidelines adopted by the TGA.</w:t>
      </w:r>
    </w:p>
    <w:p w14:paraId="55497F8A" w14:textId="529622D0" w:rsidR="00777C48" w:rsidRPr="001751D7" w:rsidRDefault="00777C48" w:rsidP="001F226E">
      <w:r>
        <w:t xml:space="preserve">There are no objections to the registration of </w:t>
      </w:r>
      <w:r w:rsidR="00EC25CB">
        <w:t>sebetralstat</w:t>
      </w:r>
      <w:r>
        <w:t xml:space="preserve"> from a quality perspective.</w:t>
      </w:r>
    </w:p>
    <w:p w14:paraId="2BE90AAE" w14:textId="35796FD3" w:rsidR="00C22214" w:rsidRDefault="00C22214" w:rsidP="001F226E">
      <w:pPr>
        <w:pStyle w:val="Heading3"/>
      </w:pPr>
      <w:bookmarkStart w:id="36" w:name="_Toc314842512"/>
      <w:bookmarkStart w:id="37" w:name="_Toc103679296"/>
      <w:bookmarkStart w:id="38" w:name="_Toc228878063"/>
      <w:r>
        <w:t>Nonclinical</w:t>
      </w:r>
      <w:bookmarkEnd w:id="36"/>
      <w:bookmarkEnd w:id="37"/>
      <w:r w:rsidR="007E6443">
        <w:t xml:space="preserve"> </w:t>
      </w:r>
      <w:r w:rsidR="007E6443" w:rsidRPr="001F226E">
        <w:t>evaluation</w:t>
      </w:r>
      <w:r w:rsidR="00095C6A">
        <w:t xml:space="preserve"> </w:t>
      </w:r>
      <w:r w:rsidR="00095C6A" w:rsidRPr="001F226E">
        <w:t>summary</w:t>
      </w:r>
      <w:bookmarkEnd w:id="38"/>
    </w:p>
    <w:p w14:paraId="750EC3A5" w14:textId="2994F560" w:rsidR="00C86560" w:rsidRDefault="0002151C" w:rsidP="001F226E">
      <w:r w:rsidRPr="0002151C">
        <w:t>The nonclinical package was considered adequate in scope and consistent with ICH M3(R2)</w:t>
      </w:r>
      <w:r w:rsidR="00713746">
        <w:rPr>
          <w:rStyle w:val="FootnoteReference"/>
        </w:rPr>
        <w:footnoteReference w:id="5"/>
      </w:r>
      <w:r w:rsidR="001F226E">
        <w:t>.</w:t>
      </w:r>
      <w:r w:rsidRPr="0002151C">
        <w:t xml:space="preserve"> </w:t>
      </w:r>
      <w:r w:rsidR="00C86560">
        <w:t>A</w:t>
      </w:r>
      <w:r w:rsidRPr="0002151C">
        <w:t>ll pivotal safety-related studies were GLP compliant</w:t>
      </w:r>
      <w:r w:rsidR="001F226E">
        <w:t>.</w:t>
      </w:r>
    </w:p>
    <w:p w14:paraId="7963CD83" w14:textId="6BF0FC9D" w:rsidR="00141DAB" w:rsidRDefault="00141DAB" w:rsidP="001F226E">
      <w:r>
        <w:t xml:space="preserve">In vitro, </w:t>
      </w:r>
      <w:r w:rsidR="00EC25CB">
        <w:t>sebetralstat</w:t>
      </w:r>
      <w:r>
        <w:t xml:space="preserve"> demonstrated nanomolar affinity for human </w:t>
      </w:r>
      <w:r w:rsidR="00C82992" w:rsidRPr="00C82992">
        <w:t xml:space="preserve">plasma kallikrein </w:t>
      </w:r>
      <w:r>
        <w:t>PKa (Ki ~3 nM) with rapid association/dissociation kinetics, inhibited PKa activity in activated human plasma (including plasma from individuals with HAE; IC</w:t>
      </w:r>
      <w:r w:rsidRPr="006555F3">
        <w:rPr>
          <w:vertAlign w:val="subscript"/>
        </w:rPr>
        <w:t>50</w:t>
      </w:r>
      <w:r>
        <w:t xml:space="preserve"> values in the tens of nM range), and prevented Factor XIIa generation. </w:t>
      </w:r>
      <w:r w:rsidR="00EC25CB">
        <w:t>sebetralstat</w:t>
      </w:r>
      <w:r>
        <w:t xml:space="preserve"> recognises mouse, rat and cynomolgus monkey PKa with comparable affinity to human, although not all common laboratory species were pharmacologically relevant. Broad secondary pharmacology screening did not identify clinically relevant off-target activity and selectivity over related serine proteases was reported as high.</w:t>
      </w:r>
    </w:p>
    <w:p w14:paraId="04D015DA" w14:textId="77777777" w:rsidR="00141DAB" w:rsidRDefault="00141DAB" w:rsidP="001F226E">
      <w:r>
        <w:lastRenderedPageBreak/>
        <w:t>No specific animal model for HAE was available during development; instead, a rat carrageenan-induced paw oedema model was used as a general inflammation/oedema model and showed dose-dependent inhibition when dosed prior to inflammatory challenge. Dedicated safety pharmacology studies assessed CNS, respiratory and cardiovascular endpoints. No adverse CNS or respiratory findings were observed in rats at high doses, and no treatment-related effects on ECG, blood pressure or heart rate were seen in monkeys at tested doses in the dedicated cardiovascular study. hERG channel inhibition was not considered clinically concerning at relevant concentrations (per reported margins).</w:t>
      </w:r>
    </w:p>
    <w:p w14:paraId="47520859" w14:textId="67225631" w:rsidR="00141DAB" w:rsidRDefault="00141DAB" w:rsidP="001F226E">
      <w:r>
        <w:t xml:space="preserve">In animals, </w:t>
      </w:r>
      <w:r w:rsidR="00EC25CB">
        <w:t>sebetralstat</w:t>
      </w:r>
      <w:r>
        <w:t xml:space="preserve"> </w:t>
      </w:r>
      <w:proofErr w:type="gramStart"/>
      <w:r>
        <w:t xml:space="preserve">showed </w:t>
      </w:r>
      <w:r w:rsidDel="00E9534C">
        <w:t xml:space="preserve"> </w:t>
      </w:r>
      <w:r>
        <w:t>moderate</w:t>
      </w:r>
      <w:proofErr w:type="gramEnd"/>
      <w:r>
        <w:t xml:space="preserve"> oral bioavailability overall, with T</w:t>
      </w:r>
      <w:r w:rsidRPr="006555F3">
        <w:rPr>
          <w:vertAlign w:val="subscript"/>
        </w:rPr>
        <w:t>max</w:t>
      </w:r>
      <w:r>
        <w:t xml:space="preserve"> generally within </w:t>
      </w:r>
      <w:r w:rsidR="001217FF">
        <w:t xml:space="preserve">1.5 </w:t>
      </w:r>
      <w:r>
        <w:t xml:space="preserve">hours after dosing. Half-life was short by the IV route (about </w:t>
      </w:r>
      <w:r w:rsidR="00B45515">
        <w:t xml:space="preserve">1 </w:t>
      </w:r>
      <w:r>
        <w:t xml:space="preserve">hour or less) and longer after oral dosing; human oral half-life was reported as longer than in key nonclinical species. Plasma protein binding was high in rodents (mid 90% range) and lower in humans (~77%) and </w:t>
      </w:r>
      <w:r w:rsidR="00C82992">
        <w:t>non-human primates (</w:t>
      </w:r>
      <w:proofErr w:type="gramStart"/>
      <w:r>
        <w:t>NHPs</w:t>
      </w:r>
      <w:r w:rsidR="00C82992">
        <w:t>;</w:t>
      </w:r>
      <w:r>
        <w:t>~</w:t>
      </w:r>
      <w:proofErr w:type="gramEnd"/>
      <w:r>
        <w:t>62%). Distribution of radiolabel in rats after oral dosing was rapid and widespread, with highest non-GI concentrations in liver, kidney and adrenal gland, and limited brain penetration.</w:t>
      </w:r>
    </w:p>
    <w:p w14:paraId="31171613" w14:textId="63B6221C" w:rsidR="00141DAB" w:rsidRDefault="00141DAB" w:rsidP="001F226E">
      <w:r>
        <w:t xml:space="preserve">Metabolism occurred mainly via O-desmethylation and oxidative transformations, with no unique human metabolites reported. Metabolism is primarily mediated by CYP3A4 with a lesser contribution from CYP2C8. Excretion was predominantly faecal in rats and NHPs (with minor urinary contribution), whereas in humans both faecal and urinary excretion contribute. As a CYP3A4 substrate, inhibitors/inducers may increase/decrease exposure. </w:t>
      </w:r>
      <w:r w:rsidR="00EC25CB">
        <w:t>sebetralstat</w:t>
      </w:r>
      <w:r>
        <w:t xml:space="preserve"> was also identified as a substrate of transporters (including BCRP and P</w:t>
      </w:r>
      <w:r w:rsidR="00A843A1">
        <w:t>-</w:t>
      </w:r>
      <w:r>
        <w:t xml:space="preserve">gp) in vitro, and inhibitors may alter exposure (noted as minor in some clinical studies per the report summary). In vitro data also suggested potential inhibition of multiple enzymes/transporters (including CYP2C9/CYP3A4 and several uptake/efflux transporters), which were flagged for consideration in </w:t>
      </w:r>
      <w:r w:rsidR="00C82992">
        <w:t xml:space="preserve">the </w:t>
      </w:r>
      <w:r>
        <w:t>Product Information</w:t>
      </w:r>
      <w:r w:rsidR="00C82992">
        <w:t xml:space="preserve"> document</w:t>
      </w:r>
      <w:r>
        <w:t>.</w:t>
      </w:r>
    </w:p>
    <w:p w14:paraId="42EF6E7B" w14:textId="5F10276D" w:rsidR="00141DAB" w:rsidRDefault="00141DAB" w:rsidP="001F226E">
      <w:r>
        <w:t xml:space="preserve">No dedicated single-dose toxicity studies were conducted. Repeat-dose oral toxicity studies were conducted in rats (up to 26 weeks, plus a </w:t>
      </w:r>
      <w:proofErr w:type="gramStart"/>
      <w:r>
        <w:t>2 year</w:t>
      </w:r>
      <w:proofErr w:type="gramEnd"/>
      <w:r>
        <w:t xml:space="preserve"> carcinogenicity study) and cynomolgus monkeys (up to 26 weeks), and were considered appropriately designed (species, dose selection, duration and endpoints). Highest doses in pivotal repeat-dose studies produced systemic exposures to unbound </w:t>
      </w:r>
      <w:r w:rsidR="00EC25CB">
        <w:t>sebetralstat</w:t>
      </w:r>
      <w:r>
        <w:t xml:space="preserve"> above those in patients at the maximum recommended human dose (MRHD) of 900 mg/day, with higher margins in rats than in NHPs. Target organs included liver (principal target in NHPs) and, in rats, liver as well as kidney, adrenal, ovary and thyroid (generally minimal severity). Liver findings included hepatocellular hypertrophy and related clinical pathology changes (for example, liver enzymes/bilirubin changes), with evidence of partial or complete reversibility after recovery. Some findings (such as certain organ weight changes in rats at high dose) were noted without a clear histopathologic correlate, and overall interpretation emphasised minimal severity, reversibility and clinical relevance in the context of exposure margins.</w:t>
      </w:r>
    </w:p>
    <w:p w14:paraId="00D1304B" w14:textId="00ED4B21" w:rsidR="00141DAB" w:rsidRDefault="00141DAB" w:rsidP="001F226E">
      <w:r>
        <w:t xml:space="preserve">Genotoxicity was assessed in a standard battery (including </w:t>
      </w:r>
      <w:proofErr w:type="gramStart"/>
      <w:r>
        <w:t>Ames</w:t>
      </w:r>
      <w:proofErr w:type="gramEnd"/>
      <w:r>
        <w:t xml:space="preserve"> testing, in vitro mammalian cell gene mutation/chromosomal damage testing, and an in vivo rat micronucleus test) and was negative. Carcinogenicity studies were conducted in transgenic rasH2 mice (26 weeks) and rats (104 weeks). No treatment-related increase in malignant tumours was </w:t>
      </w:r>
      <w:proofErr w:type="gramStart"/>
      <w:r>
        <w:t>observed</w:t>
      </w:r>
      <w:proofErr w:type="gramEnd"/>
      <w:r>
        <w:t xml:space="preserve"> and the overall conclusion was that </w:t>
      </w:r>
      <w:r w:rsidR="00EC25CB">
        <w:t>sebetralstat</w:t>
      </w:r>
      <w:r>
        <w:t xml:space="preserve"> was not carcinogenic in mice or rats. Treatment-related benign tumours were reported in rats at higher doses (including findings in liver, thyroid, pituitary, ovary and testes</w:t>
      </w:r>
      <w:r w:rsidR="00114D94">
        <w:t>) and</w:t>
      </w:r>
      <w:r>
        <w:t xml:space="preserve"> were interpreted alongside non-neoplastic changes as suggestive of an adaptive hepatic response and mild hormonal perturbation.</w:t>
      </w:r>
    </w:p>
    <w:p w14:paraId="38D987E5" w14:textId="38532EC4" w:rsidR="00141DAB" w:rsidRDefault="00141DAB" w:rsidP="001F226E">
      <w:r>
        <w:t xml:space="preserve">In rats, no effects on male or female fertility were observed up to the highest dose tested in fertility studies (as summarised in the report). In embryofetal development studies, rat findings included embryofetal toxicity and malformations at higher doses/exposures (including fetal </w:t>
      </w:r>
      <w:r>
        <w:lastRenderedPageBreak/>
        <w:t xml:space="preserve">deaths and structural malformations), and this was treated as a key nonclinical safety concern. In rabbits, decreased fetal body weight and fetal malformations were reported; however, rabbits are not a pharmacologically relevant species for PKa binding, creating uncertainty regarding attribution. Placental transfer was described as limited in rats, and drug-related radioactivity was detected in milk in lactating rats at concentrations broadly </w:t>
      </w:r>
      <w:proofErr w:type="gramStart"/>
      <w:r>
        <w:t>similar to</w:t>
      </w:r>
      <w:proofErr w:type="gramEnd"/>
      <w:r>
        <w:t xml:space="preserve"> plasma. A juvenile rat study did not show increased sensitivity relative to adults (per report summary), supporting potential future paediatric development. While the </w:t>
      </w:r>
      <w:r w:rsidR="009F359E">
        <w:t>Sponsor</w:t>
      </w:r>
      <w:r>
        <w:t xml:space="preserve"> proposed Pregnancy Category B3, the </w:t>
      </w:r>
      <w:r w:rsidR="009F359E">
        <w:t>E</w:t>
      </w:r>
      <w:r>
        <w:t>valuator considered Pregnancy Category D more appropriate based on rat embryofetal harm at relatively low exposure ratios and recommended stronger pregnancy/contraception statements in Product Information.</w:t>
      </w:r>
    </w:p>
    <w:p w14:paraId="15C51A23" w14:textId="411AEF03" w:rsidR="008804CF" w:rsidRPr="00BD5DBD" w:rsidRDefault="001C5C6D" w:rsidP="001F226E">
      <w:pPr>
        <w:rPr>
          <w:b/>
          <w:bCs/>
          <w:szCs w:val="22"/>
        </w:rPr>
      </w:pPr>
      <w:r>
        <w:t xml:space="preserve">There were no objections from a nonclinical perspective to the registration of </w:t>
      </w:r>
      <w:proofErr w:type="spellStart"/>
      <w:r>
        <w:t>Ekterly</w:t>
      </w:r>
      <w:proofErr w:type="spellEnd"/>
      <w:r>
        <w:t>.</w:t>
      </w:r>
      <w:bookmarkStart w:id="39" w:name="_Toc247691530"/>
      <w:bookmarkStart w:id="40" w:name="_Toc314842513"/>
      <w:bookmarkStart w:id="41" w:name="_Toc103679297"/>
    </w:p>
    <w:p w14:paraId="35B580A5" w14:textId="40B226DC" w:rsidR="00C22214" w:rsidRDefault="00C22214" w:rsidP="001F226E">
      <w:pPr>
        <w:pStyle w:val="Heading3"/>
      </w:pPr>
      <w:bookmarkStart w:id="42" w:name="_Toc228878064"/>
      <w:r>
        <w:t>Clinical</w:t>
      </w:r>
      <w:bookmarkEnd w:id="39"/>
      <w:bookmarkEnd w:id="40"/>
      <w:bookmarkEnd w:id="41"/>
      <w:r w:rsidR="00095C6A">
        <w:t xml:space="preserve"> evaluation </w:t>
      </w:r>
      <w:r w:rsidR="00095C6A" w:rsidRPr="001F226E">
        <w:t>summary</w:t>
      </w:r>
      <w:bookmarkEnd w:id="42"/>
    </w:p>
    <w:p w14:paraId="10059A50" w14:textId="77777777" w:rsidR="003A5364" w:rsidRDefault="003A5364" w:rsidP="001F226E">
      <w:pPr>
        <w:pStyle w:val="Heading4"/>
      </w:pPr>
      <w:bookmarkStart w:id="43" w:name="_Toc228878065"/>
      <w:r w:rsidRPr="001F226E">
        <w:t>Pharmacology</w:t>
      </w:r>
      <w:bookmarkEnd w:id="43"/>
    </w:p>
    <w:p w14:paraId="41FDAFE0" w14:textId="76530F8E" w:rsidR="003A5364" w:rsidRDefault="003A5364" w:rsidP="001F226E">
      <w:pPr>
        <w:pStyle w:val="Heading5"/>
      </w:pPr>
      <w:r w:rsidRPr="001F226E">
        <w:t>Pharmacokinetics</w:t>
      </w:r>
    </w:p>
    <w:p w14:paraId="3C5102C9" w14:textId="6B88A3A2" w:rsidR="003A5364" w:rsidRDefault="003A5364" w:rsidP="001F226E">
      <w:r>
        <w:t xml:space="preserve">The pharmacokinetics </w:t>
      </w:r>
      <w:r w:rsidR="00444523" w:rsidRPr="00444523">
        <w:t>(PK)</w:t>
      </w:r>
      <w:r w:rsidR="00444523">
        <w:t xml:space="preserve"> </w:t>
      </w:r>
      <w:r>
        <w:t xml:space="preserve">of </w:t>
      </w:r>
      <w:r w:rsidR="00EC25CB">
        <w:t>sebetralstat</w:t>
      </w:r>
      <w:r>
        <w:t xml:space="preserve"> were characterised in 10 pharmacology studies in healthy adults, as well as two studies in patients with HAE.</w:t>
      </w:r>
    </w:p>
    <w:p w14:paraId="0AE4ADC4" w14:textId="51DEF75B" w:rsidR="003A5364" w:rsidRDefault="003A5364" w:rsidP="001F226E">
      <w:r>
        <w:t xml:space="preserve">In summary, the </w:t>
      </w:r>
      <w:r w:rsidR="00FD2717">
        <w:t>extent of oral absorption</w:t>
      </w:r>
      <w:r w:rsidR="00FD2717" w:rsidDel="00771548">
        <w:t xml:space="preserve"> </w:t>
      </w:r>
      <w:r>
        <w:t xml:space="preserve">of </w:t>
      </w:r>
      <w:r w:rsidR="00EC25CB">
        <w:t>sebetralstat</w:t>
      </w:r>
      <w:r>
        <w:t xml:space="preserve"> is high at &gt;75% based on pharmacokinetic modelling and animal studies. Absorption is rapid, reaching T</w:t>
      </w:r>
      <w:r w:rsidRPr="00C82992">
        <w:rPr>
          <w:vertAlign w:val="subscript"/>
        </w:rPr>
        <w:t>max</w:t>
      </w:r>
      <w:r>
        <w:t xml:space="preserve"> in 30</w:t>
      </w:r>
      <w:r w:rsidR="00C82992">
        <w:t xml:space="preserve"> </w:t>
      </w:r>
      <w:r>
        <w:t>mins</w:t>
      </w:r>
      <w:r w:rsidR="00C82992">
        <w:t xml:space="preserve"> to </w:t>
      </w:r>
      <w:proofErr w:type="gramStart"/>
      <w:r>
        <w:t>1</w:t>
      </w:r>
      <w:r w:rsidR="00C82992">
        <w:t xml:space="preserve"> </w:t>
      </w:r>
      <w:r>
        <w:t>hour</w:t>
      </w:r>
      <w:proofErr w:type="gramEnd"/>
      <w:r>
        <w:t xml:space="preserve"> post-dose under fasted conditions.</w:t>
      </w:r>
    </w:p>
    <w:p w14:paraId="01EAFC64" w14:textId="6A35E839" w:rsidR="003A5364" w:rsidRDefault="003A5364" w:rsidP="001F226E">
      <w:r>
        <w:t xml:space="preserve">The </w:t>
      </w:r>
      <w:r w:rsidR="008B6292">
        <w:t>apparent</w:t>
      </w:r>
      <w:r w:rsidR="00581D9B">
        <w:t xml:space="preserve"> </w:t>
      </w:r>
      <w:r>
        <w:t>volume of distribution is</w:t>
      </w:r>
      <w:r w:rsidR="00422B14">
        <w:t xml:space="preserve"> 208L (in study KVD900-110)</w:t>
      </w:r>
      <w:r>
        <w:t xml:space="preserve"> and has a plasma protein binding </w:t>
      </w:r>
      <w:r w:rsidR="00422B14">
        <w:t xml:space="preserve">of </w:t>
      </w:r>
      <w:r>
        <w:t>approximately 7</w:t>
      </w:r>
      <w:r w:rsidR="006F6AD9">
        <w:t>7</w:t>
      </w:r>
      <w:r>
        <w:t xml:space="preserve">% </w:t>
      </w:r>
      <w:r w:rsidR="00422B14">
        <w:t xml:space="preserve">in human </w:t>
      </w:r>
      <w:r>
        <w:t xml:space="preserve">plasma. The majority of </w:t>
      </w:r>
      <w:r w:rsidR="00EC25CB">
        <w:t>sebetralstat</w:t>
      </w:r>
      <w:r>
        <w:t xml:space="preserve"> in plasma is unchanged drug, with a minor proportion of M19 and M10 metabolites present at &lt;10% each.</w:t>
      </w:r>
    </w:p>
    <w:p w14:paraId="2EE1470B" w14:textId="03A9D16A" w:rsidR="003A5364" w:rsidRDefault="003A5364" w:rsidP="001F226E">
      <w:r>
        <w:t xml:space="preserve">About 96% of </w:t>
      </w:r>
      <w:r w:rsidR="001C01DF">
        <w:t xml:space="preserve">radioactivity </w:t>
      </w:r>
      <w:r>
        <w:t>is recovered by 216 hours post dose in faeces (63.4%) or urine (32.4%)</w:t>
      </w:r>
      <w:r w:rsidR="009F2A23">
        <w:t xml:space="preserve"> after dosing [</w:t>
      </w:r>
      <w:r w:rsidR="009F2A23">
        <w:rPr>
          <w:vertAlign w:val="superscript"/>
        </w:rPr>
        <w:t>14</w:t>
      </w:r>
      <w:r w:rsidR="009F2A23">
        <w:t>C]-sebetralstat</w:t>
      </w:r>
      <w:r>
        <w:t xml:space="preserve">. Unchanged </w:t>
      </w:r>
      <w:r w:rsidR="00EC25CB">
        <w:t>sebetralstat</w:t>
      </w:r>
      <w:r>
        <w:t xml:space="preserve"> is a minor component of urine excretion (8.66% of dose) with drug being </w:t>
      </w:r>
      <w:r w:rsidR="009F2A23">
        <w:t>m</w:t>
      </w:r>
      <w:r w:rsidR="00EF6078">
        <w:t>ost</w:t>
      </w:r>
      <w:r w:rsidR="009F2A23">
        <w:t xml:space="preserve">ly </w:t>
      </w:r>
      <w:r>
        <w:t>metabolised prior to urinary excretion. Biliary excretion is likely given the high proportion of drug</w:t>
      </w:r>
      <w:r w:rsidR="006F291D">
        <w:t>-related material</w:t>
      </w:r>
      <w:r>
        <w:t xml:space="preserve"> recovered from faeces.</w:t>
      </w:r>
    </w:p>
    <w:p w14:paraId="5419ABF6" w14:textId="70CD23E3" w:rsidR="002A1B83" w:rsidRDefault="002A1B83" w:rsidP="001F226E">
      <w:pPr>
        <w:pStyle w:val="TableTitle"/>
      </w:pPr>
      <w:r w:rsidRPr="002A1B83">
        <w:t xml:space="preserve">Table </w:t>
      </w:r>
      <w:r w:rsidR="00CF1400">
        <w:t>3</w:t>
      </w:r>
      <w:r w:rsidR="00532DD7">
        <w:t>.</w:t>
      </w:r>
      <w:r w:rsidR="00CF1400">
        <w:t xml:space="preserve"> </w:t>
      </w:r>
      <w:proofErr w:type="spellStart"/>
      <w:r w:rsidR="00CF1400">
        <w:t>S</w:t>
      </w:r>
      <w:r w:rsidR="00EC25CB">
        <w:t>ebetralstat</w:t>
      </w:r>
      <w:proofErr w:type="spellEnd"/>
      <w:r w:rsidRPr="002A1B83">
        <w:t xml:space="preserve"> and total </w:t>
      </w:r>
      <w:r w:rsidRPr="001F226E">
        <w:t>radioactivity</w:t>
      </w:r>
      <w:r w:rsidRPr="002A1B83">
        <w:t xml:space="preserve"> </w:t>
      </w:r>
      <w:r w:rsidRPr="001F226E">
        <w:t>pharmacokinetic</w:t>
      </w:r>
      <w:r w:rsidRPr="002A1B83">
        <w:t xml:space="preserve"> parameters following administration of </w:t>
      </w:r>
      <w:proofErr w:type="spellStart"/>
      <w:r w:rsidR="00C82992" w:rsidRPr="00C82992">
        <w:rPr>
          <w:vertAlign w:val="superscript"/>
        </w:rPr>
        <w:t>14</w:t>
      </w:r>
      <w:r w:rsidRPr="002A1B83">
        <w:t>C</w:t>
      </w:r>
      <w:proofErr w:type="spellEnd"/>
      <w:r w:rsidR="00C82992">
        <w:t>-</w:t>
      </w:r>
      <w:r w:rsidRPr="001F226E">
        <w:t>labelled</w:t>
      </w:r>
      <w:r w:rsidRPr="002A1B83">
        <w:t xml:space="preserve"> </w:t>
      </w:r>
      <w:proofErr w:type="spellStart"/>
      <w:r w:rsidR="00EC25CB" w:rsidRPr="001F226E">
        <w:t>sebetralstat</w:t>
      </w:r>
      <w:proofErr w:type="spellEnd"/>
      <w:r w:rsidRPr="002A1B83">
        <w:t xml:space="preserve"> </w:t>
      </w:r>
      <w:r w:rsidR="00C82992">
        <w:t>(</w:t>
      </w:r>
      <w:r w:rsidRPr="002A1B83">
        <w:t>600</w:t>
      </w:r>
      <w:r w:rsidR="006F2C87">
        <w:t xml:space="preserve"> </w:t>
      </w:r>
      <w:r w:rsidRPr="002A1B83">
        <w:t>mg</w:t>
      </w:r>
      <w:r w:rsidR="00C82992">
        <w:t>)</w:t>
      </w:r>
    </w:p>
    <w:p w14:paraId="3338B04E" w14:textId="21CC3451" w:rsidR="00F470F7" w:rsidRDefault="002A3D7D" w:rsidP="001F226E">
      <w:r>
        <w:rPr>
          <w:noProof/>
        </w:rPr>
        <w:drawing>
          <wp:inline distT="0" distB="0" distL="0" distR="0" wp14:anchorId="31FFDCB2" wp14:editId="4762EB09">
            <wp:extent cx="5421597" cy="2628900"/>
            <wp:effectExtent l="0" t="0" r="8255" b="0"/>
            <wp:docPr id="12" name="Image 12" descr="Table 3. Sebetralstat and total radioactivity pharmacokinetic parameters following administration of 14C-labelled sebetralstat (600 mg)"/>
            <wp:cNvGraphicFramePr/>
            <a:graphic xmlns:a="http://schemas.openxmlformats.org/drawingml/2006/main">
              <a:graphicData uri="http://schemas.openxmlformats.org/drawingml/2006/picture">
                <pic:pic xmlns:pic="http://schemas.openxmlformats.org/drawingml/2006/picture">
                  <pic:nvPicPr>
                    <pic:cNvPr id="12" name="Image 12" descr="Table 3. Sebetralstat and total radioactivity pharmacokinetic parameters following administration of 14C-labelled sebetralstat (600 mg)"/>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b="13208"/>
                    <a:stretch>
                      <a:fillRect/>
                    </a:stretch>
                  </pic:blipFill>
                  <pic:spPr bwMode="auto">
                    <a:xfrm>
                      <a:off x="0" y="0"/>
                      <a:ext cx="5422676" cy="2629423"/>
                    </a:xfrm>
                    <a:prstGeom prst="rect">
                      <a:avLst/>
                    </a:prstGeom>
                    <a:ln>
                      <a:noFill/>
                    </a:ln>
                    <a:extLst>
                      <a:ext uri="{53640926-AAD7-44D8-BBD7-CCE9431645EC}">
                        <a14:shadowObscured xmlns:a14="http://schemas.microsoft.com/office/drawing/2010/main"/>
                      </a:ext>
                    </a:extLst>
                  </pic:spPr>
                </pic:pic>
              </a:graphicData>
            </a:graphic>
          </wp:inline>
        </w:drawing>
      </w:r>
    </w:p>
    <w:p w14:paraId="02231155" w14:textId="09BB1E4F" w:rsidR="001165E9" w:rsidRDefault="001165E9" w:rsidP="001F226E">
      <w:pPr>
        <w:pStyle w:val="TableDescription"/>
      </w:pPr>
      <w:r>
        <w:lastRenderedPageBreak/>
        <w:t>Note: AUC and C</w:t>
      </w:r>
      <w:r w:rsidRPr="00DE3B38">
        <w:rPr>
          <w:vertAlign w:val="subscript"/>
        </w:rPr>
        <w:t>max</w:t>
      </w:r>
      <w:r>
        <w:t xml:space="preserve"> values are presented as geometric mean (geometric CV). Tmax is presented as median (minimum, maximum). All other parameters are presented as arithmetic mean + SD</w:t>
      </w:r>
    </w:p>
    <w:p w14:paraId="017BC491" w14:textId="6B03D8AC" w:rsidR="001165E9" w:rsidRDefault="001165E9" w:rsidP="001F226E">
      <w:pPr>
        <w:pStyle w:val="TableDescription"/>
      </w:pPr>
      <w:r w:rsidRPr="001165E9">
        <w:rPr>
          <w:vertAlign w:val="superscript"/>
        </w:rPr>
        <w:t>a</w:t>
      </w:r>
      <w:r>
        <w:t xml:space="preserve"> Units for total radioactivity AUCs and C</w:t>
      </w:r>
      <w:r w:rsidR="00DE3B38" w:rsidRPr="00DE3B38">
        <w:rPr>
          <w:vertAlign w:val="subscript"/>
        </w:rPr>
        <w:t>max</w:t>
      </w:r>
      <w:r>
        <w:t xml:space="preserve"> are h.ng equivalents/mL and ng </w:t>
      </w:r>
      <w:r w:rsidRPr="001165E9">
        <w:t>equivalents</w:t>
      </w:r>
      <w:r>
        <w:t>/mL, respectively</w:t>
      </w:r>
    </w:p>
    <w:p w14:paraId="54BFB088" w14:textId="047B0B0A" w:rsidR="00155FC3" w:rsidRDefault="00155FC3" w:rsidP="001F226E">
      <w:r>
        <w:t xml:space="preserve">The PK </w:t>
      </w:r>
      <w:r w:rsidR="00DD5215">
        <w:t xml:space="preserve">of </w:t>
      </w:r>
      <w:r w:rsidR="00EC25CB">
        <w:t>sebetralstat</w:t>
      </w:r>
      <w:r>
        <w:t xml:space="preserve"> was dose-proportional between 5</w:t>
      </w:r>
      <w:r w:rsidR="00DD5215">
        <w:t xml:space="preserve"> </w:t>
      </w:r>
      <w:r>
        <w:t>mg and 600</w:t>
      </w:r>
      <w:r w:rsidR="00DD5215">
        <w:t xml:space="preserve"> </w:t>
      </w:r>
      <w:r>
        <w:t>mg.</w:t>
      </w:r>
    </w:p>
    <w:p w14:paraId="0AEE91A8" w14:textId="6FFCDD30" w:rsidR="00106434" w:rsidRDefault="00155FC3" w:rsidP="001F226E">
      <w:r>
        <w:t>In vitro studies using human liver microsomes</w:t>
      </w:r>
      <w:r w:rsidR="005F49B8">
        <w:t xml:space="preserve"> </w:t>
      </w:r>
      <w:r>
        <w:t xml:space="preserve">indicate that CYP3A4 is the main P450 isoform involved in </w:t>
      </w:r>
      <w:r w:rsidR="00EC25CB">
        <w:t>sebetralstat</w:t>
      </w:r>
      <w:r>
        <w:t xml:space="preserve"> metabolism.</w:t>
      </w:r>
    </w:p>
    <w:p w14:paraId="2F690D57" w14:textId="42D1D92B" w:rsidR="00795B41" w:rsidRDefault="00795B41" w:rsidP="001F226E">
      <w:r>
        <w:t xml:space="preserve">In-vitro incubation of </w:t>
      </w:r>
      <w:r w:rsidR="00EC25CB">
        <w:t>sebetralstat</w:t>
      </w:r>
      <w:r>
        <w:t xml:space="preserve"> with ketoconazole</w:t>
      </w:r>
      <w:r w:rsidR="004D77AF">
        <w:t xml:space="preserve"> </w:t>
      </w:r>
      <w:r>
        <w:t xml:space="preserve">reduced metabolism of </w:t>
      </w:r>
      <w:r w:rsidR="00EC25CB">
        <w:t>sebetralstat</w:t>
      </w:r>
      <w:r>
        <w:t xml:space="preserve"> &gt;3 fold. The only other CYP isoform who inhibition had an impact on metabolism of </w:t>
      </w:r>
      <w:r w:rsidR="00EC25CB">
        <w:t>sebetralstat</w:t>
      </w:r>
      <w:r>
        <w:t xml:space="preserve"> was 2C8 although this was only about a 25% reduction in metabolism compared to controls.</w:t>
      </w:r>
    </w:p>
    <w:p w14:paraId="6C318F54" w14:textId="77777777" w:rsidR="00795B41" w:rsidRDefault="00795B41" w:rsidP="00DD5215">
      <w:pPr>
        <w:pStyle w:val="Heading5"/>
      </w:pPr>
      <w:r>
        <w:t>Drug interactions</w:t>
      </w:r>
    </w:p>
    <w:p w14:paraId="445489B8" w14:textId="311AB670" w:rsidR="00795B41" w:rsidRDefault="00EC25CB" w:rsidP="001F226E">
      <w:r>
        <w:t>Sebetralstat</w:t>
      </w:r>
      <w:r w:rsidR="00795B41">
        <w:t xml:space="preserve"> is a substrate of CYP3A4. Coadministration with a strong inhibitor of CYP3A4 (Itraconazole) increased C</w:t>
      </w:r>
      <w:r w:rsidR="00795B41" w:rsidRPr="00DD5215">
        <w:rPr>
          <w:vertAlign w:val="subscript"/>
        </w:rPr>
        <w:t>max</w:t>
      </w:r>
      <w:r w:rsidR="00795B41">
        <w:t xml:space="preserve"> and AUC of </w:t>
      </w:r>
      <w:r>
        <w:t>sebetralstat</w:t>
      </w:r>
      <w:r w:rsidR="00795B41">
        <w:t xml:space="preserve"> by 135% and 420%</w:t>
      </w:r>
      <w:r w:rsidR="00DD5215">
        <w:t>,</w:t>
      </w:r>
      <w:r w:rsidR="00795B41">
        <w:t xml:space="preserve"> respectively. A moderate CYP3A4 inhibitor (</w:t>
      </w:r>
      <w:r w:rsidR="00DD5215">
        <w:t>v</w:t>
      </w:r>
      <w:r w:rsidR="00795B41">
        <w:t>erapamil) increased the C</w:t>
      </w:r>
      <w:r w:rsidR="00795B41" w:rsidRPr="00DD5215">
        <w:rPr>
          <w:vertAlign w:val="subscript"/>
        </w:rPr>
        <w:t>max</w:t>
      </w:r>
      <w:r w:rsidR="00795B41">
        <w:t xml:space="preserve"> and AUC of </w:t>
      </w:r>
      <w:r>
        <w:t>sebetralstat</w:t>
      </w:r>
      <w:r w:rsidR="00795B41">
        <w:t xml:space="preserve"> by 76% and 102% respectively. Co-administration with a weak CYP3A4 inhibitor (</w:t>
      </w:r>
      <w:r w:rsidR="00DD5215">
        <w:t>c</w:t>
      </w:r>
      <w:r w:rsidR="00795B41">
        <w:t xml:space="preserve">imetidine) did not increase </w:t>
      </w:r>
      <w:r>
        <w:t>sebetralstat</w:t>
      </w:r>
      <w:r w:rsidR="00795B41">
        <w:t xml:space="preserve"> C</w:t>
      </w:r>
      <w:r w:rsidR="00795B41" w:rsidRPr="00DD5215">
        <w:rPr>
          <w:vertAlign w:val="subscript"/>
        </w:rPr>
        <w:t>max</w:t>
      </w:r>
      <w:r w:rsidR="00795B41">
        <w:t xml:space="preserve"> or AUC. The </w:t>
      </w:r>
      <w:r w:rsidR="00DD5215">
        <w:t>Evaluator</w:t>
      </w:r>
      <w:r w:rsidR="00795B41">
        <w:t xml:space="preserve"> has noted that while no dose adjustment is required in patients taking</w:t>
      </w:r>
      <w:r w:rsidR="0052275D">
        <w:t xml:space="preserve"> strong</w:t>
      </w:r>
      <w:r w:rsidR="00795B41">
        <w:t xml:space="preserve"> CYP3A4 inhibitors, a</w:t>
      </w:r>
      <w:r w:rsidR="006F2C87">
        <w:t xml:space="preserve"> </w:t>
      </w:r>
      <w:r w:rsidR="00891F81">
        <w:t>single dose of 300</w:t>
      </w:r>
      <w:r w:rsidR="006F291D">
        <w:t xml:space="preserve"> </w:t>
      </w:r>
      <w:r w:rsidR="00891F81">
        <w:t>mg is recommended.</w:t>
      </w:r>
    </w:p>
    <w:p w14:paraId="4915DD8F" w14:textId="2E3B10A7" w:rsidR="0012174E" w:rsidRDefault="00795B41" w:rsidP="001F226E">
      <w:r>
        <w:t xml:space="preserve">Coadministration of </w:t>
      </w:r>
      <w:r w:rsidR="00EC25CB">
        <w:t>sebetralstat</w:t>
      </w:r>
      <w:r>
        <w:t xml:space="preserve"> with a strong CYP3A4 inducer (</w:t>
      </w:r>
      <w:r w:rsidR="00EC25CB">
        <w:t>p</w:t>
      </w:r>
      <w:r>
        <w:t>henytoin) reduced the C</w:t>
      </w:r>
      <w:r w:rsidRPr="00EC25CB">
        <w:rPr>
          <w:vertAlign w:val="subscript"/>
        </w:rPr>
        <w:t xml:space="preserve">max </w:t>
      </w:r>
      <w:r>
        <w:t xml:space="preserve">and AUC of </w:t>
      </w:r>
      <w:r w:rsidR="00EC25CB">
        <w:t>sebetralstat</w:t>
      </w:r>
      <w:r>
        <w:t xml:space="preserve"> by 66% and 83% respectively. A moderate CYP3A4 inducer (</w:t>
      </w:r>
      <w:r w:rsidR="00EC25CB">
        <w:t>e</w:t>
      </w:r>
      <w:r>
        <w:t>favirenz) reduced the C</w:t>
      </w:r>
      <w:r w:rsidRPr="00EC25CB">
        <w:rPr>
          <w:vertAlign w:val="subscript"/>
        </w:rPr>
        <w:t>max</w:t>
      </w:r>
      <w:r>
        <w:t xml:space="preserve"> and AUC of </w:t>
      </w:r>
      <w:r w:rsidR="00EC25CB">
        <w:t>sebetralstat</w:t>
      </w:r>
      <w:r>
        <w:t xml:space="preserve"> by 63% and 79% respectively. A weak CYP3A4 inhibitor (modafinil) reduced the C</w:t>
      </w:r>
      <w:r w:rsidRPr="00EC25CB">
        <w:rPr>
          <w:vertAlign w:val="subscript"/>
        </w:rPr>
        <w:t>max</w:t>
      </w:r>
      <w:r>
        <w:t xml:space="preserve"> and AUC of </w:t>
      </w:r>
      <w:r w:rsidR="00EC25CB">
        <w:t>sebetralstat</w:t>
      </w:r>
      <w:r>
        <w:t xml:space="preserve"> by 11% and 21% respectively. The </w:t>
      </w:r>
      <w:r w:rsidR="009F359E">
        <w:t>C</w:t>
      </w:r>
      <w:r w:rsidR="00EC25CB">
        <w:t xml:space="preserve">linical </w:t>
      </w:r>
      <w:r w:rsidR="009F359E">
        <w:t>E</w:t>
      </w:r>
      <w:r w:rsidR="00EC25CB">
        <w:t>valuator</w:t>
      </w:r>
      <w:r>
        <w:t xml:space="preserve"> has noted that in patients taking strong or moderate </w:t>
      </w:r>
      <w:proofErr w:type="spellStart"/>
      <w:r>
        <w:t>CYP3A4</w:t>
      </w:r>
      <w:proofErr w:type="spellEnd"/>
      <w:r>
        <w:t xml:space="preserve"> </w:t>
      </w:r>
      <w:r w:rsidR="001F226E">
        <w:t>inducers,</w:t>
      </w:r>
      <w:r>
        <w:t xml:space="preserve"> a</w:t>
      </w:r>
      <w:r w:rsidR="00891F81">
        <w:t xml:space="preserve"> single dose of 900</w:t>
      </w:r>
      <w:r w:rsidR="006F291D">
        <w:t xml:space="preserve"> </w:t>
      </w:r>
      <w:r w:rsidR="00891F81">
        <w:t>mg is recommended.</w:t>
      </w:r>
    </w:p>
    <w:p w14:paraId="514E069E" w14:textId="77777777" w:rsidR="00BC5E19" w:rsidRDefault="0012174E" w:rsidP="001F226E">
      <w:pPr>
        <w:pStyle w:val="Heading5"/>
      </w:pPr>
      <w:r w:rsidRPr="0012174E">
        <w:t xml:space="preserve">Food </w:t>
      </w:r>
      <w:r w:rsidRPr="001F226E">
        <w:t>effect</w:t>
      </w:r>
    </w:p>
    <w:p w14:paraId="0DC74AD7" w14:textId="4031D5E7" w:rsidR="00F478E6" w:rsidRPr="007167B6" w:rsidRDefault="00F478E6" w:rsidP="001F226E">
      <w:pPr>
        <w:rPr>
          <w:b/>
        </w:rPr>
      </w:pPr>
      <w:r w:rsidRPr="007167B6">
        <w:t>In KVD900-101, sebetralstat was rapidly absorbed, with median T</w:t>
      </w:r>
      <w:r w:rsidRPr="007167B6">
        <w:rPr>
          <w:vertAlign w:val="subscript"/>
        </w:rPr>
        <w:t xml:space="preserve">max </w:t>
      </w:r>
      <w:r w:rsidRPr="007167B6">
        <w:t>approximately 1 hour under fasted conditions. When administered under fed conditions, with a high-fat, high-calorie breakfast, the observed median T</w:t>
      </w:r>
      <w:r w:rsidRPr="007167B6">
        <w:rPr>
          <w:vertAlign w:val="subscript"/>
        </w:rPr>
        <w:t>max</w:t>
      </w:r>
      <w:r w:rsidRPr="007167B6">
        <w:t xml:space="preserve"> was at 2.5 hours. No food effect was observed on overall plasma exposure (area under the concentration versus time curve [AUC]). Despite the impact of food on T</w:t>
      </w:r>
      <w:r w:rsidRPr="007167B6">
        <w:rPr>
          <w:vertAlign w:val="subscript"/>
        </w:rPr>
        <w:t>max</w:t>
      </w:r>
      <w:r w:rsidRPr="007167B6">
        <w:t>, no clinically significant food effect was observed on the pharmacodynamic (PD) profile of sebetralstat 600 mg administered in fed and fasted states in KVD900-101.</w:t>
      </w:r>
    </w:p>
    <w:p w14:paraId="02376242" w14:textId="3CC00525" w:rsidR="00B7148F" w:rsidRDefault="003E6A97" w:rsidP="007239D9">
      <w:pPr>
        <w:pStyle w:val="Heading5"/>
      </w:pPr>
      <w:r>
        <w:t xml:space="preserve">Predicted </w:t>
      </w:r>
      <w:r w:rsidR="001F226E">
        <w:t>e</w:t>
      </w:r>
      <w:r>
        <w:t>ffect</w:t>
      </w:r>
      <w:r w:rsidR="00320CC4">
        <w:t>s</w:t>
      </w:r>
      <w:r>
        <w:t xml:space="preserve"> of </w:t>
      </w:r>
      <w:r w:rsidR="001F226E">
        <w:t>s</w:t>
      </w:r>
      <w:r>
        <w:t xml:space="preserve">tomach </w:t>
      </w:r>
      <w:r w:rsidR="00320CC4">
        <w:t xml:space="preserve">pH </w:t>
      </w:r>
      <w:r>
        <w:t>on PK</w:t>
      </w:r>
    </w:p>
    <w:p w14:paraId="22B7CED7" w14:textId="55D4970D" w:rsidR="009947B6" w:rsidRDefault="009947B6" w:rsidP="001F226E">
      <w:r w:rsidRPr="009947B6">
        <w:t>A physiolog</w:t>
      </w:r>
      <w:r w:rsidR="00891F81">
        <w:t xml:space="preserve">ically </w:t>
      </w:r>
      <w:r w:rsidRPr="009947B6">
        <w:t xml:space="preserve">based pharmacokinetic (PBPK) model was developed to estimate the effect of stomach PH on the PK of </w:t>
      </w:r>
      <w:r w:rsidR="00BC5E19" w:rsidRPr="00BC5E19">
        <w:t>sebetralstat</w:t>
      </w:r>
      <w:r w:rsidRPr="009947B6">
        <w:t xml:space="preserve">. The model was validated against data in several clinical studies. </w:t>
      </w:r>
      <w:r w:rsidR="000671B6" w:rsidRPr="00490683">
        <w:rPr>
          <w:lang w:val="en-GB"/>
        </w:rPr>
        <w:t>In the fasted state, at a dose level of 300 mg, with an increase of pH from the baseline value of 1.3 to 4.0, predicted C</w:t>
      </w:r>
      <w:r w:rsidR="000671B6" w:rsidRPr="00490683">
        <w:rPr>
          <w:vertAlign w:val="subscript"/>
          <w:lang w:val="en-GB"/>
        </w:rPr>
        <w:t>max</w:t>
      </w:r>
      <w:r w:rsidR="000671B6" w:rsidRPr="00490683">
        <w:rPr>
          <w:lang w:val="en-GB"/>
        </w:rPr>
        <w:t xml:space="preserve"> decreased by 25%, AUC</w:t>
      </w:r>
      <w:r w:rsidR="000671B6" w:rsidRPr="00490683">
        <w:rPr>
          <w:vertAlign w:val="subscript"/>
          <w:lang w:val="en-GB"/>
        </w:rPr>
        <w:t xml:space="preserve">0-inf </w:t>
      </w:r>
      <w:r w:rsidR="000671B6" w:rsidRPr="00490683">
        <w:rPr>
          <w:lang w:val="en-GB"/>
        </w:rPr>
        <w:t>decreased by 6%, and T</w:t>
      </w:r>
      <w:r w:rsidR="000671B6" w:rsidRPr="00490683">
        <w:rPr>
          <w:vertAlign w:val="subscript"/>
          <w:lang w:val="en-GB"/>
        </w:rPr>
        <w:t>max</w:t>
      </w:r>
      <w:r w:rsidR="000671B6" w:rsidRPr="00490683">
        <w:rPr>
          <w:lang w:val="en-GB"/>
        </w:rPr>
        <w:t xml:space="preserve"> moved from 0.88 to 1.2 hours. In the fed state, C</w:t>
      </w:r>
      <w:r w:rsidR="000671B6" w:rsidRPr="00490683">
        <w:rPr>
          <w:vertAlign w:val="subscript"/>
          <w:lang w:val="en-GB"/>
        </w:rPr>
        <w:t>max</w:t>
      </w:r>
      <w:r w:rsidR="000671B6" w:rsidRPr="00490683">
        <w:rPr>
          <w:lang w:val="en-GB"/>
        </w:rPr>
        <w:t>, AUC</w:t>
      </w:r>
      <w:r w:rsidR="000671B6" w:rsidRPr="00490683">
        <w:rPr>
          <w:vertAlign w:val="subscript"/>
          <w:lang w:val="en-GB"/>
        </w:rPr>
        <w:t xml:space="preserve">0-inf </w:t>
      </w:r>
      <w:r w:rsidR="000671B6" w:rsidRPr="00490683">
        <w:rPr>
          <w:lang w:val="en-GB"/>
        </w:rPr>
        <w:t>and T</w:t>
      </w:r>
      <w:r w:rsidR="000671B6" w:rsidRPr="00490683">
        <w:rPr>
          <w:vertAlign w:val="subscript"/>
          <w:lang w:val="en-GB"/>
        </w:rPr>
        <w:t>max</w:t>
      </w:r>
      <w:r w:rsidR="000671B6" w:rsidRPr="00490683">
        <w:rPr>
          <w:lang w:val="en-GB"/>
        </w:rPr>
        <w:t xml:space="preserve"> were all predicted to be insensitive to an increase in stomach pH from 3.0 to 6.4</w:t>
      </w:r>
      <w:r w:rsidR="00490683" w:rsidRPr="00490683">
        <w:rPr>
          <w:lang w:val="en-GB"/>
        </w:rPr>
        <w:t>.</w:t>
      </w:r>
    </w:p>
    <w:p w14:paraId="61654A15" w14:textId="7DB445B2" w:rsidR="00F12CE2" w:rsidRDefault="00F12CE2" w:rsidP="001F226E">
      <w:pPr>
        <w:pStyle w:val="Heading5"/>
      </w:pPr>
      <w:r>
        <w:t xml:space="preserve">Population </w:t>
      </w:r>
      <w:r w:rsidR="00EC25CB" w:rsidRPr="001F226E">
        <w:t>pharmacokinetic</w:t>
      </w:r>
      <w:r>
        <w:t xml:space="preserve"> data</w:t>
      </w:r>
    </w:p>
    <w:p w14:paraId="275CB7A4" w14:textId="4329C334" w:rsidR="00F12CE2" w:rsidRDefault="00F12CE2" w:rsidP="001F226E">
      <w:r>
        <w:t xml:space="preserve">A population PK (PPK) analysis was conducted using data from </w:t>
      </w:r>
      <w:r w:rsidRPr="006F2C87">
        <w:t xml:space="preserve">several </w:t>
      </w:r>
      <w:r w:rsidR="00891F81" w:rsidRPr="005E0F1F">
        <w:t>healthy volunteer studies and one in HAE patients (KVD900-201)</w:t>
      </w:r>
      <w:r>
        <w:t xml:space="preserve"> to identify any significant factors affecting the PK of the medication.</w:t>
      </w:r>
    </w:p>
    <w:p w14:paraId="36824546" w14:textId="17165CBB" w:rsidR="003E5710" w:rsidRDefault="003E5710" w:rsidP="001E46CE">
      <w:pPr>
        <w:pStyle w:val="TableTitle"/>
      </w:pPr>
      <w:r w:rsidRPr="003E5710">
        <w:lastRenderedPageBreak/>
        <w:t xml:space="preserve">Table </w:t>
      </w:r>
      <w:r w:rsidR="00166E89">
        <w:t>4</w:t>
      </w:r>
      <w:r w:rsidR="00532DD7">
        <w:t>.</w:t>
      </w:r>
      <w:r w:rsidRPr="003E5710">
        <w:t xml:space="preserve"> Clinical </w:t>
      </w:r>
      <w:r w:rsidRPr="001E46CE">
        <w:t>studies</w:t>
      </w:r>
      <w:r w:rsidRPr="003E5710">
        <w:t xml:space="preserve"> included </w:t>
      </w:r>
      <w:r w:rsidRPr="001F226E">
        <w:t>in</w:t>
      </w:r>
      <w:r w:rsidRPr="003E5710">
        <w:t xml:space="preserve"> the PPK analysis for </w:t>
      </w:r>
      <w:proofErr w:type="spellStart"/>
      <w:r w:rsidR="00BC5E19" w:rsidRPr="001F226E">
        <w:t>sebetralstat</w:t>
      </w:r>
      <w:proofErr w:type="spellEnd"/>
    </w:p>
    <w:p w14:paraId="31EE5368" w14:textId="75BBDD4A" w:rsidR="0010154F" w:rsidRDefault="0010154F" w:rsidP="001E46CE">
      <w:r w:rsidRPr="0010154F">
        <w:rPr>
          <w:noProof/>
        </w:rPr>
        <w:drawing>
          <wp:inline distT="0" distB="0" distL="0" distR="0" wp14:anchorId="432544A9" wp14:editId="7CF3E968">
            <wp:extent cx="5759450" cy="4230370"/>
            <wp:effectExtent l="0" t="0" r="0" b="0"/>
            <wp:docPr id="2107940890" name="Picture 1" descr="Table 4. Clinical studies included in the PPK analysis for sebetral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40890" name="Picture 1" descr="Table 4. Clinical studies included in the PPK analysis for sebetralstat"/>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759450" cy="4230370"/>
                    </a:xfrm>
                    <a:prstGeom prst="rect">
                      <a:avLst/>
                    </a:prstGeom>
                  </pic:spPr>
                </pic:pic>
              </a:graphicData>
            </a:graphic>
          </wp:inline>
        </w:drawing>
      </w:r>
    </w:p>
    <w:p w14:paraId="5F6E8B9F" w14:textId="40031D6F" w:rsidR="00A227C8" w:rsidRDefault="00A227C8" w:rsidP="001E46CE">
      <w:r>
        <w:t xml:space="preserve">Most covariates examined had minimal impact on </w:t>
      </w:r>
      <w:r w:rsidR="00BC5E19">
        <w:t>sebetralstat</w:t>
      </w:r>
      <w:r>
        <w:t xml:space="preserve">. Renal impairment had a minimal effect on systemic </w:t>
      </w:r>
      <w:r w:rsidR="00EC25CB">
        <w:t>sebetralstat</w:t>
      </w:r>
      <w:r>
        <w:t xml:space="preserve"> exposure. There was a minimal effect of age, sex or race.</w:t>
      </w:r>
    </w:p>
    <w:p w14:paraId="4D20DC12" w14:textId="7A8FCBC8" w:rsidR="00A227C8" w:rsidRDefault="00A227C8" w:rsidP="001E46CE">
      <w:r>
        <w:t xml:space="preserve">The effect of hepatic impairment on </w:t>
      </w:r>
      <w:r w:rsidR="00EC25CB">
        <w:t>sebetralstat</w:t>
      </w:r>
      <w:r>
        <w:t xml:space="preserve"> was examined in data from PK study KVD900-104 that administered a single dose of 600</w:t>
      </w:r>
      <w:r w:rsidR="006F2C87">
        <w:t xml:space="preserve"> </w:t>
      </w:r>
      <w:r>
        <w:t xml:space="preserve">mg </w:t>
      </w:r>
      <w:r w:rsidR="00EC25CB">
        <w:t>sebetralstat</w:t>
      </w:r>
      <w:r>
        <w:t xml:space="preserve"> to 24 participants stratified by Child-Pugh classification of hepatic impairment.</w:t>
      </w:r>
    </w:p>
    <w:p w14:paraId="68A71719" w14:textId="6D21202D" w:rsidR="00252AC9" w:rsidRDefault="00252AC9" w:rsidP="001E46CE">
      <w:pPr>
        <w:pStyle w:val="FigureTitle"/>
      </w:pPr>
      <w:r w:rsidRPr="00252AC9">
        <w:lastRenderedPageBreak/>
        <w:t xml:space="preserve">Figure </w:t>
      </w:r>
      <w:r w:rsidR="00CF1400">
        <w:t>2</w:t>
      </w:r>
      <w:r w:rsidR="00200606">
        <w:t>.</w:t>
      </w:r>
      <w:r w:rsidRPr="00252AC9">
        <w:t xml:space="preserve"> Plasma </w:t>
      </w:r>
      <w:r w:rsidRPr="001E46CE">
        <w:t>concentrations</w:t>
      </w:r>
      <w:r w:rsidRPr="00252AC9">
        <w:t xml:space="preserve"> of </w:t>
      </w:r>
      <w:r w:rsidR="00EC25CB">
        <w:t>sebetralstat</w:t>
      </w:r>
      <w:r w:rsidRPr="00252AC9">
        <w:t xml:space="preserve"> in KVD900-104 in patients with differing grades of hepatic </w:t>
      </w:r>
      <w:r w:rsidRPr="001E46CE">
        <w:t>impairment</w:t>
      </w:r>
      <w:r w:rsidRPr="00252AC9">
        <w:t>.</w:t>
      </w:r>
    </w:p>
    <w:p w14:paraId="4161B0BC" w14:textId="07991192" w:rsidR="00722A22" w:rsidRDefault="00722A22" w:rsidP="001E46CE">
      <w:r w:rsidRPr="00722A22">
        <w:rPr>
          <w:noProof/>
        </w:rPr>
        <w:drawing>
          <wp:inline distT="0" distB="0" distL="0" distR="0" wp14:anchorId="1643BB86" wp14:editId="1246323D">
            <wp:extent cx="4528868" cy="3166212"/>
            <wp:effectExtent l="0" t="0" r="5080" b="0"/>
            <wp:docPr id="349322603" name="Picture 1" descr="Figure 2. Plasma concentrations of sebetralstat in KVD900-104 in patients with differing grades of hepatic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2603" name="Picture 1" descr="Figure 2. Plasma concentrations of sebetralstat in KVD900-104 in patients with differing grades of hepatic impairment."/>
                    <pic:cNvPicPr/>
                  </pic:nvPicPr>
                  <pic:blipFill>
                    <a:blip r:embed="rId28"/>
                    <a:stretch>
                      <a:fillRect/>
                    </a:stretch>
                  </pic:blipFill>
                  <pic:spPr>
                    <a:xfrm>
                      <a:off x="0" y="0"/>
                      <a:ext cx="4543391" cy="3176365"/>
                    </a:xfrm>
                    <a:prstGeom prst="rect">
                      <a:avLst/>
                    </a:prstGeom>
                  </pic:spPr>
                </pic:pic>
              </a:graphicData>
            </a:graphic>
          </wp:inline>
        </w:drawing>
      </w:r>
    </w:p>
    <w:p w14:paraId="38DE769D" w14:textId="68D5B775" w:rsidR="0077154D" w:rsidRDefault="004D58A6" w:rsidP="001E46CE">
      <w:r w:rsidRPr="004D58A6">
        <w:t>C</w:t>
      </w:r>
      <w:r w:rsidRPr="00BC5E19">
        <w:rPr>
          <w:vertAlign w:val="subscript"/>
        </w:rPr>
        <w:t>max</w:t>
      </w:r>
      <w:r w:rsidRPr="004D58A6">
        <w:t xml:space="preserve"> and AUC were increased in patients with moderate hepatic impairment compared to controls by a factor of about 1.6. The </w:t>
      </w:r>
      <w:r w:rsidR="00BC5E19">
        <w:t>Clinical Evaluator</w:t>
      </w:r>
      <w:r w:rsidRPr="004D58A6">
        <w:t xml:space="preserve"> concluded that no dose modification was required for mild to moderate hepatic </w:t>
      </w:r>
      <w:proofErr w:type="gramStart"/>
      <w:r w:rsidRPr="004D58A6">
        <w:t>impairment, but</w:t>
      </w:r>
      <w:proofErr w:type="gramEnd"/>
      <w:r w:rsidRPr="004D58A6">
        <w:t xml:space="preserve"> noted that there was no data to support use in patients with severe hepatic impairment.</w:t>
      </w:r>
    </w:p>
    <w:p w14:paraId="019ABE5F" w14:textId="33639381" w:rsidR="00212BB0" w:rsidRDefault="00212BB0" w:rsidP="001E46CE">
      <w:pPr>
        <w:pStyle w:val="Heading5"/>
      </w:pPr>
      <w:r w:rsidRPr="001E46CE">
        <w:t>Pharmacodynamics</w:t>
      </w:r>
    </w:p>
    <w:p w14:paraId="6B961F98" w14:textId="23B0728E" w:rsidR="004D58A6" w:rsidRDefault="00BC5E19" w:rsidP="001E46CE">
      <w:r>
        <w:t>S</w:t>
      </w:r>
      <w:r w:rsidR="00EC25CB">
        <w:t>ebetralstat</w:t>
      </w:r>
      <w:r w:rsidR="00212BB0">
        <w:t xml:space="preserve"> produces rapid and near-complete inhibition of plasma kallikrein activity following administration, which is the intended mechanism of action of the medication.</w:t>
      </w:r>
    </w:p>
    <w:p w14:paraId="37C4DA1E" w14:textId="5E41B126" w:rsidR="00094CF0" w:rsidRDefault="00094CF0" w:rsidP="001E46CE">
      <w:pPr>
        <w:pStyle w:val="FigureTitle"/>
      </w:pPr>
      <w:r w:rsidRPr="00094CF0">
        <w:t xml:space="preserve">Figure </w:t>
      </w:r>
      <w:r w:rsidR="00CF1400">
        <w:t>3</w:t>
      </w:r>
      <w:r w:rsidR="00200606">
        <w:t>.</w:t>
      </w:r>
      <w:r w:rsidRPr="00094CF0">
        <w:t xml:space="preserve"> Plasma kallikrein inhibition after </w:t>
      </w:r>
      <w:r w:rsidRPr="001E46CE">
        <w:t>fed</w:t>
      </w:r>
      <w:r w:rsidRPr="00094CF0">
        <w:t xml:space="preserve"> or fasted doses of </w:t>
      </w:r>
      <w:r w:rsidR="00BC5E19">
        <w:t>sebetralstat</w:t>
      </w:r>
    </w:p>
    <w:p w14:paraId="3E0259D3" w14:textId="5D2D6E16" w:rsidR="007879C3" w:rsidRDefault="007879C3" w:rsidP="001E46CE">
      <w:r w:rsidRPr="007879C3">
        <w:rPr>
          <w:noProof/>
        </w:rPr>
        <w:drawing>
          <wp:inline distT="0" distB="0" distL="0" distR="0" wp14:anchorId="32E52712" wp14:editId="632AEA23">
            <wp:extent cx="4891178" cy="3207577"/>
            <wp:effectExtent l="0" t="0" r="5080" b="0"/>
            <wp:docPr id="160710173" name="Picture 1" descr="Figure 3. Plasma kallikrein inhibition after fed or fasted doses of sebetral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0173" name="Picture 1" descr="Figure 3. Plasma kallikrein inhibition after fed or fasted doses of sebetralstat"/>
                    <pic:cNvPicPr/>
                  </pic:nvPicPr>
                  <pic:blipFill>
                    <a:blip r:embed="rId29"/>
                    <a:stretch>
                      <a:fillRect/>
                    </a:stretch>
                  </pic:blipFill>
                  <pic:spPr>
                    <a:xfrm>
                      <a:off x="0" y="0"/>
                      <a:ext cx="4920076" cy="3226528"/>
                    </a:xfrm>
                    <a:prstGeom prst="rect">
                      <a:avLst/>
                    </a:prstGeom>
                  </pic:spPr>
                </pic:pic>
              </a:graphicData>
            </a:graphic>
          </wp:inline>
        </w:drawing>
      </w:r>
    </w:p>
    <w:p w14:paraId="1DBF0FA7" w14:textId="1630E6C9" w:rsidR="00DD6341" w:rsidRDefault="00BC5E19" w:rsidP="001E46CE">
      <w:r>
        <w:lastRenderedPageBreak/>
        <w:t>Se</w:t>
      </w:r>
      <w:r w:rsidR="00EC25CB">
        <w:t>betralstat</w:t>
      </w:r>
      <w:r w:rsidR="00DD6341">
        <w:t xml:space="preserve"> produces &gt;90% inhibition of plasma kallikrein activity rapidly after dosing in fed and fasted states. The </w:t>
      </w:r>
      <w:r>
        <w:t>Clinical Evaluator</w:t>
      </w:r>
      <w:r w:rsidR="00DD6341">
        <w:t xml:space="preserve"> has noted this is significant due to the reduced T</w:t>
      </w:r>
      <w:r w:rsidR="00DD6341" w:rsidRPr="00BC5E19">
        <w:rPr>
          <w:vertAlign w:val="subscript"/>
        </w:rPr>
        <w:t>max</w:t>
      </w:r>
      <w:r w:rsidR="00DD6341">
        <w:t xml:space="preserve"> predicted in fed patients and indicates that peak </w:t>
      </w:r>
      <w:r w:rsidR="00EC25CB">
        <w:t>sebetralstat</w:t>
      </w:r>
      <w:r w:rsidR="00DD6341">
        <w:t xml:space="preserve"> levels are not required to achieve a drug effect. The inhibitory effect of </w:t>
      </w:r>
      <w:r w:rsidR="00EC25CB">
        <w:t>sebetralstat</w:t>
      </w:r>
      <w:r w:rsidR="00DD6341">
        <w:t xml:space="preserve"> is maintained for 4-6 hours.</w:t>
      </w:r>
    </w:p>
    <w:p w14:paraId="2ADA9D3A" w14:textId="0466CDD1" w:rsidR="00DD6341" w:rsidRDefault="00DD6341" w:rsidP="001E46CE">
      <w:pPr>
        <w:pStyle w:val="Heading4"/>
      </w:pPr>
      <w:bookmarkStart w:id="44" w:name="_Toc228878066"/>
      <w:r w:rsidRPr="001E46CE">
        <w:t>Efficacy</w:t>
      </w:r>
      <w:bookmarkEnd w:id="44"/>
    </w:p>
    <w:p w14:paraId="36FCD7EC" w14:textId="69EBFC5C" w:rsidR="00AC1CC1" w:rsidRDefault="0055453F" w:rsidP="001E46CE">
      <w:r>
        <w:t xml:space="preserve">Pivotal study </w:t>
      </w:r>
      <w:r w:rsidR="00DD6341">
        <w:t xml:space="preserve">KVD900-301 was a placebo controlled </w:t>
      </w:r>
      <w:r w:rsidR="00BC5E19">
        <w:t>randomised controlled trial</w:t>
      </w:r>
      <w:r w:rsidR="00DD6341">
        <w:t xml:space="preserve"> in patients 12 years and older with type I or II HAE. Patient (n=136) were equally randomised to six treatment sequences in a 3-way crossover design.</w:t>
      </w:r>
    </w:p>
    <w:p w14:paraId="46F3D10C" w14:textId="45E3F427" w:rsidR="00EE7A8D" w:rsidRDefault="00EE7A8D" w:rsidP="001E46CE">
      <w:pPr>
        <w:pStyle w:val="FigureTitle"/>
      </w:pPr>
      <w:r w:rsidRPr="00EE7A8D">
        <w:t xml:space="preserve">Figure </w:t>
      </w:r>
      <w:r w:rsidR="00CF1400">
        <w:t>4</w:t>
      </w:r>
      <w:r w:rsidR="00200606">
        <w:t>.</w:t>
      </w:r>
      <w:r w:rsidRPr="00EE7A8D">
        <w:t xml:space="preserve"> Design of study </w:t>
      </w:r>
      <w:proofErr w:type="spellStart"/>
      <w:r w:rsidRPr="001E46CE">
        <w:t>KVD900</w:t>
      </w:r>
      <w:proofErr w:type="spellEnd"/>
      <w:r w:rsidRPr="00EE7A8D">
        <w:t>-301</w:t>
      </w:r>
    </w:p>
    <w:p w14:paraId="4BC05209" w14:textId="568D4F94" w:rsidR="00D1610B" w:rsidRDefault="00D1610B" w:rsidP="001E46CE">
      <w:r w:rsidRPr="00D1610B">
        <w:rPr>
          <w:noProof/>
        </w:rPr>
        <w:drawing>
          <wp:inline distT="0" distB="0" distL="0" distR="0" wp14:anchorId="0632CDF1" wp14:editId="57D7289B">
            <wp:extent cx="5759450" cy="1073150"/>
            <wp:effectExtent l="0" t="0" r="0" b="0"/>
            <wp:docPr id="1380588264" name="Picture 1" descr="Figure 4. Design of study KVD9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88264" name="Picture 1" descr="Figure 4. Design of study KVD900-301"/>
                    <pic:cNvPicPr/>
                  </pic:nvPicPr>
                  <pic:blipFill>
                    <a:blip r:embed="rId30"/>
                    <a:stretch>
                      <a:fillRect/>
                    </a:stretch>
                  </pic:blipFill>
                  <pic:spPr>
                    <a:xfrm>
                      <a:off x="0" y="0"/>
                      <a:ext cx="5759450" cy="1073150"/>
                    </a:xfrm>
                    <a:prstGeom prst="rect">
                      <a:avLst/>
                    </a:prstGeom>
                  </pic:spPr>
                </pic:pic>
              </a:graphicData>
            </a:graphic>
          </wp:inline>
        </w:drawing>
      </w:r>
    </w:p>
    <w:p w14:paraId="18EF7AAD" w14:textId="15E1FE7F" w:rsidR="00C27E33" w:rsidRDefault="00C27E33" w:rsidP="001E46CE">
      <w:pPr>
        <w:pStyle w:val="FigureDescription"/>
      </w:pPr>
      <w:proofErr w:type="gramStart"/>
      <w:r>
        <w:t>Notes:*</w:t>
      </w:r>
      <w:proofErr w:type="gramEnd"/>
      <w:r>
        <w:t>if in-clinic visits were not possible (</w:t>
      </w:r>
      <w:r w:rsidR="00EB2BEB">
        <w:t>e.g.</w:t>
      </w:r>
      <w:r>
        <w:t>, in the event of a pandemic, or other reasons that prevent the patient from attending in-clinic visits), home health visits were to be permitted in place of in-clinic visits. Information captured during a home health visit would mirror that captured in an in-clinic visit.</w:t>
      </w:r>
    </w:p>
    <w:p w14:paraId="1F471A4B" w14:textId="19ED1A31" w:rsidR="00C27E33" w:rsidRDefault="00C27E33" w:rsidP="001E46CE">
      <w:pPr>
        <w:pStyle w:val="FigureDescription"/>
      </w:pPr>
      <w:r>
        <w:t xml:space="preserve">*The Randomization Visit may have occurred as a </w:t>
      </w:r>
      <w:proofErr w:type="spellStart"/>
      <w:r>
        <w:t>televisit</w:t>
      </w:r>
      <w:proofErr w:type="spellEnd"/>
      <w:r>
        <w:t xml:space="preserve"> or in-clinic visit.</w:t>
      </w:r>
    </w:p>
    <w:p w14:paraId="5009C190" w14:textId="7037F2EC" w:rsidR="00C27E33" w:rsidRDefault="00C27E33" w:rsidP="001E46CE">
      <w:pPr>
        <w:pStyle w:val="FigureDescription"/>
      </w:pPr>
      <w:r>
        <w:t>* Patients were to contact a call center after the initial dose of IMP, prior to a second dose of IMP, and prior to a dose of conventional on-demand treatment for each treated attack.</w:t>
      </w:r>
    </w:p>
    <w:p w14:paraId="2EAEE3AF" w14:textId="77777777" w:rsidR="00CE4AF3" w:rsidRDefault="00CE4AF3" w:rsidP="001E46CE">
      <w:r>
        <w:t>Enrolled patients all had confirmed type I or II HAE, and patients with normal C1 inhibitor (type III HAE) were excluded. Patients receiving ongoing treatment with strong P450 CYP3A4 inhibitors or inducers were excluded.</w:t>
      </w:r>
    </w:p>
    <w:p w14:paraId="066187F2" w14:textId="77777777" w:rsidR="00CE4AF3" w:rsidRDefault="00CE4AF3" w:rsidP="001E46CE">
      <w:r>
        <w:t>The average age of patients was in middle age (37.7 years) with near balanced sex ratio (60:40 F:M respectively).</w:t>
      </w:r>
    </w:p>
    <w:p w14:paraId="66A8FA72" w14:textId="77777777" w:rsidR="00CE4AF3" w:rsidRDefault="00CE4AF3" w:rsidP="001E46CE">
      <w:r>
        <w:t xml:space="preserve">When patients suffered an eligible HAE </w:t>
      </w:r>
      <w:proofErr w:type="gramStart"/>
      <w:r>
        <w:t>attack</w:t>
      </w:r>
      <w:proofErr w:type="gramEnd"/>
      <w:r>
        <w:t xml:space="preserve"> they self-administered the study medication according to their randomised sequence over three such attacks. An eligible HAE attack was defined as:</w:t>
      </w:r>
    </w:p>
    <w:p w14:paraId="7B9CD5B5" w14:textId="548F803B" w:rsidR="00CE4AF3" w:rsidRDefault="00CE4AF3" w:rsidP="001E46CE">
      <w:pPr>
        <w:pStyle w:val="Numberbullet0"/>
      </w:pPr>
      <w:r>
        <w:t xml:space="preserve">Not a severe laryngeal </w:t>
      </w:r>
      <w:r w:rsidRPr="001E46CE">
        <w:t>attack</w:t>
      </w:r>
    </w:p>
    <w:p w14:paraId="4ABF68FB" w14:textId="3E4F0334" w:rsidR="00CE4AF3" w:rsidRDefault="00CE4AF3" w:rsidP="00CE4AF3">
      <w:pPr>
        <w:pStyle w:val="Numberbullet0"/>
      </w:pPr>
      <w:r>
        <w:t>Able to identify the start time of the attack</w:t>
      </w:r>
    </w:p>
    <w:p w14:paraId="2C2B3223" w14:textId="42E0AAD3" w:rsidR="00CE4AF3" w:rsidRDefault="00CE4AF3" w:rsidP="00CE4AF3">
      <w:pPr>
        <w:pStyle w:val="Numberbullet0"/>
      </w:pPr>
      <w:r>
        <w:t xml:space="preserve">At least 48 hours must have elapsed since patient has used conventional on-demand treatment or </w:t>
      </w:r>
      <w:r w:rsidR="00E0394C">
        <w:t>investigational medicinal product (</w:t>
      </w:r>
      <w:r>
        <w:t>IMP</w:t>
      </w:r>
      <w:r w:rsidR="00E0394C">
        <w:t>)</w:t>
      </w:r>
      <w:r>
        <w:t xml:space="preserve"> to treat an HAE attack</w:t>
      </w:r>
    </w:p>
    <w:p w14:paraId="102F3119" w14:textId="320C2D5D" w:rsidR="00CE4AF3" w:rsidRDefault="00CE4AF3" w:rsidP="00CE4AF3">
      <w:pPr>
        <w:pStyle w:val="Numberbullet0"/>
      </w:pPr>
      <w:r>
        <w:t>Must have been able to complete at least the first 4 hours of diary assessments following the first administration of IMP</w:t>
      </w:r>
    </w:p>
    <w:p w14:paraId="07AE2948" w14:textId="2B4D600A" w:rsidR="00CE4AF3" w:rsidRDefault="00CE4AF3" w:rsidP="001E46CE">
      <w:pPr>
        <w:pStyle w:val="Numberbullet0"/>
      </w:pPr>
      <w:r>
        <w:t xml:space="preserve">Post-attack tele-visit must have been completed for the previous eligible attack (applicable to eligible attacks 2 and 3 </w:t>
      </w:r>
      <w:r w:rsidRPr="001E46CE">
        <w:t>only</w:t>
      </w:r>
      <w:r>
        <w:t>)</w:t>
      </w:r>
    </w:p>
    <w:p w14:paraId="3916DFB2" w14:textId="77777777" w:rsidR="001E46CE" w:rsidRDefault="003E0499" w:rsidP="001E46CE">
      <w:pPr>
        <w:pStyle w:val="TableTitle"/>
        <w:rPr>
          <w:spacing w:val="-5"/>
        </w:rPr>
      </w:pPr>
      <w:r>
        <w:t>Table</w:t>
      </w:r>
      <w:r>
        <w:rPr>
          <w:spacing w:val="-6"/>
        </w:rPr>
        <w:t xml:space="preserve"> </w:t>
      </w:r>
      <w:r w:rsidR="00166E89">
        <w:t>5</w:t>
      </w:r>
      <w:r w:rsidR="00532DD7">
        <w:t>.</w:t>
      </w:r>
      <w:r>
        <w:rPr>
          <w:spacing w:val="-5"/>
        </w:rPr>
        <w:t xml:space="preserve"> </w:t>
      </w:r>
      <w:r>
        <w:t>Treatment</w:t>
      </w:r>
      <w:r>
        <w:rPr>
          <w:spacing w:val="-4"/>
        </w:rPr>
        <w:t xml:space="preserve"> </w:t>
      </w:r>
      <w:r>
        <w:t>sequence</w:t>
      </w:r>
      <w:r>
        <w:rPr>
          <w:spacing w:val="-4"/>
        </w:rPr>
        <w:t xml:space="preserve"> </w:t>
      </w:r>
      <w:r w:rsidRPr="001E46CE">
        <w:t>for</w:t>
      </w:r>
      <w:r>
        <w:rPr>
          <w:spacing w:val="-6"/>
        </w:rPr>
        <w:t xml:space="preserve"> </w:t>
      </w:r>
      <w:r>
        <w:t>six</w:t>
      </w:r>
      <w:r>
        <w:rPr>
          <w:spacing w:val="-3"/>
        </w:rPr>
        <w:t xml:space="preserve"> </w:t>
      </w:r>
      <w:r>
        <w:t>randomised</w:t>
      </w:r>
      <w:r>
        <w:rPr>
          <w:spacing w:val="-4"/>
        </w:rPr>
        <w:t xml:space="preserve"> </w:t>
      </w:r>
      <w:r>
        <w:t>arms</w:t>
      </w:r>
      <w:r>
        <w:rPr>
          <w:spacing w:val="-3"/>
        </w:rPr>
        <w:t xml:space="preserve"> </w:t>
      </w:r>
      <w:r>
        <w:t>of</w:t>
      </w:r>
      <w:r>
        <w:rPr>
          <w:spacing w:val="-4"/>
        </w:rPr>
        <w:t xml:space="preserve"> </w:t>
      </w:r>
      <w:r w:rsidRPr="001E46CE">
        <w:t>trial</w:t>
      </w:r>
      <w:r>
        <w:rPr>
          <w:spacing w:val="-5"/>
        </w:rPr>
        <w:t xml:space="preserve"> </w:t>
      </w:r>
      <w:proofErr w:type="spellStart"/>
      <w:r>
        <w:t>KVD900</w:t>
      </w:r>
      <w:proofErr w:type="spellEnd"/>
      <w:r>
        <w:t>-</w:t>
      </w:r>
      <w:r>
        <w:rPr>
          <w:spacing w:val="-5"/>
        </w:rPr>
        <w:t>301</w:t>
      </w:r>
    </w:p>
    <w:p w14:paraId="3A3FC06B" w14:textId="7F4C9C58" w:rsidR="003E0499" w:rsidRPr="001E46CE" w:rsidRDefault="00271EDD" w:rsidP="001E46CE">
      <w:pPr>
        <w:rPr>
          <w:spacing w:val="-5"/>
        </w:rPr>
      </w:pPr>
      <w:r>
        <w:rPr>
          <w:noProof/>
        </w:rPr>
        <w:drawing>
          <wp:inline distT="0" distB="0" distL="0" distR="0" wp14:anchorId="014C85DE" wp14:editId="5440EC8B">
            <wp:extent cx="5691551" cy="953452"/>
            <wp:effectExtent l="0" t="0" r="4445" b="0"/>
            <wp:docPr id="28" name="Image 28" descr="Table 5. Treatment sequence for six randomised arms of trial KVD900-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Table 5. Treatment sequence for six randomised arms of trial KVD900-30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91551" cy="953452"/>
                    </a:xfrm>
                    <a:prstGeom prst="rect">
                      <a:avLst/>
                    </a:prstGeom>
                  </pic:spPr>
                </pic:pic>
              </a:graphicData>
            </a:graphic>
          </wp:inline>
        </w:drawing>
      </w:r>
    </w:p>
    <w:p w14:paraId="12973584" w14:textId="4EA3710F" w:rsidR="00805523" w:rsidRDefault="00805523" w:rsidP="001F3D7D">
      <w:r>
        <w:lastRenderedPageBreak/>
        <w:t>The primary objective of the study was time to beginning of symptom relief, defined as “a little better” within 12 hours of the first medication administration. This was assessed using the Patient Global Impression of Change (PGI-C) scale, a 7-point scale which change in symptoms was scored as much better, better, a little better, no change, a little worse, worse</w:t>
      </w:r>
      <w:r w:rsidR="0004601D">
        <w:t>,</w:t>
      </w:r>
      <w:r>
        <w:t xml:space="preserve"> and much worse.</w:t>
      </w:r>
    </w:p>
    <w:p w14:paraId="0EA0D2A7" w14:textId="77777777" w:rsidR="00805523" w:rsidRDefault="00805523" w:rsidP="001F3D7D">
      <w:r>
        <w:t>Secondary endpoints included:</w:t>
      </w:r>
    </w:p>
    <w:p w14:paraId="0C8F8292" w14:textId="1851F776" w:rsidR="00DA06EA" w:rsidRDefault="006843C0" w:rsidP="001F3D7D">
      <w:pPr>
        <w:pStyle w:val="ListBullet"/>
      </w:pPr>
      <w:r>
        <w:t>T</w:t>
      </w:r>
      <w:r w:rsidR="00DA06EA" w:rsidRPr="00DA06EA">
        <w:t xml:space="preserve">ime to first incidence of decrease from </w:t>
      </w:r>
      <w:r w:rsidR="00DA06EA" w:rsidRPr="001F3D7D">
        <w:t>baseline</w:t>
      </w:r>
      <w:r w:rsidR="00DA06EA" w:rsidRPr="00DA06EA">
        <w:t xml:space="preserve"> (2 time points in a row) within 12 hours of the first IMP </w:t>
      </w:r>
      <w:r w:rsidR="00DA06EA" w:rsidRPr="001F3D7D">
        <w:t>administration</w:t>
      </w:r>
      <w:r w:rsidR="00DA06EA" w:rsidRPr="00DA06EA">
        <w:t>.</w:t>
      </w:r>
    </w:p>
    <w:p w14:paraId="30D28851" w14:textId="70B11B72" w:rsidR="00DA06EA" w:rsidRPr="00DA06EA" w:rsidRDefault="00DA06EA" w:rsidP="001F3D7D">
      <w:pPr>
        <w:pStyle w:val="ListBullet"/>
      </w:pPr>
      <w:r w:rsidRPr="00DA06EA">
        <w:t xml:space="preserve">Time to </w:t>
      </w:r>
      <w:r w:rsidR="0053490F">
        <w:t xml:space="preserve">complete </w:t>
      </w:r>
      <w:r w:rsidRPr="00DA06EA">
        <w:t xml:space="preserve">HAE attack </w:t>
      </w:r>
      <w:r w:rsidRPr="001F3D7D">
        <w:t>resolution</w:t>
      </w:r>
      <w:r w:rsidRPr="00DA06EA">
        <w:t xml:space="preserve"> defined as “none” within 24 hours of the first IMP </w:t>
      </w:r>
      <w:r w:rsidRPr="001F3D7D">
        <w:t>administration</w:t>
      </w:r>
      <w:r w:rsidRPr="00DA06EA">
        <w:t>.</w:t>
      </w:r>
    </w:p>
    <w:p w14:paraId="72966B6B" w14:textId="1D08AA7C" w:rsidR="001F3D7D" w:rsidRDefault="00DA06EA" w:rsidP="001F3D7D">
      <w:r w:rsidRPr="00DA06EA">
        <w:t>These were assessed using the Patient Global Impression of Severity (</w:t>
      </w:r>
      <w:r w:rsidR="006843C0">
        <w:t>P</w:t>
      </w:r>
      <w:r w:rsidRPr="00DA06EA">
        <w:t>GI-S)</w:t>
      </w:r>
      <w:r w:rsidR="006843C0">
        <w:t xml:space="preserve"> </w:t>
      </w:r>
      <w:r w:rsidR="00805523">
        <w:t>a five-point scale of HAE symptom severity (very severe, severe, moderate, mild, none)</w:t>
      </w:r>
    </w:p>
    <w:p w14:paraId="6B427F74" w14:textId="6F74E587" w:rsidR="00D536B2" w:rsidRDefault="001D3FE0" w:rsidP="001F3D7D">
      <w:pPr>
        <w:pStyle w:val="TableTitle"/>
      </w:pPr>
      <w:r>
        <w:lastRenderedPageBreak/>
        <w:t>Table</w:t>
      </w:r>
      <w:r>
        <w:rPr>
          <w:spacing w:val="-4"/>
        </w:rPr>
        <w:t xml:space="preserve"> </w:t>
      </w:r>
      <w:r w:rsidR="00166E89">
        <w:t>6.</w:t>
      </w:r>
      <w:r>
        <w:rPr>
          <w:spacing w:val="-5"/>
        </w:rPr>
        <w:t xml:space="preserve"> </w:t>
      </w:r>
      <w:r>
        <w:t>Characteristics</w:t>
      </w:r>
      <w:r>
        <w:rPr>
          <w:spacing w:val="-2"/>
        </w:rPr>
        <w:t xml:space="preserve"> </w:t>
      </w:r>
      <w:r>
        <w:t>of</w:t>
      </w:r>
      <w:r>
        <w:rPr>
          <w:spacing w:val="-6"/>
        </w:rPr>
        <w:t xml:space="preserve"> </w:t>
      </w:r>
      <w:r>
        <w:t>eligible</w:t>
      </w:r>
      <w:r>
        <w:rPr>
          <w:spacing w:val="-4"/>
        </w:rPr>
        <w:t xml:space="preserve"> </w:t>
      </w:r>
      <w:r w:rsidRPr="001F3D7D">
        <w:t>HAE</w:t>
      </w:r>
      <w:r>
        <w:rPr>
          <w:spacing w:val="-3"/>
        </w:rPr>
        <w:t xml:space="preserve"> </w:t>
      </w:r>
      <w:r>
        <w:t>attacks</w:t>
      </w:r>
      <w:r>
        <w:rPr>
          <w:spacing w:val="-3"/>
        </w:rPr>
        <w:t xml:space="preserve"> </w:t>
      </w:r>
      <w:r>
        <w:t>at</w:t>
      </w:r>
      <w:r>
        <w:rPr>
          <w:spacing w:val="-3"/>
        </w:rPr>
        <w:t xml:space="preserve"> </w:t>
      </w:r>
      <w:r>
        <w:rPr>
          <w:spacing w:val="-2"/>
        </w:rPr>
        <w:t>onset</w:t>
      </w:r>
    </w:p>
    <w:p w14:paraId="2EBA2CB6" w14:textId="4BE687CB" w:rsidR="00D536B2" w:rsidRDefault="00666BEA" w:rsidP="001F3D7D">
      <w:pPr>
        <w:rPr>
          <w:b/>
          <w:bCs/>
        </w:rPr>
      </w:pPr>
      <w:r w:rsidRPr="00666BEA">
        <w:rPr>
          <w:noProof/>
        </w:rPr>
        <w:drawing>
          <wp:inline distT="0" distB="0" distL="0" distR="0" wp14:anchorId="2A039574" wp14:editId="3761204F">
            <wp:extent cx="4362685" cy="4999051"/>
            <wp:effectExtent l="0" t="0" r="0" b="0"/>
            <wp:docPr id="822315774" name="Picture 1" descr="Table 6. Characteristics of eligible HAE attacks at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15774" name="Picture 1" descr="Table 6. Characteristics of eligible HAE attacks at onset"/>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376178" cy="5014512"/>
                    </a:xfrm>
                    <a:prstGeom prst="rect">
                      <a:avLst/>
                    </a:prstGeom>
                  </pic:spPr>
                </pic:pic>
              </a:graphicData>
            </a:graphic>
          </wp:inline>
        </w:drawing>
      </w:r>
      <w:r w:rsidR="00D536B2" w:rsidRPr="00D536B2">
        <w:rPr>
          <w:noProof/>
        </w:rPr>
        <w:drawing>
          <wp:inline distT="0" distB="0" distL="0" distR="0" wp14:anchorId="7E770305" wp14:editId="63120481">
            <wp:extent cx="4393808" cy="2751096"/>
            <wp:effectExtent l="0" t="0" r="6985" b="0"/>
            <wp:docPr id="902416897" name="Picture 1" descr="Table 6. Characteristics of eligible HAE attacks at ons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16897" name="Picture 1" descr="Table 6. Characteristics of eligible HAE attacks at onset continued"/>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433473" cy="2775931"/>
                    </a:xfrm>
                    <a:prstGeom prst="rect">
                      <a:avLst/>
                    </a:prstGeom>
                  </pic:spPr>
                </pic:pic>
              </a:graphicData>
            </a:graphic>
          </wp:inline>
        </w:drawing>
      </w:r>
    </w:p>
    <w:p w14:paraId="400ABF13" w14:textId="7C90B02F" w:rsidR="00AC7BD8" w:rsidRDefault="00AC7BD8" w:rsidP="00B9772C">
      <w:pPr>
        <w:pStyle w:val="TableDescription"/>
      </w:pPr>
      <w:r>
        <w:t>Notes: Number of HAE attacks is number of IMP-treated HAE attacks. The number of IMP-treated HAE attacks is</w:t>
      </w:r>
      <w:r w:rsidR="001F3D7D">
        <w:t xml:space="preserve"> </w:t>
      </w:r>
      <w:r>
        <w:t>equivalent to the number of patients in each group.</w:t>
      </w:r>
    </w:p>
    <w:p w14:paraId="77511883" w14:textId="77777777" w:rsidR="00AC7BD8" w:rsidRDefault="00AC7BD8" w:rsidP="00B9772C">
      <w:pPr>
        <w:pStyle w:val="TableDescription"/>
      </w:pPr>
      <w:r w:rsidRPr="00AC7BD8">
        <w:rPr>
          <w:vertAlign w:val="superscript"/>
        </w:rPr>
        <w:t>a</w:t>
      </w:r>
      <w:r>
        <w:t xml:space="preserve"> </w:t>
      </w:r>
      <w:proofErr w:type="gramStart"/>
      <w:r>
        <w:t>The</w:t>
      </w:r>
      <w:proofErr w:type="gramEnd"/>
      <w:r>
        <w:t xml:space="preserve"> PGI-S score was transformed into numeric values: 0=none, 1=mild, 2=moderate, 3=severe, and 4=very severe.</w:t>
      </w:r>
    </w:p>
    <w:p w14:paraId="407B3315" w14:textId="4E070F17" w:rsidR="00AC7BD8" w:rsidRDefault="00AC7BD8" w:rsidP="00B9772C">
      <w:pPr>
        <w:pStyle w:val="TableDescription"/>
      </w:pPr>
      <w:r w:rsidRPr="00AC7BD8">
        <w:rPr>
          <w:vertAlign w:val="superscript"/>
        </w:rPr>
        <w:t>b</w:t>
      </w:r>
      <w:r>
        <w:t xml:space="preserve"> GA-NRS score was categorized into intervals: 0=not at all anxious, 1-3=mildly anxious, 4-6=moderately anxious, and</w:t>
      </w:r>
      <w:r w:rsidR="001F3D7D">
        <w:t xml:space="preserve"> </w:t>
      </w:r>
      <w:r>
        <w:t>7-10=extremely anxious.</w:t>
      </w:r>
    </w:p>
    <w:p w14:paraId="738EEB3A" w14:textId="11AD5BD4" w:rsidR="00AC7BD8" w:rsidRDefault="00AC7BD8" w:rsidP="00B9772C">
      <w:pPr>
        <w:pStyle w:val="TableDescription"/>
      </w:pPr>
      <w:r w:rsidRPr="00AC7BD8">
        <w:rPr>
          <w:vertAlign w:val="superscript"/>
        </w:rPr>
        <w:t>c</w:t>
      </w:r>
      <w:r>
        <w:t xml:space="preserve"> </w:t>
      </w:r>
      <w:proofErr w:type="gramStart"/>
      <w:r>
        <w:t>The</w:t>
      </w:r>
      <w:proofErr w:type="gramEnd"/>
      <w:r>
        <w:t xml:space="preserve"> composite VAS score was derived as the average score across the 3 symptoms (abdominal pain, skin pain, and skin swelling).</w:t>
      </w:r>
    </w:p>
    <w:p w14:paraId="2498AF04" w14:textId="77777777" w:rsidR="00AC7BD8" w:rsidRDefault="00AC7BD8" w:rsidP="00B9772C">
      <w:pPr>
        <w:pStyle w:val="TableDescription"/>
      </w:pPr>
      <w:r w:rsidRPr="00AC7BD8">
        <w:rPr>
          <w:vertAlign w:val="superscript"/>
        </w:rPr>
        <w:lastRenderedPageBreak/>
        <w:t>d</w:t>
      </w:r>
      <w:r>
        <w:t xml:space="preserve"> One patient could be summarized in several attack locations.</w:t>
      </w:r>
    </w:p>
    <w:p w14:paraId="197E0D53" w14:textId="0DB76693" w:rsidR="00AC7BD8" w:rsidRDefault="00AC7BD8" w:rsidP="00B9772C">
      <w:pPr>
        <w:pStyle w:val="TableDescription"/>
      </w:pPr>
      <w:r w:rsidRPr="00AC7BD8">
        <w:rPr>
          <w:vertAlign w:val="superscript"/>
        </w:rPr>
        <w:t>e</w:t>
      </w:r>
      <w:r>
        <w:t xml:space="preserve"> Baseline primary pooled attack locations 1 are using locations: laryngeal, an attack involving at least 1 laryngeal location, including the larynx/throat, regardless of other locations involved; abdominal only, an attack with abdomen location only; subcutaneous only, an attack with arms/hands, genitals, legs/feet, head/face/neck, or torso location(s) only; and abdominal and subcutaneous, an attack with at least 1 abdominal location and at least 1 subcutaneous location.</w:t>
      </w:r>
    </w:p>
    <w:p w14:paraId="5E5A7C06" w14:textId="313ADF6D" w:rsidR="00AC7BD8" w:rsidRDefault="00AC7BD8" w:rsidP="00B9772C">
      <w:pPr>
        <w:pStyle w:val="TableDescription"/>
      </w:pPr>
      <w:r w:rsidRPr="00AC7BD8">
        <w:rPr>
          <w:vertAlign w:val="subscript"/>
        </w:rPr>
        <w:t>f</w:t>
      </w:r>
      <w:r>
        <w:t xml:space="preserve"> Baseline primary pooled attack locations 2 were using locations: neck and above, an attack involving larynx/throat or head/face/neck location(s), regardless of other locations involved; abdominal, an attack involving abdomen location and not involving larynx/throat or head/face/neck locations, regardless of other locations involved; and other, an attack involving arms/hands, genitals, legs/feet, or torso location(s) only.</w:t>
      </w:r>
    </w:p>
    <w:p w14:paraId="19B28055" w14:textId="4ADE8EE4" w:rsidR="00B25281" w:rsidRDefault="00B25281" w:rsidP="00B9772C">
      <w:r w:rsidRPr="00B25281">
        <w:t>A total of 264 HAE attacks were treated, of which 87 received 300</w:t>
      </w:r>
      <w:r w:rsidR="006F2C87">
        <w:t xml:space="preserve"> </w:t>
      </w:r>
      <w:r w:rsidRPr="00B25281">
        <w:t xml:space="preserve">mg </w:t>
      </w:r>
      <w:r w:rsidR="00BC5E19">
        <w:t>sebetralstat</w:t>
      </w:r>
      <w:r w:rsidRPr="00B25281">
        <w:t>, 93 received 600</w:t>
      </w:r>
      <w:r w:rsidR="006F2C87">
        <w:t xml:space="preserve"> </w:t>
      </w:r>
      <w:r w:rsidRPr="00B25281">
        <w:t xml:space="preserve">mg </w:t>
      </w:r>
      <w:r w:rsidR="00EC25CB">
        <w:t>sebetralstat</w:t>
      </w:r>
      <w:r w:rsidRPr="00B25281">
        <w:t xml:space="preserve"> and 87 received placebo. Most attacks were mild (42.8%) or moderate (38.6%) at the time of treatment, with severe and severe attacks occurring in 14.4% and 2.7% of cases respectively.</w:t>
      </w:r>
    </w:p>
    <w:p w14:paraId="52BBDBE6" w14:textId="5AE7F873" w:rsidR="00EC4AFE" w:rsidRDefault="007C7E1C" w:rsidP="00B9772C">
      <w:pPr>
        <w:pStyle w:val="TableTitle"/>
      </w:pPr>
      <w:r w:rsidRPr="007C7E1C">
        <w:t xml:space="preserve">Table </w:t>
      </w:r>
      <w:r w:rsidR="00166E89">
        <w:t>7.</w:t>
      </w:r>
      <w:r w:rsidRPr="007C7E1C">
        <w:t xml:space="preserve"> Time to </w:t>
      </w:r>
      <w:r w:rsidRPr="00B9772C">
        <w:t>beginning</w:t>
      </w:r>
      <w:r w:rsidRPr="007C7E1C">
        <w:t xml:space="preserve"> of symptom relieve (primary endpoint) study KVD900-301</w:t>
      </w:r>
    </w:p>
    <w:p w14:paraId="7485B677" w14:textId="3B608D67" w:rsidR="00EC4AFE" w:rsidRDefault="00EC4AFE" w:rsidP="006272D5">
      <w:r w:rsidRPr="00EC4AFE">
        <w:rPr>
          <w:noProof/>
        </w:rPr>
        <w:drawing>
          <wp:inline distT="0" distB="0" distL="0" distR="0" wp14:anchorId="021D8A5B" wp14:editId="12B1979A">
            <wp:extent cx="5759450" cy="2212975"/>
            <wp:effectExtent l="0" t="0" r="0" b="0"/>
            <wp:docPr id="1763226796" name="Picture 1" descr="Table 7. Time to beginning of symptom relieve (primary endpoint) study KVD9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26796" name="Picture 1" descr="Table 7. Time to beginning of symptom relieve (primary endpoint) study KVD900-30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5759450" cy="2212975"/>
                    </a:xfrm>
                    <a:prstGeom prst="rect">
                      <a:avLst/>
                    </a:prstGeom>
                  </pic:spPr>
                </pic:pic>
              </a:graphicData>
            </a:graphic>
          </wp:inline>
        </w:drawing>
      </w:r>
    </w:p>
    <w:p w14:paraId="323FCFDD" w14:textId="77777777" w:rsidR="006272D5" w:rsidRDefault="008F205F" w:rsidP="006272D5">
      <w:r w:rsidRPr="008F205F">
        <w:rPr>
          <w:noProof/>
        </w:rPr>
        <w:drawing>
          <wp:inline distT="0" distB="0" distL="0" distR="0" wp14:anchorId="729AB83E" wp14:editId="2EE27FFC">
            <wp:extent cx="5759450" cy="440055"/>
            <wp:effectExtent l="0" t="0" r="0" b="0"/>
            <wp:docPr id="1713337491" name="Picture 1" descr="Table 7. Time to beginning of symptom relieve (primary endpoint) study KVD9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37491" name="Picture 1" descr="Table 7. Time to beginning of symptom relieve (primary endpoint) study KVD900-30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5759450" cy="440055"/>
                    </a:xfrm>
                    <a:prstGeom prst="rect">
                      <a:avLst/>
                    </a:prstGeom>
                  </pic:spPr>
                </pic:pic>
              </a:graphicData>
            </a:graphic>
          </wp:inline>
        </w:drawing>
      </w:r>
    </w:p>
    <w:p w14:paraId="4C7809DC" w14:textId="193A779C" w:rsidR="00B5636F" w:rsidRDefault="00B5636F" w:rsidP="006272D5">
      <w:pPr>
        <w:pStyle w:val="TableDescription"/>
      </w:pPr>
      <w:r>
        <w:t>Notes: n is number of IMP-treated HAE attacks. The number of IMP-treated HAE attacks is equivalent to the number of</w:t>
      </w:r>
      <w:r w:rsidR="006272D5">
        <w:t xml:space="preserve"> </w:t>
      </w:r>
      <w:r>
        <w:t>patients in each group.</w:t>
      </w:r>
    </w:p>
    <w:p w14:paraId="2A458B28" w14:textId="1FBA3C12" w:rsidR="00B5636F" w:rsidRDefault="00B5636F" w:rsidP="006272D5">
      <w:pPr>
        <w:pStyle w:val="TableDescription"/>
      </w:pPr>
      <w:r>
        <w:t>Time to the beginning of symptom relief within 12 hours was defined as an HAE attack being rated “a little better” or higher on the PGI-C for 2 time points in a row within 12 hours of the first IMP administration.</w:t>
      </w:r>
    </w:p>
    <w:p w14:paraId="125D51AA" w14:textId="771F8D6E" w:rsidR="00B5636F" w:rsidRDefault="00B5636F" w:rsidP="006272D5">
      <w:pPr>
        <w:pStyle w:val="TableDescription"/>
      </w:pPr>
      <w:r>
        <w:t>Time to the beginning of symptom relief was calculated as date/time of first rating of “a little better” or higher (i.e., better or much better) and immediately followed by another rating of “a little better” or higher (without missing values in</w:t>
      </w:r>
      <w:r w:rsidR="00B5583E">
        <w:t xml:space="preserve"> </w:t>
      </w:r>
      <w:r>
        <w:t>between) – date/time of first IMP administration.</w:t>
      </w:r>
    </w:p>
    <w:p w14:paraId="21128F72" w14:textId="77777777" w:rsidR="00B5636F" w:rsidRDefault="00B5636F" w:rsidP="00B5636F">
      <w:pPr>
        <w:pStyle w:val="TableDescription"/>
      </w:pPr>
      <w:proofErr w:type="gramStart"/>
      <w:r w:rsidRPr="00B5583E">
        <w:rPr>
          <w:vertAlign w:val="superscript"/>
        </w:rPr>
        <w:t>a</w:t>
      </w:r>
      <w:proofErr w:type="gramEnd"/>
      <w:r>
        <w:t xml:space="preserve"> Attacks that achieved the described event within 12 hours.</w:t>
      </w:r>
    </w:p>
    <w:p w14:paraId="6799388B" w14:textId="0AB554AA" w:rsidR="00B5636F" w:rsidRDefault="00B5636F" w:rsidP="006272D5">
      <w:pPr>
        <w:pStyle w:val="TableDescription"/>
      </w:pPr>
      <w:r w:rsidRPr="00B5583E">
        <w:rPr>
          <w:vertAlign w:val="superscript"/>
        </w:rPr>
        <w:t>b</w:t>
      </w:r>
      <w:r>
        <w:t xml:space="preserve"> Attacks were treated as right-censored at 12 hours if they did not achieve beginning of symptom relief defined by PGI-C as</w:t>
      </w:r>
      <w:r w:rsidR="00B5583E">
        <w:t xml:space="preserve"> </w:t>
      </w:r>
      <w:r>
        <w:t>at least “a little better” (2 time points in a row) or received conventional attack treatment within 12 hours of the first</w:t>
      </w:r>
      <w:r w:rsidR="00B5583E">
        <w:t xml:space="preserve"> </w:t>
      </w:r>
      <w:r>
        <w:t>IMP administration. In the case of discontinuation that prevented event “a little better” or higher HAE attack rating</w:t>
      </w:r>
      <w:r w:rsidR="00B5583E">
        <w:t xml:space="preserve"> </w:t>
      </w:r>
      <w:r>
        <w:t>occurrence, patients were censored at the time of discontinuation.</w:t>
      </w:r>
    </w:p>
    <w:p w14:paraId="7C1B2C05" w14:textId="77777777" w:rsidR="00B5636F" w:rsidRDefault="00B5636F" w:rsidP="006272D5">
      <w:pPr>
        <w:pStyle w:val="TableDescription"/>
      </w:pPr>
      <w:r w:rsidRPr="00B5583E">
        <w:rPr>
          <w:vertAlign w:val="superscript"/>
        </w:rPr>
        <w:t>c</w:t>
      </w:r>
      <w:r>
        <w:t xml:space="preserve"> Kaplan-Meier estimates for the time to the beginning of symptom relief within 12 hours.</w:t>
      </w:r>
    </w:p>
    <w:p w14:paraId="1B7E0125" w14:textId="170192C9" w:rsidR="00B5636F" w:rsidRDefault="00B5636F" w:rsidP="006272D5">
      <w:pPr>
        <w:pStyle w:val="TableDescription"/>
      </w:pPr>
      <w:r w:rsidRPr="00B5583E">
        <w:rPr>
          <w:vertAlign w:val="superscript"/>
        </w:rPr>
        <w:t>d</w:t>
      </w:r>
      <w:r>
        <w:t xml:space="preserve"> LS means, LS means differences, p-values, and adjusted p-values from the linear mixed model used to </w:t>
      </w:r>
      <w:proofErr w:type="spellStart"/>
      <w:r>
        <w:t>analyze</w:t>
      </w:r>
      <w:proofErr w:type="spellEnd"/>
      <w:r>
        <w:t xml:space="preserve"> Gehan</w:t>
      </w:r>
      <w:r w:rsidR="006272D5">
        <w:t xml:space="preserve"> </w:t>
      </w:r>
      <w:r>
        <w:t>score transformation of time to beginning of symptom relief within 12 hours including terms for sequence, period,</w:t>
      </w:r>
      <w:r w:rsidR="00B5583E">
        <w:t xml:space="preserve"> </w:t>
      </w:r>
      <w:r>
        <w:t>and</w:t>
      </w:r>
      <w:r w:rsidR="00B5583E">
        <w:t xml:space="preserve"> </w:t>
      </w:r>
      <w:r>
        <w:t>treatment in the model as fixed effects and patient nested within the sequence as a random effect.</w:t>
      </w:r>
    </w:p>
    <w:p w14:paraId="5459FD88" w14:textId="5BFCDB49" w:rsidR="00DA06EA" w:rsidRDefault="00B5636F" w:rsidP="00B5636F">
      <w:pPr>
        <w:pStyle w:val="TableDescription"/>
      </w:pPr>
      <w:r w:rsidRPr="00B5583E">
        <w:rPr>
          <w:vertAlign w:val="superscript"/>
        </w:rPr>
        <w:t>e</w:t>
      </w:r>
      <w:r>
        <w:t xml:space="preserve"> Adjusted P-value came from Bonferroni adjustment.</w:t>
      </w:r>
    </w:p>
    <w:p w14:paraId="48758FAF" w14:textId="0E756D4B" w:rsidR="00DA06EA" w:rsidRPr="005E0F1F" w:rsidRDefault="00DA06EA" w:rsidP="006272D5">
      <w:r w:rsidRPr="005E0F1F">
        <w:t xml:space="preserve">There was a statistically significant improvement in the time to the beginning of symptom relief between </w:t>
      </w:r>
      <w:proofErr w:type="spellStart"/>
      <w:r w:rsidR="008A6563">
        <w:t>s</w:t>
      </w:r>
      <w:r w:rsidRPr="005E0F1F">
        <w:t>ebetralstat</w:t>
      </w:r>
      <w:proofErr w:type="spellEnd"/>
      <w:r w:rsidRPr="005E0F1F">
        <w:t xml:space="preserve"> and placebo at the 300</w:t>
      </w:r>
      <w:r w:rsidR="006F2C87">
        <w:t xml:space="preserve"> </w:t>
      </w:r>
      <w:r w:rsidRPr="005E0F1F">
        <w:t>mg and 600</w:t>
      </w:r>
      <w:r w:rsidR="006F2C87">
        <w:t xml:space="preserve"> </w:t>
      </w:r>
      <w:r w:rsidRPr="005E0F1F">
        <w:t>mg doses. Mean time to improvement of “a little better” was 1.61 hours and 1.79 hours for the 300</w:t>
      </w:r>
      <w:r w:rsidR="006F2C87">
        <w:t xml:space="preserve"> </w:t>
      </w:r>
      <w:r w:rsidRPr="005E0F1F">
        <w:t>mg and 600</w:t>
      </w:r>
      <w:r w:rsidR="006F2C87">
        <w:t xml:space="preserve"> </w:t>
      </w:r>
      <w:r w:rsidRPr="005E0F1F">
        <w:t xml:space="preserve">mg doses of </w:t>
      </w:r>
      <w:proofErr w:type="spellStart"/>
      <w:r w:rsidR="006F2C87">
        <w:t>s</w:t>
      </w:r>
      <w:r w:rsidRPr="005E0F1F">
        <w:t>ebetralstat</w:t>
      </w:r>
      <w:proofErr w:type="spellEnd"/>
      <w:r w:rsidRPr="005E0F1F">
        <w:t xml:space="preserve"> respectively, and 6.72 hours for placebo</w:t>
      </w:r>
      <w:r w:rsidR="006272D5">
        <w:t>.</w:t>
      </w:r>
    </w:p>
    <w:p w14:paraId="6CA0B402" w14:textId="0DB5202C" w:rsidR="009A6293" w:rsidRPr="006272D5" w:rsidRDefault="00D65149" w:rsidP="006272D5">
      <w:pPr>
        <w:pStyle w:val="TableTitle"/>
      </w:pPr>
      <w:r w:rsidRPr="006272D5">
        <w:lastRenderedPageBreak/>
        <w:t xml:space="preserve">Table </w:t>
      </w:r>
      <w:r w:rsidR="00166E89" w:rsidRPr="006272D5">
        <w:t>8.</w:t>
      </w:r>
      <w:r w:rsidRPr="006272D5">
        <w:t xml:space="preserve"> Kaplan-Meier plot for HAE attack resolution within 24 hours.</w:t>
      </w:r>
    </w:p>
    <w:p w14:paraId="1F08DE21" w14:textId="011595DD" w:rsidR="009A6293" w:rsidRPr="00D536B2" w:rsidRDefault="009A6293" w:rsidP="006272D5">
      <w:r w:rsidRPr="009A6293">
        <w:rPr>
          <w:noProof/>
        </w:rPr>
        <w:drawing>
          <wp:inline distT="0" distB="0" distL="0" distR="0" wp14:anchorId="3422FE73" wp14:editId="33C59FB8">
            <wp:extent cx="5759450" cy="3140710"/>
            <wp:effectExtent l="0" t="0" r="0" b="2540"/>
            <wp:docPr id="801592089" name="Picture 1" descr="Table 8. Kaplan-Meier plot for HAE attack resolution within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92089" name="Picture 1" descr="Table 8. Kaplan-Meier plot for HAE attack resolution within 24 hours."/>
                    <pic:cNvPicPr/>
                  </pic:nvPicPr>
                  <pic:blipFill>
                    <a:blip r:embed="rId41"/>
                    <a:stretch>
                      <a:fillRect/>
                    </a:stretch>
                  </pic:blipFill>
                  <pic:spPr>
                    <a:xfrm>
                      <a:off x="0" y="0"/>
                      <a:ext cx="5759450" cy="3140710"/>
                    </a:xfrm>
                    <a:prstGeom prst="rect">
                      <a:avLst/>
                    </a:prstGeom>
                  </pic:spPr>
                </pic:pic>
              </a:graphicData>
            </a:graphic>
          </wp:inline>
        </w:drawing>
      </w:r>
    </w:p>
    <w:p w14:paraId="25DEF9CB" w14:textId="2F9E554F" w:rsidR="00133ACA" w:rsidRDefault="00133ACA" w:rsidP="006272D5">
      <w:pPr>
        <w:pStyle w:val="TableDescription"/>
      </w:pPr>
      <w:r>
        <w:t>Notes: The number of patients in each group is equivalent to of IMP-treated HAE attack. Results come from Kaplan-Meier model used to analyze time to HAE attack resolution within 24 hours.</w:t>
      </w:r>
    </w:p>
    <w:p w14:paraId="7621AD8B" w14:textId="77777777" w:rsidR="00133ACA" w:rsidRDefault="00133ACA" w:rsidP="006272D5">
      <w:pPr>
        <w:pStyle w:val="TableDescription"/>
      </w:pPr>
      <w:r>
        <w:t>Time to HAE attack resolution (hours) = date/time of first rating of “none” – date/time of first IMP administration.</w:t>
      </w:r>
    </w:p>
    <w:p w14:paraId="505D9AF4" w14:textId="6D90F8E1" w:rsidR="00133ACA" w:rsidRDefault="00133ACA" w:rsidP="006272D5">
      <w:pPr>
        <w:pStyle w:val="TableDescription"/>
      </w:pPr>
      <w:r>
        <w:t>Attacks were treated as right-censored at 24 hours if they did not have a HAE attack resolution or received conventional attack treatment within 24 hours of IMP administration. In the case of discontinuation that prevented the event, attack was censored at the time of discontinuation. In the case of underivable time-to-event results due to lack of at least 1 post-baseline assessment, attacks were censored at time 0.</w:t>
      </w:r>
    </w:p>
    <w:p w14:paraId="7FCB2778" w14:textId="77777777" w:rsidR="00133ACA" w:rsidRDefault="00133ACA" w:rsidP="006272D5">
      <w:pPr>
        <w:pStyle w:val="TableDescription"/>
      </w:pPr>
      <w:r>
        <w:t>‘+’ Censored patient</w:t>
      </w:r>
    </w:p>
    <w:p w14:paraId="1304D0DE" w14:textId="1C374828" w:rsidR="00DA06EA" w:rsidRPr="005E0F1F" w:rsidRDefault="00DA06EA" w:rsidP="006272D5">
      <w:r w:rsidRPr="005E0F1F">
        <w:t xml:space="preserve">There was a statistically significant improvement in the time to reduction in severity between 300 mg </w:t>
      </w:r>
      <w:proofErr w:type="spellStart"/>
      <w:r w:rsidRPr="005E0F1F">
        <w:t>KVD900</w:t>
      </w:r>
      <w:proofErr w:type="spellEnd"/>
      <w:r w:rsidRPr="005E0F1F">
        <w:t xml:space="preserve"> (adjusted p=0.0036) versus placebo group and 600 mg </w:t>
      </w:r>
      <w:proofErr w:type="spellStart"/>
      <w:r w:rsidRPr="005E0F1F">
        <w:t>KVD900</w:t>
      </w:r>
      <w:proofErr w:type="spellEnd"/>
      <w:r w:rsidRPr="005E0F1F">
        <w:t xml:space="preserve"> (adjusted p=00.0032) versus placebo group. The median (95% CI) time to reduction in severity in </w:t>
      </w:r>
      <w:proofErr w:type="spellStart"/>
      <w:r w:rsidRPr="005E0F1F">
        <w:t>PGI</w:t>
      </w:r>
      <w:proofErr w:type="spellEnd"/>
      <w:r w:rsidRPr="005E0F1F">
        <w:t xml:space="preserve">-S score was 9.27 hours (95% CI: 4.08, not evaluable) for 300 mg </w:t>
      </w:r>
      <w:proofErr w:type="spellStart"/>
      <w:r w:rsidRPr="005E0F1F">
        <w:t>KVD900</w:t>
      </w:r>
      <w:proofErr w:type="spellEnd"/>
      <w:r w:rsidRPr="005E0F1F">
        <w:t xml:space="preserve"> group, 7.75 hours (95% CI: 3.27, not evaluable) for 600 mg </w:t>
      </w:r>
      <w:proofErr w:type="spellStart"/>
      <w:r w:rsidRPr="005E0F1F">
        <w:t>KVD900</w:t>
      </w:r>
      <w:proofErr w:type="spellEnd"/>
      <w:r w:rsidRPr="005E0F1F">
        <w:t xml:space="preserve"> group, and not evaluable i.e., &gt;12 hours for placebo group.</w:t>
      </w:r>
    </w:p>
    <w:p w14:paraId="15B7CB9C" w14:textId="77777777" w:rsidR="00BB0392" w:rsidRDefault="00BB0392" w:rsidP="006272D5">
      <w:pPr>
        <w:pStyle w:val="Heading5"/>
      </w:pPr>
      <w:r>
        <w:t xml:space="preserve">Supportive </w:t>
      </w:r>
      <w:r w:rsidRPr="006272D5">
        <w:t>efficacy</w:t>
      </w:r>
    </w:p>
    <w:p w14:paraId="470ADB04" w14:textId="75740F12" w:rsidR="00BB0392" w:rsidRDefault="00BB0392" w:rsidP="006272D5">
      <w:r>
        <w:t xml:space="preserve">Study KVD900-201 was a phase II study which examined the efficacy of </w:t>
      </w:r>
      <w:r w:rsidR="00EC25CB">
        <w:t>sebetralstat</w:t>
      </w:r>
      <w:r>
        <w:t xml:space="preserve"> compared to placebo in terminating HAE attacks in adults. Patients (n=60) were randomised to receive one dose of </w:t>
      </w:r>
      <w:r w:rsidR="00EC25CB">
        <w:t>sebetralstat</w:t>
      </w:r>
      <w:r>
        <w:t xml:space="preserve"> and one dose placebo over two HAE attacks either as </w:t>
      </w:r>
      <w:r w:rsidR="00BC5E19">
        <w:t>sebetralstat</w:t>
      </w:r>
      <w:r>
        <w:t>+placebo (n=30) or placebo+</w:t>
      </w:r>
      <w:r w:rsidR="00EC25CB">
        <w:t>sebetralstat</w:t>
      </w:r>
      <w:r>
        <w:t xml:space="preserve"> (n=30). Inclusion and exclusion criteria were </w:t>
      </w:r>
      <w:proofErr w:type="gramStart"/>
      <w:r>
        <w:t>similar to</w:t>
      </w:r>
      <w:proofErr w:type="gramEnd"/>
      <w:r>
        <w:t xml:space="preserve"> study KVD900-301.</w:t>
      </w:r>
    </w:p>
    <w:p w14:paraId="049BC377" w14:textId="0680FCE7" w:rsidR="00BB0392" w:rsidRDefault="00BB0392" w:rsidP="006272D5">
      <w:r>
        <w:t>The primary endpoint of the study was the time to relief from an HAE attack, assessed as the time to when the patient used conventional (e.g. non study treatment) HAE treatment within 12 hours of receiving a study treatment.</w:t>
      </w:r>
    </w:p>
    <w:p w14:paraId="7E33FF3A" w14:textId="77777777" w:rsidR="006272D5" w:rsidRDefault="00FA5A39" w:rsidP="006272D5">
      <w:pPr>
        <w:pStyle w:val="TableTitle"/>
      </w:pPr>
      <w:r w:rsidRPr="00FA5A39">
        <w:lastRenderedPageBreak/>
        <w:t xml:space="preserve">Table </w:t>
      </w:r>
      <w:r w:rsidR="00166E89">
        <w:t>9.</w:t>
      </w:r>
      <w:r w:rsidRPr="00FA5A39">
        <w:t xml:space="preserve"> Analysis of time to use </w:t>
      </w:r>
      <w:r w:rsidRPr="006272D5">
        <w:t>of</w:t>
      </w:r>
      <w:r w:rsidRPr="00FA5A39">
        <w:t xml:space="preserve"> conventional HAE relief within 12 hours of study treatment</w:t>
      </w:r>
    </w:p>
    <w:p w14:paraId="09462FBC" w14:textId="5E5501D4" w:rsidR="00D674A2" w:rsidRDefault="00D674A2" w:rsidP="006272D5">
      <w:r w:rsidRPr="00D674A2">
        <w:rPr>
          <w:noProof/>
        </w:rPr>
        <w:drawing>
          <wp:inline distT="0" distB="0" distL="0" distR="0" wp14:anchorId="10C054E4" wp14:editId="5B8C0E52">
            <wp:extent cx="5759450" cy="1934845"/>
            <wp:effectExtent l="0" t="0" r="0" b="8255"/>
            <wp:docPr id="713224856" name="Picture 1" descr="Table 9. Analysis of time to use of conventional HAE relief within 12 hours of stud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24856" name="Picture 1" descr="Table 9. Analysis of time to use of conventional HAE relief within 12 hours of study treatment"/>
                    <pic:cNvPicPr/>
                  </pic:nvPicPr>
                  <pic:blipFill>
                    <a:blip r:embed="rId42"/>
                    <a:stretch>
                      <a:fillRect/>
                    </a:stretch>
                  </pic:blipFill>
                  <pic:spPr>
                    <a:xfrm>
                      <a:off x="0" y="0"/>
                      <a:ext cx="5759450" cy="1934845"/>
                    </a:xfrm>
                    <a:prstGeom prst="rect">
                      <a:avLst/>
                    </a:prstGeom>
                  </pic:spPr>
                </pic:pic>
              </a:graphicData>
            </a:graphic>
          </wp:inline>
        </w:drawing>
      </w:r>
    </w:p>
    <w:p w14:paraId="1610CCC1" w14:textId="77777777" w:rsidR="0072318A" w:rsidRDefault="0072318A" w:rsidP="006272D5">
      <w:pPr>
        <w:pStyle w:val="TableDescription"/>
      </w:pPr>
      <w:r>
        <w:t>Abbreviations: CI=confidence interval; NC=non-calculable; Q1=first quartile</w:t>
      </w:r>
    </w:p>
    <w:p w14:paraId="1D8BC22F" w14:textId="77777777" w:rsidR="0072318A" w:rsidRDefault="0072318A" w:rsidP="0072318A">
      <w:pPr>
        <w:pStyle w:val="TableDescription"/>
      </w:pPr>
      <w:r>
        <w:t>The denominator for each percentage is the number of subjects in the Full Analysis Set within a treatment.</w:t>
      </w:r>
    </w:p>
    <w:p w14:paraId="15A55626" w14:textId="77777777" w:rsidR="0072318A" w:rsidRDefault="0072318A" w:rsidP="006272D5">
      <w:pPr>
        <w:pStyle w:val="TableDescription"/>
      </w:pPr>
      <w:r>
        <w:t>Censoring occurs where a subject did not use conventional attack treatment within 12h post-study drug dosing.</w:t>
      </w:r>
    </w:p>
    <w:p w14:paraId="1BB25361" w14:textId="6B617E2D" w:rsidR="00514A43" w:rsidRDefault="0072318A" w:rsidP="006272D5">
      <w:pPr>
        <w:pStyle w:val="TableDescription"/>
      </w:pPr>
      <w:r>
        <w:t>When an endpoint result was NC within 12 hours, if the event did occur the event must have occurred &gt;12 hours</w:t>
      </w:r>
      <w:r w:rsidR="006272D5">
        <w:t xml:space="preserve"> </w:t>
      </w:r>
      <w:r>
        <w:t>following study drug.</w:t>
      </w:r>
    </w:p>
    <w:p w14:paraId="3F8121D2" w14:textId="1E6774F4" w:rsidR="008A5507" w:rsidRDefault="008A5507" w:rsidP="006272D5">
      <w:r>
        <w:t>In this study 30.2% of patients receiving placebo and 15.1% of patients receiving 600</w:t>
      </w:r>
      <w:r w:rsidR="006F2C87">
        <w:t xml:space="preserve"> </w:t>
      </w:r>
      <w:r>
        <w:t xml:space="preserve">mg </w:t>
      </w:r>
      <w:r w:rsidR="00EC25CB">
        <w:t>sebetralstat</w:t>
      </w:r>
      <w:r>
        <w:t xml:space="preserve"> used conventional treatment within 12 hours, which was a significant difference (p=0.01)</w:t>
      </w:r>
    </w:p>
    <w:p w14:paraId="57FB5460" w14:textId="77777777" w:rsidR="008A5507" w:rsidRDefault="008A5507" w:rsidP="006272D5">
      <w:pPr>
        <w:pStyle w:val="Heading5"/>
      </w:pPr>
      <w:r>
        <w:t xml:space="preserve">Study </w:t>
      </w:r>
      <w:proofErr w:type="spellStart"/>
      <w:r w:rsidRPr="006272D5">
        <w:t>KVD900</w:t>
      </w:r>
      <w:proofErr w:type="spellEnd"/>
      <w:r>
        <w:t>-302</w:t>
      </w:r>
    </w:p>
    <w:p w14:paraId="7917AFFB" w14:textId="066BDB7B" w:rsidR="008A5507" w:rsidRDefault="008A5507" w:rsidP="006272D5">
      <w:r>
        <w:t>This was an open-label extension trial that examined the long-term use of 600</w:t>
      </w:r>
      <w:r w:rsidR="006F2C87">
        <w:t xml:space="preserve"> </w:t>
      </w:r>
      <w:r>
        <w:t xml:space="preserve">mg </w:t>
      </w:r>
      <w:r w:rsidR="00EC25CB">
        <w:t>sebetralstat</w:t>
      </w:r>
      <w:r>
        <w:t xml:space="preserve"> in patients 12 years and older with type I or II HAE. It included patients who had completed study KVD900-301 and new patients.</w:t>
      </w:r>
    </w:p>
    <w:p w14:paraId="0AE19E96" w14:textId="6BE1593C" w:rsidR="00685709" w:rsidRDefault="00685709" w:rsidP="006272D5">
      <w:pPr>
        <w:pStyle w:val="FigureTitle"/>
      </w:pPr>
      <w:r w:rsidRPr="00685709">
        <w:t>Figure 5</w:t>
      </w:r>
      <w:r w:rsidR="00200606">
        <w:t>.</w:t>
      </w:r>
      <w:r w:rsidRPr="00685709">
        <w:t xml:space="preserve"> Design of study </w:t>
      </w:r>
      <w:proofErr w:type="spellStart"/>
      <w:r w:rsidRPr="006272D5">
        <w:t>KVD900</w:t>
      </w:r>
      <w:proofErr w:type="spellEnd"/>
      <w:r w:rsidRPr="00685709">
        <w:t>-302</w:t>
      </w:r>
    </w:p>
    <w:p w14:paraId="4A9440B0" w14:textId="5FF5E49F" w:rsidR="005C3895" w:rsidRDefault="006B55C8" w:rsidP="006272D5">
      <w:r w:rsidRPr="006B55C8">
        <w:rPr>
          <w:noProof/>
        </w:rPr>
        <w:drawing>
          <wp:inline distT="0" distB="0" distL="0" distR="0" wp14:anchorId="775086B1" wp14:editId="3A1EB18D">
            <wp:extent cx="5759450" cy="1525270"/>
            <wp:effectExtent l="0" t="0" r="0" b="0"/>
            <wp:docPr id="685085746" name="Picture 1" descr="Figure 5. Design of study KVD9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85746" name="Picture 1" descr="Figure 5. Design of study KVD900-302"/>
                    <pic:cNvPicPr/>
                  </pic:nvPicPr>
                  <pic:blipFill>
                    <a:blip r:embed="rId43"/>
                    <a:stretch>
                      <a:fillRect/>
                    </a:stretch>
                  </pic:blipFill>
                  <pic:spPr>
                    <a:xfrm>
                      <a:off x="0" y="0"/>
                      <a:ext cx="5759450" cy="1525270"/>
                    </a:xfrm>
                    <a:prstGeom prst="rect">
                      <a:avLst/>
                    </a:prstGeom>
                  </pic:spPr>
                </pic:pic>
              </a:graphicData>
            </a:graphic>
          </wp:inline>
        </w:drawing>
      </w:r>
    </w:p>
    <w:p w14:paraId="5233B5AB" w14:textId="100FCC25" w:rsidR="00514A43" w:rsidRDefault="003117B3" w:rsidP="00965812">
      <w:pPr>
        <w:pStyle w:val="FigureDescription"/>
      </w:pPr>
      <w:r w:rsidRPr="003117B3">
        <w:t>Note: Patients completed the End of Trial Visit at Month 24 or if they terminated early from the trial.</w:t>
      </w:r>
    </w:p>
    <w:p w14:paraId="74A68577" w14:textId="77777777" w:rsidR="00247B5D" w:rsidRDefault="00247B5D" w:rsidP="00965812">
      <w:r>
        <w:t xml:space="preserve">All enrolled patients had type I or II </w:t>
      </w:r>
      <w:proofErr w:type="gramStart"/>
      <w:r>
        <w:t>HAE, and</w:t>
      </w:r>
      <w:proofErr w:type="gramEnd"/>
      <w:r>
        <w:t xml:space="preserve"> had suffered at least 2 documented HAE attacks within 3 months of the enrolment visit.</w:t>
      </w:r>
    </w:p>
    <w:p w14:paraId="335B2C0E" w14:textId="7D77B952" w:rsidR="00247B5D" w:rsidRDefault="00247B5D" w:rsidP="00965812">
      <w:r>
        <w:t>Patients took 600</w:t>
      </w:r>
      <w:r w:rsidR="006F2C87">
        <w:t xml:space="preserve"> </w:t>
      </w:r>
      <w:r>
        <w:t xml:space="preserve">mg </w:t>
      </w:r>
      <w:r w:rsidR="00EC25CB">
        <w:t>sebetralstat</w:t>
      </w:r>
      <w:r>
        <w:t xml:space="preserve"> for each HAE attack and were permitted to take an additional 600</w:t>
      </w:r>
      <w:r w:rsidR="006F2C87">
        <w:t xml:space="preserve"> </w:t>
      </w:r>
      <w:r>
        <w:t>mg at least 3 hours following the first attack if symptoms persisted (i.e. a maximum of 1200</w:t>
      </w:r>
      <w:r w:rsidR="00AB1A3E">
        <w:t xml:space="preserve"> </w:t>
      </w:r>
      <w:r>
        <w:t>mg).</w:t>
      </w:r>
    </w:p>
    <w:p w14:paraId="4BB5D872" w14:textId="77777777" w:rsidR="00247B5D" w:rsidRDefault="00247B5D" w:rsidP="00247B5D">
      <w:r>
        <w:t>The primary endpoint was the proportion of patients who experienced any adverse events in the first 24 months or discontinued therapy.</w:t>
      </w:r>
    </w:p>
    <w:p w14:paraId="7DB52DCB" w14:textId="1A3D7292" w:rsidR="00247B5D" w:rsidRDefault="00247B5D" w:rsidP="00965812">
      <w:r>
        <w:t>A secondary endpoint was the time to symptom relief defined as at least ‘a little better’ using the PGI-C scale (as per the pivotal trial KVD900-301).</w:t>
      </w:r>
    </w:p>
    <w:p w14:paraId="12603414" w14:textId="7CA18453" w:rsidR="00247B5D" w:rsidRDefault="00247B5D" w:rsidP="00965812">
      <w:pPr>
        <w:pStyle w:val="FigureTitle"/>
      </w:pPr>
      <w:r w:rsidRPr="00247B5D">
        <w:lastRenderedPageBreak/>
        <w:t xml:space="preserve">Figure 6: Patient </w:t>
      </w:r>
      <w:r w:rsidRPr="00965812">
        <w:t>disposition</w:t>
      </w:r>
      <w:r w:rsidRPr="00247B5D">
        <w:t xml:space="preserve"> in study </w:t>
      </w:r>
      <w:proofErr w:type="spellStart"/>
      <w:r w:rsidRPr="00247B5D">
        <w:t>KVD900</w:t>
      </w:r>
      <w:proofErr w:type="spellEnd"/>
      <w:r w:rsidRPr="00247B5D">
        <w:t>-302</w:t>
      </w:r>
    </w:p>
    <w:p w14:paraId="7748319D" w14:textId="42068B25" w:rsidR="00247B5D" w:rsidRDefault="00247B5D" w:rsidP="00965812">
      <w:r w:rsidRPr="00247B5D">
        <w:rPr>
          <w:noProof/>
        </w:rPr>
        <w:drawing>
          <wp:inline distT="0" distB="0" distL="0" distR="0" wp14:anchorId="1014D526" wp14:editId="7AD41B29">
            <wp:extent cx="5759450" cy="5106670"/>
            <wp:effectExtent l="0" t="0" r="0" b="0"/>
            <wp:docPr id="1758834573" name="Picture 1" descr="Figure 6: Patient disposition in study KVD9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34573" name="Picture 1" descr="Figure 6: Patient disposition in study KVD900-302"/>
                    <pic:cNvPicPr/>
                  </pic:nvPicPr>
                  <pic:blipFill>
                    <a:blip r:embed="rId44"/>
                    <a:stretch>
                      <a:fillRect/>
                    </a:stretch>
                  </pic:blipFill>
                  <pic:spPr>
                    <a:xfrm>
                      <a:off x="0" y="0"/>
                      <a:ext cx="5759450" cy="5106670"/>
                    </a:xfrm>
                    <a:prstGeom prst="rect">
                      <a:avLst/>
                    </a:prstGeom>
                  </pic:spPr>
                </pic:pic>
              </a:graphicData>
            </a:graphic>
          </wp:inline>
        </w:drawing>
      </w:r>
    </w:p>
    <w:p w14:paraId="63169897" w14:textId="77777777" w:rsidR="00247B5D" w:rsidRDefault="00247B5D" w:rsidP="00965812">
      <w:pPr>
        <w:pStyle w:val="FigureDescription"/>
      </w:pPr>
      <w:r>
        <w:t>Notes: The screened set included all patients who had signed the ICF.</w:t>
      </w:r>
    </w:p>
    <w:p w14:paraId="74E8D05D" w14:textId="77777777" w:rsidR="00247B5D" w:rsidRDefault="00247B5D" w:rsidP="00965812">
      <w:pPr>
        <w:pStyle w:val="FigureDescription"/>
      </w:pPr>
      <w:r>
        <w:t>The Safety Set includes all patients who received at least 1 IMP dose.</w:t>
      </w:r>
    </w:p>
    <w:p w14:paraId="228E7520" w14:textId="77777777" w:rsidR="00247B5D" w:rsidRDefault="00247B5D" w:rsidP="00965812">
      <w:pPr>
        <w:pStyle w:val="FigureDescription"/>
      </w:pPr>
      <w:r>
        <w:t>The FAS includes all enrolled patients who received at least 1 IMP dose after an HAE attack.</w:t>
      </w:r>
    </w:p>
    <w:p w14:paraId="4E30117C" w14:textId="77777777" w:rsidR="00247B5D" w:rsidRDefault="00247B5D" w:rsidP="00965812">
      <w:pPr>
        <w:pStyle w:val="FigureDescription"/>
      </w:pPr>
      <w:r>
        <w:t>The STP-SAF includes all patients who received at least 1 dose of the IMP as short-term prophylactic therapy.</w:t>
      </w:r>
    </w:p>
    <w:p w14:paraId="6A189532" w14:textId="1EE84E9F" w:rsidR="00CB5933" w:rsidRDefault="00247B5D" w:rsidP="00965812">
      <w:pPr>
        <w:pStyle w:val="FigureDescription"/>
      </w:pPr>
      <w:r>
        <w:t>The PKS includes all patients who accepted to participate in an elective PK subtrial, Trial KVD900-302a, and provided at least 1 PK sample.</w:t>
      </w:r>
    </w:p>
    <w:p w14:paraId="7D577200" w14:textId="77777777" w:rsidR="00247B5D" w:rsidRDefault="00247B5D" w:rsidP="00965812">
      <w:r>
        <w:t>A total of 639 HAE attacks were examined with 475 (74.3%) achieving the primary endpoint definition of symptom relieve within 12 hours. Overall, the median time to the beginning of symptom relief was 1.8 hours.</w:t>
      </w:r>
    </w:p>
    <w:p w14:paraId="61AED515" w14:textId="77777777" w:rsidR="00247B5D" w:rsidRDefault="00247B5D" w:rsidP="00965812">
      <w:pPr>
        <w:pStyle w:val="Heading4"/>
      </w:pPr>
      <w:bookmarkStart w:id="45" w:name="_Toc228878067"/>
      <w:r w:rsidRPr="00965812">
        <w:t>Safety</w:t>
      </w:r>
      <w:bookmarkEnd w:id="45"/>
    </w:p>
    <w:p w14:paraId="0B31845D" w14:textId="77777777" w:rsidR="00247B5D" w:rsidRDefault="00247B5D" w:rsidP="00965812">
      <w:pPr>
        <w:pStyle w:val="Heading5"/>
      </w:pPr>
      <w:r>
        <w:t xml:space="preserve">Patient </w:t>
      </w:r>
      <w:r w:rsidRPr="00965812">
        <w:t>exposure</w:t>
      </w:r>
    </w:p>
    <w:p w14:paraId="286D186C" w14:textId="19E7AD91" w:rsidR="00247B5D" w:rsidRDefault="00247B5D" w:rsidP="00965812">
      <w:r>
        <w:t xml:space="preserve">The dossier included information on 670 patients who received at least one dose of </w:t>
      </w:r>
      <w:r w:rsidR="00BC5E19">
        <w:t>sebetralstat</w:t>
      </w:r>
      <w:r>
        <w:t xml:space="preserve">, of whom 213 were in the phase </w:t>
      </w:r>
      <w:r w:rsidR="00331ECA">
        <w:t>2</w:t>
      </w:r>
      <w:r>
        <w:t xml:space="preserve"> or </w:t>
      </w:r>
      <w:r w:rsidR="00331ECA">
        <w:t>3</w:t>
      </w:r>
      <w:r>
        <w:t xml:space="preserve"> program. Of these participations, 575 received a total of 1970 doses of </w:t>
      </w:r>
      <w:r w:rsidR="00EC25CB">
        <w:t>sebetralstat</w:t>
      </w:r>
      <w:r>
        <w:t xml:space="preserve"> </w:t>
      </w:r>
      <w:r w:rsidR="004B62BA">
        <w:t>≥</w:t>
      </w:r>
      <w:r>
        <w:t>300</w:t>
      </w:r>
      <w:r w:rsidR="006F2C87">
        <w:t xml:space="preserve"> </w:t>
      </w:r>
      <w:r>
        <w:t xml:space="preserve">mg and 537 received 1829 doses of </w:t>
      </w:r>
      <w:proofErr w:type="spellStart"/>
      <w:r w:rsidR="00EC25CB">
        <w:t>sebetralstat</w:t>
      </w:r>
      <w:proofErr w:type="spellEnd"/>
      <w:r>
        <w:t xml:space="preserve"> </w:t>
      </w:r>
      <w:r w:rsidR="004B62BA">
        <w:t>≥</w:t>
      </w:r>
      <w:r>
        <w:t>600</w:t>
      </w:r>
      <w:r w:rsidR="006F2C87">
        <w:t xml:space="preserve"> </w:t>
      </w:r>
      <w:r>
        <w:t>mg.</w:t>
      </w:r>
    </w:p>
    <w:p w14:paraId="40FEFBF5" w14:textId="4135E556" w:rsidR="00CB5933" w:rsidRDefault="00247B5D" w:rsidP="00965812">
      <w:pPr>
        <w:pStyle w:val="TableTitle"/>
      </w:pPr>
      <w:r w:rsidRPr="00247B5D">
        <w:lastRenderedPageBreak/>
        <w:t xml:space="preserve">Table </w:t>
      </w:r>
      <w:r w:rsidR="00166E89">
        <w:t>10.</w:t>
      </w:r>
      <w:r w:rsidRPr="00247B5D">
        <w:t xml:space="preserve"> Treatment emergent adverse events</w:t>
      </w:r>
      <w:r w:rsidR="00D821E9">
        <w:t>,</w:t>
      </w:r>
      <w:r w:rsidRPr="00247B5D">
        <w:t xml:space="preserve"> pivotal study </w:t>
      </w:r>
      <w:proofErr w:type="spellStart"/>
      <w:r w:rsidRPr="00965812">
        <w:t>KVD900</w:t>
      </w:r>
      <w:proofErr w:type="spellEnd"/>
      <w:r w:rsidRPr="00247B5D">
        <w:t>-301</w:t>
      </w:r>
    </w:p>
    <w:p w14:paraId="3619A791" w14:textId="0EE6AC8A" w:rsidR="00247B5D" w:rsidRDefault="00247B5D" w:rsidP="00965812">
      <w:r w:rsidRPr="00247B5D">
        <w:rPr>
          <w:noProof/>
        </w:rPr>
        <w:drawing>
          <wp:inline distT="0" distB="0" distL="0" distR="0" wp14:anchorId="4275E600" wp14:editId="03B83431">
            <wp:extent cx="5759450" cy="7017385"/>
            <wp:effectExtent l="0" t="0" r="0" b="0"/>
            <wp:docPr id="542192610" name="Picture 1" descr="Table 10. Treatment emergent adverse events, pivotal study KVD9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2610" name="Picture 1" descr="Table 10. Treatment emergent adverse events, pivotal study KVD900-301"/>
                    <pic:cNvPicPr/>
                  </pic:nvPicPr>
                  <pic:blipFill>
                    <a:blip r:embed="rId45"/>
                    <a:stretch>
                      <a:fillRect/>
                    </a:stretch>
                  </pic:blipFill>
                  <pic:spPr>
                    <a:xfrm>
                      <a:off x="0" y="0"/>
                      <a:ext cx="5759450" cy="7017385"/>
                    </a:xfrm>
                    <a:prstGeom prst="rect">
                      <a:avLst/>
                    </a:prstGeom>
                  </pic:spPr>
                </pic:pic>
              </a:graphicData>
            </a:graphic>
          </wp:inline>
        </w:drawing>
      </w:r>
    </w:p>
    <w:p w14:paraId="15128FBD" w14:textId="00B4B8BC" w:rsidR="00965812" w:rsidRDefault="00965812" w:rsidP="00965812">
      <w:pPr>
        <w:pStyle w:val="TableTitle"/>
      </w:pPr>
      <w:r w:rsidRPr="00247B5D">
        <w:lastRenderedPageBreak/>
        <w:t xml:space="preserve">Table </w:t>
      </w:r>
      <w:r>
        <w:t>10.</w:t>
      </w:r>
      <w:r w:rsidRPr="00247B5D">
        <w:t xml:space="preserve"> Treatment emergent adverse events</w:t>
      </w:r>
      <w:r>
        <w:t>,</w:t>
      </w:r>
      <w:r w:rsidRPr="00247B5D">
        <w:t xml:space="preserve"> pivotal study </w:t>
      </w:r>
      <w:proofErr w:type="spellStart"/>
      <w:r w:rsidRPr="00965812">
        <w:t>KVD900</w:t>
      </w:r>
      <w:proofErr w:type="spellEnd"/>
      <w:r w:rsidRPr="00247B5D">
        <w:t>-301</w:t>
      </w:r>
      <w:r>
        <w:t xml:space="preserve"> continued</w:t>
      </w:r>
    </w:p>
    <w:p w14:paraId="38847DC8" w14:textId="5D9DCA6D" w:rsidR="00247B5D" w:rsidRDefault="00247B5D" w:rsidP="00965812">
      <w:r w:rsidRPr="00247B5D">
        <w:rPr>
          <w:noProof/>
        </w:rPr>
        <w:drawing>
          <wp:inline distT="0" distB="0" distL="0" distR="0" wp14:anchorId="096BA572" wp14:editId="3C3244D7">
            <wp:extent cx="5759450" cy="4140835"/>
            <wp:effectExtent l="0" t="0" r="0" b="0"/>
            <wp:docPr id="1172047943" name="Picture 1" descr="Table 10. Treatment emergent adverse events, pivotal study KVD900-30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47943" name="Picture 1" descr="Table 10. Treatment emergent adverse events, pivotal study KVD900-301 continued"/>
                    <pic:cNvPicPr/>
                  </pic:nvPicPr>
                  <pic:blipFill>
                    <a:blip r:embed="rId46"/>
                    <a:stretch>
                      <a:fillRect/>
                    </a:stretch>
                  </pic:blipFill>
                  <pic:spPr>
                    <a:xfrm>
                      <a:off x="0" y="0"/>
                      <a:ext cx="5759450" cy="4140835"/>
                    </a:xfrm>
                    <a:prstGeom prst="rect">
                      <a:avLst/>
                    </a:prstGeom>
                  </pic:spPr>
                </pic:pic>
              </a:graphicData>
            </a:graphic>
          </wp:inline>
        </w:drawing>
      </w:r>
    </w:p>
    <w:p w14:paraId="4BD86E32" w14:textId="77777777" w:rsidR="00247B5D" w:rsidRDefault="00247B5D" w:rsidP="00965812">
      <w:pPr>
        <w:pStyle w:val="TableDescription"/>
      </w:pPr>
      <w:r>
        <w:t>Notes: At each level of patient summarization, a patient was counted once if the patient reported 1 or more events.</w:t>
      </w:r>
    </w:p>
    <w:p w14:paraId="3D94EA79" w14:textId="6F87C544" w:rsidR="00247B5D" w:rsidRDefault="00247B5D" w:rsidP="00965812">
      <w:pPr>
        <w:pStyle w:val="TableDescription"/>
      </w:pPr>
      <w:r>
        <w:t>n represents the number of patients at each level of summarization. N is number of patients randomized using a permuted block randomization method to ensure a balanced assignment to each of the 6 treatment sequences, to receive that received 300 mg KVD900, 600 mg KVD900, or matching placebo for the analyzed IMP-treated HAE attacks, according to the actual treatment received.</w:t>
      </w:r>
    </w:p>
    <w:p w14:paraId="4F1E24B0" w14:textId="2C4A686D" w:rsidR="00247B5D" w:rsidRDefault="00247B5D" w:rsidP="00965812">
      <w:pPr>
        <w:pStyle w:val="TableDescription"/>
      </w:pPr>
      <w:r>
        <w:t>[E] represents the number of events at each level of summarization.</w:t>
      </w:r>
    </w:p>
    <w:p w14:paraId="656CB1D9" w14:textId="563F110B" w:rsidR="00247B5D" w:rsidRDefault="00247B5D" w:rsidP="00965812">
      <w:pPr>
        <w:pStyle w:val="TableDescription"/>
      </w:pPr>
      <w:r>
        <w:t>Adverse events were coded using MedDRA, Version 26.0.</w:t>
      </w:r>
    </w:p>
    <w:p w14:paraId="073E4D6D" w14:textId="236C608A" w:rsidR="00D821E9" w:rsidRDefault="00D821E9" w:rsidP="00965812">
      <w:r>
        <w:t xml:space="preserve">Overall </w:t>
      </w:r>
      <w:r w:rsidR="00EC25CB">
        <w:t>sebetralstat</w:t>
      </w:r>
      <w:r>
        <w:t xml:space="preserve"> was well tolerated. The most common adverse event was headache, occurring in 1.2% of patients who received 300</w:t>
      </w:r>
      <w:r w:rsidR="006F2C87">
        <w:t xml:space="preserve"> </w:t>
      </w:r>
      <w:r>
        <w:t>mg and 4.</w:t>
      </w:r>
      <w:r w:rsidR="004F59DB">
        <w:t>3</w:t>
      </w:r>
      <w:r>
        <w:t>% of those who received 600</w:t>
      </w:r>
      <w:r w:rsidR="006F2C87">
        <w:t xml:space="preserve"> </w:t>
      </w:r>
      <w:r>
        <w:t xml:space="preserve">mg of </w:t>
      </w:r>
      <w:r w:rsidR="00BC5E19">
        <w:t>sebetralstat</w:t>
      </w:r>
      <w:r>
        <w:t>.</w:t>
      </w:r>
    </w:p>
    <w:p w14:paraId="272F306F" w14:textId="6692EF5E" w:rsidR="00247B5D" w:rsidRDefault="00D821E9" w:rsidP="00965812">
      <w:r>
        <w:t>No deaths occurred in the studies</w:t>
      </w:r>
      <w:r w:rsidR="00965812">
        <w:t>.</w:t>
      </w:r>
    </w:p>
    <w:p w14:paraId="4BEDDDE5" w14:textId="1C949BEB" w:rsidR="00D821E9" w:rsidRDefault="00D821E9" w:rsidP="00965812">
      <w:pPr>
        <w:pStyle w:val="TableTitle"/>
      </w:pPr>
      <w:r w:rsidRPr="00D821E9">
        <w:lastRenderedPageBreak/>
        <w:t>Table 1</w:t>
      </w:r>
      <w:r w:rsidR="00166E89">
        <w:t>1</w:t>
      </w:r>
      <w:r w:rsidRPr="00D821E9">
        <w:t xml:space="preserve">: Serious </w:t>
      </w:r>
      <w:r w:rsidRPr="00965812">
        <w:t>treatment</w:t>
      </w:r>
      <w:r w:rsidRPr="00D821E9">
        <w:t xml:space="preserve"> emergent adverse events in phase 2 and 3 trials</w:t>
      </w:r>
    </w:p>
    <w:p w14:paraId="776D9C1E" w14:textId="430B148C" w:rsidR="00D821E9" w:rsidRDefault="00D821E9" w:rsidP="00965812">
      <w:r>
        <w:rPr>
          <w:noProof/>
        </w:rPr>
        <w:drawing>
          <wp:inline distT="0" distB="0" distL="0" distR="0" wp14:anchorId="1B201D32" wp14:editId="5B27BD66">
            <wp:extent cx="5265251" cy="3634740"/>
            <wp:effectExtent l="0" t="0" r="0" b="3810"/>
            <wp:docPr id="56" name="Image 56" descr="Table 11: Serious treatment emergent adverse events in phase 2 and 3 tri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Table 11: Serious treatment emergent adverse events in phase 2 and 3 trials"/>
                    <pic:cNvPicPr/>
                  </pic:nvPicPr>
                  <pic:blipFill>
                    <a:blip r:embed="rId47" cstate="print">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5265251" cy="3634740"/>
                    </a:xfrm>
                    <a:prstGeom prst="rect">
                      <a:avLst/>
                    </a:prstGeom>
                  </pic:spPr>
                </pic:pic>
              </a:graphicData>
            </a:graphic>
          </wp:inline>
        </w:drawing>
      </w:r>
    </w:p>
    <w:p w14:paraId="354D3679" w14:textId="4A6A188A" w:rsidR="00D821E9" w:rsidRDefault="00D821E9" w:rsidP="00965812">
      <w:r>
        <w:t xml:space="preserve">Eight treatment emergent serious adverse events were reported in six patients in the clinical trial program. None of these occurred within 3 days of </w:t>
      </w:r>
      <w:r w:rsidR="00EC25CB">
        <w:t>sebetralstat</w:t>
      </w:r>
      <w:r>
        <w:t xml:space="preserve"> administration or were considered related to </w:t>
      </w:r>
      <w:r w:rsidR="00BC5E19">
        <w:t>sebetralstat</w:t>
      </w:r>
      <w:r>
        <w:t>.</w:t>
      </w:r>
    </w:p>
    <w:p w14:paraId="6E2FA2A3" w14:textId="77777777" w:rsidR="00D821E9" w:rsidRDefault="00D821E9" w:rsidP="00965812">
      <w:pPr>
        <w:pStyle w:val="Heading5"/>
      </w:pPr>
      <w:r>
        <w:t xml:space="preserve">Special </w:t>
      </w:r>
      <w:r w:rsidRPr="00965812">
        <w:t>populations</w:t>
      </w:r>
    </w:p>
    <w:p w14:paraId="347F2986" w14:textId="7B59FC72" w:rsidR="00D821E9" w:rsidRDefault="00D821E9" w:rsidP="00965812">
      <w:r>
        <w:t xml:space="preserve">There was no clinical data to inform the safety of </w:t>
      </w:r>
      <w:r w:rsidR="00EC25CB">
        <w:t>sebetralstat</w:t>
      </w:r>
      <w:r>
        <w:t xml:space="preserve"> in pregnant or lactating women.</w:t>
      </w:r>
    </w:p>
    <w:p w14:paraId="0D68B926" w14:textId="77777777" w:rsidR="00D821E9" w:rsidRDefault="00D821E9" w:rsidP="00965812">
      <w:r>
        <w:t>21 patients between the ages of 12 and 18 were enrolled in the phase III trials. No differences in the rates of adverse events were observed in this group.</w:t>
      </w:r>
    </w:p>
    <w:p w14:paraId="05939484" w14:textId="27AC54A4" w:rsidR="00D821E9" w:rsidRDefault="00D821E9" w:rsidP="00D821E9">
      <w:r>
        <w:t xml:space="preserve">10 patients </w:t>
      </w:r>
      <w:r w:rsidR="00DC0434">
        <w:t>≥</w:t>
      </w:r>
      <w:r>
        <w:t>65 years of age were enrolled in clinical trials. There was no specific safety signal identified in this group.</w:t>
      </w:r>
    </w:p>
    <w:p w14:paraId="4E5932E1" w14:textId="1090A285" w:rsidR="00D821E9" w:rsidRDefault="00D821E9" w:rsidP="00965812">
      <w:r>
        <w:t xml:space="preserve">No experience of </w:t>
      </w:r>
      <w:r w:rsidR="004F59DB">
        <w:t xml:space="preserve">overdose in </w:t>
      </w:r>
      <w:r w:rsidR="00EC25CB">
        <w:t>sebetralstat</w:t>
      </w:r>
      <w:r>
        <w:t xml:space="preserve"> was reported.</w:t>
      </w:r>
    </w:p>
    <w:p w14:paraId="2858B006" w14:textId="77777777" w:rsidR="00C22214" w:rsidRDefault="00C22214" w:rsidP="00965812">
      <w:pPr>
        <w:pStyle w:val="Heading3"/>
        <w:rPr>
          <w:lang w:eastAsia="en-AU"/>
        </w:rPr>
      </w:pPr>
      <w:bookmarkStart w:id="46" w:name="_Toc314842514"/>
      <w:bookmarkStart w:id="47" w:name="_Toc103679298"/>
      <w:bookmarkStart w:id="48" w:name="_Toc228878068"/>
      <w:r>
        <w:rPr>
          <w:lang w:eastAsia="en-AU"/>
        </w:rPr>
        <w:t xml:space="preserve">Risk management </w:t>
      </w:r>
      <w:r w:rsidRPr="00965812">
        <w:t>plan</w:t>
      </w:r>
      <w:bookmarkEnd w:id="46"/>
      <w:bookmarkEnd w:id="47"/>
      <w:bookmarkEnd w:id="48"/>
    </w:p>
    <w:p w14:paraId="1C32350F" w14:textId="5E41DAF8" w:rsidR="00D821E9" w:rsidRDefault="00D821E9" w:rsidP="00965812">
      <w:bookmarkStart w:id="49" w:name="_Toc247691531"/>
      <w:bookmarkStart w:id="50" w:name="_Toc314842515"/>
      <w:r w:rsidRPr="00D821E9">
        <w:t>Jace Pharma Pty Ltd has submitted EU-RMP version 1.0 (dated 21 June 2024; DLP 31 January 2024) and ASA version 1.0 (dated 27 September 2024) in support of this application.</w:t>
      </w:r>
      <w:r>
        <w:t xml:space="preserve"> </w:t>
      </w:r>
      <w:r w:rsidRPr="00D821E9">
        <w:t>Important identified risks</w:t>
      </w:r>
      <w:r>
        <w:t>, i</w:t>
      </w:r>
      <w:r w:rsidRPr="00D821E9">
        <w:t>mportant potential risks</w:t>
      </w:r>
      <w:r>
        <w:t xml:space="preserve"> and occurrences of m</w:t>
      </w:r>
      <w:r w:rsidRPr="00D821E9">
        <w:t>issing information</w:t>
      </w:r>
      <w:r>
        <w:t xml:space="preserve"> were not identified in this application.</w:t>
      </w:r>
    </w:p>
    <w:p w14:paraId="74A4F87F" w14:textId="77777777" w:rsidR="00C22214" w:rsidRDefault="00C22214" w:rsidP="00965812">
      <w:pPr>
        <w:pStyle w:val="Heading3"/>
      </w:pPr>
      <w:bookmarkStart w:id="51" w:name="_Toc103679299"/>
      <w:bookmarkStart w:id="52" w:name="_Toc228878069"/>
      <w:r>
        <w:t xml:space="preserve">Risk-benefit </w:t>
      </w:r>
      <w:r w:rsidRPr="00965812">
        <w:t>analysis</w:t>
      </w:r>
      <w:bookmarkEnd w:id="49"/>
      <w:bookmarkEnd w:id="50"/>
      <w:bookmarkEnd w:id="51"/>
      <w:bookmarkEnd w:id="52"/>
    </w:p>
    <w:p w14:paraId="10C27A36" w14:textId="1CB65F5E" w:rsidR="00383C6E" w:rsidRDefault="0055453F" w:rsidP="00965812">
      <w:r>
        <w:t>S</w:t>
      </w:r>
      <w:r w:rsidR="00EC25CB">
        <w:t>ebetralstat</w:t>
      </w:r>
      <w:r w:rsidR="00383C6E">
        <w:t xml:space="preserve"> is a new agent for the treatment of HAE that is taken when an attack occurs. The submitted data indicates that it provides a statistically significant improvement in the time to improvement of HAE attack symptoms when measured either on an ordinal symptom scale or by the time-to-use of standard medications. The median time to onset of symptom relief in the pivotal study KVD900-301 was under 2 hours for patients taking </w:t>
      </w:r>
      <w:r w:rsidR="00EC25CB">
        <w:t>sebetralstat</w:t>
      </w:r>
      <w:r w:rsidR="00383C6E">
        <w:t xml:space="preserve"> compared to over </w:t>
      </w:r>
      <w:r w:rsidR="00383C6E">
        <w:lastRenderedPageBreak/>
        <w:t xml:space="preserve">6 hours for placebo. The medicine appears to be well tolerated, with no significant treatment-related adverse events identified. Headache and gastrointestinal adverse events were the </w:t>
      </w:r>
      <w:proofErr w:type="gramStart"/>
      <w:r w:rsidR="00383C6E">
        <w:t>most commonly reported</w:t>
      </w:r>
      <w:proofErr w:type="gramEnd"/>
      <w:r w:rsidR="00383C6E">
        <w:t xml:space="preserve"> by patients taking </w:t>
      </w:r>
      <w:r w:rsidR="00BC5E19">
        <w:t>sebetralstat</w:t>
      </w:r>
      <w:r w:rsidR="00383C6E">
        <w:t>, but these occurred in a minority of patients and were generally of mild to moderate severity.</w:t>
      </w:r>
    </w:p>
    <w:p w14:paraId="0FD72809" w14:textId="0C47BF24" w:rsidR="00383C6E" w:rsidRDefault="00383C6E" w:rsidP="00965812">
      <w:r>
        <w:t>The Delegate notes that the proposed dosing is 300</w:t>
      </w:r>
      <w:r w:rsidR="006F2C87">
        <w:t xml:space="preserve"> </w:t>
      </w:r>
      <w:r>
        <w:t>mg at the onset of HAE symptoms with another 300</w:t>
      </w:r>
      <w:r w:rsidR="006F2C87">
        <w:t xml:space="preserve"> </w:t>
      </w:r>
      <w:r>
        <w:t>mg possible at an unspecified time thereafter. This is lower than the US FDA approved dosing which is 600</w:t>
      </w:r>
      <w:r w:rsidR="006F2C87">
        <w:t xml:space="preserve"> </w:t>
      </w:r>
      <w:r>
        <w:t>mg at onset and a further 600</w:t>
      </w:r>
      <w:r w:rsidR="006F2C87">
        <w:t xml:space="preserve"> </w:t>
      </w:r>
      <w:r>
        <w:t>mg at least 3 hours thereafter if needed. Although doses up to 1200</w:t>
      </w:r>
      <w:r w:rsidR="006F2C87">
        <w:t xml:space="preserve"> </w:t>
      </w:r>
      <w:r>
        <w:t xml:space="preserve">mg were examined in the dose-ranging studies, </w:t>
      </w:r>
      <w:proofErr w:type="gramStart"/>
      <w:r>
        <w:t>the majority of</w:t>
      </w:r>
      <w:proofErr w:type="gramEnd"/>
      <w:r>
        <w:t xml:space="preserve"> the clinical evidence was in 300</w:t>
      </w:r>
      <w:r w:rsidR="006F2C87">
        <w:t xml:space="preserve"> </w:t>
      </w:r>
      <w:r>
        <w:t>mg-600</w:t>
      </w:r>
      <w:r w:rsidR="006F2C87">
        <w:t xml:space="preserve"> </w:t>
      </w:r>
      <w:r>
        <w:t>mg doses.</w:t>
      </w:r>
    </w:p>
    <w:p w14:paraId="4C27A082" w14:textId="08A01CCC" w:rsidR="00383C6E" w:rsidRDefault="00383C6E" w:rsidP="00965812">
      <w:r>
        <w:t>The Delegate notes that in study KVD900-301 the median time to symptom relief was 1.61 hours (95% CI 1.28-2.27) for the 300</w:t>
      </w:r>
      <w:r w:rsidR="006F2C87">
        <w:t xml:space="preserve"> </w:t>
      </w:r>
      <w:r>
        <w:t>mg dose and 1.79 hours (95%CI 1.33-2.27) for the 600</w:t>
      </w:r>
      <w:r w:rsidR="006F2C87">
        <w:t xml:space="preserve"> </w:t>
      </w:r>
      <w:r>
        <w:t xml:space="preserve">mg dose and so there does not appear to be any significant advantage to the higher dose. </w:t>
      </w:r>
      <w:proofErr w:type="gramStart"/>
      <w:r>
        <w:t>The majority of</w:t>
      </w:r>
      <w:proofErr w:type="gramEnd"/>
      <w:r>
        <w:t xml:space="preserve"> attacks, 66.3%, were resolved with a single 300</w:t>
      </w:r>
      <w:r w:rsidR="006F2C87">
        <w:t xml:space="preserve"> </w:t>
      </w:r>
      <w:r>
        <w:t>mg dose, compared to 77.1% with the 600</w:t>
      </w:r>
      <w:r w:rsidR="006F2C87">
        <w:t xml:space="preserve"> </w:t>
      </w:r>
      <w:r>
        <w:t>mg dose. The open-label study KVD900-302 suggested that only 11.9% of patients (2.8% of attacks) required 3 doses. Nevertheless, in patients who required two doses this seemed to be consistent over subsequent attacks.</w:t>
      </w:r>
    </w:p>
    <w:p w14:paraId="274580C2" w14:textId="0F2C0229" w:rsidR="00383C6E" w:rsidRDefault="00EB2BEB" w:rsidP="00965812">
      <w:r>
        <w:t>Therefore,</w:t>
      </w:r>
      <w:r w:rsidR="00383C6E">
        <w:t xml:space="preserve"> the Delegate has concluded that the data supports the proposed dosing of 300</w:t>
      </w:r>
      <w:r w:rsidR="006F2C87">
        <w:t xml:space="preserve"> </w:t>
      </w:r>
      <w:r w:rsidR="00383C6E">
        <w:t>mg to 600</w:t>
      </w:r>
      <w:r w:rsidR="006F2C87">
        <w:t xml:space="preserve"> </w:t>
      </w:r>
      <w:r w:rsidR="00383C6E">
        <w:t>mg, although a minimum time-interval between doses should be specified.</w:t>
      </w:r>
    </w:p>
    <w:p w14:paraId="30694AAD" w14:textId="77777777" w:rsidR="00383C6E" w:rsidRDefault="00383C6E" w:rsidP="00965812">
      <w:r>
        <w:t>The proposed indication:</w:t>
      </w:r>
    </w:p>
    <w:p w14:paraId="52628B2A" w14:textId="77777777" w:rsidR="00383C6E" w:rsidRPr="00965812" w:rsidRDefault="00383C6E" w:rsidP="00965812">
      <w:pPr>
        <w:ind w:left="720"/>
        <w:rPr>
          <w:i/>
          <w:iCs/>
        </w:rPr>
      </w:pPr>
      <w:r w:rsidRPr="00965812">
        <w:rPr>
          <w:i/>
          <w:iCs/>
        </w:rPr>
        <w:t>Ekterly is indicated for the treatment of hereditary angioedema (HAE) attacks in adult and adolescents aged 12 years and older.</w:t>
      </w:r>
    </w:p>
    <w:p w14:paraId="2F1134B8" w14:textId="728F7670" w:rsidR="00965812" w:rsidRDefault="00965812" w:rsidP="00965812">
      <w:r>
        <w:t>does not specify type I or type II HAE. The Delegate notes that this stipulation is found in most other medications for HAE registered in Australia either explicitly or by reference to ‘</w:t>
      </w:r>
      <w:proofErr w:type="spellStart"/>
      <w:r>
        <w:t>C1</w:t>
      </w:r>
      <w:proofErr w:type="spellEnd"/>
      <w:r>
        <w:t xml:space="preserve">-inhibitor deficiency’. The submitted studies in </w:t>
      </w:r>
      <w:proofErr w:type="spellStart"/>
      <w:r>
        <w:t>sebetralstat</w:t>
      </w:r>
      <w:proofErr w:type="spellEnd"/>
      <w:r>
        <w:t xml:space="preserve"> specifically excluded HAE without </w:t>
      </w:r>
      <w:proofErr w:type="spellStart"/>
      <w:r>
        <w:t>C1</w:t>
      </w:r>
      <w:proofErr w:type="spellEnd"/>
      <w:r>
        <w:t xml:space="preserve"> inhibitor deficiency or dysfunction, formerly known as type III HAE, and the Delegate has concluded that this should be specified in the indication for clarity.</w:t>
      </w:r>
    </w:p>
    <w:p w14:paraId="46C9A150" w14:textId="422050AF" w:rsidR="00383C6E" w:rsidRPr="00383C6E" w:rsidRDefault="0012548D" w:rsidP="00965812">
      <w:r w:rsidRPr="005E0F1F">
        <w:t xml:space="preserve">The Delegate notes that there is no placebo controlled clinical data on the use of </w:t>
      </w:r>
      <w:r w:rsidR="00C602E7">
        <w:t>s</w:t>
      </w:r>
      <w:r w:rsidRPr="005E0F1F">
        <w:t>ebetralstat in patients with severe laryngeal HAE attacks as these patients were excluded from the clinical trials, however open label data for all severities supports inclusion in the label</w:t>
      </w:r>
      <w:r>
        <w:t>.</w:t>
      </w:r>
      <w:r w:rsidR="00383C6E" w:rsidDel="0012548D">
        <w:t xml:space="preserve"> </w:t>
      </w:r>
      <w:r w:rsidR="00383C6E">
        <w:t xml:space="preserve">Airways compromise is a medical emergency and so the Delegate concurs with the </w:t>
      </w:r>
      <w:r w:rsidR="0055453F">
        <w:t>Clinical Evaluator</w:t>
      </w:r>
      <w:r w:rsidR="00383C6E">
        <w:t xml:space="preserve"> recommendation that specific advice be </w:t>
      </w:r>
      <w:proofErr w:type="gramStart"/>
      <w:r w:rsidR="00383C6E">
        <w:t>provided that</w:t>
      </w:r>
      <w:proofErr w:type="gramEnd"/>
      <w:r w:rsidR="00383C6E">
        <w:t xml:space="preserve"> patients seek urgent medical attention after taking </w:t>
      </w:r>
      <w:r w:rsidR="00BC5E19">
        <w:t>sebetralstat</w:t>
      </w:r>
      <w:r w:rsidR="00383C6E">
        <w:t>.</w:t>
      </w:r>
    </w:p>
    <w:p w14:paraId="307F236C" w14:textId="7FD19BD3" w:rsidR="00C22214" w:rsidRPr="002E238E" w:rsidRDefault="0046285C" w:rsidP="00767C53">
      <w:pPr>
        <w:pStyle w:val="Heading2"/>
      </w:pPr>
      <w:bookmarkStart w:id="53" w:name="_Toc247691532"/>
      <w:bookmarkStart w:id="54" w:name="_Toc314842516"/>
      <w:bookmarkStart w:id="55" w:name="_Toc103679300"/>
      <w:bookmarkStart w:id="56" w:name="_Toc228878070"/>
      <w:r w:rsidRPr="00965812">
        <w:t>Assessment</w:t>
      </w:r>
      <w:r w:rsidR="00190853">
        <w:t xml:space="preserve"> </w:t>
      </w:r>
      <w:r w:rsidRPr="00767C53">
        <w:t>o</w:t>
      </w:r>
      <w:r w:rsidR="00C22214" w:rsidRPr="00767C53">
        <w:t>utcome</w:t>
      </w:r>
      <w:bookmarkEnd w:id="53"/>
      <w:bookmarkEnd w:id="54"/>
      <w:bookmarkEnd w:id="55"/>
      <w:bookmarkEnd w:id="56"/>
    </w:p>
    <w:p w14:paraId="4EF22939" w14:textId="53F3FE85" w:rsidR="00C22214" w:rsidRPr="0017005C" w:rsidRDefault="00C22214" w:rsidP="00965812">
      <w:r w:rsidRPr="0017005C">
        <w:t xml:space="preserve">Based on a review of quality, safety, and efficacy, the TGA </w:t>
      </w:r>
      <w:r w:rsidR="00B46DFB">
        <w:t>decided to</w:t>
      </w:r>
      <w:r w:rsidRPr="0017005C">
        <w:t xml:space="preserve"> regist</w:t>
      </w:r>
      <w:r w:rsidR="00B46DFB">
        <w:t>er</w:t>
      </w:r>
      <w:r w:rsidRPr="0017005C">
        <w:t xml:space="preserve"> </w:t>
      </w:r>
      <w:r w:rsidR="00383C6E" w:rsidRPr="00383C6E">
        <w:t xml:space="preserve">Ekterly </w:t>
      </w:r>
      <w:r w:rsidRPr="0017005C">
        <w:t>(</w:t>
      </w:r>
      <w:r w:rsidR="00EC25CB">
        <w:t>sebetralstat</w:t>
      </w:r>
      <w:r w:rsidR="00383C6E">
        <w:t>)</w:t>
      </w:r>
      <w:r w:rsidR="00383C6E" w:rsidRPr="00383C6E">
        <w:t xml:space="preserve"> </w:t>
      </w:r>
      <w:r w:rsidRPr="0017005C">
        <w:t>for the following indication:</w:t>
      </w:r>
    </w:p>
    <w:p w14:paraId="26EAD491" w14:textId="0F6E3130" w:rsidR="00A93DC6" w:rsidRPr="00767C53" w:rsidRDefault="00383C6E" w:rsidP="00767C53">
      <w:pPr>
        <w:ind w:left="720"/>
        <w:rPr>
          <w:i/>
          <w:iCs/>
        </w:rPr>
      </w:pPr>
      <w:r w:rsidRPr="00767C53">
        <w:rPr>
          <w:i/>
          <w:iCs/>
        </w:rPr>
        <w:t>Ekterly is indicated for the treatment of hereditary angioedema (HAE) attacks caused by C1 inhibitor deficiency or dysfunction in patients aged 12 years and older.</w:t>
      </w:r>
    </w:p>
    <w:p w14:paraId="0D732DA4" w14:textId="57A9FEF2" w:rsidR="00854D98" w:rsidRDefault="00854D98" w:rsidP="00767C53">
      <w:pPr>
        <w:pStyle w:val="Heading3"/>
      </w:pPr>
      <w:bookmarkStart w:id="57" w:name="_Toc103679301"/>
      <w:bookmarkStart w:id="58" w:name="_Toc228878071"/>
      <w:r w:rsidRPr="00D23139">
        <w:t xml:space="preserve">Specific conditions of </w:t>
      </w:r>
      <w:r w:rsidRPr="00767C53">
        <w:t>registration</w:t>
      </w:r>
      <w:bookmarkEnd w:id="57"/>
      <w:bookmarkEnd w:id="58"/>
    </w:p>
    <w:p w14:paraId="1BED9960" w14:textId="111375CA" w:rsidR="00383C6E" w:rsidRDefault="00383C6E" w:rsidP="00767C53">
      <w:r>
        <w:t>Ekterly (</w:t>
      </w:r>
      <w:r w:rsidR="00EC25CB">
        <w:t>sebetralstat</w:t>
      </w:r>
      <w:r>
        <w:t>) is to be included in the Black Triangle Scheme. The PI and CMI for Ekterly must include the black triangle symbol and mandatory accompanying text for five years, which starts from the date of first supply of the product.</w:t>
      </w:r>
    </w:p>
    <w:p w14:paraId="77ABEDE2" w14:textId="0FD8ADF2" w:rsidR="00383C6E" w:rsidRDefault="00383C6E" w:rsidP="00767C53">
      <w:r>
        <w:lastRenderedPageBreak/>
        <w:t>The Ekterly EU-RMP (version 1.1, dated 10 March 2025, data lock point 31 January 2024), with Australia-Specific Annex (version 1.1, dated 1 April 2025), included with submission PM-2024-04190-1-2, and any subsequent revisions, as agreed with the TGA will be implemented in Australia.</w:t>
      </w:r>
    </w:p>
    <w:p w14:paraId="23B0A3A0" w14:textId="7B7AAC73" w:rsidR="00383C6E" w:rsidRDefault="00383C6E" w:rsidP="00767C53">
      <w:r>
        <w:t>An obligatory component of risk management plans is routine pharmacovigilance. Routine pharmacovigilance includes the submission of periodic safety update reports (PSURs).</w:t>
      </w:r>
    </w:p>
    <w:p w14:paraId="700DE37B" w14:textId="4E62D72F" w:rsidR="00383C6E" w:rsidRDefault="00383C6E" w:rsidP="00767C53">
      <w: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w:t>
      </w:r>
      <w:r w:rsidR="009F359E">
        <w:t>Sponsor</w:t>
      </w:r>
      <w:r>
        <w:t xml:space="preserve"> wishes, the </w:t>
      </w:r>
      <w:proofErr w:type="gramStart"/>
      <w:r>
        <w:t>six monthly</w:t>
      </w:r>
      <w:proofErr w:type="gramEnd"/>
      <w:r>
        <w:t xml:space="preserve"> reports may be submitted separately as they become available.</w:t>
      </w:r>
    </w:p>
    <w:p w14:paraId="3563EA21" w14:textId="77777777" w:rsidR="00383C6E" w:rsidRDefault="00383C6E" w:rsidP="00767C53">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09C123F1" w14:textId="5AF9E42D" w:rsidR="00383C6E" w:rsidRPr="00383C6E" w:rsidRDefault="00383C6E" w:rsidP="00767C53">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0F9C1952" w14:textId="0383174C" w:rsidR="00BA657C" w:rsidRPr="00BA657C" w:rsidRDefault="00BA657C" w:rsidP="00767C53">
      <w:pPr>
        <w:pStyle w:val="Heading3"/>
      </w:pPr>
      <w:bookmarkStart w:id="59" w:name="_Toc196738290"/>
      <w:bookmarkStart w:id="60" w:name="_Toc228878072"/>
      <w:r w:rsidRPr="00BA657C">
        <w:t>Product Information and Consumer Medicine Information</w:t>
      </w:r>
      <w:bookmarkEnd w:id="59"/>
      <w:bookmarkEnd w:id="60"/>
    </w:p>
    <w:p w14:paraId="5F276616" w14:textId="6667B73D" w:rsidR="004D0933" w:rsidRPr="004D0933" w:rsidRDefault="004D0933" w:rsidP="00767C53">
      <w:bookmarkStart w:id="61" w:name="_Hlk200021736"/>
      <w:r w:rsidRPr="004D0933">
        <w:t xml:space="preserve">For the most recent Product Information (PI) and Consumer Medicine Information (CMI), please refer to the TGA </w:t>
      </w:r>
      <w:hyperlink r:id="rId49" w:history="1">
        <w:r w:rsidRPr="004D0933">
          <w:rPr>
            <w:rStyle w:val="Hyperlink"/>
          </w:rPr>
          <w:t>PI/CMI search facility.</w:t>
        </w:r>
      </w:hyperlink>
    </w:p>
    <w:bookmarkEnd w:id="61"/>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0"/>
          <w:footerReference w:type="default" r:id="rId5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2"/>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2"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F02AEC">
            <w:pPr>
              <w:pStyle w:val="Address"/>
              <w:jc w:val="center"/>
              <w:rPr>
                <w:rStyle w:val="Hyperlink"/>
                <w:b/>
                <w:color w:val="auto"/>
                <w:sz w:val="22"/>
              </w:rPr>
            </w:pPr>
            <w:hyperlink r:id="rId53" w:history="1">
              <w:r w:rsidRPr="00C4721A">
                <w:rPr>
                  <w:rStyle w:val="Hyperlink"/>
                  <w:b/>
                </w:rPr>
                <w:t>https://www.tga.gov.au</w:t>
              </w:r>
            </w:hyperlink>
          </w:p>
        </w:tc>
      </w:tr>
    </w:tbl>
    <w:p w14:paraId="788B80FD" w14:textId="77777777" w:rsidR="007452E8" w:rsidRDefault="007452E8"/>
    <w:sectPr w:rsidR="007452E8" w:rsidSect="007452E8">
      <w:headerReference w:type="first" r:id="rId54"/>
      <w:footerReference w:type="first" r:id="rId5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6A44F" w14:textId="77777777" w:rsidR="0054281B" w:rsidRDefault="0054281B" w:rsidP="00F02AEC">
      <w:pPr>
        <w:spacing w:after="0" w:line="240" w:lineRule="auto"/>
      </w:pPr>
      <w:r>
        <w:separator/>
      </w:r>
    </w:p>
  </w:endnote>
  <w:endnote w:type="continuationSeparator" w:id="0">
    <w:p w14:paraId="37BE6FD0" w14:textId="77777777" w:rsidR="0054281B" w:rsidRDefault="0054281B"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E20" w14:textId="32DF121F" w:rsidR="007E4FF8" w:rsidRDefault="007E4FF8">
    <w:pPr>
      <w:pStyle w:val="Footer"/>
    </w:pPr>
    <w:r>
      <w:rPr>
        <w:noProof/>
      </w:rPr>
      <mc:AlternateContent>
        <mc:Choice Requires="wps">
          <w:drawing>
            <wp:anchor distT="0" distB="0" distL="0" distR="0" simplePos="0" relativeHeight="251658247" behindDoc="0" locked="0" layoutInCell="1" allowOverlap="1" wp14:anchorId="32C7110B" wp14:editId="569C8F27">
              <wp:simplePos x="635" y="635"/>
              <wp:positionH relativeFrom="page">
                <wp:align>center</wp:align>
              </wp:positionH>
              <wp:positionV relativeFrom="page">
                <wp:align>bottom</wp:align>
              </wp:positionV>
              <wp:extent cx="622300" cy="391160"/>
              <wp:effectExtent l="0" t="0" r="6350" b="0"/>
              <wp:wrapNone/>
              <wp:docPr id="17743684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7110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DAC4767" w:rsidR="007452E8" w:rsidRDefault="007E4FF8" w:rsidP="007452E8">
          <w:pPr>
            <w:pStyle w:val="Footer"/>
          </w:pPr>
          <w:r>
            <w:rPr>
              <w:noProof/>
            </w:rPr>
            <mc:AlternateContent>
              <mc:Choice Requires="wps">
                <w:drawing>
                  <wp:anchor distT="0" distB="0" distL="0" distR="0" simplePos="0" relativeHeight="251658248" behindDoc="0" locked="0" layoutInCell="1" allowOverlap="1" wp14:anchorId="553C4243" wp14:editId="46704321">
                    <wp:simplePos x="635" y="635"/>
                    <wp:positionH relativeFrom="page">
                      <wp:align>center</wp:align>
                    </wp:positionH>
                    <wp:positionV relativeFrom="page">
                      <wp:align>bottom</wp:align>
                    </wp:positionV>
                    <wp:extent cx="622300" cy="391160"/>
                    <wp:effectExtent l="0" t="0" r="6350" b="0"/>
                    <wp:wrapNone/>
                    <wp:docPr id="9730109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C424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proofErr w:type="spellStart"/>
          <w:r w:rsidRPr="00257138">
            <w:t>V1.0</w:t>
          </w:r>
          <w:proofErr w:type="spellEnd"/>
          <w:r w:rsidRPr="00257138">
            <w:t xml:space="preserve">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66C74AA" w:rsidR="007452E8" w:rsidRDefault="007E4FF8" w:rsidP="007452E8">
    <w:pPr>
      <w:pStyle w:val="Footer"/>
      <w:ind w:left="-1701"/>
    </w:pPr>
    <w:r>
      <w:rPr>
        <w:noProof/>
      </w:rPr>
      <mc:AlternateContent>
        <mc:Choice Requires="wps">
          <w:drawing>
            <wp:anchor distT="0" distB="0" distL="0" distR="0" simplePos="0" relativeHeight="251658246" behindDoc="0" locked="0" layoutInCell="1" allowOverlap="1" wp14:anchorId="39C48635" wp14:editId="0BB44853">
              <wp:simplePos x="635" y="635"/>
              <wp:positionH relativeFrom="page">
                <wp:align>center</wp:align>
              </wp:positionH>
              <wp:positionV relativeFrom="page">
                <wp:align>bottom</wp:align>
              </wp:positionV>
              <wp:extent cx="622300" cy="391160"/>
              <wp:effectExtent l="0" t="0" r="6350" b="0"/>
              <wp:wrapNone/>
              <wp:docPr id="3892818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48635"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5D6BC8E" w:rsidR="007452E8" w:rsidRPr="007239D9" w:rsidRDefault="007452E8" w:rsidP="007452E8">
          <w:pPr>
            <w:pStyle w:val="Footer"/>
          </w:pPr>
          <w:proofErr w:type="spellStart"/>
          <w:r w:rsidRPr="007239D9">
            <w:t>AusPAR</w:t>
          </w:r>
          <w:proofErr w:type="spellEnd"/>
          <w:r w:rsidRPr="007239D9">
            <w:t xml:space="preserve"> - </w:t>
          </w:r>
          <w:proofErr w:type="spellStart"/>
          <w:r w:rsidR="004C4FB0" w:rsidRPr="007239D9">
            <w:t>Ekterly</w:t>
          </w:r>
          <w:proofErr w:type="spellEnd"/>
          <w:r w:rsidR="004C4FB0" w:rsidRPr="007239D9">
            <w:t xml:space="preserve"> </w:t>
          </w:r>
          <w:r w:rsidRPr="007239D9">
            <w:t xml:space="preserve">- </w:t>
          </w:r>
          <w:proofErr w:type="spellStart"/>
          <w:r w:rsidR="004C4FB0" w:rsidRPr="007239D9">
            <w:t>sebetralstat</w:t>
          </w:r>
          <w:proofErr w:type="spellEnd"/>
          <w:r w:rsidR="004C4FB0" w:rsidRPr="007239D9">
            <w:t xml:space="preserve"> </w:t>
          </w:r>
          <w:r w:rsidR="008C754C" w:rsidRPr="007239D9">
            <w:t>-</w:t>
          </w:r>
          <w:r w:rsidRPr="007239D9">
            <w:t xml:space="preserve"> </w:t>
          </w:r>
          <w:r w:rsidR="004C4FB0" w:rsidRPr="007239D9">
            <w:t xml:space="preserve">JACE Pharma Pty Ltd </w:t>
          </w:r>
          <w:r w:rsidRPr="007239D9">
            <w:t xml:space="preserve">- </w:t>
          </w:r>
          <w:r w:rsidR="004C4FB0" w:rsidRPr="007239D9">
            <w:t>PM-2024-04190-1-2</w:t>
          </w:r>
          <w:r w:rsidRPr="007239D9">
            <w:br/>
            <w:t>Date of Finalisation</w:t>
          </w:r>
          <w:r w:rsidR="007239D9" w:rsidRPr="007239D9">
            <w:t>: 23 April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7239D9">
                <w:t xml:space="preserve">Page </w:t>
              </w:r>
              <w:r w:rsidRPr="007239D9">
                <w:fldChar w:fldCharType="begin"/>
              </w:r>
              <w:r w:rsidRPr="007239D9">
                <w:instrText xml:space="preserve"> PAGE </w:instrText>
              </w:r>
              <w:r w:rsidRPr="007239D9">
                <w:fldChar w:fldCharType="separate"/>
              </w:r>
              <w:r w:rsidR="006D6B44" w:rsidRPr="007239D9">
                <w:rPr>
                  <w:noProof/>
                </w:rPr>
                <w:t>13</w:t>
              </w:r>
              <w:r w:rsidRPr="007239D9">
                <w:rPr>
                  <w:noProof/>
                </w:rPr>
                <w:fldChar w:fldCharType="end"/>
              </w:r>
              <w:r w:rsidRPr="007239D9">
                <w:t xml:space="preserve"> of </w:t>
              </w:r>
              <w:r w:rsidR="006D6B44" w:rsidRPr="007239D9">
                <w:fldChar w:fldCharType="begin"/>
              </w:r>
              <w:r w:rsidR="006D6B44" w:rsidRPr="007239D9">
                <w:instrText xml:space="preserve"> NUMPAGES  </w:instrText>
              </w:r>
              <w:r w:rsidR="006D6B44" w:rsidRPr="007239D9">
                <w:fldChar w:fldCharType="separate"/>
              </w:r>
              <w:r w:rsidR="006D6B44" w:rsidRPr="007239D9">
                <w:rPr>
                  <w:noProof/>
                </w:rPr>
                <w:t>17</w:t>
              </w:r>
              <w:r w:rsidR="006D6B44" w:rsidRPr="007239D9">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045BC3" w:rsidR="007452E8" w:rsidRPr="008E3C43" w:rsidRDefault="007E4FF8" w:rsidP="007452E8">
    <w:pPr>
      <w:pStyle w:val="Footer"/>
    </w:pPr>
    <w:r>
      <w:rPr>
        <w:noProof/>
      </w:rPr>
      <mc:AlternateContent>
        <mc:Choice Requires="wps">
          <w:drawing>
            <wp:anchor distT="0" distB="0" distL="0" distR="0" simplePos="0" relativeHeight="251658250" behindDoc="0" locked="0" layoutInCell="1" allowOverlap="1" wp14:anchorId="104118EA" wp14:editId="6897F4AA">
              <wp:simplePos x="635" y="635"/>
              <wp:positionH relativeFrom="page">
                <wp:align>center</wp:align>
              </wp:positionH>
              <wp:positionV relativeFrom="page">
                <wp:align>bottom</wp:align>
              </wp:positionV>
              <wp:extent cx="622300" cy="391160"/>
              <wp:effectExtent l="0" t="0" r="6350" b="0"/>
              <wp:wrapNone/>
              <wp:docPr id="9097008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18EA" id="_x0000_t202" coordsize="21600,21600" o:spt="202" path="m,l,21600r21600,l21600,xe">
              <v:stroke joinstyle="miter"/>
              <v:path gradientshapeok="t" o:connecttype="rect"/>
            </v:shapetype>
            <v:shape id="Text Box 10" o:spid="_x0000_s1032"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F701D" w14:textId="77777777" w:rsidR="0054281B" w:rsidRDefault="0054281B" w:rsidP="00F02AEC">
      <w:pPr>
        <w:spacing w:after="0" w:line="240" w:lineRule="auto"/>
      </w:pPr>
      <w:r>
        <w:separator/>
      </w:r>
    </w:p>
  </w:footnote>
  <w:footnote w:type="continuationSeparator" w:id="0">
    <w:p w14:paraId="05D3A7C1" w14:textId="77777777" w:rsidR="0054281B" w:rsidRDefault="0054281B" w:rsidP="00F02AEC">
      <w:pPr>
        <w:spacing w:after="0" w:line="240" w:lineRule="auto"/>
      </w:pPr>
      <w:r>
        <w:continuationSeparator/>
      </w:r>
    </w:p>
  </w:footnote>
  <w:footnote w:id="1">
    <w:p w14:paraId="68402A9B" w14:textId="10F2C449"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9F359E">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5A49BAAD" w14:textId="2E821500" w:rsidR="00EE6F42" w:rsidRDefault="00EE6F42">
      <w:pPr>
        <w:pStyle w:val="FootnoteText"/>
      </w:pPr>
      <w:r>
        <w:rPr>
          <w:rStyle w:val="FootnoteReference"/>
        </w:rPr>
        <w:footnoteRef/>
      </w:r>
      <w:r>
        <w:t xml:space="preserve"> </w:t>
      </w:r>
      <w:r w:rsidRPr="00EE6F42">
        <w:t xml:space="preserve">ICH Q11 </w:t>
      </w:r>
      <w:hyperlink r:id="rId1" w:history="1">
        <w:r w:rsidRPr="000B1D26">
          <w:rPr>
            <w:rStyle w:val="Hyperlink"/>
          </w:rPr>
          <w:t>Development and manufacture of drug substances (chemical entities and biotechnological/biological entities) - Scientific guideline</w:t>
        </w:r>
      </w:hyperlink>
      <w:r>
        <w:t xml:space="preserve">. </w:t>
      </w:r>
    </w:p>
  </w:footnote>
  <w:footnote w:id="3">
    <w:p w14:paraId="30040481" w14:textId="6D6220A8" w:rsidR="00DF302A" w:rsidRDefault="00DF302A">
      <w:pPr>
        <w:pStyle w:val="FootnoteText"/>
      </w:pPr>
      <w:r>
        <w:rPr>
          <w:rStyle w:val="FootnoteReference"/>
        </w:rPr>
        <w:footnoteRef/>
      </w:r>
      <w:r>
        <w:t xml:space="preserve"> </w:t>
      </w:r>
      <w:hyperlink r:id="rId2" w:history="1">
        <w:r w:rsidR="007D765C" w:rsidRPr="007D765C">
          <w:rPr>
            <w:rStyle w:val="Hyperlink"/>
          </w:rPr>
          <w:t>ICH M7 Assessment and control of DNA reactive (mutagenic) impurities in pharmaceuticals to limit potential carcinogenic risk - Scientific guideline</w:t>
        </w:r>
      </w:hyperlink>
    </w:p>
  </w:footnote>
  <w:footnote w:id="4">
    <w:p w14:paraId="5CB79E62" w14:textId="67EBD763" w:rsidR="002E735D" w:rsidRDefault="002E735D">
      <w:pPr>
        <w:pStyle w:val="FootnoteText"/>
      </w:pPr>
      <w:r>
        <w:rPr>
          <w:rStyle w:val="FootnoteReference"/>
        </w:rPr>
        <w:footnoteRef/>
      </w:r>
      <w:r>
        <w:t xml:space="preserve"> </w:t>
      </w:r>
      <w:hyperlink r:id="rId3" w:history="1">
        <w:r w:rsidRPr="00C86560">
          <w:rPr>
            <w:rStyle w:val="Hyperlink"/>
          </w:rPr>
          <w:t>ICH Q3C (R9) Residual solvents - Scientific guideline</w:t>
        </w:r>
      </w:hyperlink>
    </w:p>
  </w:footnote>
  <w:footnote w:id="5">
    <w:p w14:paraId="6A76DEB0" w14:textId="13355F05" w:rsidR="00713746" w:rsidRDefault="00713746">
      <w:pPr>
        <w:pStyle w:val="FootnoteText"/>
      </w:pPr>
      <w:r>
        <w:rPr>
          <w:rStyle w:val="FootnoteReference"/>
        </w:rPr>
        <w:footnoteRef/>
      </w:r>
      <w:r>
        <w:t xml:space="preserve"> </w:t>
      </w:r>
      <w:hyperlink r:id="rId4" w:history="1">
        <w:r w:rsidR="008A0DB4" w:rsidRPr="00677A1D">
          <w:rPr>
            <w:rStyle w:val="Hyperlink"/>
          </w:rPr>
          <w:t>ICH M3 (R2) Non-clinical safety studies for the conduct of human clinical trials for pharmaceuticals - Scientific guideline</w:t>
        </w:r>
      </w:hyperlink>
      <w:r w:rsidR="008A0DB4" w:rsidRPr="00677A1D">
        <w:t>.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FCB3" w14:textId="093B1D27" w:rsidR="007E4FF8" w:rsidRDefault="007E4FF8">
    <w:pPr>
      <w:pStyle w:val="Header"/>
    </w:pPr>
    <w:r>
      <w:rPr>
        <w:noProof/>
      </w:rPr>
      <mc:AlternateContent>
        <mc:Choice Requires="wps">
          <w:drawing>
            <wp:anchor distT="0" distB="0" distL="0" distR="0" simplePos="0" relativeHeight="251658242" behindDoc="0" locked="0" layoutInCell="1" allowOverlap="1" wp14:anchorId="3BDA164B" wp14:editId="743987F4">
              <wp:simplePos x="635" y="635"/>
              <wp:positionH relativeFrom="page">
                <wp:align>center</wp:align>
              </wp:positionH>
              <wp:positionV relativeFrom="page">
                <wp:align>top</wp:align>
              </wp:positionV>
              <wp:extent cx="622300" cy="391160"/>
              <wp:effectExtent l="0" t="0" r="6350" b="8890"/>
              <wp:wrapNone/>
              <wp:docPr id="784331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A164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95EEAE9" w:rsidR="007452E8" w:rsidRPr="00CB0550" w:rsidRDefault="007E4FF8" w:rsidP="00CB0550">
    <w:pPr>
      <w:pStyle w:val="Header"/>
      <w:jc w:val="left"/>
    </w:pPr>
    <w:r>
      <w:rPr>
        <w:noProof/>
      </w:rPr>
      <mc:AlternateContent>
        <mc:Choice Requires="wps">
          <w:drawing>
            <wp:anchor distT="0" distB="0" distL="0" distR="0" simplePos="0" relativeHeight="251658243" behindDoc="0" locked="0" layoutInCell="1" allowOverlap="1" wp14:anchorId="5966BD6A" wp14:editId="01118435">
              <wp:simplePos x="635" y="635"/>
              <wp:positionH relativeFrom="page">
                <wp:align>center</wp:align>
              </wp:positionH>
              <wp:positionV relativeFrom="page">
                <wp:align>top</wp:align>
              </wp:positionV>
              <wp:extent cx="622300" cy="391160"/>
              <wp:effectExtent l="0" t="0" r="6350" b="8890"/>
              <wp:wrapNone/>
              <wp:docPr id="1577896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6BD6A"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1E19A61" w:rsidR="007452E8" w:rsidRPr="002B29B2" w:rsidRDefault="007E4FF8" w:rsidP="007452E8">
          <w:pPr>
            <w:ind w:left="-57"/>
            <w:rPr>
              <w:noProof/>
            </w:rPr>
          </w:pPr>
          <w:r>
            <w:rPr>
              <w:noProof/>
            </w:rPr>
            <mc:AlternateContent>
              <mc:Choice Requires="wps">
                <w:drawing>
                  <wp:anchor distT="0" distB="0" distL="0" distR="0" simplePos="0" relativeHeight="251658241" behindDoc="0" locked="0" layoutInCell="1" allowOverlap="1" wp14:anchorId="36EC3BC1" wp14:editId="466B87D6">
                    <wp:simplePos x="635" y="635"/>
                    <wp:positionH relativeFrom="page">
                      <wp:align>center</wp:align>
                    </wp:positionH>
                    <wp:positionV relativeFrom="page">
                      <wp:align>top</wp:align>
                    </wp:positionV>
                    <wp:extent cx="622300" cy="391160"/>
                    <wp:effectExtent l="0" t="0" r="6350" b="8890"/>
                    <wp:wrapNone/>
                    <wp:docPr id="1394574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C3BC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6D3C3747">
                    <wp:extent cx="7631430" cy="5638800"/>
                    <wp:effectExtent l="0" t="0" r="7620" b="0"/>
                    <wp:docPr id="1680523085" name="Picture 168052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638800"/>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53131736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866992979" name="Picture 186699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A0C8D0B"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1008F416"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0"/>
  </w:num>
  <w:num w:numId="13" w16cid:durableId="2837350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FC"/>
    <w:rsid w:val="0001064C"/>
    <w:rsid w:val="00012683"/>
    <w:rsid w:val="0001384A"/>
    <w:rsid w:val="00013AA6"/>
    <w:rsid w:val="0001518F"/>
    <w:rsid w:val="0002151C"/>
    <w:rsid w:val="00021C13"/>
    <w:rsid w:val="00023C77"/>
    <w:rsid w:val="000268CC"/>
    <w:rsid w:val="00032A0F"/>
    <w:rsid w:val="00036FA2"/>
    <w:rsid w:val="00040D8D"/>
    <w:rsid w:val="0004601D"/>
    <w:rsid w:val="00046423"/>
    <w:rsid w:val="00046480"/>
    <w:rsid w:val="000477F5"/>
    <w:rsid w:val="0005067C"/>
    <w:rsid w:val="000520C6"/>
    <w:rsid w:val="0006104E"/>
    <w:rsid w:val="0006314C"/>
    <w:rsid w:val="000640BD"/>
    <w:rsid w:val="00065839"/>
    <w:rsid w:val="00065ED4"/>
    <w:rsid w:val="00065FDF"/>
    <w:rsid w:val="0006693A"/>
    <w:rsid w:val="000671B6"/>
    <w:rsid w:val="00077844"/>
    <w:rsid w:val="000829EE"/>
    <w:rsid w:val="00083763"/>
    <w:rsid w:val="0008667F"/>
    <w:rsid w:val="0009023D"/>
    <w:rsid w:val="00090510"/>
    <w:rsid w:val="000917AE"/>
    <w:rsid w:val="00093778"/>
    <w:rsid w:val="00094B81"/>
    <w:rsid w:val="00094CF0"/>
    <w:rsid w:val="00095C6A"/>
    <w:rsid w:val="000975AA"/>
    <w:rsid w:val="000A52EB"/>
    <w:rsid w:val="000B1D26"/>
    <w:rsid w:val="000B6B15"/>
    <w:rsid w:val="000B776A"/>
    <w:rsid w:val="000C25A7"/>
    <w:rsid w:val="000D0A44"/>
    <w:rsid w:val="000D1ED7"/>
    <w:rsid w:val="000D2FC5"/>
    <w:rsid w:val="000D5EE1"/>
    <w:rsid w:val="000D78EC"/>
    <w:rsid w:val="000D7934"/>
    <w:rsid w:val="000E0732"/>
    <w:rsid w:val="000E2434"/>
    <w:rsid w:val="000E2597"/>
    <w:rsid w:val="000E504E"/>
    <w:rsid w:val="000E5841"/>
    <w:rsid w:val="000E6746"/>
    <w:rsid w:val="000F023B"/>
    <w:rsid w:val="000F6A9E"/>
    <w:rsid w:val="000F7B51"/>
    <w:rsid w:val="0010154F"/>
    <w:rsid w:val="00101BEE"/>
    <w:rsid w:val="00101CE6"/>
    <w:rsid w:val="00101FB1"/>
    <w:rsid w:val="0010558A"/>
    <w:rsid w:val="00106434"/>
    <w:rsid w:val="00107EC1"/>
    <w:rsid w:val="001101FF"/>
    <w:rsid w:val="00111989"/>
    <w:rsid w:val="00113F9F"/>
    <w:rsid w:val="00114025"/>
    <w:rsid w:val="00114D94"/>
    <w:rsid w:val="001165E9"/>
    <w:rsid w:val="00117F2A"/>
    <w:rsid w:val="0012174E"/>
    <w:rsid w:val="001217FF"/>
    <w:rsid w:val="00122FDE"/>
    <w:rsid w:val="0012473C"/>
    <w:rsid w:val="0012548D"/>
    <w:rsid w:val="0012654E"/>
    <w:rsid w:val="00127A74"/>
    <w:rsid w:val="0013132F"/>
    <w:rsid w:val="00131B1B"/>
    <w:rsid w:val="0013306D"/>
    <w:rsid w:val="00133ACA"/>
    <w:rsid w:val="0013528C"/>
    <w:rsid w:val="00135DD8"/>
    <w:rsid w:val="001372FC"/>
    <w:rsid w:val="00141DAB"/>
    <w:rsid w:val="001442A2"/>
    <w:rsid w:val="001468CA"/>
    <w:rsid w:val="001500A8"/>
    <w:rsid w:val="00153005"/>
    <w:rsid w:val="00155D85"/>
    <w:rsid w:val="00155FC3"/>
    <w:rsid w:val="00165D28"/>
    <w:rsid w:val="00166E89"/>
    <w:rsid w:val="00167D4D"/>
    <w:rsid w:val="0017005C"/>
    <w:rsid w:val="001700ED"/>
    <w:rsid w:val="00173672"/>
    <w:rsid w:val="001751D7"/>
    <w:rsid w:val="00175CD8"/>
    <w:rsid w:val="00177DDC"/>
    <w:rsid w:val="0018283A"/>
    <w:rsid w:val="00182BD8"/>
    <w:rsid w:val="00186E54"/>
    <w:rsid w:val="00190853"/>
    <w:rsid w:val="001921D7"/>
    <w:rsid w:val="001A4DBA"/>
    <w:rsid w:val="001A76F9"/>
    <w:rsid w:val="001B06FF"/>
    <w:rsid w:val="001B1703"/>
    <w:rsid w:val="001C01DF"/>
    <w:rsid w:val="001C1743"/>
    <w:rsid w:val="001C1C2E"/>
    <w:rsid w:val="001C1CE2"/>
    <w:rsid w:val="001C31A1"/>
    <w:rsid w:val="001C3FA2"/>
    <w:rsid w:val="001C5C6D"/>
    <w:rsid w:val="001C5EE2"/>
    <w:rsid w:val="001D0077"/>
    <w:rsid w:val="001D3FE0"/>
    <w:rsid w:val="001E3E91"/>
    <w:rsid w:val="001E407B"/>
    <w:rsid w:val="001E46CE"/>
    <w:rsid w:val="001E558D"/>
    <w:rsid w:val="001E7FC6"/>
    <w:rsid w:val="001F226E"/>
    <w:rsid w:val="001F2502"/>
    <w:rsid w:val="001F3D7D"/>
    <w:rsid w:val="001F5E5B"/>
    <w:rsid w:val="001F70A5"/>
    <w:rsid w:val="001F74E0"/>
    <w:rsid w:val="00200606"/>
    <w:rsid w:val="0020235D"/>
    <w:rsid w:val="0020369B"/>
    <w:rsid w:val="00207B4D"/>
    <w:rsid w:val="002107DB"/>
    <w:rsid w:val="00210F9B"/>
    <w:rsid w:val="002117B1"/>
    <w:rsid w:val="00212758"/>
    <w:rsid w:val="00212BB0"/>
    <w:rsid w:val="00216E5A"/>
    <w:rsid w:val="00217CCE"/>
    <w:rsid w:val="002203B1"/>
    <w:rsid w:val="00225E13"/>
    <w:rsid w:val="00226F39"/>
    <w:rsid w:val="00232AE7"/>
    <w:rsid w:val="002334AD"/>
    <w:rsid w:val="00236F91"/>
    <w:rsid w:val="00237B4C"/>
    <w:rsid w:val="00241B60"/>
    <w:rsid w:val="00243D87"/>
    <w:rsid w:val="00247B5D"/>
    <w:rsid w:val="00252AC9"/>
    <w:rsid w:val="0025785B"/>
    <w:rsid w:val="00257969"/>
    <w:rsid w:val="00263F51"/>
    <w:rsid w:val="00265CD1"/>
    <w:rsid w:val="00271EDD"/>
    <w:rsid w:val="0027721C"/>
    <w:rsid w:val="00280048"/>
    <w:rsid w:val="0028489E"/>
    <w:rsid w:val="002848DE"/>
    <w:rsid w:val="002857EC"/>
    <w:rsid w:val="0028794E"/>
    <w:rsid w:val="00291788"/>
    <w:rsid w:val="002924A1"/>
    <w:rsid w:val="0029662D"/>
    <w:rsid w:val="0029733B"/>
    <w:rsid w:val="002A1B83"/>
    <w:rsid w:val="002A1BC8"/>
    <w:rsid w:val="002A24D2"/>
    <w:rsid w:val="002A3D7D"/>
    <w:rsid w:val="002A5841"/>
    <w:rsid w:val="002A6D4F"/>
    <w:rsid w:val="002B16ED"/>
    <w:rsid w:val="002B1EDF"/>
    <w:rsid w:val="002B2061"/>
    <w:rsid w:val="002B33C3"/>
    <w:rsid w:val="002B4D03"/>
    <w:rsid w:val="002C1232"/>
    <w:rsid w:val="002C1E44"/>
    <w:rsid w:val="002C2023"/>
    <w:rsid w:val="002C5C92"/>
    <w:rsid w:val="002C5E29"/>
    <w:rsid w:val="002C6994"/>
    <w:rsid w:val="002C74F2"/>
    <w:rsid w:val="002D0478"/>
    <w:rsid w:val="002D11DF"/>
    <w:rsid w:val="002D7127"/>
    <w:rsid w:val="002E69A6"/>
    <w:rsid w:val="002E735D"/>
    <w:rsid w:val="002F36BB"/>
    <w:rsid w:val="002F599E"/>
    <w:rsid w:val="003008D8"/>
    <w:rsid w:val="00301D9A"/>
    <w:rsid w:val="00303959"/>
    <w:rsid w:val="003043D4"/>
    <w:rsid w:val="003050DF"/>
    <w:rsid w:val="003062D7"/>
    <w:rsid w:val="00306E72"/>
    <w:rsid w:val="003117B3"/>
    <w:rsid w:val="003125A6"/>
    <w:rsid w:val="00312AC3"/>
    <w:rsid w:val="00314430"/>
    <w:rsid w:val="003156CF"/>
    <w:rsid w:val="00315AF3"/>
    <w:rsid w:val="003163BC"/>
    <w:rsid w:val="00320CC4"/>
    <w:rsid w:val="003212D9"/>
    <w:rsid w:val="003229C9"/>
    <w:rsid w:val="0032351A"/>
    <w:rsid w:val="00324B33"/>
    <w:rsid w:val="00327488"/>
    <w:rsid w:val="00331ECA"/>
    <w:rsid w:val="00331FEB"/>
    <w:rsid w:val="0033413A"/>
    <w:rsid w:val="00336FE1"/>
    <w:rsid w:val="00337BD8"/>
    <w:rsid w:val="0034039D"/>
    <w:rsid w:val="00342D56"/>
    <w:rsid w:val="003456E7"/>
    <w:rsid w:val="00346EC2"/>
    <w:rsid w:val="003477F9"/>
    <w:rsid w:val="003517FF"/>
    <w:rsid w:val="00353D8D"/>
    <w:rsid w:val="0035444D"/>
    <w:rsid w:val="00356D62"/>
    <w:rsid w:val="00357BFB"/>
    <w:rsid w:val="00361BCA"/>
    <w:rsid w:val="00362B55"/>
    <w:rsid w:val="00363EA4"/>
    <w:rsid w:val="00363EE3"/>
    <w:rsid w:val="003735F3"/>
    <w:rsid w:val="00374729"/>
    <w:rsid w:val="0037664E"/>
    <w:rsid w:val="00383C6E"/>
    <w:rsid w:val="00387298"/>
    <w:rsid w:val="00387984"/>
    <w:rsid w:val="00394194"/>
    <w:rsid w:val="00395140"/>
    <w:rsid w:val="003A2422"/>
    <w:rsid w:val="003A4453"/>
    <w:rsid w:val="003A5364"/>
    <w:rsid w:val="003A6192"/>
    <w:rsid w:val="003A6871"/>
    <w:rsid w:val="003B149C"/>
    <w:rsid w:val="003C0FDB"/>
    <w:rsid w:val="003C1192"/>
    <w:rsid w:val="003C55E2"/>
    <w:rsid w:val="003C63D5"/>
    <w:rsid w:val="003C66B6"/>
    <w:rsid w:val="003C7AA8"/>
    <w:rsid w:val="003D71A1"/>
    <w:rsid w:val="003E0499"/>
    <w:rsid w:val="003E1E03"/>
    <w:rsid w:val="003E4A78"/>
    <w:rsid w:val="003E5710"/>
    <w:rsid w:val="003E5A09"/>
    <w:rsid w:val="003E6A97"/>
    <w:rsid w:val="003F1966"/>
    <w:rsid w:val="003F5328"/>
    <w:rsid w:val="00400288"/>
    <w:rsid w:val="0041688F"/>
    <w:rsid w:val="00421571"/>
    <w:rsid w:val="00422B14"/>
    <w:rsid w:val="0042376F"/>
    <w:rsid w:val="004246B8"/>
    <w:rsid w:val="004248F1"/>
    <w:rsid w:val="00430AAA"/>
    <w:rsid w:val="00432765"/>
    <w:rsid w:val="00432F98"/>
    <w:rsid w:val="00433318"/>
    <w:rsid w:val="004411D9"/>
    <w:rsid w:val="00442A56"/>
    <w:rsid w:val="004444B0"/>
    <w:rsid w:val="00444523"/>
    <w:rsid w:val="004471A2"/>
    <w:rsid w:val="0045060B"/>
    <w:rsid w:val="00451DD2"/>
    <w:rsid w:val="00460A8F"/>
    <w:rsid w:val="004626FF"/>
    <w:rsid w:val="0046285C"/>
    <w:rsid w:val="00470A52"/>
    <w:rsid w:val="00471BD5"/>
    <w:rsid w:val="00471E75"/>
    <w:rsid w:val="00472101"/>
    <w:rsid w:val="004760A1"/>
    <w:rsid w:val="00477C4E"/>
    <w:rsid w:val="00477F07"/>
    <w:rsid w:val="00481503"/>
    <w:rsid w:val="00481D12"/>
    <w:rsid w:val="00482254"/>
    <w:rsid w:val="00482D8E"/>
    <w:rsid w:val="004854A6"/>
    <w:rsid w:val="004879AA"/>
    <w:rsid w:val="00490683"/>
    <w:rsid w:val="00490F14"/>
    <w:rsid w:val="00491A55"/>
    <w:rsid w:val="00492C56"/>
    <w:rsid w:val="00494C3E"/>
    <w:rsid w:val="00497DF1"/>
    <w:rsid w:val="004A20BC"/>
    <w:rsid w:val="004A318E"/>
    <w:rsid w:val="004A44A6"/>
    <w:rsid w:val="004A45D4"/>
    <w:rsid w:val="004A57E8"/>
    <w:rsid w:val="004B0269"/>
    <w:rsid w:val="004B0854"/>
    <w:rsid w:val="004B1F22"/>
    <w:rsid w:val="004B2938"/>
    <w:rsid w:val="004B3081"/>
    <w:rsid w:val="004B3191"/>
    <w:rsid w:val="004B4A09"/>
    <w:rsid w:val="004B51B0"/>
    <w:rsid w:val="004B62BA"/>
    <w:rsid w:val="004C138A"/>
    <w:rsid w:val="004C41CE"/>
    <w:rsid w:val="004C4FB0"/>
    <w:rsid w:val="004C631B"/>
    <w:rsid w:val="004D0933"/>
    <w:rsid w:val="004D2F00"/>
    <w:rsid w:val="004D31D8"/>
    <w:rsid w:val="004D35D1"/>
    <w:rsid w:val="004D3B85"/>
    <w:rsid w:val="004D4AD5"/>
    <w:rsid w:val="004D5388"/>
    <w:rsid w:val="004D58A6"/>
    <w:rsid w:val="004D77AF"/>
    <w:rsid w:val="004E5AC0"/>
    <w:rsid w:val="004E7F16"/>
    <w:rsid w:val="004F18EC"/>
    <w:rsid w:val="004F59DB"/>
    <w:rsid w:val="00500D68"/>
    <w:rsid w:val="00514A43"/>
    <w:rsid w:val="00516DB0"/>
    <w:rsid w:val="0052271B"/>
    <w:rsid w:val="0052275D"/>
    <w:rsid w:val="00532DD7"/>
    <w:rsid w:val="0053377D"/>
    <w:rsid w:val="0053490F"/>
    <w:rsid w:val="00535CAA"/>
    <w:rsid w:val="00535DFE"/>
    <w:rsid w:val="005373B5"/>
    <w:rsid w:val="00537AB7"/>
    <w:rsid w:val="00541AF5"/>
    <w:rsid w:val="0054281B"/>
    <w:rsid w:val="0054669B"/>
    <w:rsid w:val="00547DF6"/>
    <w:rsid w:val="005542BC"/>
    <w:rsid w:val="0055453F"/>
    <w:rsid w:val="00555766"/>
    <w:rsid w:val="00556218"/>
    <w:rsid w:val="00557684"/>
    <w:rsid w:val="00557D78"/>
    <w:rsid w:val="00560EC1"/>
    <w:rsid w:val="00560FA1"/>
    <w:rsid w:val="005610D1"/>
    <w:rsid w:val="00562F42"/>
    <w:rsid w:val="0056522D"/>
    <w:rsid w:val="00565739"/>
    <w:rsid w:val="00566A5B"/>
    <w:rsid w:val="005675B6"/>
    <w:rsid w:val="0056766D"/>
    <w:rsid w:val="00571F5A"/>
    <w:rsid w:val="0057519A"/>
    <w:rsid w:val="00575215"/>
    <w:rsid w:val="005775D0"/>
    <w:rsid w:val="00581138"/>
    <w:rsid w:val="00581714"/>
    <w:rsid w:val="00581D9B"/>
    <w:rsid w:val="00583F2C"/>
    <w:rsid w:val="0058575E"/>
    <w:rsid w:val="0058783C"/>
    <w:rsid w:val="005911AE"/>
    <w:rsid w:val="005926E2"/>
    <w:rsid w:val="0059313A"/>
    <w:rsid w:val="00596A99"/>
    <w:rsid w:val="005A2608"/>
    <w:rsid w:val="005A54EA"/>
    <w:rsid w:val="005A6F5C"/>
    <w:rsid w:val="005B023F"/>
    <w:rsid w:val="005B02A2"/>
    <w:rsid w:val="005B07C0"/>
    <w:rsid w:val="005B0B63"/>
    <w:rsid w:val="005B1417"/>
    <w:rsid w:val="005B69CF"/>
    <w:rsid w:val="005B70C8"/>
    <w:rsid w:val="005C0559"/>
    <w:rsid w:val="005C343B"/>
    <w:rsid w:val="005C3895"/>
    <w:rsid w:val="005C3F07"/>
    <w:rsid w:val="005C4B46"/>
    <w:rsid w:val="005C5DC5"/>
    <w:rsid w:val="005D0E1E"/>
    <w:rsid w:val="005D1CDA"/>
    <w:rsid w:val="005D2089"/>
    <w:rsid w:val="005D4762"/>
    <w:rsid w:val="005D4806"/>
    <w:rsid w:val="005D5491"/>
    <w:rsid w:val="005D7514"/>
    <w:rsid w:val="005E0F1F"/>
    <w:rsid w:val="005E0FC6"/>
    <w:rsid w:val="005E1A7B"/>
    <w:rsid w:val="005E231F"/>
    <w:rsid w:val="005E365D"/>
    <w:rsid w:val="005F3389"/>
    <w:rsid w:val="005F49B8"/>
    <w:rsid w:val="005F53B1"/>
    <w:rsid w:val="0060000A"/>
    <w:rsid w:val="00602D6E"/>
    <w:rsid w:val="00605C05"/>
    <w:rsid w:val="00611351"/>
    <w:rsid w:val="0061217D"/>
    <w:rsid w:val="0061246C"/>
    <w:rsid w:val="006129AE"/>
    <w:rsid w:val="0061701E"/>
    <w:rsid w:val="00620AA7"/>
    <w:rsid w:val="006272D5"/>
    <w:rsid w:val="006277A1"/>
    <w:rsid w:val="00630F7E"/>
    <w:rsid w:val="00633BD7"/>
    <w:rsid w:val="00634580"/>
    <w:rsid w:val="00634884"/>
    <w:rsid w:val="00634B6A"/>
    <w:rsid w:val="006351D9"/>
    <w:rsid w:val="00637130"/>
    <w:rsid w:val="00637F0E"/>
    <w:rsid w:val="00641377"/>
    <w:rsid w:val="006423F2"/>
    <w:rsid w:val="006428C5"/>
    <w:rsid w:val="006470C1"/>
    <w:rsid w:val="00650234"/>
    <w:rsid w:val="0065420F"/>
    <w:rsid w:val="0065555D"/>
    <w:rsid w:val="006555F3"/>
    <w:rsid w:val="0066044B"/>
    <w:rsid w:val="006630AA"/>
    <w:rsid w:val="00663544"/>
    <w:rsid w:val="006659A1"/>
    <w:rsid w:val="00666539"/>
    <w:rsid w:val="00666911"/>
    <w:rsid w:val="00666BEA"/>
    <w:rsid w:val="00675F81"/>
    <w:rsid w:val="00677A1D"/>
    <w:rsid w:val="0068143E"/>
    <w:rsid w:val="0068379D"/>
    <w:rsid w:val="00683913"/>
    <w:rsid w:val="006843C0"/>
    <w:rsid w:val="0068507D"/>
    <w:rsid w:val="00685709"/>
    <w:rsid w:val="00686C70"/>
    <w:rsid w:val="00686F0C"/>
    <w:rsid w:val="006877B3"/>
    <w:rsid w:val="00687F29"/>
    <w:rsid w:val="00690422"/>
    <w:rsid w:val="0069104C"/>
    <w:rsid w:val="00691AF2"/>
    <w:rsid w:val="00692B80"/>
    <w:rsid w:val="00692CCD"/>
    <w:rsid w:val="00692D51"/>
    <w:rsid w:val="00694DD7"/>
    <w:rsid w:val="0069636B"/>
    <w:rsid w:val="006A1762"/>
    <w:rsid w:val="006A19CE"/>
    <w:rsid w:val="006A1F0B"/>
    <w:rsid w:val="006A277A"/>
    <w:rsid w:val="006A53D6"/>
    <w:rsid w:val="006A5973"/>
    <w:rsid w:val="006B04F3"/>
    <w:rsid w:val="006B41A7"/>
    <w:rsid w:val="006B55C8"/>
    <w:rsid w:val="006B5E64"/>
    <w:rsid w:val="006B7126"/>
    <w:rsid w:val="006C6B86"/>
    <w:rsid w:val="006D1623"/>
    <w:rsid w:val="006D4553"/>
    <w:rsid w:val="006D4A35"/>
    <w:rsid w:val="006D6B44"/>
    <w:rsid w:val="006E0F71"/>
    <w:rsid w:val="006E27FE"/>
    <w:rsid w:val="006E6059"/>
    <w:rsid w:val="006F291D"/>
    <w:rsid w:val="006F2C87"/>
    <w:rsid w:val="006F54CC"/>
    <w:rsid w:val="006F6AD9"/>
    <w:rsid w:val="00700558"/>
    <w:rsid w:val="00701110"/>
    <w:rsid w:val="00702E91"/>
    <w:rsid w:val="0070330F"/>
    <w:rsid w:val="00703624"/>
    <w:rsid w:val="007046ED"/>
    <w:rsid w:val="0070541F"/>
    <w:rsid w:val="007072A1"/>
    <w:rsid w:val="0071050A"/>
    <w:rsid w:val="0071060C"/>
    <w:rsid w:val="00710BC5"/>
    <w:rsid w:val="00711232"/>
    <w:rsid w:val="007121CA"/>
    <w:rsid w:val="00713746"/>
    <w:rsid w:val="007167B6"/>
    <w:rsid w:val="0072003B"/>
    <w:rsid w:val="00721059"/>
    <w:rsid w:val="007211E6"/>
    <w:rsid w:val="007220C4"/>
    <w:rsid w:val="00722A22"/>
    <w:rsid w:val="0072318A"/>
    <w:rsid w:val="007239D9"/>
    <w:rsid w:val="0072451D"/>
    <w:rsid w:val="00725FDF"/>
    <w:rsid w:val="007305ED"/>
    <w:rsid w:val="007311B9"/>
    <w:rsid w:val="00732361"/>
    <w:rsid w:val="0073474D"/>
    <w:rsid w:val="007357B9"/>
    <w:rsid w:val="00735D5F"/>
    <w:rsid w:val="00740AB9"/>
    <w:rsid w:val="00740D52"/>
    <w:rsid w:val="00741AB9"/>
    <w:rsid w:val="00742D03"/>
    <w:rsid w:val="00743188"/>
    <w:rsid w:val="00744216"/>
    <w:rsid w:val="007452E8"/>
    <w:rsid w:val="00745A12"/>
    <w:rsid w:val="00746094"/>
    <w:rsid w:val="00746990"/>
    <w:rsid w:val="00747093"/>
    <w:rsid w:val="00750D70"/>
    <w:rsid w:val="007575D0"/>
    <w:rsid w:val="00762D68"/>
    <w:rsid w:val="00763C9C"/>
    <w:rsid w:val="00764ACE"/>
    <w:rsid w:val="007662E0"/>
    <w:rsid w:val="00767C53"/>
    <w:rsid w:val="00771548"/>
    <w:rsid w:val="0077154D"/>
    <w:rsid w:val="00773980"/>
    <w:rsid w:val="0077576D"/>
    <w:rsid w:val="00776E9C"/>
    <w:rsid w:val="00777C48"/>
    <w:rsid w:val="007816D8"/>
    <w:rsid w:val="007837C4"/>
    <w:rsid w:val="00784150"/>
    <w:rsid w:val="00784BAF"/>
    <w:rsid w:val="007879C3"/>
    <w:rsid w:val="00791F7C"/>
    <w:rsid w:val="00792BFD"/>
    <w:rsid w:val="00793272"/>
    <w:rsid w:val="0079499A"/>
    <w:rsid w:val="00794B64"/>
    <w:rsid w:val="00795B41"/>
    <w:rsid w:val="007967C3"/>
    <w:rsid w:val="00796E26"/>
    <w:rsid w:val="007A0A33"/>
    <w:rsid w:val="007A5E1A"/>
    <w:rsid w:val="007A61EB"/>
    <w:rsid w:val="007B04DE"/>
    <w:rsid w:val="007B0AE6"/>
    <w:rsid w:val="007B2699"/>
    <w:rsid w:val="007B5C26"/>
    <w:rsid w:val="007C0F0B"/>
    <w:rsid w:val="007C1C43"/>
    <w:rsid w:val="007C4A4D"/>
    <w:rsid w:val="007C57BC"/>
    <w:rsid w:val="007C7E1C"/>
    <w:rsid w:val="007D04CA"/>
    <w:rsid w:val="007D0A2B"/>
    <w:rsid w:val="007D12A1"/>
    <w:rsid w:val="007D40E5"/>
    <w:rsid w:val="007D4138"/>
    <w:rsid w:val="007D765C"/>
    <w:rsid w:val="007E4178"/>
    <w:rsid w:val="007E4FF8"/>
    <w:rsid w:val="007E6443"/>
    <w:rsid w:val="007F073A"/>
    <w:rsid w:val="007F0A77"/>
    <w:rsid w:val="007F1E37"/>
    <w:rsid w:val="007F50D3"/>
    <w:rsid w:val="007F6B1F"/>
    <w:rsid w:val="008013F0"/>
    <w:rsid w:val="00803926"/>
    <w:rsid w:val="00804300"/>
    <w:rsid w:val="00804897"/>
    <w:rsid w:val="00805523"/>
    <w:rsid w:val="00814A47"/>
    <w:rsid w:val="00824E43"/>
    <w:rsid w:val="008329DB"/>
    <w:rsid w:val="00834F89"/>
    <w:rsid w:val="008361C5"/>
    <w:rsid w:val="0083628F"/>
    <w:rsid w:val="00837AB9"/>
    <w:rsid w:val="00840D5A"/>
    <w:rsid w:val="0084130D"/>
    <w:rsid w:val="0084302C"/>
    <w:rsid w:val="00850637"/>
    <w:rsid w:val="008543D0"/>
    <w:rsid w:val="00854D98"/>
    <w:rsid w:val="0085751E"/>
    <w:rsid w:val="00860581"/>
    <w:rsid w:val="00860B29"/>
    <w:rsid w:val="008622E8"/>
    <w:rsid w:val="008645EE"/>
    <w:rsid w:val="008667B7"/>
    <w:rsid w:val="00870144"/>
    <w:rsid w:val="0087072C"/>
    <w:rsid w:val="00871312"/>
    <w:rsid w:val="00871523"/>
    <w:rsid w:val="00873D7A"/>
    <w:rsid w:val="0087631E"/>
    <w:rsid w:val="00877CB3"/>
    <w:rsid w:val="008804CF"/>
    <w:rsid w:val="008811F8"/>
    <w:rsid w:val="00882D58"/>
    <w:rsid w:val="00882F19"/>
    <w:rsid w:val="00882F94"/>
    <w:rsid w:val="00883D35"/>
    <w:rsid w:val="00884569"/>
    <w:rsid w:val="0088470C"/>
    <w:rsid w:val="00887A51"/>
    <w:rsid w:val="0089038A"/>
    <w:rsid w:val="00890D9B"/>
    <w:rsid w:val="00891C6C"/>
    <w:rsid w:val="00891F81"/>
    <w:rsid w:val="00893CCD"/>
    <w:rsid w:val="0089402D"/>
    <w:rsid w:val="008950C4"/>
    <w:rsid w:val="008964B3"/>
    <w:rsid w:val="008A0DB4"/>
    <w:rsid w:val="008A5507"/>
    <w:rsid w:val="008A6563"/>
    <w:rsid w:val="008B1CB5"/>
    <w:rsid w:val="008B5D75"/>
    <w:rsid w:val="008B6292"/>
    <w:rsid w:val="008C1FD8"/>
    <w:rsid w:val="008C2362"/>
    <w:rsid w:val="008C2D69"/>
    <w:rsid w:val="008C4579"/>
    <w:rsid w:val="008C49C6"/>
    <w:rsid w:val="008C754C"/>
    <w:rsid w:val="008D0CAC"/>
    <w:rsid w:val="008D4776"/>
    <w:rsid w:val="008D4AFC"/>
    <w:rsid w:val="008D56C9"/>
    <w:rsid w:val="008D56CA"/>
    <w:rsid w:val="008D6A54"/>
    <w:rsid w:val="008E2585"/>
    <w:rsid w:val="008E2D7A"/>
    <w:rsid w:val="008E5BBD"/>
    <w:rsid w:val="008F0A5E"/>
    <w:rsid w:val="008F205F"/>
    <w:rsid w:val="008F3215"/>
    <w:rsid w:val="008F49AF"/>
    <w:rsid w:val="008F4A62"/>
    <w:rsid w:val="008F7256"/>
    <w:rsid w:val="00901EB5"/>
    <w:rsid w:val="0090424C"/>
    <w:rsid w:val="00904997"/>
    <w:rsid w:val="0090605E"/>
    <w:rsid w:val="00906385"/>
    <w:rsid w:val="00906C74"/>
    <w:rsid w:val="009074F8"/>
    <w:rsid w:val="009108CE"/>
    <w:rsid w:val="0091222D"/>
    <w:rsid w:val="00915A9F"/>
    <w:rsid w:val="00915D73"/>
    <w:rsid w:val="00923B7E"/>
    <w:rsid w:val="00930D58"/>
    <w:rsid w:val="0093498E"/>
    <w:rsid w:val="00935AAA"/>
    <w:rsid w:val="0095031E"/>
    <w:rsid w:val="00950D1F"/>
    <w:rsid w:val="00954297"/>
    <w:rsid w:val="00960A56"/>
    <w:rsid w:val="00965812"/>
    <w:rsid w:val="00966EF1"/>
    <w:rsid w:val="00967223"/>
    <w:rsid w:val="00973FAB"/>
    <w:rsid w:val="009751F7"/>
    <w:rsid w:val="00975B23"/>
    <w:rsid w:val="009770C9"/>
    <w:rsid w:val="009800DB"/>
    <w:rsid w:val="0098168B"/>
    <w:rsid w:val="0098350E"/>
    <w:rsid w:val="00990C12"/>
    <w:rsid w:val="0099404F"/>
    <w:rsid w:val="009947B6"/>
    <w:rsid w:val="00996FA5"/>
    <w:rsid w:val="009A078B"/>
    <w:rsid w:val="009A6293"/>
    <w:rsid w:val="009A6912"/>
    <w:rsid w:val="009B1427"/>
    <w:rsid w:val="009B4769"/>
    <w:rsid w:val="009B5662"/>
    <w:rsid w:val="009C210C"/>
    <w:rsid w:val="009C2211"/>
    <w:rsid w:val="009C230B"/>
    <w:rsid w:val="009C40E8"/>
    <w:rsid w:val="009C45C5"/>
    <w:rsid w:val="009D17FE"/>
    <w:rsid w:val="009D665F"/>
    <w:rsid w:val="009E18CE"/>
    <w:rsid w:val="009E6858"/>
    <w:rsid w:val="009E6F8C"/>
    <w:rsid w:val="009F2A23"/>
    <w:rsid w:val="009F359E"/>
    <w:rsid w:val="009F405F"/>
    <w:rsid w:val="009F4282"/>
    <w:rsid w:val="00A01C56"/>
    <w:rsid w:val="00A07826"/>
    <w:rsid w:val="00A227C8"/>
    <w:rsid w:val="00A23E7A"/>
    <w:rsid w:val="00A32C50"/>
    <w:rsid w:val="00A32FAA"/>
    <w:rsid w:val="00A358E7"/>
    <w:rsid w:val="00A37EE9"/>
    <w:rsid w:val="00A4380B"/>
    <w:rsid w:val="00A454E4"/>
    <w:rsid w:val="00A45E6B"/>
    <w:rsid w:val="00A51A2D"/>
    <w:rsid w:val="00A5596B"/>
    <w:rsid w:val="00A56C62"/>
    <w:rsid w:val="00A63C07"/>
    <w:rsid w:val="00A63D9B"/>
    <w:rsid w:val="00A704DC"/>
    <w:rsid w:val="00A71D46"/>
    <w:rsid w:val="00A72C9C"/>
    <w:rsid w:val="00A736EC"/>
    <w:rsid w:val="00A77231"/>
    <w:rsid w:val="00A80075"/>
    <w:rsid w:val="00A843A1"/>
    <w:rsid w:val="00A8789B"/>
    <w:rsid w:val="00A9190C"/>
    <w:rsid w:val="00A93DC6"/>
    <w:rsid w:val="00A9411A"/>
    <w:rsid w:val="00AA46CA"/>
    <w:rsid w:val="00AA4A4B"/>
    <w:rsid w:val="00AA5BBA"/>
    <w:rsid w:val="00AA6682"/>
    <w:rsid w:val="00AA763D"/>
    <w:rsid w:val="00AB0408"/>
    <w:rsid w:val="00AB0613"/>
    <w:rsid w:val="00AB1A3E"/>
    <w:rsid w:val="00AB3F3C"/>
    <w:rsid w:val="00AB6D7A"/>
    <w:rsid w:val="00AB7C5C"/>
    <w:rsid w:val="00AB7CBF"/>
    <w:rsid w:val="00AC122E"/>
    <w:rsid w:val="00AC1643"/>
    <w:rsid w:val="00AC1CC1"/>
    <w:rsid w:val="00AC7BD8"/>
    <w:rsid w:val="00AD0111"/>
    <w:rsid w:val="00AD089E"/>
    <w:rsid w:val="00AD0B68"/>
    <w:rsid w:val="00AD265D"/>
    <w:rsid w:val="00AD40C3"/>
    <w:rsid w:val="00AD4C72"/>
    <w:rsid w:val="00AD5451"/>
    <w:rsid w:val="00AE1947"/>
    <w:rsid w:val="00AE7CF7"/>
    <w:rsid w:val="00AF1C8B"/>
    <w:rsid w:val="00AF299B"/>
    <w:rsid w:val="00AF34DF"/>
    <w:rsid w:val="00AF6498"/>
    <w:rsid w:val="00AF7E43"/>
    <w:rsid w:val="00AF7F17"/>
    <w:rsid w:val="00B02AE0"/>
    <w:rsid w:val="00B03642"/>
    <w:rsid w:val="00B03F25"/>
    <w:rsid w:val="00B05326"/>
    <w:rsid w:val="00B14545"/>
    <w:rsid w:val="00B14E60"/>
    <w:rsid w:val="00B17BA2"/>
    <w:rsid w:val="00B2472B"/>
    <w:rsid w:val="00B25281"/>
    <w:rsid w:val="00B252B3"/>
    <w:rsid w:val="00B26DC3"/>
    <w:rsid w:val="00B30B9D"/>
    <w:rsid w:val="00B33AE4"/>
    <w:rsid w:val="00B342F9"/>
    <w:rsid w:val="00B45515"/>
    <w:rsid w:val="00B4574D"/>
    <w:rsid w:val="00B458F5"/>
    <w:rsid w:val="00B468E1"/>
    <w:rsid w:val="00B46BC0"/>
    <w:rsid w:val="00B46DFB"/>
    <w:rsid w:val="00B50F95"/>
    <w:rsid w:val="00B5141B"/>
    <w:rsid w:val="00B54BA4"/>
    <w:rsid w:val="00B55681"/>
    <w:rsid w:val="00B5583E"/>
    <w:rsid w:val="00B5636F"/>
    <w:rsid w:val="00B57AAD"/>
    <w:rsid w:val="00B6374E"/>
    <w:rsid w:val="00B6384E"/>
    <w:rsid w:val="00B64AA3"/>
    <w:rsid w:val="00B65A48"/>
    <w:rsid w:val="00B7148F"/>
    <w:rsid w:val="00B72B16"/>
    <w:rsid w:val="00B751B0"/>
    <w:rsid w:val="00B80408"/>
    <w:rsid w:val="00B81397"/>
    <w:rsid w:val="00B876B3"/>
    <w:rsid w:val="00B925DB"/>
    <w:rsid w:val="00B95490"/>
    <w:rsid w:val="00B95703"/>
    <w:rsid w:val="00B96323"/>
    <w:rsid w:val="00B967FF"/>
    <w:rsid w:val="00B974B9"/>
    <w:rsid w:val="00B9772C"/>
    <w:rsid w:val="00BA307A"/>
    <w:rsid w:val="00BA3F6D"/>
    <w:rsid w:val="00BA4BE6"/>
    <w:rsid w:val="00BA4FC0"/>
    <w:rsid w:val="00BA61E0"/>
    <w:rsid w:val="00BA657C"/>
    <w:rsid w:val="00BA7F7D"/>
    <w:rsid w:val="00BB0392"/>
    <w:rsid w:val="00BB186A"/>
    <w:rsid w:val="00BB1C14"/>
    <w:rsid w:val="00BB37C8"/>
    <w:rsid w:val="00BB6847"/>
    <w:rsid w:val="00BB6D5C"/>
    <w:rsid w:val="00BB7F8F"/>
    <w:rsid w:val="00BC355A"/>
    <w:rsid w:val="00BC5E19"/>
    <w:rsid w:val="00BC716A"/>
    <w:rsid w:val="00BD0151"/>
    <w:rsid w:val="00BD07DF"/>
    <w:rsid w:val="00BD15C7"/>
    <w:rsid w:val="00BD26F4"/>
    <w:rsid w:val="00BD5A72"/>
    <w:rsid w:val="00BD5DBD"/>
    <w:rsid w:val="00BD5DF6"/>
    <w:rsid w:val="00BE0041"/>
    <w:rsid w:val="00BE4B29"/>
    <w:rsid w:val="00BE640F"/>
    <w:rsid w:val="00BE6D2A"/>
    <w:rsid w:val="00BF43E3"/>
    <w:rsid w:val="00BF4638"/>
    <w:rsid w:val="00BF502D"/>
    <w:rsid w:val="00BF5130"/>
    <w:rsid w:val="00BF56E7"/>
    <w:rsid w:val="00BF66E8"/>
    <w:rsid w:val="00C00844"/>
    <w:rsid w:val="00C059D0"/>
    <w:rsid w:val="00C07551"/>
    <w:rsid w:val="00C1109F"/>
    <w:rsid w:val="00C11BD2"/>
    <w:rsid w:val="00C12D65"/>
    <w:rsid w:val="00C133AB"/>
    <w:rsid w:val="00C171D7"/>
    <w:rsid w:val="00C20B56"/>
    <w:rsid w:val="00C21470"/>
    <w:rsid w:val="00C22214"/>
    <w:rsid w:val="00C22C9E"/>
    <w:rsid w:val="00C26F72"/>
    <w:rsid w:val="00C27E33"/>
    <w:rsid w:val="00C309A7"/>
    <w:rsid w:val="00C335AB"/>
    <w:rsid w:val="00C407AB"/>
    <w:rsid w:val="00C43F90"/>
    <w:rsid w:val="00C47424"/>
    <w:rsid w:val="00C52B7B"/>
    <w:rsid w:val="00C547CD"/>
    <w:rsid w:val="00C570FF"/>
    <w:rsid w:val="00C57CEA"/>
    <w:rsid w:val="00C602E7"/>
    <w:rsid w:val="00C60FEC"/>
    <w:rsid w:val="00C62469"/>
    <w:rsid w:val="00C62B1C"/>
    <w:rsid w:val="00C6574E"/>
    <w:rsid w:val="00C663D1"/>
    <w:rsid w:val="00C6642A"/>
    <w:rsid w:val="00C707FD"/>
    <w:rsid w:val="00C7530E"/>
    <w:rsid w:val="00C76DEB"/>
    <w:rsid w:val="00C811D8"/>
    <w:rsid w:val="00C816C6"/>
    <w:rsid w:val="00C82992"/>
    <w:rsid w:val="00C829E3"/>
    <w:rsid w:val="00C863A7"/>
    <w:rsid w:val="00C86560"/>
    <w:rsid w:val="00C912F4"/>
    <w:rsid w:val="00C9156F"/>
    <w:rsid w:val="00C9581A"/>
    <w:rsid w:val="00C96D3F"/>
    <w:rsid w:val="00C97D29"/>
    <w:rsid w:val="00CA1B24"/>
    <w:rsid w:val="00CA6901"/>
    <w:rsid w:val="00CB0550"/>
    <w:rsid w:val="00CB5933"/>
    <w:rsid w:val="00CB6813"/>
    <w:rsid w:val="00CC4E24"/>
    <w:rsid w:val="00CC5157"/>
    <w:rsid w:val="00CC7D95"/>
    <w:rsid w:val="00CD7E74"/>
    <w:rsid w:val="00CE4AF3"/>
    <w:rsid w:val="00CF107B"/>
    <w:rsid w:val="00CF1400"/>
    <w:rsid w:val="00CF463D"/>
    <w:rsid w:val="00CF6A55"/>
    <w:rsid w:val="00CF6DC6"/>
    <w:rsid w:val="00CF6DCF"/>
    <w:rsid w:val="00D01C9D"/>
    <w:rsid w:val="00D01DDB"/>
    <w:rsid w:val="00D0233A"/>
    <w:rsid w:val="00D078BE"/>
    <w:rsid w:val="00D13F8A"/>
    <w:rsid w:val="00D1610B"/>
    <w:rsid w:val="00D16D43"/>
    <w:rsid w:val="00D16F60"/>
    <w:rsid w:val="00D22981"/>
    <w:rsid w:val="00D3349B"/>
    <w:rsid w:val="00D33819"/>
    <w:rsid w:val="00D377F1"/>
    <w:rsid w:val="00D424A8"/>
    <w:rsid w:val="00D46121"/>
    <w:rsid w:val="00D519EB"/>
    <w:rsid w:val="00D53496"/>
    <w:rsid w:val="00D536B2"/>
    <w:rsid w:val="00D55452"/>
    <w:rsid w:val="00D573F2"/>
    <w:rsid w:val="00D6036F"/>
    <w:rsid w:val="00D62877"/>
    <w:rsid w:val="00D62F7E"/>
    <w:rsid w:val="00D63760"/>
    <w:rsid w:val="00D63767"/>
    <w:rsid w:val="00D65149"/>
    <w:rsid w:val="00D6703F"/>
    <w:rsid w:val="00D674A2"/>
    <w:rsid w:val="00D71DDD"/>
    <w:rsid w:val="00D734EB"/>
    <w:rsid w:val="00D821E9"/>
    <w:rsid w:val="00D82713"/>
    <w:rsid w:val="00D86F00"/>
    <w:rsid w:val="00D918D5"/>
    <w:rsid w:val="00D94C8E"/>
    <w:rsid w:val="00DA06EA"/>
    <w:rsid w:val="00DA15DE"/>
    <w:rsid w:val="00DA4C19"/>
    <w:rsid w:val="00DB1372"/>
    <w:rsid w:val="00DB192C"/>
    <w:rsid w:val="00DB1CF3"/>
    <w:rsid w:val="00DB2399"/>
    <w:rsid w:val="00DB5425"/>
    <w:rsid w:val="00DB72A6"/>
    <w:rsid w:val="00DC0434"/>
    <w:rsid w:val="00DC1F14"/>
    <w:rsid w:val="00DC33AF"/>
    <w:rsid w:val="00DC6611"/>
    <w:rsid w:val="00DD089B"/>
    <w:rsid w:val="00DD1273"/>
    <w:rsid w:val="00DD5215"/>
    <w:rsid w:val="00DD53E2"/>
    <w:rsid w:val="00DD5AD7"/>
    <w:rsid w:val="00DD5AFB"/>
    <w:rsid w:val="00DD6341"/>
    <w:rsid w:val="00DE1344"/>
    <w:rsid w:val="00DE2A64"/>
    <w:rsid w:val="00DE3B38"/>
    <w:rsid w:val="00DE3C1C"/>
    <w:rsid w:val="00DE47AA"/>
    <w:rsid w:val="00DF1CFD"/>
    <w:rsid w:val="00DF302A"/>
    <w:rsid w:val="00DF5BFE"/>
    <w:rsid w:val="00E0394C"/>
    <w:rsid w:val="00E0523F"/>
    <w:rsid w:val="00E11E9C"/>
    <w:rsid w:val="00E23E50"/>
    <w:rsid w:val="00E26213"/>
    <w:rsid w:val="00E274DF"/>
    <w:rsid w:val="00E34D66"/>
    <w:rsid w:val="00E34E7B"/>
    <w:rsid w:val="00E35A76"/>
    <w:rsid w:val="00E362C4"/>
    <w:rsid w:val="00E40E38"/>
    <w:rsid w:val="00E43C06"/>
    <w:rsid w:val="00E44488"/>
    <w:rsid w:val="00E46CC2"/>
    <w:rsid w:val="00E47E0C"/>
    <w:rsid w:val="00E51813"/>
    <w:rsid w:val="00E52C0B"/>
    <w:rsid w:val="00E53D3F"/>
    <w:rsid w:val="00E5579B"/>
    <w:rsid w:val="00E572A0"/>
    <w:rsid w:val="00E57FF4"/>
    <w:rsid w:val="00E64493"/>
    <w:rsid w:val="00E679D1"/>
    <w:rsid w:val="00E67C1C"/>
    <w:rsid w:val="00E7668B"/>
    <w:rsid w:val="00E76D33"/>
    <w:rsid w:val="00E85209"/>
    <w:rsid w:val="00E91F11"/>
    <w:rsid w:val="00E9534C"/>
    <w:rsid w:val="00E95537"/>
    <w:rsid w:val="00E95D15"/>
    <w:rsid w:val="00E965CD"/>
    <w:rsid w:val="00E967BF"/>
    <w:rsid w:val="00E9706D"/>
    <w:rsid w:val="00EA0279"/>
    <w:rsid w:val="00EA3AF4"/>
    <w:rsid w:val="00EA3C8D"/>
    <w:rsid w:val="00EA72A7"/>
    <w:rsid w:val="00EB2BEB"/>
    <w:rsid w:val="00EB353B"/>
    <w:rsid w:val="00EC092F"/>
    <w:rsid w:val="00EC0E80"/>
    <w:rsid w:val="00EC25CB"/>
    <w:rsid w:val="00EC4AFE"/>
    <w:rsid w:val="00ED12E5"/>
    <w:rsid w:val="00ED3865"/>
    <w:rsid w:val="00EE0930"/>
    <w:rsid w:val="00EE2834"/>
    <w:rsid w:val="00EE4B01"/>
    <w:rsid w:val="00EE4B77"/>
    <w:rsid w:val="00EE6F42"/>
    <w:rsid w:val="00EE7A8D"/>
    <w:rsid w:val="00EF393D"/>
    <w:rsid w:val="00EF3F0B"/>
    <w:rsid w:val="00EF433C"/>
    <w:rsid w:val="00EF5583"/>
    <w:rsid w:val="00EF6078"/>
    <w:rsid w:val="00F00FDC"/>
    <w:rsid w:val="00F0289D"/>
    <w:rsid w:val="00F02AEC"/>
    <w:rsid w:val="00F07572"/>
    <w:rsid w:val="00F10A79"/>
    <w:rsid w:val="00F10EB2"/>
    <w:rsid w:val="00F12CE2"/>
    <w:rsid w:val="00F157FC"/>
    <w:rsid w:val="00F17305"/>
    <w:rsid w:val="00F22C88"/>
    <w:rsid w:val="00F30AF3"/>
    <w:rsid w:val="00F35A34"/>
    <w:rsid w:val="00F43CD1"/>
    <w:rsid w:val="00F45AE0"/>
    <w:rsid w:val="00F46543"/>
    <w:rsid w:val="00F470F7"/>
    <w:rsid w:val="00F478E6"/>
    <w:rsid w:val="00F52149"/>
    <w:rsid w:val="00F52E46"/>
    <w:rsid w:val="00F5340A"/>
    <w:rsid w:val="00F5593B"/>
    <w:rsid w:val="00F57421"/>
    <w:rsid w:val="00F57CF2"/>
    <w:rsid w:val="00F57F75"/>
    <w:rsid w:val="00F60CF2"/>
    <w:rsid w:val="00F62A59"/>
    <w:rsid w:val="00F64C8B"/>
    <w:rsid w:val="00F65448"/>
    <w:rsid w:val="00F657B4"/>
    <w:rsid w:val="00F72725"/>
    <w:rsid w:val="00F7649F"/>
    <w:rsid w:val="00F8083B"/>
    <w:rsid w:val="00F82D1B"/>
    <w:rsid w:val="00F8448B"/>
    <w:rsid w:val="00F8568E"/>
    <w:rsid w:val="00F865A7"/>
    <w:rsid w:val="00F87AE5"/>
    <w:rsid w:val="00FA0754"/>
    <w:rsid w:val="00FA192F"/>
    <w:rsid w:val="00FA1BC9"/>
    <w:rsid w:val="00FA49C3"/>
    <w:rsid w:val="00FA5A39"/>
    <w:rsid w:val="00FB236E"/>
    <w:rsid w:val="00FB3F7B"/>
    <w:rsid w:val="00FB4C2A"/>
    <w:rsid w:val="00FC0138"/>
    <w:rsid w:val="00FC152A"/>
    <w:rsid w:val="00FC2107"/>
    <w:rsid w:val="00FC48FE"/>
    <w:rsid w:val="00FC6F56"/>
    <w:rsid w:val="00FD0E10"/>
    <w:rsid w:val="00FD2717"/>
    <w:rsid w:val="00FD4BF8"/>
    <w:rsid w:val="00FD631F"/>
    <w:rsid w:val="00FD797F"/>
    <w:rsid w:val="00FE087C"/>
    <w:rsid w:val="00FE0C22"/>
    <w:rsid w:val="00FE22DF"/>
    <w:rsid w:val="00FE2DE9"/>
    <w:rsid w:val="00FE4778"/>
    <w:rsid w:val="00FE52D3"/>
    <w:rsid w:val="00FE79A0"/>
    <w:rsid w:val="00FF00C2"/>
    <w:rsid w:val="00FF0939"/>
    <w:rsid w:val="00FF2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C53"/>
    <w:rPr>
      <w:rFonts w:ascii="Cambria" w:hAnsi="Cambria"/>
      <w:sz w:val="22"/>
    </w:rPr>
  </w:style>
  <w:style w:type="paragraph" w:styleId="Heading1">
    <w:name w:val="heading 1"/>
    <w:basedOn w:val="Normal"/>
    <w:next w:val="Normal"/>
    <w:link w:val="Heading1Char"/>
    <w:uiPriority w:val="9"/>
    <w:qFormat/>
    <w:rsid w:val="00A71D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autoRedefine/>
    <w:qFormat/>
    <w:rsid w:val="00AE7CF7"/>
    <w:pPr>
      <w:spacing w:before="120"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autoRedefine/>
    <w:qFormat/>
    <w:rsid w:val="001E46CE"/>
    <w:pPr>
      <w:spacing w:before="120" w:line="240" w:lineRule="auto"/>
      <w:contextualSpacing/>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A71D46"/>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3E0499"/>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3E0499"/>
    <w:rPr>
      <w:rFonts w:ascii="Cambria" w:eastAsia="Cambria" w:hAnsi="Cambria" w:cs="Cambr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black-triangle-scheme" TargetMode="Externa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hyperlink" Target="https://www.tga.gov.au/resources/resource/guidance/orphan-drug-designation" TargetMode="External"/><Relationship Id="rId34" Type="http://schemas.microsoft.com/office/2007/relationships/hdphoto" Target="media/hdphoto4.wdp"/><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4.xm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ga.copyright@tga.gov.au" TargetMode="Externa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5.png"/><Relationship Id="rId32" Type="http://schemas.microsoft.com/office/2007/relationships/hdphoto" Target="media/hdphoto3.wdp"/><Relationship Id="rId37" Type="http://schemas.openxmlformats.org/officeDocument/2006/relationships/image" Target="media/image13.png"/><Relationship Id="rId40" Type="http://schemas.microsoft.com/office/2007/relationships/hdphoto" Target="media/hdphoto7.wdp"/><Relationship Id="rId45" Type="http://schemas.openxmlformats.org/officeDocument/2006/relationships/image" Target="media/image19.png"/><Relationship Id="rId53" Type="http://schemas.openxmlformats.org/officeDocument/2006/relationships/hyperlink" Target="https://www.tga.gov.au" TargetMode="External"/><Relationship Id="rId5" Type="http://schemas.openxmlformats.org/officeDocument/2006/relationships/webSettings" Target="webSettings.xml"/><Relationship Id="rId19" Type="http://schemas.openxmlformats.org/officeDocument/2006/relationships/hyperlink" Target="https://www.tga.gov.au/products/medicines/find-information-about-medicine/prescribing-medicines-pregnancy-databas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hyperlink" Target="https://www.tga.gov.au/australia-canada-singapore-switzerland-united-kingdom-access-consortium" TargetMode="External"/><Relationship Id="rId27" Type="http://schemas.microsoft.com/office/2007/relationships/hdphoto" Target="media/hdphoto2.wdp"/><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7.png"/><Relationship Id="rId48" Type="http://schemas.microsoft.com/office/2007/relationships/hdphoto" Target="media/hdphoto8.wdp"/><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resources/artg/462847" TargetMode="External"/><Relationship Id="rId25" Type="http://schemas.microsoft.com/office/2007/relationships/hdphoto" Target="media/hdphoto1.wdp"/><Relationship Id="rId33" Type="http://schemas.openxmlformats.org/officeDocument/2006/relationships/image" Target="media/image11.png"/><Relationship Id="rId38" Type="http://schemas.microsoft.com/office/2007/relationships/hdphoto" Target="media/hdphoto6.wdp"/><Relationship Id="rId46" Type="http://schemas.openxmlformats.org/officeDocument/2006/relationships/image" Target="media/image20.png"/><Relationship Id="rId20" Type="http://schemas.openxmlformats.org/officeDocument/2006/relationships/hyperlink" Target="https://www.tga.gov.au/obstetric-drug-information-services" TargetMode="External"/><Relationship Id="rId41" Type="http://schemas.openxmlformats.org/officeDocument/2006/relationships/image" Target="media/image15.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australian-public-assessment-report-auspar-guidance" TargetMode="External"/><Relationship Id="rId23" Type="http://schemas.openxmlformats.org/officeDocument/2006/relationships/image" Target="media/image4.png"/><Relationship Id="rId28" Type="http://schemas.openxmlformats.org/officeDocument/2006/relationships/image" Target="media/image7.png"/><Relationship Id="rId36" Type="http://schemas.microsoft.com/office/2007/relationships/hdphoto" Target="media/hdphoto5.wdp"/><Relationship Id="rId49" Type="http://schemas.openxmlformats.org/officeDocument/2006/relationships/hyperlink" Target="https://www.ebs.tga.gov.au/"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ich-q3c-r9-residual-solvents-scientific-guideline" TargetMode="External"/><Relationship Id="rId2" Type="http://schemas.openxmlformats.org/officeDocument/2006/relationships/hyperlink" Target="https://www.ema.europa.eu/en/ich-m7-assessment-control-dna-reactive-mutagenic-impurities-pharmaceuticals-limit-potential-carcinogenic-risk-scientific-guideline" TargetMode="External"/><Relationship Id="rId1" Type="http://schemas.openxmlformats.org/officeDocument/2006/relationships/hyperlink" Target="https://www.ema.europa.eu/en/ich-q11-development-manufacture-drug-substances-chemical-entities-biotechnological-biological-entities-scientific-guideline" TargetMode="External"/><Relationship Id="rId4" Type="http://schemas.openxmlformats.org/officeDocument/2006/relationships/hyperlink" Target="https://www.ema.europa.eu/en/ich-m3-r2-non-clinical-safety-studies-conduct-human-clinical-trials-pharmaceuticals-scientific-guideli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27</Pages>
  <Words>7043</Words>
  <Characters>39897</Characters>
  <Application>Microsoft Office Word</Application>
  <DocSecurity>0</DocSecurity>
  <Lines>767</Lines>
  <Paragraphs>351</Paragraphs>
  <ScaleCrop>false</ScaleCrop>
  <HeadingPairs>
    <vt:vector size="2" baseType="variant">
      <vt:variant>
        <vt:lpstr>Title</vt:lpstr>
      </vt:variant>
      <vt:variant>
        <vt:i4>1</vt:i4>
      </vt:variant>
    </vt:vector>
  </HeadingPairs>
  <TitlesOfParts>
    <vt:vector size="1" baseType="lpstr">
      <vt:lpstr>Australian Public Assessment Report for Ekterly</vt:lpstr>
    </vt:vector>
  </TitlesOfParts>
  <Company>Department of Health, Disability and Ageing</Company>
  <LinksUpToDate>false</LinksUpToDate>
  <CharactersWithSpaces>46612</CharactersWithSpaces>
  <SharedDoc>false</SharedDoc>
  <HLinks>
    <vt:vector size="234" baseType="variant">
      <vt:variant>
        <vt:i4>3473445</vt:i4>
      </vt:variant>
      <vt:variant>
        <vt:i4>177</vt:i4>
      </vt:variant>
      <vt:variant>
        <vt:i4>0</vt:i4>
      </vt:variant>
      <vt:variant>
        <vt:i4>5</vt:i4>
      </vt:variant>
      <vt:variant>
        <vt:lpwstr>https://www.tga.gov.au/</vt:lpwstr>
      </vt:variant>
      <vt:variant>
        <vt:lpwstr/>
      </vt:variant>
      <vt:variant>
        <vt:i4>5242926</vt:i4>
      </vt:variant>
      <vt:variant>
        <vt:i4>174</vt:i4>
      </vt:variant>
      <vt:variant>
        <vt:i4>0</vt:i4>
      </vt:variant>
      <vt:variant>
        <vt:i4>5</vt:i4>
      </vt:variant>
      <vt:variant>
        <vt:lpwstr>mailto:info@tga.gov.au</vt:lpwstr>
      </vt:variant>
      <vt:variant>
        <vt:lpwstr/>
      </vt:variant>
      <vt:variant>
        <vt:i4>7929907</vt:i4>
      </vt:variant>
      <vt:variant>
        <vt:i4>171</vt:i4>
      </vt:variant>
      <vt:variant>
        <vt:i4>0</vt:i4>
      </vt:variant>
      <vt:variant>
        <vt:i4>5</vt:i4>
      </vt:variant>
      <vt:variant>
        <vt:lpwstr>https://www.ebs.tga.gov.au/</vt:lpwstr>
      </vt:variant>
      <vt:variant>
        <vt:lpwstr/>
      </vt:variant>
      <vt:variant>
        <vt:i4>3145760</vt:i4>
      </vt:variant>
      <vt:variant>
        <vt:i4>168</vt:i4>
      </vt:variant>
      <vt:variant>
        <vt:i4>0</vt:i4>
      </vt:variant>
      <vt:variant>
        <vt:i4>5</vt:i4>
      </vt:variant>
      <vt:variant>
        <vt:lpwstr>https://www.tga.gov.au/australia-canada-singapore-switzerland-united-kingdom-access-consortium</vt:lpwstr>
      </vt:variant>
      <vt:variant>
        <vt:lpwstr/>
      </vt:variant>
      <vt:variant>
        <vt:i4>2293815</vt:i4>
      </vt:variant>
      <vt:variant>
        <vt:i4>162</vt:i4>
      </vt:variant>
      <vt:variant>
        <vt:i4>0</vt:i4>
      </vt:variant>
      <vt:variant>
        <vt:i4>5</vt:i4>
      </vt:variant>
      <vt:variant>
        <vt:lpwstr>https://www.tga.gov.au/resources/resource/guidance/orphan-drug-designation</vt:lpwstr>
      </vt:variant>
      <vt:variant>
        <vt:lpwstr/>
      </vt:variant>
      <vt:variant>
        <vt:i4>3670063</vt:i4>
      </vt:variant>
      <vt:variant>
        <vt:i4>159</vt:i4>
      </vt:variant>
      <vt:variant>
        <vt:i4>0</vt:i4>
      </vt:variant>
      <vt:variant>
        <vt:i4>5</vt:i4>
      </vt:variant>
      <vt:variant>
        <vt:lpwstr>https://www.tga.gov.au/obstetric-drug-information-services</vt:lpwstr>
      </vt:variant>
      <vt:variant>
        <vt:lpwstr/>
      </vt:variant>
      <vt:variant>
        <vt:i4>2949173</vt:i4>
      </vt:variant>
      <vt:variant>
        <vt:i4>156</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153</vt:i4>
      </vt:variant>
      <vt:variant>
        <vt:i4>0</vt:i4>
      </vt:variant>
      <vt:variant>
        <vt:i4>5</vt:i4>
      </vt:variant>
      <vt:variant>
        <vt:lpwstr>https://www.tga.gov.au/black-triangle-scheme</vt:lpwstr>
      </vt:variant>
      <vt:variant>
        <vt:lpwstr/>
      </vt:variant>
      <vt:variant>
        <vt:i4>5373983</vt:i4>
      </vt:variant>
      <vt:variant>
        <vt:i4>150</vt:i4>
      </vt:variant>
      <vt:variant>
        <vt:i4>0</vt:i4>
      </vt:variant>
      <vt:variant>
        <vt:i4>5</vt:i4>
      </vt:variant>
      <vt:variant>
        <vt:lpwstr>https://www.tga.gov.au/resources/artg/462847</vt:lpwstr>
      </vt:variant>
      <vt:variant>
        <vt:lpwstr/>
      </vt:variant>
      <vt:variant>
        <vt:i4>1703997</vt:i4>
      </vt:variant>
      <vt:variant>
        <vt:i4>143</vt:i4>
      </vt:variant>
      <vt:variant>
        <vt:i4>0</vt:i4>
      </vt:variant>
      <vt:variant>
        <vt:i4>5</vt:i4>
      </vt:variant>
      <vt:variant>
        <vt:lpwstr/>
      </vt:variant>
      <vt:variant>
        <vt:lpwstr>_Toc226709915</vt:lpwstr>
      </vt:variant>
      <vt:variant>
        <vt:i4>1703997</vt:i4>
      </vt:variant>
      <vt:variant>
        <vt:i4>137</vt:i4>
      </vt:variant>
      <vt:variant>
        <vt:i4>0</vt:i4>
      </vt:variant>
      <vt:variant>
        <vt:i4>5</vt:i4>
      </vt:variant>
      <vt:variant>
        <vt:lpwstr/>
      </vt:variant>
      <vt:variant>
        <vt:lpwstr>_Toc226709914</vt:lpwstr>
      </vt:variant>
      <vt:variant>
        <vt:i4>1703997</vt:i4>
      </vt:variant>
      <vt:variant>
        <vt:i4>131</vt:i4>
      </vt:variant>
      <vt:variant>
        <vt:i4>0</vt:i4>
      </vt:variant>
      <vt:variant>
        <vt:i4>5</vt:i4>
      </vt:variant>
      <vt:variant>
        <vt:lpwstr/>
      </vt:variant>
      <vt:variant>
        <vt:lpwstr>_Toc226709913</vt:lpwstr>
      </vt:variant>
      <vt:variant>
        <vt:i4>1703997</vt:i4>
      </vt:variant>
      <vt:variant>
        <vt:i4>125</vt:i4>
      </vt:variant>
      <vt:variant>
        <vt:i4>0</vt:i4>
      </vt:variant>
      <vt:variant>
        <vt:i4>5</vt:i4>
      </vt:variant>
      <vt:variant>
        <vt:lpwstr/>
      </vt:variant>
      <vt:variant>
        <vt:lpwstr>_Toc226709912</vt:lpwstr>
      </vt:variant>
      <vt:variant>
        <vt:i4>1703997</vt:i4>
      </vt:variant>
      <vt:variant>
        <vt:i4>119</vt:i4>
      </vt:variant>
      <vt:variant>
        <vt:i4>0</vt:i4>
      </vt:variant>
      <vt:variant>
        <vt:i4>5</vt:i4>
      </vt:variant>
      <vt:variant>
        <vt:lpwstr/>
      </vt:variant>
      <vt:variant>
        <vt:lpwstr>_Toc226709911</vt:lpwstr>
      </vt:variant>
      <vt:variant>
        <vt:i4>1703997</vt:i4>
      </vt:variant>
      <vt:variant>
        <vt:i4>113</vt:i4>
      </vt:variant>
      <vt:variant>
        <vt:i4>0</vt:i4>
      </vt:variant>
      <vt:variant>
        <vt:i4>5</vt:i4>
      </vt:variant>
      <vt:variant>
        <vt:lpwstr/>
      </vt:variant>
      <vt:variant>
        <vt:lpwstr>_Toc226709910</vt:lpwstr>
      </vt:variant>
      <vt:variant>
        <vt:i4>1769533</vt:i4>
      </vt:variant>
      <vt:variant>
        <vt:i4>107</vt:i4>
      </vt:variant>
      <vt:variant>
        <vt:i4>0</vt:i4>
      </vt:variant>
      <vt:variant>
        <vt:i4>5</vt:i4>
      </vt:variant>
      <vt:variant>
        <vt:lpwstr/>
      </vt:variant>
      <vt:variant>
        <vt:lpwstr>_Toc226709909</vt:lpwstr>
      </vt:variant>
      <vt:variant>
        <vt:i4>1769533</vt:i4>
      </vt:variant>
      <vt:variant>
        <vt:i4>101</vt:i4>
      </vt:variant>
      <vt:variant>
        <vt:i4>0</vt:i4>
      </vt:variant>
      <vt:variant>
        <vt:i4>5</vt:i4>
      </vt:variant>
      <vt:variant>
        <vt:lpwstr/>
      </vt:variant>
      <vt:variant>
        <vt:lpwstr>_Toc226709908</vt:lpwstr>
      </vt:variant>
      <vt:variant>
        <vt:i4>1769533</vt:i4>
      </vt:variant>
      <vt:variant>
        <vt:i4>95</vt:i4>
      </vt:variant>
      <vt:variant>
        <vt:i4>0</vt:i4>
      </vt:variant>
      <vt:variant>
        <vt:i4>5</vt:i4>
      </vt:variant>
      <vt:variant>
        <vt:lpwstr/>
      </vt:variant>
      <vt:variant>
        <vt:lpwstr>_Toc226709907</vt:lpwstr>
      </vt:variant>
      <vt:variant>
        <vt:i4>1769533</vt:i4>
      </vt:variant>
      <vt:variant>
        <vt:i4>89</vt:i4>
      </vt:variant>
      <vt:variant>
        <vt:i4>0</vt:i4>
      </vt:variant>
      <vt:variant>
        <vt:i4>5</vt:i4>
      </vt:variant>
      <vt:variant>
        <vt:lpwstr/>
      </vt:variant>
      <vt:variant>
        <vt:lpwstr>_Toc226709906</vt:lpwstr>
      </vt:variant>
      <vt:variant>
        <vt:i4>1769533</vt:i4>
      </vt:variant>
      <vt:variant>
        <vt:i4>83</vt:i4>
      </vt:variant>
      <vt:variant>
        <vt:i4>0</vt:i4>
      </vt:variant>
      <vt:variant>
        <vt:i4>5</vt:i4>
      </vt:variant>
      <vt:variant>
        <vt:lpwstr/>
      </vt:variant>
      <vt:variant>
        <vt:lpwstr>_Toc226709905</vt:lpwstr>
      </vt:variant>
      <vt:variant>
        <vt:i4>1769533</vt:i4>
      </vt:variant>
      <vt:variant>
        <vt:i4>77</vt:i4>
      </vt:variant>
      <vt:variant>
        <vt:i4>0</vt:i4>
      </vt:variant>
      <vt:variant>
        <vt:i4>5</vt:i4>
      </vt:variant>
      <vt:variant>
        <vt:lpwstr/>
      </vt:variant>
      <vt:variant>
        <vt:lpwstr>_Toc226709904</vt:lpwstr>
      </vt:variant>
      <vt:variant>
        <vt:i4>1769533</vt:i4>
      </vt:variant>
      <vt:variant>
        <vt:i4>71</vt:i4>
      </vt:variant>
      <vt:variant>
        <vt:i4>0</vt:i4>
      </vt:variant>
      <vt:variant>
        <vt:i4>5</vt:i4>
      </vt:variant>
      <vt:variant>
        <vt:lpwstr/>
      </vt:variant>
      <vt:variant>
        <vt:lpwstr>_Toc226709903</vt:lpwstr>
      </vt:variant>
      <vt:variant>
        <vt:i4>1769533</vt:i4>
      </vt:variant>
      <vt:variant>
        <vt:i4>65</vt:i4>
      </vt:variant>
      <vt:variant>
        <vt:i4>0</vt:i4>
      </vt:variant>
      <vt:variant>
        <vt:i4>5</vt:i4>
      </vt:variant>
      <vt:variant>
        <vt:lpwstr/>
      </vt:variant>
      <vt:variant>
        <vt:lpwstr>_Toc226709902</vt:lpwstr>
      </vt:variant>
      <vt:variant>
        <vt:i4>1769533</vt:i4>
      </vt:variant>
      <vt:variant>
        <vt:i4>59</vt:i4>
      </vt:variant>
      <vt:variant>
        <vt:i4>0</vt:i4>
      </vt:variant>
      <vt:variant>
        <vt:i4>5</vt:i4>
      </vt:variant>
      <vt:variant>
        <vt:lpwstr/>
      </vt:variant>
      <vt:variant>
        <vt:lpwstr>_Toc226709901</vt:lpwstr>
      </vt:variant>
      <vt:variant>
        <vt:i4>1769533</vt:i4>
      </vt:variant>
      <vt:variant>
        <vt:i4>53</vt:i4>
      </vt:variant>
      <vt:variant>
        <vt:i4>0</vt:i4>
      </vt:variant>
      <vt:variant>
        <vt:i4>5</vt:i4>
      </vt:variant>
      <vt:variant>
        <vt:lpwstr/>
      </vt:variant>
      <vt:variant>
        <vt:lpwstr>_Toc226709900</vt:lpwstr>
      </vt:variant>
      <vt:variant>
        <vt:i4>1179708</vt:i4>
      </vt:variant>
      <vt:variant>
        <vt:i4>47</vt:i4>
      </vt:variant>
      <vt:variant>
        <vt:i4>0</vt:i4>
      </vt:variant>
      <vt:variant>
        <vt:i4>5</vt:i4>
      </vt:variant>
      <vt:variant>
        <vt:lpwstr/>
      </vt:variant>
      <vt:variant>
        <vt:lpwstr>_Toc226709899</vt:lpwstr>
      </vt:variant>
      <vt:variant>
        <vt:i4>1179708</vt:i4>
      </vt:variant>
      <vt:variant>
        <vt:i4>41</vt:i4>
      </vt:variant>
      <vt:variant>
        <vt:i4>0</vt:i4>
      </vt:variant>
      <vt:variant>
        <vt:i4>5</vt:i4>
      </vt:variant>
      <vt:variant>
        <vt:lpwstr/>
      </vt:variant>
      <vt:variant>
        <vt:lpwstr>_Toc226709898</vt:lpwstr>
      </vt:variant>
      <vt:variant>
        <vt:i4>1179708</vt:i4>
      </vt:variant>
      <vt:variant>
        <vt:i4>35</vt:i4>
      </vt:variant>
      <vt:variant>
        <vt:i4>0</vt:i4>
      </vt:variant>
      <vt:variant>
        <vt:i4>5</vt:i4>
      </vt:variant>
      <vt:variant>
        <vt:lpwstr/>
      </vt:variant>
      <vt:variant>
        <vt:lpwstr>_Toc226709897</vt:lpwstr>
      </vt:variant>
      <vt:variant>
        <vt:i4>1179708</vt:i4>
      </vt:variant>
      <vt:variant>
        <vt:i4>29</vt:i4>
      </vt:variant>
      <vt:variant>
        <vt:i4>0</vt:i4>
      </vt:variant>
      <vt:variant>
        <vt:i4>5</vt:i4>
      </vt:variant>
      <vt:variant>
        <vt:lpwstr/>
      </vt:variant>
      <vt:variant>
        <vt:lpwstr>_Toc226709896</vt:lpwstr>
      </vt:variant>
      <vt:variant>
        <vt:i4>1179708</vt:i4>
      </vt:variant>
      <vt:variant>
        <vt:i4>23</vt:i4>
      </vt:variant>
      <vt:variant>
        <vt:i4>0</vt:i4>
      </vt:variant>
      <vt:variant>
        <vt:i4>5</vt:i4>
      </vt:variant>
      <vt:variant>
        <vt:lpwstr/>
      </vt:variant>
      <vt:variant>
        <vt:lpwstr>_Toc226709895</vt:lpwstr>
      </vt:variant>
      <vt:variant>
        <vt:i4>1179708</vt:i4>
      </vt:variant>
      <vt:variant>
        <vt:i4>17</vt:i4>
      </vt:variant>
      <vt:variant>
        <vt:i4>0</vt:i4>
      </vt:variant>
      <vt:variant>
        <vt:i4>5</vt:i4>
      </vt:variant>
      <vt:variant>
        <vt:lpwstr/>
      </vt:variant>
      <vt:variant>
        <vt:lpwstr>_Toc226709894</vt:lpwstr>
      </vt:variant>
      <vt:variant>
        <vt:i4>1179708</vt:i4>
      </vt:variant>
      <vt:variant>
        <vt:i4>11</vt:i4>
      </vt:variant>
      <vt:variant>
        <vt:i4>0</vt:i4>
      </vt:variant>
      <vt:variant>
        <vt:i4>5</vt:i4>
      </vt:variant>
      <vt:variant>
        <vt:lpwstr/>
      </vt:variant>
      <vt:variant>
        <vt:lpwstr>_Toc226709893</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1704027</vt:i4>
      </vt:variant>
      <vt:variant>
        <vt:i4>9</vt:i4>
      </vt:variant>
      <vt:variant>
        <vt:i4>0</vt:i4>
      </vt:variant>
      <vt:variant>
        <vt:i4>5</vt:i4>
      </vt:variant>
      <vt:variant>
        <vt:lpwstr>https://www.ema.europa.eu/en/ich-m3-r2-non-clinical-safety-studies-conduct-human-clinical-trials-pharmaceuticals-scientific-guideline</vt:lpwstr>
      </vt:variant>
      <vt:variant>
        <vt:lpwstr/>
      </vt:variant>
      <vt:variant>
        <vt:i4>4063292</vt:i4>
      </vt:variant>
      <vt:variant>
        <vt:i4>6</vt:i4>
      </vt:variant>
      <vt:variant>
        <vt:i4>0</vt:i4>
      </vt:variant>
      <vt:variant>
        <vt:i4>5</vt:i4>
      </vt:variant>
      <vt:variant>
        <vt:lpwstr>https://www.ema.europa.eu/en/ich-q3c-r9-residual-solvents-scientific-guideline</vt:lpwstr>
      </vt:variant>
      <vt:variant>
        <vt:lpwstr/>
      </vt:variant>
      <vt:variant>
        <vt:i4>6291512</vt:i4>
      </vt:variant>
      <vt:variant>
        <vt:i4>3</vt:i4>
      </vt:variant>
      <vt:variant>
        <vt:i4>0</vt:i4>
      </vt:variant>
      <vt:variant>
        <vt:i4>5</vt:i4>
      </vt:variant>
      <vt:variant>
        <vt:lpwstr>https://www.ema.europa.eu/en/ich-m7-assessment-control-dna-reactive-mutagenic-impurities-pharmaceuticals-limit-potential-carcinogenic-risk-scientific-guideline</vt:lpwstr>
      </vt:variant>
      <vt:variant>
        <vt:lpwstr/>
      </vt:variant>
      <vt:variant>
        <vt:i4>1835018</vt:i4>
      </vt:variant>
      <vt:variant>
        <vt:i4>0</vt:i4>
      </vt:variant>
      <vt:variant>
        <vt:i4>0</vt:i4>
      </vt:variant>
      <vt:variant>
        <vt:i4>5</vt:i4>
      </vt:variant>
      <vt:variant>
        <vt:lpwstr>https://www.ema.europa.eu/en/ich-q11-development-manufacture-drug-substances-chemical-entities-biotechnological-biological-entities-scientific-guideline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Ekterly</dc:title>
  <dc:subject>Prescription medicines</dc:subject>
  <dc:creator>Therapeutic Goods Administration</dc:creator>
  <cp:keywords/>
  <dc:description/>
  <dcterms:created xsi:type="dcterms:W3CDTF">2026-05-05T01:30:00Z</dcterms:created>
  <dcterms:modified xsi:type="dcterms:W3CDTF">2026-05-05T06:05:00Z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531f83f9,2ebff39c,5e0ccc27,69b65320,1d12e39c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1733f83e,69c2b6dd,39fef80f,322f80f5,3638ef13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2026-01-08T03:49:00Z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813969f0-483d-4e03-912d-ee2c69b78162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