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58BC608" w:rsidR="00F02AEC" w:rsidRPr="00215D48" w:rsidRDefault="00346EC2" w:rsidP="007452E8">
            <w:pPr>
              <w:pStyle w:val="Title"/>
            </w:pPr>
            <w:r w:rsidRPr="00346EC2">
              <w:t xml:space="preserve">Australian Public Assessment Report for </w:t>
            </w:r>
            <w:r w:rsidR="003650FF">
              <w:t>Celldemic</w:t>
            </w:r>
          </w:p>
        </w:tc>
      </w:tr>
      <w:tr w:rsidR="00F02AEC" w:rsidRPr="00215D48" w14:paraId="318A40A3" w14:textId="77777777" w:rsidTr="00346EC2">
        <w:trPr>
          <w:trHeight w:val="995"/>
        </w:trPr>
        <w:tc>
          <w:tcPr>
            <w:tcW w:w="8720" w:type="dxa"/>
          </w:tcPr>
          <w:p w14:paraId="1AA7C701" w14:textId="6008FDEA" w:rsidR="00F02AEC" w:rsidRPr="00BF169F" w:rsidRDefault="00346EC2" w:rsidP="007452E8">
            <w:pPr>
              <w:pStyle w:val="Subtitle"/>
              <w:ind w:left="0"/>
              <w:rPr>
                <w:sz w:val="38"/>
                <w:szCs w:val="38"/>
              </w:rPr>
            </w:pPr>
            <w:r w:rsidRPr="00BF169F">
              <w:rPr>
                <w:sz w:val="38"/>
                <w:szCs w:val="38"/>
              </w:rPr>
              <w:t>Active ingredient:</w:t>
            </w:r>
            <w:r w:rsidR="004B10DC" w:rsidRPr="00BF169F">
              <w:rPr>
                <w:rFonts w:eastAsia="Cambria" w:hAnsi="Cambria" w:cs="Cambria"/>
                <w:bCs w:val="0"/>
                <w:iCs w:val="0"/>
                <w:sz w:val="38"/>
                <w:szCs w:val="38"/>
                <w:lang w:val="en-US" w:eastAsia="en-US"/>
              </w:rPr>
              <w:t xml:space="preserve"> </w:t>
            </w:r>
            <w:r w:rsidR="004A510C">
              <w:rPr>
                <w:rFonts w:eastAsia="Cambria" w:hAnsi="Cambria" w:cs="Cambria"/>
                <w:bCs w:val="0"/>
                <w:iCs w:val="0"/>
                <w:sz w:val="38"/>
                <w:szCs w:val="38"/>
                <w:lang w:val="en-US" w:eastAsia="en-US"/>
              </w:rPr>
              <w:t>I</w:t>
            </w:r>
            <w:r w:rsidR="004B10DC" w:rsidRPr="00BF169F">
              <w:rPr>
                <w:sz w:val="38"/>
                <w:szCs w:val="38"/>
                <w:lang w:val="en-US"/>
              </w:rPr>
              <w:t>nfluenza virus haemagglutinin H5N1</w:t>
            </w:r>
            <w:r w:rsidR="004B10DC" w:rsidRPr="00BF169F">
              <w:rPr>
                <w:sz w:val="38"/>
                <w:szCs w:val="38"/>
              </w:rPr>
              <w:t xml:space="preserve"> </w:t>
            </w:r>
          </w:p>
        </w:tc>
      </w:tr>
      <w:tr w:rsidR="00346EC2" w:rsidRPr="00215D48" w14:paraId="362CCAE4" w14:textId="77777777" w:rsidTr="007452E8">
        <w:trPr>
          <w:trHeight w:val="1916"/>
        </w:trPr>
        <w:tc>
          <w:tcPr>
            <w:tcW w:w="8720" w:type="dxa"/>
          </w:tcPr>
          <w:p w14:paraId="2B7EC29D" w14:textId="77777777" w:rsidR="004B10DC" w:rsidRDefault="004B10DC" w:rsidP="007452E8">
            <w:pPr>
              <w:pStyle w:val="Subtitle"/>
              <w:ind w:left="0"/>
            </w:pPr>
          </w:p>
          <w:p w14:paraId="709C45C0" w14:textId="26FFF087" w:rsidR="00346EC2" w:rsidRPr="00215D48" w:rsidRDefault="00346EC2" w:rsidP="007452E8">
            <w:pPr>
              <w:pStyle w:val="Subtitle"/>
              <w:ind w:left="0"/>
            </w:pPr>
            <w:r w:rsidRPr="00346EC2">
              <w:t>Sponsor:</w:t>
            </w:r>
            <w:r w:rsidR="004B10DC">
              <w:t xml:space="preserve"> Seqirus</w:t>
            </w:r>
            <w:r w:rsidR="00A674F7">
              <w:t xml:space="preserve"> Pty Ltd</w:t>
            </w:r>
          </w:p>
        </w:tc>
      </w:tr>
      <w:tr w:rsidR="00F02AEC" w:rsidRPr="00215D48" w14:paraId="37F2AA1F" w14:textId="77777777" w:rsidTr="007452E8">
        <w:tc>
          <w:tcPr>
            <w:tcW w:w="8720" w:type="dxa"/>
          </w:tcPr>
          <w:p w14:paraId="1FDE8DCD" w14:textId="766C192D" w:rsidR="00F02AEC" w:rsidRPr="00215D48" w:rsidRDefault="004B10DC" w:rsidP="007452E8">
            <w:pPr>
              <w:pStyle w:val="Date"/>
            </w:pPr>
            <w:r>
              <w:t>April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6672F374" w:rsidR="00F02AEC" w:rsidRPr="00E1198B" w:rsidRDefault="00F02AEC" w:rsidP="00FE087C">
      <w:pPr>
        <w:pStyle w:val="LegalSubheading"/>
        <w:spacing w:before="3600"/>
      </w:pPr>
      <w:r w:rsidRPr="00BA0DFC">
        <w:t>Co</w:t>
      </w:r>
      <w:r w:rsidR="008D47DC">
        <w:t>py</w:t>
      </w:r>
      <w:r w:rsidRPr="00BA0DFC">
        <w:t>right</w:t>
      </w:r>
    </w:p>
    <w:p w14:paraId="170A8A5D" w14:textId="3BC89AB8" w:rsidR="00175CD8" w:rsidRPr="00346EC2" w:rsidRDefault="00F02AEC" w:rsidP="00346EC2">
      <w:pPr>
        <w:pStyle w:val="LegalCopy"/>
        <w:rPr>
          <w:rFonts w:cs="Arial"/>
        </w:rPr>
      </w:pPr>
      <w:r w:rsidRPr="00215D48">
        <w:rPr>
          <w:rFonts w:cs="Arial"/>
        </w:rPr>
        <w:t>© Commonwealth of Australia 20</w:t>
      </w:r>
      <w:r>
        <w:rPr>
          <w:rFonts w:cs="Arial"/>
        </w:rPr>
        <w:t>2</w:t>
      </w:r>
      <w:r w:rsidR="004E16C6">
        <w:rPr>
          <w:rFonts w:cs="Arial"/>
        </w:rPr>
        <w:t>6</w:t>
      </w:r>
      <w:r w:rsidR="001B4B70">
        <w:rPr>
          <w:rFonts w:cs="Arial"/>
        </w:rPr>
        <w:t>.</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0C5432"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21732DC" w14:textId="5BCF90D3" w:rsidR="00435A42"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7753739" w:history="1">
            <w:r w:rsidR="00435A42" w:rsidRPr="0037783F">
              <w:rPr>
                <w:rStyle w:val="Hyperlink"/>
                <w:noProof/>
              </w:rPr>
              <w:t>List of abbreviations</w:t>
            </w:r>
            <w:r w:rsidR="00435A42">
              <w:rPr>
                <w:noProof/>
                <w:webHidden/>
              </w:rPr>
              <w:tab/>
            </w:r>
            <w:r w:rsidR="00435A42">
              <w:rPr>
                <w:noProof/>
                <w:webHidden/>
              </w:rPr>
              <w:fldChar w:fldCharType="begin"/>
            </w:r>
            <w:r w:rsidR="00435A42">
              <w:rPr>
                <w:noProof/>
                <w:webHidden/>
              </w:rPr>
              <w:instrText xml:space="preserve"> PAGEREF _Toc227753739 \h </w:instrText>
            </w:r>
            <w:r w:rsidR="00435A42">
              <w:rPr>
                <w:noProof/>
                <w:webHidden/>
              </w:rPr>
            </w:r>
            <w:r w:rsidR="00435A42">
              <w:rPr>
                <w:noProof/>
                <w:webHidden/>
              </w:rPr>
              <w:fldChar w:fldCharType="separate"/>
            </w:r>
            <w:r w:rsidR="00435A42">
              <w:rPr>
                <w:noProof/>
                <w:webHidden/>
              </w:rPr>
              <w:t>4</w:t>
            </w:r>
            <w:r w:rsidR="00435A42">
              <w:rPr>
                <w:noProof/>
                <w:webHidden/>
              </w:rPr>
              <w:fldChar w:fldCharType="end"/>
            </w:r>
          </w:hyperlink>
        </w:p>
        <w:p w14:paraId="3F06E881" w14:textId="5A30DAFC" w:rsidR="00435A42" w:rsidRDefault="00435A4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753740" w:history="1">
            <w:r w:rsidRPr="0037783F">
              <w:rPr>
                <w:rStyle w:val="Hyperlink"/>
                <w:noProof/>
              </w:rPr>
              <w:t>Product submission</w:t>
            </w:r>
            <w:r>
              <w:rPr>
                <w:noProof/>
                <w:webHidden/>
              </w:rPr>
              <w:tab/>
            </w:r>
            <w:r>
              <w:rPr>
                <w:noProof/>
                <w:webHidden/>
              </w:rPr>
              <w:fldChar w:fldCharType="begin"/>
            </w:r>
            <w:r>
              <w:rPr>
                <w:noProof/>
                <w:webHidden/>
              </w:rPr>
              <w:instrText xml:space="preserve"> PAGEREF _Toc227753740 \h </w:instrText>
            </w:r>
            <w:r>
              <w:rPr>
                <w:noProof/>
                <w:webHidden/>
              </w:rPr>
            </w:r>
            <w:r>
              <w:rPr>
                <w:noProof/>
                <w:webHidden/>
              </w:rPr>
              <w:fldChar w:fldCharType="separate"/>
            </w:r>
            <w:r>
              <w:rPr>
                <w:noProof/>
                <w:webHidden/>
              </w:rPr>
              <w:t>6</w:t>
            </w:r>
            <w:r>
              <w:rPr>
                <w:noProof/>
                <w:webHidden/>
              </w:rPr>
              <w:fldChar w:fldCharType="end"/>
            </w:r>
          </w:hyperlink>
        </w:p>
        <w:p w14:paraId="07127AC1" w14:textId="073F38F6"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41" w:history="1">
            <w:r w:rsidRPr="0037783F">
              <w:rPr>
                <w:rStyle w:val="Hyperlink"/>
                <w:noProof/>
                <w:lang w:eastAsia="en-AU"/>
              </w:rPr>
              <w:t>Submission details</w:t>
            </w:r>
            <w:r>
              <w:rPr>
                <w:noProof/>
                <w:webHidden/>
              </w:rPr>
              <w:tab/>
            </w:r>
            <w:r>
              <w:rPr>
                <w:noProof/>
                <w:webHidden/>
              </w:rPr>
              <w:fldChar w:fldCharType="begin"/>
            </w:r>
            <w:r>
              <w:rPr>
                <w:noProof/>
                <w:webHidden/>
              </w:rPr>
              <w:instrText xml:space="preserve"> PAGEREF _Toc227753741 \h </w:instrText>
            </w:r>
            <w:r>
              <w:rPr>
                <w:noProof/>
                <w:webHidden/>
              </w:rPr>
            </w:r>
            <w:r>
              <w:rPr>
                <w:noProof/>
                <w:webHidden/>
              </w:rPr>
              <w:fldChar w:fldCharType="separate"/>
            </w:r>
            <w:r>
              <w:rPr>
                <w:noProof/>
                <w:webHidden/>
              </w:rPr>
              <w:t>6</w:t>
            </w:r>
            <w:r>
              <w:rPr>
                <w:noProof/>
                <w:webHidden/>
              </w:rPr>
              <w:fldChar w:fldCharType="end"/>
            </w:r>
          </w:hyperlink>
        </w:p>
        <w:p w14:paraId="6AFBE214" w14:textId="7A30B32B"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42" w:history="1">
            <w:r w:rsidRPr="0037783F">
              <w:rPr>
                <w:rStyle w:val="Hyperlink"/>
                <w:noProof/>
              </w:rPr>
              <w:t>Product background</w:t>
            </w:r>
            <w:r>
              <w:rPr>
                <w:noProof/>
                <w:webHidden/>
              </w:rPr>
              <w:tab/>
            </w:r>
            <w:r>
              <w:rPr>
                <w:noProof/>
                <w:webHidden/>
              </w:rPr>
              <w:fldChar w:fldCharType="begin"/>
            </w:r>
            <w:r>
              <w:rPr>
                <w:noProof/>
                <w:webHidden/>
              </w:rPr>
              <w:instrText xml:space="preserve"> PAGEREF _Toc227753742 \h </w:instrText>
            </w:r>
            <w:r>
              <w:rPr>
                <w:noProof/>
                <w:webHidden/>
              </w:rPr>
            </w:r>
            <w:r>
              <w:rPr>
                <w:noProof/>
                <w:webHidden/>
              </w:rPr>
              <w:fldChar w:fldCharType="separate"/>
            </w:r>
            <w:r>
              <w:rPr>
                <w:noProof/>
                <w:webHidden/>
              </w:rPr>
              <w:t>7</w:t>
            </w:r>
            <w:r>
              <w:rPr>
                <w:noProof/>
                <w:webHidden/>
              </w:rPr>
              <w:fldChar w:fldCharType="end"/>
            </w:r>
          </w:hyperlink>
        </w:p>
        <w:p w14:paraId="5C1CFA4C" w14:textId="422D0D71"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43" w:history="1">
            <w:r w:rsidRPr="0037783F">
              <w:rPr>
                <w:rStyle w:val="Hyperlink"/>
                <w:noProof/>
              </w:rPr>
              <w:t>Disease or condition</w:t>
            </w:r>
            <w:r>
              <w:rPr>
                <w:noProof/>
                <w:webHidden/>
              </w:rPr>
              <w:tab/>
            </w:r>
            <w:r>
              <w:rPr>
                <w:noProof/>
                <w:webHidden/>
              </w:rPr>
              <w:fldChar w:fldCharType="begin"/>
            </w:r>
            <w:r>
              <w:rPr>
                <w:noProof/>
                <w:webHidden/>
              </w:rPr>
              <w:instrText xml:space="preserve"> PAGEREF _Toc227753743 \h </w:instrText>
            </w:r>
            <w:r>
              <w:rPr>
                <w:noProof/>
                <w:webHidden/>
              </w:rPr>
            </w:r>
            <w:r>
              <w:rPr>
                <w:noProof/>
                <w:webHidden/>
              </w:rPr>
              <w:fldChar w:fldCharType="separate"/>
            </w:r>
            <w:r>
              <w:rPr>
                <w:noProof/>
                <w:webHidden/>
              </w:rPr>
              <w:t>7</w:t>
            </w:r>
            <w:r>
              <w:rPr>
                <w:noProof/>
                <w:webHidden/>
              </w:rPr>
              <w:fldChar w:fldCharType="end"/>
            </w:r>
          </w:hyperlink>
        </w:p>
        <w:p w14:paraId="5EBB1823" w14:textId="4A9D8587"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44" w:history="1">
            <w:r w:rsidRPr="0037783F">
              <w:rPr>
                <w:rStyle w:val="Hyperlink"/>
                <w:noProof/>
              </w:rPr>
              <w:t>Current treatment options</w:t>
            </w:r>
            <w:r>
              <w:rPr>
                <w:noProof/>
                <w:webHidden/>
              </w:rPr>
              <w:tab/>
            </w:r>
            <w:r>
              <w:rPr>
                <w:noProof/>
                <w:webHidden/>
              </w:rPr>
              <w:fldChar w:fldCharType="begin"/>
            </w:r>
            <w:r>
              <w:rPr>
                <w:noProof/>
                <w:webHidden/>
              </w:rPr>
              <w:instrText xml:space="preserve"> PAGEREF _Toc227753744 \h </w:instrText>
            </w:r>
            <w:r>
              <w:rPr>
                <w:noProof/>
                <w:webHidden/>
              </w:rPr>
            </w:r>
            <w:r>
              <w:rPr>
                <w:noProof/>
                <w:webHidden/>
              </w:rPr>
              <w:fldChar w:fldCharType="separate"/>
            </w:r>
            <w:r>
              <w:rPr>
                <w:noProof/>
                <w:webHidden/>
              </w:rPr>
              <w:t>8</w:t>
            </w:r>
            <w:r>
              <w:rPr>
                <w:noProof/>
                <w:webHidden/>
              </w:rPr>
              <w:fldChar w:fldCharType="end"/>
            </w:r>
          </w:hyperlink>
        </w:p>
        <w:p w14:paraId="4A99F172" w14:textId="7AE9C231"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45" w:history="1">
            <w:r w:rsidRPr="0037783F">
              <w:rPr>
                <w:rStyle w:val="Hyperlink"/>
                <w:noProof/>
              </w:rPr>
              <w:t>Clinical rationale</w:t>
            </w:r>
            <w:r>
              <w:rPr>
                <w:noProof/>
                <w:webHidden/>
              </w:rPr>
              <w:tab/>
            </w:r>
            <w:r>
              <w:rPr>
                <w:noProof/>
                <w:webHidden/>
              </w:rPr>
              <w:fldChar w:fldCharType="begin"/>
            </w:r>
            <w:r>
              <w:rPr>
                <w:noProof/>
                <w:webHidden/>
              </w:rPr>
              <w:instrText xml:space="preserve"> PAGEREF _Toc227753745 \h </w:instrText>
            </w:r>
            <w:r>
              <w:rPr>
                <w:noProof/>
                <w:webHidden/>
              </w:rPr>
            </w:r>
            <w:r>
              <w:rPr>
                <w:noProof/>
                <w:webHidden/>
              </w:rPr>
              <w:fldChar w:fldCharType="separate"/>
            </w:r>
            <w:r>
              <w:rPr>
                <w:noProof/>
                <w:webHidden/>
              </w:rPr>
              <w:t>8</w:t>
            </w:r>
            <w:r>
              <w:rPr>
                <w:noProof/>
                <w:webHidden/>
              </w:rPr>
              <w:fldChar w:fldCharType="end"/>
            </w:r>
          </w:hyperlink>
        </w:p>
        <w:p w14:paraId="0ED0907D" w14:textId="4B3E56EF"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46" w:history="1">
            <w:r w:rsidRPr="0037783F">
              <w:rPr>
                <w:rStyle w:val="Hyperlink"/>
                <w:noProof/>
              </w:rPr>
              <w:t>Regulatory status</w:t>
            </w:r>
            <w:r>
              <w:rPr>
                <w:noProof/>
                <w:webHidden/>
              </w:rPr>
              <w:tab/>
            </w:r>
            <w:r>
              <w:rPr>
                <w:noProof/>
                <w:webHidden/>
              </w:rPr>
              <w:fldChar w:fldCharType="begin"/>
            </w:r>
            <w:r>
              <w:rPr>
                <w:noProof/>
                <w:webHidden/>
              </w:rPr>
              <w:instrText xml:space="preserve"> PAGEREF _Toc227753746 \h </w:instrText>
            </w:r>
            <w:r>
              <w:rPr>
                <w:noProof/>
                <w:webHidden/>
              </w:rPr>
            </w:r>
            <w:r>
              <w:rPr>
                <w:noProof/>
                <w:webHidden/>
              </w:rPr>
              <w:fldChar w:fldCharType="separate"/>
            </w:r>
            <w:r>
              <w:rPr>
                <w:noProof/>
                <w:webHidden/>
              </w:rPr>
              <w:t>9</w:t>
            </w:r>
            <w:r>
              <w:rPr>
                <w:noProof/>
                <w:webHidden/>
              </w:rPr>
              <w:fldChar w:fldCharType="end"/>
            </w:r>
          </w:hyperlink>
        </w:p>
        <w:p w14:paraId="7243B85D" w14:textId="788B12E9"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47" w:history="1">
            <w:r w:rsidRPr="0037783F">
              <w:rPr>
                <w:rStyle w:val="Hyperlink"/>
                <w:noProof/>
              </w:rPr>
              <w:t>Australian regulatory status</w:t>
            </w:r>
            <w:r>
              <w:rPr>
                <w:noProof/>
                <w:webHidden/>
              </w:rPr>
              <w:tab/>
            </w:r>
            <w:r>
              <w:rPr>
                <w:noProof/>
                <w:webHidden/>
              </w:rPr>
              <w:fldChar w:fldCharType="begin"/>
            </w:r>
            <w:r>
              <w:rPr>
                <w:noProof/>
                <w:webHidden/>
              </w:rPr>
              <w:instrText xml:space="preserve"> PAGEREF _Toc227753747 \h </w:instrText>
            </w:r>
            <w:r>
              <w:rPr>
                <w:noProof/>
                <w:webHidden/>
              </w:rPr>
            </w:r>
            <w:r>
              <w:rPr>
                <w:noProof/>
                <w:webHidden/>
              </w:rPr>
              <w:fldChar w:fldCharType="separate"/>
            </w:r>
            <w:r>
              <w:rPr>
                <w:noProof/>
                <w:webHidden/>
              </w:rPr>
              <w:t>9</w:t>
            </w:r>
            <w:r>
              <w:rPr>
                <w:noProof/>
                <w:webHidden/>
              </w:rPr>
              <w:fldChar w:fldCharType="end"/>
            </w:r>
          </w:hyperlink>
        </w:p>
        <w:p w14:paraId="2B04C764" w14:textId="5542D7CE"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48" w:history="1">
            <w:r w:rsidRPr="0037783F">
              <w:rPr>
                <w:rStyle w:val="Hyperlink"/>
                <w:noProof/>
              </w:rPr>
              <w:t>International regulatory status</w:t>
            </w:r>
            <w:r>
              <w:rPr>
                <w:noProof/>
                <w:webHidden/>
              </w:rPr>
              <w:tab/>
            </w:r>
            <w:r>
              <w:rPr>
                <w:noProof/>
                <w:webHidden/>
              </w:rPr>
              <w:fldChar w:fldCharType="begin"/>
            </w:r>
            <w:r>
              <w:rPr>
                <w:noProof/>
                <w:webHidden/>
              </w:rPr>
              <w:instrText xml:space="preserve"> PAGEREF _Toc227753748 \h </w:instrText>
            </w:r>
            <w:r>
              <w:rPr>
                <w:noProof/>
                <w:webHidden/>
              </w:rPr>
            </w:r>
            <w:r>
              <w:rPr>
                <w:noProof/>
                <w:webHidden/>
              </w:rPr>
              <w:fldChar w:fldCharType="separate"/>
            </w:r>
            <w:r>
              <w:rPr>
                <w:noProof/>
                <w:webHidden/>
              </w:rPr>
              <w:t>9</w:t>
            </w:r>
            <w:r>
              <w:rPr>
                <w:noProof/>
                <w:webHidden/>
              </w:rPr>
              <w:fldChar w:fldCharType="end"/>
            </w:r>
          </w:hyperlink>
        </w:p>
        <w:p w14:paraId="716207B0" w14:textId="2D20A7E8" w:rsidR="00435A42" w:rsidRDefault="00435A4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753749" w:history="1">
            <w:r w:rsidRPr="0037783F">
              <w:rPr>
                <w:rStyle w:val="Hyperlink"/>
                <w:noProof/>
              </w:rPr>
              <w:t>Registration timeline</w:t>
            </w:r>
            <w:r>
              <w:rPr>
                <w:noProof/>
                <w:webHidden/>
              </w:rPr>
              <w:tab/>
            </w:r>
            <w:r>
              <w:rPr>
                <w:noProof/>
                <w:webHidden/>
              </w:rPr>
              <w:fldChar w:fldCharType="begin"/>
            </w:r>
            <w:r>
              <w:rPr>
                <w:noProof/>
                <w:webHidden/>
              </w:rPr>
              <w:instrText xml:space="preserve"> PAGEREF _Toc227753749 \h </w:instrText>
            </w:r>
            <w:r>
              <w:rPr>
                <w:noProof/>
                <w:webHidden/>
              </w:rPr>
            </w:r>
            <w:r>
              <w:rPr>
                <w:noProof/>
                <w:webHidden/>
              </w:rPr>
              <w:fldChar w:fldCharType="separate"/>
            </w:r>
            <w:r>
              <w:rPr>
                <w:noProof/>
                <w:webHidden/>
              </w:rPr>
              <w:t>10</w:t>
            </w:r>
            <w:r>
              <w:rPr>
                <w:noProof/>
                <w:webHidden/>
              </w:rPr>
              <w:fldChar w:fldCharType="end"/>
            </w:r>
          </w:hyperlink>
        </w:p>
        <w:p w14:paraId="58CDEC43" w14:textId="2C3C52CD" w:rsidR="00435A42" w:rsidRDefault="00435A4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753750" w:history="1">
            <w:r w:rsidRPr="0037783F">
              <w:rPr>
                <w:rStyle w:val="Hyperlink"/>
                <w:noProof/>
              </w:rPr>
              <w:t>Assessment overview</w:t>
            </w:r>
            <w:r>
              <w:rPr>
                <w:noProof/>
                <w:webHidden/>
              </w:rPr>
              <w:tab/>
            </w:r>
            <w:r>
              <w:rPr>
                <w:noProof/>
                <w:webHidden/>
              </w:rPr>
              <w:fldChar w:fldCharType="begin"/>
            </w:r>
            <w:r>
              <w:rPr>
                <w:noProof/>
                <w:webHidden/>
              </w:rPr>
              <w:instrText xml:space="preserve"> PAGEREF _Toc227753750 \h </w:instrText>
            </w:r>
            <w:r>
              <w:rPr>
                <w:noProof/>
                <w:webHidden/>
              </w:rPr>
            </w:r>
            <w:r>
              <w:rPr>
                <w:noProof/>
                <w:webHidden/>
              </w:rPr>
              <w:fldChar w:fldCharType="separate"/>
            </w:r>
            <w:r>
              <w:rPr>
                <w:noProof/>
                <w:webHidden/>
              </w:rPr>
              <w:t>11</w:t>
            </w:r>
            <w:r>
              <w:rPr>
                <w:noProof/>
                <w:webHidden/>
              </w:rPr>
              <w:fldChar w:fldCharType="end"/>
            </w:r>
          </w:hyperlink>
        </w:p>
        <w:p w14:paraId="6EEDB3F5" w14:textId="608B3CBF"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51" w:history="1">
            <w:r w:rsidRPr="0037783F">
              <w:rPr>
                <w:rStyle w:val="Hyperlink"/>
                <w:noProof/>
              </w:rPr>
              <w:t>Quality evaluation summary</w:t>
            </w:r>
            <w:r>
              <w:rPr>
                <w:noProof/>
                <w:webHidden/>
              </w:rPr>
              <w:tab/>
            </w:r>
            <w:r>
              <w:rPr>
                <w:noProof/>
                <w:webHidden/>
              </w:rPr>
              <w:fldChar w:fldCharType="begin"/>
            </w:r>
            <w:r>
              <w:rPr>
                <w:noProof/>
                <w:webHidden/>
              </w:rPr>
              <w:instrText xml:space="preserve"> PAGEREF _Toc227753751 \h </w:instrText>
            </w:r>
            <w:r>
              <w:rPr>
                <w:noProof/>
                <w:webHidden/>
              </w:rPr>
            </w:r>
            <w:r>
              <w:rPr>
                <w:noProof/>
                <w:webHidden/>
              </w:rPr>
              <w:fldChar w:fldCharType="separate"/>
            </w:r>
            <w:r>
              <w:rPr>
                <w:noProof/>
                <w:webHidden/>
              </w:rPr>
              <w:t>11</w:t>
            </w:r>
            <w:r>
              <w:rPr>
                <w:noProof/>
                <w:webHidden/>
              </w:rPr>
              <w:fldChar w:fldCharType="end"/>
            </w:r>
          </w:hyperlink>
        </w:p>
        <w:p w14:paraId="301DB43E" w14:textId="7F1C23D5"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52" w:history="1">
            <w:r w:rsidRPr="0037783F">
              <w:rPr>
                <w:rStyle w:val="Hyperlink"/>
                <w:noProof/>
              </w:rPr>
              <w:t>Nonclinical evaluation summary</w:t>
            </w:r>
            <w:r>
              <w:rPr>
                <w:noProof/>
                <w:webHidden/>
              </w:rPr>
              <w:tab/>
            </w:r>
            <w:r>
              <w:rPr>
                <w:noProof/>
                <w:webHidden/>
              </w:rPr>
              <w:fldChar w:fldCharType="begin"/>
            </w:r>
            <w:r>
              <w:rPr>
                <w:noProof/>
                <w:webHidden/>
              </w:rPr>
              <w:instrText xml:space="preserve"> PAGEREF _Toc227753752 \h </w:instrText>
            </w:r>
            <w:r>
              <w:rPr>
                <w:noProof/>
                <w:webHidden/>
              </w:rPr>
            </w:r>
            <w:r>
              <w:rPr>
                <w:noProof/>
                <w:webHidden/>
              </w:rPr>
              <w:fldChar w:fldCharType="separate"/>
            </w:r>
            <w:r>
              <w:rPr>
                <w:noProof/>
                <w:webHidden/>
              </w:rPr>
              <w:t>11</w:t>
            </w:r>
            <w:r>
              <w:rPr>
                <w:noProof/>
                <w:webHidden/>
              </w:rPr>
              <w:fldChar w:fldCharType="end"/>
            </w:r>
          </w:hyperlink>
        </w:p>
        <w:p w14:paraId="7E987A46" w14:textId="53FA6EAC"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53" w:history="1">
            <w:r w:rsidRPr="0037783F">
              <w:rPr>
                <w:rStyle w:val="Hyperlink"/>
                <w:noProof/>
              </w:rPr>
              <w:t>Clinical evaluation summary</w:t>
            </w:r>
            <w:r>
              <w:rPr>
                <w:noProof/>
                <w:webHidden/>
              </w:rPr>
              <w:tab/>
            </w:r>
            <w:r>
              <w:rPr>
                <w:noProof/>
                <w:webHidden/>
              </w:rPr>
              <w:fldChar w:fldCharType="begin"/>
            </w:r>
            <w:r>
              <w:rPr>
                <w:noProof/>
                <w:webHidden/>
              </w:rPr>
              <w:instrText xml:space="preserve"> PAGEREF _Toc227753753 \h </w:instrText>
            </w:r>
            <w:r>
              <w:rPr>
                <w:noProof/>
                <w:webHidden/>
              </w:rPr>
            </w:r>
            <w:r>
              <w:rPr>
                <w:noProof/>
                <w:webHidden/>
              </w:rPr>
              <w:fldChar w:fldCharType="separate"/>
            </w:r>
            <w:r>
              <w:rPr>
                <w:noProof/>
                <w:webHidden/>
              </w:rPr>
              <w:t>11</w:t>
            </w:r>
            <w:r>
              <w:rPr>
                <w:noProof/>
                <w:webHidden/>
              </w:rPr>
              <w:fldChar w:fldCharType="end"/>
            </w:r>
          </w:hyperlink>
        </w:p>
        <w:p w14:paraId="3A97C1C5" w14:textId="1AB1A911"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54" w:history="1">
            <w:r w:rsidRPr="0037783F">
              <w:rPr>
                <w:rStyle w:val="Hyperlink"/>
                <w:noProof/>
              </w:rPr>
              <w:t>Summary of clinical studies</w:t>
            </w:r>
            <w:r>
              <w:rPr>
                <w:noProof/>
                <w:webHidden/>
              </w:rPr>
              <w:tab/>
            </w:r>
            <w:r>
              <w:rPr>
                <w:noProof/>
                <w:webHidden/>
              </w:rPr>
              <w:fldChar w:fldCharType="begin"/>
            </w:r>
            <w:r>
              <w:rPr>
                <w:noProof/>
                <w:webHidden/>
              </w:rPr>
              <w:instrText xml:space="preserve"> PAGEREF _Toc227753754 \h </w:instrText>
            </w:r>
            <w:r>
              <w:rPr>
                <w:noProof/>
                <w:webHidden/>
              </w:rPr>
            </w:r>
            <w:r>
              <w:rPr>
                <w:noProof/>
                <w:webHidden/>
              </w:rPr>
              <w:fldChar w:fldCharType="separate"/>
            </w:r>
            <w:r>
              <w:rPr>
                <w:noProof/>
                <w:webHidden/>
              </w:rPr>
              <w:t>11</w:t>
            </w:r>
            <w:r>
              <w:rPr>
                <w:noProof/>
                <w:webHidden/>
              </w:rPr>
              <w:fldChar w:fldCharType="end"/>
            </w:r>
          </w:hyperlink>
        </w:p>
        <w:p w14:paraId="6AF18399" w14:textId="69C526E8"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55" w:history="1">
            <w:r w:rsidRPr="0037783F">
              <w:rPr>
                <w:rStyle w:val="Hyperlink"/>
                <w:noProof/>
                <w:lang w:val="en-US"/>
              </w:rPr>
              <w:t>Immunogenicity, dose selection and safety</w:t>
            </w:r>
            <w:r>
              <w:rPr>
                <w:noProof/>
                <w:webHidden/>
              </w:rPr>
              <w:tab/>
            </w:r>
            <w:r>
              <w:rPr>
                <w:noProof/>
                <w:webHidden/>
              </w:rPr>
              <w:fldChar w:fldCharType="begin"/>
            </w:r>
            <w:r>
              <w:rPr>
                <w:noProof/>
                <w:webHidden/>
              </w:rPr>
              <w:instrText xml:space="preserve"> PAGEREF _Toc227753755 \h </w:instrText>
            </w:r>
            <w:r>
              <w:rPr>
                <w:noProof/>
                <w:webHidden/>
              </w:rPr>
            </w:r>
            <w:r>
              <w:rPr>
                <w:noProof/>
                <w:webHidden/>
              </w:rPr>
              <w:fldChar w:fldCharType="separate"/>
            </w:r>
            <w:r>
              <w:rPr>
                <w:noProof/>
                <w:webHidden/>
              </w:rPr>
              <w:t>12</w:t>
            </w:r>
            <w:r>
              <w:rPr>
                <w:noProof/>
                <w:webHidden/>
              </w:rPr>
              <w:fldChar w:fldCharType="end"/>
            </w:r>
          </w:hyperlink>
        </w:p>
        <w:p w14:paraId="4E52670A" w14:textId="02681362"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56" w:history="1">
            <w:r w:rsidRPr="0037783F">
              <w:rPr>
                <w:rStyle w:val="Hyperlink"/>
                <w:noProof/>
                <w:lang w:val="en-US"/>
              </w:rPr>
              <w:t>Safety</w:t>
            </w:r>
            <w:r>
              <w:rPr>
                <w:noProof/>
                <w:webHidden/>
              </w:rPr>
              <w:tab/>
            </w:r>
            <w:r>
              <w:rPr>
                <w:noProof/>
                <w:webHidden/>
              </w:rPr>
              <w:fldChar w:fldCharType="begin"/>
            </w:r>
            <w:r>
              <w:rPr>
                <w:noProof/>
                <w:webHidden/>
              </w:rPr>
              <w:instrText xml:space="preserve"> PAGEREF _Toc227753756 \h </w:instrText>
            </w:r>
            <w:r>
              <w:rPr>
                <w:noProof/>
                <w:webHidden/>
              </w:rPr>
            </w:r>
            <w:r>
              <w:rPr>
                <w:noProof/>
                <w:webHidden/>
              </w:rPr>
              <w:fldChar w:fldCharType="separate"/>
            </w:r>
            <w:r>
              <w:rPr>
                <w:noProof/>
                <w:webHidden/>
              </w:rPr>
              <w:t>26</w:t>
            </w:r>
            <w:r>
              <w:rPr>
                <w:noProof/>
                <w:webHidden/>
              </w:rPr>
              <w:fldChar w:fldCharType="end"/>
            </w:r>
          </w:hyperlink>
        </w:p>
        <w:p w14:paraId="4A47B82F" w14:textId="6A2B01AE"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57" w:history="1">
            <w:r w:rsidRPr="0037783F">
              <w:rPr>
                <w:rStyle w:val="Hyperlink"/>
                <w:noProof/>
                <w:lang w:eastAsia="en-AU"/>
              </w:rPr>
              <w:t>Risk management plan</w:t>
            </w:r>
            <w:r>
              <w:rPr>
                <w:noProof/>
                <w:webHidden/>
              </w:rPr>
              <w:tab/>
            </w:r>
            <w:r>
              <w:rPr>
                <w:noProof/>
                <w:webHidden/>
              </w:rPr>
              <w:fldChar w:fldCharType="begin"/>
            </w:r>
            <w:r>
              <w:rPr>
                <w:noProof/>
                <w:webHidden/>
              </w:rPr>
              <w:instrText xml:space="preserve"> PAGEREF _Toc227753757 \h </w:instrText>
            </w:r>
            <w:r>
              <w:rPr>
                <w:noProof/>
                <w:webHidden/>
              </w:rPr>
            </w:r>
            <w:r>
              <w:rPr>
                <w:noProof/>
                <w:webHidden/>
              </w:rPr>
              <w:fldChar w:fldCharType="separate"/>
            </w:r>
            <w:r>
              <w:rPr>
                <w:noProof/>
                <w:webHidden/>
              </w:rPr>
              <w:t>40</w:t>
            </w:r>
            <w:r>
              <w:rPr>
                <w:noProof/>
                <w:webHidden/>
              </w:rPr>
              <w:fldChar w:fldCharType="end"/>
            </w:r>
          </w:hyperlink>
        </w:p>
        <w:p w14:paraId="3C71BCD7" w14:textId="1EAFEF0C"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58" w:history="1">
            <w:r w:rsidRPr="0037783F">
              <w:rPr>
                <w:rStyle w:val="Hyperlink"/>
                <w:noProof/>
              </w:rPr>
              <w:t>Risk-benefit analysis</w:t>
            </w:r>
            <w:r>
              <w:rPr>
                <w:noProof/>
                <w:webHidden/>
              </w:rPr>
              <w:tab/>
            </w:r>
            <w:r>
              <w:rPr>
                <w:noProof/>
                <w:webHidden/>
              </w:rPr>
              <w:fldChar w:fldCharType="begin"/>
            </w:r>
            <w:r>
              <w:rPr>
                <w:noProof/>
                <w:webHidden/>
              </w:rPr>
              <w:instrText xml:space="preserve"> PAGEREF _Toc227753758 \h </w:instrText>
            </w:r>
            <w:r>
              <w:rPr>
                <w:noProof/>
                <w:webHidden/>
              </w:rPr>
            </w:r>
            <w:r>
              <w:rPr>
                <w:noProof/>
                <w:webHidden/>
              </w:rPr>
              <w:fldChar w:fldCharType="separate"/>
            </w:r>
            <w:r>
              <w:rPr>
                <w:noProof/>
                <w:webHidden/>
              </w:rPr>
              <w:t>41</w:t>
            </w:r>
            <w:r>
              <w:rPr>
                <w:noProof/>
                <w:webHidden/>
              </w:rPr>
              <w:fldChar w:fldCharType="end"/>
            </w:r>
          </w:hyperlink>
        </w:p>
        <w:p w14:paraId="72664ECE" w14:textId="62F1ECA3"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59" w:history="1">
            <w:r w:rsidRPr="0037783F">
              <w:rPr>
                <w:rStyle w:val="Hyperlink"/>
                <w:noProof/>
              </w:rPr>
              <w:t>Delegate’s considerations</w:t>
            </w:r>
            <w:r>
              <w:rPr>
                <w:noProof/>
                <w:webHidden/>
              </w:rPr>
              <w:tab/>
            </w:r>
            <w:r>
              <w:rPr>
                <w:noProof/>
                <w:webHidden/>
              </w:rPr>
              <w:fldChar w:fldCharType="begin"/>
            </w:r>
            <w:r>
              <w:rPr>
                <w:noProof/>
                <w:webHidden/>
              </w:rPr>
              <w:instrText xml:space="preserve"> PAGEREF _Toc227753759 \h </w:instrText>
            </w:r>
            <w:r>
              <w:rPr>
                <w:noProof/>
                <w:webHidden/>
              </w:rPr>
            </w:r>
            <w:r>
              <w:rPr>
                <w:noProof/>
                <w:webHidden/>
              </w:rPr>
              <w:fldChar w:fldCharType="separate"/>
            </w:r>
            <w:r>
              <w:rPr>
                <w:noProof/>
                <w:webHidden/>
              </w:rPr>
              <w:t>41</w:t>
            </w:r>
            <w:r>
              <w:rPr>
                <w:noProof/>
                <w:webHidden/>
              </w:rPr>
              <w:fldChar w:fldCharType="end"/>
            </w:r>
          </w:hyperlink>
        </w:p>
        <w:p w14:paraId="59EA38B5" w14:textId="614BEAFF"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60" w:history="1">
            <w:r w:rsidRPr="0037783F">
              <w:rPr>
                <w:rStyle w:val="Hyperlink"/>
                <w:noProof/>
              </w:rPr>
              <w:t>Proposed action</w:t>
            </w:r>
            <w:r>
              <w:rPr>
                <w:noProof/>
                <w:webHidden/>
              </w:rPr>
              <w:tab/>
            </w:r>
            <w:r>
              <w:rPr>
                <w:noProof/>
                <w:webHidden/>
              </w:rPr>
              <w:fldChar w:fldCharType="begin"/>
            </w:r>
            <w:r>
              <w:rPr>
                <w:noProof/>
                <w:webHidden/>
              </w:rPr>
              <w:instrText xml:space="preserve"> PAGEREF _Toc227753760 \h </w:instrText>
            </w:r>
            <w:r>
              <w:rPr>
                <w:noProof/>
                <w:webHidden/>
              </w:rPr>
            </w:r>
            <w:r>
              <w:rPr>
                <w:noProof/>
                <w:webHidden/>
              </w:rPr>
              <w:fldChar w:fldCharType="separate"/>
            </w:r>
            <w:r>
              <w:rPr>
                <w:noProof/>
                <w:webHidden/>
              </w:rPr>
              <w:t>41</w:t>
            </w:r>
            <w:r>
              <w:rPr>
                <w:noProof/>
                <w:webHidden/>
              </w:rPr>
              <w:fldChar w:fldCharType="end"/>
            </w:r>
          </w:hyperlink>
        </w:p>
        <w:p w14:paraId="098E6BF9" w14:textId="17E71E4E" w:rsidR="00435A42" w:rsidRDefault="00435A42">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7753761" w:history="1">
            <w:r w:rsidRPr="0037783F">
              <w:rPr>
                <w:rStyle w:val="Hyperlink"/>
                <w:noProof/>
              </w:rPr>
              <w:t>Advisory Committee considerations</w:t>
            </w:r>
            <w:r>
              <w:rPr>
                <w:noProof/>
                <w:webHidden/>
              </w:rPr>
              <w:tab/>
            </w:r>
            <w:r>
              <w:rPr>
                <w:noProof/>
                <w:webHidden/>
              </w:rPr>
              <w:fldChar w:fldCharType="begin"/>
            </w:r>
            <w:r>
              <w:rPr>
                <w:noProof/>
                <w:webHidden/>
              </w:rPr>
              <w:instrText xml:space="preserve"> PAGEREF _Toc227753761 \h </w:instrText>
            </w:r>
            <w:r>
              <w:rPr>
                <w:noProof/>
                <w:webHidden/>
              </w:rPr>
            </w:r>
            <w:r>
              <w:rPr>
                <w:noProof/>
                <w:webHidden/>
              </w:rPr>
              <w:fldChar w:fldCharType="separate"/>
            </w:r>
            <w:r>
              <w:rPr>
                <w:noProof/>
                <w:webHidden/>
              </w:rPr>
              <w:t>42</w:t>
            </w:r>
            <w:r>
              <w:rPr>
                <w:noProof/>
                <w:webHidden/>
              </w:rPr>
              <w:fldChar w:fldCharType="end"/>
            </w:r>
          </w:hyperlink>
        </w:p>
        <w:p w14:paraId="37D0D85E" w14:textId="5AD7B0E7" w:rsidR="00435A42" w:rsidRDefault="00435A42">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7753762" w:history="1">
            <w:r w:rsidRPr="0037783F">
              <w:rPr>
                <w:rStyle w:val="Hyperlink"/>
                <w:noProof/>
              </w:rPr>
              <w:t>Assessment outcome</w:t>
            </w:r>
            <w:r>
              <w:rPr>
                <w:noProof/>
                <w:webHidden/>
              </w:rPr>
              <w:tab/>
            </w:r>
            <w:r>
              <w:rPr>
                <w:noProof/>
                <w:webHidden/>
              </w:rPr>
              <w:fldChar w:fldCharType="begin"/>
            </w:r>
            <w:r>
              <w:rPr>
                <w:noProof/>
                <w:webHidden/>
              </w:rPr>
              <w:instrText xml:space="preserve"> PAGEREF _Toc227753762 \h </w:instrText>
            </w:r>
            <w:r>
              <w:rPr>
                <w:noProof/>
                <w:webHidden/>
              </w:rPr>
            </w:r>
            <w:r>
              <w:rPr>
                <w:noProof/>
                <w:webHidden/>
              </w:rPr>
              <w:fldChar w:fldCharType="separate"/>
            </w:r>
            <w:r>
              <w:rPr>
                <w:noProof/>
                <w:webHidden/>
              </w:rPr>
              <w:t>43</w:t>
            </w:r>
            <w:r>
              <w:rPr>
                <w:noProof/>
                <w:webHidden/>
              </w:rPr>
              <w:fldChar w:fldCharType="end"/>
            </w:r>
          </w:hyperlink>
        </w:p>
        <w:p w14:paraId="62096EBB" w14:textId="6AC527D5"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63" w:history="1">
            <w:r w:rsidRPr="0037783F">
              <w:rPr>
                <w:rStyle w:val="Hyperlink"/>
                <w:noProof/>
              </w:rPr>
              <w:t>Specific conditions of registration</w:t>
            </w:r>
            <w:r>
              <w:rPr>
                <w:noProof/>
                <w:webHidden/>
              </w:rPr>
              <w:tab/>
            </w:r>
            <w:r>
              <w:rPr>
                <w:noProof/>
                <w:webHidden/>
              </w:rPr>
              <w:fldChar w:fldCharType="begin"/>
            </w:r>
            <w:r>
              <w:rPr>
                <w:noProof/>
                <w:webHidden/>
              </w:rPr>
              <w:instrText xml:space="preserve"> PAGEREF _Toc227753763 \h </w:instrText>
            </w:r>
            <w:r>
              <w:rPr>
                <w:noProof/>
                <w:webHidden/>
              </w:rPr>
            </w:r>
            <w:r>
              <w:rPr>
                <w:noProof/>
                <w:webHidden/>
              </w:rPr>
              <w:fldChar w:fldCharType="separate"/>
            </w:r>
            <w:r>
              <w:rPr>
                <w:noProof/>
                <w:webHidden/>
              </w:rPr>
              <w:t>43</w:t>
            </w:r>
            <w:r>
              <w:rPr>
                <w:noProof/>
                <w:webHidden/>
              </w:rPr>
              <w:fldChar w:fldCharType="end"/>
            </w:r>
          </w:hyperlink>
        </w:p>
        <w:p w14:paraId="1EE9DAF2" w14:textId="1D16101C" w:rsidR="00435A42" w:rsidRDefault="00435A4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7753764" w:history="1">
            <w:r w:rsidRPr="0037783F">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_Toc227753764 \h </w:instrText>
            </w:r>
            <w:r>
              <w:rPr>
                <w:noProof/>
                <w:webHidden/>
              </w:rPr>
            </w:r>
            <w:r>
              <w:rPr>
                <w:noProof/>
                <w:webHidden/>
              </w:rPr>
              <w:fldChar w:fldCharType="separate"/>
            </w:r>
            <w:r>
              <w:rPr>
                <w:noProof/>
                <w:webHidden/>
              </w:rPr>
              <w:t>45</w:t>
            </w:r>
            <w:r>
              <w:rPr>
                <w:noProof/>
                <w:webHidden/>
              </w:rPr>
              <w:fldChar w:fldCharType="end"/>
            </w:r>
          </w:hyperlink>
        </w:p>
        <w:p w14:paraId="77659F2D" w14:textId="0C8135AE"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27753739"/>
      <w:bookmarkStart w:id="3" w:name="_Toc323739589"/>
      <w:bookmarkStart w:id="4" w:name="_Toc356305216"/>
      <w:r>
        <w:lastRenderedPageBreak/>
        <w:t>List of abbreviations</w:t>
      </w:r>
      <w:bookmarkEnd w:id="0"/>
      <w:bookmarkEnd w:id="1"/>
      <w:bookmarkEnd w:id="2"/>
    </w:p>
    <w:tbl>
      <w:tblPr>
        <w:tblW w:w="9356"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332"/>
        <w:gridCol w:w="7024"/>
      </w:tblGrid>
      <w:tr w:rsidR="00362B7D" w:rsidRPr="00362B7D" w14:paraId="7A7CF06D" w14:textId="77777777" w:rsidTr="008D47DC">
        <w:trPr>
          <w:trHeight w:val="404"/>
        </w:trPr>
        <w:tc>
          <w:tcPr>
            <w:tcW w:w="2332" w:type="dxa"/>
            <w:shd w:val="clear" w:color="auto" w:fill="DEEAF6"/>
          </w:tcPr>
          <w:p w14:paraId="15ACD880" w14:textId="77777777" w:rsidR="00362B7D" w:rsidRPr="00C01CCA" w:rsidRDefault="00362B7D" w:rsidP="006C7F83">
            <w:pPr>
              <w:ind w:left="142"/>
              <w:rPr>
                <w:b/>
                <w:color w:val="1F3864" w:themeColor="accent1" w:themeShade="80"/>
                <w:lang w:val="en-US"/>
              </w:rPr>
            </w:pPr>
            <w:r w:rsidRPr="00C01CCA">
              <w:rPr>
                <w:b/>
                <w:color w:val="1F3864" w:themeColor="accent1" w:themeShade="80"/>
                <w:lang w:val="en-US"/>
              </w:rPr>
              <w:t>Abbreviation</w:t>
            </w:r>
          </w:p>
        </w:tc>
        <w:tc>
          <w:tcPr>
            <w:tcW w:w="7024" w:type="dxa"/>
            <w:shd w:val="clear" w:color="auto" w:fill="DEEAF6"/>
          </w:tcPr>
          <w:p w14:paraId="22FA618C" w14:textId="77777777" w:rsidR="00362B7D" w:rsidRPr="00C01CCA" w:rsidRDefault="00362B7D" w:rsidP="006C7F83">
            <w:pPr>
              <w:ind w:left="215"/>
              <w:rPr>
                <w:b/>
                <w:color w:val="1F3864" w:themeColor="accent1" w:themeShade="80"/>
                <w:lang w:val="en-US"/>
              </w:rPr>
            </w:pPr>
            <w:r w:rsidRPr="00C01CCA">
              <w:rPr>
                <w:b/>
                <w:color w:val="1F3864" w:themeColor="accent1" w:themeShade="80"/>
                <w:lang w:val="en-US"/>
              </w:rPr>
              <w:t>Meaning</w:t>
            </w:r>
          </w:p>
        </w:tc>
      </w:tr>
      <w:tr w:rsidR="00362B7D" w:rsidRPr="00362B7D" w14:paraId="32A611CF" w14:textId="77777777" w:rsidTr="008D47DC">
        <w:trPr>
          <w:trHeight w:val="404"/>
        </w:trPr>
        <w:tc>
          <w:tcPr>
            <w:tcW w:w="2332" w:type="dxa"/>
          </w:tcPr>
          <w:p w14:paraId="26208B1F" w14:textId="77777777" w:rsidR="00362B7D" w:rsidRPr="00362B7D" w:rsidRDefault="00362B7D" w:rsidP="006C7F83">
            <w:pPr>
              <w:ind w:left="142"/>
            </w:pPr>
            <w:r w:rsidRPr="00362B7D">
              <w:t>ACM</w:t>
            </w:r>
          </w:p>
        </w:tc>
        <w:tc>
          <w:tcPr>
            <w:tcW w:w="7024" w:type="dxa"/>
          </w:tcPr>
          <w:p w14:paraId="4985F21D" w14:textId="77777777" w:rsidR="00362B7D" w:rsidRPr="00362B7D" w:rsidRDefault="00362B7D" w:rsidP="006C7F83">
            <w:pPr>
              <w:ind w:left="215"/>
            </w:pPr>
            <w:r w:rsidRPr="00362B7D">
              <w:t>Advisory Committee on Medicines</w:t>
            </w:r>
          </w:p>
        </w:tc>
      </w:tr>
      <w:tr w:rsidR="00362B7D" w:rsidRPr="00362B7D" w14:paraId="2BAE9CE3" w14:textId="77777777" w:rsidTr="008D47DC">
        <w:trPr>
          <w:trHeight w:val="404"/>
        </w:trPr>
        <w:tc>
          <w:tcPr>
            <w:tcW w:w="2332" w:type="dxa"/>
          </w:tcPr>
          <w:p w14:paraId="280612C9" w14:textId="77777777" w:rsidR="00362B7D" w:rsidRPr="00362B7D" w:rsidRDefault="00362B7D" w:rsidP="006C7F83">
            <w:pPr>
              <w:ind w:left="142"/>
            </w:pPr>
            <w:r w:rsidRPr="00362B7D">
              <w:t>ACPM</w:t>
            </w:r>
          </w:p>
        </w:tc>
        <w:tc>
          <w:tcPr>
            <w:tcW w:w="7024" w:type="dxa"/>
          </w:tcPr>
          <w:p w14:paraId="0C0B61AB" w14:textId="77777777" w:rsidR="00362B7D" w:rsidRPr="00362B7D" w:rsidRDefault="00362B7D" w:rsidP="006C7F83">
            <w:pPr>
              <w:ind w:left="215"/>
            </w:pPr>
            <w:r w:rsidRPr="00362B7D">
              <w:t>Advisory Committee on Prescription Medicines (now the ACM/ ACV)</w:t>
            </w:r>
          </w:p>
        </w:tc>
      </w:tr>
      <w:tr w:rsidR="00362B7D" w:rsidRPr="00362B7D" w14:paraId="088BF7D9" w14:textId="77777777" w:rsidTr="008D47DC">
        <w:trPr>
          <w:trHeight w:val="404"/>
        </w:trPr>
        <w:tc>
          <w:tcPr>
            <w:tcW w:w="2332" w:type="dxa"/>
          </w:tcPr>
          <w:p w14:paraId="64C57A0B" w14:textId="77777777" w:rsidR="00362B7D" w:rsidRPr="00362B7D" w:rsidRDefault="00362B7D" w:rsidP="006C7F83">
            <w:pPr>
              <w:ind w:left="142"/>
            </w:pPr>
            <w:r w:rsidRPr="00362B7D">
              <w:t>ACV</w:t>
            </w:r>
          </w:p>
        </w:tc>
        <w:tc>
          <w:tcPr>
            <w:tcW w:w="7024" w:type="dxa"/>
          </w:tcPr>
          <w:p w14:paraId="06E7E013" w14:textId="77777777" w:rsidR="00362B7D" w:rsidRPr="00362B7D" w:rsidRDefault="00362B7D" w:rsidP="006C7F83">
            <w:pPr>
              <w:ind w:left="215"/>
            </w:pPr>
            <w:r w:rsidRPr="00362B7D">
              <w:t>Advisory Committee on Vaccines</w:t>
            </w:r>
          </w:p>
        </w:tc>
      </w:tr>
      <w:tr w:rsidR="00362B7D" w:rsidRPr="00362B7D" w14:paraId="2A2390AB" w14:textId="77777777" w:rsidTr="008D47DC">
        <w:trPr>
          <w:trHeight w:val="404"/>
        </w:trPr>
        <w:tc>
          <w:tcPr>
            <w:tcW w:w="2332" w:type="dxa"/>
          </w:tcPr>
          <w:p w14:paraId="7CAFE31F" w14:textId="77777777" w:rsidR="00362B7D" w:rsidRPr="00362B7D" w:rsidRDefault="00362B7D" w:rsidP="006C7F83">
            <w:pPr>
              <w:ind w:left="142"/>
            </w:pPr>
            <w:r w:rsidRPr="00362B7D">
              <w:t>AE(s)</w:t>
            </w:r>
          </w:p>
        </w:tc>
        <w:tc>
          <w:tcPr>
            <w:tcW w:w="7024" w:type="dxa"/>
          </w:tcPr>
          <w:p w14:paraId="02A90B4F" w14:textId="77777777" w:rsidR="00362B7D" w:rsidRPr="00362B7D" w:rsidRDefault="00362B7D" w:rsidP="006C7F83">
            <w:pPr>
              <w:ind w:left="215"/>
            </w:pPr>
            <w:r w:rsidRPr="00362B7D">
              <w:t>Adverse event(s)</w:t>
            </w:r>
          </w:p>
        </w:tc>
      </w:tr>
      <w:tr w:rsidR="00362B7D" w:rsidRPr="00362B7D" w14:paraId="6562DE0D" w14:textId="77777777" w:rsidTr="008D47DC">
        <w:trPr>
          <w:trHeight w:val="404"/>
        </w:trPr>
        <w:tc>
          <w:tcPr>
            <w:tcW w:w="2332" w:type="dxa"/>
          </w:tcPr>
          <w:p w14:paraId="3171C817" w14:textId="77777777" w:rsidR="00362B7D" w:rsidRPr="00362B7D" w:rsidRDefault="00362B7D" w:rsidP="006C7F83">
            <w:pPr>
              <w:ind w:left="142"/>
            </w:pPr>
            <w:r w:rsidRPr="00362B7D">
              <w:t>AESI</w:t>
            </w:r>
          </w:p>
        </w:tc>
        <w:tc>
          <w:tcPr>
            <w:tcW w:w="7024" w:type="dxa"/>
          </w:tcPr>
          <w:p w14:paraId="7515EE46" w14:textId="77777777" w:rsidR="00362B7D" w:rsidRPr="00362B7D" w:rsidRDefault="00362B7D" w:rsidP="006C7F83">
            <w:pPr>
              <w:ind w:left="215"/>
            </w:pPr>
            <w:r w:rsidRPr="00362B7D">
              <w:t>Adverse events of special interest</w:t>
            </w:r>
          </w:p>
        </w:tc>
      </w:tr>
      <w:tr w:rsidR="00362B7D" w:rsidRPr="00362B7D" w14:paraId="3E64BD42" w14:textId="77777777" w:rsidTr="008D47DC">
        <w:trPr>
          <w:trHeight w:val="404"/>
        </w:trPr>
        <w:tc>
          <w:tcPr>
            <w:tcW w:w="2332" w:type="dxa"/>
          </w:tcPr>
          <w:p w14:paraId="1CED84D9" w14:textId="77777777" w:rsidR="00362B7D" w:rsidRPr="00362B7D" w:rsidRDefault="00362B7D" w:rsidP="006C7F83">
            <w:pPr>
              <w:ind w:left="142"/>
            </w:pPr>
            <w:r w:rsidRPr="00362B7D">
              <w:t>aH5N1c</w:t>
            </w:r>
          </w:p>
        </w:tc>
        <w:tc>
          <w:tcPr>
            <w:tcW w:w="7024" w:type="dxa"/>
          </w:tcPr>
          <w:p w14:paraId="5F0E306D" w14:textId="77777777" w:rsidR="00362B7D" w:rsidRPr="00362B7D" w:rsidRDefault="00362B7D" w:rsidP="006C7F83">
            <w:pPr>
              <w:ind w:left="215"/>
            </w:pPr>
            <w:r w:rsidRPr="00362B7D">
              <w:t>Audenz, Celldemic</w:t>
            </w:r>
          </w:p>
        </w:tc>
      </w:tr>
      <w:tr w:rsidR="00362B7D" w:rsidRPr="00362B7D" w14:paraId="74A8897C" w14:textId="77777777" w:rsidTr="008D47DC">
        <w:trPr>
          <w:trHeight w:val="404"/>
        </w:trPr>
        <w:tc>
          <w:tcPr>
            <w:tcW w:w="2332" w:type="dxa"/>
          </w:tcPr>
          <w:p w14:paraId="39BD69E3" w14:textId="77777777" w:rsidR="00362B7D" w:rsidRPr="00362B7D" w:rsidRDefault="00362B7D" w:rsidP="006C7F83">
            <w:pPr>
              <w:ind w:left="142"/>
            </w:pPr>
            <w:r w:rsidRPr="00362B7D">
              <w:t>ARTG</w:t>
            </w:r>
          </w:p>
        </w:tc>
        <w:tc>
          <w:tcPr>
            <w:tcW w:w="7024" w:type="dxa"/>
          </w:tcPr>
          <w:p w14:paraId="32940C4C" w14:textId="77777777" w:rsidR="00362B7D" w:rsidRPr="00362B7D" w:rsidRDefault="00362B7D" w:rsidP="006C7F83">
            <w:pPr>
              <w:ind w:left="215"/>
            </w:pPr>
            <w:r w:rsidRPr="00362B7D">
              <w:t>Australian Register of Therapeutic Goods</w:t>
            </w:r>
          </w:p>
        </w:tc>
      </w:tr>
      <w:tr w:rsidR="00362B7D" w:rsidRPr="00362B7D" w14:paraId="74A73787" w14:textId="77777777" w:rsidTr="008D47DC">
        <w:trPr>
          <w:trHeight w:val="404"/>
        </w:trPr>
        <w:tc>
          <w:tcPr>
            <w:tcW w:w="2332" w:type="dxa"/>
          </w:tcPr>
          <w:p w14:paraId="00AF5E00" w14:textId="77777777" w:rsidR="00362B7D" w:rsidRPr="00362B7D" w:rsidRDefault="00362B7D" w:rsidP="006C7F83">
            <w:pPr>
              <w:ind w:left="142"/>
            </w:pPr>
            <w:r w:rsidRPr="00362B7D">
              <w:t>ASA</w:t>
            </w:r>
          </w:p>
        </w:tc>
        <w:tc>
          <w:tcPr>
            <w:tcW w:w="7024" w:type="dxa"/>
          </w:tcPr>
          <w:p w14:paraId="62B5D487" w14:textId="77777777" w:rsidR="00362B7D" w:rsidRPr="00362B7D" w:rsidRDefault="00362B7D" w:rsidP="006C7F83">
            <w:pPr>
              <w:ind w:left="215"/>
            </w:pPr>
            <w:r w:rsidRPr="00362B7D">
              <w:t>Australia-specific annex</w:t>
            </w:r>
          </w:p>
        </w:tc>
      </w:tr>
      <w:tr w:rsidR="00362B7D" w:rsidRPr="00362B7D" w14:paraId="7028B437" w14:textId="77777777" w:rsidTr="008D47DC">
        <w:trPr>
          <w:trHeight w:val="404"/>
        </w:trPr>
        <w:tc>
          <w:tcPr>
            <w:tcW w:w="2332" w:type="dxa"/>
          </w:tcPr>
          <w:p w14:paraId="4E0A1E58" w14:textId="77777777" w:rsidR="00362B7D" w:rsidRPr="00362B7D" w:rsidRDefault="00362B7D" w:rsidP="006C7F83">
            <w:pPr>
              <w:ind w:left="142"/>
            </w:pPr>
            <w:r w:rsidRPr="00362B7D">
              <w:t>BMI</w:t>
            </w:r>
          </w:p>
        </w:tc>
        <w:tc>
          <w:tcPr>
            <w:tcW w:w="7024" w:type="dxa"/>
          </w:tcPr>
          <w:p w14:paraId="753AE9D0" w14:textId="77777777" w:rsidR="00362B7D" w:rsidRPr="00362B7D" w:rsidRDefault="00362B7D" w:rsidP="006C7F83">
            <w:pPr>
              <w:ind w:left="215"/>
            </w:pPr>
            <w:r w:rsidRPr="00362B7D">
              <w:t>Body mass index</w:t>
            </w:r>
          </w:p>
        </w:tc>
      </w:tr>
      <w:tr w:rsidR="00362B7D" w:rsidRPr="00362B7D" w14:paraId="1F9AC5D4" w14:textId="77777777" w:rsidTr="008D47DC">
        <w:trPr>
          <w:trHeight w:val="404"/>
        </w:trPr>
        <w:tc>
          <w:tcPr>
            <w:tcW w:w="2332" w:type="dxa"/>
          </w:tcPr>
          <w:p w14:paraId="6496924C" w14:textId="77777777" w:rsidR="00362B7D" w:rsidRPr="00362B7D" w:rsidRDefault="00362B7D" w:rsidP="006C7F83">
            <w:pPr>
              <w:ind w:left="142"/>
            </w:pPr>
            <w:r w:rsidRPr="00362B7D">
              <w:t>CBER</w:t>
            </w:r>
          </w:p>
        </w:tc>
        <w:tc>
          <w:tcPr>
            <w:tcW w:w="7024" w:type="dxa"/>
          </w:tcPr>
          <w:p w14:paraId="7F77523C" w14:textId="77777777" w:rsidR="00362B7D" w:rsidRPr="00362B7D" w:rsidRDefault="00362B7D" w:rsidP="006C7F83">
            <w:pPr>
              <w:ind w:left="215"/>
            </w:pPr>
            <w:r w:rsidRPr="00362B7D">
              <w:t>Center for Biologics Evaluation and Research</w:t>
            </w:r>
          </w:p>
        </w:tc>
      </w:tr>
      <w:tr w:rsidR="00362B7D" w:rsidRPr="00362B7D" w14:paraId="355AE181" w14:textId="77777777" w:rsidTr="008D47DC">
        <w:trPr>
          <w:trHeight w:val="404"/>
        </w:trPr>
        <w:tc>
          <w:tcPr>
            <w:tcW w:w="2332" w:type="dxa"/>
          </w:tcPr>
          <w:p w14:paraId="0FA41D93" w14:textId="77777777" w:rsidR="00362B7D" w:rsidRPr="00362B7D" w:rsidRDefault="00362B7D" w:rsidP="006C7F83">
            <w:pPr>
              <w:ind w:left="142"/>
            </w:pPr>
            <w:r w:rsidRPr="00362B7D">
              <w:t>CHMP</w:t>
            </w:r>
          </w:p>
        </w:tc>
        <w:tc>
          <w:tcPr>
            <w:tcW w:w="7024" w:type="dxa"/>
          </w:tcPr>
          <w:p w14:paraId="260F55CA" w14:textId="77777777" w:rsidR="00362B7D" w:rsidRPr="00362B7D" w:rsidRDefault="00362B7D" w:rsidP="006C7F83">
            <w:pPr>
              <w:ind w:left="215"/>
            </w:pPr>
            <w:r w:rsidRPr="00362B7D">
              <w:t>Committee for Medicinal Products for Human Use</w:t>
            </w:r>
          </w:p>
        </w:tc>
      </w:tr>
      <w:tr w:rsidR="00362B7D" w:rsidRPr="00362B7D" w14:paraId="0BE351A8" w14:textId="77777777" w:rsidTr="008D47DC">
        <w:trPr>
          <w:trHeight w:val="404"/>
        </w:trPr>
        <w:tc>
          <w:tcPr>
            <w:tcW w:w="2332" w:type="dxa"/>
          </w:tcPr>
          <w:p w14:paraId="7A89D166" w14:textId="77777777" w:rsidR="00362B7D" w:rsidRPr="00362B7D" w:rsidRDefault="00362B7D" w:rsidP="006C7F83">
            <w:pPr>
              <w:ind w:left="142"/>
            </w:pPr>
            <w:r w:rsidRPr="00362B7D">
              <w:t>CI</w:t>
            </w:r>
          </w:p>
        </w:tc>
        <w:tc>
          <w:tcPr>
            <w:tcW w:w="7024" w:type="dxa"/>
          </w:tcPr>
          <w:p w14:paraId="14333775" w14:textId="77777777" w:rsidR="00362B7D" w:rsidRPr="00362B7D" w:rsidRDefault="00362B7D" w:rsidP="006C7F83">
            <w:pPr>
              <w:ind w:left="215"/>
            </w:pPr>
            <w:r w:rsidRPr="00362B7D">
              <w:t>Confidence Interval</w:t>
            </w:r>
          </w:p>
        </w:tc>
      </w:tr>
      <w:tr w:rsidR="00362B7D" w:rsidRPr="00362B7D" w14:paraId="3F91EEB0" w14:textId="77777777" w:rsidTr="008D47DC">
        <w:trPr>
          <w:trHeight w:val="404"/>
        </w:trPr>
        <w:tc>
          <w:tcPr>
            <w:tcW w:w="2332" w:type="dxa"/>
          </w:tcPr>
          <w:p w14:paraId="2AC05ED1" w14:textId="77777777" w:rsidR="00362B7D" w:rsidRPr="00362B7D" w:rsidRDefault="00362B7D" w:rsidP="006C7F83">
            <w:pPr>
              <w:ind w:left="142"/>
            </w:pPr>
            <w:r w:rsidRPr="00362B7D">
              <w:t>CMI</w:t>
            </w:r>
          </w:p>
        </w:tc>
        <w:tc>
          <w:tcPr>
            <w:tcW w:w="7024" w:type="dxa"/>
          </w:tcPr>
          <w:p w14:paraId="31024806" w14:textId="77777777" w:rsidR="00362B7D" w:rsidRPr="00362B7D" w:rsidRDefault="00362B7D" w:rsidP="006C7F83">
            <w:pPr>
              <w:ind w:left="215"/>
            </w:pPr>
            <w:r w:rsidRPr="00362B7D">
              <w:t>Consumer Medicines Information</w:t>
            </w:r>
          </w:p>
        </w:tc>
      </w:tr>
      <w:tr w:rsidR="00362B7D" w:rsidRPr="00362B7D" w14:paraId="2EF18DBF" w14:textId="77777777" w:rsidTr="008D47DC">
        <w:trPr>
          <w:trHeight w:val="404"/>
        </w:trPr>
        <w:tc>
          <w:tcPr>
            <w:tcW w:w="2332" w:type="dxa"/>
          </w:tcPr>
          <w:p w14:paraId="5C7EADFA" w14:textId="77777777" w:rsidR="00362B7D" w:rsidRPr="00362B7D" w:rsidRDefault="00362B7D" w:rsidP="006C7F83">
            <w:pPr>
              <w:ind w:left="142"/>
            </w:pPr>
            <w:r w:rsidRPr="00362B7D">
              <w:t>DLP</w:t>
            </w:r>
          </w:p>
        </w:tc>
        <w:tc>
          <w:tcPr>
            <w:tcW w:w="7024" w:type="dxa"/>
          </w:tcPr>
          <w:p w14:paraId="02E53A13" w14:textId="77777777" w:rsidR="00362B7D" w:rsidRPr="00362B7D" w:rsidRDefault="00362B7D" w:rsidP="006C7F83">
            <w:pPr>
              <w:ind w:left="215"/>
            </w:pPr>
            <w:r w:rsidRPr="00362B7D">
              <w:t>Data lock point</w:t>
            </w:r>
          </w:p>
        </w:tc>
      </w:tr>
      <w:tr w:rsidR="00362B7D" w:rsidRPr="00362B7D" w14:paraId="41D906C7" w14:textId="77777777" w:rsidTr="008D47DC">
        <w:trPr>
          <w:trHeight w:val="404"/>
        </w:trPr>
        <w:tc>
          <w:tcPr>
            <w:tcW w:w="2332" w:type="dxa"/>
          </w:tcPr>
          <w:p w14:paraId="03D79DA0" w14:textId="77777777" w:rsidR="00362B7D" w:rsidRPr="00362B7D" w:rsidRDefault="00362B7D" w:rsidP="006C7F83">
            <w:pPr>
              <w:ind w:left="142"/>
            </w:pPr>
            <w:r w:rsidRPr="00362B7D">
              <w:t>DP</w:t>
            </w:r>
          </w:p>
        </w:tc>
        <w:tc>
          <w:tcPr>
            <w:tcW w:w="7024" w:type="dxa"/>
          </w:tcPr>
          <w:p w14:paraId="01C6C750" w14:textId="77777777" w:rsidR="00362B7D" w:rsidRPr="00362B7D" w:rsidRDefault="00362B7D" w:rsidP="006C7F83">
            <w:pPr>
              <w:ind w:left="215"/>
            </w:pPr>
            <w:r w:rsidRPr="00362B7D">
              <w:t>Drug product</w:t>
            </w:r>
          </w:p>
        </w:tc>
      </w:tr>
      <w:tr w:rsidR="00362B7D" w:rsidRPr="00362B7D" w14:paraId="60D56C01" w14:textId="77777777" w:rsidTr="008D47DC">
        <w:trPr>
          <w:trHeight w:val="404"/>
        </w:trPr>
        <w:tc>
          <w:tcPr>
            <w:tcW w:w="2332" w:type="dxa"/>
          </w:tcPr>
          <w:p w14:paraId="3DE5DB69" w14:textId="77777777" w:rsidR="00362B7D" w:rsidRPr="00362B7D" w:rsidRDefault="00362B7D" w:rsidP="006C7F83">
            <w:pPr>
              <w:ind w:left="142"/>
            </w:pPr>
            <w:r w:rsidRPr="00362B7D">
              <w:t>EU</w:t>
            </w:r>
          </w:p>
        </w:tc>
        <w:tc>
          <w:tcPr>
            <w:tcW w:w="7024" w:type="dxa"/>
          </w:tcPr>
          <w:p w14:paraId="361F10D4" w14:textId="77777777" w:rsidR="00362B7D" w:rsidRPr="00362B7D" w:rsidRDefault="00362B7D" w:rsidP="006C7F83">
            <w:pPr>
              <w:ind w:left="215"/>
            </w:pPr>
            <w:r w:rsidRPr="00362B7D">
              <w:t>European Union</w:t>
            </w:r>
          </w:p>
        </w:tc>
      </w:tr>
      <w:tr w:rsidR="00362B7D" w:rsidRPr="00362B7D" w14:paraId="1E209640" w14:textId="77777777" w:rsidTr="008D47DC">
        <w:trPr>
          <w:trHeight w:val="404"/>
        </w:trPr>
        <w:tc>
          <w:tcPr>
            <w:tcW w:w="2332" w:type="dxa"/>
          </w:tcPr>
          <w:p w14:paraId="769D5E24" w14:textId="77777777" w:rsidR="00362B7D" w:rsidRPr="00362B7D" w:rsidRDefault="00362B7D" w:rsidP="006C7F83">
            <w:pPr>
              <w:ind w:left="142"/>
            </w:pPr>
            <w:r w:rsidRPr="00362B7D">
              <w:t>EMA</w:t>
            </w:r>
          </w:p>
        </w:tc>
        <w:tc>
          <w:tcPr>
            <w:tcW w:w="7024" w:type="dxa"/>
          </w:tcPr>
          <w:p w14:paraId="0E318DFB" w14:textId="77777777" w:rsidR="00362B7D" w:rsidRPr="00362B7D" w:rsidRDefault="00362B7D" w:rsidP="006C7F83">
            <w:pPr>
              <w:ind w:left="215"/>
            </w:pPr>
            <w:r w:rsidRPr="00362B7D">
              <w:t>European Medicines Agency</w:t>
            </w:r>
          </w:p>
        </w:tc>
      </w:tr>
      <w:tr w:rsidR="00362B7D" w:rsidRPr="00362B7D" w14:paraId="64BB95F7" w14:textId="77777777" w:rsidTr="008D47DC">
        <w:trPr>
          <w:trHeight w:val="404"/>
        </w:trPr>
        <w:tc>
          <w:tcPr>
            <w:tcW w:w="2332" w:type="dxa"/>
          </w:tcPr>
          <w:p w14:paraId="6330D456" w14:textId="77777777" w:rsidR="00362B7D" w:rsidRPr="00362B7D" w:rsidRDefault="00362B7D" w:rsidP="006C7F83">
            <w:pPr>
              <w:ind w:left="142"/>
            </w:pPr>
            <w:r w:rsidRPr="00362B7D">
              <w:t>FAS</w:t>
            </w:r>
          </w:p>
        </w:tc>
        <w:tc>
          <w:tcPr>
            <w:tcW w:w="7024" w:type="dxa"/>
          </w:tcPr>
          <w:p w14:paraId="634EE532" w14:textId="77777777" w:rsidR="00362B7D" w:rsidRPr="00362B7D" w:rsidRDefault="00362B7D" w:rsidP="006C7F83">
            <w:pPr>
              <w:ind w:left="215"/>
            </w:pPr>
            <w:r w:rsidRPr="00362B7D">
              <w:t>Full Analysis Set</w:t>
            </w:r>
          </w:p>
        </w:tc>
      </w:tr>
      <w:tr w:rsidR="00362B7D" w:rsidRPr="00362B7D" w14:paraId="0344E3B4" w14:textId="77777777" w:rsidTr="008D47DC">
        <w:trPr>
          <w:trHeight w:val="404"/>
        </w:trPr>
        <w:tc>
          <w:tcPr>
            <w:tcW w:w="2332" w:type="dxa"/>
          </w:tcPr>
          <w:p w14:paraId="0B7506AA" w14:textId="77777777" w:rsidR="00362B7D" w:rsidRPr="00362B7D" w:rsidRDefault="00362B7D" w:rsidP="006C7F83">
            <w:pPr>
              <w:ind w:left="142"/>
            </w:pPr>
            <w:r w:rsidRPr="00362B7D">
              <w:t>FDA</w:t>
            </w:r>
          </w:p>
        </w:tc>
        <w:tc>
          <w:tcPr>
            <w:tcW w:w="7024" w:type="dxa"/>
          </w:tcPr>
          <w:p w14:paraId="238D6ABF" w14:textId="77777777" w:rsidR="00362B7D" w:rsidRPr="00362B7D" w:rsidRDefault="00362B7D" w:rsidP="006C7F83">
            <w:pPr>
              <w:ind w:left="215"/>
            </w:pPr>
            <w:r w:rsidRPr="00362B7D">
              <w:t>Food and Drug Administration</w:t>
            </w:r>
          </w:p>
        </w:tc>
      </w:tr>
      <w:tr w:rsidR="00362B7D" w:rsidRPr="00362B7D" w14:paraId="07FF2B10" w14:textId="77777777" w:rsidTr="008D47DC">
        <w:trPr>
          <w:trHeight w:val="404"/>
        </w:trPr>
        <w:tc>
          <w:tcPr>
            <w:tcW w:w="2332" w:type="dxa"/>
          </w:tcPr>
          <w:p w14:paraId="04E01A5B" w14:textId="77777777" w:rsidR="00362B7D" w:rsidRPr="00362B7D" w:rsidRDefault="00362B7D" w:rsidP="006C7F83">
            <w:pPr>
              <w:ind w:left="142"/>
            </w:pPr>
            <w:r w:rsidRPr="00362B7D">
              <w:t>GMR</w:t>
            </w:r>
          </w:p>
        </w:tc>
        <w:tc>
          <w:tcPr>
            <w:tcW w:w="7024" w:type="dxa"/>
          </w:tcPr>
          <w:p w14:paraId="245FBDC0" w14:textId="77777777" w:rsidR="00362B7D" w:rsidRPr="00362B7D" w:rsidRDefault="00362B7D" w:rsidP="006C7F83">
            <w:pPr>
              <w:ind w:left="215"/>
            </w:pPr>
            <w:r w:rsidRPr="00362B7D">
              <w:t>Geometric mean ratio</w:t>
            </w:r>
          </w:p>
        </w:tc>
      </w:tr>
      <w:tr w:rsidR="00362B7D" w:rsidRPr="00362B7D" w14:paraId="014071D6" w14:textId="77777777" w:rsidTr="008D47DC">
        <w:trPr>
          <w:trHeight w:val="404"/>
        </w:trPr>
        <w:tc>
          <w:tcPr>
            <w:tcW w:w="2332" w:type="dxa"/>
          </w:tcPr>
          <w:p w14:paraId="6323B181" w14:textId="77777777" w:rsidR="00362B7D" w:rsidRPr="00362B7D" w:rsidRDefault="00362B7D" w:rsidP="006C7F83">
            <w:pPr>
              <w:ind w:left="142"/>
            </w:pPr>
            <w:r w:rsidRPr="00362B7D">
              <w:t>GMT(s)</w:t>
            </w:r>
          </w:p>
        </w:tc>
        <w:tc>
          <w:tcPr>
            <w:tcW w:w="7024" w:type="dxa"/>
          </w:tcPr>
          <w:p w14:paraId="6B5D9C42" w14:textId="77777777" w:rsidR="00362B7D" w:rsidRPr="00362B7D" w:rsidRDefault="00362B7D" w:rsidP="006C7F83">
            <w:pPr>
              <w:ind w:left="215"/>
            </w:pPr>
            <w:r w:rsidRPr="00362B7D">
              <w:t>Geometric mean titre(s)</w:t>
            </w:r>
          </w:p>
        </w:tc>
      </w:tr>
      <w:tr w:rsidR="00362B7D" w:rsidRPr="00362B7D" w14:paraId="6FCFF9A9" w14:textId="77777777" w:rsidTr="008D47DC">
        <w:trPr>
          <w:trHeight w:val="404"/>
        </w:trPr>
        <w:tc>
          <w:tcPr>
            <w:tcW w:w="2332" w:type="dxa"/>
          </w:tcPr>
          <w:p w14:paraId="205BDAE9" w14:textId="77777777" w:rsidR="00362B7D" w:rsidRPr="00362B7D" w:rsidRDefault="00362B7D" w:rsidP="006C7F83">
            <w:pPr>
              <w:ind w:left="142"/>
            </w:pPr>
            <w:r w:rsidRPr="00362B7D">
              <w:t>HA</w:t>
            </w:r>
          </w:p>
        </w:tc>
        <w:tc>
          <w:tcPr>
            <w:tcW w:w="7024" w:type="dxa"/>
          </w:tcPr>
          <w:p w14:paraId="7EE9F103" w14:textId="77777777" w:rsidR="00362B7D" w:rsidRPr="00362B7D" w:rsidRDefault="00362B7D" w:rsidP="006C7F83">
            <w:pPr>
              <w:ind w:left="215"/>
            </w:pPr>
            <w:r w:rsidRPr="00362B7D">
              <w:t>Haemagglutinin</w:t>
            </w:r>
          </w:p>
        </w:tc>
      </w:tr>
      <w:tr w:rsidR="00362B7D" w:rsidRPr="00362B7D" w14:paraId="08D399D5" w14:textId="77777777" w:rsidTr="008D47DC">
        <w:trPr>
          <w:trHeight w:val="404"/>
        </w:trPr>
        <w:tc>
          <w:tcPr>
            <w:tcW w:w="2332" w:type="dxa"/>
          </w:tcPr>
          <w:p w14:paraId="18A9AA7A" w14:textId="77777777" w:rsidR="00362B7D" w:rsidRPr="00362B7D" w:rsidRDefault="00362B7D" w:rsidP="006C7F83">
            <w:pPr>
              <w:ind w:left="142"/>
            </w:pPr>
            <w:r w:rsidRPr="00362B7D">
              <w:t>HI</w:t>
            </w:r>
          </w:p>
        </w:tc>
        <w:tc>
          <w:tcPr>
            <w:tcW w:w="7024" w:type="dxa"/>
          </w:tcPr>
          <w:p w14:paraId="3FFDDB51" w14:textId="77777777" w:rsidR="00362B7D" w:rsidRPr="00362B7D" w:rsidRDefault="00362B7D" w:rsidP="006C7F83">
            <w:pPr>
              <w:ind w:left="215"/>
            </w:pPr>
            <w:r w:rsidRPr="00362B7D">
              <w:t>Hemagglutination inhibition</w:t>
            </w:r>
          </w:p>
        </w:tc>
      </w:tr>
      <w:tr w:rsidR="00362B7D" w:rsidRPr="00362B7D" w14:paraId="68E4CDA0" w14:textId="77777777" w:rsidTr="008D47DC">
        <w:trPr>
          <w:trHeight w:val="404"/>
        </w:trPr>
        <w:tc>
          <w:tcPr>
            <w:tcW w:w="2332" w:type="dxa"/>
          </w:tcPr>
          <w:p w14:paraId="38C126F8" w14:textId="77777777" w:rsidR="00362B7D" w:rsidRPr="00362B7D" w:rsidRDefault="00362B7D" w:rsidP="006C7F83">
            <w:pPr>
              <w:ind w:left="142"/>
            </w:pPr>
            <w:r w:rsidRPr="00362B7D">
              <w:t>IM</w:t>
            </w:r>
          </w:p>
        </w:tc>
        <w:tc>
          <w:tcPr>
            <w:tcW w:w="7024" w:type="dxa"/>
          </w:tcPr>
          <w:p w14:paraId="6500C079" w14:textId="77777777" w:rsidR="00362B7D" w:rsidRPr="00362B7D" w:rsidRDefault="00362B7D" w:rsidP="006C7F83">
            <w:pPr>
              <w:ind w:left="215"/>
            </w:pPr>
            <w:r w:rsidRPr="00362B7D">
              <w:t>Intramuscular</w:t>
            </w:r>
          </w:p>
        </w:tc>
      </w:tr>
      <w:tr w:rsidR="00362B7D" w:rsidRPr="00362B7D" w14:paraId="7F72D6D7" w14:textId="77777777" w:rsidTr="008D47DC">
        <w:trPr>
          <w:trHeight w:val="404"/>
        </w:trPr>
        <w:tc>
          <w:tcPr>
            <w:tcW w:w="2332" w:type="dxa"/>
          </w:tcPr>
          <w:p w14:paraId="2CB17401" w14:textId="77777777" w:rsidR="00362B7D" w:rsidRPr="00362B7D" w:rsidRDefault="00362B7D" w:rsidP="006C7F83">
            <w:pPr>
              <w:ind w:left="142"/>
            </w:pPr>
            <w:r w:rsidRPr="00362B7D">
              <w:t>ISS</w:t>
            </w:r>
          </w:p>
        </w:tc>
        <w:tc>
          <w:tcPr>
            <w:tcW w:w="7024" w:type="dxa"/>
          </w:tcPr>
          <w:p w14:paraId="2EBC0E06" w14:textId="77777777" w:rsidR="00362B7D" w:rsidRPr="00362B7D" w:rsidRDefault="00362B7D" w:rsidP="006C7F83">
            <w:pPr>
              <w:ind w:left="215"/>
            </w:pPr>
            <w:r w:rsidRPr="00362B7D">
              <w:t>Integrated safety summary</w:t>
            </w:r>
          </w:p>
        </w:tc>
      </w:tr>
      <w:tr w:rsidR="00362B7D" w:rsidRPr="00362B7D" w14:paraId="5108A3E0" w14:textId="77777777" w:rsidTr="008D47DC">
        <w:trPr>
          <w:trHeight w:val="404"/>
        </w:trPr>
        <w:tc>
          <w:tcPr>
            <w:tcW w:w="2332" w:type="dxa"/>
          </w:tcPr>
          <w:p w14:paraId="73A8EE10" w14:textId="77777777" w:rsidR="00362B7D" w:rsidRPr="00362B7D" w:rsidRDefault="00362B7D" w:rsidP="006C7F83">
            <w:pPr>
              <w:ind w:left="142"/>
            </w:pPr>
            <w:r w:rsidRPr="00362B7D">
              <w:t>MDCK</w:t>
            </w:r>
          </w:p>
        </w:tc>
        <w:tc>
          <w:tcPr>
            <w:tcW w:w="7024" w:type="dxa"/>
          </w:tcPr>
          <w:p w14:paraId="32C1D4AC" w14:textId="77777777" w:rsidR="00362B7D" w:rsidRPr="00362B7D" w:rsidRDefault="00362B7D" w:rsidP="006C7F83">
            <w:pPr>
              <w:ind w:left="215"/>
            </w:pPr>
            <w:r w:rsidRPr="00362B7D">
              <w:t>Madin Darby Canine Kidney (cells)</w:t>
            </w:r>
          </w:p>
        </w:tc>
      </w:tr>
      <w:tr w:rsidR="00362B7D" w:rsidRPr="00362B7D" w14:paraId="1860B714" w14:textId="77777777" w:rsidTr="008D47DC">
        <w:trPr>
          <w:trHeight w:val="404"/>
        </w:trPr>
        <w:tc>
          <w:tcPr>
            <w:tcW w:w="2332" w:type="dxa"/>
          </w:tcPr>
          <w:p w14:paraId="169ACF66" w14:textId="77777777" w:rsidR="00362B7D" w:rsidRPr="00362B7D" w:rsidRDefault="00362B7D" w:rsidP="006C7F83">
            <w:pPr>
              <w:ind w:left="142"/>
            </w:pPr>
            <w:r w:rsidRPr="00362B7D">
              <w:t>MHRA</w:t>
            </w:r>
          </w:p>
        </w:tc>
        <w:tc>
          <w:tcPr>
            <w:tcW w:w="7024" w:type="dxa"/>
          </w:tcPr>
          <w:p w14:paraId="4C133839" w14:textId="77777777" w:rsidR="00362B7D" w:rsidRPr="00362B7D" w:rsidRDefault="00362B7D" w:rsidP="006C7F83">
            <w:pPr>
              <w:ind w:left="215"/>
            </w:pPr>
            <w:r w:rsidRPr="00362B7D">
              <w:t>Medicines and Healthcare products Regulatory Agency</w:t>
            </w:r>
          </w:p>
        </w:tc>
      </w:tr>
      <w:tr w:rsidR="00362B7D" w:rsidRPr="00362B7D" w14:paraId="69FF6B88" w14:textId="77777777" w:rsidTr="008D47DC">
        <w:trPr>
          <w:trHeight w:val="404"/>
        </w:trPr>
        <w:tc>
          <w:tcPr>
            <w:tcW w:w="2332" w:type="dxa"/>
          </w:tcPr>
          <w:p w14:paraId="515C41F9" w14:textId="77777777" w:rsidR="00362B7D" w:rsidRPr="00362B7D" w:rsidRDefault="00362B7D" w:rsidP="006C7F83">
            <w:pPr>
              <w:ind w:left="142"/>
            </w:pPr>
            <w:r w:rsidRPr="00362B7D">
              <w:t>NA</w:t>
            </w:r>
          </w:p>
        </w:tc>
        <w:tc>
          <w:tcPr>
            <w:tcW w:w="7024" w:type="dxa"/>
          </w:tcPr>
          <w:p w14:paraId="5B5BC0C7" w14:textId="77777777" w:rsidR="00362B7D" w:rsidRPr="00362B7D" w:rsidRDefault="00362B7D" w:rsidP="006C7F83">
            <w:pPr>
              <w:ind w:left="215"/>
            </w:pPr>
            <w:r w:rsidRPr="00362B7D">
              <w:t>Neuraminidase</w:t>
            </w:r>
          </w:p>
        </w:tc>
      </w:tr>
      <w:tr w:rsidR="00362B7D" w:rsidRPr="00362B7D" w14:paraId="124866A5" w14:textId="77777777" w:rsidTr="008D47DC">
        <w:trPr>
          <w:trHeight w:val="404"/>
        </w:trPr>
        <w:tc>
          <w:tcPr>
            <w:tcW w:w="2332" w:type="dxa"/>
          </w:tcPr>
          <w:p w14:paraId="06CD2710" w14:textId="77777777" w:rsidR="00362B7D" w:rsidRPr="00362B7D" w:rsidRDefault="00362B7D" w:rsidP="006C7F83">
            <w:pPr>
              <w:ind w:left="142"/>
            </w:pPr>
            <w:r w:rsidRPr="00362B7D">
              <w:t>NOCD</w:t>
            </w:r>
          </w:p>
        </w:tc>
        <w:tc>
          <w:tcPr>
            <w:tcW w:w="7024" w:type="dxa"/>
          </w:tcPr>
          <w:p w14:paraId="07603E73" w14:textId="77777777" w:rsidR="00362B7D" w:rsidRPr="00362B7D" w:rsidRDefault="00362B7D" w:rsidP="006C7F83">
            <w:pPr>
              <w:ind w:left="215"/>
            </w:pPr>
            <w:r w:rsidRPr="00362B7D">
              <w:t>New Onset of Chronic Disease</w:t>
            </w:r>
          </w:p>
        </w:tc>
      </w:tr>
      <w:tr w:rsidR="00362B7D" w:rsidRPr="00362B7D" w14:paraId="7AA4367A" w14:textId="77777777" w:rsidTr="008D47DC">
        <w:trPr>
          <w:trHeight w:val="404"/>
        </w:trPr>
        <w:tc>
          <w:tcPr>
            <w:tcW w:w="2332" w:type="dxa"/>
          </w:tcPr>
          <w:p w14:paraId="7E968980" w14:textId="77777777" w:rsidR="00362B7D" w:rsidRPr="00362B7D" w:rsidRDefault="00362B7D" w:rsidP="006C7F83">
            <w:pPr>
              <w:ind w:left="142"/>
            </w:pPr>
            <w:r w:rsidRPr="00362B7D">
              <w:t>PFS</w:t>
            </w:r>
          </w:p>
        </w:tc>
        <w:tc>
          <w:tcPr>
            <w:tcW w:w="7024" w:type="dxa"/>
          </w:tcPr>
          <w:p w14:paraId="7025F13A" w14:textId="77777777" w:rsidR="00362B7D" w:rsidRPr="00362B7D" w:rsidRDefault="00362B7D" w:rsidP="006C7F83">
            <w:pPr>
              <w:ind w:left="215"/>
            </w:pPr>
            <w:r w:rsidRPr="00362B7D">
              <w:t>Pre-filled syringe</w:t>
            </w:r>
          </w:p>
        </w:tc>
      </w:tr>
      <w:tr w:rsidR="00362B7D" w:rsidRPr="00362B7D" w14:paraId="3F03D7A4" w14:textId="77777777" w:rsidTr="008D47DC">
        <w:trPr>
          <w:trHeight w:val="404"/>
        </w:trPr>
        <w:tc>
          <w:tcPr>
            <w:tcW w:w="2332" w:type="dxa"/>
          </w:tcPr>
          <w:p w14:paraId="08CAE2A1" w14:textId="77777777" w:rsidR="00362B7D" w:rsidRPr="00362B7D" w:rsidRDefault="00362B7D" w:rsidP="006C7F83">
            <w:pPr>
              <w:ind w:left="142"/>
            </w:pPr>
            <w:r w:rsidRPr="00362B7D">
              <w:t>PI</w:t>
            </w:r>
          </w:p>
        </w:tc>
        <w:tc>
          <w:tcPr>
            <w:tcW w:w="7024" w:type="dxa"/>
          </w:tcPr>
          <w:p w14:paraId="6A64FB26" w14:textId="77777777" w:rsidR="00362B7D" w:rsidRPr="00362B7D" w:rsidRDefault="00362B7D" w:rsidP="006C7F83">
            <w:pPr>
              <w:ind w:left="215"/>
            </w:pPr>
            <w:r w:rsidRPr="00362B7D">
              <w:t>Product Information</w:t>
            </w:r>
          </w:p>
        </w:tc>
      </w:tr>
      <w:tr w:rsidR="006D2959" w:rsidRPr="00362B7D" w14:paraId="39F71B7A" w14:textId="77777777" w:rsidTr="008D47DC">
        <w:trPr>
          <w:trHeight w:val="404"/>
        </w:trPr>
        <w:tc>
          <w:tcPr>
            <w:tcW w:w="2332" w:type="dxa"/>
          </w:tcPr>
          <w:p w14:paraId="31D27EC2" w14:textId="77777777" w:rsidR="006D2959" w:rsidRPr="00362B7D" w:rsidRDefault="006D2959" w:rsidP="006C7F83">
            <w:pPr>
              <w:ind w:left="142"/>
            </w:pPr>
            <w:r w:rsidRPr="00362B7D">
              <w:t>PSUR</w:t>
            </w:r>
          </w:p>
        </w:tc>
        <w:tc>
          <w:tcPr>
            <w:tcW w:w="7024" w:type="dxa"/>
          </w:tcPr>
          <w:p w14:paraId="7355B469" w14:textId="77777777" w:rsidR="006D2959" w:rsidRPr="00362B7D" w:rsidRDefault="006D2959" w:rsidP="006C7F83">
            <w:pPr>
              <w:ind w:left="215"/>
            </w:pPr>
            <w:r w:rsidRPr="00362B7D">
              <w:t>Periodic safety update report</w:t>
            </w:r>
          </w:p>
        </w:tc>
      </w:tr>
      <w:tr w:rsidR="006D2959" w:rsidRPr="00362B7D" w14:paraId="64CDDBF0" w14:textId="77777777" w:rsidTr="008D47DC">
        <w:trPr>
          <w:trHeight w:val="404"/>
        </w:trPr>
        <w:tc>
          <w:tcPr>
            <w:tcW w:w="2332" w:type="dxa"/>
          </w:tcPr>
          <w:p w14:paraId="57E5F08F" w14:textId="77777777" w:rsidR="006D2959" w:rsidRPr="00362B7D" w:rsidRDefault="006D2959" w:rsidP="006C7F83">
            <w:pPr>
              <w:ind w:left="142"/>
            </w:pPr>
            <w:r w:rsidRPr="00362B7D">
              <w:lastRenderedPageBreak/>
              <w:t>PT</w:t>
            </w:r>
          </w:p>
        </w:tc>
        <w:tc>
          <w:tcPr>
            <w:tcW w:w="7024" w:type="dxa"/>
          </w:tcPr>
          <w:p w14:paraId="2B4A849A" w14:textId="77777777" w:rsidR="006D2959" w:rsidRPr="00362B7D" w:rsidRDefault="006D2959" w:rsidP="006C7F83">
            <w:pPr>
              <w:ind w:left="215"/>
            </w:pPr>
            <w:r w:rsidRPr="00362B7D">
              <w:t>Preferred term</w:t>
            </w:r>
          </w:p>
        </w:tc>
      </w:tr>
      <w:tr w:rsidR="006D2959" w:rsidRPr="00362B7D" w14:paraId="2A023CB6" w14:textId="77777777" w:rsidTr="008D47DC">
        <w:trPr>
          <w:trHeight w:val="404"/>
        </w:trPr>
        <w:tc>
          <w:tcPr>
            <w:tcW w:w="2332" w:type="dxa"/>
          </w:tcPr>
          <w:p w14:paraId="487B77C7" w14:textId="77777777" w:rsidR="006D2959" w:rsidRPr="00362B7D" w:rsidRDefault="006D2959" w:rsidP="006C7F83">
            <w:pPr>
              <w:ind w:left="142"/>
            </w:pPr>
            <w:r w:rsidRPr="00362B7D">
              <w:t>RMP</w:t>
            </w:r>
          </w:p>
        </w:tc>
        <w:tc>
          <w:tcPr>
            <w:tcW w:w="7024" w:type="dxa"/>
          </w:tcPr>
          <w:p w14:paraId="43AEF538" w14:textId="77777777" w:rsidR="006D2959" w:rsidRPr="00362B7D" w:rsidRDefault="006D2959" w:rsidP="006C7F83">
            <w:pPr>
              <w:ind w:left="215"/>
            </w:pPr>
            <w:r w:rsidRPr="00362B7D">
              <w:t>Risk management plan</w:t>
            </w:r>
          </w:p>
        </w:tc>
      </w:tr>
      <w:tr w:rsidR="006D2959" w:rsidRPr="00362B7D" w14:paraId="447BD8D4" w14:textId="77777777" w:rsidTr="008D47DC">
        <w:trPr>
          <w:trHeight w:val="404"/>
        </w:trPr>
        <w:tc>
          <w:tcPr>
            <w:tcW w:w="2332" w:type="dxa"/>
          </w:tcPr>
          <w:p w14:paraId="32DFE404" w14:textId="77777777" w:rsidR="006D2959" w:rsidRPr="00362B7D" w:rsidRDefault="006D2959" w:rsidP="006C7F83">
            <w:pPr>
              <w:ind w:left="142"/>
            </w:pPr>
            <w:r w:rsidRPr="00362B7D">
              <w:t>SAE</w:t>
            </w:r>
          </w:p>
        </w:tc>
        <w:tc>
          <w:tcPr>
            <w:tcW w:w="7024" w:type="dxa"/>
          </w:tcPr>
          <w:p w14:paraId="523B3562" w14:textId="77777777" w:rsidR="006D2959" w:rsidRPr="00362B7D" w:rsidRDefault="006D2959" w:rsidP="006C7F83">
            <w:pPr>
              <w:ind w:left="215"/>
            </w:pPr>
            <w:r w:rsidRPr="00362B7D">
              <w:t>Serious adverse event</w:t>
            </w:r>
          </w:p>
        </w:tc>
      </w:tr>
      <w:tr w:rsidR="006D2959" w:rsidRPr="00362B7D" w14:paraId="031F9EBE" w14:textId="77777777" w:rsidTr="008D47DC">
        <w:trPr>
          <w:trHeight w:val="404"/>
        </w:trPr>
        <w:tc>
          <w:tcPr>
            <w:tcW w:w="2332" w:type="dxa"/>
          </w:tcPr>
          <w:p w14:paraId="5E3A09E4" w14:textId="77777777" w:rsidR="006D2959" w:rsidRPr="00362B7D" w:rsidRDefault="006D2959" w:rsidP="006C7F83">
            <w:pPr>
              <w:ind w:left="142"/>
            </w:pPr>
            <w:r w:rsidRPr="00362B7D">
              <w:t>SOC</w:t>
            </w:r>
          </w:p>
        </w:tc>
        <w:tc>
          <w:tcPr>
            <w:tcW w:w="7024" w:type="dxa"/>
          </w:tcPr>
          <w:p w14:paraId="739A579A" w14:textId="77777777" w:rsidR="006D2959" w:rsidRPr="00362B7D" w:rsidRDefault="006D2959" w:rsidP="006C7F83">
            <w:pPr>
              <w:ind w:left="215"/>
            </w:pPr>
            <w:r w:rsidRPr="00362B7D">
              <w:t>System Organ Class</w:t>
            </w:r>
          </w:p>
        </w:tc>
      </w:tr>
      <w:tr w:rsidR="006D2959" w:rsidRPr="00362B7D" w14:paraId="78AAD203" w14:textId="77777777" w:rsidTr="008D47DC">
        <w:trPr>
          <w:trHeight w:val="404"/>
        </w:trPr>
        <w:tc>
          <w:tcPr>
            <w:tcW w:w="2332" w:type="dxa"/>
          </w:tcPr>
          <w:p w14:paraId="6F1992CC" w14:textId="77777777" w:rsidR="006D2959" w:rsidRPr="00362B7D" w:rsidRDefault="006D2959" w:rsidP="006C7F83">
            <w:pPr>
              <w:ind w:left="142"/>
            </w:pPr>
            <w:r w:rsidRPr="00362B7D">
              <w:t>TGA</w:t>
            </w:r>
          </w:p>
        </w:tc>
        <w:tc>
          <w:tcPr>
            <w:tcW w:w="7024" w:type="dxa"/>
          </w:tcPr>
          <w:p w14:paraId="432189A8" w14:textId="77777777" w:rsidR="006D2959" w:rsidRPr="00362B7D" w:rsidRDefault="006D2959" w:rsidP="006C7F83">
            <w:pPr>
              <w:ind w:left="215"/>
            </w:pPr>
            <w:r w:rsidRPr="00362B7D">
              <w:t>Therapeutic Goods Administration</w:t>
            </w:r>
          </w:p>
        </w:tc>
      </w:tr>
      <w:tr w:rsidR="006D2959" w:rsidRPr="00362B7D" w14:paraId="2C081F96" w14:textId="77777777" w:rsidTr="008D47DC">
        <w:trPr>
          <w:trHeight w:val="404"/>
        </w:trPr>
        <w:tc>
          <w:tcPr>
            <w:tcW w:w="2332" w:type="dxa"/>
          </w:tcPr>
          <w:p w14:paraId="4C47B114" w14:textId="77777777" w:rsidR="006D2959" w:rsidRPr="00362B7D" w:rsidRDefault="006D2959" w:rsidP="006C7F83">
            <w:pPr>
              <w:ind w:left="142"/>
            </w:pPr>
            <w:r w:rsidRPr="00362B7D">
              <w:t>UK</w:t>
            </w:r>
          </w:p>
        </w:tc>
        <w:tc>
          <w:tcPr>
            <w:tcW w:w="7024" w:type="dxa"/>
          </w:tcPr>
          <w:p w14:paraId="75612CFF" w14:textId="77777777" w:rsidR="006D2959" w:rsidRPr="00362B7D" w:rsidRDefault="006D2959" w:rsidP="006C7F83">
            <w:pPr>
              <w:ind w:left="215"/>
            </w:pPr>
            <w:r w:rsidRPr="00362B7D">
              <w:t>United Kingdom</w:t>
            </w:r>
          </w:p>
        </w:tc>
      </w:tr>
      <w:tr w:rsidR="006D2959" w:rsidRPr="00362B7D" w14:paraId="22338179" w14:textId="77777777" w:rsidTr="008D47DC">
        <w:trPr>
          <w:trHeight w:val="404"/>
        </w:trPr>
        <w:tc>
          <w:tcPr>
            <w:tcW w:w="2332" w:type="dxa"/>
          </w:tcPr>
          <w:p w14:paraId="4EB0752A" w14:textId="77777777" w:rsidR="006D2959" w:rsidRPr="00362B7D" w:rsidRDefault="006D2959" w:rsidP="006C7F83">
            <w:pPr>
              <w:ind w:left="142"/>
            </w:pPr>
            <w:r w:rsidRPr="00362B7D">
              <w:t>URTI</w:t>
            </w:r>
          </w:p>
        </w:tc>
        <w:tc>
          <w:tcPr>
            <w:tcW w:w="7024" w:type="dxa"/>
          </w:tcPr>
          <w:p w14:paraId="628BA486" w14:textId="77777777" w:rsidR="006D2959" w:rsidRPr="00362B7D" w:rsidRDefault="006D2959" w:rsidP="006C7F83">
            <w:pPr>
              <w:ind w:left="215"/>
            </w:pPr>
            <w:r w:rsidRPr="00362B7D">
              <w:t>Upper respiratory tract infection</w:t>
            </w:r>
          </w:p>
        </w:tc>
      </w:tr>
      <w:tr w:rsidR="006D2959" w:rsidRPr="00362B7D" w14:paraId="60994D5B" w14:textId="77777777" w:rsidTr="008D47DC">
        <w:trPr>
          <w:trHeight w:val="404"/>
        </w:trPr>
        <w:tc>
          <w:tcPr>
            <w:tcW w:w="2332" w:type="dxa"/>
          </w:tcPr>
          <w:p w14:paraId="2CFABBCD" w14:textId="77777777" w:rsidR="006D2959" w:rsidRPr="00362B7D" w:rsidRDefault="006D2959" w:rsidP="006C7F83">
            <w:pPr>
              <w:ind w:left="142"/>
            </w:pPr>
            <w:r w:rsidRPr="00362B7D">
              <w:t>US/ USA</w:t>
            </w:r>
          </w:p>
        </w:tc>
        <w:tc>
          <w:tcPr>
            <w:tcW w:w="7024" w:type="dxa"/>
          </w:tcPr>
          <w:p w14:paraId="2A036DD5" w14:textId="77777777" w:rsidR="006D2959" w:rsidRPr="00362B7D" w:rsidRDefault="006D2959" w:rsidP="006C7F83">
            <w:pPr>
              <w:ind w:left="215"/>
            </w:pPr>
            <w:r w:rsidRPr="00362B7D">
              <w:t>United States of America</w:t>
            </w:r>
          </w:p>
        </w:tc>
      </w:tr>
      <w:tr w:rsidR="006D2959" w:rsidRPr="00362B7D" w14:paraId="6CDD5512" w14:textId="77777777" w:rsidTr="008D47DC">
        <w:trPr>
          <w:trHeight w:val="404"/>
        </w:trPr>
        <w:tc>
          <w:tcPr>
            <w:tcW w:w="2332" w:type="dxa"/>
          </w:tcPr>
          <w:p w14:paraId="7439991C" w14:textId="77777777" w:rsidR="006D2959" w:rsidRPr="00362B7D" w:rsidRDefault="006D2959" w:rsidP="006C7F83">
            <w:pPr>
              <w:ind w:left="142"/>
            </w:pPr>
            <w:r w:rsidRPr="00362B7D">
              <w:t>VRBPAC</w:t>
            </w:r>
          </w:p>
        </w:tc>
        <w:tc>
          <w:tcPr>
            <w:tcW w:w="7024" w:type="dxa"/>
          </w:tcPr>
          <w:p w14:paraId="60B3CD71" w14:textId="77777777" w:rsidR="006D2959" w:rsidRPr="00362B7D" w:rsidRDefault="006D2959" w:rsidP="006C7F83">
            <w:pPr>
              <w:ind w:left="215"/>
            </w:pPr>
            <w:r w:rsidRPr="00362B7D">
              <w:t>Vaccines and Related Biological Products Advisory Committee (FDA)</w:t>
            </w:r>
          </w:p>
        </w:tc>
      </w:tr>
      <w:tr w:rsidR="006D2959" w:rsidRPr="00362B7D" w14:paraId="1D3B98B5" w14:textId="77777777" w:rsidTr="008D47DC">
        <w:trPr>
          <w:trHeight w:val="404"/>
        </w:trPr>
        <w:tc>
          <w:tcPr>
            <w:tcW w:w="2332" w:type="dxa"/>
          </w:tcPr>
          <w:p w14:paraId="02157866" w14:textId="77777777" w:rsidR="006D2959" w:rsidRPr="00362B7D" w:rsidRDefault="006D2959" w:rsidP="006C7F83">
            <w:pPr>
              <w:ind w:left="142"/>
            </w:pPr>
            <w:r w:rsidRPr="00362B7D">
              <w:t>WHO</w:t>
            </w:r>
          </w:p>
        </w:tc>
        <w:tc>
          <w:tcPr>
            <w:tcW w:w="7024" w:type="dxa"/>
          </w:tcPr>
          <w:p w14:paraId="0CB8810D" w14:textId="77777777" w:rsidR="006D2959" w:rsidRPr="00362B7D" w:rsidRDefault="006D2959" w:rsidP="006C7F83">
            <w:pPr>
              <w:ind w:left="215"/>
            </w:pPr>
            <w:r w:rsidRPr="00362B7D">
              <w:t>World Health Organisation</w:t>
            </w:r>
          </w:p>
        </w:tc>
      </w:tr>
    </w:tbl>
    <w:p w14:paraId="11748B91" w14:textId="77777777" w:rsidR="00362B7D" w:rsidRPr="00362B7D" w:rsidRDefault="00362B7D" w:rsidP="00362B7D">
      <w:pPr>
        <w:rPr>
          <w:lang w:val="en-US"/>
        </w:rPr>
        <w:sectPr w:rsidR="00362B7D" w:rsidRPr="00362B7D" w:rsidSect="00901CE7">
          <w:pgSz w:w="11910" w:h="16840"/>
          <w:pgMar w:top="1134" w:right="1418" w:bottom="1361" w:left="1418" w:header="580" w:footer="454" w:gutter="0"/>
          <w:cols w:space="720"/>
          <w:docGrid w:linePitch="299"/>
        </w:sectPr>
      </w:pPr>
    </w:p>
    <w:p w14:paraId="44C2A39C" w14:textId="657868C6" w:rsidR="00324B33" w:rsidRDefault="00EB6897" w:rsidP="008E0661">
      <w:pPr>
        <w:pStyle w:val="Heading2"/>
        <w:spacing w:before="0"/>
      </w:pPr>
      <w:bookmarkStart w:id="5" w:name="_Toc103679288"/>
      <w:bookmarkStart w:id="6" w:name="_Toc227753740"/>
      <w:r>
        <w:lastRenderedPageBreak/>
        <w:t>P</w:t>
      </w:r>
      <w:r w:rsidR="00324B33">
        <w:t>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27753741"/>
      <w:r>
        <w:rPr>
          <w:lang w:eastAsia="en-AU"/>
        </w:rPr>
        <w:t>Submission details</w:t>
      </w:r>
      <w:bookmarkEnd w:id="7"/>
      <w:bookmarkEnd w:id="8"/>
      <w:bookmarkEnd w:id="9"/>
      <w:bookmarkEnd w:id="10"/>
    </w:p>
    <w:tbl>
      <w:tblPr>
        <w:tblW w:w="5137" w:type="pct"/>
        <w:tblInd w:w="-108" w:type="dxa"/>
        <w:tblLook w:val="01E0" w:firstRow="1" w:lastRow="1" w:firstColumn="1" w:lastColumn="1" w:noHBand="0" w:noVBand="0"/>
      </w:tblPr>
      <w:tblGrid>
        <w:gridCol w:w="108"/>
        <w:gridCol w:w="2693"/>
        <w:gridCol w:w="60"/>
        <w:gridCol w:w="6316"/>
        <w:gridCol w:w="142"/>
      </w:tblGrid>
      <w:tr w:rsidR="00EE2195" w:rsidRPr="00BD5DBD" w14:paraId="77D11C95" w14:textId="77777777" w:rsidTr="009C5D72">
        <w:tc>
          <w:tcPr>
            <w:tcW w:w="1535" w:type="pct"/>
            <w:gridSpan w:val="3"/>
          </w:tcPr>
          <w:p w14:paraId="10E57D62" w14:textId="694875BB" w:rsidR="00EE2195" w:rsidRPr="00BD5DBD" w:rsidRDefault="00EE2195" w:rsidP="00EE2195">
            <w:pPr>
              <w:rPr>
                <w:i/>
                <w:szCs w:val="22"/>
              </w:rPr>
            </w:pPr>
            <w:r w:rsidRPr="00BD5DBD">
              <w:rPr>
                <w:i/>
                <w:szCs w:val="22"/>
              </w:rPr>
              <w:t>Type of submission:</w:t>
            </w:r>
          </w:p>
        </w:tc>
        <w:tc>
          <w:tcPr>
            <w:tcW w:w="3465" w:type="pct"/>
            <w:gridSpan w:val="2"/>
          </w:tcPr>
          <w:p w14:paraId="4F07C303" w14:textId="538EE9E9" w:rsidR="00EE2195" w:rsidRPr="00BD5DBD" w:rsidRDefault="00EE2195" w:rsidP="00EE2195">
            <w:pPr>
              <w:rPr>
                <w:szCs w:val="22"/>
              </w:rPr>
            </w:pPr>
            <w:r>
              <w:t>New</w:t>
            </w:r>
            <w:r>
              <w:rPr>
                <w:spacing w:val="-5"/>
              </w:rPr>
              <w:t xml:space="preserve"> </w:t>
            </w:r>
            <w:r>
              <w:t>biological</w:t>
            </w:r>
            <w:r>
              <w:rPr>
                <w:spacing w:val="-4"/>
              </w:rPr>
              <w:t xml:space="preserve"> </w:t>
            </w:r>
            <w:r>
              <w:rPr>
                <w:spacing w:val="-2"/>
              </w:rPr>
              <w:t>entity</w:t>
            </w:r>
          </w:p>
        </w:tc>
      </w:tr>
      <w:tr w:rsidR="00EE2195" w:rsidRPr="00BD5DBD" w14:paraId="13482B61" w14:textId="77777777" w:rsidTr="009C5D72">
        <w:tc>
          <w:tcPr>
            <w:tcW w:w="1535" w:type="pct"/>
            <w:gridSpan w:val="3"/>
          </w:tcPr>
          <w:p w14:paraId="2C427FCF" w14:textId="62BD8A0F" w:rsidR="00EE2195" w:rsidRPr="00BD5DBD" w:rsidRDefault="00EE2195" w:rsidP="00EE2195">
            <w:pPr>
              <w:rPr>
                <w:i/>
                <w:szCs w:val="22"/>
              </w:rPr>
            </w:pPr>
            <w:r w:rsidRPr="00BD5DBD">
              <w:rPr>
                <w:i/>
                <w:szCs w:val="22"/>
              </w:rPr>
              <w:t>Product name:</w:t>
            </w:r>
          </w:p>
        </w:tc>
        <w:tc>
          <w:tcPr>
            <w:tcW w:w="3465" w:type="pct"/>
            <w:gridSpan w:val="2"/>
          </w:tcPr>
          <w:p w14:paraId="0E2DEF76" w14:textId="2CB06224" w:rsidR="00EE2195" w:rsidRPr="00BD5DBD" w:rsidRDefault="00EE2195" w:rsidP="00EE2195">
            <w:pPr>
              <w:rPr>
                <w:szCs w:val="22"/>
              </w:rPr>
            </w:pPr>
            <w:r>
              <w:t>Celldemic</w:t>
            </w:r>
            <w:r>
              <w:rPr>
                <w:spacing w:val="53"/>
                <w:position w:val="5"/>
                <w:sz w:val="14"/>
              </w:rPr>
              <w:t xml:space="preserve"> </w:t>
            </w:r>
            <w:r>
              <w:t>Pre-Pandemic</w:t>
            </w:r>
            <w:r>
              <w:rPr>
                <w:spacing w:val="-5"/>
              </w:rPr>
              <w:t xml:space="preserve"> </w:t>
            </w:r>
            <w:r>
              <w:t>Influenza</w:t>
            </w:r>
            <w:r>
              <w:rPr>
                <w:spacing w:val="-6"/>
              </w:rPr>
              <w:t xml:space="preserve"> </w:t>
            </w:r>
            <w:r>
              <w:rPr>
                <w:spacing w:val="-2"/>
              </w:rPr>
              <w:t>vaccine.</w:t>
            </w:r>
          </w:p>
        </w:tc>
      </w:tr>
      <w:tr w:rsidR="00EE2195" w:rsidRPr="00BD5DBD" w14:paraId="01255B5B" w14:textId="77777777" w:rsidTr="009C5D72">
        <w:tc>
          <w:tcPr>
            <w:tcW w:w="1535" w:type="pct"/>
            <w:gridSpan w:val="3"/>
          </w:tcPr>
          <w:p w14:paraId="52B4F3D7" w14:textId="0C34636F" w:rsidR="00EE2195" w:rsidRPr="00BD5DBD" w:rsidRDefault="00EE2195" w:rsidP="00EE2195">
            <w:pPr>
              <w:rPr>
                <w:i/>
                <w:szCs w:val="22"/>
              </w:rPr>
            </w:pPr>
            <w:r w:rsidRPr="00BD5DBD">
              <w:rPr>
                <w:i/>
                <w:szCs w:val="22"/>
              </w:rPr>
              <w:t>Active ingredient:</w:t>
            </w:r>
          </w:p>
        </w:tc>
        <w:tc>
          <w:tcPr>
            <w:tcW w:w="3465" w:type="pct"/>
            <w:gridSpan w:val="2"/>
          </w:tcPr>
          <w:p w14:paraId="02FB6383" w14:textId="05B1D866" w:rsidR="00EE2195" w:rsidRPr="00BD5DBD" w:rsidRDefault="00EE2195" w:rsidP="00EE2195">
            <w:pPr>
              <w:rPr>
                <w:szCs w:val="22"/>
              </w:rPr>
            </w:pPr>
            <w:r>
              <w:t>Influenza</w:t>
            </w:r>
            <w:r>
              <w:rPr>
                <w:spacing w:val="-12"/>
              </w:rPr>
              <w:t xml:space="preserve"> </w:t>
            </w:r>
            <w:r>
              <w:t>virus</w:t>
            </w:r>
            <w:r>
              <w:rPr>
                <w:spacing w:val="-11"/>
              </w:rPr>
              <w:t xml:space="preserve"> </w:t>
            </w:r>
            <w:r>
              <w:t>haemagglutinin</w:t>
            </w:r>
            <w:r>
              <w:rPr>
                <w:spacing w:val="-13"/>
              </w:rPr>
              <w:t xml:space="preserve"> </w:t>
            </w:r>
            <w:r>
              <w:t xml:space="preserve">(A/turkey/Turkey/1/2005 </w:t>
            </w:r>
            <w:r>
              <w:rPr>
                <w:spacing w:val="-2"/>
              </w:rPr>
              <w:t>NIBRG-23)</w:t>
            </w:r>
          </w:p>
        </w:tc>
      </w:tr>
      <w:tr w:rsidR="00EE2195" w:rsidRPr="00BD5DBD" w14:paraId="219A281B" w14:textId="77777777" w:rsidTr="009C5D72">
        <w:tc>
          <w:tcPr>
            <w:tcW w:w="1535" w:type="pct"/>
            <w:gridSpan w:val="3"/>
          </w:tcPr>
          <w:p w14:paraId="112E5F78" w14:textId="77777777" w:rsidR="00EE2195" w:rsidRPr="00BD5DBD" w:rsidRDefault="00EE2195" w:rsidP="00EE2195">
            <w:pPr>
              <w:rPr>
                <w:i/>
                <w:szCs w:val="22"/>
              </w:rPr>
            </w:pPr>
            <w:r w:rsidRPr="00BD5DBD">
              <w:rPr>
                <w:i/>
                <w:szCs w:val="22"/>
              </w:rPr>
              <w:t>Decision:</w:t>
            </w:r>
          </w:p>
        </w:tc>
        <w:tc>
          <w:tcPr>
            <w:tcW w:w="3465" w:type="pct"/>
            <w:gridSpan w:val="2"/>
          </w:tcPr>
          <w:p w14:paraId="3B114BEA" w14:textId="12C761F4" w:rsidR="00EE2195" w:rsidRPr="00BD5DBD" w:rsidRDefault="00EE2195" w:rsidP="00EE2195">
            <w:pPr>
              <w:rPr>
                <w:szCs w:val="22"/>
              </w:rPr>
            </w:pPr>
            <w:r>
              <w:rPr>
                <w:spacing w:val="-2"/>
              </w:rPr>
              <w:t>Approved</w:t>
            </w:r>
          </w:p>
        </w:tc>
      </w:tr>
      <w:tr w:rsidR="00EE2195" w:rsidRPr="00BD5DBD" w14:paraId="32B72632" w14:textId="77777777" w:rsidTr="009C5D72">
        <w:tc>
          <w:tcPr>
            <w:tcW w:w="1535" w:type="pct"/>
            <w:gridSpan w:val="3"/>
          </w:tcPr>
          <w:p w14:paraId="332A5CD5" w14:textId="65682B5F" w:rsidR="00EE2195" w:rsidRPr="00BD5DBD" w:rsidRDefault="00EE2195" w:rsidP="00EE2195">
            <w:r w:rsidRPr="00BD5DBD">
              <w:rPr>
                <w:i/>
                <w:szCs w:val="22"/>
              </w:rPr>
              <w:t>Date of decision:</w:t>
            </w:r>
          </w:p>
        </w:tc>
        <w:tc>
          <w:tcPr>
            <w:tcW w:w="3465" w:type="pct"/>
            <w:gridSpan w:val="2"/>
          </w:tcPr>
          <w:p w14:paraId="7B381CD6" w14:textId="06057728" w:rsidR="00EE2195" w:rsidRPr="00BD5DBD" w:rsidRDefault="00EE2195" w:rsidP="002D34B6">
            <w:pPr>
              <w:spacing w:line="240" w:lineRule="auto"/>
              <w:rPr>
                <w:szCs w:val="22"/>
              </w:rPr>
            </w:pPr>
            <w:r>
              <w:t>30</w:t>
            </w:r>
            <w:r>
              <w:rPr>
                <w:spacing w:val="-2"/>
              </w:rPr>
              <w:t xml:space="preserve"> </w:t>
            </w:r>
            <w:r>
              <w:t>May</w:t>
            </w:r>
            <w:r>
              <w:rPr>
                <w:spacing w:val="-2"/>
              </w:rPr>
              <w:t xml:space="preserve"> </w:t>
            </w:r>
            <w:r>
              <w:rPr>
                <w:spacing w:val="-4"/>
              </w:rPr>
              <w:t>2025</w:t>
            </w:r>
          </w:p>
        </w:tc>
      </w:tr>
      <w:tr w:rsidR="00EE2195" w:rsidRPr="00BD5DBD" w14:paraId="60A25F5A" w14:textId="77777777" w:rsidTr="009C5D72">
        <w:tc>
          <w:tcPr>
            <w:tcW w:w="1535" w:type="pct"/>
            <w:gridSpan w:val="3"/>
          </w:tcPr>
          <w:p w14:paraId="5C5E4CBA" w14:textId="77777777" w:rsidR="00EE2195" w:rsidRPr="00BD5DBD" w:rsidRDefault="00EE2195" w:rsidP="00EE2195">
            <w:pPr>
              <w:rPr>
                <w:i/>
                <w:szCs w:val="22"/>
              </w:rPr>
            </w:pPr>
            <w:r w:rsidRPr="00BD5DBD">
              <w:rPr>
                <w:i/>
                <w:szCs w:val="22"/>
              </w:rPr>
              <w:t>Date of entry onto ARTG:</w:t>
            </w:r>
          </w:p>
        </w:tc>
        <w:tc>
          <w:tcPr>
            <w:tcW w:w="3465" w:type="pct"/>
            <w:gridSpan w:val="2"/>
          </w:tcPr>
          <w:p w14:paraId="28B270E9" w14:textId="1AB8DEC6" w:rsidR="00EE2195" w:rsidRPr="00BD5DBD" w:rsidRDefault="00EE2195" w:rsidP="002D34B6">
            <w:pPr>
              <w:spacing w:line="240" w:lineRule="auto"/>
              <w:rPr>
                <w:szCs w:val="22"/>
              </w:rPr>
            </w:pPr>
            <w:r>
              <w:t>11</w:t>
            </w:r>
            <w:r>
              <w:rPr>
                <w:spacing w:val="-2"/>
              </w:rPr>
              <w:t xml:space="preserve"> </w:t>
            </w:r>
            <w:r>
              <w:t>June</w:t>
            </w:r>
            <w:r>
              <w:rPr>
                <w:spacing w:val="-2"/>
              </w:rPr>
              <w:t xml:space="preserve"> </w:t>
            </w:r>
            <w:r>
              <w:rPr>
                <w:spacing w:val="-4"/>
              </w:rPr>
              <w:t>2025</w:t>
            </w:r>
          </w:p>
        </w:tc>
      </w:tr>
      <w:tr w:rsidR="00EE2195" w:rsidRPr="00BD5DBD" w14:paraId="547E08D7" w14:textId="77777777" w:rsidTr="009C5D72">
        <w:tc>
          <w:tcPr>
            <w:tcW w:w="1535" w:type="pct"/>
            <w:gridSpan w:val="3"/>
          </w:tcPr>
          <w:p w14:paraId="5030EF30" w14:textId="0670266C" w:rsidR="00EE2195" w:rsidRPr="00BD5DBD" w:rsidRDefault="00EE2195" w:rsidP="00EE2195">
            <w:pPr>
              <w:rPr>
                <w:i/>
                <w:szCs w:val="22"/>
              </w:rPr>
            </w:pPr>
            <w:r w:rsidRPr="00BD5DBD">
              <w:rPr>
                <w:i/>
                <w:szCs w:val="22"/>
              </w:rPr>
              <w:t>ARTG number:</w:t>
            </w:r>
          </w:p>
        </w:tc>
        <w:tc>
          <w:tcPr>
            <w:tcW w:w="3465" w:type="pct"/>
            <w:gridSpan w:val="2"/>
          </w:tcPr>
          <w:p w14:paraId="0054E912" w14:textId="41470FF8" w:rsidR="00EE2195" w:rsidRPr="00BD5DBD" w:rsidRDefault="00EE2195" w:rsidP="002D34B6">
            <w:pPr>
              <w:spacing w:line="240" w:lineRule="auto"/>
              <w:rPr>
                <w:szCs w:val="22"/>
              </w:rPr>
            </w:pPr>
            <w:r>
              <w:rPr>
                <w:spacing w:val="-2"/>
              </w:rPr>
              <w:t>446673</w:t>
            </w:r>
          </w:p>
        </w:tc>
      </w:tr>
      <w:tr w:rsidR="00EE2195" w:rsidRPr="00BD5DBD" w14:paraId="7618393F" w14:textId="77777777" w:rsidTr="00DD3477">
        <w:trPr>
          <w:trHeight w:val="756"/>
        </w:trPr>
        <w:tc>
          <w:tcPr>
            <w:tcW w:w="1535" w:type="pct"/>
            <w:gridSpan w:val="3"/>
          </w:tcPr>
          <w:p w14:paraId="6C24CEB6" w14:textId="6A7FE944" w:rsidR="00EE2195" w:rsidRPr="00BD5DBD" w:rsidRDefault="00EE2195" w:rsidP="00EE2195">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EE2195" w:rsidRPr="00BD5DBD" w:rsidRDefault="00EE2195" w:rsidP="00EE2195">
            <w:pPr>
              <w:rPr>
                <w:i/>
                <w:szCs w:val="22"/>
              </w:rPr>
            </w:pPr>
            <w:r w:rsidRPr="00BD5DBD">
              <w:rPr>
                <w:i/>
                <w:szCs w:val="22"/>
              </w:rPr>
              <w:t>for the current submission:</w:t>
            </w:r>
          </w:p>
        </w:tc>
        <w:tc>
          <w:tcPr>
            <w:tcW w:w="3465" w:type="pct"/>
            <w:gridSpan w:val="2"/>
          </w:tcPr>
          <w:p w14:paraId="6FF3C6A2" w14:textId="5E3C8637" w:rsidR="00EE2195" w:rsidRPr="00BD5DBD" w:rsidRDefault="00EE2195" w:rsidP="002D34B6">
            <w:pPr>
              <w:spacing w:line="240" w:lineRule="auto"/>
              <w:rPr>
                <w:szCs w:val="22"/>
              </w:rPr>
            </w:pPr>
            <w:r>
              <w:rPr>
                <w:spacing w:val="-5"/>
              </w:rPr>
              <w:t>Yes</w:t>
            </w:r>
          </w:p>
        </w:tc>
      </w:tr>
      <w:tr w:rsidR="00EE2195" w:rsidRPr="00BD5DBD" w14:paraId="179E09FE" w14:textId="77777777" w:rsidTr="009C5D72">
        <w:tc>
          <w:tcPr>
            <w:tcW w:w="1535" w:type="pct"/>
            <w:gridSpan w:val="3"/>
          </w:tcPr>
          <w:p w14:paraId="1A592498" w14:textId="77777777" w:rsidR="00EE2195" w:rsidRPr="00BD5DBD" w:rsidRDefault="00EE2195" w:rsidP="00EE2195">
            <w:pPr>
              <w:rPr>
                <w:i/>
                <w:szCs w:val="22"/>
              </w:rPr>
            </w:pPr>
            <w:r w:rsidRPr="00BD5DBD">
              <w:rPr>
                <w:i/>
                <w:szCs w:val="22"/>
              </w:rPr>
              <w:t>Sponsor’s name and address:</w:t>
            </w:r>
          </w:p>
        </w:tc>
        <w:tc>
          <w:tcPr>
            <w:tcW w:w="3465" w:type="pct"/>
            <w:gridSpan w:val="2"/>
          </w:tcPr>
          <w:p w14:paraId="52F5E61D" w14:textId="77777777" w:rsidR="00EE2195" w:rsidRDefault="00EE2195" w:rsidP="002D34B6">
            <w:pPr>
              <w:pStyle w:val="TableParagraph"/>
              <w:spacing w:before="120"/>
              <w:ind w:left="0"/>
            </w:pPr>
            <w:r>
              <w:t>Seqirus</w:t>
            </w:r>
            <w:r>
              <w:rPr>
                <w:spacing w:val="-3"/>
              </w:rPr>
              <w:t xml:space="preserve"> </w:t>
            </w:r>
            <w:r>
              <w:t>Pty</w:t>
            </w:r>
            <w:r>
              <w:rPr>
                <w:spacing w:val="-4"/>
              </w:rPr>
              <w:t xml:space="preserve"> </w:t>
            </w:r>
            <w:r>
              <w:rPr>
                <w:spacing w:val="-5"/>
              </w:rPr>
              <w:t>Ltd</w:t>
            </w:r>
          </w:p>
          <w:p w14:paraId="0CE633F8" w14:textId="22C44596" w:rsidR="00DE2DE1" w:rsidRDefault="00FF391B" w:rsidP="002D34B6">
            <w:pPr>
              <w:pStyle w:val="TableParagraph"/>
              <w:spacing w:before="120"/>
              <w:ind w:left="0" w:right="3060"/>
            </w:pPr>
            <w:r>
              <w:t>63 Poplar Road</w:t>
            </w:r>
            <w:r w:rsidR="00EE2195">
              <w:t>,</w:t>
            </w:r>
          </w:p>
          <w:p w14:paraId="7116AAD5" w14:textId="3C256916" w:rsidR="008F2058" w:rsidRDefault="00FF391B" w:rsidP="002D34B6">
            <w:pPr>
              <w:pStyle w:val="TableParagraph"/>
              <w:spacing w:before="120"/>
              <w:ind w:left="0" w:right="3060"/>
              <w:rPr>
                <w:spacing w:val="-2"/>
              </w:rPr>
            </w:pPr>
            <w:r>
              <w:rPr>
                <w:spacing w:val="-2"/>
              </w:rPr>
              <w:t>Parkville</w:t>
            </w:r>
            <w:r w:rsidR="00EE2195">
              <w:rPr>
                <w:spacing w:val="-2"/>
              </w:rPr>
              <w:t>,</w:t>
            </w:r>
            <w:r w:rsidR="008F2058">
              <w:rPr>
                <w:spacing w:val="-2"/>
              </w:rPr>
              <w:t xml:space="preserve"> </w:t>
            </w:r>
          </w:p>
          <w:p w14:paraId="46132FA2" w14:textId="476EA484" w:rsidR="00EE2195" w:rsidRDefault="00EE2195" w:rsidP="002D34B6">
            <w:pPr>
              <w:pStyle w:val="TableParagraph"/>
              <w:spacing w:before="120"/>
              <w:ind w:left="0" w:right="3060"/>
            </w:pPr>
            <w:r>
              <w:t>Victoria,</w:t>
            </w:r>
            <w:r>
              <w:rPr>
                <w:spacing w:val="-6"/>
              </w:rPr>
              <w:t xml:space="preserve"> </w:t>
            </w:r>
            <w:r>
              <w:rPr>
                <w:spacing w:val="-4"/>
              </w:rPr>
              <w:t>3</w:t>
            </w:r>
            <w:r w:rsidR="00FF391B">
              <w:rPr>
                <w:spacing w:val="-4"/>
              </w:rPr>
              <w:t>052</w:t>
            </w:r>
          </w:p>
          <w:p w14:paraId="68DD94B0" w14:textId="69173018" w:rsidR="00EE2195" w:rsidRPr="00BD5DBD" w:rsidRDefault="00EE2195" w:rsidP="002D34B6">
            <w:pPr>
              <w:spacing w:before="120" w:line="240" w:lineRule="auto"/>
              <w:rPr>
                <w:szCs w:val="22"/>
              </w:rPr>
            </w:pPr>
            <w:r>
              <w:rPr>
                <w:spacing w:val="-2"/>
              </w:rPr>
              <w:t>Australia</w:t>
            </w:r>
          </w:p>
        </w:tc>
      </w:tr>
      <w:tr w:rsidR="008F2058" w:rsidRPr="00BD5DBD" w14:paraId="5322B989" w14:textId="77777777" w:rsidTr="009C5D72">
        <w:trPr>
          <w:trHeight w:val="1479"/>
        </w:trPr>
        <w:tc>
          <w:tcPr>
            <w:tcW w:w="1535" w:type="pct"/>
            <w:gridSpan w:val="3"/>
          </w:tcPr>
          <w:p w14:paraId="24F217E3" w14:textId="6572EDEE" w:rsidR="008F2058" w:rsidRPr="00BD5DBD" w:rsidRDefault="00991C28" w:rsidP="008F2058">
            <w:pPr>
              <w:rPr>
                <w:i/>
                <w:szCs w:val="22"/>
              </w:rPr>
            </w:pPr>
            <w:r>
              <w:rPr>
                <w:i/>
                <w:szCs w:val="22"/>
              </w:rPr>
              <w:t>Stre</w:t>
            </w:r>
            <w:r w:rsidR="007C5A75">
              <w:rPr>
                <w:i/>
                <w:szCs w:val="22"/>
              </w:rPr>
              <w:t xml:space="preserve">ngth/ </w:t>
            </w:r>
            <w:r w:rsidR="008F2058" w:rsidRPr="00BD5DBD">
              <w:rPr>
                <w:i/>
                <w:szCs w:val="22"/>
              </w:rPr>
              <w:t>Dose form:</w:t>
            </w:r>
          </w:p>
        </w:tc>
        <w:tc>
          <w:tcPr>
            <w:tcW w:w="3465" w:type="pct"/>
            <w:gridSpan w:val="2"/>
          </w:tcPr>
          <w:p w14:paraId="4026E41D" w14:textId="77777777" w:rsidR="00991C28" w:rsidRDefault="008F2058" w:rsidP="00F73898">
            <w:pPr>
              <w:rPr>
                <w:spacing w:val="-4"/>
              </w:rPr>
            </w:pPr>
            <w:r>
              <w:t>7.5</w:t>
            </w:r>
            <w:r>
              <w:rPr>
                <w:spacing w:val="-5"/>
              </w:rPr>
              <w:t xml:space="preserve"> </w:t>
            </w:r>
            <w:r>
              <w:t>micrograms</w:t>
            </w:r>
            <w:r>
              <w:rPr>
                <w:spacing w:val="-3"/>
              </w:rPr>
              <w:t xml:space="preserve"> </w:t>
            </w:r>
            <w:r>
              <w:t>haemagglutinin</w:t>
            </w:r>
            <w:r>
              <w:rPr>
                <w:spacing w:val="-5"/>
              </w:rPr>
              <w:t xml:space="preserve"> </w:t>
            </w:r>
            <w:r>
              <w:t>per</w:t>
            </w:r>
            <w:r>
              <w:rPr>
                <w:spacing w:val="-4"/>
              </w:rPr>
              <w:t xml:space="preserve"> </w:t>
            </w:r>
            <w:r>
              <w:t>0.5</w:t>
            </w:r>
            <w:r>
              <w:rPr>
                <w:spacing w:val="-4"/>
              </w:rPr>
              <w:t xml:space="preserve"> </w:t>
            </w:r>
            <w:r>
              <w:t>mL</w:t>
            </w:r>
            <w:r>
              <w:rPr>
                <w:spacing w:val="-5"/>
              </w:rPr>
              <w:t xml:space="preserve"> </w:t>
            </w:r>
            <w:r>
              <w:rPr>
                <w:spacing w:val="-4"/>
              </w:rPr>
              <w:t>dose</w:t>
            </w:r>
            <w:r w:rsidR="00991C28">
              <w:rPr>
                <w:spacing w:val="-4"/>
              </w:rPr>
              <w:t>.</w:t>
            </w:r>
          </w:p>
          <w:p w14:paraId="768B254C" w14:textId="23F66FAC" w:rsidR="008F2058" w:rsidRPr="00BD5DBD" w:rsidRDefault="008F2058" w:rsidP="00F73898">
            <w:pPr>
              <w:rPr>
                <w:szCs w:val="22"/>
              </w:rPr>
            </w:pPr>
            <w:r>
              <w:t>The vaccine is a purified, inactivated, monovalent, surface antigen (haemagglutinin</w:t>
            </w:r>
            <w:r>
              <w:rPr>
                <w:spacing w:val="-10"/>
              </w:rPr>
              <w:t xml:space="preserve"> </w:t>
            </w:r>
            <w:r>
              <w:t>and</w:t>
            </w:r>
            <w:r>
              <w:rPr>
                <w:spacing w:val="-9"/>
              </w:rPr>
              <w:t xml:space="preserve"> </w:t>
            </w:r>
            <w:r>
              <w:t>neuraminidase),</w:t>
            </w:r>
            <w:r>
              <w:rPr>
                <w:spacing w:val="-9"/>
              </w:rPr>
              <w:t xml:space="preserve"> </w:t>
            </w:r>
            <w:r>
              <w:t>adjuvanted</w:t>
            </w:r>
            <w:r>
              <w:rPr>
                <w:spacing w:val="-9"/>
              </w:rPr>
              <w:t xml:space="preserve"> </w:t>
            </w:r>
            <w:r>
              <w:t>vaccine containing antigen of the following type: A/turkey/Turkey/1/2005 NIBRG-23</w:t>
            </w:r>
          </w:p>
        </w:tc>
      </w:tr>
      <w:tr w:rsidR="008F2058" w:rsidRPr="00BD5DBD" w14:paraId="115243E6" w14:textId="77777777" w:rsidTr="009C5D72">
        <w:tc>
          <w:tcPr>
            <w:tcW w:w="1535" w:type="pct"/>
            <w:gridSpan w:val="3"/>
          </w:tcPr>
          <w:p w14:paraId="7634B062" w14:textId="581F6C54" w:rsidR="008F2058" w:rsidRPr="00BD5DBD" w:rsidRDefault="00711507" w:rsidP="006E591D">
            <w:pPr>
              <w:jc w:val="both"/>
              <w:rPr>
                <w:i/>
                <w:szCs w:val="22"/>
              </w:rPr>
            </w:pPr>
            <w:r w:rsidRPr="00711507">
              <w:rPr>
                <w:i/>
                <w:szCs w:val="22"/>
              </w:rPr>
              <w:t>Container</w:t>
            </w:r>
            <w:r>
              <w:rPr>
                <w:i/>
                <w:szCs w:val="22"/>
              </w:rPr>
              <w:t>:</w:t>
            </w:r>
          </w:p>
        </w:tc>
        <w:tc>
          <w:tcPr>
            <w:tcW w:w="3465" w:type="pct"/>
            <w:gridSpan w:val="2"/>
          </w:tcPr>
          <w:p w14:paraId="5E5F83DB" w14:textId="5FEDA1D5" w:rsidR="008F2058" w:rsidRPr="00BD5DBD" w:rsidRDefault="008F2058" w:rsidP="006E591D">
            <w:pPr>
              <w:jc w:val="both"/>
              <w:rPr>
                <w:szCs w:val="22"/>
              </w:rPr>
            </w:pPr>
            <w:r>
              <w:t>Each</w:t>
            </w:r>
            <w:r>
              <w:rPr>
                <w:spacing w:val="-3"/>
              </w:rPr>
              <w:t xml:space="preserve"> </w:t>
            </w:r>
            <w:r>
              <w:t>pre-filled</w:t>
            </w:r>
            <w:r>
              <w:rPr>
                <w:spacing w:val="-4"/>
              </w:rPr>
              <w:t xml:space="preserve"> </w:t>
            </w:r>
            <w:r>
              <w:t>syringe</w:t>
            </w:r>
            <w:r>
              <w:rPr>
                <w:spacing w:val="-4"/>
              </w:rPr>
              <w:t xml:space="preserve"> </w:t>
            </w:r>
            <w:r>
              <w:t>(PFS)</w:t>
            </w:r>
            <w:r>
              <w:rPr>
                <w:spacing w:val="-4"/>
              </w:rPr>
              <w:t xml:space="preserve"> </w:t>
            </w:r>
            <w:r>
              <w:t>contains</w:t>
            </w:r>
            <w:r>
              <w:rPr>
                <w:spacing w:val="-3"/>
              </w:rPr>
              <w:t xml:space="preserve"> </w:t>
            </w:r>
            <w:r>
              <w:t>1</w:t>
            </w:r>
            <w:r>
              <w:rPr>
                <w:spacing w:val="-4"/>
              </w:rPr>
              <w:t xml:space="preserve"> </w:t>
            </w:r>
            <w:r>
              <w:t>dose</w:t>
            </w:r>
            <w:r>
              <w:rPr>
                <w:spacing w:val="-4"/>
              </w:rPr>
              <w:t xml:space="preserve"> </w:t>
            </w:r>
            <w:r>
              <w:t>of</w:t>
            </w:r>
            <w:r>
              <w:rPr>
                <w:spacing w:val="-4"/>
              </w:rPr>
              <w:t xml:space="preserve"> </w:t>
            </w:r>
            <w:r>
              <w:t>0.5</w:t>
            </w:r>
            <w:r>
              <w:rPr>
                <w:spacing w:val="-6"/>
              </w:rPr>
              <w:t xml:space="preserve"> </w:t>
            </w:r>
            <w:r>
              <w:t>mL suspension for injection.</w:t>
            </w:r>
          </w:p>
        </w:tc>
      </w:tr>
      <w:tr w:rsidR="008F2058" w:rsidRPr="00BD5DBD" w14:paraId="34B07BA6" w14:textId="77777777" w:rsidTr="009C5D72">
        <w:tc>
          <w:tcPr>
            <w:tcW w:w="1535" w:type="pct"/>
            <w:gridSpan w:val="3"/>
          </w:tcPr>
          <w:p w14:paraId="1C039224" w14:textId="46A3FA71" w:rsidR="008F2058" w:rsidRPr="00BD5DBD" w:rsidRDefault="00711507" w:rsidP="008F2058">
            <w:pPr>
              <w:rPr>
                <w:i/>
                <w:szCs w:val="22"/>
              </w:rPr>
            </w:pPr>
            <w:r w:rsidRPr="00711507">
              <w:rPr>
                <w:i/>
                <w:szCs w:val="22"/>
              </w:rPr>
              <w:t>Pack size:</w:t>
            </w:r>
          </w:p>
        </w:tc>
        <w:tc>
          <w:tcPr>
            <w:tcW w:w="3465" w:type="pct"/>
            <w:gridSpan w:val="2"/>
          </w:tcPr>
          <w:p w14:paraId="500A42C6" w14:textId="624C6ADD" w:rsidR="008F2058" w:rsidRPr="00BD5DBD" w:rsidRDefault="008F2058" w:rsidP="00F73898">
            <w:pPr>
              <w:rPr>
                <w:szCs w:val="22"/>
              </w:rPr>
            </w:pPr>
            <w:r>
              <w:t>10</w:t>
            </w:r>
            <w:r>
              <w:rPr>
                <w:spacing w:val="-6"/>
              </w:rPr>
              <w:t xml:space="preserve"> </w:t>
            </w:r>
            <w:r>
              <w:t>x</w:t>
            </w:r>
            <w:r>
              <w:rPr>
                <w:spacing w:val="-2"/>
              </w:rPr>
              <w:t xml:space="preserve"> </w:t>
            </w:r>
            <w:r>
              <w:t>0.5</w:t>
            </w:r>
            <w:r>
              <w:rPr>
                <w:spacing w:val="-5"/>
              </w:rPr>
              <w:t xml:space="preserve"> </w:t>
            </w:r>
            <w:r>
              <w:t>mL</w:t>
            </w:r>
            <w:r>
              <w:rPr>
                <w:spacing w:val="-4"/>
              </w:rPr>
              <w:t xml:space="preserve"> </w:t>
            </w:r>
            <w:r>
              <w:t>pre-filled</w:t>
            </w:r>
            <w:r>
              <w:rPr>
                <w:spacing w:val="-3"/>
              </w:rPr>
              <w:t xml:space="preserve"> </w:t>
            </w:r>
            <w:r>
              <w:t>syringes</w:t>
            </w:r>
            <w:r>
              <w:rPr>
                <w:spacing w:val="-2"/>
              </w:rPr>
              <w:t xml:space="preserve"> </w:t>
            </w:r>
            <w:r>
              <w:t>needle</w:t>
            </w:r>
            <w:r>
              <w:rPr>
                <w:spacing w:val="-3"/>
              </w:rPr>
              <w:t xml:space="preserve"> </w:t>
            </w:r>
            <w:r>
              <w:rPr>
                <w:spacing w:val="-2"/>
              </w:rPr>
              <w:t>free.</w:t>
            </w:r>
          </w:p>
        </w:tc>
      </w:tr>
      <w:tr w:rsidR="008F2058" w:rsidRPr="00BD5DBD" w14:paraId="176B6773" w14:textId="77777777" w:rsidTr="009C5D72">
        <w:trPr>
          <w:trHeight w:val="1346"/>
        </w:trPr>
        <w:tc>
          <w:tcPr>
            <w:tcW w:w="1535" w:type="pct"/>
            <w:gridSpan w:val="3"/>
          </w:tcPr>
          <w:p w14:paraId="71846159" w14:textId="5D5E63B6" w:rsidR="008F2058" w:rsidRPr="00BD5DBD" w:rsidRDefault="00711507" w:rsidP="008F2058">
            <w:pPr>
              <w:rPr>
                <w:i/>
                <w:szCs w:val="22"/>
              </w:rPr>
            </w:pPr>
            <w:r w:rsidRPr="00711507">
              <w:rPr>
                <w:i/>
                <w:szCs w:val="22"/>
              </w:rPr>
              <w:t>Approved therapeutic use for the current submission:</w:t>
            </w:r>
          </w:p>
        </w:tc>
        <w:tc>
          <w:tcPr>
            <w:tcW w:w="3465" w:type="pct"/>
            <w:gridSpan w:val="2"/>
          </w:tcPr>
          <w:p w14:paraId="28AC9733" w14:textId="77777777" w:rsidR="008F2058" w:rsidRDefault="008F2058" w:rsidP="00F73898">
            <w:pPr>
              <w:pStyle w:val="Indication"/>
              <w:ind w:left="0"/>
            </w:pPr>
            <w:r>
              <w:t>Celldemic is indicated for active immunisation against the H5 subtype</w:t>
            </w:r>
            <w:r>
              <w:rPr>
                <w:spacing w:val="-6"/>
              </w:rPr>
              <w:t xml:space="preserve"> </w:t>
            </w:r>
            <w:r>
              <w:t>of</w:t>
            </w:r>
            <w:r>
              <w:rPr>
                <w:spacing w:val="-3"/>
              </w:rPr>
              <w:t xml:space="preserve"> </w:t>
            </w:r>
            <w:r>
              <w:t>Influenza</w:t>
            </w:r>
            <w:r>
              <w:rPr>
                <w:spacing w:val="-4"/>
              </w:rPr>
              <w:t xml:space="preserve"> </w:t>
            </w:r>
            <w:r>
              <w:t>A</w:t>
            </w:r>
            <w:r>
              <w:rPr>
                <w:spacing w:val="-3"/>
              </w:rPr>
              <w:t xml:space="preserve"> </w:t>
            </w:r>
            <w:r>
              <w:t>virus</w:t>
            </w:r>
            <w:r>
              <w:rPr>
                <w:spacing w:val="-3"/>
              </w:rPr>
              <w:t xml:space="preserve"> </w:t>
            </w:r>
            <w:r>
              <w:t>in</w:t>
            </w:r>
            <w:r>
              <w:rPr>
                <w:spacing w:val="-4"/>
              </w:rPr>
              <w:t xml:space="preserve"> </w:t>
            </w:r>
            <w:r>
              <w:t>persons</w:t>
            </w:r>
            <w:r>
              <w:rPr>
                <w:spacing w:val="-3"/>
              </w:rPr>
              <w:t xml:space="preserve"> </w:t>
            </w:r>
            <w:r>
              <w:t>from</w:t>
            </w:r>
            <w:r>
              <w:rPr>
                <w:spacing w:val="-2"/>
              </w:rPr>
              <w:t xml:space="preserve"> </w:t>
            </w:r>
            <w:r>
              <w:t>6</w:t>
            </w:r>
            <w:r>
              <w:rPr>
                <w:spacing w:val="-4"/>
              </w:rPr>
              <w:t xml:space="preserve"> </w:t>
            </w:r>
            <w:r>
              <w:t>months</w:t>
            </w:r>
            <w:r>
              <w:rPr>
                <w:spacing w:val="-6"/>
              </w:rPr>
              <w:t xml:space="preserve"> </w:t>
            </w:r>
            <w:r>
              <w:t>of</w:t>
            </w:r>
            <w:r>
              <w:rPr>
                <w:spacing w:val="-3"/>
              </w:rPr>
              <w:t xml:space="preserve"> </w:t>
            </w:r>
            <w:r>
              <w:t>age</w:t>
            </w:r>
            <w:r>
              <w:rPr>
                <w:spacing w:val="-3"/>
              </w:rPr>
              <w:t xml:space="preserve"> </w:t>
            </w:r>
            <w:r>
              <w:t xml:space="preserve">and </w:t>
            </w:r>
            <w:r>
              <w:rPr>
                <w:spacing w:val="-2"/>
              </w:rPr>
              <w:t>older.</w:t>
            </w:r>
          </w:p>
          <w:p w14:paraId="6204DCC6" w14:textId="77777777" w:rsidR="00D212AD" w:rsidRDefault="00D212AD" w:rsidP="00F73898">
            <w:pPr>
              <w:pStyle w:val="Indication"/>
              <w:ind w:left="0"/>
            </w:pPr>
          </w:p>
          <w:p w14:paraId="7E978F8F" w14:textId="32B19744" w:rsidR="008F2058" w:rsidRPr="00BD5DBD" w:rsidRDefault="008F2058" w:rsidP="00F73898">
            <w:pPr>
              <w:pStyle w:val="Indication"/>
              <w:ind w:left="0"/>
              <w:rPr>
                <w:szCs w:val="22"/>
              </w:rPr>
            </w:pPr>
            <w:r>
              <w:t>Celldemic</w:t>
            </w:r>
            <w:r>
              <w:rPr>
                <w:spacing w:val="-5"/>
              </w:rPr>
              <w:t xml:space="preserve"> </w:t>
            </w:r>
            <w:r>
              <w:t>should</w:t>
            </w:r>
            <w:r>
              <w:rPr>
                <w:spacing w:val="-6"/>
              </w:rPr>
              <w:t xml:space="preserve"> </w:t>
            </w:r>
            <w:r>
              <w:t>be</w:t>
            </w:r>
            <w:r>
              <w:rPr>
                <w:spacing w:val="-5"/>
              </w:rPr>
              <w:t xml:space="preserve"> </w:t>
            </w:r>
            <w:r>
              <w:t>used</w:t>
            </w:r>
            <w:r>
              <w:rPr>
                <w:spacing w:val="-5"/>
              </w:rPr>
              <w:t xml:space="preserve"> </w:t>
            </w:r>
            <w:r>
              <w:t>in</w:t>
            </w:r>
            <w:r>
              <w:rPr>
                <w:spacing w:val="-6"/>
              </w:rPr>
              <w:t xml:space="preserve"> </w:t>
            </w:r>
            <w:r>
              <w:t>accordance</w:t>
            </w:r>
            <w:r>
              <w:rPr>
                <w:spacing w:val="-6"/>
              </w:rPr>
              <w:t xml:space="preserve"> </w:t>
            </w:r>
            <w:r>
              <w:t>with</w:t>
            </w:r>
            <w:r>
              <w:rPr>
                <w:spacing w:val="-6"/>
              </w:rPr>
              <w:t xml:space="preserve"> </w:t>
            </w:r>
            <w:r>
              <w:t xml:space="preserve">official </w:t>
            </w:r>
            <w:r>
              <w:rPr>
                <w:spacing w:val="-2"/>
              </w:rPr>
              <w:t>recommendations.</w:t>
            </w:r>
          </w:p>
        </w:tc>
      </w:tr>
      <w:tr w:rsidR="009229FA" w:rsidRPr="00BD5DBD" w14:paraId="19A2544A" w14:textId="77777777" w:rsidTr="009C5D72">
        <w:tc>
          <w:tcPr>
            <w:tcW w:w="1535" w:type="pct"/>
            <w:gridSpan w:val="3"/>
          </w:tcPr>
          <w:p w14:paraId="0E6C5C0E" w14:textId="0ED356D9" w:rsidR="009229FA" w:rsidRPr="00BD5DBD" w:rsidRDefault="009229FA" w:rsidP="009229FA">
            <w:pPr>
              <w:rPr>
                <w:i/>
                <w:szCs w:val="22"/>
              </w:rPr>
            </w:pPr>
            <w:r w:rsidRPr="007F7112">
              <w:rPr>
                <w:i/>
                <w:szCs w:val="22"/>
              </w:rPr>
              <w:t>Dosage:</w:t>
            </w:r>
          </w:p>
        </w:tc>
        <w:tc>
          <w:tcPr>
            <w:tcW w:w="3465" w:type="pct"/>
            <w:gridSpan w:val="2"/>
          </w:tcPr>
          <w:p w14:paraId="05E39623" w14:textId="77777777" w:rsidR="009229FA" w:rsidRPr="007F7112" w:rsidRDefault="009229FA" w:rsidP="009229FA">
            <w:r w:rsidRPr="007F7112">
              <w:t>Individuals 6 months of age and older: Administer two doses (0.5 mL each), at least 21 days apart.</w:t>
            </w:r>
          </w:p>
          <w:p w14:paraId="07036614" w14:textId="77777777" w:rsidR="009229FA" w:rsidRPr="007F7112" w:rsidRDefault="009229FA" w:rsidP="009229FA">
            <w:r w:rsidRPr="007F7112">
              <w:t>Elderly: No dose adjustment is required in elderly individuals ≥ 65 years of age and older.</w:t>
            </w:r>
          </w:p>
          <w:p w14:paraId="6E143E2E" w14:textId="286FCAEF" w:rsidR="009229FA" w:rsidRPr="00BD5DBD" w:rsidRDefault="009229FA" w:rsidP="009229FA">
            <w:pPr>
              <w:rPr>
                <w:szCs w:val="22"/>
              </w:rPr>
            </w:pPr>
            <w:r w:rsidRPr="007F7112">
              <w:t>For further information regarding dosage, such as dosage modifications to manage adverse reactions, refer to the Product Information.</w:t>
            </w:r>
          </w:p>
        </w:tc>
      </w:tr>
      <w:tr w:rsidR="009229FA" w:rsidRPr="00BD5DBD" w14:paraId="7B7BB6AE" w14:textId="77777777" w:rsidTr="009C5D72">
        <w:trPr>
          <w:gridBefore w:val="1"/>
          <w:gridAfter w:val="1"/>
          <w:wBefore w:w="58" w:type="pct"/>
          <w:wAfter w:w="76" w:type="pct"/>
        </w:trPr>
        <w:tc>
          <w:tcPr>
            <w:tcW w:w="1445" w:type="pct"/>
          </w:tcPr>
          <w:p w14:paraId="3A76AFF7" w14:textId="7C436DD9" w:rsidR="009229FA" w:rsidRPr="00F8083B" w:rsidRDefault="009229FA" w:rsidP="009229FA">
            <w:r w:rsidRPr="00BD5DBD">
              <w:rPr>
                <w:i/>
                <w:szCs w:val="22"/>
              </w:rPr>
              <w:lastRenderedPageBreak/>
              <w:t>Pregnancy category:</w:t>
            </w:r>
          </w:p>
        </w:tc>
        <w:tc>
          <w:tcPr>
            <w:tcW w:w="3421" w:type="pct"/>
            <w:gridSpan w:val="2"/>
          </w:tcPr>
          <w:p w14:paraId="51A0A801" w14:textId="77777777" w:rsidR="009229FA" w:rsidRPr="00D212AD" w:rsidRDefault="009229FA" w:rsidP="009229FA">
            <w:pPr>
              <w:rPr>
                <w:b/>
                <w:bCs/>
                <w:szCs w:val="22"/>
                <w:lang w:val="en-US"/>
              </w:rPr>
            </w:pPr>
            <w:r w:rsidRPr="00D212AD">
              <w:rPr>
                <w:b/>
                <w:bCs/>
                <w:szCs w:val="22"/>
                <w:lang w:val="en-US"/>
              </w:rPr>
              <w:t>Pregnancy Category B1</w:t>
            </w:r>
          </w:p>
          <w:p w14:paraId="1B5A1252" w14:textId="77777777" w:rsidR="009229FA" w:rsidRPr="00D254FE" w:rsidRDefault="009229FA" w:rsidP="009229FA">
            <w:pPr>
              <w:rPr>
                <w:szCs w:val="22"/>
                <w:lang w:val="en-US"/>
              </w:rPr>
            </w:pPr>
            <w:r w:rsidRPr="00D254FE">
              <w:rPr>
                <w:szCs w:val="22"/>
                <w:lang w:val="en-US"/>
              </w:rPr>
              <w:t>Healthcare providers should assess the benefit and potential risks of administering the vaccine to pregnant women taking into consideration official recommendations.</w:t>
            </w:r>
          </w:p>
          <w:p w14:paraId="697D931A" w14:textId="77777777" w:rsidR="009229FA" w:rsidRPr="00D254FE" w:rsidRDefault="009229FA" w:rsidP="009229FA">
            <w:pPr>
              <w:rPr>
                <w:szCs w:val="22"/>
                <w:lang w:val="en-US"/>
              </w:rPr>
            </w:pPr>
            <w:r w:rsidRPr="00D254FE">
              <w:rPr>
                <w:szCs w:val="22"/>
                <w:lang w:val="en-US"/>
              </w:rPr>
              <w:t>The safety of Celldemic in pregnancy has not been assessed in clinical trials.</w:t>
            </w:r>
          </w:p>
          <w:p w14:paraId="76497789" w14:textId="118138F2" w:rsidR="009229FA" w:rsidRPr="00BD5DBD" w:rsidRDefault="009229FA" w:rsidP="009229FA">
            <w:pPr>
              <w:rPr>
                <w:szCs w:val="22"/>
              </w:rPr>
            </w:pPr>
            <w:r w:rsidRPr="00D254FE">
              <w:rPr>
                <w:szCs w:val="22"/>
                <w:lang w:val="en-US"/>
              </w:rPr>
              <w:t xml:space="preserve">The use of any medicine during pregnancy requires careful consideration of both risks and benefits by </w:t>
            </w:r>
            <w:proofErr w:type="gramStart"/>
            <w:r w:rsidRPr="00D254FE">
              <w:rPr>
                <w:szCs w:val="22"/>
                <w:lang w:val="en-US"/>
              </w:rPr>
              <w:t>the treating</w:t>
            </w:r>
            <w:proofErr w:type="gramEnd"/>
            <w:r w:rsidRPr="00D254FE">
              <w:rPr>
                <w:szCs w:val="22"/>
                <w:lang w:val="en-US"/>
              </w:rPr>
              <w:t xml:space="preserve"> health </w:t>
            </w:r>
            <w:proofErr w:type="gramStart"/>
            <w:r w:rsidRPr="00D254FE">
              <w:rPr>
                <w:szCs w:val="22"/>
                <w:lang w:val="en-US"/>
              </w:rPr>
              <w:t>professional</w:t>
            </w:r>
            <w:proofErr w:type="gramEnd"/>
            <w:r w:rsidRPr="00D254FE">
              <w:rPr>
                <w:szCs w:val="22"/>
                <w:lang w:val="en-US"/>
              </w:rPr>
              <w:t xml:space="preserve">. The </w:t>
            </w:r>
            <w:hyperlink r:id="rId16">
              <w:r w:rsidRPr="00D254FE">
                <w:rPr>
                  <w:rStyle w:val="Hyperlink"/>
                  <w:szCs w:val="22"/>
                  <w:lang w:val="en-US"/>
                </w:rPr>
                <w:t>pregnancy database</w:t>
              </w:r>
            </w:hyperlink>
            <w:r w:rsidRPr="00D254FE">
              <w:rPr>
                <w:szCs w:val="22"/>
                <w:lang w:val="en-US"/>
              </w:rPr>
              <w:t xml:space="preserve"> must not be used as the sole basis of decision making in the use of medicines during pregnancy. The TGA does not provide advice on the use of medicines in pregnancy for specific cases. More information is available from </w:t>
            </w:r>
            <w:hyperlink r:id="rId17">
              <w:r w:rsidRPr="00D254FE">
                <w:rPr>
                  <w:rStyle w:val="Hyperlink"/>
                  <w:szCs w:val="22"/>
                  <w:lang w:val="en-US"/>
                </w:rPr>
                <w:t>obstetric drug information services</w:t>
              </w:r>
            </w:hyperlink>
            <w:r w:rsidRPr="00D254FE">
              <w:rPr>
                <w:szCs w:val="22"/>
                <w:lang w:val="en-US"/>
              </w:rPr>
              <w:t xml:space="preserve"> in your state or 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27753742"/>
      <w:r>
        <w:t>Product background</w:t>
      </w:r>
      <w:bookmarkEnd w:id="11"/>
      <w:bookmarkEnd w:id="12"/>
      <w:bookmarkEnd w:id="13"/>
      <w:bookmarkEnd w:id="14"/>
    </w:p>
    <w:p w14:paraId="43030E6B" w14:textId="0AE8CD19" w:rsidR="00540495" w:rsidRPr="00540495" w:rsidRDefault="00540495" w:rsidP="00540495">
      <w:pPr>
        <w:rPr>
          <w:lang w:val="en-US"/>
        </w:rPr>
      </w:pPr>
      <w:r w:rsidRPr="00540495">
        <w:rPr>
          <w:lang w:val="en-US"/>
        </w:rPr>
        <w:t>This AusPAR describes the submissions by Seqirus Pty Ltd to register Celldemic (Influenza virus haemagglutinin) 7.5 micrograms haemagglutinin per 0.5 mL dose, as pre-filled syringe (PFS) for the following proposed indication:</w:t>
      </w:r>
      <w:r w:rsidR="00F0497A">
        <w:rPr>
          <w:rStyle w:val="FootnoteReference"/>
          <w:lang w:val="en-US"/>
        </w:rPr>
        <w:footnoteReference w:id="1"/>
      </w:r>
      <w:r w:rsidR="00F0497A" w:rsidRPr="00540495">
        <w:rPr>
          <w:lang w:val="en-US"/>
        </w:rPr>
        <w:t xml:space="preserve"> </w:t>
      </w:r>
    </w:p>
    <w:p w14:paraId="674D08BE" w14:textId="77777777" w:rsidR="00540495" w:rsidRPr="00540495" w:rsidRDefault="00540495" w:rsidP="001F02D5">
      <w:pPr>
        <w:pStyle w:val="Indication"/>
        <w:rPr>
          <w:lang w:val="en-US"/>
        </w:rPr>
      </w:pPr>
      <w:r w:rsidRPr="00540495">
        <w:rPr>
          <w:lang w:val="en-US"/>
        </w:rPr>
        <w:t xml:space="preserve">For active </w:t>
      </w:r>
      <w:proofErr w:type="spellStart"/>
      <w:r w:rsidRPr="00540495">
        <w:rPr>
          <w:lang w:val="en-US"/>
        </w:rPr>
        <w:t>immunisation</w:t>
      </w:r>
      <w:proofErr w:type="spellEnd"/>
      <w:r w:rsidRPr="00540495">
        <w:rPr>
          <w:lang w:val="en-US"/>
        </w:rPr>
        <w:t xml:space="preserve"> in persons from 6 months of age, to prevent influenza disease caused by the influenza A virus.</w:t>
      </w:r>
    </w:p>
    <w:p w14:paraId="1155541E" w14:textId="77777777" w:rsidR="00540495" w:rsidRDefault="00540495" w:rsidP="001F02D5">
      <w:pPr>
        <w:rPr>
          <w:lang w:val="en-US"/>
        </w:rPr>
      </w:pPr>
      <w:r w:rsidRPr="00540495">
        <w:rPr>
          <w:lang w:val="en-US"/>
        </w:rPr>
        <w:t>The Sponsor submitted two concurrent applications, Audenz and Celldemic, for registration in Australia. The dossiers for Audenz and Celldemic, include the same vaccine - MF59-adjuvanted cell culture-derived H5N1 inactivated subunit influenza virus vaccine (aH5N1c), with different regulatory purposes. Two distinct, yet comparable AusPAR documents have been prepared for Audenz and Celldemic.</w:t>
      </w:r>
    </w:p>
    <w:p w14:paraId="5A6EB057" w14:textId="77777777" w:rsidR="00625AA6" w:rsidRPr="00625AA6" w:rsidRDefault="00625AA6" w:rsidP="00625AA6">
      <w:pPr>
        <w:pStyle w:val="Heading4"/>
      </w:pPr>
      <w:bookmarkStart w:id="15" w:name="_Toc227753743"/>
      <w:r w:rsidRPr="00625AA6">
        <w:t>Disease or condition</w:t>
      </w:r>
      <w:bookmarkEnd w:id="15"/>
    </w:p>
    <w:p w14:paraId="2155D41F" w14:textId="09763445" w:rsidR="0092091D" w:rsidRPr="0092091D" w:rsidRDefault="0092091D" w:rsidP="001F02D5">
      <w:pPr>
        <w:rPr>
          <w:lang w:val="en-US"/>
        </w:rPr>
      </w:pPr>
      <w:r w:rsidRPr="0092091D">
        <w:rPr>
          <w:lang w:val="en-US"/>
        </w:rPr>
        <w:t>Influenza is a highly contagious infectious disease that occurs in epidemics throughout the winter months in the Northern and Southern Hemispheres.</w:t>
      </w:r>
    </w:p>
    <w:p w14:paraId="74B769D9" w14:textId="77777777" w:rsidR="0092091D" w:rsidRPr="0092091D" w:rsidRDefault="0092091D" w:rsidP="001F02D5">
      <w:pPr>
        <w:rPr>
          <w:lang w:val="en-US"/>
        </w:rPr>
      </w:pPr>
      <w:r w:rsidRPr="0092091D">
        <w:rPr>
          <w:lang w:val="en-US"/>
        </w:rPr>
        <w:t>An influenza pandemic occurs when a novel influenza virus emerges against which most of the world’s population has no immunity. Outbreaks of influenza in animals, especially when synchronous with seasonal outbreaks in humans, can result in the merging of zoonotic and human influenza viruses increasing the chances of a pandemic.</w:t>
      </w:r>
    </w:p>
    <w:p w14:paraId="22ADF853" w14:textId="272922FC" w:rsidR="0092091D" w:rsidRPr="001F02D5" w:rsidRDefault="0092091D" w:rsidP="001F02D5">
      <w:r w:rsidRPr="0092091D">
        <w:rPr>
          <w:lang w:val="en-US"/>
        </w:rPr>
        <w:t>In the last few years, the world has faced several threats with influenza pandemic potential, making the occurrence of the next pandemic likely (Vaccines and Related Biological Products Advisory Committee [VRBPAC], 2018). This phenomenon has been observed only with Influenza A viruses and results from the emergence of a new antigenic variant (antigenic shift) typically caused by substitution of the haemagglutinin (HA) antigen on the surface of the virus, with or</w:t>
      </w:r>
      <w:r w:rsidR="004D5301">
        <w:rPr>
          <w:lang w:val="en-US"/>
        </w:rPr>
        <w:t xml:space="preserve"> </w:t>
      </w:r>
      <w:r w:rsidRPr="001F02D5">
        <w:lastRenderedPageBreak/>
        <w:t>without a concomitant change in neuraminidase (NA).</w:t>
      </w:r>
      <w:r w:rsidR="002713FD" w:rsidRPr="00377AC4">
        <w:rPr>
          <w:vertAlign w:val="superscript"/>
        </w:rPr>
        <w:footnoteReference w:id="2"/>
      </w:r>
      <w:r w:rsidR="003577C3" w:rsidRPr="00377AC4">
        <w:rPr>
          <w:vertAlign w:val="superscript"/>
        </w:rPr>
        <w:t>,</w:t>
      </w:r>
      <w:r w:rsidR="003577C3" w:rsidRPr="00377AC4">
        <w:rPr>
          <w:vertAlign w:val="superscript"/>
        </w:rPr>
        <w:footnoteReference w:id="3"/>
      </w:r>
      <w:r w:rsidR="00D37C36" w:rsidRPr="00377AC4">
        <w:rPr>
          <w:vertAlign w:val="superscript"/>
        </w:rPr>
        <w:t>,</w:t>
      </w:r>
      <w:r w:rsidR="00D37C36" w:rsidRPr="00377AC4">
        <w:rPr>
          <w:vertAlign w:val="superscript"/>
        </w:rPr>
        <w:footnoteReference w:id="4"/>
      </w:r>
      <w:r w:rsidR="003577C3" w:rsidRPr="001F02D5">
        <w:t xml:space="preserve"> </w:t>
      </w:r>
      <w:r w:rsidRPr="001F02D5">
        <w:t>The H2, H5, H7 and H9 subtypes of Influenza A are the most likely to be transmitted to humans and present a potential pandemic threat. Currently, H5 strains continue to circulate in wild birds and domestic poultry, and more recently in cattle herds in the United States of America (USA). There has already been spread (albeit limited) to humans, including cases without any contact with cattle or birds.</w:t>
      </w:r>
    </w:p>
    <w:p w14:paraId="255E083A" w14:textId="77777777" w:rsidR="00CB6813" w:rsidRDefault="00CB6813" w:rsidP="00CB6813">
      <w:pPr>
        <w:pStyle w:val="Heading4"/>
      </w:pPr>
      <w:bookmarkStart w:id="16" w:name="_Toc227753744"/>
      <w:bookmarkStart w:id="17" w:name="_Toc314842485"/>
      <w:bookmarkStart w:id="18" w:name="_Toc247691504"/>
      <w:r>
        <w:t>Current treatment options</w:t>
      </w:r>
      <w:bookmarkEnd w:id="16"/>
    </w:p>
    <w:p w14:paraId="3B6F9BA9" w14:textId="12BDDD8B" w:rsidR="009449AF" w:rsidRPr="009449AF" w:rsidRDefault="009449AF" w:rsidP="001F02D5">
      <w:pPr>
        <w:rPr>
          <w:lang w:val="en-US"/>
        </w:rPr>
      </w:pPr>
      <w:r w:rsidRPr="009449AF">
        <w:rPr>
          <w:lang w:val="en-US"/>
        </w:rPr>
        <w:t>At the time the TGA considered this submission, one zoonotic vaccine was registered in Australia. Panvax H5N8 pre-pandemic, Pre-pandemic influenza vaccine (split-virion, inactivated)</w:t>
      </w:r>
      <w:r>
        <w:rPr>
          <w:rStyle w:val="FootnoteReference"/>
          <w:lang w:val="en-US"/>
        </w:rPr>
        <w:footnoteReference w:id="5"/>
      </w:r>
      <w:r w:rsidRPr="009449AF">
        <w:rPr>
          <w:lang w:val="en-US"/>
        </w:rPr>
        <w:t xml:space="preserve"> for the strain A/Astrakhan/3212/2020 (H5N8)-like virus is approved for use in persons from 6 months of age, to prevent influenza disease caused by the influenza A virus.</w:t>
      </w:r>
    </w:p>
    <w:p w14:paraId="43B36D9F" w14:textId="20B13695" w:rsidR="009449AF" w:rsidRPr="009449AF" w:rsidRDefault="009449AF" w:rsidP="001F02D5">
      <w:pPr>
        <w:rPr>
          <w:lang w:val="en-US"/>
        </w:rPr>
      </w:pPr>
      <w:r w:rsidRPr="009449AF">
        <w:rPr>
          <w:lang w:val="en-US"/>
        </w:rPr>
        <w:t>There are two pandemic vaccines approved by the TGA i.e. Panvax H1N1 Vaccine / Panvax H1N1 Vaccine Junior H1N1 Pandemic influenza vaccine (split virion, inactivated)</w:t>
      </w:r>
      <w:r w:rsidR="008405AC" w:rsidRPr="00885407">
        <w:rPr>
          <w:rStyle w:val="FootnoteReference"/>
          <w:lang w:val="en-US"/>
        </w:rPr>
        <w:footnoteReference w:id="6"/>
      </w:r>
      <w:r w:rsidR="001A1330" w:rsidRPr="00885407">
        <w:rPr>
          <w:vertAlign w:val="superscript"/>
          <w:lang w:val="en-US"/>
        </w:rPr>
        <w:t>,</w:t>
      </w:r>
      <w:r w:rsidR="001A1330" w:rsidRPr="00885407">
        <w:rPr>
          <w:rStyle w:val="FootnoteReference"/>
          <w:lang w:val="en-US"/>
        </w:rPr>
        <w:footnoteReference w:id="7"/>
      </w:r>
      <w:r w:rsidR="00F75A47" w:rsidRPr="00885407">
        <w:rPr>
          <w:vertAlign w:val="superscript"/>
          <w:lang w:val="en-US"/>
        </w:rPr>
        <w:t>,</w:t>
      </w:r>
      <w:r w:rsidR="000463D2" w:rsidRPr="00885407">
        <w:rPr>
          <w:rStyle w:val="FootnoteReference"/>
          <w:lang w:val="en-US"/>
        </w:rPr>
        <w:footnoteReference w:id="8"/>
      </w:r>
      <w:r w:rsidR="00EA5CE9" w:rsidRPr="00885407">
        <w:rPr>
          <w:vertAlign w:val="superscript"/>
          <w:lang w:val="en-US"/>
        </w:rPr>
        <w:t>,</w:t>
      </w:r>
      <w:r w:rsidR="00EA5CE9" w:rsidRPr="00885407">
        <w:rPr>
          <w:rStyle w:val="FootnoteReference"/>
          <w:lang w:val="en-US"/>
        </w:rPr>
        <w:footnoteReference w:id="9"/>
      </w:r>
      <w:r w:rsidRPr="009449AF">
        <w:rPr>
          <w:vertAlign w:val="superscript"/>
          <w:lang w:val="en-US"/>
        </w:rPr>
        <w:t xml:space="preserve"> </w:t>
      </w:r>
      <w:r w:rsidRPr="009449AF">
        <w:rPr>
          <w:lang w:val="en-US"/>
        </w:rPr>
        <w:t xml:space="preserve">indicated for active </w:t>
      </w:r>
      <w:proofErr w:type="spellStart"/>
      <w:r w:rsidRPr="009449AF">
        <w:rPr>
          <w:lang w:val="en-US"/>
        </w:rPr>
        <w:t>immunisation</w:t>
      </w:r>
      <w:proofErr w:type="spellEnd"/>
      <w:r w:rsidRPr="009449AF">
        <w:rPr>
          <w:lang w:val="en-US"/>
        </w:rPr>
        <w:t xml:space="preserve"> to prevent influenza disease caused by the influenza A(H1N1) virus, in persons from 6 months of age and Panvax Pandemic influenza vaccine (split virion, inactivated adjuvanted)</w:t>
      </w:r>
      <w:r w:rsidR="004612F7">
        <w:rPr>
          <w:rStyle w:val="FootnoteReference"/>
          <w:lang w:val="en-US"/>
        </w:rPr>
        <w:footnoteReference w:id="10"/>
      </w:r>
      <w:r w:rsidRPr="009449AF">
        <w:rPr>
          <w:lang w:val="en-US"/>
        </w:rPr>
        <w:t xml:space="preserve"> intended for preparedness against a future pandemic influenza strain.</w:t>
      </w:r>
    </w:p>
    <w:p w14:paraId="37C47E09" w14:textId="14D3762D" w:rsidR="00CB6813" w:rsidRDefault="00CB6813" w:rsidP="00CB6813">
      <w:pPr>
        <w:pStyle w:val="Heading4"/>
      </w:pPr>
      <w:bookmarkStart w:id="19" w:name="_Toc227753745"/>
      <w:r>
        <w:t>C</w:t>
      </w:r>
      <w:r w:rsidRPr="00DE1344">
        <w:t>linical rational</w:t>
      </w:r>
      <w:r w:rsidR="0025785B">
        <w:t>e</w:t>
      </w:r>
      <w:bookmarkEnd w:id="19"/>
    </w:p>
    <w:p w14:paraId="676E8991" w14:textId="6B072293" w:rsidR="00B966C3" w:rsidRDefault="00656E8A">
      <w:pPr>
        <w:rPr>
          <w:szCs w:val="22"/>
          <w:lang w:val="en-US"/>
        </w:rPr>
      </w:pPr>
      <w:r w:rsidRPr="00656E8A">
        <w:rPr>
          <w:lang w:val="en-US"/>
        </w:rPr>
        <w:t xml:space="preserve">Influenza vaccines are designed to </w:t>
      </w:r>
      <w:r w:rsidR="003244BB">
        <w:rPr>
          <w:lang w:val="en-US"/>
        </w:rPr>
        <w:t xml:space="preserve">provide </w:t>
      </w:r>
      <w:r w:rsidRPr="00656E8A">
        <w:rPr>
          <w:lang w:val="en-US"/>
        </w:rPr>
        <w:t>protect</w:t>
      </w:r>
      <w:r w:rsidR="003244BB">
        <w:rPr>
          <w:lang w:val="en-US"/>
        </w:rPr>
        <w:t>ion</w:t>
      </w:r>
      <w:r w:rsidRPr="00656E8A">
        <w:rPr>
          <w:lang w:val="en-US"/>
        </w:rPr>
        <w:t xml:space="preserve"> against illness </w:t>
      </w:r>
      <w:r w:rsidR="003244BB">
        <w:rPr>
          <w:lang w:val="en-US"/>
        </w:rPr>
        <w:t>caused by</w:t>
      </w:r>
      <w:r w:rsidRPr="00656E8A">
        <w:rPr>
          <w:lang w:val="en-US"/>
        </w:rPr>
        <w:t xml:space="preserve"> circulating virus strains, </w:t>
      </w:r>
      <w:r w:rsidR="00BD4D60">
        <w:rPr>
          <w:lang w:val="en-US"/>
        </w:rPr>
        <w:t>as</w:t>
      </w:r>
      <w:r w:rsidRPr="00656E8A">
        <w:rPr>
          <w:lang w:val="en-US"/>
        </w:rPr>
        <w:t xml:space="preserve"> prevention is far superior </w:t>
      </w:r>
      <w:r w:rsidR="00D56CB8">
        <w:rPr>
          <w:lang w:val="en-US"/>
        </w:rPr>
        <w:t>to</w:t>
      </w:r>
      <w:r w:rsidR="00725685">
        <w:rPr>
          <w:lang w:val="en-US"/>
        </w:rPr>
        <w:t xml:space="preserve"> treating </w:t>
      </w:r>
      <w:r w:rsidR="00BD4D60">
        <w:rPr>
          <w:lang w:val="en-US"/>
        </w:rPr>
        <w:t xml:space="preserve">influenza </w:t>
      </w:r>
      <w:r w:rsidR="00D56CB8">
        <w:rPr>
          <w:lang w:val="en-US"/>
        </w:rPr>
        <w:t>infections</w:t>
      </w:r>
      <w:r w:rsidR="00BD4D60">
        <w:rPr>
          <w:lang w:val="en-US"/>
        </w:rPr>
        <w:t>.</w:t>
      </w:r>
      <w:r w:rsidRPr="00656E8A">
        <w:rPr>
          <w:lang w:val="en-US"/>
        </w:rPr>
        <w:t xml:space="preserve"> </w:t>
      </w:r>
      <w:r w:rsidR="00B966C3">
        <w:rPr>
          <w:lang w:val="en-US"/>
        </w:rPr>
        <w:t>This is particularly important given the limited availability of effective antiviral therapies for influenza, a challenge that is especially pronounced in hospital settings.</w:t>
      </w:r>
    </w:p>
    <w:p w14:paraId="0875288E" w14:textId="77777777" w:rsidR="00656E8A" w:rsidRPr="00656E8A" w:rsidRDefault="00656E8A" w:rsidP="00656E8A">
      <w:pPr>
        <w:rPr>
          <w:lang w:val="en-US"/>
        </w:rPr>
      </w:pPr>
      <w:r w:rsidRPr="00656E8A">
        <w:rPr>
          <w:lang w:val="en-US"/>
        </w:rPr>
        <w:t>Pandemic preparedness vaccines contain influenza antigens that are different from those in the currently circulating influenza viruses. These antigens can be considered as ‘novel’ antigens and simulate a situation where the target population for vaccination is immunologically naïve. Data obtained with the pandemic preparedness vaccine will support a vaccination strategy that is likely to be used for the pandemic vaccine: clinical immunogenicity, safety and reactogenicity data obtained with pandemic preparedness vaccines are relevant for the pandemic vaccines.</w:t>
      </w:r>
    </w:p>
    <w:p w14:paraId="11A17F9E" w14:textId="77777777" w:rsidR="00656E8A" w:rsidRPr="00656E8A" w:rsidRDefault="00656E8A" w:rsidP="00883812">
      <w:pPr>
        <w:pageBreakBefore/>
        <w:rPr>
          <w:lang w:val="en-US"/>
        </w:rPr>
      </w:pPr>
      <w:r w:rsidRPr="00656E8A">
        <w:rPr>
          <w:lang w:val="en-US"/>
        </w:rPr>
        <w:lastRenderedPageBreak/>
        <w:t xml:space="preserve">Celldemic pre-pandemic Influenza Vaccine, is a new surface antigen, inactivated, cell-based, adjuvanted vaccine that contains influenza virus surface antigens haemagglutinin (HA) and neuraminidase (NA) from a potential pandemic virus strain candidate. The monovalent vaccine is prepared in MDCK cell cultures and adjuvanted with MF59C.1 (MF59). Each 0.5 </w:t>
      </w:r>
      <w:proofErr w:type="spellStart"/>
      <w:r w:rsidRPr="00656E8A">
        <w:rPr>
          <w:lang w:val="en-US"/>
        </w:rPr>
        <w:t>millilitre</w:t>
      </w:r>
      <w:proofErr w:type="spellEnd"/>
      <w:r w:rsidRPr="00656E8A">
        <w:rPr>
          <w:lang w:val="en-US"/>
        </w:rPr>
        <w:t xml:space="preserve"> (mL) dose contains A/turkey/Turkey/1/2005 NIBRG- 23 7.5 micrograms HA, and 0.25 mL of the M59C.1 adjuvant.</w:t>
      </w:r>
    </w:p>
    <w:p w14:paraId="0D615854" w14:textId="77777777" w:rsidR="00324B33" w:rsidRPr="003F31A2" w:rsidRDefault="00324B33" w:rsidP="00324B33">
      <w:pPr>
        <w:pStyle w:val="Heading3"/>
      </w:pPr>
      <w:bookmarkStart w:id="20" w:name="_Toc103679291"/>
      <w:bookmarkStart w:id="21" w:name="_Toc227753746"/>
      <w:r>
        <w:t>Regulatory status</w:t>
      </w:r>
      <w:bookmarkEnd w:id="17"/>
      <w:bookmarkEnd w:id="18"/>
      <w:bookmarkEnd w:id="20"/>
      <w:bookmarkEnd w:id="21"/>
    </w:p>
    <w:p w14:paraId="72C889D6" w14:textId="7E200950" w:rsidR="0017005C" w:rsidRPr="00BD5DBD" w:rsidRDefault="0017005C" w:rsidP="00741AB9">
      <w:pPr>
        <w:pStyle w:val="Heading4"/>
      </w:pPr>
      <w:bookmarkStart w:id="22" w:name="_Toc227753747"/>
      <w:r w:rsidRPr="00BD5DBD">
        <w:t>Australian regulatory</w:t>
      </w:r>
      <w:r>
        <w:t xml:space="preserve"> sta</w:t>
      </w:r>
      <w:r w:rsidR="0025785B">
        <w:t>t</w:t>
      </w:r>
      <w:r>
        <w:t>us</w:t>
      </w:r>
      <w:bookmarkEnd w:id="22"/>
    </w:p>
    <w:p w14:paraId="622CECDD" w14:textId="77777777" w:rsidR="00CE2CD8" w:rsidRPr="00CE2CD8" w:rsidRDefault="00CE2CD8" w:rsidP="00CE2CD8">
      <w:pPr>
        <w:rPr>
          <w:lang w:val="en-US"/>
        </w:rPr>
      </w:pPr>
      <w:r w:rsidRPr="00CE2CD8">
        <w:rPr>
          <w:lang w:val="en-US"/>
        </w:rPr>
        <w:t>This product is considered a new biological entity for Australian regulatory purposes. The Sponsor has submitted a Type A application for the approval of Celldemic Pre-Pandemic Influenza Vaccine [surface antigen, inactivated, adjuvanted, prepared in cell cultures], suspension for injection. Celldemic is a new cell-based, adjuvanted influenza zoonotic (pre-pandemic) vaccine and is intended for use with the strain contained in the vaccine, A/turkey/Turkey/1/2005 NIBRG-23.</w:t>
      </w:r>
    </w:p>
    <w:p w14:paraId="7087CD39" w14:textId="77777777" w:rsidR="00CE2CD8" w:rsidRPr="00CE2CD8" w:rsidRDefault="00CE2CD8" w:rsidP="00CE2CD8">
      <w:pPr>
        <w:rPr>
          <w:lang w:val="en-US"/>
        </w:rPr>
      </w:pPr>
      <w:r w:rsidRPr="00CE2CD8">
        <w:rPr>
          <w:lang w:val="en-US"/>
        </w:rPr>
        <w:t>The Sponsor submitted two concurrent applications, Celldemic and Audenz, for registration in Australia. The dossiers for Celldemic and Audenz are comparable and include the same vaccine, MF59-adjuvanted cell culture-derived H5N1 inactivated subunit influenza virus vaccine (aH5N1c), with different regulatory purposes.</w:t>
      </w:r>
    </w:p>
    <w:p w14:paraId="546C1031" w14:textId="4EF98FA1" w:rsidR="0017005C" w:rsidRDefault="00131B1B" w:rsidP="0017005C">
      <w:pPr>
        <w:pStyle w:val="Heading4"/>
      </w:pPr>
      <w:bookmarkStart w:id="23" w:name="_Toc227753748"/>
      <w:r>
        <w:t xml:space="preserve">International </w:t>
      </w:r>
      <w:r w:rsidR="0017005C" w:rsidRPr="00BD5DBD">
        <w:t>regulatory</w:t>
      </w:r>
      <w:r w:rsidR="0017005C">
        <w:t xml:space="preserve"> status</w:t>
      </w:r>
      <w:bookmarkEnd w:id="23"/>
    </w:p>
    <w:p w14:paraId="26C45B57" w14:textId="77777777" w:rsidR="00EB5552" w:rsidRPr="00EB5552" w:rsidRDefault="00EB5552" w:rsidP="00EB5552">
      <w:pPr>
        <w:rPr>
          <w:lang w:val="en-US"/>
        </w:rPr>
      </w:pPr>
      <w:r w:rsidRPr="00EB5552">
        <w:rPr>
          <w:lang w:val="en-US"/>
        </w:rPr>
        <w:t>Celldemic was approved by the European Medicines Agency (EMA) in April 2024.</w:t>
      </w:r>
    </w:p>
    <w:p w14:paraId="55F0DF69" w14:textId="77777777" w:rsidR="00EB5552" w:rsidRPr="00EB5552" w:rsidRDefault="00EB5552" w:rsidP="00EB5552">
      <w:pPr>
        <w:rPr>
          <w:lang w:val="en-US"/>
        </w:rPr>
      </w:pPr>
      <w:r w:rsidRPr="00EB5552">
        <w:rPr>
          <w:lang w:val="en-US"/>
        </w:rPr>
        <w:t>Two concurrent applications for registration of aH5N1c Pandemic Influenza Vaccine and aH5N1c Pre-pandemic (zoonotic) Influenza Vaccine were submitted. The applications were approved in April 2024:</w:t>
      </w:r>
    </w:p>
    <w:p w14:paraId="14B7B1F0" w14:textId="7866634D" w:rsidR="00EB5552" w:rsidRPr="00EB5552" w:rsidRDefault="00EB5552" w:rsidP="00EB5552">
      <w:pPr>
        <w:numPr>
          <w:ilvl w:val="0"/>
          <w:numId w:val="14"/>
        </w:numPr>
        <w:rPr>
          <w:lang w:val="en-US"/>
        </w:rPr>
      </w:pPr>
      <w:r w:rsidRPr="00EB5552">
        <w:rPr>
          <w:lang w:val="en-US"/>
        </w:rPr>
        <w:t>aH5N1c Pandemic Influenza Vaccine -EMEA/H/C/006051/0000</w:t>
      </w:r>
      <w:r>
        <w:rPr>
          <w:rStyle w:val="FootnoteReference"/>
          <w:lang w:val="en-US"/>
        </w:rPr>
        <w:footnoteReference w:id="11"/>
      </w:r>
    </w:p>
    <w:p w14:paraId="66320227" w14:textId="1EF3FBC5" w:rsidR="00EB5552" w:rsidRPr="00EB5552" w:rsidRDefault="00EB5552" w:rsidP="00EB5552">
      <w:pPr>
        <w:numPr>
          <w:ilvl w:val="0"/>
          <w:numId w:val="14"/>
        </w:numPr>
        <w:rPr>
          <w:lang w:val="en-US"/>
        </w:rPr>
      </w:pPr>
      <w:r w:rsidRPr="00EB5552">
        <w:rPr>
          <w:lang w:val="en-US"/>
        </w:rPr>
        <w:t>Pre-pandemic (zoonotic) Influenza Vaccine - EMEA/H/C/006052/0000</w:t>
      </w:r>
      <w:r w:rsidR="00CC010E">
        <w:rPr>
          <w:rStyle w:val="FootnoteReference"/>
          <w:lang w:val="en-US"/>
        </w:rPr>
        <w:footnoteReference w:id="12"/>
      </w:r>
    </w:p>
    <w:p w14:paraId="27897453" w14:textId="77777777" w:rsidR="00EB5552" w:rsidRPr="00EB5552" w:rsidRDefault="00EB5552" w:rsidP="00EB5552">
      <w:pPr>
        <w:rPr>
          <w:lang w:val="en-US"/>
        </w:rPr>
      </w:pPr>
      <w:r w:rsidRPr="00EB5552">
        <w:rPr>
          <w:lang w:val="en-US"/>
        </w:rPr>
        <w:t>The submission was approved in the United Kingdom (UK) in August 2024 under International Recognition Route A.</w:t>
      </w:r>
    </w:p>
    <w:p w14:paraId="4E97C484" w14:textId="128890F6" w:rsidR="003135D9" w:rsidRPr="003135D9" w:rsidRDefault="003135D9" w:rsidP="003135D9">
      <w:pPr>
        <w:rPr>
          <w:lang w:val="en-US"/>
        </w:rPr>
      </w:pPr>
      <w:r w:rsidRPr="003135D9">
        <w:rPr>
          <w:lang w:val="en-US"/>
        </w:rPr>
        <w:t>aH5N1c Pandemic Influenza Vaccine is registered in the US under the tradename of Audenz</w:t>
      </w:r>
      <w:r w:rsidR="00A8291A">
        <w:rPr>
          <w:rStyle w:val="FootnoteReference"/>
          <w:lang w:val="en-US"/>
        </w:rPr>
        <w:footnoteReference w:id="13"/>
      </w:r>
      <w:r w:rsidRPr="003135D9">
        <w:rPr>
          <w:lang w:val="en-US"/>
        </w:rPr>
        <w:t xml:space="preserve"> and was approved in January 2020. The US approval for Audenz includes both the pre-filled syringes and </w:t>
      </w:r>
      <w:r w:rsidR="002459E7">
        <w:rPr>
          <w:lang w:val="en-US"/>
        </w:rPr>
        <w:t>multidose vial</w:t>
      </w:r>
      <w:r w:rsidRPr="003135D9">
        <w:rPr>
          <w:lang w:val="en-US"/>
        </w:rPr>
        <w:t xml:space="preserve"> presentations.</w:t>
      </w:r>
    </w:p>
    <w:p w14:paraId="2F5AEAA0" w14:textId="1D92FFE8" w:rsidR="003135D9" w:rsidRPr="003135D9" w:rsidRDefault="003135D9" w:rsidP="003135D9">
      <w:r w:rsidRPr="003135D9">
        <w:t xml:space="preserve">At the time of submission, similar applications to other regulatory agencies were being considered, including Singapore and Switzerland. The following table includes the approved indications for Celldemic in the European Union and the United Kingdom (Table </w:t>
      </w:r>
      <w:r w:rsidR="008D29EF">
        <w:t>1</w:t>
      </w:r>
      <w:r w:rsidRPr="003135D9">
        <w:t>).</w:t>
      </w:r>
    </w:p>
    <w:p w14:paraId="19B9E0AC" w14:textId="0DAF0304" w:rsidR="00324B33" w:rsidRDefault="00324B33" w:rsidP="00324B33">
      <w:pPr>
        <w:pStyle w:val="TableTitle"/>
      </w:pPr>
      <w:bookmarkStart w:id="24" w:name="_Ref99705479"/>
      <w:r>
        <w:lastRenderedPageBreak/>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24"/>
      <w:r w:rsidR="00695EAA">
        <w:t>.</w:t>
      </w:r>
      <w:r>
        <w:t xml:space="preserve"> International regulatory status</w:t>
      </w:r>
      <w:r w:rsidR="00695EAA">
        <w:t>.</w:t>
      </w:r>
    </w:p>
    <w:tbl>
      <w:tblPr>
        <w:tblStyle w:val="TableTGAblue2023"/>
        <w:tblW w:w="5158" w:type="pct"/>
        <w:tblLook w:val="04A0" w:firstRow="1" w:lastRow="0" w:firstColumn="1" w:lastColumn="0" w:noHBand="0" w:noVBand="1"/>
      </w:tblPr>
      <w:tblGrid>
        <w:gridCol w:w="1461"/>
        <w:gridCol w:w="1498"/>
        <w:gridCol w:w="1812"/>
        <w:gridCol w:w="4575"/>
      </w:tblGrid>
      <w:tr w:rsidR="00200EDC" w:rsidRPr="00D01DDB" w14:paraId="405E5D78" w14:textId="16839333" w:rsidTr="00200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185B099B" w14:textId="7A4C0E6C" w:rsidR="00324B33" w:rsidRPr="00D01DDB" w:rsidRDefault="00324B33" w:rsidP="00324B33">
            <w:pPr>
              <w:rPr>
                <w:szCs w:val="22"/>
              </w:rPr>
            </w:pPr>
            <w:r w:rsidRPr="00D01DDB">
              <w:rPr>
                <w:szCs w:val="22"/>
              </w:rPr>
              <w:t>Region</w:t>
            </w:r>
          </w:p>
        </w:tc>
        <w:tc>
          <w:tcPr>
            <w:tcW w:w="801"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970"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448"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82911" w:rsidRPr="00D01DDB" w14:paraId="38D24E86" w14:textId="77777777" w:rsidTr="00200EDC">
        <w:tc>
          <w:tcPr>
            <w:cnfStyle w:val="001000000000" w:firstRow="0" w:lastRow="0" w:firstColumn="1" w:lastColumn="0" w:oddVBand="0" w:evenVBand="0" w:oddHBand="0" w:evenHBand="0" w:firstRowFirstColumn="0" w:firstRowLastColumn="0" w:lastRowFirstColumn="0" w:lastRowLastColumn="0"/>
            <w:tcW w:w="781" w:type="pct"/>
            <w:shd w:val="clear" w:color="auto" w:fill="auto"/>
          </w:tcPr>
          <w:p w14:paraId="14EF4B79" w14:textId="77777777" w:rsidR="00117FFD" w:rsidRDefault="00117FFD" w:rsidP="00117FFD">
            <w:pPr>
              <w:pStyle w:val="TableParagraph"/>
              <w:spacing w:before="83" w:line="264" w:lineRule="auto"/>
              <w:ind w:right="118"/>
            </w:pPr>
            <w:r>
              <w:rPr>
                <w:spacing w:val="-2"/>
              </w:rPr>
              <w:t>European Union (EMA)</w:t>
            </w:r>
          </w:p>
          <w:p w14:paraId="4C540DE5" w14:textId="3B2F0B71" w:rsidR="00117FFD" w:rsidRPr="00D01DDB" w:rsidRDefault="00117FFD" w:rsidP="00117FFD">
            <w:pPr>
              <w:rPr>
                <w:szCs w:val="22"/>
              </w:rPr>
            </w:pPr>
            <w:r>
              <w:rPr>
                <w:spacing w:val="-2"/>
              </w:rPr>
              <w:t>(Centralised procedure)</w:t>
            </w:r>
          </w:p>
        </w:tc>
        <w:tc>
          <w:tcPr>
            <w:tcW w:w="801" w:type="pct"/>
            <w:shd w:val="clear" w:color="auto" w:fill="auto"/>
          </w:tcPr>
          <w:p w14:paraId="16D6C785" w14:textId="0610D710" w:rsidR="00117FFD" w:rsidRDefault="00117FFD" w:rsidP="00117FFD">
            <w:pPr>
              <w:pStyle w:val="TableParagraph"/>
              <w:spacing w:before="83"/>
              <w:cnfStyle w:val="000000000000" w:firstRow="0" w:lastRow="0" w:firstColumn="0" w:lastColumn="0" w:oddVBand="0" w:evenVBand="0" w:oddHBand="0" w:evenHBand="0" w:firstRowFirstColumn="0" w:firstRowLastColumn="0" w:lastRowFirstColumn="0" w:lastRowLastColumn="0"/>
            </w:pPr>
            <w:r>
              <w:rPr>
                <w:spacing w:val="-5"/>
              </w:rPr>
              <w:t>24</w:t>
            </w:r>
            <w:r w:rsidR="00283381">
              <w:rPr>
                <w:spacing w:val="-5"/>
              </w:rPr>
              <w:t xml:space="preserve"> </w:t>
            </w:r>
          </w:p>
          <w:p w14:paraId="4FA5DDA9" w14:textId="48B0E825" w:rsidR="00117FFD" w:rsidRPr="00D01DDB" w:rsidRDefault="00117FFD" w:rsidP="00117FFD">
            <w:pPr>
              <w:cnfStyle w:val="000000000000" w:firstRow="0" w:lastRow="0" w:firstColumn="0" w:lastColumn="0" w:oddVBand="0" w:evenVBand="0" w:oddHBand="0" w:evenHBand="0" w:firstRowFirstColumn="0" w:firstRowLastColumn="0" w:lastRowFirstColumn="0" w:lastRowLastColumn="0"/>
              <w:rPr>
                <w:szCs w:val="22"/>
              </w:rPr>
            </w:pPr>
            <w:r>
              <w:rPr>
                <w:spacing w:val="-2"/>
              </w:rPr>
              <w:t xml:space="preserve">November </w:t>
            </w:r>
            <w:r>
              <w:rPr>
                <w:spacing w:val="-4"/>
              </w:rPr>
              <w:t>2022</w:t>
            </w:r>
          </w:p>
        </w:tc>
        <w:tc>
          <w:tcPr>
            <w:tcW w:w="970" w:type="pct"/>
            <w:shd w:val="clear" w:color="auto" w:fill="auto"/>
          </w:tcPr>
          <w:p w14:paraId="29358393" w14:textId="45C6C170" w:rsidR="00117FFD" w:rsidRPr="00D01DDB" w:rsidRDefault="00117FFD" w:rsidP="00117FFD">
            <w:pPr>
              <w:cnfStyle w:val="000000000000" w:firstRow="0" w:lastRow="0" w:firstColumn="0" w:lastColumn="0" w:oddVBand="0" w:evenVBand="0" w:oddHBand="0" w:evenHBand="0" w:firstRowFirstColumn="0" w:firstRowLastColumn="0" w:lastRowFirstColumn="0" w:lastRowLastColumn="0"/>
              <w:rPr>
                <w:szCs w:val="22"/>
              </w:rPr>
            </w:pPr>
            <w:r>
              <w:t>Approved</w:t>
            </w:r>
            <w:r>
              <w:rPr>
                <w:spacing w:val="-11"/>
              </w:rPr>
              <w:t xml:space="preserve"> </w:t>
            </w:r>
            <w:r>
              <w:t>on</w:t>
            </w:r>
            <w:r>
              <w:rPr>
                <w:spacing w:val="-12"/>
              </w:rPr>
              <w:t xml:space="preserve"> </w:t>
            </w:r>
            <w:r>
              <w:t>19</w:t>
            </w:r>
            <w:r>
              <w:rPr>
                <w:spacing w:val="-11"/>
              </w:rPr>
              <w:t xml:space="preserve"> </w:t>
            </w:r>
            <w:r>
              <w:t xml:space="preserve">April </w:t>
            </w:r>
            <w:r>
              <w:rPr>
                <w:spacing w:val="-4"/>
              </w:rPr>
              <w:t>2024</w:t>
            </w:r>
          </w:p>
        </w:tc>
        <w:tc>
          <w:tcPr>
            <w:tcW w:w="2448" w:type="pct"/>
            <w:shd w:val="clear" w:color="auto" w:fill="auto"/>
          </w:tcPr>
          <w:p w14:paraId="74F7B209" w14:textId="77777777" w:rsidR="00117FFD" w:rsidRDefault="00117FFD" w:rsidP="00117FFD">
            <w:pPr>
              <w:pStyle w:val="TableParagraph"/>
              <w:spacing w:before="83" w:line="264" w:lineRule="auto"/>
              <w:ind w:left="216" w:right="171"/>
              <w:cnfStyle w:val="000000000000" w:firstRow="0" w:lastRow="0" w:firstColumn="0" w:lastColumn="0" w:oddVBand="0" w:evenVBand="0" w:oddHBand="0" w:evenHBand="0" w:firstRowFirstColumn="0" w:firstRowLastColumn="0" w:lastRowFirstColumn="0" w:lastRowLastColumn="0"/>
              <w:rPr>
                <w:i/>
              </w:rPr>
            </w:pPr>
            <w:r>
              <w:rPr>
                <w:i/>
              </w:rPr>
              <w:t xml:space="preserve">Celldemic is indicated for active </w:t>
            </w:r>
            <w:proofErr w:type="spellStart"/>
            <w:r>
              <w:rPr>
                <w:i/>
              </w:rPr>
              <w:t>immunisation</w:t>
            </w:r>
            <w:proofErr w:type="spellEnd"/>
            <w:r>
              <w:rPr>
                <w:i/>
              </w:rPr>
              <w:t xml:space="preserve"> against H5N1 subtype of Influenza A virus in adults</w:t>
            </w:r>
            <w:r>
              <w:rPr>
                <w:i/>
                <w:spacing w:val="-7"/>
              </w:rPr>
              <w:t xml:space="preserve"> </w:t>
            </w:r>
            <w:r>
              <w:rPr>
                <w:i/>
              </w:rPr>
              <w:t>and</w:t>
            </w:r>
            <w:r>
              <w:rPr>
                <w:i/>
                <w:spacing w:val="-8"/>
              </w:rPr>
              <w:t xml:space="preserve"> </w:t>
            </w:r>
            <w:r>
              <w:rPr>
                <w:i/>
              </w:rPr>
              <w:t>infants</w:t>
            </w:r>
            <w:r>
              <w:rPr>
                <w:i/>
                <w:spacing w:val="-7"/>
              </w:rPr>
              <w:t xml:space="preserve"> </w:t>
            </w:r>
            <w:r>
              <w:rPr>
                <w:i/>
              </w:rPr>
              <w:t>from</w:t>
            </w:r>
            <w:r>
              <w:rPr>
                <w:i/>
                <w:spacing w:val="-8"/>
              </w:rPr>
              <w:t xml:space="preserve"> </w:t>
            </w:r>
            <w:r>
              <w:rPr>
                <w:i/>
              </w:rPr>
              <w:t>6</w:t>
            </w:r>
            <w:r>
              <w:rPr>
                <w:i/>
                <w:spacing w:val="-6"/>
              </w:rPr>
              <w:t xml:space="preserve"> </w:t>
            </w:r>
            <w:r>
              <w:rPr>
                <w:i/>
              </w:rPr>
              <w:t>months of age and above.</w:t>
            </w:r>
          </w:p>
          <w:p w14:paraId="05055674" w14:textId="5D7606FE" w:rsidR="00117FFD" w:rsidRPr="00D01DDB" w:rsidRDefault="00117FFD" w:rsidP="00117FFD">
            <w:pPr>
              <w:cnfStyle w:val="000000000000" w:firstRow="0" w:lastRow="0" w:firstColumn="0" w:lastColumn="0" w:oddVBand="0" w:evenVBand="0" w:oddHBand="0" w:evenHBand="0" w:firstRowFirstColumn="0" w:firstRowLastColumn="0" w:lastRowFirstColumn="0" w:lastRowLastColumn="0"/>
              <w:rPr>
                <w:szCs w:val="22"/>
              </w:rPr>
            </w:pPr>
            <w:r>
              <w:rPr>
                <w:i/>
              </w:rPr>
              <w:t>Celldemic</w:t>
            </w:r>
            <w:r>
              <w:rPr>
                <w:i/>
                <w:spacing w:val="-9"/>
              </w:rPr>
              <w:t xml:space="preserve"> </w:t>
            </w:r>
            <w:r>
              <w:rPr>
                <w:i/>
              </w:rPr>
              <w:t>should</w:t>
            </w:r>
            <w:r>
              <w:rPr>
                <w:i/>
                <w:spacing w:val="-9"/>
              </w:rPr>
              <w:t xml:space="preserve"> </w:t>
            </w:r>
            <w:r>
              <w:rPr>
                <w:i/>
              </w:rPr>
              <w:t>be</w:t>
            </w:r>
            <w:r>
              <w:rPr>
                <w:i/>
                <w:spacing w:val="-9"/>
              </w:rPr>
              <w:t xml:space="preserve"> </w:t>
            </w:r>
            <w:r>
              <w:rPr>
                <w:i/>
              </w:rPr>
              <w:t>used</w:t>
            </w:r>
            <w:r>
              <w:rPr>
                <w:i/>
                <w:spacing w:val="-9"/>
              </w:rPr>
              <w:t xml:space="preserve"> </w:t>
            </w:r>
            <w:r>
              <w:rPr>
                <w:i/>
              </w:rPr>
              <w:t xml:space="preserve">in accordance with official </w:t>
            </w:r>
            <w:r>
              <w:rPr>
                <w:i/>
                <w:spacing w:val="-2"/>
              </w:rPr>
              <w:t>recommendations.</w:t>
            </w:r>
          </w:p>
        </w:tc>
      </w:tr>
      <w:tr w:rsidR="00382911" w:rsidRPr="00D01DDB" w14:paraId="18B6E2AA" w14:textId="7783D66F" w:rsidTr="00200EDC">
        <w:tc>
          <w:tcPr>
            <w:cnfStyle w:val="001000000000" w:firstRow="0" w:lastRow="0" w:firstColumn="1" w:lastColumn="0" w:oddVBand="0" w:evenVBand="0" w:oddHBand="0" w:evenHBand="0" w:firstRowFirstColumn="0" w:firstRowLastColumn="0" w:lastRowFirstColumn="0" w:lastRowLastColumn="0"/>
            <w:tcW w:w="781" w:type="pct"/>
            <w:shd w:val="clear" w:color="auto" w:fill="auto"/>
          </w:tcPr>
          <w:p w14:paraId="7F348960" w14:textId="13F724B4" w:rsidR="00117FFD" w:rsidRPr="00D01DDB" w:rsidRDefault="00117FFD" w:rsidP="00117FFD">
            <w:pPr>
              <w:rPr>
                <w:szCs w:val="22"/>
              </w:rPr>
            </w:pPr>
            <w:r>
              <w:rPr>
                <w:spacing w:val="-2"/>
              </w:rPr>
              <w:t>United Kingdon (MHRA)</w:t>
            </w:r>
          </w:p>
        </w:tc>
        <w:tc>
          <w:tcPr>
            <w:tcW w:w="801" w:type="pct"/>
            <w:shd w:val="clear" w:color="auto" w:fill="auto"/>
          </w:tcPr>
          <w:p w14:paraId="0B47CC7C" w14:textId="77777777" w:rsidR="00117FFD" w:rsidRDefault="00117FFD" w:rsidP="00117FFD">
            <w:pPr>
              <w:pStyle w:val="TableParagraph"/>
              <w:cnfStyle w:val="000000000000" w:firstRow="0" w:lastRow="0" w:firstColumn="0" w:lastColumn="0" w:oddVBand="0" w:evenVBand="0" w:oddHBand="0" w:evenHBand="0" w:firstRowFirstColumn="0" w:firstRowLastColumn="0" w:lastRowFirstColumn="0" w:lastRowLastColumn="0"/>
            </w:pPr>
            <w:r>
              <w:t>13</w:t>
            </w:r>
            <w:r>
              <w:rPr>
                <w:spacing w:val="-1"/>
              </w:rPr>
              <w:t xml:space="preserve"> </w:t>
            </w:r>
            <w:r>
              <w:rPr>
                <w:spacing w:val="-4"/>
              </w:rPr>
              <w:t>June</w:t>
            </w:r>
          </w:p>
          <w:p w14:paraId="1D871E57" w14:textId="5C7C6246" w:rsidR="00117FFD" w:rsidRPr="00D01DDB" w:rsidRDefault="00117FFD" w:rsidP="00117FFD">
            <w:pPr>
              <w:cnfStyle w:val="000000000000" w:firstRow="0" w:lastRow="0" w:firstColumn="0" w:lastColumn="0" w:oddVBand="0" w:evenVBand="0" w:oddHBand="0" w:evenHBand="0" w:firstRowFirstColumn="0" w:firstRowLastColumn="0" w:lastRowFirstColumn="0" w:lastRowLastColumn="0"/>
              <w:rPr>
                <w:szCs w:val="22"/>
              </w:rPr>
            </w:pPr>
            <w:r>
              <w:rPr>
                <w:spacing w:val="-4"/>
              </w:rPr>
              <w:t>2024</w:t>
            </w:r>
          </w:p>
        </w:tc>
        <w:tc>
          <w:tcPr>
            <w:tcW w:w="970" w:type="pct"/>
            <w:shd w:val="clear" w:color="auto" w:fill="auto"/>
          </w:tcPr>
          <w:p w14:paraId="63A3A9D3" w14:textId="538F9EA0" w:rsidR="00117FFD" w:rsidRPr="00D01DDB" w:rsidRDefault="00117FFD" w:rsidP="0031104C">
            <w:pPr>
              <w:pStyle w:val="TableParagraph"/>
              <w:ind w:left="219"/>
              <w:cnfStyle w:val="000000000000" w:firstRow="0" w:lastRow="0" w:firstColumn="0" w:lastColumn="0" w:oddVBand="0" w:evenVBand="0" w:oddHBand="0" w:evenHBand="0" w:firstRowFirstColumn="0" w:firstRowLastColumn="0" w:lastRowFirstColumn="0" w:lastRowLastColumn="0"/>
            </w:pPr>
            <w:r>
              <w:t>Approved</w:t>
            </w:r>
            <w:r>
              <w:rPr>
                <w:spacing w:val="-4"/>
              </w:rPr>
              <w:t xml:space="preserve"> </w:t>
            </w:r>
            <w:r>
              <w:t>on</w:t>
            </w:r>
            <w:r>
              <w:rPr>
                <w:spacing w:val="-4"/>
              </w:rPr>
              <w:t xml:space="preserve"> </w:t>
            </w:r>
            <w:r>
              <w:rPr>
                <w:spacing w:val="-5"/>
              </w:rPr>
              <w:t>23</w:t>
            </w:r>
            <w:r w:rsidR="0031104C">
              <w:rPr>
                <w:spacing w:val="-5"/>
              </w:rPr>
              <w:t xml:space="preserve"> </w:t>
            </w:r>
            <w:r>
              <w:t>August</w:t>
            </w:r>
            <w:r>
              <w:rPr>
                <w:spacing w:val="-2"/>
              </w:rPr>
              <w:t xml:space="preserve"> </w:t>
            </w:r>
            <w:r>
              <w:rPr>
                <w:spacing w:val="-4"/>
              </w:rPr>
              <w:t>2024</w:t>
            </w:r>
          </w:p>
        </w:tc>
        <w:tc>
          <w:tcPr>
            <w:tcW w:w="2448" w:type="pct"/>
            <w:shd w:val="clear" w:color="auto" w:fill="auto"/>
          </w:tcPr>
          <w:p w14:paraId="12A47C23" w14:textId="77777777" w:rsidR="00117FFD" w:rsidRDefault="00117FFD" w:rsidP="00117FFD">
            <w:pPr>
              <w:pStyle w:val="TableParagraph"/>
              <w:spacing w:line="264" w:lineRule="auto"/>
              <w:ind w:left="216" w:right="171"/>
              <w:cnfStyle w:val="000000000000" w:firstRow="0" w:lastRow="0" w:firstColumn="0" w:lastColumn="0" w:oddVBand="0" w:evenVBand="0" w:oddHBand="0" w:evenHBand="0" w:firstRowFirstColumn="0" w:firstRowLastColumn="0" w:lastRowFirstColumn="0" w:lastRowLastColumn="0"/>
              <w:rPr>
                <w:i/>
              </w:rPr>
            </w:pPr>
            <w:r>
              <w:rPr>
                <w:i/>
              </w:rPr>
              <w:t xml:space="preserve">Celldemic* is indicated for active </w:t>
            </w:r>
            <w:proofErr w:type="spellStart"/>
            <w:r>
              <w:rPr>
                <w:i/>
              </w:rPr>
              <w:t>immunisation</w:t>
            </w:r>
            <w:proofErr w:type="spellEnd"/>
            <w:r>
              <w:rPr>
                <w:i/>
              </w:rPr>
              <w:t xml:space="preserve"> against H5N1 subtype of Influenza A virus in adults</w:t>
            </w:r>
            <w:r>
              <w:rPr>
                <w:i/>
                <w:spacing w:val="-7"/>
              </w:rPr>
              <w:t xml:space="preserve"> </w:t>
            </w:r>
            <w:r>
              <w:rPr>
                <w:i/>
              </w:rPr>
              <w:t>and</w:t>
            </w:r>
            <w:r>
              <w:rPr>
                <w:i/>
                <w:spacing w:val="-8"/>
              </w:rPr>
              <w:t xml:space="preserve"> </w:t>
            </w:r>
            <w:r>
              <w:rPr>
                <w:i/>
              </w:rPr>
              <w:t>infants</w:t>
            </w:r>
            <w:r>
              <w:rPr>
                <w:i/>
                <w:spacing w:val="-7"/>
              </w:rPr>
              <w:t xml:space="preserve"> </w:t>
            </w:r>
            <w:r>
              <w:rPr>
                <w:i/>
              </w:rPr>
              <w:t>from</w:t>
            </w:r>
            <w:r>
              <w:rPr>
                <w:i/>
                <w:spacing w:val="-8"/>
              </w:rPr>
              <w:t xml:space="preserve"> </w:t>
            </w:r>
            <w:r>
              <w:rPr>
                <w:i/>
              </w:rPr>
              <w:t>6</w:t>
            </w:r>
            <w:r>
              <w:rPr>
                <w:i/>
                <w:spacing w:val="-6"/>
              </w:rPr>
              <w:t xml:space="preserve"> </w:t>
            </w:r>
            <w:r>
              <w:rPr>
                <w:i/>
              </w:rPr>
              <w:t>months of age and above.</w:t>
            </w:r>
          </w:p>
          <w:p w14:paraId="17C650B8" w14:textId="4B3B0D2D" w:rsidR="00117FFD" w:rsidRPr="00D01DDB" w:rsidRDefault="00117FFD" w:rsidP="00117FFD">
            <w:pPr>
              <w:cnfStyle w:val="000000000000" w:firstRow="0" w:lastRow="0" w:firstColumn="0" w:lastColumn="0" w:oddVBand="0" w:evenVBand="0" w:oddHBand="0" w:evenHBand="0" w:firstRowFirstColumn="0" w:firstRowLastColumn="0" w:lastRowFirstColumn="0" w:lastRowLastColumn="0"/>
              <w:rPr>
                <w:szCs w:val="22"/>
              </w:rPr>
            </w:pPr>
            <w:r>
              <w:rPr>
                <w:i/>
              </w:rPr>
              <w:t>Celldemic</w:t>
            </w:r>
            <w:r>
              <w:rPr>
                <w:i/>
                <w:spacing w:val="-9"/>
              </w:rPr>
              <w:t xml:space="preserve"> </w:t>
            </w:r>
            <w:r>
              <w:rPr>
                <w:i/>
              </w:rPr>
              <w:t>should</w:t>
            </w:r>
            <w:r>
              <w:rPr>
                <w:i/>
                <w:spacing w:val="-9"/>
              </w:rPr>
              <w:t xml:space="preserve"> </w:t>
            </w:r>
            <w:r>
              <w:rPr>
                <w:i/>
              </w:rPr>
              <w:t>be</w:t>
            </w:r>
            <w:r>
              <w:rPr>
                <w:i/>
                <w:spacing w:val="-9"/>
              </w:rPr>
              <w:t xml:space="preserve"> </w:t>
            </w:r>
            <w:r>
              <w:rPr>
                <w:i/>
              </w:rPr>
              <w:t>used</w:t>
            </w:r>
            <w:r>
              <w:rPr>
                <w:i/>
                <w:spacing w:val="-9"/>
              </w:rPr>
              <w:t xml:space="preserve"> </w:t>
            </w:r>
            <w:r>
              <w:rPr>
                <w:i/>
              </w:rPr>
              <w:t xml:space="preserve">in accordance with official </w:t>
            </w:r>
            <w:r>
              <w:rPr>
                <w:i/>
                <w:spacing w:val="-2"/>
              </w:rPr>
              <w:t>recommendations.</w:t>
            </w:r>
          </w:p>
        </w:tc>
      </w:tr>
      <w:tr w:rsidR="00CE13C4" w:rsidRPr="00D01DDB" w14:paraId="7CAB75F8" w14:textId="77777777" w:rsidTr="00200ED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14:paraId="65655CF1" w14:textId="252D6AA9" w:rsidR="00CE13C4" w:rsidRDefault="0031104C" w:rsidP="0031104C">
            <w:pPr>
              <w:pStyle w:val="TableParagraph"/>
              <w:spacing w:line="264" w:lineRule="auto"/>
              <w:ind w:left="0" w:right="171"/>
              <w:rPr>
                <w:i/>
              </w:rPr>
            </w:pPr>
            <w:r>
              <w:rPr>
                <w:sz w:val="18"/>
              </w:rPr>
              <w:t>*The</w:t>
            </w:r>
            <w:r>
              <w:rPr>
                <w:spacing w:val="-2"/>
                <w:sz w:val="18"/>
              </w:rPr>
              <w:t xml:space="preserve"> </w:t>
            </w:r>
            <w:r>
              <w:rPr>
                <w:sz w:val="18"/>
              </w:rPr>
              <w:t>submission</w:t>
            </w:r>
            <w:r>
              <w:rPr>
                <w:spacing w:val="-2"/>
                <w:sz w:val="18"/>
              </w:rPr>
              <w:t xml:space="preserve"> </w:t>
            </w:r>
            <w:r>
              <w:rPr>
                <w:sz w:val="18"/>
              </w:rPr>
              <w:t>was</w:t>
            </w:r>
            <w:r>
              <w:rPr>
                <w:spacing w:val="-2"/>
                <w:sz w:val="18"/>
              </w:rPr>
              <w:t xml:space="preserve"> </w:t>
            </w:r>
            <w:r>
              <w:rPr>
                <w:sz w:val="18"/>
              </w:rPr>
              <w:t>approved</w:t>
            </w:r>
            <w:r>
              <w:rPr>
                <w:spacing w:val="-6"/>
                <w:sz w:val="18"/>
              </w:rPr>
              <w:t xml:space="preserve"> </w:t>
            </w:r>
            <w:r>
              <w:rPr>
                <w:sz w:val="18"/>
              </w:rPr>
              <w:t>in</w:t>
            </w:r>
            <w:r>
              <w:rPr>
                <w:spacing w:val="-2"/>
                <w:sz w:val="18"/>
              </w:rPr>
              <w:t xml:space="preserve"> </w:t>
            </w:r>
            <w:r>
              <w:rPr>
                <w:sz w:val="18"/>
              </w:rPr>
              <w:t>the</w:t>
            </w:r>
            <w:r>
              <w:rPr>
                <w:spacing w:val="-1"/>
                <w:sz w:val="18"/>
              </w:rPr>
              <w:t xml:space="preserve"> </w:t>
            </w:r>
            <w:r>
              <w:rPr>
                <w:sz w:val="18"/>
              </w:rPr>
              <w:t>United</w:t>
            </w:r>
            <w:r>
              <w:rPr>
                <w:spacing w:val="-4"/>
                <w:sz w:val="18"/>
              </w:rPr>
              <w:t xml:space="preserve"> </w:t>
            </w:r>
            <w:r>
              <w:rPr>
                <w:sz w:val="18"/>
              </w:rPr>
              <w:t>Kingdom</w:t>
            </w:r>
            <w:r>
              <w:rPr>
                <w:spacing w:val="-4"/>
                <w:sz w:val="18"/>
              </w:rPr>
              <w:t xml:space="preserve"> </w:t>
            </w:r>
            <w:r>
              <w:rPr>
                <w:sz w:val="18"/>
              </w:rPr>
              <w:t>in</w:t>
            </w:r>
            <w:r>
              <w:rPr>
                <w:spacing w:val="-2"/>
                <w:sz w:val="18"/>
              </w:rPr>
              <w:t xml:space="preserve"> </w:t>
            </w:r>
            <w:r>
              <w:rPr>
                <w:sz w:val="18"/>
              </w:rPr>
              <w:t>August</w:t>
            </w:r>
            <w:r>
              <w:rPr>
                <w:spacing w:val="-3"/>
                <w:sz w:val="18"/>
              </w:rPr>
              <w:t xml:space="preserve"> </w:t>
            </w:r>
            <w:r>
              <w:rPr>
                <w:sz w:val="18"/>
              </w:rPr>
              <w:t>2024</w:t>
            </w:r>
            <w:r>
              <w:rPr>
                <w:spacing w:val="-1"/>
                <w:sz w:val="18"/>
              </w:rPr>
              <w:t xml:space="preserve"> </w:t>
            </w:r>
            <w:r>
              <w:rPr>
                <w:sz w:val="18"/>
              </w:rPr>
              <w:t>under</w:t>
            </w:r>
            <w:r>
              <w:rPr>
                <w:spacing w:val="-2"/>
                <w:sz w:val="18"/>
              </w:rPr>
              <w:t xml:space="preserve"> </w:t>
            </w:r>
            <w:r>
              <w:rPr>
                <w:sz w:val="18"/>
              </w:rPr>
              <w:t>International</w:t>
            </w:r>
            <w:r>
              <w:rPr>
                <w:spacing w:val="-5"/>
                <w:sz w:val="18"/>
              </w:rPr>
              <w:t xml:space="preserve"> </w:t>
            </w:r>
            <w:r>
              <w:rPr>
                <w:sz w:val="18"/>
              </w:rPr>
              <w:t>Recognition</w:t>
            </w:r>
            <w:r>
              <w:rPr>
                <w:spacing w:val="-2"/>
                <w:sz w:val="18"/>
              </w:rPr>
              <w:t xml:space="preserve"> </w:t>
            </w:r>
            <w:r>
              <w:rPr>
                <w:sz w:val="18"/>
              </w:rPr>
              <w:t>Route</w:t>
            </w:r>
            <w:r>
              <w:rPr>
                <w:spacing w:val="-1"/>
                <w:sz w:val="18"/>
              </w:rPr>
              <w:t xml:space="preserve"> </w:t>
            </w:r>
            <w:r>
              <w:rPr>
                <w:spacing w:val="-5"/>
                <w:sz w:val="18"/>
              </w:rPr>
              <w:t>A.</w:t>
            </w:r>
          </w:p>
        </w:tc>
      </w:tr>
    </w:tbl>
    <w:p w14:paraId="6D92589C" w14:textId="09786CEF" w:rsidR="00324B33" w:rsidRDefault="00324B33" w:rsidP="00324B33">
      <w:pPr>
        <w:pStyle w:val="Heading2"/>
      </w:pPr>
      <w:bookmarkStart w:id="25" w:name="_Toc504480011"/>
      <w:bookmarkStart w:id="26" w:name="_Toc103679293"/>
      <w:bookmarkStart w:id="27" w:name="_Toc227753749"/>
      <w:r>
        <w:t>Registration timeline</w:t>
      </w:r>
      <w:bookmarkEnd w:id="25"/>
      <w:bookmarkEnd w:id="26"/>
      <w:bookmarkEnd w:id="27"/>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18" w:history="1">
        <w:r w:rsidRPr="00BD5DBD">
          <w:rPr>
            <w:rStyle w:val="Hyperlink"/>
            <w:szCs w:val="22"/>
          </w:rPr>
          <w:t>standard prescription medicines registration process</w:t>
        </w:r>
      </w:hyperlink>
      <w:r w:rsidRPr="00BD5DBD">
        <w:rPr>
          <w:szCs w:val="22"/>
        </w:rPr>
        <w:t>.</w:t>
      </w:r>
    </w:p>
    <w:p w14:paraId="44628C5F" w14:textId="6809616B"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00695EAA">
        <w:t>.</w:t>
      </w:r>
      <w:r w:rsidRPr="002C1232">
        <w:t xml:space="preserve"> Timeline for Submission PM-202</w:t>
      </w:r>
      <w:r w:rsidR="00405279">
        <w:t>4</w:t>
      </w:r>
      <w:r w:rsidRPr="002C1232">
        <w:t>-</w:t>
      </w:r>
      <w:r w:rsidR="00A11978">
        <w:t>01545-1-2</w:t>
      </w:r>
      <w:r w:rsidR="00695EAA">
        <w:t>.</w:t>
      </w:r>
    </w:p>
    <w:tbl>
      <w:tblPr>
        <w:tblStyle w:val="TableTGAblue2023"/>
        <w:tblW w:w="9351" w:type="dxa"/>
        <w:tblLook w:val="04A0" w:firstRow="1" w:lastRow="0" w:firstColumn="1" w:lastColumn="0" w:noHBand="0" w:noVBand="1"/>
      </w:tblPr>
      <w:tblGrid>
        <w:gridCol w:w="7083"/>
        <w:gridCol w:w="2268"/>
      </w:tblGrid>
      <w:tr w:rsidR="00324B33" w:rsidRPr="00D01DDB" w14:paraId="6C59BE9C" w14:textId="77777777" w:rsidTr="00883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DB234A" w:rsidRPr="00D01DDB" w14:paraId="23610C53" w14:textId="77777777" w:rsidTr="00883812">
        <w:tc>
          <w:tcPr>
            <w:cnfStyle w:val="001000000000" w:firstRow="0" w:lastRow="0" w:firstColumn="1" w:lastColumn="0" w:oddVBand="0" w:evenVBand="0" w:oddHBand="0" w:evenHBand="0" w:firstRowFirstColumn="0" w:firstRowLastColumn="0" w:lastRowFirstColumn="0" w:lastRowLastColumn="0"/>
            <w:tcW w:w="7083" w:type="dxa"/>
          </w:tcPr>
          <w:p w14:paraId="759D2A12" w14:textId="0D705F83" w:rsidR="00DB234A" w:rsidRPr="00E679D1" w:rsidRDefault="00DB234A" w:rsidP="00DB234A">
            <w:r w:rsidRPr="00E679D1">
              <w:t>Submission dossier accepted and first round evaluation commenced</w:t>
            </w:r>
          </w:p>
        </w:tc>
        <w:tc>
          <w:tcPr>
            <w:tcW w:w="2268" w:type="dxa"/>
            <w:shd w:val="clear" w:color="auto" w:fill="auto"/>
          </w:tcPr>
          <w:p w14:paraId="2963D9D8" w14:textId="64707A97" w:rsidR="00DB234A" w:rsidRPr="00D01DDB" w:rsidRDefault="00DB234A" w:rsidP="00DB234A">
            <w:pPr>
              <w:cnfStyle w:val="000000000000" w:firstRow="0" w:lastRow="0" w:firstColumn="0" w:lastColumn="0" w:oddVBand="0" w:evenVBand="0" w:oddHBand="0" w:evenHBand="0" w:firstRowFirstColumn="0" w:firstRowLastColumn="0" w:lastRowFirstColumn="0" w:lastRowLastColumn="0"/>
              <w:rPr>
                <w:szCs w:val="22"/>
              </w:rPr>
            </w:pPr>
            <w:r>
              <w:t>31</w:t>
            </w:r>
            <w:r>
              <w:rPr>
                <w:spacing w:val="-2"/>
              </w:rPr>
              <w:t xml:space="preserve"> </w:t>
            </w:r>
            <w:r>
              <w:t>May</w:t>
            </w:r>
            <w:r>
              <w:rPr>
                <w:spacing w:val="-2"/>
              </w:rPr>
              <w:t xml:space="preserve"> </w:t>
            </w:r>
            <w:r>
              <w:rPr>
                <w:spacing w:val="-4"/>
              </w:rPr>
              <w:t>2024</w:t>
            </w:r>
          </w:p>
        </w:tc>
      </w:tr>
      <w:tr w:rsidR="00DB234A" w:rsidRPr="00D01DDB" w14:paraId="16D13F79" w14:textId="77777777" w:rsidTr="00883812">
        <w:tc>
          <w:tcPr>
            <w:cnfStyle w:val="001000000000" w:firstRow="0" w:lastRow="0" w:firstColumn="1" w:lastColumn="0" w:oddVBand="0" w:evenVBand="0" w:oddHBand="0" w:evenHBand="0" w:firstRowFirstColumn="0" w:firstRowLastColumn="0" w:lastRowFirstColumn="0" w:lastRowLastColumn="0"/>
            <w:tcW w:w="7083" w:type="dxa"/>
          </w:tcPr>
          <w:p w14:paraId="6858B45A" w14:textId="615A218B" w:rsidR="00DB234A" w:rsidRPr="00E679D1" w:rsidDel="00C62B1C" w:rsidRDefault="00DB234A" w:rsidP="00DB234A">
            <w:r>
              <w:t>Evaluation completed (End of round 2)</w:t>
            </w:r>
          </w:p>
        </w:tc>
        <w:tc>
          <w:tcPr>
            <w:tcW w:w="2268" w:type="dxa"/>
            <w:shd w:val="clear" w:color="auto" w:fill="auto"/>
          </w:tcPr>
          <w:p w14:paraId="2E0BD403" w14:textId="4A1BE2DF" w:rsidR="00DB234A" w:rsidRPr="00D01DDB" w:rsidRDefault="00DB234A" w:rsidP="00DB234A">
            <w:pPr>
              <w:cnfStyle w:val="000000000000" w:firstRow="0" w:lastRow="0" w:firstColumn="0" w:lastColumn="0" w:oddVBand="0" w:evenVBand="0" w:oddHBand="0" w:evenHBand="0" w:firstRowFirstColumn="0" w:firstRowLastColumn="0" w:lastRowFirstColumn="0" w:lastRowLastColumn="0"/>
              <w:rPr>
                <w:szCs w:val="22"/>
              </w:rPr>
            </w:pPr>
            <w:r>
              <w:t>11</w:t>
            </w:r>
            <w:r>
              <w:rPr>
                <w:spacing w:val="-4"/>
              </w:rPr>
              <w:t xml:space="preserve"> </w:t>
            </w:r>
            <w:r>
              <w:t>February</w:t>
            </w:r>
            <w:r>
              <w:rPr>
                <w:spacing w:val="-3"/>
              </w:rPr>
              <w:t xml:space="preserve"> </w:t>
            </w:r>
            <w:r>
              <w:rPr>
                <w:spacing w:val="-4"/>
              </w:rPr>
              <w:t>2025</w:t>
            </w:r>
          </w:p>
        </w:tc>
      </w:tr>
      <w:tr w:rsidR="00DB234A" w:rsidRPr="00D01DDB" w14:paraId="5754F7AC" w14:textId="77777777" w:rsidTr="00883812">
        <w:tc>
          <w:tcPr>
            <w:cnfStyle w:val="001000000000" w:firstRow="0" w:lastRow="0" w:firstColumn="1" w:lastColumn="0" w:oddVBand="0" w:evenVBand="0" w:oddHBand="0" w:evenHBand="0" w:firstRowFirstColumn="0" w:firstRowLastColumn="0" w:lastRowFirstColumn="0" w:lastRowLastColumn="0"/>
            <w:tcW w:w="7083" w:type="dxa"/>
          </w:tcPr>
          <w:p w14:paraId="789DE187" w14:textId="438F4A68" w:rsidR="00DB234A" w:rsidRPr="00E679D1" w:rsidRDefault="00DB234A" w:rsidP="00DB234A">
            <w:r w:rsidRPr="00E679D1">
              <w:t xml:space="preserve">Advisory </w:t>
            </w:r>
            <w:r>
              <w:t>c</w:t>
            </w:r>
            <w:r w:rsidRPr="00E679D1">
              <w:t>ommittee meeting</w:t>
            </w:r>
          </w:p>
        </w:tc>
        <w:tc>
          <w:tcPr>
            <w:tcW w:w="2268" w:type="dxa"/>
            <w:shd w:val="clear" w:color="auto" w:fill="auto"/>
          </w:tcPr>
          <w:p w14:paraId="5BE1EDE7" w14:textId="2ADB740F" w:rsidR="00DB234A" w:rsidRPr="00D01DDB" w:rsidRDefault="00DB234A" w:rsidP="00DB234A">
            <w:pPr>
              <w:cnfStyle w:val="000000000000" w:firstRow="0" w:lastRow="0" w:firstColumn="0" w:lastColumn="0" w:oddVBand="0" w:evenVBand="0" w:oddHBand="0" w:evenHBand="0" w:firstRowFirstColumn="0" w:firstRowLastColumn="0" w:lastRowFirstColumn="0" w:lastRowLastColumn="0"/>
              <w:rPr>
                <w:szCs w:val="22"/>
              </w:rPr>
            </w:pPr>
            <w:r>
              <w:t>2</w:t>
            </w:r>
            <w:r>
              <w:rPr>
                <w:spacing w:val="-2"/>
              </w:rPr>
              <w:t xml:space="preserve"> </w:t>
            </w:r>
            <w:r>
              <w:t>April</w:t>
            </w:r>
            <w:r>
              <w:rPr>
                <w:spacing w:val="-2"/>
              </w:rPr>
              <w:t xml:space="preserve"> </w:t>
            </w:r>
            <w:r>
              <w:rPr>
                <w:spacing w:val="-4"/>
              </w:rPr>
              <w:t>2025</w:t>
            </w:r>
          </w:p>
        </w:tc>
      </w:tr>
      <w:tr w:rsidR="00DB234A" w:rsidRPr="00D01DDB" w14:paraId="6E5D32FE" w14:textId="77777777" w:rsidTr="00883812">
        <w:tc>
          <w:tcPr>
            <w:cnfStyle w:val="001000000000" w:firstRow="0" w:lastRow="0" w:firstColumn="1" w:lastColumn="0" w:oddVBand="0" w:evenVBand="0" w:oddHBand="0" w:evenHBand="0" w:firstRowFirstColumn="0" w:firstRowLastColumn="0" w:lastRowFirstColumn="0" w:lastRowLastColumn="0"/>
            <w:tcW w:w="7083" w:type="dxa"/>
          </w:tcPr>
          <w:p w14:paraId="4E95C44C" w14:textId="7A91C710" w:rsidR="00DB234A" w:rsidRPr="00E679D1" w:rsidRDefault="00DB234A" w:rsidP="00DB234A">
            <w:r w:rsidRPr="00E679D1">
              <w:t>Registration decision (Outcome)</w:t>
            </w:r>
          </w:p>
        </w:tc>
        <w:tc>
          <w:tcPr>
            <w:tcW w:w="2268" w:type="dxa"/>
            <w:shd w:val="clear" w:color="auto" w:fill="auto"/>
          </w:tcPr>
          <w:p w14:paraId="62987ABD" w14:textId="40001E45" w:rsidR="00DB234A" w:rsidRPr="00D01DDB" w:rsidRDefault="00DB234A" w:rsidP="00DB234A">
            <w:pPr>
              <w:cnfStyle w:val="000000000000" w:firstRow="0" w:lastRow="0" w:firstColumn="0" w:lastColumn="0" w:oddVBand="0" w:evenVBand="0" w:oddHBand="0" w:evenHBand="0" w:firstRowFirstColumn="0" w:firstRowLastColumn="0" w:lastRowFirstColumn="0" w:lastRowLastColumn="0"/>
              <w:rPr>
                <w:szCs w:val="22"/>
              </w:rPr>
            </w:pPr>
            <w:r>
              <w:t>30</w:t>
            </w:r>
            <w:r>
              <w:rPr>
                <w:spacing w:val="-2"/>
              </w:rPr>
              <w:t xml:space="preserve"> </w:t>
            </w:r>
            <w:r>
              <w:t>May</w:t>
            </w:r>
            <w:r>
              <w:rPr>
                <w:spacing w:val="-2"/>
              </w:rPr>
              <w:t xml:space="preserve"> </w:t>
            </w:r>
            <w:r>
              <w:rPr>
                <w:spacing w:val="-4"/>
              </w:rPr>
              <w:t>2025</w:t>
            </w:r>
          </w:p>
        </w:tc>
      </w:tr>
      <w:tr w:rsidR="00DB234A" w:rsidRPr="00D01DDB" w14:paraId="6DDCDDA4" w14:textId="77777777" w:rsidTr="00883812">
        <w:tc>
          <w:tcPr>
            <w:cnfStyle w:val="001000000000" w:firstRow="0" w:lastRow="0" w:firstColumn="1" w:lastColumn="0" w:oddVBand="0" w:evenVBand="0" w:oddHBand="0" w:evenHBand="0" w:firstRowFirstColumn="0" w:firstRowLastColumn="0" w:lastRowFirstColumn="0" w:lastRowLastColumn="0"/>
            <w:tcW w:w="7083" w:type="dxa"/>
          </w:tcPr>
          <w:p w14:paraId="192FD19D" w14:textId="3A0D1BCD" w:rsidR="00DB234A" w:rsidRPr="00E679D1" w:rsidRDefault="00DB234A" w:rsidP="00DB234A">
            <w:pPr>
              <w:ind w:left="0"/>
            </w:pPr>
            <w:r w:rsidRPr="00E679D1">
              <w:t xml:space="preserve"> </w:t>
            </w:r>
            <w:r>
              <w:t>R</w:t>
            </w:r>
            <w:r w:rsidRPr="00E679D1">
              <w:t>egistration in the ARTG completed</w:t>
            </w:r>
          </w:p>
        </w:tc>
        <w:tc>
          <w:tcPr>
            <w:tcW w:w="2268" w:type="dxa"/>
            <w:shd w:val="clear" w:color="auto" w:fill="auto"/>
          </w:tcPr>
          <w:p w14:paraId="5A8923FD" w14:textId="5F960718" w:rsidR="00DB234A" w:rsidRPr="00D01DDB" w:rsidRDefault="00DB234A" w:rsidP="00DB234A">
            <w:pPr>
              <w:cnfStyle w:val="000000000000" w:firstRow="0" w:lastRow="0" w:firstColumn="0" w:lastColumn="0" w:oddVBand="0" w:evenVBand="0" w:oddHBand="0" w:evenHBand="0" w:firstRowFirstColumn="0" w:firstRowLastColumn="0" w:lastRowFirstColumn="0" w:lastRowLastColumn="0"/>
              <w:rPr>
                <w:szCs w:val="22"/>
              </w:rPr>
            </w:pPr>
            <w:r>
              <w:t>11</w:t>
            </w:r>
            <w:r>
              <w:rPr>
                <w:spacing w:val="-2"/>
              </w:rPr>
              <w:t xml:space="preserve"> </w:t>
            </w:r>
            <w:r>
              <w:t>June</w:t>
            </w:r>
            <w:r>
              <w:rPr>
                <w:spacing w:val="-2"/>
              </w:rPr>
              <w:t xml:space="preserve"> </w:t>
            </w:r>
            <w:r>
              <w:rPr>
                <w:spacing w:val="-4"/>
              </w:rPr>
              <w:t>2025</w:t>
            </w:r>
          </w:p>
        </w:tc>
      </w:tr>
      <w:tr w:rsidR="00DB234A" w:rsidRPr="00D01DDB" w14:paraId="56D922E2" w14:textId="77777777" w:rsidTr="00883812">
        <w:tc>
          <w:tcPr>
            <w:cnfStyle w:val="001000000000" w:firstRow="0" w:lastRow="0" w:firstColumn="1" w:lastColumn="0" w:oddVBand="0" w:evenVBand="0" w:oddHBand="0" w:evenHBand="0" w:firstRowFirstColumn="0" w:firstRowLastColumn="0" w:lastRowFirstColumn="0" w:lastRowLastColumn="0"/>
            <w:tcW w:w="7083" w:type="dxa"/>
          </w:tcPr>
          <w:p w14:paraId="787FD8DD" w14:textId="0E0CF97F" w:rsidR="00DB234A" w:rsidRPr="00E679D1" w:rsidRDefault="00DB234A" w:rsidP="00DB234A">
            <w:r w:rsidRPr="00E679D1">
              <w:t>Number of working days from submission dossier acceptance to registration decision*</w:t>
            </w:r>
          </w:p>
        </w:tc>
        <w:tc>
          <w:tcPr>
            <w:tcW w:w="2268" w:type="dxa"/>
            <w:shd w:val="clear" w:color="auto" w:fill="auto"/>
          </w:tcPr>
          <w:p w14:paraId="5BAF9FA1" w14:textId="199B0F3E" w:rsidR="00DB234A" w:rsidRPr="00D01DDB" w:rsidRDefault="00DB234A" w:rsidP="00DB234A">
            <w:pPr>
              <w:cnfStyle w:val="000000000000" w:firstRow="0" w:lastRow="0" w:firstColumn="0" w:lastColumn="0" w:oddVBand="0" w:evenVBand="0" w:oddHBand="0" w:evenHBand="0" w:firstRowFirstColumn="0" w:firstRowLastColumn="0" w:lastRowFirstColumn="0" w:lastRowLastColumn="0"/>
              <w:rPr>
                <w:szCs w:val="22"/>
              </w:rPr>
            </w:pPr>
            <w:r>
              <w:rPr>
                <w:spacing w:val="-5"/>
              </w:rPr>
              <w:t>210</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6E219EFC" w14:textId="77777777" w:rsidR="00DB234A" w:rsidRDefault="00DB234A">
      <w:pPr>
        <w:rPr>
          <w:rFonts w:ascii="Arial" w:eastAsia="Times New Roman" w:hAnsi="Arial" w:cs="Times New Roman"/>
          <w:b/>
          <w:bCs/>
          <w:color w:val="001871"/>
          <w:sz w:val="38"/>
          <w:szCs w:val="38"/>
        </w:rPr>
      </w:pPr>
      <w:bookmarkStart w:id="28" w:name="_Toc196046504"/>
      <w:bookmarkStart w:id="29" w:name="_Toc247691527"/>
      <w:bookmarkStart w:id="30" w:name="_Toc314842510"/>
      <w:bookmarkStart w:id="31" w:name="_Toc103679294"/>
      <w:r>
        <w:br w:type="page"/>
      </w:r>
    </w:p>
    <w:p w14:paraId="220925F1" w14:textId="79D4A743" w:rsidR="00C22214" w:rsidRPr="00792A32" w:rsidRDefault="00083763" w:rsidP="00C22214">
      <w:pPr>
        <w:pStyle w:val="Heading2"/>
      </w:pPr>
      <w:bookmarkStart w:id="32" w:name="_Toc227753750"/>
      <w:r>
        <w:lastRenderedPageBreak/>
        <w:t xml:space="preserve">Assessment </w:t>
      </w:r>
      <w:r w:rsidR="00C22214" w:rsidRPr="00006FAB">
        <w:t>overview</w:t>
      </w:r>
      <w:bookmarkEnd w:id="32"/>
      <w:r w:rsidR="00C22214" w:rsidRPr="00006FAB">
        <w:t xml:space="preserve"> </w:t>
      </w:r>
      <w:bookmarkEnd w:id="28"/>
      <w:bookmarkEnd w:id="29"/>
      <w:bookmarkEnd w:id="30"/>
      <w:bookmarkEnd w:id="31"/>
    </w:p>
    <w:p w14:paraId="540151FC" w14:textId="77777777" w:rsidR="00C22214" w:rsidRPr="00BD5DBD" w:rsidRDefault="00C22214" w:rsidP="00BD5DBD">
      <w:pPr>
        <w:rPr>
          <w:szCs w:val="22"/>
        </w:rPr>
      </w:pPr>
      <w:bookmarkStart w:id="33" w:name="_Toc247691528"/>
      <w:bookmarkStart w:id="34" w:name="_Toc314842511"/>
      <w:r w:rsidRPr="00BD5DBD">
        <w:rPr>
          <w:szCs w:val="22"/>
        </w:rPr>
        <w:t>A summary of the TGA’s assessment for this submission is provided below.</w:t>
      </w:r>
    </w:p>
    <w:p w14:paraId="37F5A1C0" w14:textId="35E6FF15" w:rsidR="00C22214" w:rsidRDefault="00DB234A" w:rsidP="00C22214">
      <w:pPr>
        <w:pStyle w:val="Heading3"/>
      </w:pPr>
      <w:bookmarkStart w:id="35" w:name="_Toc103679295"/>
      <w:bookmarkStart w:id="36" w:name="_Toc227753751"/>
      <w:r>
        <w:t>Q</w:t>
      </w:r>
      <w:r w:rsidR="00C22214">
        <w:t>uality</w:t>
      </w:r>
      <w:bookmarkEnd w:id="33"/>
      <w:bookmarkEnd w:id="34"/>
      <w:bookmarkEnd w:id="35"/>
      <w:r w:rsidR="007E6443">
        <w:t xml:space="preserve"> evaluation</w:t>
      </w:r>
      <w:r w:rsidR="00095C6A">
        <w:t xml:space="preserve"> summary</w:t>
      </w:r>
      <w:bookmarkEnd w:id="36"/>
    </w:p>
    <w:p w14:paraId="60C3CD5C" w14:textId="77777777" w:rsidR="001675F8" w:rsidRPr="001675F8" w:rsidRDefault="001675F8" w:rsidP="001675F8">
      <w:pPr>
        <w:rPr>
          <w:lang w:val="en-US"/>
        </w:rPr>
      </w:pPr>
      <w:r w:rsidRPr="001675F8">
        <w:rPr>
          <w:lang w:val="en-US"/>
        </w:rPr>
        <w:t>Celldemic is an inactivated influenza vaccine prepared from influenza virus propagated in Madin Darby Canine Kidney (MDCK) cells, adapted to grow freely in suspension culture medium. The potency of the vaccine is expressed as the concentration of HA protein and is formulated to contain a minimum of 7.5 μg HA per 0.5 mL dose. Celldemic presents as a milky-white homogenous suspensions, with a shelf-life of 12 months. The expiry date can be found on the packaging. Store at +2°C to +8°C. Refrigerate, do not freeze. Discard if the vaccine has been frozen and protect from light.</w:t>
      </w:r>
    </w:p>
    <w:p w14:paraId="52AA307E" w14:textId="77777777" w:rsidR="001675F8" w:rsidRPr="001675F8" w:rsidRDefault="001675F8" w:rsidP="001675F8">
      <w:pPr>
        <w:rPr>
          <w:lang w:val="en-US"/>
        </w:rPr>
      </w:pPr>
      <w:r w:rsidRPr="001675F8">
        <w:rPr>
          <w:lang w:val="en-US"/>
        </w:rPr>
        <w:t>The prefilled syringes (PFS) drug product (DP) is presented as a single dose ready-to-use liquid for injection; in a needle free 1 mL Type I glass syringe containing 0.5 mL of antigen solution (formulated vaccine). The PFS DP is a milky-white homogenous fluid in appearance and is preservative-free.</w:t>
      </w:r>
    </w:p>
    <w:p w14:paraId="66132517" w14:textId="77777777" w:rsidR="001675F8" w:rsidRPr="001675F8" w:rsidRDefault="001675F8" w:rsidP="001675F8">
      <w:pPr>
        <w:rPr>
          <w:lang w:val="en-US"/>
        </w:rPr>
      </w:pPr>
      <w:r w:rsidRPr="001675F8">
        <w:rPr>
          <w:lang w:val="en-US"/>
        </w:rPr>
        <w:t xml:space="preserve">There are no significant issues identified from the Quality Evaluation of the submitted data that would indicate the prefilled syringe presentation of the product should not be registered </w:t>
      </w:r>
      <w:proofErr w:type="gramStart"/>
      <w:r w:rsidRPr="001675F8">
        <w:rPr>
          <w:lang w:val="en-US"/>
        </w:rPr>
        <w:t>on the basis of</w:t>
      </w:r>
      <w:proofErr w:type="gramEnd"/>
      <w:r w:rsidRPr="001675F8">
        <w:rPr>
          <w:lang w:val="en-US"/>
        </w:rPr>
        <w:t xml:space="preserve"> quality, or safety-related issues arising from the quality of the product. The manufacturing quality information submitted by the Sponsor supports the registration of the following:</w:t>
      </w:r>
    </w:p>
    <w:p w14:paraId="0782E2F6" w14:textId="77777777" w:rsidR="001675F8" w:rsidRPr="001675F8" w:rsidRDefault="001675F8" w:rsidP="001675F8">
      <w:pPr>
        <w:pStyle w:val="ListBullet"/>
        <w:rPr>
          <w:lang w:val="en-US"/>
        </w:rPr>
      </w:pPr>
      <w:r w:rsidRPr="001675F8">
        <w:rPr>
          <w:lang w:val="en-US"/>
        </w:rPr>
        <w:t>Celldemic Pre-pandemic Influenza Vaccine H5N1 (surface antigen, inactivated, adjuvanted) suspension for injection PFS needle-free</w:t>
      </w:r>
    </w:p>
    <w:p w14:paraId="2BE90AAE" w14:textId="35796FD3" w:rsidR="00C22214" w:rsidRDefault="00C22214" w:rsidP="00C22214">
      <w:pPr>
        <w:pStyle w:val="Heading3"/>
      </w:pPr>
      <w:bookmarkStart w:id="37" w:name="_Toc314842512"/>
      <w:bookmarkStart w:id="38" w:name="_Toc103679296"/>
      <w:bookmarkStart w:id="39" w:name="_Toc227753752"/>
      <w:r>
        <w:t>Nonclinical</w:t>
      </w:r>
      <w:bookmarkEnd w:id="37"/>
      <w:bookmarkEnd w:id="38"/>
      <w:r w:rsidR="007E6443">
        <w:t xml:space="preserve"> evaluation</w:t>
      </w:r>
      <w:r w:rsidR="00095C6A">
        <w:t xml:space="preserve"> summary</w:t>
      </w:r>
      <w:bookmarkEnd w:id="39"/>
    </w:p>
    <w:p w14:paraId="2595B558" w14:textId="77777777" w:rsidR="00D4457A" w:rsidRPr="00D4457A" w:rsidRDefault="00D4457A" w:rsidP="00D4457A">
      <w:pPr>
        <w:rPr>
          <w:lang w:val="en-US"/>
        </w:rPr>
      </w:pPr>
      <w:r w:rsidRPr="00D4457A">
        <w:rPr>
          <w:lang w:val="en-US"/>
        </w:rPr>
        <w:t xml:space="preserve">There are no nonclinical objections to registration of pre-filled syringe presentation of Celldemic for active </w:t>
      </w:r>
      <w:proofErr w:type="spellStart"/>
      <w:r w:rsidRPr="00D4457A">
        <w:rPr>
          <w:lang w:val="en-US"/>
        </w:rPr>
        <w:t>immunisation</w:t>
      </w:r>
      <w:proofErr w:type="spellEnd"/>
      <w:r w:rsidRPr="00D4457A">
        <w:rPr>
          <w:lang w:val="en-US"/>
        </w:rPr>
        <w:t xml:space="preserve"> to prevent disease caused by the influenza A virus H5N1 subtype, in persons from 6 months of age.</w:t>
      </w:r>
    </w:p>
    <w:p w14:paraId="7B5AA544" w14:textId="77777777" w:rsidR="00D4457A" w:rsidRPr="00D4457A" w:rsidRDefault="00D4457A" w:rsidP="00D4457A">
      <w:pPr>
        <w:rPr>
          <w:lang w:val="en-US"/>
        </w:rPr>
      </w:pPr>
      <w:r w:rsidRPr="00D4457A">
        <w:rPr>
          <w:lang w:val="en-US"/>
        </w:rPr>
        <w:t>Immunogenicity of the influenza virus haemagglutinin was demonstrated in ferrets and mice.</w:t>
      </w:r>
    </w:p>
    <w:p w14:paraId="5F8319A9" w14:textId="77777777" w:rsidR="00D4457A" w:rsidRPr="00D4457A" w:rsidRDefault="00D4457A" w:rsidP="00D4457A">
      <w:pPr>
        <w:rPr>
          <w:lang w:val="en-US"/>
        </w:rPr>
      </w:pPr>
      <w:r w:rsidRPr="00D4457A">
        <w:rPr>
          <w:lang w:val="en-US"/>
        </w:rPr>
        <w:t xml:space="preserve">Repeat-dose toxicity studies with influenza virus haemagglutinin at total HA doses higher than the clinical dose showed only </w:t>
      </w:r>
      <w:proofErr w:type="spellStart"/>
      <w:r w:rsidRPr="00D4457A">
        <w:rPr>
          <w:lang w:val="en-US"/>
        </w:rPr>
        <w:t>localised</w:t>
      </w:r>
      <w:proofErr w:type="spellEnd"/>
      <w:r w:rsidRPr="00D4457A">
        <w:rPr>
          <w:lang w:val="en-US"/>
        </w:rPr>
        <w:t xml:space="preserve"> reactions and mild systemic effects, consistent with a transient response to the adjuvant or an immune response to the vaccine antigens.</w:t>
      </w:r>
    </w:p>
    <w:p w14:paraId="437C6141" w14:textId="77777777" w:rsidR="00D4457A" w:rsidRPr="00D4457A" w:rsidRDefault="00D4457A" w:rsidP="00D4457A">
      <w:pPr>
        <w:rPr>
          <w:lang w:val="en-US"/>
        </w:rPr>
      </w:pPr>
      <w:r w:rsidRPr="00D4457A">
        <w:rPr>
          <w:lang w:val="en-US"/>
        </w:rPr>
        <w:t>No effects on female fertility or on pre- and post-natal development were observed in rabbits following administration of influenza virus haemagglutinin. Thus, the proposed Pregnancy Category B1 is considered acceptable.</w:t>
      </w:r>
    </w:p>
    <w:p w14:paraId="35B580A5" w14:textId="40B226DC" w:rsidR="00C22214" w:rsidRDefault="00C22214" w:rsidP="008804CF">
      <w:pPr>
        <w:pStyle w:val="Heading3"/>
      </w:pPr>
      <w:bookmarkStart w:id="40" w:name="_Toc247691530"/>
      <w:bookmarkStart w:id="41" w:name="_Toc314842513"/>
      <w:bookmarkStart w:id="42" w:name="_Toc103679297"/>
      <w:bookmarkStart w:id="43" w:name="_Toc227753753"/>
      <w:r>
        <w:t>Clinical</w:t>
      </w:r>
      <w:bookmarkEnd w:id="40"/>
      <w:bookmarkEnd w:id="41"/>
      <w:bookmarkEnd w:id="42"/>
      <w:r w:rsidR="00095C6A">
        <w:t xml:space="preserve"> evaluation summary</w:t>
      </w:r>
      <w:bookmarkEnd w:id="43"/>
    </w:p>
    <w:p w14:paraId="32B0DEDA" w14:textId="77777777" w:rsidR="00C22214" w:rsidRDefault="00C22214" w:rsidP="00433318">
      <w:pPr>
        <w:pStyle w:val="Heading4"/>
      </w:pPr>
      <w:bookmarkStart w:id="44" w:name="_Toc98931928"/>
      <w:bookmarkStart w:id="45" w:name="_Toc227753754"/>
      <w:r>
        <w:t>Summary of clinical studies</w:t>
      </w:r>
      <w:bookmarkEnd w:id="44"/>
      <w:bookmarkEnd w:id="45"/>
    </w:p>
    <w:p w14:paraId="4098B0D9" w14:textId="77777777" w:rsidR="00AF2869" w:rsidRPr="00AF2869" w:rsidRDefault="00AF2869" w:rsidP="00AF2869">
      <w:pPr>
        <w:rPr>
          <w:lang w:val="en-US"/>
        </w:rPr>
      </w:pPr>
      <w:r w:rsidRPr="00AF2869">
        <w:rPr>
          <w:lang w:val="en-US"/>
        </w:rPr>
        <w:t>The clinical dossier for aH5N1c included two studies considered pivotal to demonstrate immunogenicity and safety in persons aged 18 years of age and older (Study V89_18), and persons aged 6 months to 18 years of age (Study V89_11). It also included an additional four key studies (Study V89P1, Study V89_04, Study V89_13 and Study V110_04) and two supportive studies (Study V129_01 and Study V131_01).</w:t>
      </w:r>
    </w:p>
    <w:p w14:paraId="3CC54A2D" w14:textId="77777777" w:rsidR="00AF2869" w:rsidRPr="00AF2869" w:rsidRDefault="00AF2869" w:rsidP="00AF2869">
      <w:pPr>
        <w:rPr>
          <w:lang w:val="en-US"/>
        </w:rPr>
      </w:pPr>
      <w:r w:rsidRPr="00AF2869">
        <w:rPr>
          <w:lang w:val="en-US"/>
        </w:rPr>
        <w:lastRenderedPageBreak/>
        <w:t>Studies V110_04, V129_01 and V131_01 are dose-ranging studies with MF59 adjuvanted cell culture-derived influenza vaccines of other subtypes. Study V110_04 was conducted with the H1N1 subtype in paediatric subjects, Study V129_01 with the H3N2 subtype in paediatric and adults, including older adults, and Study V131_01 included the H7N9 subtype and was conducted in adults. These studies are considered supportive and will not be described in detail in this AusPAR.</w:t>
      </w:r>
    </w:p>
    <w:p w14:paraId="77BB8160" w14:textId="57DF0078" w:rsidR="00AF2869" w:rsidRPr="00AF2869" w:rsidRDefault="00AF2869" w:rsidP="00AF2869">
      <w:pPr>
        <w:rPr>
          <w:lang w:val="en-US"/>
        </w:rPr>
      </w:pPr>
      <w:r w:rsidRPr="00AF2869">
        <w:rPr>
          <w:lang w:val="en-US"/>
        </w:rPr>
        <w:t xml:space="preserve">Study V89P1 demonstrated that in healthy adults aged 18-40 years of age, adjuvant is needed to achieve licensure criteria and that the lowest dose formulation studied (3.75μg HA of a cell culture H5N1) with half the standard MF59 dose met the European CHMP pandemic vaccine requirements set for </w:t>
      </w:r>
      <w:proofErr w:type="spellStart"/>
      <w:r w:rsidRPr="00AF2869">
        <w:rPr>
          <w:lang w:val="en-US"/>
        </w:rPr>
        <w:t>haemagglutination</w:t>
      </w:r>
      <w:proofErr w:type="spellEnd"/>
      <w:r w:rsidRPr="00AF2869">
        <w:rPr>
          <w:lang w:val="en-US"/>
        </w:rPr>
        <w:t xml:space="preserve"> inhibition and single radial </w:t>
      </w:r>
      <w:proofErr w:type="spellStart"/>
      <w:r w:rsidRPr="00AF2869">
        <w:rPr>
          <w:lang w:val="en-US"/>
        </w:rPr>
        <w:t>haemolysis</w:t>
      </w:r>
      <w:proofErr w:type="spellEnd"/>
      <w:r w:rsidRPr="00AF2869">
        <w:rPr>
          <w:lang w:val="en-US"/>
        </w:rPr>
        <w:t xml:space="preserve">. Findings for the pivotal and key studies are briefly described in the table below (Table </w:t>
      </w:r>
      <w:r w:rsidR="00EE60D3">
        <w:rPr>
          <w:lang w:val="en-US"/>
        </w:rPr>
        <w:t>3</w:t>
      </w:r>
      <w:r w:rsidRPr="00AF2869">
        <w:rPr>
          <w:lang w:val="en-US"/>
        </w:rPr>
        <w:t>).</w:t>
      </w:r>
    </w:p>
    <w:p w14:paraId="6F5F48B1" w14:textId="77777777" w:rsidR="00AF2869" w:rsidRPr="00AF2869" w:rsidRDefault="00AF2869" w:rsidP="00AF2869">
      <w:pPr>
        <w:rPr>
          <w:lang w:val="en-US"/>
        </w:rPr>
      </w:pPr>
      <w:r w:rsidRPr="00AF2869">
        <w:rPr>
          <w:lang w:val="en-US"/>
        </w:rPr>
        <w:t xml:space="preserve">Of the submitted studies, only one study (Study V89_18), was placebo controlled. The phase 2 studies in children (Study V89_11), healthy adults aged 18-49 years (Study V89_04) and adults aged 65 years and older (Study V89_13) </w:t>
      </w:r>
      <w:proofErr w:type="gramStart"/>
      <w:r w:rsidRPr="00AF2869">
        <w:rPr>
          <w:lang w:val="en-US"/>
        </w:rPr>
        <w:t>compared</w:t>
      </w:r>
      <w:proofErr w:type="gramEnd"/>
      <w:r w:rsidRPr="00AF2869">
        <w:rPr>
          <w:lang w:val="en-US"/>
        </w:rPr>
        <w:t xml:space="preserve"> two full doses and two half doses administered 3 weeks apart. The phase 1/2 dose ranging study (Study V89P1) included the cell culture-derived H5N1subunit influenza virus vaccine (A/Indonesia/5/2005), with/without MF59.</w:t>
      </w:r>
    </w:p>
    <w:p w14:paraId="604862D2" w14:textId="77777777" w:rsidR="008377AB" w:rsidRDefault="008377AB" w:rsidP="008377AB">
      <w:pPr>
        <w:pStyle w:val="Heading4"/>
        <w:rPr>
          <w:lang w:val="en-US"/>
        </w:rPr>
      </w:pPr>
      <w:bookmarkStart w:id="46" w:name="_Toc227753755"/>
      <w:r w:rsidRPr="008377AB">
        <w:rPr>
          <w:lang w:val="en-US"/>
        </w:rPr>
        <w:t>Immunogenicity, dose selection and safety</w:t>
      </w:r>
      <w:bookmarkEnd w:id="46"/>
    </w:p>
    <w:p w14:paraId="4F1B89DB" w14:textId="1D1B58D8" w:rsidR="00226B3B" w:rsidRPr="00226B3B" w:rsidRDefault="009F4431" w:rsidP="009F4431">
      <w:pPr>
        <w:pStyle w:val="TableTitle"/>
        <w:rPr>
          <w:lang w:val="en-US"/>
        </w:rPr>
      </w:pPr>
      <w:r w:rsidRPr="009F4431">
        <w:rPr>
          <w:lang w:val="en-US"/>
        </w:rPr>
        <w:t xml:space="preserve">Table </w:t>
      </w:r>
      <w:r>
        <w:rPr>
          <w:lang w:val="en-US"/>
        </w:rPr>
        <w:t>3</w:t>
      </w:r>
      <w:r w:rsidRPr="009F4431">
        <w:rPr>
          <w:lang w:val="en-US"/>
        </w:rPr>
        <w:t>. Overview of Studies V89_18, V89_11, V89P1, V89_04 and V89_13.</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
        <w:gridCol w:w="960"/>
        <w:gridCol w:w="16"/>
        <w:gridCol w:w="2268"/>
        <w:gridCol w:w="126"/>
        <w:gridCol w:w="1292"/>
        <w:gridCol w:w="124"/>
        <w:gridCol w:w="2144"/>
        <w:gridCol w:w="992"/>
        <w:gridCol w:w="142"/>
        <w:gridCol w:w="1134"/>
      </w:tblGrid>
      <w:tr w:rsidR="00226B3B" w:rsidRPr="00883812" w14:paraId="14902268" w14:textId="77777777" w:rsidTr="00883812">
        <w:trPr>
          <w:trHeight w:val="937"/>
        </w:trPr>
        <w:tc>
          <w:tcPr>
            <w:tcW w:w="1134" w:type="dxa"/>
            <w:gridSpan w:val="3"/>
            <w:shd w:val="clear" w:color="auto" w:fill="DEEAF6"/>
          </w:tcPr>
          <w:p w14:paraId="16957E9A" w14:textId="77777777" w:rsidR="00226B3B" w:rsidRPr="00883812" w:rsidRDefault="00226B3B" w:rsidP="00883812">
            <w:pPr>
              <w:ind w:left="121"/>
              <w:jc w:val="both"/>
              <w:rPr>
                <w:sz w:val="20"/>
              </w:rPr>
            </w:pPr>
            <w:r w:rsidRPr="00883812">
              <w:rPr>
                <w:sz w:val="20"/>
              </w:rPr>
              <w:t>Trials</w:t>
            </w:r>
          </w:p>
        </w:tc>
        <w:tc>
          <w:tcPr>
            <w:tcW w:w="2268" w:type="dxa"/>
            <w:shd w:val="clear" w:color="auto" w:fill="DEEAF6"/>
          </w:tcPr>
          <w:p w14:paraId="00269EBC" w14:textId="77777777" w:rsidR="00226B3B" w:rsidRPr="00883812" w:rsidRDefault="00226B3B" w:rsidP="00883812">
            <w:pPr>
              <w:ind w:left="162"/>
              <w:rPr>
                <w:sz w:val="20"/>
              </w:rPr>
            </w:pPr>
            <w:r w:rsidRPr="00883812">
              <w:rPr>
                <w:sz w:val="20"/>
              </w:rPr>
              <w:t>Title</w:t>
            </w:r>
          </w:p>
        </w:tc>
        <w:tc>
          <w:tcPr>
            <w:tcW w:w="1418" w:type="dxa"/>
            <w:gridSpan w:val="2"/>
            <w:shd w:val="clear" w:color="auto" w:fill="DEEAF6"/>
          </w:tcPr>
          <w:p w14:paraId="64A43C08" w14:textId="77777777" w:rsidR="00226B3B" w:rsidRPr="00883812" w:rsidRDefault="00226B3B" w:rsidP="00883812">
            <w:pPr>
              <w:ind w:left="155"/>
              <w:rPr>
                <w:sz w:val="20"/>
              </w:rPr>
            </w:pPr>
            <w:r w:rsidRPr="00883812">
              <w:rPr>
                <w:sz w:val="20"/>
              </w:rPr>
              <w:t>Design</w:t>
            </w:r>
            <w:r w:rsidRPr="00883812">
              <w:rPr>
                <w:spacing w:val="-12"/>
                <w:sz w:val="20"/>
              </w:rPr>
              <w:t xml:space="preserve"> </w:t>
            </w:r>
            <w:r w:rsidRPr="00883812">
              <w:rPr>
                <w:sz w:val="20"/>
              </w:rPr>
              <w:t>and population</w:t>
            </w:r>
          </w:p>
        </w:tc>
        <w:tc>
          <w:tcPr>
            <w:tcW w:w="2268" w:type="dxa"/>
            <w:gridSpan w:val="2"/>
            <w:shd w:val="clear" w:color="auto" w:fill="DEEAF6"/>
          </w:tcPr>
          <w:p w14:paraId="0B9FDF6B" w14:textId="77777777" w:rsidR="00226B3B" w:rsidRPr="00883812" w:rsidRDefault="00226B3B" w:rsidP="00883812">
            <w:pPr>
              <w:ind w:left="141"/>
              <w:rPr>
                <w:sz w:val="20"/>
              </w:rPr>
            </w:pPr>
            <w:r w:rsidRPr="00883812">
              <w:rPr>
                <w:sz w:val="20"/>
              </w:rPr>
              <w:t>Dosing</w:t>
            </w:r>
          </w:p>
        </w:tc>
        <w:tc>
          <w:tcPr>
            <w:tcW w:w="992" w:type="dxa"/>
            <w:shd w:val="clear" w:color="auto" w:fill="DEEAF6"/>
          </w:tcPr>
          <w:p w14:paraId="437E7547" w14:textId="6FDD02B7" w:rsidR="00226B3B" w:rsidRPr="00883812" w:rsidRDefault="00226B3B" w:rsidP="00883812">
            <w:pPr>
              <w:rPr>
                <w:sz w:val="20"/>
              </w:rPr>
            </w:pPr>
            <w:r w:rsidRPr="00883812">
              <w:rPr>
                <w:sz w:val="20"/>
              </w:rPr>
              <w:t xml:space="preserve">Number </w:t>
            </w:r>
            <w:r w:rsidRPr="00883812">
              <w:rPr>
                <w:spacing w:val="-6"/>
                <w:sz w:val="20"/>
              </w:rPr>
              <w:t>of</w:t>
            </w:r>
            <w:r w:rsidRPr="00883812">
              <w:rPr>
                <w:sz w:val="20"/>
              </w:rPr>
              <w:t xml:space="preserve"> subjects</w:t>
            </w:r>
            <w:r w:rsidR="00883812" w:rsidRPr="00883812">
              <w:rPr>
                <w:sz w:val="20"/>
              </w:rPr>
              <w:t xml:space="preserve"> </w:t>
            </w:r>
            <w:r w:rsidRPr="00883812">
              <w:rPr>
                <w:sz w:val="20"/>
              </w:rPr>
              <w:t>enrolled</w:t>
            </w:r>
          </w:p>
        </w:tc>
        <w:tc>
          <w:tcPr>
            <w:tcW w:w="1276" w:type="dxa"/>
            <w:gridSpan w:val="2"/>
            <w:shd w:val="clear" w:color="auto" w:fill="DEEAF6"/>
          </w:tcPr>
          <w:p w14:paraId="6565FC62" w14:textId="77777777" w:rsidR="00226B3B" w:rsidRPr="00883812" w:rsidRDefault="00226B3B" w:rsidP="00883812">
            <w:pPr>
              <w:rPr>
                <w:sz w:val="20"/>
              </w:rPr>
            </w:pPr>
            <w:r w:rsidRPr="00883812">
              <w:rPr>
                <w:sz w:val="20"/>
              </w:rPr>
              <w:t>Follow</w:t>
            </w:r>
            <w:r w:rsidRPr="00883812">
              <w:rPr>
                <w:spacing w:val="-11"/>
                <w:sz w:val="20"/>
              </w:rPr>
              <w:t xml:space="preserve"> </w:t>
            </w:r>
            <w:r w:rsidRPr="00883812">
              <w:rPr>
                <w:spacing w:val="-5"/>
                <w:sz w:val="20"/>
              </w:rPr>
              <w:t>up</w:t>
            </w:r>
          </w:p>
        </w:tc>
      </w:tr>
      <w:tr w:rsidR="00226B3B" w:rsidRPr="00883812" w14:paraId="01B1B29B" w14:textId="77777777" w:rsidTr="00883812">
        <w:trPr>
          <w:trHeight w:val="3940"/>
        </w:trPr>
        <w:tc>
          <w:tcPr>
            <w:tcW w:w="1134" w:type="dxa"/>
            <w:gridSpan w:val="3"/>
            <w:shd w:val="clear" w:color="auto" w:fill="DEEAF6"/>
          </w:tcPr>
          <w:p w14:paraId="7884AB59" w14:textId="77777777" w:rsidR="00226B3B" w:rsidRPr="00883812" w:rsidRDefault="00226B3B" w:rsidP="00883812">
            <w:pPr>
              <w:ind w:left="121"/>
              <w:rPr>
                <w:sz w:val="20"/>
              </w:rPr>
            </w:pPr>
            <w:r w:rsidRPr="00883812">
              <w:rPr>
                <w:sz w:val="20"/>
              </w:rPr>
              <w:t>Study V89_18</w:t>
            </w:r>
          </w:p>
        </w:tc>
        <w:tc>
          <w:tcPr>
            <w:tcW w:w="2268" w:type="dxa"/>
          </w:tcPr>
          <w:p w14:paraId="14AE5EAF" w14:textId="77777777" w:rsidR="00226B3B" w:rsidRPr="00883812" w:rsidRDefault="00226B3B" w:rsidP="00883812">
            <w:pPr>
              <w:ind w:left="162"/>
              <w:rPr>
                <w:sz w:val="20"/>
              </w:rPr>
            </w:pPr>
            <w:r w:rsidRPr="00883812">
              <w:rPr>
                <w:sz w:val="20"/>
              </w:rPr>
              <w:t>A Phase 3 Randomized, Observer-Blind, Multi-centre,</w:t>
            </w:r>
            <w:r w:rsidRPr="00883812">
              <w:rPr>
                <w:spacing w:val="-12"/>
                <w:sz w:val="20"/>
              </w:rPr>
              <w:t xml:space="preserve"> </w:t>
            </w:r>
            <w:r w:rsidRPr="00883812">
              <w:rPr>
                <w:sz w:val="20"/>
              </w:rPr>
              <w:t>Controlled</w:t>
            </w:r>
            <w:r w:rsidRPr="00883812">
              <w:rPr>
                <w:spacing w:val="-12"/>
                <w:sz w:val="20"/>
              </w:rPr>
              <w:t xml:space="preserve"> </w:t>
            </w:r>
            <w:r w:rsidRPr="00883812">
              <w:rPr>
                <w:sz w:val="20"/>
              </w:rPr>
              <w:t>Study to Evaluate Safety, Immunogenicity, and Lot-to-Lot Consistency of an Adjuvanted Cell Culture-Derived, H5N1 Subunit Influenza Virus Vaccine in Healthy</w:t>
            </w:r>
            <w:r w:rsidRPr="00883812">
              <w:rPr>
                <w:spacing w:val="40"/>
                <w:sz w:val="20"/>
              </w:rPr>
              <w:t xml:space="preserve"> </w:t>
            </w:r>
            <w:r w:rsidRPr="00883812">
              <w:rPr>
                <w:sz w:val="20"/>
              </w:rPr>
              <w:t>Adult Subjects ≥18 yrs of Age</w:t>
            </w:r>
          </w:p>
        </w:tc>
        <w:tc>
          <w:tcPr>
            <w:tcW w:w="1418" w:type="dxa"/>
            <w:gridSpan w:val="2"/>
          </w:tcPr>
          <w:p w14:paraId="0073220A" w14:textId="77777777" w:rsidR="00226B3B" w:rsidRPr="00883812" w:rsidRDefault="00226B3B" w:rsidP="00883812">
            <w:pPr>
              <w:ind w:left="155"/>
              <w:rPr>
                <w:sz w:val="20"/>
              </w:rPr>
            </w:pPr>
            <w:r w:rsidRPr="00883812">
              <w:rPr>
                <w:sz w:val="20"/>
              </w:rPr>
              <w:t>Randomised, observer-blind, placebo controlled, lot-to-lot consistency, Healthy adults ≥18 years</w:t>
            </w:r>
          </w:p>
        </w:tc>
        <w:tc>
          <w:tcPr>
            <w:tcW w:w="2268" w:type="dxa"/>
            <w:gridSpan w:val="2"/>
          </w:tcPr>
          <w:p w14:paraId="5BED9187" w14:textId="77777777" w:rsidR="00226B3B" w:rsidRPr="00883812" w:rsidRDefault="00226B3B" w:rsidP="00883812">
            <w:pPr>
              <w:ind w:left="157"/>
              <w:rPr>
                <w:sz w:val="20"/>
              </w:rPr>
            </w:pPr>
            <w:r w:rsidRPr="00883812">
              <w:rPr>
                <w:sz w:val="20"/>
              </w:rPr>
              <w:t>Subjects</w:t>
            </w:r>
            <w:r w:rsidRPr="00883812">
              <w:rPr>
                <w:spacing w:val="-12"/>
                <w:sz w:val="20"/>
              </w:rPr>
              <w:t xml:space="preserve"> </w:t>
            </w:r>
            <w:r w:rsidRPr="00883812">
              <w:rPr>
                <w:sz w:val="20"/>
              </w:rPr>
              <w:t>randomised</w:t>
            </w:r>
            <w:r w:rsidRPr="00883812">
              <w:rPr>
                <w:spacing w:val="-12"/>
                <w:sz w:val="20"/>
              </w:rPr>
              <w:t xml:space="preserve"> </w:t>
            </w:r>
            <w:r w:rsidRPr="00883812">
              <w:rPr>
                <w:sz w:val="20"/>
              </w:rPr>
              <w:t>in</w:t>
            </w:r>
            <w:r w:rsidRPr="00883812">
              <w:rPr>
                <w:spacing w:val="-11"/>
                <w:sz w:val="20"/>
              </w:rPr>
              <w:t xml:space="preserve"> </w:t>
            </w:r>
            <w:r w:rsidRPr="00883812">
              <w:rPr>
                <w:sz w:val="20"/>
              </w:rPr>
              <w:t>a 1:1:1:1 ratio</w:t>
            </w:r>
            <w:r w:rsidRPr="00883812">
              <w:rPr>
                <w:spacing w:val="-1"/>
                <w:sz w:val="20"/>
              </w:rPr>
              <w:t xml:space="preserve"> </w:t>
            </w:r>
            <w:r w:rsidRPr="00883812">
              <w:rPr>
                <w:sz w:val="20"/>
              </w:rPr>
              <w:t>to receive 2 doses (on day 1 and day 22)</w:t>
            </w:r>
            <w:r w:rsidRPr="00883812">
              <w:rPr>
                <w:spacing w:val="-1"/>
                <w:sz w:val="20"/>
              </w:rPr>
              <w:t xml:space="preserve"> </w:t>
            </w:r>
            <w:r w:rsidRPr="00883812">
              <w:rPr>
                <w:sz w:val="20"/>
              </w:rPr>
              <w:t>of</w:t>
            </w:r>
            <w:r w:rsidRPr="00883812">
              <w:rPr>
                <w:spacing w:val="-4"/>
                <w:sz w:val="20"/>
              </w:rPr>
              <w:t xml:space="preserve"> </w:t>
            </w:r>
            <w:r w:rsidRPr="00883812">
              <w:rPr>
                <w:sz w:val="20"/>
              </w:rPr>
              <w:t>either</w:t>
            </w:r>
            <w:r w:rsidRPr="00883812">
              <w:rPr>
                <w:spacing w:val="-3"/>
                <w:sz w:val="20"/>
              </w:rPr>
              <w:t xml:space="preserve"> </w:t>
            </w:r>
            <w:r w:rsidRPr="00883812">
              <w:rPr>
                <w:sz w:val="20"/>
              </w:rPr>
              <w:t>one of</w:t>
            </w:r>
            <w:r w:rsidRPr="00883812">
              <w:rPr>
                <w:spacing w:val="-1"/>
                <w:sz w:val="20"/>
              </w:rPr>
              <w:t xml:space="preserve"> </w:t>
            </w:r>
            <w:r w:rsidRPr="00883812">
              <w:rPr>
                <w:sz w:val="20"/>
              </w:rPr>
              <w:t xml:space="preserve">the 3 consecutively produced aH5N1c vaccine lots or placebo (Groups A, B, C, </w:t>
            </w:r>
            <w:r w:rsidRPr="00883812">
              <w:rPr>
                <w:spacing w:val="-6"/>
                <w:sz w:val="20"/>
              </w:rPr>
              <w:t>D)</w:t>
            </w:r>
          </w:p>
          <w:p w14:paraId="43F4D537" w14:textId="0D4766E8" w:rsidR="00226B3B" w:rsidRPr="00883812" w:rsidRDefault="00226B3B" w:rsidP="00883812">
            <w:pPr>
              <w:ind w:left="157"/>
              <w:rPr>
                <w:sz w:val="20"/>
              </w:rPr>
            </w:pPr>
            <w:r w:rsidRPr="00883812">
              <w:rPr>
                <w:sz w:val="20"/>
              </w:rPr>
              <w:t>Each dose was 0.5 mL and contained 7.5 micrograms hemagglutinin with 0.25 mL</w:t>
            </w:r>
            <w:r w:rsidRPr="00883812">
              <w:rPr>
                <w:spacing w:val="-10"/>
                <w:sz w:val="20"/>
              </w:rPr>
              <w:t xml:space="preserve"> </w:t>
            </w:r>
            <w:r w:rsidRPr="00883812">
              <w:rPr>
                <w:sz w:val="20"/>
              </w:rPr>
              <w:t>MF59.</w:t>
            </w:r>
            <w:r w:rsidRPr="00883812">
              <w:rPr>
                <w:spacing w:val="-9"/>
                <w:sz w:val="20"/>
              </w:rPr>
              <w:t xml:space="preserve"> </w:t>
            </w:r>
            <w:r w:rsidR="00C34C4E" w:rsidRPr="00883812">
              <w:rPr>
                <w:spacing w:val="-9"/>
                <w:sz w:val="20"/>
              </w:rPr>
              <w:t xml:space="preserve"> </w:t>
            </w:r>
            <w:r w:rsidRPr="00883812">
              <w:rPr>
                <w:sz w:val="20"/>
              </w:rPr>
              <w:t>A</w:t>
            </w:r>
            <w:r w:rsidRPr="00883812">
              <w:rPr>
                <w:spacing w:val="-9"/>
                <w:sz w:val="20"/>
              </w:rPr>
              <w:t xml:space="preserve"> </w:t>
            </w:r>
            <w:r w:rsidRPr="00883812">
              <w:rPr>
                <w:sz w:val="20"/>
              </w:rPr>
              <w:t>fourth</w:t>
            </w:r>
            <w:r w:rsidRPr="00883812">
              <w:rPr>
                <w:spacing w:val="-10"/>
                <w:sz w:val="20"/>
              </w:rPr>
              <w:t xml:space="preserve"> </w:t>
            </w:r>
            <w:r w:rsidRPr="00883812">
              <w:rPr>
                <w:sz w:val="20"/>
              </w:rPr>
              <w:t>group received 0.5 mL placebo</w:t>
            </w:r>
          </w:p>
        </w:tc>
        <w:tc>
          <w:tcPr>
            <w:tcW w:w="992" w:type="dxa"/>
          </w:tcPr>
          <w:p w14:paraId="22A476E0" w14:textId="77777777" w:rsidR="00226B3B" w:rsidRPr="00883812" w:rsidRDefault="00226B3B" w:rsidP="00883812">
            <w:pPr>
              <w:ind w:left="143"/>
              <w:rPr>
                <w:sz w:val="20"/>
              </w:rPr>
            </w:pPr>
            <w:r w:rsidRPr="00883812">
              <w:rPr>
                <w:spacing w:val="-4"/>
                <w:sz w:val="20"/>
              </w:rPr>
              <w:t>3196</w:t>
            </w:r>
          </w:p>
        </w:tc>
        <w:tc>
          <w:tcPr>
            <w:tcW w:w="1276" w:type="dxa"/>
            <w:gridSpan w:val="2"/>
          </w:tcPr>
          <w:p w14:paraId="1A712553" w14:textId="77777777" w:rsidR="00226B3B" w:rsidRPr="00883812" w:rsidRDefault="00226B3B" w:rsidP="00883812">
            <w:pPr>
              <w:rPr>
                <w:sz w:val="20"/>
              </w:rPr>
            </w:pPr>
            <w:r w:rsidRPr="00883812">
              <w:rPr>
                <w:sz w:val="20"/>
              </w:rPr>
              <w:t>Day</w:t>
            </w:r>
            <w:r w:rsidRPr="00883812">
              <w:rPr>
                <w:spacing w:val="-5"/>
                <w:sz w:val="20"/>
              </w:rPr>
              <w:t xml:space="preserve"> 183</w:t>
            </w:r>
          </w:p>
        </w:tc>
      </w:tr>
      <w:tr w:rsidR="00226B3B" w:rsidRPr="00883812" w14:paraId="226FD477" w14:textId="77777777" w:rsidTr="00883812">
        <w:trPr>
          <w:gridBefore w:val="1"/>
          <w:wBefore w:w="158" w:type="dxa"/>
          <w:trHeight w:val="3201"/>
        </w:trPr>
        <w:tc>
          <w:tcPr>
            <w:tcW w:w="960" w:type="dxa"/>
            <w:shd w:val="clear" w:color="auto" w:fill="DEEAF6"/>
          </w:tcPr>
          <w:p w14:paraId="4EB352DB" w14:textId="77777777" w:rsidR="00226B3B" w:rsidRPr="00883812" w:rsidRDefault="00226B3B" w:rsidP="00883812">
            <w:pPr>
              <w:pStyle w:val="TableParagraph"/>
              <w:spacing w:before="2"/>
              <w:ind w:left="162" w:right="126"/>
              <w:rPr>
                <w:b/>
                <w:sz w:val="20"/>
                <w:szCs w:val="20"/>
              </w:rPr>
            </w:pPr>
            <w:r w:rsidRPr="00883812">
              <w:rPr>
                <w:b/>
                <w:spacing w:val="-2"/>
                <w:sz w:val="20"/>
                <w:szCs w:val="20"/>
              </w:rPr>
              <w:lastRenderedPageBreak/>
              <w:t>Study V89_11</w:t>
            </w:r>
          </w:p>
        </w:tc>
        <w:tc>
          <w:tcPr>
            <w:tcW w:w="2410" w:type="dxa"/>
            <w:gridSpan w:val="3"/>
          </w:tcPr>
          <w:p w14:paraId="507E6909" w14:textId="77777777" w:rsidR="00226B3B" w:rsidRPr="00883812" w:rsidRDefault="00226B3B" w:rsidP="00883812">
            <w:pPr>
              <w:ind w:left="155"/>
              <w:rPr>
                <w:sz w:val="20"/>
              </w:rPr>
            </w:pPr>
            <w:r w:rsidRPr="00883812">
              <w:rPr>
                <w:sz w:val="20"/>
              </w:rPr>
              <w:t xml:space="preserve">Phase II, Randomized, </w:t>
            </w:r>
            <w:r w:rsidRPr="00883812">
              <w:rPr>
                <w:spacing w:val="-2"/>
                <w:sz w:val="20"/>
              </w:rPr>
              <w:t xml:space="preserve">Observer-Blind, </w:t>
            </w:r>
            <w:r w:rsidRPr="00883812">
              <w:rPr>
                <w:sz w:val="20"/>
              </w:rPr>
              <w:t>Multicentre, Study to Evaluate Safety, Tolerability and Immunogenicity of an Adjuvanted Cell Culture-Derived H5N1 Subunit</w:t>
            </w:r>
            <w:r w:rsidRPr="00883812">
              <w:rPr>
                <w:spacing w:val="-12"/>
                <w:sz w:val="20"/>
              </w:rPr>
              <w:t xml:space="preserve"> </w:t>
            </w:r>
            <w:r w:rsidRPr="00883812">
              <w:rPr>
                <w:sz w:val="20"/>
              </w:rPr>
              <w:t>Influenza</w:t>
            </w:r>
            <w:r w:rsidRPr="00883812">
              <w:rPr>
                <w:spacing w:val="-12"/>
                <w:sz w:val="20"/>
              </w:rPr>
              <w:t xml:space="preserve"> </w:t>
            </w:r>
            <w:r w:rsidRPr="00883812">
              <w:rPr>
                <w:sz w:val="20"/>
              </w:rPr>
              <w:t>Virus Vaccine at Two Different Formulations</w:t>
            </w:r>
          </w:p>
          <w:p w14:paraId="1C905111" w14:textId="77777777" w:rsidR="00226B3B" w:rsidRPr="00883812" w:rsidRDefault="00226B3B" w:rsidP="00883812">
            <w:pPr>
              <w:ind w:left="155"/>
              <w:rPr>
                <w:sz w:val="20"/>
              </w:rPr>
            </w:pPr>
            <w:r w:rsidRPr="00883812">
              <w:rPr>
                <w:sz w:val="20"/>
              </w:rPr>
              <w:t>in</w:t>
            </w:r>
            <w:r w:rsidRPr="00883812">
              <w:rPr>
                <w:spacing w:val="-12"/>
                <w:sz w:val="20"/>
              </w:rPr>
              <w:t xml:space="preserve"> </w:t>
            </w:r>
            <w:r w:rsidRPr="00883812">
              <w:rPr>
                <w:sz w:val="20"/>
              </w:rPr>
              <w:t>Healthy</w:t>
            </w:r>
            <w:r w:rsidRPr="00883812">
              <w:rPr>
                <w:spacing w:val="-12"/>
                <w:sz w:val="20"/>
              </w:rPr>
              <w:t xml:space="preserve"> </w:t>
            </w:r>
            <w:r w:rsidRPr="00883812">
              <w:rPr>
                <w:sz w:val="20"/>
              </w:rPr>
              <w:t xml:space="preserve">Paediatric </w:t>
            </w:r>
            <w:r w:rsidRPr="00883812">
              <w:rPr>
                <w:spacing w:val="-2"/>
                <w:sz w:val="20"/>
              </w:rPr>
              <w:t>Subjects.</w:t>
            </w:r>
          </w:p>
        </w:tc>
        <w:tc>
          <w:tcPr>
            <w:tcW w:w="1416" w:type="dxa"/>
            <w:gridSpan w:val="2"/>
          </w:tcPr>
          <w:p w14:paraId="6782C800" w14:textId="77777777" w:rsidR="00226B3B" w:rsidRPr="00883812" w:rsidRDefault="00226B3B" w:rsidP="00883812">
            <w:pPr>
              <w:ind w:left="157"/>
              <w:rPr>
                <w:sz w:val="20"/>
              </w:rPr>
            </w:pPr>
            <w:r w:rsidRPr="00883812">
              <w:rPr>
                <w:spacing w:val="-2"/>
                <w:sz w:val="20"/>
              </w:rPr>
              <w:t>Randomised, observer blind,</w:t>
            </w:r>
          </w:p>
          <w:p w14:paraId="1F3F8523" w14:textId="77777777" w:rsidR="00226B3B" w:rsidRPr="00883812" w:rsidRDefault="00226B3B" w:rsidP="00883812">
            <w:pPr>
              <w:ind w:left="157"/>
              <w:rPr>
                <w:sz w:val="20"/>
              </w:rPr>
            </w:pPr>
            <w:r w:rsidRPr="00883812">
              <w:rPr>
                <w:sz w:val="20"/>
              </w:rPr>
              <w:t xml:space="preserve">2 doses </w:t>
            </w:r>
            <w:r w:rsidRPr="00883812">
              <w:rPr>
                <w:spacing w:val="-2"/>
                <w:sz w:val="20"/>
              </w:rPr>
              <w:t xml:space="preserve">Healthy paediatric </w:t>
            </w:r>
            <w:r w:rsidRPr="00883812">
              <w:rPr>
                <w:sz w:val="20"/>
              </w:rPr>
              <w:t>subjects 6 months</w:t>
            </w:r>
            <w:r w:rsidRPr="00883812">
              <w:rPr>
                <w:spacing w:val="-12"/>
                <w:sz w:val="20"/>
              </w:rPr>
              <w:t xml:space="preserve"> </w:t>
            </w:r>
            <w:r w:rsidRPr="00883812">
              <w:rPr>
                <w:sz w:val="20"/>
              </w:rPr>
              <w:t>to</w:t>
            </w:r>
            <w:r w:rsidRPr="00883812">
              <w:rPr>
                <w:spacing w:val="-12"/>
                <w:sz w:val="20"/>
              </w:rPr>
              <w:t xml:space="preserve"> </w:t>
            </w:r>
            <w:r w:rsidRPr="00883812">
              <w:rPr>
                <w:sz w:val="20"/>
              </w:rPr>
              <w:t>≤ 17 years</w:t>
            </w:r>
          </w:p>
        </w:tc>
        <w:tc>
          <w:tcPr>
            <w:tcW w:w="2144" w:type="dxa"/>
          </w:tcPr>
          <w:p w14:paraId="62E36116" w14:textId="77777777" w:rsidR="00226B3B" w:rsidRPr="00883812" w:rsidRDefault="00226B3B" w:rsidP="00883812">
            <w:pPr>
              <w:ind w:left="157"/>
              <w:rPr>
                <w:sz w:val="20"/>
              </w:rPr>
            </w:pPr>
            <w:r w:rsidRPr="00883812">
              <w:rPr>
                <w:sz w:val="20"/>
              </w:rPr>
              <w:t xml:space="preserve">MF59 adjuvanted cell culture-derived subunit inactivated monovalent, </w:t>
            </w:r>
            <w:r w:rsidRPr="00883812">
              <w:rPr>
                <w:spacing w:val="-2"/>
                <w:sz w:val="20"/>
              </w:rPr>
              <w:t xml:space="preserve">A/turkey/Turkey/1/200 </w:t>
            </w:r>
            <w:r w:rsidRPr="00883812">
              <w:rPr>
                <w:sz w:val="20"/>
              </w:rPr>
              <w:t>5 (H5N1) strain vaccine (formulated</w:t>
            </w:r>
            <w:r w:rsidRPr="00883812">
              <w:rPr>
                <w:spacing w:val="-5"/>
                <w:sz w:val="20"/>
              </w:rPr>
              <w:t xml:space="preserve"> </w:t>
            </w:r>
            <w:r w:rsidRPr="00883812">
              <w:rPr>
                <w:sz w:val="20"/>
              </w:rPr>
              <w:t>as</w:t>
            </w:r>
            <w:r w:rsidRPr="00883812">
              <w:rPr>
                <w:spacing w:val="-7"/>
                <w:sz w:val="20"/>
              </w:rPr>
              <w:t xml:space="preserve"> </w:t>
            </w:r>
            <w:r w:rsidRPr="00883812">
              <w:rPr>
                <w:sz w:val="20"/>
              </w:rPr>
              <w:t>7.5</w:t>
            </w:r>
            <w:r w:rsidRPr="00883812">
              <w:rPr>
                <w:spacing w:val="-4"/>
                <w:sz w:val="20"/>
              </w:rPr>
              <w:t xml:space="preserve"> </w:t>
            </w:r>
            <w:r w:rsidRPr="00883812">
              <w:rPr>
                <w:sz w:val="20"/>
              </w:rPr>
              <w:t>μg</w:t>
            </w:r>
            <w:r w:rsidRPr="00883812">
              <w:rPr>
                <w:spacing w:val="-4"/>
                <w:sz w:val="20"/>
              </w:rPr>
              <w:t xml:space="preserve"> </w:t>
            </w:r>
            <w:r w:rsidRPr="00883812">
              <w:rPr>
                <w:sz w:val="20"/>
              </w:rPr>
              <w:t xml:space="preserve">HA of H5N1 with 0.25 mL MF59 or 3.75 μg HA of H5N1 with 0.125 mL </w:t>
            </w:r>
            <w:r w:rsidRPr="00883812">
              <w:rPr>
                <w:spacing w:val="-4"/>
                <w:sz w:val="20"/>
              </w:rPr>
              <w:t>MF59)</w:t>
            </w:r>
          </w:p>
        </w:tc>
        <w:tc>
          <w:tcPr>
            <w:tcW w:w="1134" w:type="dxa"/>
            <w:gridSpan w:val="2"/>
          </w:tcPr>
          <w:p w14:paraId="48106CDF" w14:textId="77777777" w:rsidR="00226B3B" w:rsidRPr="00883812" w:rsidRDefault="00226B3B" w:rsidP="004577D7">
            <w:pPr>
              <w:jc w:val="center"/>
              <w:rPr>
                <w:sz w:val="20"/>
              </w:rPr>
            </w:pPr>
            <w:r w:rsidRPr="00883812">
              <w:rPr>
                <w:spacing w:val="-5"/>
                <w:sz w:val="20"/>
              </w:rPr>
              <w:t>662</w:t>
            </w:r>
          </w:p>
        </w:tc>
        <w:tc>
          <w:tcPr>
            <w:tcW w:w="1134" w:type="dxa"/>
          </w:tcPr>
          <w:p w14:paraId="392D85B9" w14:textId="77777777" w:rsidR="00226B3B" w:rsidRPr="00883812" w:rsidRDefault="00226B3B" w:rsidP="004577D7">
            <w:pPr>
              <w:jc w:val="center"/>
              <w:rPr>
                <w:sz w:val="20"/>
              </w:rPr>
            </w:pPr>
            <w:r w:rsidRPr="00883812">
              <w:rPr>
                <w:sz w:val="20"/>
              </w:rPr>
              <w:t>Day</w:t>
            </w:r>
            <w:r w:rsidRPr="00883812">
              <w:rPr>
                <w:spacing w:val="-5"/>
                <w:sz w:val="20"/>
              </w:rPr>
              <w:t xml:space="preserve"> 387</w:t>
            </w:r>
          </w:p>
        </w:tc>
      </w:tr>
      <w:tr w:rsidR="00226B3B" w:rsidRPr="00883812" w14:paraId="34EDBE6B" w14:textId="77777777" w:rsidTr="00883812">
        <w:trPr>
          <w:gridBefore w:val="1"/>
          <w:wBefore w:w="158" w:type="dxa"/>
          <w:trHeight w:val="3693"/>
        </w:trPr>
        <w:tc>
          <w:tcPr>
            <w:tcW w:w="960" w:type="dxa"/>
            <w:shd w:val="clear" w:color="auto" w:fill="DEEAF6"/>
          </w:tcPr>
          <w:p w14:paraId="37368CEF" w14:textId="77777777" w:rsidR="00226B3B" w:rsidRPr="00883812" w:rsidRDefault="00226B3B" w:rsidP="00883812">
            <w:pPr>
              <w:pStyle w:val="TableParagraph"/>
              <w:spacing w:before="2"/>
              <w:ind w:left="162" w:right="197"/>
              <w:rPr>
                <w:b/>
                <w:sz w:val="20"/>
                <w:szCs w:val="20"/>
              </w:rPr>
            </w:pPr>
            <w:r w:rsidRPr="00883812">
              <w:rPr>
                <w:b/>
                <w:spacing w:val="-2"/>
                <w:sz w:val="20"/>
                <w:szCs w:val="20"/>
              </w:rPr>
              <w:t>Study V89P1</w:t>
            </w:r>
          </w:p>
        </w:tc>
        <w:tc>
          <w:tcPr>
            <w:tcW w:w="2410" w:type="dxa"/>
            <w:gridSpan w:val="3"/>
          </w:tcPr>
          <w:p w14:paraId="42C96D0A" w14:textId="77777777" w:rsidR="00226B3B" w:rsidRPr="00883812" w:rsidRDefault="00226B3B" w:rsidP="00883812">
            <w:pPr>
              <w:ind w:left="155"/>
              <w:rPr>
                <w:sz w:val="20"/>
              </w:rPr>
            </w:pPr>
            <w:r w:rsidRPr="00883812">
              <w:rPr>
                <w:sz w:val="20"/>
              </w:rPr>
              <w:t>A Phase 1/2, Randomised,</w:t>
            </w:r>
            <w:r w:rsidRPr="00883812">
              <w:rPr>
                <w:spacing w:val="-11"/>
                <w:sz w:val="20"/>
              </w:rPr>
              <w:t xml:space="preserve"> </w:t>
            </w:r>
            <w:r w:rsidRPr="00883812">
              <w:rPr>
                <w:sz w:val="20"/>
              </w:rPr>
              <w:t>Observer-blind,</w:t>
            </w:r>
            <w:r w:rsidRPr="00883812">
              <w:rPr>
                <w:spacing w:val="-12"/>
                <w:sz w:val="20"/>
              </w:rPr>
              <w:t xml:space="preserve"> </w:t>
            </w:r>
            <w:proofErr w:type="spellStart"/>
            <w:r w:rsidRPr="00883812">
              <w:rPr>
                <w:sz w:val="20"/>
              </w:rPr>
              <w:t>Multicenter</w:t>
            </w:r>
            <w:proofErr w:type="spellEnd"/>
            <w:r w:rsidRPr="00883812">
              <w:rPr>
                <w:sz w:val="20"/>
              </w:rPr>
              <w:t>,</w:t>
            </w:r>
            <w:r w:rsidRPr="00883812">
              <w:rPr>
                <w:spacing w:val="-12"/>
                <w:sz w:val="20"/>
              </w:rPr>
              <w:t xml:space="preserve"> </w:t>
            </w:r>
            <w:r w:rsidRPr="00883812">
              <w:rPr>
                <w:sz w:val="20"/>
              </w:rPr>
              <w:t>Dose Ranging Study to Evaluate the Immunogenicity,</w:t>
            </w:r>
            <w:r w:rsidRPr="00883812">
              <w:rPr>
                <w:spacing w:val="-12"/>
                <w:sz w:val="20"/>
              </w:rPr>
              <w:t xml:space="preserve"> </w:t>
            </w:r>
            <w:r w:rsidRPr="00883812">
              <w:rPr>
                <w:sz w:val="20"/>
              </w:rPr>
              <w:t>Safety and Tolerability of Different Formulations of an Adjuvanted or Non-Adjuvanted Cell Culture-Derived H5N1 Subunit</w:t>
            </w:r>
            <w:r w:rsidRPr="00883812">
              <w:rPr>
                <w:spacing w:val="-7"/>
                <w:sz w:val="20"/>
              </w:rPr>
              <w:t xml:space="preserve"> </w:t>
            </w:r>
            <w:r w:rsidRPr="00883812">
              <w:rPr>
                <w:sz w:val="20"/>
              </w:rPr>
              <w:t>Influenza</w:t>
            </w:r>
            <w:r w:rsidRPr="00883812">
              <w:rPr>
                <w:spacing w:val="-6"/>
                <w:sz w:val="20"/>
              </w:rPr>
              <w:t xml:space="preserve"> </w:t>
            </w:r>
            <w:r w:rsidRPr="00883812">
              <w:rPr>
                <w:sz w:val="20"/>
              </w:rPr>
              <w:t>Virus Vaccine in Healthy</w:t>
            </w:r>
          </w:p>
          <w:p w14:paraId="4468E5A9" w14:textId="77777777" w:rsidR="00226B3B" w:rsidRPr="00883812" w:rsidRDefault="00226B3B" w:rsidP="00883812">
            <w:pPr>
              <w:ind w:left="155"/>
              <w:rPr>
                <w:sz w:val="20"/>
              </w:rPr>
            </w:pPr>
            <w:r w:rsidRPr="00883812">
              <w:rPr>
                <w:sz w:val="20"/>
              </w:rPr>
              <w:t>Subjects</w:t>
            </w:r>
            <w:r w:rsidRPr="00883812">
              <w:rPr>
                <w:spacing w:val="-9"/>
                <w:sz w:val="20"/>
              </w:rPr>
              <w:t xml:space="preserve"> </w:t>
            </w:r>
            <w:r w:rsidRPr="00883812">
              <w:rPr>
                <w:sz w:val="20"/>
              </w:rPr>
              <w:t>18</w:t>
            </w:r>
            <w:r w:rsidRPr="00883812">
              <w:rPr>
                <w:spacing w:val="-8"/>
                <w:sz w:val="20"/>
              </w:rPr>
              <w:t xml:space="preserve"> </w:t>
            </w:r>
            <w:r w:rsidRPr="00883812">
              <w:rPr>
                <w:sz w:val="20"/>
              </w:rPr>
              <w:t>–</w:t>
            </w:r>
            <w:r w:rsidRPr="00883812">
              <w:rPr>
                <w:spacing w:val="-12"/>
                <w:sz w:val="20"/>
              </w:rPr>
              <w:t xml:space="preserve"> </w:t>
            </w:r>
            <w:r w:rsidRPr="00883812">
              <w:rPr>
                <w:sz w:val="20"/>
              </w:rPr>
              <w:t>40</w:t>
            </w:r>
            <w:r w:rsidRPr="00883812">
              <w:rPr>
                <w:spacing w:val="-8"/>
                <w:sz w:val="20"/>
              </w:rPr>
              <w:t xml:space="preserve"> </w:t>
            </w:r>
            <w:r w:rsidRPr="00883812">
              <w:rPr>
                <w:sz w:val="20"/>
              </w:rPr>
              <w:t>Years of Age</w:t>
            </w:r>
          </w:p>
        </w:tc>
        <w:tc>
          <w:tcPr>
            <w:tcW w:w="1416" w:type="dxa"/>
            <w:gridSpan w:val="2"/>
          </w:tcPr>
          <w:p w14:paraId="073F53BF" w14:textId="77777777" w:rsidR="00226B3B" w:rsidRPr="00883812" w:rsidRDefault="00226B3B" w:rsidP="00883812">
            <w:pPr>
              <w:ind w:left="157"/>
              <w:rPr>
                <w:sz w:val="20"/>
              </w:rPr>
            </w:pPr>
            <w:r w:rsidRPr="00883812">
              <w:rPr>
                <w:spacing w:val="-2"/>
                <w:sz w:val="20"/>
              </w:rPr>
              <w:t xml:space="preserve">Randomised, observer </w:t>
            </w:r>
            <w:r w:rsidRPr="00883812">
              <w:rPr>
                <w:sz w:val="20"/>
              </w:rPr>
              <w:t>blind, dose-</w:t>
            </w:r>
            <w:r w:rsidRPr="00883812">
              <w:rPr>
                <w:spacing w:val="-2"/>
                <w:sz w:val="20"/>
              </w:rPr>
              <w:t xml:space="preserve">ranging Healthy </w:t>
            </w:r>
            <w:r w:rsidRPr="00883812">
              <w:rPr>
                <w:sz w:val="20"/>
              </w:rPr>
              <w:t>adults 18 to</w:t>
            </w:r>
          </w:p>
          <w:p w14:paraId="237C8794" w14:textId="77777777" w:rsidR="00226B3B" w:rsidRPr="00883812" w:rsidRDefault="00226B3B" w:rsidP="00883812">
            <w:pPr>
              <w:ind w:left="157"/>
              <w:rPr>
                <w:sz w:val="20"/>
              </w:rPr>
            </w:pPr>
            <w:r w:rsidRPr="00883812">
              <w:rPr>
                <w:sz w:val="20"/>
              </w:rPr>
              <w:t>≤</w:t>
            </w:r>
            <w:r w:rsidRPr="00883812">
              <w:rPr>
                <w:spacing w:val="-2"/>
                <w:sz w:val="20"/>
              </w:rPr>
              <w:t xml:space="preserve"> </w:t>
            </w:r>
            <w:r w:rsidRPr="00883812">
              <w:rPr>
                <w:sz w:val="20"/>
              </w:rPr>
              <w:t>40</w:t>
            </w:r>
            <w:r w:rsidRPr="00883812">
              <w:rPr>
                <w:spacing w:val="-2"/>
                <w:sz w:val="20"/>
              </w:rPr>
              <w:t xml:space="preserve"> </w:t>
            </w:r>
            <w:r w:rsidRPr="00883812">
              <w:rPr>
                <w:sz w:val="20"/>
              </w:rPr>
              <w:t>years</w:t>
            </w:r>
            <w:r w:rsidRPr="00883812">
              <w:rPr>
                <w:spacing w:val="-2"/>
                <w:sz w:val="20"/>
              </w:rPr>
              <w:t xml:space="preserve"> </w:t>
            </w:r>
            <w:r w:rsidRPr="00883812">
              <w:rPr>
                <w:spacing w:val="-5"/>
                <w:sz w:val="20"/>
              </w:rPr>
              <w:t>of</w:t>
            </w:r>
          </w:p>
          <w:p w14:paraId="7B69ED49" w14:textId="77777777" w:rsidR="00226B3B" w:rsidRPr="00883812" w:rsidRDefault="00226B3B" w:rsidP="00883812">
            <w:pPr>
              <w:ind w:left="157"/>
              <w:rPr>
                <w:sz w:val="20"/>
              </w:rPr>
            </w:pPr>
            <w:r w:rsidRPr="00883812">
              <w:rPr>
                <w:spacing w:val="-5"/>
                <w:sz w:val="20"/>
              </w:rPr>
              <w:t>age</w:t>
            </w:r>
          </w:p>
        </w:tc>
        <w:tc>
          <w:tcPr>
            <w:tcW w:w="2144" w:type="dxa"/>
          </w:tcPr>
          <w:p w14:paraId="29C11663" w14:textId="77777777" w:rsidR="00226B3B" w:rsidRPr="00883812" w:rsidRDefault="00226B3B" w:rsidP="00883812">
            <w:pPr>
              <w:ind w:left="157"/>
              <w:rPr>
                <w:sz w:val="20"/>
              </w:rPr>
            </w:pPr>
            <w:r w:rsidRPr="00883812">
              <w:rPr>
                <w:sz w:val="20"/>
              </w:rPr>
              <w:t xml:space="preserve">Cell culture-derived subunit inactivated </w:t>
            </w:r>
            <w:r w:rsidRPr="00883812">
              <w:rPr>
                <w:spacing w:val="-2"/>
                <w:sz w:val="20"/>
              </w:rPr>
              <w:t xml:space="preserve">monovalent, A/Indonesia/5/2005 </w:t>
            </w:r>
            <w:r w:rsidRPr="00883812">
              <w:rPr>
                <w:sz w:val="20"/>
              </w:rPr>
              <w:t>(H5N1) strain vaccine with</w:t>
            </w:r>
            <w:r w:rsidRPr="00883812">
              <w:rPr>
                <w:spacing w:val="-4"/>
                <w:sz w:val="20"/>
              </w:rPr>
              <w:t xml:space="preserve"> </w:t>
            </w:r>
            <w:r w:rsidRPr="00883812">
              <w:rPr>
                <w:sz w:val="20"/>
              </w:rPr>
              <w:t>0,</w:t>
            </w:r>
            <w:r w:rsidRPr="00883812">
              <w:rPr>
                <w:spacing w:val="-7"/>
                <w:sz w:val="20"/>
              </w:rPr>
              <w:t xml:space="preserve"> </w:t>
            </w:r>
            <w:r w:rsidRPr="00883812">
              <w:rPr>
                <w:sz w:val="20"/>
              </w:rPr>
              <w:t>0.0625,</w:t>
            </w:r>
            <w:r w:rsidRPr="00883812">
              <w:rPr>
                <w:spacing w:val="-4"/>
                <w:sz w:val="20"/>
              </w:rPr>
              <w:t xml:space="preserve"> </w:t>
            </w:r>
            <w:r w:rsidRPr="00883812">
              <w:rPr>
                <w:sz w:val="20"/>
              </w:rPr>
              <w:t>0.125</w:t>
            </w:r>
            <w:r w:rsidRPr="00883812">
              <w:rPr>
                <w:spacing w:val="-3"/>
                <w:sz w:val="20"/>
              </w:rPr>
              <w:t xml:space="preserve"> </w:t>
            </w:r>
            <w:r w:rsidRPr="00883812">
              <w:rPr>
                <w:spacing w:val="-5"/>
                <w:sz w:val="20"/>
              </w:rPr>
              <w:t>or</w:t>
            </w:r>
          </w:p>
          <w:p w14:paraId="6F849A05" w14:textId="77777777" w:rsidR="00226B3B" w:rsidRPr="00883812" w:rsidRDefault="00226B3B" w:rsidP="00883812">
            <w:pPr>
              <w:ind w:left="157"/>
              <w:rPr>
                <w:sz w:val="20"/>
              </w:rPr>
            </w:pPr>
            <w:r w:rsidRPr="00883812">
              <w:rPr>
                <w:sz w:val="20"/>
              </w:rPr>
              <w:t>0.25</w:t>
            </w:r>
            <w:r w:rsidRPr="00883812">
              <w:rPr>
                <w:spacing w:val="-5"/>
                <w:sz w:val="20"/>
              </w:rPr>
              <w:t xml:space="preserve"> </w:t>
            </w:r>
            <w:r w:rsidRPr="00883812">
              <w:rPr>
                <w:sz w:val="20"/>
              </w:rPr>
              <w:t>mL</w:t>
            </w:r>
            <w:r w:rsidRPr="00883812">
              <w:rPr>
                <w:spacing w:val="-4"/>
                <w:sz w:val="20"/>
              </w:rPr>
              <w:t xml:space="preserve"> </w:t>
            </w:r>
            <w:r w:rsidRPr="00883812">
              <w:rPr>
                <w:sz w:val="20"/>
              </w:rPr>
              <w:t>MF59</w:t>
            </w:r>
            <w:r w:rsidRPr="00883812">
              <w:rPr>
                <w:spacing w:val="-3"/>
                <w:sz w:val="20"/>
              </w:rPr>
              <w:t xml:space="preserve"> </w:t>
            </w:r>
            <w:r w:rsidRPr="00883812">
              <w:rPr>
                <w:sz w:val="20"/>
              </w:rPr>
              <w:t>and</w:t>
            </w:r>
            <w:r w:rsidRPr="00883812">
              <w:rPr>
                <w:spacing w:val="-3"/>
                <w:sz w:val="20"/>
              </w:rPr>
              <w:t xml:space="preserve"> </w:t>
            </w:r>
            <w:r w:rsidRPr="00883812">
              <w:rPr>
                <w:spacing w:val="-4"/>
                <w:sz w:val="20"/>
              </w:rPr>
              <w:t>3.75</w:t>
            </w:r>
          </w:p>
          <w:p w14:paraId="4D15ABA6" w14:textId="77777777" w:rsidR="00226B3B" w:rsidRPr="00883812" w:rsidRDefault="00226B3B" w:rsidP="00883812">
            <w:pPr>
              <w:ind w:left="157"/>
              <w:rPr>
                <w:sz w:val="20"/>
              </w:rPr>
            </w:pPr>
            <w:r w:rsidRPr="00883812">
              <w:rPr>
                <w:sz w:val="20"/>
              </w:rPr>
              <w:t>μg,</w:t>
            </w:r>
            <w:r w:rsidRPr="00883812">
              <w:rPr>
                <w:spacing w:val="-5"/>
                <w:sz w:val="20"/>
              </w:rPr>
              <w:t xml:space="preserve"> </w:t>
            </w:r>
            <w:r w:rsidRPr="00883812">
              <w:rPr>
                <w:sz w:val="20"/>
              </w:rPr>
              <w:t>7.5</w:t>
            </w:r>
            <w:r w:rsidRPr="00883812">
              <w:rPr>
                <w:spacing w:val="-1"/>
                <w:sz w:val="20"/>
              </w:rPr>
              <w:t xml:space="preserve"> </w:t>
            </w:r>
            <w:r w:rsidRPr="00883812">
              <w:rPr>
                <w:sz w:val="20"/>
              </w:rPr>
              <w:t>μg</w:t>
            </w:r>
            <w:r w:rsidRPr="00883812">
              <w:rPr>
                <w:spacing w:val="-2"/>
                <w:sz w:val="20"/>
              </w:rPr>
              <w:t xml:space="preserve"> </w:t>
            </w:r>
            <w:r w:rsidRPr="00883812">
              <w:rPr>
                <w:sz w:val="20"/>
              </w:rPr>
              <w:t>or</w:t>
            </w:r>
            <w:r w:rsidRPr="00883812">
              <w:rPr>
                <w:spacing w:val="-3"/>
                <w:sz w:val="20"/>
              </w:rPr>
              <w:t xml:space="preserve"> </w:t>
            </w:r>
            <w:r w:rsidRPr="00883812">
              <w:rPr>
                <w:sz w:val="20"/>
              </w:rPr>
              <w:t>15</w:t>
            </w:r>
            <w:r w:rsidRPr="00883812">
              <w:rPr>
                <w:spacing w:val="-2"/>
                <w:sz w:val="20"/>
              </w:rPr>
              <w:t xml:space="preserve"> </w:t>
            </w:r>
            <w:r w:rsidRPr="00883812">
              <w:rPr>
                <w:sz w:val="20"/>
              </w:rPr>
              <w:t>μg</w:t>
            </w:r>
            <w:r w:rsidRPr="00883812">
              <w:rPr>
                <w:spacing w:val="-1"/>
                <w:sz w:val="20"/>
              </w:rPr>
              <w:t xml:space="preserve"> </w:t>
            </w:r>
            <w:r w:rsidRPr="00883812">
              <w:rPr>
                <w:sz w:val="20"/>
              </w:rPr>
              <w:t>HA</w:t>
            </w:r>
            <w:r w:rsidRPr="00883812">
              <w:rPr>
                <w:spacing w:val="-4"/>
                <w:sz w:val="20"/>
              </w:rPr>
              <w:t xml:space="preserve"> </w:t>
            </w:r>
            <w:r w:rsidRPr="00883812">
              <w:rPr>
                <w:spacing w:val="-5"/>
                <w:sz w:val="20"/>
              </w:rPr>
              <w:t>of</w:t>
            </w:r>
          </w:p>
          <w:p w14:paraId="5366E6A1" w14:textId="77777777" w:rsidR="00226B3B" w:rsidRPr="00883812" w:rsidRDefault="00226B3B" w:rsidP="00883812">
            <w:pPr>
              <w:ind w:left="157"/>
              <w:rPr>
                <w:sz w:val="20"/>
              </w:rPr>
            </w:pPr>
            <w:r w:rsidRPr="00883812">
              <w:rPr>
                <w:spacing w:val="-4"/>
                <w:sz w:val="20"/>
              </w:rPr>
              <w:t>H5N1</w:t>
            </w:r>
          </w:p>
          <w:p w14:paraId="2DAA9AD6" w14:textId="77777777" w:rsidR="00226B3B" w:rsidRPr="00883812" w:rsidRDefault="00226B3B" w:rsidP="00883812">
            <w:pPr>
              <w:ind w:left="157"/>
              <w:rPr>
                <w:sz w:val="20"/>
              </w:rPr>
            </w:pPr>
            <w:r w:rsidRPr="00883812">
              <w:rPr>
                <w:sz w:val="20"/>
              </w:rPr>
              <w:t>0.5</w:t>
            </w:r>
            <w:r w:rsidRPr="00883812">
              <w:rPr>
                <w:spacing w:val="-11"/>
                <w:sz w:val="20"/>
              </w:rPr>
              <w:t xml:space="preserve"> </w:t>
            </w:r>
            <w:r w:rsidRPr="00883812">
              <w:rPr>
                <w:sz w:val="20"/>
              </w:rPr>
              <w:t>mL</w:t>
            </w:r>
            <w:r w:rsidRPr="00883812">
              <w:rPr>
                <w:spacing w:val="-12"/>
                <w:sz w:val="20"/>
              </w:rPr>
              <w:t xml:space="preserve"> </w:t>
            </w:r>
            <w:r w:rsidRPr="00883812">
              <w:rPr>
                <w:sz w:val="20"/>
              </w:rPr>
              <w:t>IM</w:t>
            </w:r>
            <w:r w:rsidRPr="00883812">
              <w:rPr>
                <w:spacing w:val="-11"/>
                <w:sz w:val="20"/>
              </w:rPr>
              <w:t xml:space="preserve"> </w:t>
            </w:r>
            <w:r w:rsidRPr="00883812">
              <w:rPr>
                <w:sz w:val="20"/>
              </w:rPr>
              <w:t>injection Two</w:t>
            </w:r>
            <w:r w:rsidRPr="00883812">
              <w:rPr>
                <w:spacing w:val="-12"/>
                <w:sz w:val="20"/>
              </w:rPr>
              <w:t xml:space="preserve"> </w:t>
            </w:r>
            <w:r w:rsidRPr="00883812">
              <w:rPr>
                <w:sz w:val="20"/>
              </w:rPr>
              <w:t>vaccinations</w:t>
            </w:r>
            <w:r w:rsidRPr="00883812">
              <w:rPr>
                <w:spacing w:val="-12"/>
                <w:sz w:val="20"/>
              </w:rPr>
              <w:t xml:space="preserve"> </w:t>
            </w:r>
            <w:r w:rsidRPr="00883812">
              <w:rPr>
                <w:sz w:val="20"/>
              </w:rPr>
              <w:t>3 weeks apart</w:t>
            </w:r>
          </w:p>
        </w:tc>
        <w:tc>
          <w:tcPr>
            <w:tcW w:w="1134" w:type="dxa"/>
            <w:gridSpan w:val="2"/>
          </w:tcPr>
          <w:p w14:paraId="0502D03F" w14:textId="77777777" w:rsidR="00226B3B" w:rsidRPr="00883812" w:rsidRDefault="00226B3B" w:rsidP="004577D7">
            <w:pPr>
              <w:jc w:val="center"/>
              <w:rPr>
                <w:sz w:val="20"/>
              </w:rPr>
            </w:pPr>
            <w:r w:rsidRPr="00883812">
              <w:rPr>
                <w:spacing w:val="-5"/>
                <w:sz w:val="20"/>
              </w:rPr>
              <w:t>753</w:t>
            </w:r>
          </w:p>
        </w:tc>
        <w:tc>
          <w:tcPr>
            <w:tcW w:w="1134" w:type="dxa"/>
          </w:tcPr>
          <w:p w14:paraId="57FBC5D2" w14:textId="77777777" w:rsidR="00226B3B" w:rsidRPr="00883812" w:rsidRDefault="00226B3B" w:rsidP="004577D7">
            <w:pPr>
              <w:jc w:val="center"/>
              <w:rPr>
                <w:sz w:val="20"/>
              </w:rPr>
            </w:pPr>
            <w:r w:rsidRPr="00883812">
              <w:rPr>
                <w:sz w:val="20"/>
              </w:rPr>
              <w:t>Day</w:t>
            </w:r>
            <w:r w:rsidRPr="00883812">
              <w:rPr>
                <w:spacing w:val="-3"/>
                <w:sz w:val="20"/>
              </w:rPr>
              <w:t xml:space="preserve"> </w:t>
            </w:r>
            <w:r w:rsidRPr="00883812">
              <w:rPr>
                <w:spacing w:val="-4"/>
                <w:sz w:val="20"/>
              </w:rPr>
              <w:t>366:</w:t>
            </w:r>
          </w:p>
          <w:p w14:paraId="70E0E752" w14:textId="77777777" w:rsidR="00226B3B" w:rsidRPr="00883812" w:rsidRDefault="00226B3B" w:rsidP="004577D7">
            <w:pPr>
              <w:jc w:val="center"/>
              <w:rPr>
                <w:sz w:val="20"/>
              </w:rPr>
            </w:pPr>
            <w:proofErr w:type="spellStart"/>
            <w:r w:rsidRPr="00883812">
              <w:rPr>
                <w:spacing w:val="-2"/>
                <w:sz w:val="20"/>
              </w:rPr>
              <w:t>immunoge</w:t>
            </w:r>
            <w:proofErr w:type="spellEnd"/>
            <w:r w:rsidRPr="00883812">
              <w:rPr>
                <w:spacing w:val="-2"/>
                <w:sz w:val="20"/>
              </w:rPr>
              <w:t xml:space="preserve"> </w:t>
            </w:r>
            <w:proofErr w:type="spellStart"/>
            <w:r w:rsidRPr="00883812">
              <w:rPr>
                <w:spacing w:val="-2"/>
                <w:sz w:val="20"/>
              </w:rPr>
              <w:t>nicity</w:t>
            </w:r>
            <w:proofErr w:type="spellEnd"/>
          </w:p>
          <w:p w14:paraId="7F17336A" w14:textId="77777777" w:rsidR="00226B3B" w:rsidRPr="00883812" w:rsidRDefault="00226B3B" w:rsidP="004577D7">
            <w:pPr>
              <w:jc w:val="center"/>
              <w:rPr>
                <w:sz w:val="20"/>
              </w:rPr>
            </w:pPr>
            <w:r w:rsidRPr="00883812">
              <w:rPr>
                <w:sz w:val="20"/>
              </w:rPr>
              <w:t>Day</w:t>
            </w:r>
            <w:r w:rsidRPr="00883812">
              <w:rPr>
                <w:spacing w:val="-3"/>
                <w:sz w:val="20"/>
              </w:rPr>
              <w:t xml:space="preserve"> </w:t>
            </w:r>
            <w:r w:rsidRPr="00883812">
              <w:rPr>
                <w:spacing w:val="-4"/>
                <w:sz w:val="20"/>
              </w:rPr>
              <w:t>546:</w:t>
            </w:r>
          </w:p>
          <w:p w14:paraId="381C68D0" w14:textId="77777777" w:rsidR="00226B3B" w:rsidRPr="00883812" w:rsidRDefault="00226B3B" w:rsidP="004577D7">
            <w:pPr>
              <w:jc w:val="center"/>
              <w:rPr>
                <w:sz w:val="20"/>
              </w:rPr>
            </w:pPr>
            <w:r w:rsidRPr="00883812">
              <w:rPr>
                <w:spacing w:val="-2"/>
                <w:sz w:val="20"/>
              </w:rPr>
              <w:t>safety</w:t>
            </w:r>
          </w:p>
        </w:tc>
      </w:tr>
      <w:tr w:rsidR="00226B3B" w:rsidRPr="00883812" w14:paraId="774A5AC5" w14:textId="77777777" w:rsidTr="00883812">
        <w:trPr>
          <w:gridBefore w:val="1"/>
          <w:wBefore w:w="158" w:type="dxa"/>
          <w:trHeight w:val="3445"/>
        </w:trPr>
        <w:tc>
          <w:tcPr>
            <w:tcW w:w="960" w:type="dxa"/>
            <w:shd w:val="clear" w:color="auto" w:fill="DEEAF6"/>
          </w:tcPr>
          <w:p w14:paraId="1FAED3F5" w14:textId="77777777" w:rsidR="00226B3B" w:rsidRPr="00883812" w:rsidRDefault="00226B3B" w:rsidP="00883812">
            <w:pPr>
              <w:pStyle w:val="TableParagraph"/>
              <w:spacing w:before="0"/>
              <w:ind w:left="162" w:right="126"/>
              <w:rPr>
                <w:b/>
                <w:sz w:val="20"/>
                <w:szCs w:val="20"/>
              </w:rPr>
            </w:pPr>
            <w:r w:rsidRPr="00883812">
              <w:rPr>
                <w:b/>
                <w:spacing w:val="-2"/>
                <w:sz w:val="20"/>
                <w:szCs w:val="20"/>
              </w:rPr>
              <w:t>Study V89_04</w:t>
            </w:r>
          </w:p>
        </w:tc>
        <w:tc>
          <w:tcPr>
            <w:tcW w:w="2410" w:type="dxa"/>
            <w:gridSpan w:val="3"/>
          </w:tcPr>
          <w:p w14:paraId="1106239E" w14:textId="77777777" w:rsidR="00226B3B" w:rsidRPr="00883812" w:rsidRDefault="00226B3B" w:rsidP="00883812">
            <w:pPr>
              <w:ind w:left="155"/>
              <w:rPr>
                <w:sz w:val="20"/>
              </w:rPr>
            </w:pPr>
            <w:r w:rsidRPr="00883812">
              <w:rPr>
                <w:sz w:val="20"/>
              </w:rPr>
              <w:t xml:space="preserve">Phase II, Randomized, </w:t>
            </w:r>
            <w:r w:rsidRPr="00883812">
              <w:rPr>
                <w:spacing w:val="-2"/>
                <w:sz w:val="20"/>
              </w:rPr>
              <w:t xml:space="preserve">Observer-Blind, </w:t>
            </w:r>
            <w:proofErr w:type="spellStart"/>
            <w:r w:rsidRPr="00883812">
              <w:rPr>
                <w:sz w:val="20"/>
              </w:rPr>
              <w:t>Multicenter</w:t>
            </w:r>
            <w:proofErr w:type="spellEnd"/>
            <w:r w:rsidRPr="00883812">
              <w:rPr>
                <w:sz w:val="20"/>
              </w:rPr>
              <w:t>, Study to Evaluate Safety, Tolerability and Immunogenicity of an Adjuvanted Cell Culture-Derived H5N1 Subunit</w:t>
            </w:r>
            <w:r w:rsidRPr="00883812">
              <w:rPr>
                <w:spacing w:val="-12"/>
                <w:sz w:val="20"/>
              </w:rPr>
              <w:t xml:space="preserve"> </w:t>
            </w:r>
            <w:r w:rsidRPr="00883812">
              <w:rPr>
                <w:sz w:val="20"/>
              </w:rPr>
              <w:t>Influenza</w:t>
            </w:r>
            <w:r w:rsidRPr="00883812">
              <w:rPr>
                <w:spacing w:val="-12"/>
                <w:sz w:val="20"/>
              </w:rPr>
              <w:t xml:space="preserve"> </w:t>
            </w:r>
            <w:r w:rsidRPr="00883812">
              <w:rPr>
                <w:sz w:val="20"/>
              </w:rPr>
              <w:t xml:space="preserve">Virus Vaccine at Two Different Formulations in Healthy Adult </w:t>
            </w:r>
            <w:r w:rsidRPr="00883812">
              <w:rPr>
                <w:spacing w:val="-2"/>
                <w:sz w:val="20"/>
              </w:rPr>
              <w:t>Subjects.</w:t>
            </w:r>
          </w:p>
        </w:tc>
        <w:tc>
          <w:tcPr>
            <w:tcW w:w="1416" w:type="dxa"/>
            <w:gridSpan w:val="2"/>
          </w:tcPr>
          <w:p w14:paraId="33910E0F" w14:textId="77777777" w:rsidR="00226B3B" w:rsidRPr="00883812" w:rsidRDefault="00226B3B" w:rsidP="00883812">
            <w:pPr>
              <w:ind w:left="157"/>
              <w:rPr>
                <w:sz w:val="20"/>
              </w:rPr>
            </w:pPr>
            <w:r w:rsidRPr="00883812">
              <w:rPr>
                <w:sz w:val="20"/>
              </w:rPr>
              <w:t xml:space="preserve">Phase 2 </w:t>
            </w:r>
            <w:r w:rsidRPr="00883812">
              <w:rPr>
                <w:spacing w:val="-2"/>
                <w:sz w:val="20"/>
              </w:rPr>
              <w:t>Randomised, observer-blind,</w:t>
            </w:r>
          </w:p>
          <w:p w14:paraId="5ED52EFD" w14:textId="77777777" w:rsidR="00226B3B" w:rsidRPr="00883812" w:rsidRDefault="00226B3B" w:rsidP="00883812">
            <w:pPr>
              <w:ind w:left="157"/>
              <w:rPr>
                <w:sz w:val="20"/>
              </w:rPr>
            </w:pPr>
            <w:r w:rsidRPr="00883812">
              <w:rPr>
                <w:sz w:val="20"/>
              </w:rPr>
              <w:t xml:space="preserve">2 doses </w:t>
            </w:r>
            <w:r w:rsidRPr="00883812">
              <w:rPr>
                <w:spacing w:val="-2"/>
                <w:sz w:val="20"/>
              </w:rPr>
              <w:t>Healthy adults,</w:t>
            </w:r>
            <w:r w:rsidRPr="00883812">
              <w:rPr>
                <w:spacing w:val="80"/>
                <w:sz w:val="20"/>
              </w:rPr>
              <w:t xml:space="preserve"> </w:t>
            </w:r>
            <w:r w:rsidRPr="00883812">
              <w:rPr>
                <w:sz w:val="20"/>
              </w:rPr>
              <w:t>18</w:t>
            </w:r>
            <w:r w:rsidRPr="00883812">
              <w:rPr>
                <w:spacing w:val="-12"/>
                <w:sz w:val="20"/>
              </w:rPr>
              <w:t xml:space="preserve"> </w:t>
            </w:r>
            <w:r w:rsidRPr="00883812">
              <w:rPr>
                <w:sz w:val="20"/>
              </w:rPr>
              <w:t>to</w:t>
            </w:r>
            <w:r w:rsidRPr="00883812">
              <w:rPr>
                <w:spacing w:val="-12"/>
                <w:sz w:val="20"/>
              </w:rPr>
              <w:t xml:space="preserve"> </w:t>
            </w:r>
            <w:r w:rsidRPr="00883812">
              <w:rPr>
                <w:sz w:val="20"/>
              </w:rPr>
              <w:t>&lt;65</w:t>
            </w:r>
          </w:p>
          <w:p w14:paraId="33787C13" w14:textId="77777777" w:rsidR="00226B3B" w:rsidRPr="00883812" w:rsidRDefault="00226B3B" w:rsidP="00883812">
            <w:pPr>
              <w:ind w:left="157"/>
              <w:rPr>
                <w:sz w:val="20"/>
              </w:rPr>
            </w:pPr>
            <w:r w:rsidRPr="00883812">
              <w:rPr>
                <w:spacing w:val="-2"/>
                <w:sz w:val="20"/>
              </w:rPr>
              <w:t>years</w:t>
            </w:r>
          </w:p>
        </w:tc>
        <w:tc>
          <w:tcPr>
            <w:tcW w:w="2144" w:type="dxa"/>
          </w:tcPr>
          <w:p w14:paraId="303CA86A" w14:textId="77777777" w:rsidR="00226B3B" w:rsidRPr="00883812" w:rsidRDefault="00226B3B" w:rsidP="00883812">
            <w:pPr>
              <w:ind w:left="157"/>
              <w:rPr>
                <w:sz w:val="20"/>
              </w:rPr>
            </w:pPr>
            <w:r w:rsidRPr="00883812">
              <w:rPr>
                <w:sz w:val="20"/>
              </w:rPr>
              <w:t xml:space="preserve">MF59 adjuvanted cell culture-derived subunit inactivated monovalent, </w:t>
            </w:r>
            <w:r w:rsidRPr="00883812">
              <w:rPr>
                <w:spacing w:val="-2"/>
                <w:sz w:val="20"/>
              </w:rPr>
              <w:t xml:space="preserve">A/turkey/Turkey/1/200 </w:t>
            </w:r>
            <w:r w:rsidRPr="00883812">
              <w:rPr>
                <w:sz w:val="20"/>
              </w:rPr>
              <w:t>5 (H5N1) strain vaccine (formulated</w:t>
            </w:r>
            <w:r w:rsidRPr="00883812">
              <w:rPr>
                <w:spacing w:val="-5"/>
                <w:sz w:val="20"/>
              </w:rPr>
              <w:t xml:space="preserve"> </w:t>
            </w:r>
            <w:r w:rsidRPr="00883812">
              <w:rPr>
                <w:sz w:val="20"/>
              </w:rPr>
              <w:t>as</w:t>
            </w:r>
            <w:r w:rsidRPr="00883812">
              <w:rPr>
                <w:spacing w:val="-7"/>
                <w:sz w:val="20"/>
              </w:rPr>
              <w:t xml:space="preserve"> </w:t>
            </w:r>
            <w:r w:rsidRPr="00883812">
              <w:rPr>
                <w:sz w:val="20"/>
              </w:rPr>
              <w:t>7.5</w:t>
            </w:r>
            <w:r w:rsidRPr="00883812">
              <w:rPr>
                <w:spacing w:val="-4"/>
                <w:sz w:val="20"/>
              </w:rPr>
              <w:t xml:space="preserve"> </w:t>
            </w:r>
            <w:r w:rsidRPr="00883812">
              <w:rPr>
                <w:sz w:val="20"/>
              </w:rPr>
              <w:t>μg</w:t>
            </w:r>
            <w:r w:rsidRPr="00883812">
              <w:rPr>
                <w:spacing w:val="-4"/>
                <w:sz w:val="20"/>
              </w:rPr>
              <w:t xml:space="preserve"> </w:t>
            </w:r>
            <w:r w:rsidRPr="00883812">
              <w:rPr>
                <w:sz w:val="20"/>
              </w:rPr>
              <w:t xml:space="preserve">HA of H5N1 with 0.25 mL MF59 or 3.75 μg HA of H5N1 with 0.125 mL </w:t>
            </w:r>
            <w:r w:rsidRPr="00883812">
              <w:rPr>
                <w:spacing w:val="-4"/>
                <w:sz w:val="20"/>
              </w:rPr>
              <w:t>MF59)</w:t>
            </w:r>
          </w:p>
          <w:p w14:paraId="2215B73D" w14:textId="77777777" w:rsidR="00226B3B" w:rsidRPr="00883812" w:rsidRDefault="00226B3B" w:rsidP="00883812">
            <w:pPr>
              <w:ind w:left="157"/>
              <w:rPr>
                <w:sz w:val="20"/>
              </w:rPr>
            </w:pPr>
            <w:r w:rsidRPr="00883812">
              <w:rPr>
                <w:sz w:val="20"/>
              </w:rPr>
              <w:t>0.5</w:t>
            </w:r>
            <w:r w:rsidRPr="00883812">
              <w:rPr>
                <w:spacing w:val="-2"/>
                <w:sz w:val="20"/>
              </w:rPr>
              <w:t xml:space="preserve"> </w:t>
            </w:r>
            <w:r w:rsidRPr="00883812">
              <w:rPr>
                <w:sz w:val="20"/>
              </w:rPr>
              <w:t>mL</w:t>
            </w:r>
            <w:r w:rsidRPr="00883812">
              <w:rPr>
                <w:spacing w:val="-4"/>
                <w:sz w:val="20"/>
              </w:rPr>
              <w:t xml:space="preserve"> </w:t>
            </w:r>
            <w:r w:rsidRPr="00883812">
              <w:rPr>
                <w:sz w:val="20"/>
              </w:rPr>
              <w:t>or</w:t>
            </w:r>
            <w:r w:rsidRPr="00883812">
              <w:rPr>
                <w:spacing w:val="-3"/>
                <w:sz w:val="20"/>
              </w:rPr>
              <w:t xml:space="preserve"> </w:t>
            </w:r>
            <w:r w:rsidRPr="00883812">
              <w:rPr>
                <w:sz w:val="20"/>
              </w:rPr>
              <w:t>0.25</w:t>
            </w:r>
            <w:r w:rsidRPr="00883812">
              <w:rPr>
                <w:spacing w:val="-2"/>
                <w:sz w:val="20"/>
              </w:rPr>
              <w:t xml:space="preserve"> </w:t>
            </w:r>
            <w:r w:rsidRPr="00883812">
              <w:rPr>
                <w:sz w:val="20"/>
              </w:rPr>
              <w:t>mL</w:t>
            </w:r>
            <w:r w:rsidRPr="00883812">
              <w:rPr>
                <w:spacing w:val="-3"/>
                <w:sz w:val="20"/>
              </w:rPr>
              <w:t xml:space="preserve"> </w:t>
            </w:r>
            <w:r w:rsidRPr="00883812">
              <w:rPr>
                <w:spacing w:val="-5"/>
                <w:sz w:val="20"/>
              </w:rPr>
              <w:t>IM</w:t>
            </w:r>
          </w:p>
          <w:p w14:paraId="362352A3" w14:textId="77777777" w:rsidR="00226B3B" w:rsidRPr="00883812" w:rsidRDefault="00226B3B" w:rsidP="00883812">
            <w:pPr>
              <w:ind w:left="157"/>
              <w:rPr>
                <w:sz w:val="20"/>
              </w:rPr>
            </w:pPr>
            <w:r w:rsidRPr="00883812">
              <w:rPr>
                <w:spacing w:val="-2"/>
                <w:sz w:val="20"/>
              </w:rPr>
              <w:t>injection</w:t>
            </w:r>
          </w:p>
          <w:p w14:paraId="042608E4" w14:textId="77777777" w:rsidR="00226B3B" w:rsidRPr="00883812" w:rsidRDefault="00226B3B" w:rsidP="00883812">
            <w:pPr>
              <w:ind w:left="157"/>
              <w:rPr>
                <w:sz w:val="20"/>
              </w:rPr>
            </w:pPr>
            <w:r w:rsidRPr="00883812">
              <w:rPr>
                <w:sz w:val="20"/>
              </w:rPr>
              <w:t>Two</w:t>
            </w:r>
            <w:r w:rsidRPr="00883812">
              <w:rPr>
                <w:spacing w:val="-12"/>
                <w:sz w:val="20"/>
              </w:rPr>
              <w:t xml:space="preserve"> </w:t>
            </w:r>
            <w:r w:rsidRPr="00883812">
              <w:rPr>
                <w:sz w:val="20"/>
              </w:rPr>
              <w:t>vaccinations</w:t>
            </w:r>
            <w:r w:rsidRPr="00883812">
              <w:rPr>
                <w:spacing w:val="-12"/>
                <w:sz w:val="20"/>
              </w:rPr>
              <w:t xml:space="preserve"> </w:t>
            </w:r>
            <w:r w:rsidRPr="00883812">
              <w:rPr>
                <w:sz w:val="20"/>
              </w:rPr>
              <w:t>3 weeks apart</w:t>
            </w:r>
          </w:p>
        </w:tc>
        <w:tc>
          <w:tcPr>
            <w:tcW w:w="1134" w:type="dxa"/>
            <w:gridSpan w:val="2"/>
          </w:tcPr>
          <w:p w14:paraId="422FC5DB" w14:textId="77777777" w:rsidR="00226B3B" w:rsidRPr="00883812" w:rsidRDefault="00226B3B" w:rsidP="004577D7">
            <w:pPr>
              <w:jc w:val="center"/>
              <w:rPr>
                <w:sz w:val="20"/>
              </w:rPr>
            </w:pPr>
            <w:r w:rsidRPr="00883812">
              <w:rPr>
                <w:spacing w:val="-5"/>
                <w:sz w:val="20"/>
              </w:rPr>
              <w:t>979</w:t>
            </w:r>
          </w:p>
        </w:tc>
        <w:tc>
          <w:tcPr>
            <w:tcW w:w="1134" w:type="dxa"/>
          </w:tcPr>
          <w:p w14:paraId="3DC630C9" w14:textId="77777777" w:rsidR="00226B3B" w:rsidRPr="00883812" w:rsidRDefault="00226B3B" w:rsidP="004577D7">
            <w:pPr>
              <w:jc w:val="center"/>
              <w:rPr>
                <w:sz w:val="20"/>
              </w:rPr>
            </w:pPr>
            <w:r w:rsidRPr="00883812">
              <w:rPr>
                <w:sz w:val="20"/>
              </w:rPr>
              <w:t>Day</w:t>
            </w:r>
            <w:r w:rsidRPr="00883812">
              <w:rPr>
                <w:spacing w:val="-5"/>
                <w:sz w:val="20"/>
              </w:rPr>
              <w:t xml:space="preserve"> 387</w:t>
            </w:r>
          </w:p>
        </w:tc>
      </w:tr>
      <w:tr w:rsidR="00226B3B" w:rsidRPr="00883812" w14:paraId="1F79FC98" w14:textId="77777777" w:rsidTr="00883812">
        <w:trPr>
          <w:gridBefore w:val="1"/>
          <w:wBefore w:w="158" w:type="dxa"/>
          <w:trHeight w:val="3201"/>
        </w:trPr>
        <w:tc>
          <w:tcPr>
            <w:tcW w:w="960" w:type="dxa"/>
            <w:shd w:val="clear" w:color="auto" w:fill="DEEAF6"/>
          </w:tcPr>
          <w:p w14:paraId="7A8929E7" w14:textId="77777777" w:rsidR="00226B3B" w:rsidRPr="00883812" w:rsidRDefault="00226B3B" w:rsidP="00883812">
            <w:pPr>
              <w:pStyle w:val="TableParagraph"/>
              <w:spacing w:before="2"/>
              <w:ind w:left="162" w:right="126"/>
              <w:rPr>
                <w:b/>
                <w:sz w:val="20"/>
                <w:szCs w:val="20"/>
              </w:rPr>
            </w:pPr>
            <w:r w:rsidRPr="00883812">
              <w:rPr>
                <w:b/>
                <w:spacing w:val="-2"/>
                <w:sz w:val="20"/>
                <w:szCs w:val="20"/>
              </w:rPr>
              <w:lastRenderedPageBreak/>
              <w:t>Study V89_13</w:t>
            </w:r>
          </w:p>
        </w:tc>
        <w:tc>
          <w:tcPr>
            <w:tcW w:w="2410" w:type="dxa"/>
            <w:gridSpan w:val="3"/>
          </w:tcPr>
          <w:p w14:paraId="7B198A4F" w14:textId="77777777" w:rsidR="00226B3B" w:rsidRPr="00883812" w:rsidRDefault="00226B3B" w:rsidP="00883812">
            <w:pPr>
              <w:ind w:left="162"/>
              <w:rPr>
                <w:sz w:val="20"/>
              </w:rPr>
            </w:pPr>
            <w:r w:rsidRPr="00883812">
              <w:rPr>
                <w:sz w:val="20"/>
              </w:rPr>
              <w:t>A</w:t>
            </w:r>
            <w:r w:rsidRPr="00883812">
              <w:rPr>
                <w:spacing w:val="-12"/>
                <w:sz w:val="20"/>
              </w:rPr>
              <w:t xml:space="preserve"> </w:t>
            </w:r>
            <w:r w:rsidRPr="00883812">
              <w:rPr>
                <w:sz w:val="20"/>
              </w:rPr>
              <w:t>Phase</w:t>
            </w:r>
            <w:r w:rsidRPr="00883812">
              <w:rPr>
                <w:spacing w:val="-12"/>
                <w:sz w:val="20"/>
              </w:rPr>
              <w:t xml:space="preserve"> </w:t>
            </w:r>
            <w:r w:rsidRPr="00883812">
              <w:rPr>
                <w:sz w:val="20"/>
              </w:rPr>
              <w:t>II,</w:t>
            </w:r>
            <w:r w:rsidRPr="00883812">
              <w:rPr>
                <w:spacing w:val="-11"/>
                <w:sz w:val="20"/>
              </w:rPr>
              <w:t xml:space="preserve"> </w:t>
            </w:r>
            <w:r w:rsidRPr="00883812">
              <w:rPr>
                <w:sz w:val="20"/>
              </w:rPr>
              <w:t xml:space="preserve">Randomized, </w:t>
            </w:r>
            <w:r w:rsidRPr="00883812">
              <w:rPr>
                <w:spacing w:val="-2"/>
                <w:sz w:val="20"/>
              </w:rPr>
              <w:t xml:space="preserve">Observer-Blind, </w:t>
            </w:r>
            <w:proofErr w:type="spellStart"/>
            <w:r w:rsidRPr="00883812">
              <w:rPr>
                <w:sz w:val="20"/>
              </w:rPr>
              <w:t>Multicenter</w:t>
            </w:r>
            <w:proofErr w:type="spellEnd"/>
            <w:r w:rsidRPr="00883812">
              <w:rPr>
                <w:sz w:val="20"/>
              </w:rPr>
              <w:t>, Study to Evaluate Safety, Tolerability and Immunogenicity of an Adjuvanted Cell</w:t>
            </w:r>
          </w:p>
          <w:p w14:paraId="1DDC0198" w14:textId="77777777" w:rsidR="00226B3B" w:rsidRPr="00883812" w:rsidRDefault="00226B3B" w:rsidP="00883812">
            <w:pPr>
              <w:ind w:left="162"/>
              <w:rPr>
                <w:sz w:val="20"/>
              </w:rPr>
            </w:pPr>
            <w:r w:rsidRPr="00883812">
              <w:rPr>
                <w:sz w:val="20"/>
              </w:rPr>
              <w:t>Culture-Derived H5N1 Subunit</w:t>
            </w:r>
            <w:r w:rsidRPr="00883812">
              <w:rPr>
                <w:spacing w:val="-12"/>
                <w:sz w:val="20"/>
              </w:rPr>
              <w:t xml:space="preserve"> </w:t>
            </w:r>
            <w:r w:rsidRPr="00883812">
              <w:rPr>
                <w:sz w:val="20"/>
              </w:rPr>
              <w:t>Influenza</w:t>
            </w:r>
            <w:r w:rsidRPr="00883812">
              <w:rPr>
                <w:spacing w:val="-12"/>
                <w:sz w:val="20"/>
              </w:rPr>
              <w:t xml:space="preserve"> </w:t>
            </w:r>
            <w:r w:rsidRPr="00883812">
              <w:rPr>
                <w:sz w:val="20"/>
              </w:rPr>
              <w:t>Virus Vaccine at Two Different Formulations</w:t>
            </w:r>
          </w:p>
          <w:p w14:paraId="1C35F8AA" w14:textId="77777777" w:rsidR="00226B3B" w:rsidRPr="00883812" w:rsidRDefault="00226B3B" w:rsidP="00883812">
            <w:pPr>
              <w:ind w:left="162"/>
              <w:rPr>
                <w:sz w:val="20"/>
              </w:rPr>
            </w:pPr>
            <w:r w:rsidRPr="00883812">
              <w:rPr>
                <w:sz w:val="20"/>
              </w:rPr>
              <w:t>in</w:t>
            </w:r>
            <w:r w:rsidRPr="00883812">
              <w:rPr>
                <w:spacing w:val="-12"/>
                <w:sz w:val="20"/>
              </w:rPr>
              <w:t xml:space="preserve"> </w:t>
            </w:r>
            <w:r w:rsidRPr="00883812">
              <w:rPr>
                <w:sz w:val="20"/>
              </w:rPr>
              <w:t>Healthy</w:t>
            </w:r>
            <w:r w:rsidRPr="00883812">
              <w:rPr>
                <w:spacing w:val="-12"/>
                <w:sz w:val="20"/>
              </w:rPr>
              <w:t xml:space="preserve"> </w:t>
            </w:r>
            <w:r w:rsidRPr="00883812">
              <w:rPr>
                <w:sz w:val="20"/>
              </w:rPr>
              <w:t xml:space="preserve">Elderly </w:t>
            </w:r>
            <w:r w:rsidRPr="00883812">
              <w:rPr>
                <w:spacing w:val="-2"/>
                <w:sz w:val="20"/>
              </w:rPr>
              <w:t>Subjects.</w:t>
            </w:r>
          </w:p>
        </w:tc>
        <w:tc>
          <w:tcPr>
            <w:tcW w:w="1416" w:type="dxa"/>
            <w:gridSpan w:val="2"/>
          </w:tcPr>
          <w:p w14:paraId="5D91606E" w14:textId="77777777" w:rsidR="00226B3B" w:rsidRPr="00883812" w:rsidRDefault="00226B3B" w:rsidP="00695EAA">
            <w:pPr>
              <w:rPr>
                <w:sz w:val="20"/>
              </w:rPr>
            </w:pPr>
            <w:r w:rsidRPr="00883812">
              <w:rPr>
                <w:sz w:val="20"/>
              </w:rPr>
              <w:t xml:space="preserve">Phase 2 </w:t>
            </w:r>
            <w:r w:rsidRPr="00883812">
              <w:rPr>
                <w:spacing w:val="-2"/>
                <w:sz w:val="20"/>
              </w:rPr>
              <w:t>Randomised, observer-blind,</w:t>
            </w:r>
          </w:p>
          <w:p w14:paraId="2D2D5186" w14:textId="77777777" w:rsidR="00226B3B" w:rsidRPr="00883812" w:rsidRDefault="00226B3B" w:rsidP="00695EAA">
            <w:pPr>
              <w:rPr>
                <w:sz w:val="20"/>
              </w:rPr>
            </w:pPr>
            <w:r w:rsidRPr="00883812">
              <w:rPr>
                <w:sz w:val="20"/>
              </w:rPr>
              <w:t xml:space="preserve">2 doses </w:t>
            </w:r>
            <w:r w:rsidRPr="00883812">
              <w:rPr>
                <w:spacing w:val="-2"/>
                <w:sz w:val="20"/>
              </w:rPr>
              <w:t xml:space="preserve">Healthy </w:t>
            </w:r>
            <w:r w:rsidRPr="00883812">
              <w:rPr>
                <w:sz w:val="20"/>
              </w:rPr>
              <w:t>adults</w:t>
            </w:r>
            <w:r w:rsidRPr="00883812">
              <w:rPr>
                <w:spacing w:val="-12"/>
                <w:sz w:val="20"/>
              </w:rPr>
              <w:t xml:space="preserve"> </w:t>
            </w:r>
            <w:r w:rsidRPr="00883812">
              <w:rPr>
                <w:sz w:val="20"/>
              </w:rPr>
              <w:t xml:space="preserve">≥65 </w:t>
            </w:r>
            <w:r w:rsidRPr="00883812">
              <w:rPr>
                <w:spacing w:val="-2"/>
                <w:sz w:val="20"/>
              </w:rPr>
              <w:t>years</w:t>
            </w:r>
          </w:p>
        </w:tc>
        <w:tc>
          <w:tcPr>
            <w:tcW w:w="2144" w:type="dxa"/>
          </w:tcPr>
          <w:p w14:paraId="3E9D5B4B" w14:textId="77777777" w:rsidR="00226B3B" w:rsidRPr="00883812" w:rsidRDefault="00226B3B" w:rsidP="00695EAA">
            <w:pPr>
              <w:rPr>
                <w:sz w:val="20"/>
              </w:rPr>
            </w:pPr>
            <w:r w:rsidRPr="00883812">
              <w:rPr>
                <w:sz w:val="20"/>
              </w:rPr>
              <w:t xml:space="preserve">MF59 adjuvanted cell culture-derived subunit inactivated monovalent, </w:t>
            </w:r>
            <w:r w:rsidRPr="00883812">
              <w:rPr>
                <w:spacing w:val="-2"/>
                <w:sz w:val="20"/>
              </w:rPr>
              <w:t xml:space="preserve">A/turkey/Turkey/1/200 </w:t>
            </w:r>
            <w:r w:rsidRPr="00883812">
              <w:rPr>
                <w:sz w:val="20"/>
              </w:rPr>
              <w:t>5 (H5N1) strain vaccine (formulated</w:t>
            </w:r>
            <w:r w:rsidRPr="00883812">
              <w:rPr>
                <w:spacing w:val="-5"/>
                <w:sz w:val="20"/>
              </w:rPr>
              <w:t xml:space="preserve"> </w:t>
            </w:r>
            <w:r w:rsidRPr="00883812">
              <w:rPr>
                <w:sz w:val="20"/>
              </w:rPr>
              <w:t>as</w:t>
            </w:r>
            <w:r w:rsidRPr="00883812">
              <w:rPr>
                <w:spacing w:val="-7"/>
                <w:sz w:val="20"/>
              </w:rPr>
              <w:t xml:space="preserve"> </w:t>
            </w:r>
            <w:r w:rsidRPr="00883812">
              <w:rPr>
                <w:sz w:val="20"/>
              </w:rPr>
              <w:t>7.5</w:t>
            </w:r>
            <w:r w:rsidRPr="00883812">
              <w:rPr>
                <w:spacing w:val="-4"/>
                <w:sz w:val="20"/>
              </w:rPr>
              <w:t xml:space="preserve"> </w:t>
            </w:r>
            <w:r w:rsidRPr="00883812">
              <w:rPr>
                <w:sz w:val="20"/>
              </w:rPr>
              <w:t>μg</w:t>
            </w:r>
            <w:r w:rsidRPr="00883812">
              <w:rPr>
                <w:spacing w:val="-4"/>
                <w:sz w:val="20"/>
              </w:rPr>
              <w:t xml:space="preserve"> </w:t>
            </w:r>
            <w:r w:rsidRPr="00883812">
              <w:rPr>
                <w:sz w:val="20"/>
              </w:rPr>
              <w:t xml:space="preserve">HA of H5N1 with 0.25 mL MF59 or 3.75 μg HA of H5N1 with 0.125 mL </w:t>
            </w:r>
            <w:r w:rsidRPr="00883812">
              <w:rPr>
                <w:spacing w:val="-4"/>
                <w:sz w:val="20"/>
              </w:rPr>
              <w:t>MF59)</w:t>
            </w:r>
          </w:p>
        </w:tc>
        <w:tc>
          <w:tcPr>
            <w:tcW w:w="1134" w:type="dxa"/>
            <w:gridSpan w:val="2"/>
          </w:tcPr>
          <w:p w14:paraId="35C42F61" w14:textId="77777777" w:rsidR="00226B3B" w:rsidRPr="00883812" w:rsidRDefault="00226B3B" w:rsidP="004577D7">
            <w:pPr>
              <w:jc w:val="center"/>
              <w:rPr>
                <w:sz w:val="20"/>
              </w:rPr>
            </w:pPr>
            <w:r w:rsidRPr="00883812">
              <w:rPr>
                <w:spacing w:val="-4"/>
                <w:sz w:val="20"/>
              </w:rPr>
              <w:t>1393</w:t>
            </w:r>
          </w:p>
        </w:tc>
        <w:tc>
          <w:tcPr>
            <w:tcW w:w="1134" w:type="dxa"/>
          </w:tcPr>
          <w:p w14:paraId="425A5BA1" w14:textId="77777777" w:rsidR="00226B3B" w:rsidRPr="00883812" w:rsidRDefault="00226B3B" w:rsidP="004577D7">
            <w:pPr>
              <w:jc w:val="center"/>
              <w:rPr>
                <w:sz w:val="20"/>
              </w:rPr>
            </w:pPr>
            <w:r w:rsidRPr="00883812">
              <w:rPr>
                <w:sz w:val="20"/>
              </w:rPr>
              <w:t>Day</w:t>
            </w:r>
            <w:r w:rsidRPr="00883812">
              <w:rPr>
                <w:spacing w:val="-5"/>
                <w:sz w:val="20"/>
              </w:rPr>
              <w:t xml:space="preserve"> 387</w:t>
            </w:r>
          </w:p>
        </w:tc>
      </w:tr>
    </w:tbl>
    <w:p w14:paraId="59DDDA7A" w14:textId="5A18556A" w:rsidR="007E4090" w:rsidRDefault="007E4090" w:rsidP="007E4090">
      <w:pPr>
        <w:rPr>
          <w:lang w:val="en-US"/>
        </w:rPr>
      </w:pPr>
      <w:r w:rsidRPr="007E4090">
        <w:rPr>
          <w:lang w:val="en-US"/>
        </w:rPr>
        <w:t xml:space="preserve">The following criteria were used for the evaluation of immunogenicity in the included studies (Table </w:t>
      </w:r>
      <w:r>
        <w:rPr>
          <w:lang w:val="en-US"/>
        </w:rPr>
        <w:t>4</w:t>
      </w:r>
      <w:r w:rsidRPr="007E4090">
        <w:rPr>
          <w:lang w:val="en-US"/>
        </w:rPr>
        <w:t>).</w:t>
      </w:r>
    </w:p>
    <w:p w14:paraId="0A105EEC" w14:textId="10023A8F" w:rsidR="00E72E9D" w:rsidRPr="00E72E9D" w:rsidRDefault="00E72E9D" w:rsidP="00E72E9D">
      <w:pPr>
        <w:pStyle w:val="TableTitle"/>
        <w:rPr>
          <w:lang w:val="en-US"/>
        </w:rPr>
      </w:pPr>
      <w:r w:rsidRPr="00E72E9D">
        <w:rPr>
          <w:lang w:val="en-US"/>
        </w:rPr>
        <w:t xml:space="preserve">Table </w:t>
      </w:r>
      <w:r w:rsidR="0092624B">
        <w:rPr>
          <w:lang w:val="en-US"/>
        </w:rPr>
        <w:t>4</w:t>
      </w:r>
      <w:r w:rsidRPr="00E72E9D">
        <w:rPr>
          <w:lang w:val="en-US"/>
        </w:rPr>
        <w:t xml:space="preserve">. CBER and </w:t>
      </w:r>
      <w:proofErr w:type="spellStart"/>
      <w:r w:rsidRPr="00E72E9D">
        <w:rPr>
          <w:lang w:val="en-US"/>
        </w:rPr>
        <w:t>Former</w:t>
      </w:r>
      <w:r w:rsidRPr="0092624B">
        <w:rPr>
          <w:vertAlign w:val="superscript"/>
          <w:lang w:val="en-US"/>
        </w:rPr>
        <w:t>a</w:t>
      </w:r>
      <w:proofErr w:type="spellEnd"/>
      <w:r w:rsidRPr="00E72E9D">
        <w:rPr>
          <w:lang w:val="en-US"/>
        </w:rPr>
        <w:t xml:space="preserve"> CHMP Criteria for the evaluation of immunogenicity of Influenza Vaccines.</w:t>
      </w:r>
    </w:p>
    <w:p w14:paraId="3D3F6C34" w14:textId="2EBDB7BF" w:rsidR="00B649DE" w:rsidRDefault="00C57C01" w:rsidP="00AF2869">
      <w:r w:rsidRPr="00C57C01">
        <w:rPr>
          <w:noProof/>
        </w:rPr>
        <w:drawing>
          <wp:inline distT="0" distB="0" distL="0" distR="0" wp14:anchorId="3F3EE5FD" wp14:editId="3FE00FE3">
            <wp:extent cx="5759450" cy="3698240"/>
            <wp:effectExtent l="0" t="0" r="0" b="0"/>
            <wp:docPr id="187247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77435" name=""/>
                    <pic:cNvPicPr/>
                  </pic:nvPicPr>
                  <pic:blipFill>
                    <a:blip r:embed="rId19"/>
                    <a:stretch>
                      <a:fillRect/>
                    </a:stretch>
                  </pic:blipFill>
                  <pic:spPr>
                    <a:xfrm>
                      <a:off x="0" y="0"/>
                      <a:ext cx="5759450" cy="3698240"/>
                    </a:xfrm>
                    <a:prstGeom prst="rect">
                      <a:avLst/>
                    </a:prstGeom>
                  </pic:spPr>
                </pic:pic>
              </a:graphicData>
            </a:graphic>
          </wp:inline>
        </w:drawing>
      </w:r>
    </w:p>
    <w:p w14:paraId="2EEACEE9" w14:textId="77777777" w:rsidR="000B3E42" w:rsidRPr="000B3E42" w:rsidRDefault="000B3E42" w:rsidP="000B3E42">
      <w:pPr>
        <w:rPr>
          <w:b/>
          <w:bCs/>
          <w:i/>
          <w:iCs/>
          <w:lang w:val="en-US"/>
        </w:rPr>
      </w:pPr>
      <w:r w:rsidRPr="000B3E42">
        <w:rPr>
          <w:b/>
          <w:bCs/>
          <w:i/>
          <w:iCs/>
          <w:lang w:val="en-US"/>
        </w:rPr>
        <w:t>Study V89_18</w:t>
      </w:r>
    </w:p>
    <w:p w14:paraId="01109AA3" w14:textId="56EFFED9" w:rsidR="000B3E42" w:rsidRPr="000B3E42" w:rsidRDefault="000B3E42" w:rsidP="000B3E42">
      <w:pPr>
        <w:rPr>
          <w:lang w:val="en-US"/>
        </w:rPr>
      </w:pPr>
      <w:r w:rsidRPr="000B3E42">
        <w:rPr>
          <w:lang w:val="en-US"/>
        </w:rPr>
        <w:t xml:space="preserve">This was a Phase 3, </w:t>
      </w:r>
      <w:proofErr w:type="spellStart"/>
      <w:r w:rsidRPr="000B3E42">
        <w:rPr>
          <w:lang w:val="en-US"/>
        </w:rPr>
        <w:t>Randomised</w:t>
      </w:r>
      <w:proofErr w:type="spellEnd"/>
      <w:r w:rsidRPr="000B3E42">
        <w:rPr>
          <w:lang w:val="en-US"/>
        </w:rPr>
        <w:t xml:space="preserve">, Observer-Blind, </w:t>
      </w:r>
      <w:proofErr w:type="spellStart"/>
      <w:r w:rsidRPr="000B3E42">
        <w:rPr>
          <w:lang w:val="en-US"/>
        </w:rPr>
        <w:t>Multicentre</w:t>
      </w:r>
      <w:proofErr w:type="spellEnd"/>
      <w:r w:rsidRPr="000B3E42">
        <w:rPr>
          <w:lang w:val="en-US"/>
        </w:rPr>
        <w:t>, Placebo-controlled, lot-to-lot consistency stud</w:t>
      </w:r>
      <w:bookmarkStart w:id="47" w:name="_bookmark30"/>
      <w:bookmarkEnd w:id="47"/>
      <w:r w:rsidRPr="000B3E42">
        <w:rPr>
          <w:lang w:val="en-US"/>
        </w:rPr>
        <w:t>y.</w:t>
      </w:r>
      <w:bookmarkStart w:id="48" w:name="_Ref225860768"/>
      <w:r>
        <w:rPr>
          <w:rStyle w:val="FootnoteReference"/>
          <w:lang w:val="en-US"/>
        </w:rPr>
        <w:footnoteReference w:id="14"/>
      </w:r>
      <w:bookmarkEnd w:id="48"/>
      <w:r w:rsidRPr="000B3E42">
        <w:rPr>
          <w:lang w:val="en-US"/>
        </w:rPr>
        <w:t xml:space="preserve"> </w:t>
      </w:r>
    </w:p>
    <w:p w14:paraId="75091875" w14:textId="77777777" w:rsidR="000B3E42" w:rsidRPr="000B3E42" w:rsidRDefault="000B3E42" w:rsidP="000B3E42">
      <w:pPr>
        <w:rPr>
          <w:b/>
          <w:bCs/>
          <w:lang w:val="en-US"/>
        </w:rPr>
      </w:pPr>
      <w:r w:rsidRPr="000B3E42">
        <w:rPr>
          <w:b/>
          <w:bCs/>
          <w:lang w:val="en-US"/>
        </w:rPr>
        <w:t>Co-Primary Immunogenicity Objectives</w:t>
      </w:r>
    </w:p>
    <w:p w14:paraId="78FC3803" w14:textId="77777777" w:rsidR="000B3E42" w:rsidRPr="000B3E42" w:rsidRDefault="000B3E42" w:rsidP="000B3E42">
      <w:pPr>
        <w:rPr>
          <w:lang w:val="en-US"/>
        </w:rPr>
      </w:pPr>
      <w:r w:rsidRPr="000B3E42">
        <w:rPr>
          <w:lang w:val="en-US"/>
        </w:rPr>
        <w:t xml:space="preserve">To demonstrate lot-to-lot consistency across 3 consecutively produced lots of aH5N1c vaccine, as assessed by the ratio of geometric mean </w:t>
      </w:r>
      <w:proofErr w:type="spellStart"/>
      <w:r w:rsidRPr="000B3E42">
        <w:rPr>
          <w:lang w:val="en-US"/>
        </w:rPr>
        <w:t>titres</w:t>
      </w:r>
      <w:proofErr w:type="spellEnd"/>
      <w:r w:rsidRPr="000B3E42">
        <w:rPr>
          <w:lang w:val="en-US"/>
        </w:rPr>
        <w:t xml:space="preserve"> (GMTs) of hemagglutination inhibition (HI) </w:t>
      </w:r>
      <w:r w:rsidRPr="000B3E42">
        <w:rPr>
          <w:lang w:val="en-US"/>
        </w:rPr>
        <w:lastRenderedPageBreak/>
        <w:t>antibody responses to the H5N1 vaccine strain 3 weeks after the second vaccine administration (Day 43) in healthy adult subjects aged 18 years and older.</w:t>
      </w:r>
    </w:p>
    <w:p w14:paraId="7EFDCC0A" w14:textId="77777777" w:rsidR="000B3E42" w:rsidRPr="000B3E42" w:rsidRDefault="000B3E42" w:rsidP="000B3E42">
      <w:pPr>
        <w:rPr>
          <w:lang w:val="en-US"/>
        </w:rPr>
      </w:pPr>
      <w:r w:rsidRPr="000B3E42">
        <w:rPr>
          <w:lang w:val="en-US"/>
        </w:rPr>
        <w:t>Lot-to-lot consistency would be demonstrated if the limits of the 2-sided 95% confidence intervals (CI) for the GMT ratio were within the predefined equivalence range of 0.67 to 1.5.</w:t>
      </w:r>
    </w:p>
    <w:p w14:paraId="69898CB3" w14:textId="3D186256" w:rsidR="000B3E42" w:rsidRPr="000B3E42" w:rsidRDefault="000B3E42" w:rsidP="000B3E42">
      <w:pPr>
        <w:rPr>
          <w:lang w:val="en-US"/>
        </w:rPr>
      </w:pPr>
      <w:r w:rsidRPr="000B3E42">
        <w:rPr>
          <w:lang w:val="en-US"/>
        </w:rPr>
        <w:t>‘After lot-to-lot consistency was demonstrated, the populations of all aH5N1c vaccine recipients were pooled in order to evaluate immune responses to aH5N1c vaccine according to immunogenicity criteria defined by Center for Biologics Evaluation and Research (CBER) guidance 3 weeks after the second vaccine administration (Day 43) as measured by age cohort and by strain-specific HI assay.</w:t>
      </w:r>
      <w:r w:rsidR="00F00440">
        <w:rPr>
          <w:lang w:val="en-US"/>
        </w:rPr>
        <w:t>’</w:t>
      </w:r>
      <w:r w:rsidR="007644EF" w:rsidRPr="007644EF">
        <w:rPr>
          <w:vertAlign w:val="superscript"/>
          <w:lang w:val="en-US"/>
        </w:rPr>
        <w:fldChar w:fldCharType="begin"/>
      </w:r>
      <w:r w:rsidR="007644EF" w:rsidRPr="007644EF">
        <w:rPr>
          <w:vertAlign w:val="superscript"/>
          <w:lang w:val="en-US"/>
        </w:rPr>
        <w:instrText xml:space="preserve"> NOTEREF _Ref225860768 \h  \* MERGEFORMAT </w:instrText>
      </w:r>
      <w:r w:rsidR="007644EF" w:rsidRPr="007644EF">
        <w:rPr>
          <w:vertAlign w:val="superscript"/>
          <w:lang w:val="en-US"/>
        </w:rPr>
      </w:r>
      <w:r w:rsidR="007644EF" w:rsidRPr="007644EF">
        <w:rPr>
          <w:vertAlign w:val="superscript"/>
          <w:lang w:val="en-US"/>
        </w:rPr>
        <w:fldChar w:fldCharType="separate"/>
      </w:r>
      <w:r w:rsidR="007644EF" w:rsidRPr="007644EF">
        <w:rPr>
          <w:vertAlign w:val="superscript"/>
          <w:lang w:val="en-US"/>
        </w:rPr>
        <w:t>14</w:t>
      </w:r>
      <w:r w:rsidR="007644EF" w:rsidRPr="007644EF">
        <w:rPr>
          <w:vertAlign w:val="superscript"/>
          <w:lang w:val="en-US"/>
        </w:rPr>
        <w:fldChar w:fldCharType="end"/>
      </w:r>
      <w:r w:rsidR="007644EF" w:rsidRPr="007644EF">
        <w:rPr>
          <w:vertAlign w:val="superscript"/>
          <w:lang w:val="en-US"/>
        </w:rPr>
        <w:t xml:space="preserve"> </w:t>
      </w:r>
    </w:p>
    <w:p w14:paraId="5CE78C9D" w14:textId="61EF4A68" w:rsidR="000B3E42" w:rsidRPr="000B3E42" w:rsidRDefault="000B3E42" w:rsidP="000B3E42">
      <w:pPr>
        <w:rPr>
          <w:b/>
          <w:bCs/>
          <w:lang w:val="en-US"/>
        </w:rPr>
      </w:pPr>
      <w:r w:rsidRPr="000B3E42">
        <w:rPr>
          <w:b/>
          <w:bCs/>
          <w:lang w:val="en-US"/>
        </w:rPr>
        <w:t>Secondary objectives</w:t>
      </w:r>
    </w:p>
    <w:p w14:paraId="46AB2814" w14:textId="4FEE2DDC" w:rsidR="009F6D85" w:rsidRPr="009F6D85" w:rsidRDefault="000B3E42" w:rsidP="00F00440">
      <w:pPr>
        <w:pStyle w:val="ListBullet"/>
        <w:rPr>
          <w:lang w:val="en-US"/>
        </w:rPr>
      </w:pPr>
      <w:r w:rsidRPr="00F00440">
        <w:t>To evaluate immune responses to aH5N1c vaccine according to immunogenicity criteria defined by CHMP recommendations 3 weeks after the second vaccine administration (Day</w:t>
      </w:r>
      <w:r w:rsidR="009F6D85">
        <w:rPr>
          <w:lang w:val="en-US"/>
        </w:rPr>
        <w:t xml:space="preserve"> </w:t>
      </w:r>
      <w:r w:rsidR="009F6D85" w:rsidRPr="009F6D85">
        <w:rPr>
          <w:lang w:val="en-US"/>
        </w:rPr>
        <w:t>43) in healthy adult subjects 18 years of age and older, by age cohort, as measured by strain-specific HI assay.</w:t>
      </w:r>
    </w:p>
    <w:p w14:paraId="2F2D509F" w14:textId="77777777" w:rsidR="009F6D85" w:rsidRPr="009F6D85" w:rsidRDefault="009F6D85" w:rsidP="00F00440">
      <w:pPr>
        <w:pStyle w:val="ListBullet"/>
        <w:rPr>
          <w:lang w:val="en-US"/>
        </w:rPr>
      </w:pPr>
      <w:r w:rsidRPr="009F6D85">
        <w:rPr>
          <w:lang w:val="en-US"/>
        </w:rPr>
        <w:t>To evaluate immune responses to aH5N1c vaccine according to immunogenicity criteria defined by CBER and CHMP recommendations 3 weeks after the first vaccine administration (Day 22) in healthy adult subjects ≥ 18 years by age cohort, as measured by strain-specific HI assay.</w:t>
      </w:r>
    </w:p>
    <w:p w14:paraId="787AB6EE" w14:textId="77777777" w:rsidR="009F6D85" w:rsidRPr="009F6D85" w:rsidRDefault="009F6D85" w:rsidP="00F00440">
      <w:pPr>
        <w:pStyle w:val="ListBullet"/>
        <w:rPr>
          <w:lang w:val="en-US"/>
        </w:rPr>
      </w:pPr>
      <w:r w:rsidRPr="009F6D85">
        <w:rPr>
          <w:lang w:val="en-US"/>
        </w:rPr>
        <w:t>To evaluate immune responses to aH5N1c vaccine 6 months after the first vaccine administration (Day 183) in healthy adult subjects ≥ 18 years of age, by age cohort, as measured by strain-specific HI assay.</w:t>
      </w:r>
    </w:p>
    <w:p w14:paraId="16C8BA21" w14:textId="77777777" w:rsidR="009F6D85" w:rsidRPr="009F6D85" w:rsidRDefault="009F6D85" w:rsidP="009E2EF6">
      <w:pPr>
        <w:rPr>
          <w:b/>
          <w:bCs/>
          <w:lang w:val="en-US"/>
        </w:rPr>
      </w:pPr>
      <w:r w:rsidRPr="009F6D85">
        <w:rPr>
          <w:b/>
          <w:bCs/>
          <w:lang w:val="en-US"/>
        </w:rPr>
        <w:t>Study treatments</w:t>
      </w:r>
    </w:p>
    <w:p w14:paraId="2D994C98" w14:textId="61A59130" w:rsidR="009F6D85" w:rsidRPr="009F6D85" w:rsidRDefault="009F6D85" w:rsidP="009E2EF6">
      <w:pPr>
        <w:rPr>
          <w:lang w:val="en-US"/>
        </w:rPr>
      </w:pPr>
      <w:r w:rsidRPr="009F6D85">
        <w:rPr>
          <w:lang w:val="en-US"/>
        </w:rPr>
        <w:t xml:space="preserve">Enrolled subjects were stratified by age to include adults aged 18 to 64 years, and adults aged 65 years and older. Subjects were randomised in a 1:1:1:1 ratio to receive 2 doses (on day 1 and day 22) of either one of the 3 consecutively produced aH5N1c vaccine lots or placebo (Groups A, B, C, D) (Table </w:t>
      </w:r>
      <w:r w:rsidR="009E2EF6">
        <w:rPr>
          <w:lang w:val="en-US"/>
        </w:rPr>
        <w:t>5</w:t>
      </w:r>
      <w:r w:rsidRPr="009F6D85">
        <w:rPr>
          <w:lang w:val="en-US"/>
        </w:rPr>
        <w:t>).</w:t>
      </w:r>
    </w:p>
    <w:p w14:paraId="0BEBEEC6" w14:textId="1328ACC9" w:rsidR="0068224D" w:rsidRDefault="007D2113" w:rsidP="00C57C01">
      <w:pPr>
        <w:pStyle w:val="TableTitle"/>
        <w:rPr>
          <w:b w:val="0"/>
          <w:bCs/>
          <w:lang w:val="en-US"/>
        </w:rPr>
      </w:pPr>
      <w:r w:rsidRPr="007D2113">
        <w:rPr>
          <w:lang w:val="en-US"/>
        </w:rPr>
        <w:t xml:space="preserve">Table </w:t>
      </w:r>
      <w:r w:rsidR="00405F21">
        <w:rPr>
          <w:lang w:val="en-US"/>
        </w:rPr>
        <w:t>5</w:t>
      </w:r>
      <w:r w:rsidRPr="007D2113">
        <w:rPr>
          <w:lang w:val="en-US"/>
        </w:rPr>
        <w:t>. Study vaccine lots in V89_18</w:t>
      </w:r>
      <w:r w:rsidR="00405F21">
        <w:rPr>
          <w:lang w:val="en-US"/>
        </w:rPr>
        <w:t>.</w:t>
      </w:r>
    </w:p>
    <w:p w14:paraId="5B569572" w14:textId="566432DE" w:rsidR="00D74DD8" w:rsidRDefault="00C57C01" w:rsidP="0068224D">
      <w:pPr>
        <w:rPr>
          <w:b/>
          <w:bCs/>
          <w:lang w:val="en-US"/>
        </w:rPr>
      </w:pPr>
      <w:r>
        <w:rPr>
          <w:b/>
          <w:noProof/>
        </w:rPr>
        <w:drawing>
          <wp:inline distT="0" distB="0" distL="0" distR="0" wp14:anchorId="5D004CD5" wp14:editId="3DFD9F51">
            <wp:extent cx="5759450" cy="1098334"/>
            <wp:effectExtent l="0" t="0" r="0" b="6985"/>
            <wp:docPr id="243645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098334"/>
                    </a:xfrm>
                    <a:prstGeom prst="rect">
                      <a:avLst/>
                    </a:prstGeom>
                    <a:noFill/>
                  </pic:spPr>
                </pic:pic>
              </a:graphicData>
            </a:graphic>
          </wp:inline>
        </w:drawing>
      </w:r>
    </w:p>
    <w:p w14:paraId="644EC878" w14:textId="4F0A5B1F" w:rsidR="0068224D" w:rsidRPr="0068224D" w:rsidRDefault="0068224D" w:rsidP="0068224D">
      <w:pPr>
        <w:rPr>
          <w:b/>
          <w:bCs/>
          <w:lang w:val="en-US"/>
        </w:rPr>
      </w:pPr>
      <w:r w:rsidRPr="0068224D">
        <w:rPr>
          <w:b/>
          <w:bCs/>
          <w:lang w:val="en-US"/>
        </w:rPr>
        <w:t>Results for the primary efficacy outcome</w:t>
      </w:r>
    </w:p>
    <w:p w14:paraId="3D6D927D" w14:textId="636327DC" w:rsidR="0068224D" w:rsidRPr="0068224D" w:rsidRDefault="0068224D" w:rsidP="0068224D">
      <w:pPr>
        <w:rPr>
          <w:lang w:val="en-US"/>
        </w:rPr>
      </w:pPr>
      <w:r w:rsidRPr="0068224D">
        <w:rPr>
          <w:lang w:val="en-US"/>
        </w:rPr>
        <w:t xml:space="preserve">Lot-to-lot consistency across three consecutively produced lots of aH5N1c vaccine was demonstrated, as assessed by the ratio of GMTs of HI antibody responses to the H5N1 vaccine strain, three weeks post second vaccine administration. The 2-sided 95% CIs of the pairwise comparisons of GMTs between all three lots fell between the predefined equivalence ranges of 0.667 and 1.5 (Table </w:t>
      </w:r>
      <w:r>
        <w:rPr>
          <w:lang w:val="en-US"/>
        </w:rPr>
        <w:t>6</w:t>
      </w:r>
      <w:r w:rsidRPr="0068224D">
        <w:rPr>
          <w:lang w:val="en-US"/>
        </w:rPr>
        <w:t>).</w:t>
      </w:r>
    </w:p>
    <w:p w14:paraId="2F9998A8" w14:textId="17491065" w:rsidR="0068224D" w:rsidRPr="0068224D" w:rsidRDefault="0068224D" w:rsidP="0068224D">
      <w:pPr>
        <w:rPr>
          <w:lang w:val="en-US"/>
        </w:rPr>
      </w:pPr>
      <w:r w:rsidRPr="0068224D">
        <w:rPr>
          <w:lang w:val="en-US"/>
        </w:rPr>
        <w:t xml:space="preserve">The CBER immunogenicity criterion </w:t>
      </w:r>
      <w:proofErr w:type="gramStart"/>
      <w:r w:rsidRPr="0068224D">
        <w:rPr>
          <w:lang w:val="en-US"/>
        </w:rPr>
        <w:t>at</w:t>
      </w:r>
      <w:proofErr w:type="gramEnd"/>
      <w:r w:rsidRPr="0068224D">
        <w:rPr>
          <w:lang w:val="en-US"/>
        </w:rPr>
        <w:t xml:space="preserve"> Day 43 was also met. The lower bound of the 2-sided 95% CI for the percentage achieving a HI antibody </w:t>
      </w:r>
      <w:proofErr w:type="spellStart"/>
      <w:r w:rsidRPr="0068224D">
        <w:rPr>
          <w:lang w:val="en-US"/>
        </w:rPr>
        <w:t>titre</w:t>
      </w:r>
      <w:proofErr w:type="spellEnd"/>
      <w:r w:rsidRPr="0068224D">
        <w:rPr>
          <w:lang w:val="en-US"/>
        </w:rPr>
        <w:t xml:space="preserve"> ≥ 1:40 exceeded 70% (for subjects 18-&lt; 65 years of age) and 60% (for subjects ≥ 65 years of age) after using data from subjects receiving all lots, pooled (Tables </w:t>
      </w:r>
      <w:r w:rsidR="00E054D8">
        <w:rPr>
          <w:lang w:val="en-US"/>
        </w:rPr>
        <w:t xml:space="preserve">6, </w:t>
      </w:r>
      <w:r w:rsidRPr="0068224D">
        <w:rPr>
          <w:lang w:val="en-US"/>
        </w:rPr>
        <w:t>7, and Figure 1). The following figure is extracted from the published paper for this study</w:t>
      </w:r>
      <w:r>
        <w:rPr>
          <w:lang w:val="en-US"/>
        </w:rPr>
        <w:t>.</w:t>
      </w:r>
      <w:r w:rsidRPr="0068224D">
        <w:rPr>
          <w:vertAlign w:val="superscript"/>
          <w:lang w:val="en-US"/>
        </w:rPr>
        <w:fldChar w:fldCharType="begin"/>
      </w:r>
      <w:r w:rsidRPr="0068224D">
        <w:rPr>
          <w:vertAlign w:val="superscript"/>
          <w:lang w:val="en-US"/>
        </w:rPr>
        <w:instrText xml:space="preserve"> NOTEREF _Ref225860768 \h </w:instrText>
      </w:r>
      <w:r>
        <w:rPr>
          <w:vertAlign w:val="superscript"/>
          <w:lang w:val="en-US"/>
        </w:rPr>
        <w:instrText xml:space="preserve"> \* MERGEFORMAT </w:instrText>
      </w:r>
      <w:r w:rsidRPr="0068224D">
        <w:rPr>
          <w:vertAlign w:val="superscript"/>
          <w:lang w:val="en-US"/>
        </w:rPr>
      </w:r>
      <w:r w:rsidRPr="0068224D">
        <w:rPr>
          <w:vertAlign w:val="superscript"/>
          <w:lang w:val="en-US"/>
        </w:rPr>
        <w:fldChar w:fldCharType="separate"/>
      </w:r>
      <w:r w:rsidRPr="0068224D">
        <w:rPr>
          <w:vertAlign w:val="superscript"/>
          <w:lang w:val="en-US"/>
        </w:rPr>
        <w:t>14</w:t>
      </w:r>
      <w:r w:rsidRPr="0068224D">
        <w:rPr>
          <w:vertAlign w:val="superscript"/>
          <w:lang w:val="en-US"/>
        </w:rPr>
        <w:fldChar w:fldCharType="end"/>
      </w:r>
    </w:p>
    <w:p w14:paraId="02608DC6" w14:textId="350E1E19" w:rsidR="00615E9C" w:rsidRDefault="00615E9C" w:rsidP="00D74DD8">
      <w:pPr>
        <w:pStyle w:val="TableTitle"/>
        <w:rPr>
          <w:lang w:val="en-US"/>
        </w:rPr>
      </w:pPr>
      <w:r w:rsidRPr="00615E9C">
        <w:rPr>
          <w:lang w:val="en-US"/>
        </w:rPr>
        <w:lastRenderedPageBreak/>
        <w:t xml:space="preserve">Table </w:t>
      </w:r>
      <w:r w:rsidR="0045351E">
        <w:rPr>
          <w:lang w:val="en-US"/>
        </w:rPr>
        <w:t>6</w:t>
      </w:r>
      <w:r w:rsidRPr="00615E9C">
        <w:rPr>
          <w:lang w:val="en-US"/>
        </w:rPr>
        <w:t xml:space="preserve">. Adjusted Geometric Mean HI </w:t>
      </w:r>
      <w:proofErr w:type="spellStart"/>
      <w:r w:rsidRPr="00615E9C">
        <w:rPr>
          <w:lang w:val="en-US"/>
        </w:rPr>
        <w:t>Titre</w:t>
      </w:r>
      <w:proofErr w:type="spellEnd"/>
      <w:r w:rsidRPr="00615E9C">
        <w:rPr>
          <w:lang w:val="en-US"/>
        </w:rPr>
        <w:t xml:space="preserve"> and Geometric HI Ratio for Lot-To-Lot Consistency- PPS V89_18.</w:t>
      </w:r>
    </w:p>
    <w:p w14:paraId="5DE32B51" w14:textId="218EA106" w:rsidR="00C57C01" w:rsidRPr="00D74DD8" w:rsidRDefault="00C57C01" w:rsidP="00C57C01">
      <w:pPr>
        <w:rPr>
          <w:lang w:val="en-US"/>
        </w:rPr>
      </w:pPr>
      <w:r>
        <w:rPr>
          <w:noProof/>
          <w:lang w:val="en-US"/>
        </w:rPr>
        <w:drawing>
          <wp:inline distT="0" distB="0" distL="0" distR="0" wp14:anchorId="51074AFA" wp14:editId="163F9D9F">
            <wp:extent cx="5815965" cy="1755775"/>
            <wp:effectExtent l="0" t="0" r="0" b="0"/>
            <wp:docPr id="435840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965" cy="1755775"/>
                    </a:xfrm>
                    <a:prstGeom prst="rect">
                      <a:avLst/>
                    </a:prstGeom>
                    <a:noFill/>
                  </pic:spPr>
                </pic:pic>
              </a:graphicData>
            </a:graphic>
          </wp:inline>
        </w:drawing>
      </w:r>
    </w:p>
    <w:p w14:paraId="6C8B852A" w14:textId="77777777" w:rsidR="003E325C" w:rsidRDefault="003E325C" w:rsidP="00883E71">
      <w:pPr>
        <w:pStyle w:val="TableDescription"/>
      </w:pPr>
      <w:r>
        <w:t xml:space="preserve">Abbreviations: ANCOVA=analysis of covariance; CI=confidence interval; GMT=geometric mean </w:t>
      </w:r>
      <w:proofErr w:type="spellStart"/>
      <w:r>
        <w:t>titer</w:t>
      </w:r>
      <w:proofErr w:type="spellEnd"/>
      <w:r>
        <w:t>;</w:t>
      </w:r>
      <w:r>
        <w:rPr>
          <w:spacing w:val="40"/>
        </w:rPr>
        <w:t xml:space="preserve"> </w:t>
      </w:r>
      <w:r>
        <w:t>HI=hemagglutination</w:t>
      </w:r>
      <w:r>
        <w:rPr>
          <w:spacing w:val="-2"/>
        </w:rPr>
        <w:t xml:space="preserve"> </w:t>
      </w:r>
      <w:r>
        <w:t>inhibition;</w:t>
      </w:r>
      <w:r>
        <w:rPr>
          <w:spacing w:val="-2"/>
        </w:rPr>
        <w:t xml:space="preserve"> </w:t>
      </w:r>
      <w:r>
        <w:t>N=number</w:t>
      </w:r>
      <w:r>
        <w:rPr>
          <w:spacing w:val="-2"/>
        </w:rPr>
        <w:t xml:space="preserve"> </w:t>
      </w:r>
      <w:r>
        <w:t>of</w:t>
      </w:r>
      <w:r>
        <w:rPr>
          <w:spacing w:val="-2"/>
        </w:rPr>
        <w:t xml:space="preserve"> </w:t>
      </w:r>
      <w:r>
        <w:t>subjects</w:t>
      </w:r>
      <w:r>
        <w:rPr>
          <w:spacing w:val="-3"/>
        </w:rPr>
        <w:t xml:space="preserve"> </w:t>
      </w:r>
      <w:r>
        <w:t>with</w:t>
      </w:r>
      <w:r>
        <w:rPr>
          <w:spacing w:val="-3"/>
        </w:rPr>
        <w:t xml:space="preserve"> </w:t>
      </w:r>
      <w:r>
        <w:t>available</w:t>
      </w:r>
      <w:r>
        <w:rPr>
          <w:spacing w:val="-1"/>
        </w:rPr>
        <w:t xml:space="preserve"> </w:t>
      </w:r>
      <w:r>
        <w:t>data.</w:t>
      </w:r>
      <w:r>
        <w:rPr>
          <w:spacing w:val="-4"/>
        </w:rPr>
        <w:t xml:space="preserve"> </w:t>
      </w:r>
      <w:r>
        <w:t>Bold</w:t>
      </w:r>
      <w:r>
        <w:rPr>
          <w:spacing w:val="-4"/>
        </w:rPr>
        <w:t xml:space="preserve"> </w:t>
      </w:r>
      <w:r>
        <w:t>shows</w:t>
      </w:r>
      <w:r>
        <w:rPr>
          <w:spacing w:val="-3"/>
        </w:rPr>
        <w:t xml:space="preserve"> </w:t>
      </w:r>
      <w:r>
        <w:t>the</w:t>
      </w:r>
      <w:r>
        <w:rPr>
          <w:spacing w:val="-1"/>
        </w:rPr>
        <w:t xml:space="preserve"> </w:t>
      </w:r>
      <w:r>
        <w:t>2-sided</w:t>
      </w:r>
      <w:r>
        <w:rPr>
          <w:spacing w:val="-4"/>
        </w:rPr>
        <w:t xml:space="preserve"> </w:t>
      </w:r>
      <w:r>
        <w:t>95%</w:t>
      </w:r>
      <w:r>
        <w:rPr>
          <w:spacing w:val="-4"/>
        </w:rPr>
        <w:t xml:space="preserve"> </w:t>
      </w:r>
      <w:r>
        <w:t>CI</w:t>
      </w:r>
      <w:r>
        <w:rPr>
          <w:spacing w:val="-3"/>
        </w:rPr>
        <w:t xml:space="preserve"> </w:t>
      </w:r>
      <w:r>
        <w:t>lies</w:t>
      </w:r>
      <w:r>
        <w:rPr>
          <w:spacing w:val="-3"/>
        </w:rPr>
        <w:t xml:space="preserve"> </w:t>
      </w:r>
      <w:r>
        <w:t>within</w:t>
      </w:r>
      <w:r>
        <w:rPr>
          <w:spacing w:val="40"/>
        </w:rPr>
        <w:t xml:space="preserve"> </w:t>
      </w:r>
      <w:r>
        <w:t>the protocol-defined equivalence range of (0.667, 1.5).</w:t>
      </w:r>
    </w:p>
    <w:p w14:paraId="4C60E06D" w14:textId="2A604C8E" w:rsidR="0045351E" w:rsidRDefault="0045351E" w:rsidP="00883E71">
      <w:pPr>
        <w:pStyle w:val="TableDescription"/>
      </w:pPr>
      <w:r>
        <w:t>Adjusted estimates</w:t>
      </w:r>
      <w:r>
        <w:rPr>
          <w:spacing w:val="-1"/>
        </w:rPr>
        <w:t xml:space="preserve"> </w:t>
      </w:r>
      <w:r>
        <w:t>of GMTs,</w:t>
      </w:r>
      <w:r>
        <w:rPr>
          <w:spacing w:val="-1"/>
        </w:rPr>
        <w:t xml:space="preserve"> </w:t>
      </w:r>
      <w:r>
        <w:t>and their</w:t>
      </w:r>
      <w:r>
        <w:rPr>
          <w:spacing w:val="-3"/>
        </w:rPr>
        <w:t xml:space="preserve"> </w:t>
      </w:r>
      <w:r>
        <w:t>associated</w:t>
      </w:r>
      <w:r>
        <w:rPr>
          <w:spacing w:val="-2"/>
        </w:rPr>
        <w:t xml:space="preserve"> </w:t>
      </w:r>
      <w:r>
        <w:t>95% CIs</w:t>
      </w:r>
      <w:r>
        <w:rPr>
          <w:spacing w:val="-1"/>
        </w:rPr>
        <w:t xml:space="preserve"> </w:t>
      </w:r>
      <w:r>
        <w:t>at</w:t>
      </w:r>
      <w:r>
        <w:rPr>
          <w:spacing w:val="-4"/>
        </w:rPr>
        <w:t xml:space="preserve"> </w:t>
      </w:r>
      <w:r>
        <w:t>Day</w:t>
      </w:r>
      <w:r>
        <w:rPr>
          <w:spacing w:val="-2"/>
        </w:rPr>
        <w:t xml:space="preserve"> </w:t>
      </w:r>
      <w:r>
        <w:t>43 were</w:t>
      </w:r>
      <w:r>
        <w:rPr>
          <w:spacing w:val="-2"/>
        </w:rPr>
        <w:t xml:space="preserve"> </w:t>
      </w:r>
      <w:r>
        <w:t>computed using</w:t>
      </w:r>
      <w:r>
        <w:rPr>
          <w:spacing w:val="-4"/>
        </w:rPr>
        <w:t xml:space="preserve"> </w:t>
      </w:r>
      <w:r>
        <w:t>ANCOVA with</w:t>
      </w:r>
      <w:r>
        <w:rPr>
          <w:spacing w:val="-1"/>
        </w:rPr>
        <w:t xml:space="preserve"> </w:t>
      </w:r>
      <w:r>
        <w:t>factors</w:t>
      </w:r>
      <w:r>
        <w:rPr>
          <w:spacing w:val="-1"/>
        </w:rPr>
        <w:t xml:space="preserve"> </w:t>
      </w:r>
      <w:r>
        <w:t>for</w:t>
      </w:r>
      <w:r>
        <w:rPr>
          <w:spacing w:val="40"/>
        </w:rPr>
        <w:t xml:space="preserve"> </w:t>
      </w:r>
      <w:r>
        <w:t>lot,</w:t>
      </w:r>
      <w:r>
        <w:rPr>
          <w:spacing w:val="-4"/>
        </w:rPr>
        <w:t xml:space="preserve"> </w:t>
      </w:r>
      <w:r>
        <w:t>age</w:t>
      </w:r>
      <w:r>
        <w:rPr>
          <w:spacing w:val="-1"/>
        </w:rPr>
        <w:t xml:space="preserve"> </w:t>
      </w:r>
      <w:r>
        <w:t>groups</w:t>
      </w:r>
      <w:r>
        <w:rPr>
          <w:spacing w:val="-3"/>
        </w:rPr>
        <w:t xml:space="preserve"> </w:t>
      </w:r>
      <w:r>
        <w:t>(18</w:t>
      </w:r>
      <w:r>
        <w:rPr>
          <w:spacing w:val="-4"/>
        </w:rPr>
        <w:t xml:space="preserve"> </w:t>
      </w:r>
      <w:r>
        <w:t>to</w:t>
      </w:r>
      <w:r>
        <w:rPr>
          <w:spacing w:val="-4"/>
        </w:rPr>
        <w:t xml:space="preserve"> </w:t>
      </w:r>
      <w:r>
        <w:t>&lt;65,</w:t>
      </w:r>
      <w:r>
        <w:rPr>
          <w:spacing w:val="-6"/>
        </w:rPr>
        <w:t xml:space="preserve"> </w:t>
      </w:r>
      <w:r>
        <w:rPr>
          <w:rFonts w:ascii="Arial" w:hAnsi="Arial"/>
        </w:rPr>
        <w:t>≥</w:t>
      </w:r>
      <w:r>
        <w:rPr>
          <w:rFonts w:ascii="Arial" w:hAnsi="Arial"/>
          <w:spacing w:val="-13"/>
        </w:rPr>
        <w:t xml:space="preserve"> </w:t>
      </w:r>
      <w:r>
        <w:t>65),</w:t>
      </w:r>
      <w:r>
        <w:rPr>
          <w:spacing w:val="-2"/>
        </w:rPr>
        <w:t xml:space="preserve"> </w:t>
      </w:r>
      <w:proofErr w:type="spellStart"/>
      <w:r>
        <w:t>center</w:t>
      </w:r>
      <w:proofErr w:type="spellEnd"/>
      <w:r>
        <w:rPr>
          <w:spacing w:val="-2"/>
        </w:rPr>
        <w:t xml:space="preserve"> </w:t>
      </w:r>
      <w:r>
        <w:t>and</w:t>
      </w:r>
      <w:r>
        <w:rPr>
          <w:spacing w:val="-4"/>
        </w:rPr>
        <w:t xml:space="preserve"> </w:t>
      </w:r>
      <w:r>
        <w:t>a</w:t>
      </w:r>
      <w:r>
        <w:rPr>
          <w:spacing w:val="-1"/>
        </w:rPr>
        <w:t xml:space="preserve"> </w:t>
      </w:r>
      <w:r>
        <w:t>covariate</w:t>
      </w:r>
      <w:r>
        <w:rPr>
          <w:spacing w:val="-1"/>
        </w:rPr>
        <w:t xml:space="preserve"> </w:t>
      </w:r>
      <w:r>
        <w:t>for</w:t>
      </w:r>
      <w:r>
        <w:rPr>
          <w:spacing w:val="-2"/>
        </w:rPr>
        <w:t xml:space="preserve"> </w:t>
      </w:r>
      <w:r>
        <w:t>the</w:t>
      </w:r>
      <w:r>
        <w:rPr>
          <w:spacing w:val="-4"/>
        </w:rPr>
        <w:t xml:space="preserve"> </w:t>
      </w:r>
      <w:r>
        <w:t>effect</w:t>
      </w:r>
      <w:r>
        <w:rPr>
          <w:spacing w:val="-4"/>
        </w:rPr>
        <w:t xml:space="preserve"> </w:t>
      </w:r>
      <w:r>
        <w:t>defined</w:t>
      </w:r>
      <w:r>
        <w:rPr>
          <w:spacing w:val="-4"/>
        </w:rPr>
        <w:t xml:space="preserve"> </w:t>
      </w:r>
      <w:r>
        <w:t>by</w:t>
      </w:r>
      <w:r>
        <w:rPr>
          <w:spacing w:val="-2"/>
        </w:rPr>
        <w:t xml:space="preserve"> </w:t>
      </w:r>
      <w:r>
        <w:t>the</w:t>
      </w:r>
      <w:r>
        <w:rPr>
          <w:spacing w:val="-1"/>
        </w:rPr>
        <w:t xml:space="preserve"> </w:t>
      </w:r>
      <w:r>
        <w:t>log-transformed</w:t>
      </w:r>
      <w:r>
        <w:rPr>
          <w:spacing w:val="-1"/>
        </w:rPr>
        <w:t xml:space="preserve"> </w:t>
      </w:r>
      <w:r>
        <w:t>pre</w:t>
      </w:r>
      <w:r w:rsidR="00260158">
        <w:t>-</w:t>
      </w:r>
      <w:r>
        <w:t>vaccination</w:t>
      </w:r>
      <w:r>
        <w:rPr>
          <w:spacing w:val="40"/>
        </w:rPr>
        <w:t xml:space="preserve"> </w:t>
      </w:r>
      <w:r>
        <w:t xml:space="preserve">antibody </w:t>
      </w:r>
      <w:proofErr w:type="spellStart"/>
      <w:r>
        <w:t>titer</w:t>
      </w:r>
      <w:proofErr w:type="spellEnd"/>
      <w:r>
        <w:t xml:space="preserve"> (Day 1).</w:t>
      </w:r>
    </w:p>
    <w:p w14:paraId="1F783625" w14:textId="467123B6" w:rsidR="003A04B5" w:rsidRDefault="003A04B5" w:rsidP="00260158">
      <w:pPr>
        <w:pStyle w:val="TableTitle"/>
        <w:rPr>
          <w:lang w:val="en-US"/>
        </w:rPr>
      </w:pPr>
      <w:r w:rsidRPr="003A04B5">
        <w:rPr>
          <w:lang w:val="en-US"/>
        </w:rPr>
        <w:t xml:space="preserve">Table </w:t>
      </w:r>
      <w:r w:rsidR="00260158">
        <w:rPr>
          <w:lang w:val="en-US"/>
        </w:rPr>
        <w:t>7</w:t>
      </w:r>
      <w:r w:rsidRPr="003A04B5">
        <w:rPr>
          <w:lang w:val="en-US"/>
        </w:rPr>
        <w:t>. Percentage of Subjects (95% CI) with HI ≥ 1:40 at day 1 and 43 Against Homologous Strain by CBER Age - PPS in V89_18.</w:t>
      </w:r>
    </w:p>
    <w:p w14:paraId="62408D32" w14:textId="0F04DA68" w:rsidR="00C57C01" w:rsidRPr="003A04B5" w:rsidRDefault="00C57C01" w:rsidP="00C57C01">
      <w:pPr>
        <w:rPr>
          <w:lang w:val="en-US"/>
        </w:rPr>
      </w:pPr>
      <w:r>
        <w:rPr>
          <w:noProof/>
          <w:lang w:val="en-US"/>
        </w:rPr>
        <w:drawing>
          <wp:inline distT="0" distB="0" distL="0" distR="0" wp14:anchorId="76CD18D1" wp14:editId="16607F6B">
            <wp:extent cx="5815965" cy="2133600"/>
            <wp:effectExtent l="0" t="0" r="0" b="0"/>
            <wp:docPr id="1896135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5965" cy="2133600"/>
                    </a:xfrm>
                    <a:prstGeom prst="rect">
                      <a:avLst/>
                    </a:prstGeom>
                    <a:noFill/>
                  </pic:spPr>
                </pic:pic>
              </a:graphicData>
            </a:graphic>
          </wp:inline>
        </w:drawing>
      </w:r>
    </w:p>
    <w:p w14:paraId="250274C9" w14:textId="77777777" w:rsidR="00883E71" w:rsidRDefault="00883E71" w:rsidP="00883E71">
      <w:pPr>
        <w:pStyle w:val="TableDescription"/>
      </w:pPr>
      <w:r>
        <w:t>Abbreviations:</w:t>
      </w:r>
      <w:r>
        <w:rPr>
          <w:spacing w:val="-5"/>
        </w:rPr>
        <w:t xml:space="preserve"> </w:t>
      </w:r>
      <w:r>
        <w:t>CBER=Center</w:t>
      </w:r>
      <w:r>
        <w:rPr>
          <w:spacing w:val="-6"/>
        </w:rPr>
        <w:t xml:space="preserve"> </w:t>
      </w:r>
      <w:r>
        <w:t>for</w:t>
      </w:r>
      <w:r>
        <w:rPr>
          <w:spacing w:val="-4"/>
        </w:rPr>
        <w:t xml:space="preserve"> </w:t>
      </w:r>
      <w:r>
        <w:t>Biologics</w:t>
      </w:r>
      <w:r>
        <w:rPr>
          <w:spacing w:val="-4"/>
        </w:rPr>
        <w:t xml:space="preserve"> </w:t>
      </w:r>
      <w:r>
        <w:t>Evaluation</w:t>
      </w:r>
      <w:r>
        <w:rPr>
          <w:spacing w:val="-4"/>
        </w:rPr>
        <w:t xml:space="preserve"> </w:t>
      </w:r>
      <w:r>
        <w:t>and</w:t>
      </w:r>
      <w:r>
        <w:rPr>
          <w:spacing w:val="-3"/>
        </w:rPr>
        <w:t xml:space="preserve"> </w:t>
      </w:r>
      <w:r>
        <w:t>Research;</w:t>
      </w:r>
      <w:r>
        <w:rPr>
          <w:spacing w:val="-4"/>
        </w:rPr>
        <w:t xml:space="preserve"> </w:t>
      </w:r>
      <w:r>
        <w:t>CI=confidence</w:t>
      </w:r>
      <w:r>
        <w:rPr>
          <w:spacing w:val="-3"/>
        </w:rPr>
        <w:t xml:space="preserve"> </w:t>
      </w:r>
      <w:r>
        <w:t>interval;</w:t>
      </w:r>
      <w:r>
        <w:rPr>
          <w:spacing w:val="-5"/>
        </w:rPr>
        <w:t xml:space="preserve"> </w:t>
      </w:r>
      <w:r>
        <w:t>HI=hemagglutination</w:t>
      </w:r>
      <w:r>
        <w:rPr>
          <w:spacing w:val="40"/>
        </w:rPr>
        <w:t xml:space="preserve"> </w:t>
      </w:r>
      <w:r>
        <w:t>inhibition; n=number of subjects with values in category; N= number of subjects with available data.</w:t>
      </w:r>
    </w:p>
    <w:p w14:paraId="6A46FCA3" w14:textId="77777777" w:rsidR="00883E71" w:rsidRDefault="00883E71" w:rsidP="00883E71">
      <w:pPr>
        <w:pStyle w:val="TableDescription"/>
      </w:pPr>
      <w:r>
        <w:t>Bold</w:t>
      </w:r>
      <w:r>
        <w:rPr>
          <w:spacing w:val="-1"/>
        </w:rPr>
        <w:t xml:space="preserve"> </w:t>
      </w:r>
      <w:r>
        <w:t>indicates</w:t>
      </w:r>
      <w:r>
        <w:rPr>
          <w:spacing w:val="-2"/>
        </w:rPr>
        <w:t xml:space="preserve"> </w:t>
      </w:r>
      <w:r>
        <w:t>CBER</w:t>
      </w:r>
      <w:r>
        <w:rPr>
          <w:spacing w:val="-1"/>
        </w:rPr>
        <w:t xml:space="preserve"> </w:t>
      </w:r>
      <w:r>
        <w:t>criterion</w:t>
      </w:r>
      <w:r>
        <w:rPr>
          <w:spacing w:val="-1"/>
        </w:rPr>
        <w:t xml:space="preserve"> </w:t>
      </w:r>
      <w:r>
        <w:t>met.</w:t>
      </w:r>
      <w:r>
        <w:rPr>
          <w:spacing w:val="-2"/>
        </w:rPr>
        <w:t xml:space="preserve"> </w:t>
      </w:r>
      <w:r>
        <w:t>CBER</w:t>
      </w:r>
      <w:r>
        <w:rPr>
          <w:spacing w:val="-1"/>
        </w:rPr>
        <w:t xml:space="preserve"> </w:t>
      </w:r>
      <w:r>
        <w:t>Criterion</w:t>
      </w:r>
      <w:r>
        <w:rPr>
          <w:spacing w:val="-3"/>
        </w:rPr>
        <w:t xml:space="preserve"> </w:t>
      </w:r>
      <w:r>
        <w:t>for</w:t>
      </w:r>
      <w:r>
        <w:rPr>
          <w:spacing w:val="-4"/>
        </w:rPr>
        <w:t xml:space="preserve"> </w:t>
      </w:r>
      <w:r>
        <w:t>subjects</w:t>
      </w:r>
      <w:r>
        <w:rPr>
          <w:spacing w:val="-2"/>
        </w:rPr>
        <w:t xml:space="preserve"> </w:t>
      </w:r>
      <w:r>
        <w:t>aged</w:t>
      </w:r>
      <w:r>
        <w:rPr>
          <w:spacing w:val="-3"/>
        </w:rPr>
        <w:t xml:space="preserve"> </w:t>
      </w:r>
      <w:r>
        <w:t>18</w:t>
      </w:r>
      <w:r>
        <w:rPr>
          <w:spacing w:val="-3"/>
        </w:rPr>
        <w:t xml:space="preserve"> </w:t>
      </w:r>
      <w:r>
        <w:t>to</w:t>
      </w:r>
      <w:r>
        <w:rPr>
          <w:spacing w:val="-1"/>
        </w:rPr>
        <w:t xml:space="preserve"> </w:t>
      </w:r>
      <w:r>
        <w:t>&lt;65</w:t>
      </w:r>
      <w:r>
        <w:rPr>
          <w:spacing w:val="-3"/>
        </w:rPr>
        <w:t xml:space="preserve"> </w:t>
      </w:r>
      <w:r>
        <w:t>years:</w:t>
      </w:r>
      <w:r>
        <w:rPr>
          <w:spacing w:val="-1"/>
        </w:rPr>
        <w:t xml:space="preserve"> </w:t>
      </w:r>
      <w:r>
        <w:t>The</w:t>
      </w:r>
      <w:r>
        <w:rPr>
          <w:spacing w:val="-1"/>
        </w:rPr>
        <w:t xml:space="preserve"> </w:t>
      </w:r>
      <w:r>
        <w:t>lower</w:t>
      </w:r>
      <w:r>
        <w:rPr>
          <w:spacing w:val="-6"/>
        </w:rPr>
        <w:t xml:space="preserve"> </w:t>
      </w:r>
      <w:r>
        <w:t>bound</w:t>
      </w:r>
      <w:r>
        <w:rPr>
          <w:spacing w:val="-1"/>
        </w:rPr>
        <w:t xml:space="preserve"> </w:t>
      </w:r>
      <w:r>
        <w:t>of</w:t>
      </w:r>
      <w:r>
        <w:rPr>
          <w:spacing w:val="-3"/>
        </w:rPr>
        <w:t xml:space="preserve"> </w:t>
      </w:r>
      <w:r>
        <w:t>the</w:t>
      </w:r>
      <w:r>
        <w:rPr>
          <w:spacing w:val="-1"/>
        </w:rPr>
        <w:t xml:space="preserve"> </w:t>
      </w:r>
      <w:r>
        <w:t>adjusted</w:t>
      </w:r>
      <w:r>
        <w:rPr>
          <w:spacing w:val="40"/>
        </w:rPr>
        <w:t xml:space="preserve"> </w:t>
      </w:r>
      <w:r>
        <w:t>2-sided</w:t>
      </w:r>
      <w:r>
        <w:rPr>
          <w:spacing w:val="-3"/>
        </w:rPr>
        <w:t xml:space="preserve"> </w:t>
      </w:r>
      <w:r>
        <w:t>95%</w:t>
      </w:r>
      <w:r>
        <w:rPr>
          <w:spacing w:val="-3"/>
        </w:rPr>
        <w:t xml:space="preserve"> </w:t>
      </w:r>
      <w:r>
        <w:t>CI</w:t>
      </w:r>
      <w:r>
        <w:rPr>
          <w:spacing w:val="-2"/>
        </w:rPr>
        <w:t xml:space="preserve"> </w:t>
      </w:r>
      <w:r>
        <w:t>for</w:t>
      </w:r>
      <w:r>
        <w:rPr>
          <w:spacing w:val="-4"/>
        </w:rPr>
        <w:t xml:space="preserve"> </w:t>
      </w:r>
      <w:r>
        <w:t>the percentage of</w:t>
      </w:r>
      <w:r>
        <w:rPr>
          <w:spacing w:val="-3"/>
        </w:rPr>
        <w:t xml:space="preserve"> </w:t>
      </w:r>
      <w:r>
        <w:t>subjects</w:t>
      </w:r>
      <w:r>
        <w:rPr>
          <w:spacing w:val="-2"/>
        </w:rPr>
        <w:t xml:space="preserve"> </w:t>
      </w:r>
      <w:r>
        <w:t>achieving</w:t>
      </w:r>
      <w:r>
        <w:rPr>
          <w:spacing w:val="-4"/>
        </w:rPr>
        <w:t xml:space="preserve"> </w:t>
      </w:r>
      <w:r>
        <w:t>an</w:t>
      </w:r>
      <w:r>
        <w:rPr>
          <w:spacing w:val="-3"/>
        </w:rPr>
        <w:t xml:space="preserve"> </w:t>
      </w:r>
      <w:r>
        <w:t>HI</w:t>
      </w:r>
      <w:r>
        <w:rPr>
          <w:spacing w:val="-4"/>
        </w:rPr>
        <w:t xml:space="preserve"> </w:t>
      </w:r>
      <w:r>
        <w:t>antibody</w:t>
      </w:r>
      <w:r>
        <w:rPr>
          <w:spacing w:val="-1"/>
        </w:rPr>
        <w:t xml:space="preserve"> </w:t>
      </w:r>
      <w:proofErr w:type="spellStart"/>
      <w:r>
        <w:t>titer</w:t>
      </w:r>
      <w:proofErr w:type="spellEnd"/>
      <w:r>
        <w:rPr>
          <w:spacing w:val="-4"/>
        </w:rPr>
        <w:t xml:space="preserve"> </w:t>
      </w:r>
      <w:r>
        <w:rPr>
          <w:rFonts w:ascii="Arial" w:hAnsi="Arial"/>
        </w:rPr>
        <w:t>≥</w:t>
      </w:r>
      <w:r>
        <w:rPr>
          <w:rFonts w:ascii="Arial" w:hAnsi="Arial"/>
          <w:spacing w:val="-13"/>
        </w:rPr>
        <w:t xml:space="preserve"> </w:t>
      </w:r>
      <w:r>
        <w:t>1:40</w:t>
      </w:r>
      <w:r>
        <w:rPr>
          <w:spacing w:val="-2"/>
        </w:rPr>
        <w:t xml:space="preserve"> </w:t>
      </w:r>
      <w:r>
        <w:t>should meet</w:t>
      </w:r>
      <w:r>
        <w:rPr>
          <w:spacing w:val="-2"/>
        </w:rPr>
        <w:t xml:space="preserve"> </w:t>
      </w:r>
      <w:r>
        <w:t>or</w:t>
      </w:r>
      <w:r>
        <w:rPr>
          <w:spacing w:val="-1"/>
        </w:rPr>
        <w:t xml:space="preserve"> </w:t>
      </w:r>
      <w:r>
        <w:t>exceed</w:t>
      </w:r>
      <w:r>
        <w:rPr>
          <w:spacing w:val="-3"/>
        </w:rPr>
        <w:t xml:space="preserve"> </w:t>
      </w:r>
      <w:r>
        <w:t>70%.</w:t>
      </w:r>
      <w:r>
        <w:rPr>
          <w:spacing w:val="-2"/>
        </w:rPr>
        <w:t xml:space="preserve"> </w:t>
      </w:r>
      <w:r>
        <w:t>CBER</w:t>
      </w:r>
      <w:r>
        <w:rPr>
          <w:spacing w:val="40"/>
        </w:rPr>
        <w:t xml:space="preserve"> </w:t>
      </w:r>
      <w:r>
        <w:t>Criterion for</w:t>
      </w:r>
      <w:r>
        <w:rPr>
          <w:spacing w:val="-1"/>
        </w:rPr>
        <w:t xml:space="preserve"> </w:t>
      </w:r>
      <w:r>
        <w:t xml:space="preserve">subjects aged </w:t>
      </w:r>
      <w:r>
        <w:rPr>
          <w:rFonts w:ascii="Arial" w:hAnsi="Arial"/>
        </w:rPr>
        <w:t>≥</w:t>
      </w:r>
      <w:r>
        <w:t>65</w:t>
      </w:r>
      <w:r>
        <w:rPr>
          <w:spacing w:val="-2"/>
        </w:rPr>
        <w:t xml:space="preserve"> </w:t>
      </w:r>
      <w:r>
        <w:t>years: The lower bound of the adjusted 2-sided 95% CI for the</w:t>
      </w:r>
      <w:r>
        <w:rPr>
          <w:spacing w:val="-2"/>
        </w:rPr>
        <w:t xml:space="preserve"> </w:t>
      </w:r>
      <w:r>
        <w:t>percentage of subjects</w:t>
      </w:r>
      <w:r>
        <w:rPr>
          <w:spacing w:val="40"/>
        </w:rPr>
        <w:t xml:space="preserve"> </w:t>
      </w:r>
      <w:r>
        <w:t xml:space="preserve">achieving an HI antibody </w:t>
      </w:r>
      <w:proofErr w:type="spellStart"/>
      <w:r>
        <w:t>titer</w:t>
      </w:r>
      <w:proofErr w:type="spellEnd"/>
      <w:r>
        <w:t xml:space="preserve"> </w:t>
      </w:r>
      <w:r>
        <w:rPr>
          <w:rFonts w:ascii="Arial" w:hAnsi="Arial"/>
        </w:rPr>
        <w:t>≥</w:t>
      </w:r>
      <w:r>
        <w:t>1:40 should meet or exceed 60%.</w:t>
      </w:r>
    </w:p>
    <w:p w14:paraId="2DA99D92" w14:textId="09B8776E" w:rsidR="00912B0E" w:rsidRDefault="00912B0E" w:rsidP="00912B0E">
      <w:pPr>
        <w:pStyle w:val="FigureTitle"/>
      </w:pPr>
      <w:r>
        <w:lastRenderedPageBreak/>
        <w:t>Figure</w:t>
      </w:r>
      <w:r>
        <w:rPr>
          <w:spacing w:val="-8"/>
        </w:rPr>
        <w:t xml:space="preserve"> </w:t>
      </w:r>
      <w:r>
        <w:t>1.</w:t>
      </w:r>
      <w:r>
        <w:rPr>
          <w:spacing w:val="-5"/>
        </w:rPr>
        <w:t xml:space="preserve"> </w:t>
      </w:r>
      <w:r>
        <w:t>Proportion</w:t>
      </w:r>
      <w:r>
        <w:rPr>
          <w:spacing w:val="-3"/>
        </w:rPr>
        <w:t xml:space="preserve"> </w:t>
      </w:r>
      <w:r>
        <w:t>of</w:t>
      </w:r>
      <w:r>
        <w:rPr>
          <w:spacing w:val="-4"/>
        </w:rPr>
        <w:t xml:space="preserve"> </w:t>
      </w:r>
      <w:r>
        <w:t>subjects</w:t>
      </w:r>
      <w:r>
        <w:rPr>
          <w:spacing w:val="-4"/>
        </w:rPr>
        <w:t xml:space="preserve"> </w:t>
      </w:r>
      <w:r>
        <w:t>with</w:t>
      </w:r>
      <w:r>
        <w:rPr>
          <w:spacing w:val="-4"/>
        </w:rPr>
        <w:t xml:space="preserve"> </w:t>
      </w:r>
      <w:r>
        <w:t>HI≥1:40</w:t>
      </w:r>
      <w:r>
        <w:rPr>
          <w:spacing w:val="-2"/>
        </w:rPr>
        <w:t xml:space="preserve"> </w:t>
      </w:r>
      <w:r>
        <w:t>on</w:t>
      </w:r>
      <w:r>
        <w:rPr>
          <w:spacing w:val="-5"/>
        </w:rPr>
        <w:t xml:space="preserve"> </w:t>
      </w:r>
      <w:r>
        <w:t>Day43</w:t>
      </w:r>
      <w:r>
        <w:rPr>
          <w:spacing w:val="-3"/>
        </w:rPr>
        <w:t xml:space="preserve"> </w:t>
      </w:r>
      <w:r>
        <w:t>in</w:t>
      </w:r>
      <w:r>
        <w:rPr>
          <w:spacing w:val="-3"/>
        </w:rPr>
        <w:t xml:space="preserve"> </w:t>
      </w:r>
      <w:r>
        <w:t>the</w:t>
      </w:r>
      <w:r>
        <w:rPr>
          <w:spacing w:val="-4"/>
        </w:rPr>
        <w:t xml:space="preserve"> </w:t>
      </w:r>
      <w:r>
        <w:t>pooled</w:t>
      </w:r>
      <w:r>
        <w:rPr>
          <w:spacing w:val="-4"/>
        </w:rPr>
        <w:t xml:space="preserve"> </w:t>
      </w:r>
      <w:r>
        <w:t>aH5N1c</w:t>
      </w:r>
      <w:r>
        <w:rPr>
          <w:spacing w:val="-4"/>
        </w:rPr>
        <w:t xml:space="preserve"> </w:t>
      </w:r>
      <w:r>
        <w:t>and</w:t>
      </w:r>
      <w:r>
        <w:rPr>
          <w:spacing w:val="-3"/>
        </w:rPr>
        <w:t xml:space="preserve"> </w:t>
      </w:r>
      <w:r>
        <w:rPr>
          <w:spacing w:val="-2"/>
        </w:rPr>
        <w:t>placebo groups</w:t>
      </w:r>
      <w:r>
        <w:t>.</w:t>
      </w:r>
      <w:r w:rsidR="007644EF" w:rsidRPr="007644EF">
        <w:rPr>
          <w:vertAlign w:val="superscript"/>
        </w:rPr>
        <w:fldChar w:fldCharType="begin"/>
      </w:r>
      <w:r w:rsidR="007644EF" w:rsidRPr="007644EF">
        <w:rPr>
          <w:vertAlign w:val="superscript"/>
        </w:rPr>
        <w:instrText xml:space="preserve"> NOTEREF _Ref225860768 \h </w:instrText>
      </w:r>
      <w:r w:rsidR="007644EF">
        <w:rPr>
          <w:vertAlign w:val="superscript"/>
        </w:rPr>
        <w:instrText xml:space="preserve"> \* MERGEFORMAT </w:instrText>
      </w:r>
      <w:r w:rsidR="007644EF" w:rsidRPr="007644EF">
        <w:rPr>
          <w:vertAlign w:val="superscript"/>
        </w:rPr>
      </w:r>
      <w:r w:rsidR="007644EF" w:rsidRPr="007644EF">
        <w:rPr>
          <w:vertAlign w:val="superscript"/>
        </w:rPr>
        <w:fldChar w:fldCharType="separate"/>
      </w:r>
      <w:r w:rsidR="007644EF" w:rsidRPr="007644EF">
        <w:rPr>
          <w:vertAlign w:val="superscript"/>
        </w:rPr>
        <w:t>14</w:t>
      </w:r>
      <w:r w:rsidR="007644EF" w:rsidRPr="007644EF">
        <w:rPr>
          <w:vertAlign w:val="superscript"/>
        </w:rPr>
        <w:fldChar w:fldCharType="end"/>
      </w:r>
      <w:r w:rsidR="007644EF" w:rsidRPr="007644EF">
        <w:rPr>
          <w:vertAlign w:val="superscript"/>
        </w:rPr>
        <w:t xml:space="preserve"> </w:t>
      </w:r>
    </w:p>
    <w:p w14:paraId="3FAFD25F" w14:textId="2113FEDC" w:rsidR="00B649DE" w:rsidRDefault="000A7EC1" w:rsidP="00AF2869">
      <w:r>
        <w:rPr>
          <w:noProof/>
        </w:rPr>
        <w:drawing>
          <wp:inline distT="0" distB="0" distL="0" distR="0" wp14:anchorId="645591BE" wp14:editId="270EBB9B">
            <wp:extent cx="4898004" cy="1898078"/>
            <wp:effectExtent l="0" t="0" r="0" b="6985"/>
            <wp:docPr id="69114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0117" cy="1933774"/>
                    </a:xfrm>
                    <a:prstGeom prst="rect">
                      <a:avLst/>
                    </a:prstGeom>
                    <a:noFill/>
                  </pic:spPr>
                </pic:pic>
              </a:graphicData>
            </a:graphic>
          </wp:inline>
        </w:drawing>
      </w:r>
    </w:p>
    <w:p w14:paraId="4919020F" w14:textId="4019AC8D" w:rsidR="00B649DE" w:rsidRDefault="000A466D" w:rsidP="000A466D">
      <w:pPr>
        <w:pStyle w:val="FigureDescription"/>
      </w:pPr>
      <w:r>
        <w:t>Centre</w:t>
      </w:r>
      <w:r>
        <w:rPr>
          <w:spacing w:val="-7"/>
        </w:rPr>
        <w:t xml:space="preserve"> </w:t>
      </w:r>
      <w:r>
        <w:t>for</w:t>
      </w:r>
      <w:r>
        <w:rPr>
          <w:spacing w:val="-6"/>
        </w:rPr>
        <w:t xml:space="preserve"> </w:t>
      </w:r>
      <w:r>
        <w:t>Biologics</w:t>
      </w:r>
      <w:r>
        <w:rPr>
          <w:spacing w:val="-4"/>
        </w:rPr>
        <w:t xml:space="preserve"> </w:t>
      </w:r>
      <w:r>
        <w:t>Evaluation</w:t>
      </w:r>
      <w:r>
        <w:rPr>
          <w:spacing w:val="-7"/>
        </w:rPr>
        <w:t xml:space="preserve"> </w:t>
      </w:r>
      <w:r>
        <w:t>Research</w:t>
      </w:r>
      <w:r>
        <w:rPr>
          <w:spacing w:val="-6"/>
        </w:rPr>
        <w:t xml:space="preserve"> </w:t>
      </w:r>
      <w:r>
        <w:t>(CBER)</w:t>
      </w:r>
      <w:r>
        <w:rPr>
          <w:spacing w:val="-7"/>
        </w:rPr>
        <w:t xml:space="preserve"> </w:t>
      </w:r>
      <w:r>
        <w:t>criteria</w:t>
      </w:r>
      <w:r>
        <w:rPr>
          <w:spacing w:val="-5"/>
        </w:rPr>
        <w:t xml:space="preserve"> </w:t>
      </w:r>
      <w:r>
        <w:t>were</w:t>
      </w:r>
      <w:r>
        <w:rPr>
          <w:spacing w:val="-6"/>
        </w:rPr>
        <w:t xml:space="preserve"> </w:t>
      </w:r>
      <w:r>
        <w:t>met</w:t>
      </w:r>
      <w:r>
        <w:rPr>
          <w:spacing w:val="-6"/>
        </w:rPr>
        <w:t xml:space="preserve"> </w:t>
      </w:r>
      <w:r>
        <w:t>if</w:t>
      </w:r>
      <w:r>
        <w:rPr>
          <w:spacing w:val="-5"/>
        </w:rPr>
        <w:t xml:space="preserve"> </w:t>
      </w:r>
      <w:r>
        <w:t>the</w:t>
      </w:r>
      <w:r>
        <w:rPr>
          <w:spacing w:val="-6"/>
        </w:rPr>
        <w:t xml:space="preserve"> </w:t>
      </w:r>
      <w:r>
        <w:t>lower</w:t>
      </w:r>
      <w:r>
        <w:rPr>
          <w:spacing w:val="-6"/>
        </w:rPr>
        <w:t xml:space="preserve"> </w:t>
      </w:r>
      <w:r>
        <w:t>bound</w:t>
      </w:r>
      <w:r>
        <w:rPr>
          <w:spacing w:val="-6"/>
        </w:rPr>
        <w:t xml:space="preserve"> </w:t>
      </w:r>
      <w:r>
        <w:t>of</w:t>
      </w:r>
      <w:r>
        <w:rPr>
          <w:spacing w:val="-6"/>
        </w:rPr>
        <w:t xml:space="preserve"> </w:t>
      </w:r>
      <w:r>
        <w:t>the</w:t>
      </w:r>
      <w:r>
        <w:rPr>
          <w:spacing w:val="-5"/>
        </w:rPr>
        <w:t xml:space="preserve"> </w:t>
      </w:r>
      <w:r>
        <w:t>95%</w:t>
      </w:r>
      <w:r>
        <w:rPr>
          <w:spacing w:val="-7"/>
        </w:rPr>
        <w:t xml:space="preserve"> </w:t>
      </w:r>
      <w:r>
        <w:t>CI</w:t>
      </w:r>
      <w:r>
        <w:rPr>
          <w:spacing w:val="-6"/>
        </w:rPr>
        <w:t xml:space="preserve"> </w:t>
      </w:r>
      <w:r>
        <w:t>was</w:t>
      </w:r>
      <w:r>
        <w:rPr>
          <w:spacing w:val="-5"/>
        </w:rPr>
        <w:t xml:space="preserve"> </w:t>
      </w:r>
      <w:r>
        <w:rPr>
          <w:spacing w:val="-4"/>
        </w:rPr>
        <w:t xml:space="preserve">≥70% </w:t>
      </w:r>
      <w:r>
        <w:t>in</w:t>
      </w:r>
      <w:r>
        <w:rPr>
          <w:spacing w:val="-6"/>
        </w:rPr>
        <w:t xml:space="preserve"> </w:t>
      </w:r>
      <w:r>
        <w:t>subjects</w:t>
      </w:r>
      <w:r>
        <w:rPr>
          <w:spacing w:val="-4"/>
        </w:rPr>
        <w:t xml:space="preserve"> </w:t>
      </w:r>
      <w:r>
        <w:t>aged</w:t>
      </w:r>
      <w:r>
        <w:rPr>
          <w:spacing w:val="-4"/>
        </w:rPr>
        <w:t xml:space="preserve"> </w:t>
      </w:r>
      <w:r>
        <w:t>18</w:t>
      </w:r>
      <w:r>
        <w:rPr>
          <w:spacing w:val="-4"/>
        </w:rPr>
        <w:t xml:space="preserve"> </w:t>
      </w:r>
      <w:r>
        <w:t>to</w:t>
      </w:r>
      <w:r>
        <w:rPr>
          <w:spacing w:val="-4"/>
        </w:rPr>
        <w:t xml:space="preserve"> </w:t>
      </w:r>
      <w:r>
        <w:t>&lt;65</w:t>
      </w:r>
      <w:r>
        <w:rPr>
          <w:spacing w:val="-4"/>
        </w:rPr>
        <w:t xml:space="preserve"> </w:t>
      </w:r>
      <w:r>
        <w:t>years</w:t>
      </w:r>
      <w:r>
        <w:rPr>
          <w:spacing w:val="-4"/>
        </w:rPr>
        <w:t xml:space="preserve"> </w:t>
      </w:r>
      <w:r>
        <w:t>and</w:t>
      </w:r>
      <w:r>
        <w:rPr>
          <w:spacing w:val="-4"/>
        </w:rPr>
        <w:t xml:space="preserve"> </w:t>
      </w:r>
      <w:r>
        <w:t>≥60%</w:t>
      </w:r>
      <w:r>
        <w:rPr>
          <w:spacing w:val="-6"/>
        </w:rPr>
        <w:t xml:space="preserve"> </w:t>
      </w:r>
      <w:r>
        <w:t>in</w:t>
      </w:r>
      <w:r>
        <w:rPr>
          <w:spacing w:val="-5"/>
        </w:rPr>
        <w:t xml:space="preserve"> </w:t>
      </w:r>
      <w:r>
        <w:t>subjects</w:t>
      </w:r>
      <w:r>
        <w:rPr>
          <w:spacing w:val="-4"/>
        </w:rPr>
        <w:t xml:space="preserve"> </w:t>
      </w:r>
      <w:r>
        <w:t>aged</w:t>
      </w:r>
      <w:r>
        <w:rPr>
          <w:spacing w:val="-4"/>
        </w:rPr>
        <w:t xml:space="preserve"> </w:t>
      </w:r>
      <w:r>
        <w:t>≥65</w:t>
      </w:r>
      <w:r>
        <w:rPr>
          <w:spacing w:val="-4"/>
        </w:rPr>
        <w:t xml:space="preserve"> </w:t>
      </w:r>
      <w:r>
        <w:rPr>
          <w:spacing w:val="-2"/>
        </w:rPr>
        <w:t>years.</w:t>
      </w:r>
    </w:p>
    <w:p w14:paraId="73949008" w14:textId="08643840" w:rsidR="00931B06" w:rsidRPr="00931B06" w:rsidRDefault="00931B06" w:rsidP="00931B06">
      <w:pPr>
        <w:rPr>
          <w:lang w:val="en-US"/>
        </w:rPr>
      </w:pPr>
      <w:r w:rsidRPr="00931B06">
        <w:rPr>
          <w:lang w:val="en-US"/>
        </w:rPr>
        <w:t xml:space="preserve">The CBER immunogenicity criteria for the percentage who achieved seroconversion as measured by HI </w:t>
      </w:r>
      <w:proofErr w:type="spellStart"/>
      <w:r w:rsidRPr="00931B06">
        <w:rPr>
          <w:lang w:val="en-US"/>
        </w:rPr>
        <w:t>titre</w:t>
      </w:r>
      <w:proofErr w:type="spellEnd"/>
      <w:r w:rsidRPr="00931B06">
        <w:rPr>
          <w:lang w:val="en-US"/>
        </w:rPr>
        <w:t xml:space="preserve"> were met at day 43 in both age groups in the active treatment groups (Table </w:t>
      </w:r>
      <w:r>
        <w:rPr>
          <w:lang w:val="en-US"/>
        </w:rPr>
        <w:t>8</w:t>
      </w:r>
      <w:r w:rsidRPr="00931B06">
        <w:rPr>
          <w:lang w:val="en-US"/>
        </w:rPr>
        <w:t xml:space="preserve">). The CBER criteria for percentage achieving an HI antibody </w:t>
      </w:r>
      <w:proofErr w:type="spellStart"/>
      <w:r w:rsidRPr="00931B06">
        <w:rPr>
          <w:lang w:val="en-US"/>
        </w:rPr>
        <w:t>titre</w:t>
      </w:r>
      <w:proofErr w:type="spellEnd"/>
      <w:r w:rsidRPr="00931B06">
        <w:rPr>
          <w:lang w:val="en-US"/>
        </w:rPr>
        <w:t xml:space="preserve"> ≥ 1:40 and percentage </w:t>
      </w:r>
      <w:bookmarkStart w:id="49" w:name="_bookmark31"/>
      <w:bookmarkEnd w:id="49"/>
      <w:r w:rsidRPr="00931B06">
        <w:rPr>
          <w:lang w:val="en-US"/>
        </w:rPr>
        <w:t xml:space="preserve">achieving seroconversion as measured by HI </w:t>
      </w:r>
      <w:proofErr w:type="spellStart"/>
      <w:r w:rsidRPr="00931B06">
        <w:rPr>
          <w:lang w:val="en-US"/>
        </w:rPr>
        <w:t>titre</w:t>
      </w:r>
      <w:proofErr w:type="spellEnd"/>
      <w:r w:rsidRPr="00931B06">
        <w:rPr>
          <w:lang w:val="en-US"/>
        </w:rPr>
        <w:t xml:space="preserve"> were not met in either age groups at day 22 (Table </w:t>
      </w:r>
      <w:r>
        <w:rPr>
          <w:lang w:val="en-US"/>
        </w:rPr>
        <w:t>9</w:t>
      </w:r>
      <w:r w:rsidRPr="00931B06">
        <w:rPr>
          <w:lang w:val="en-US"/>
        </w:rPr>
        <w:t>).</w:t>
      </w:r>
    </w:p>
    <w:p w14:paraId="310B6705" w14:textId="77777777" w:rsidR="00D200BA" w:rsidRDefault="00931B06" w:rsidP="00D912AC">
      <w:pPr>
        <w:rPr>
          <w:b/>
          <w:bCs/>
          <w:lang w:val="en-US"/>
        </w:rPr>
      </w:pPr>
      <w:r w:rsidRPr="00931B06">
        <w:rPr>
          <w:b/>
          <w:bCs/>
          <w:lang w:val="en-US"/>
        </w:rPr>
        <w:t>Secondary immunogenicity outcomes:</w:t>
      </w:r>
    </w:p>
    <w:p w14:paraId="28A405E3" w14:textId="77777777" w:rsidR="00822DFF" w:rsidRPr="00822DFF" w:rsidRDefault="00822DFF" w:rsidP="00D74DD8">
      <w:pPr>
        <w:pStyle w:val="TableTitle"/>
        <w:rPr>
          <w:lang w:val="en-US"/>
        </w:rPr>
      </w:pPr>
      <w:r w:rsidRPr="00822DFF">
        <w:rPr>
          <w:lang w:val="en-US"/>
        </w:rPr>
        <w:t>Table 8. Immune Responses (GMT &amp; GMR) Against Homologous Strain at days 1, 22, 43, and 183 by Treatment Group – PPS V89_18.</w:t>
      </w:r>
    </w:p>
    <w:p w14:paraId="1C33EAA3" w14:textId="77777777" w:rsidR="00C57C01" w:rsidRDefault="00822DFF" w:rsidP="00822DFF">
      <w:pPr>
        <w:rPr>
          <w:bCs/>
          <w:sz w:val="18"/>
          <w:szCs w:val="18"/>
          <w:lang w:val="en-US"/>
        </w:rPr>
      </w:pPr>
      <w:r>
        <w:rPr>
          <w:b/>
          <w:bCs/>
          <w:noProof/>
          <w:lang w:val="en-US"/>
        </w:rPr>
        <w:drawing>
          <wp:inline distT="0" distB="0" distL="0" distR="0" wp14:anchorId="1CA1EA0D" wp14:editId="25D2AC6A">
            <wp:extent cx="4484536" cy="3517040"/>
            <wp:effectExtent l="0" t="0" r="0" b="7620"/>
            <wp:docPr id="732098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2454" cy="3546777"/>
                    </a:xfrm>
                    <a:prstGeom prst="rect">
                      <a:avLst/>
                    </a:prstGeom>
                    <a:noFill/>
                  </pic:spPr>
                </pic:pic>
              </a:graphicData>
            </a:graphic>
          </wp:inline>
        </w:drawing>
      </w:r>
    </w:p>
    <w:p w14:paraId="75D74259" w14:textId="0B8C30AC" w:rsidR="00822DFF" w:rsidRPr="00822DFF" w:rsidRDefault="00822DFF" w:rsidP="00822DFF">
      <w:pPr>
        <w:rPr>
          <w:b/>
          <w:bCs/>
          <w:lang w:val="en-US"/>
        </w:rPr>
      </w:pPr>
      <w:r w:rsidRPr="009261E0">
        <w:rPr>
          <w:bCs/>
          <w:sz w:val="18"/>
          <w:szCs w:val="18"/>
          <w:lang w:val="en-US"/>
        </w:rPr>
        <w:t>Abbreviations: ANCOVA= analysis of covariance; CI=confidence interval; GMR=geometric mean ratio; GMT=geometric mean titer; N= number of subjects with available data.</w:t>
      </w:r>
    </w:p>
    <w:p w14:paraId="5E194FEF" w14:textId="77777777" w:rsidR="00822DFF" w:rsidRPr="009261E0" w:rsidRDefault="00822DFF" w:rsidP="00822DFF">
      <w:pPr>
        <w:pStyle w:val="TableTitle"/>
        <w:rPr>
          <w:b w:val="0"/>
          <w:bCs/>
          <w:sz w:val="18"/>
          <w:szCs w:val="18"/>
          <w:lang w:val="en-US"/>
        </w:rPr>
      </w:pPr>
      <w:r w:rsidRPr="009261E0">
        <w:rPr>
          <w:b w:val="0"/>
          <w:bCs/>
          <w:sz w:val="18"/>
          <w:szCs w:val="18"/>
          <w:lang w:val="en-US"/>
        </w:rPr>
        <w:t>*Adjusted estimates of GMTs, and their associated 95% CIs at Day 22, Day 43 and Day 183 were computed using ANCOVA with factors for treatment (active treatment groups or placebo), center and a covariate for the effect defined by the log-transformed pre-vaccination antibody titer (Day 1).</w:t>
      </w:r>
    </w:p>
    <w:p w14:paraId="05DBC3B9" w14:textId="77777777" w:rsidR="00822DFF" w:rsidRDefault="00822DFF" w:rsidP="00D912AC">
      <w:pPr>
        <w:rPr>
          <w:b/>
          <w:bCs/>
          <w:lang w:val="en-US"/>
        </w:rPr>
      </w:pPr>
    </w:p>
    <w:p w14:paraId="423A40AB" w14:textId="77777777" w:rsidR="00C57C01" w:rsidRDefault="004E0D93" w:rsidP="0067704D">
      <w:pPr>
        <w:pStyle w:val="TableTitle"/>
      </w:pPr>
      <w:r w:rsidRPr="004E0D93">
        <w:lastRenderedPageBreak/>
        <w:t xml:space="preserve">Table </w:t>
      </w:r>
      <w:r w:rsidRPr="00624E61">
        <w:t>9</w:t>
      </w:r>
      <w:r w:rsidRPr="004E0D93">
        <w:t>. Immune Responses (GMT &amp; GMR) Against Homologous Strain at days 1, 22, 43, and 183 by Treatment Group – Analysis by CBER Age – PPS in V89_18.</w:t>
      </w:r>
    </w:p>
    <w:p w14:paraId="48AC6728" w14:textId="010E6CA5" w:rsidR="00C57C01" w:rsidRDefault="00C57C01" w:rsidP="00C57C01">
      <w:r>
        <w:rPr>
          <w:noProof/>
        </w:rPr>
        <w:drawing>
          <wp:inline distT="0" distB="0" distL="0" distR="0" wp14:anchorId="216AA958" wp14:editId="13EF5FAD">
            <wp:extent cx="5755005" cy="4816475"/>
            <wp:effectExtent l="0" t="0" r="0" b="3175"/>
            <wp:docPr id="842090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005" cy="4816475"/>
                    </a:xfrm>
                    <a:prstGeom prst="rect">
                      <a:avLst/>
                    </a:prstGeom>
                    <a:noFill/>
                  </pic:spPr>
                </pic:pic>
              </a:graphicData>
            </a:graphic>
          </wp:inline>
        </w:drawing>
      </w:r>
    </w:p>
    <w:p w14:paraId="3AB9F6C8" w14:textId="77777777" w:rsidR="0056061B" w:rsidRPr="0056061B" w:rsidRDefault="0056061B" w:rsidP="0056061B">
      <w:pPr>
        <w:pStyle w:val="TableDescription"/>
        <w:rPr>
          <w:lang w:val="en-US"/>
        </w:rPr>
      </w:pPr>
      <w:r w:rsidRPr="0056061B">
        <w:rPr>
          <w:lang w:val="en-US"/>
        </w:rPr>
        <w:t xml:space="preserve">Abbreviations: ANCOVA=analysis of covariance; CBER=Center for Biologics Evaluation and Research; CI=confidence interval; GMR=geometric mean ratio; GMT=geometric </w:t>
      </w:r>
      <w:proofErr w:type="gramStart"/>
      <w:r w:rsidRPr="0056061B">
        <w:rPr>
          <w:lang w:val="en-US"/>
        </w:rPr>
        <w:t>mean</w:t>
      </w:r>
      <w:proofErr w:type="gramEnd"/>
      <w:r w:rsidRPr="0056061B">
        <w:rPr>
          <w:lang w:val="en-US"/>
        </w:rPr>
        <w:t xml:space="preserve"> titer; N=number of subjects with available data.</w:t>
      </w:r>
    </w:p>
    <w:p w14:paraId="0B3D1CDE" w14:textId="77777777" w:rsidR="0056061B" w:rsidRPr="0056061B" w:rsidRDefault="0056061B" w:rsidP="0056061B">
      <w:pPr>
        <w:pStyle w:val="TableDescription"/>
        <w:rPr>
          <w:lang w:val="en-US"/>
        </w:rPr>
      </w:pPr>
      <w:r w:rsidRPr="0056061B">
        <w:rPr>
          <w:lang w:val="en-US"/>
        </w:rPr>
        <w:t>*Adjusted estimates of GMTs, and their associated 95% CIs at Day 22, Day 43 and Day 183 were computed using ANCOVA with factors for treatment (</w:t>
      </w:r>
      <w:r w:rsidRPr="0056061B">
        <w:rPr>
          <w:b/>
          <w:lang w:val="en-US"/>
        </w:rPr>
        <w:t>active treatment groups or placebo</w:t>
      </w:r>
      <w:r w:rsidRPr="0056061B">
        <w:rPr>
          <w:lang w:val="en-US"/>
        </w:rPr>
        <w:t>), center and a covariate for the effect defined by the log-transformed pre-vaccination antibody titer (Day 1).</w:t>
      </w:r>
    </w:p>
    <w:p w14:paraId="4A8758D0" w14:textId="77777777" w:rsidR="00203321" w:rsidRPr="00203321" w:rsidRDefault="00203321" w:rsidP="00203321">
      <w:pPr>
        <w:rPr>
          <w:b/>
          <w:bCs/>
          <w:lang w:val="en-US"/>
        </w:rPr>
      </w:pPr>
      <w:r w:rsidRPr="00203321">
        <w:rPr>
          <w:b/>
          <w:bCs/>
          <w:lang w:val="en-US"/>
        </w:rPr>
        <w:t>Evaluator conclusions</w:t>
      </w:r>
    </w:p>
    <w:p w14:paraId="45670D49" w14:textId="77777777" w:rsidR="00203321" w:rsidRPr="00203321" w:rsidRDefault="00203321" w:rsidP="00203321">
      <w:pPr>
        <w:rPr>
          <w:lang w:val="en-US"/>
        </w:rPr>
      </w:pPr>
      <w:r w:rsidRPr="00203321">
        <w:rPr>
          <w:lang w:val="en-US"/>
        </w:rPr>
        <w:t>Both co-primary immunogenicity objectives were met i.e. Lot-to-lot consistency of three consecutively produced lots of aH5N1c vaccine was demonstrated, and the age-appropriate CBER immunogenicity criterion was met in both the age groups. Vaccination with aH5N1c (7.5 μg) vaccine elicited an immune response as shown by the increase in HI GMT after the first vaccination that was further increased after the second vaccination.</w:t>
      </w:r>
    </w:p>
    <w:p w14:paraId="1D758EAD" w14:textId="77777777" w:rsidR="00203321" w:rsidRPr="00203321" w:rsidRDefault="00203321" w:rsidP="00203321">
      <w:pPr>
        <w:rPr>
          <w:b/>
          <w:bCs/>
          <w:lang w:val="en-US"/>
        </w:rPr>
      </w:pPr>
      <w:r w:rsidRPr="00203321">
        <w:rPr>
          <w:b/>
          <w:bCs/>
          <w:lang w:val="en-US"/>
        </w:rPr>
        <w:t>Delegate comments</w:t>
      </w:r>
    </w:p>
    <w:p w14:paraId="6CE4ABAC" w14:textId="6C3ACF23" w:rsidR="00225295" w:rsidRPr="00225295" w:rsidRDefault="00203321" w:rsidP="00225295">
      <w:pPr>
        <w:rPr>
          <w:lang w:val="en-US"/>
        </w:rPr>
      </w:pPr>
      <w:r w:rsidRPr="00203321">
        <w:rPr>
          <w:lang w:val="en-US"/>
        </w:rPr>
        <w:t>The study addressed responses to homologous strains only. Responses were lower in older adults. The EU public assessment report</w:t>
      </w:r>
      <w:r>
        <w:rPr>
          <w:rStyle w:val="FootnoteReference"/>
          <w:lang w:val="en-US"/>
        </w:rPr>
        <w:footnoteReference w:id="15"/>
      </w:r>
      <w:r w:rsidRPr="00203321">
        <w:rPr>
          <w:lang w:val="en-US"/>
        </w:rPr>
        <w:t xml:space="preserve"> highlighted a reduction in antibody responses 6 months after </w:t>
      </w:r>
      <w:proofErr w:type="spellStart"/>
      <w:r w:rsidRPr="00203321">
        <w:rPr>
          <w:lang w:val="en-US"/>
        </w:rPr>
        <w:t>immunisation</w:t>
      </w:r>
      <w:proofErr w:type="spellEnd"/>
      <w:r w:rsidRPr="00203321">
        <w:rPr>
          <w:lang w:val="en-US"/>
        </w:rPr>
        <w:t>, suggesting there may be a need for a booster dose. No booster data were available for either homologous or heterologous strains. The Delegate is aware of the completed booster study evaluating ‘the Safety and Immunogenicity of One or Two Heterologous</w:t>
      </w:r>
      <w:r w:rsidR="00225295" w:rsidRPr="00225295">
        <w:rPr>
          <w:rFonts w:eastAsia="Cambria" w:cs="Cambria"/>
          <w:szCs w:val="22"/>
          <w:lang w:val="en-US"/>
        </w:rPr>
        <w:t xml:space="preserve"> </w:t>
      </w:r>
      <w:r w:rsidR="00225295" w:rsidRPr="00225295">
        <w:rPr>
          <w:lang w:val="en-US"/>
        </w:rPr>
        <w:lastRenderedPageBreak/>
        <w:t>Booster Vaccinations with an MF59-adjuvanted, Cell Culture-derived H5N6 Influenza Vaccine in Adults Primed with MF59-adjuvanted, Cell Culture-derived H5N1 Influenza Vaccine or Unprimed.’</w:t>
      </w:r>
      <w:r w:rsidR="00225295">
        <w:rPr>
          <w:rStyle w:val="FootnoteReference"/>
          <w:lang w:val="en-US"/>
        </w:rPr>
        <w:footnoteReference w:id="16"/>
      </w:r>
      <w:r w:rsidR="00225295" w:rsidRPr="00225295">
        <w:rPr>
          <w:lang w:val="en-US"/>
        </w:rPr>
        <w:t xml:space="preserve"> </w:t>
      </w:r>
    </w:p>
    <w:p w14:paraId="1B9AD8CD" w14:textId="77777777" w:rsidR="00225295" w:rsidRPr="00225295" w:rsidRDefault="00225295" w:rsidP="00225295">
      <w:pPr>
        <w:rPr>
          <w:lang w:val="en-US"/>
        </w:rPr>
      </w:pPr>
      <w:r w:rsidRPr="00225295">
        <w:rPr>
          <w:lang w:val="en-US"/>
        </w:rPr>
        <w:t>The EU public assessment report also highlighted that HI and MN assays for the phase 3 trial were performed at a different laboratory compared to the phase 2 trials.</w:t>
      </w:r>
    </w:p>
    <w:p w14:paraId="746422D5" w14:textId="77777777" w:rsidR="006515D5" w:rsidRPr="006515D5" w:rsidRDefault="006515D5" w:rsidP="006515D5">
      <w:pPr>
        <w:pStyle w:val="Heading5"/>
        <w:rPr>
          <w:lang w:val="en-US"/>
        </w:rPr>
      </w:pPr>
      <w:r w:rsidRPr="006515D5">
        <w:rPr>
          <w:lang w:val="en-US"/>
        </w:rPr>
        <w:t>Study V89_11</w:t>
      </w:r>
    </w:p>
    <w:p w14:paraId="409949A1" w14:textId="33F52D27" w:rsidR="006515D5" w:rsidRPr="006515D5" w:rsidRDefault="006515D5" w:rsidP="006515D5">
      <w:pPr>
        <w:rPr>
          <w:lang w:val="en-US"/>
        </w:rPr>
      </w:pPr>
      <w:r w:rsidRPr="006515D5">
        <w:rPr>
          <w:lang w:val="en-US"/>
        </w:rPr>
        <w:t xml:space="preserve">This was a phase 2, </w:t>
      </w:r>
      <w:proofErr w:type="spellStart"/>
      <w:r w:rsidRPr="006515D5">
        <w:rPr>
          <w:lang w:val="en-US"/>
        </w:rPr>
        <w:t>randomised</w:t>
      </w:r>
      <w:proofErr w:type="spellEnd"/>
      <w:r w:rsidRPr="006515D5">
        <w:rPr>
          <w:lang w:val="en-US"/>
        </w:rPr>
        <w:t xml:space="preserve">, observer-blind, </w:t>
      </w:r>
      <w:proofErr w:type="spellStart"/>
      <w:r w:rsidRPr="006515D5">
        <w:rPr>
          <w:lang w:val="en-US"/>
        </w:rPr>
        <w:t>multicentre</w:t>
      </w:r>
      <w:proofErr w:type="spellEnd"/>
      <w:r w:rsidRPr="006515D5">
        <w:rPr>
          <w:lang w:val="en-US"/>
        </w:rPr>
        <w:t xml:space="preserve"> study conducted in healthy paediatric subjects aged 6 months to 17 years. Two publications arising from this study have been included as reference documents for the AC</w:t>
      </w:r>
      <w:bookmarkStart w:id="50" w:name="_bookmark33"/>
      <w:bookmarkEnd w:id="50"/>
      <w:r w:rsidRPr="006515D5">
        <w:rPr>
          <w:lang w:val="en-US"/>
        </w:rPr>
        <w:t>V.</w:t>
      </w:r>
      <w:bookmarkStart w:id="51" w:name="_Ref225866061"/>
      <w:r w:rsidRPr="000E4C05">
        <w:rPr>
          <w:rStyle w:val="FootnoteReference"/>
          <w:lang w:val="en-US"/>
        </w:rPr>
        <w:footnoteReference w:id="17"/>
      </w:r>
      <w:bookmarkEnd w:id="51"/>
      <w:r w:rsidR="007C36A4" w:rsidRPr="000E4C05">
        <w:rPr>
          <w:vertAlign w:val="superscript"/>
          <w:lang w:val="en-US"/>
        </w:rPr>
        <w:t>,</w:t>
      </w:r>
      <w:bookmarkStart w:id="52" w:name="_Ref225865932"/>
      <w:r w:rsidR="007C36A4" w:rsidRPr="000E4C05">
        <w:rPr>
          <w:rStyle w:val="FootnoteReference"/>
          <w:lang w:val="en-US"/>
        </w:rPr>
        <w:footnoteReference w:id="18"/>
      </w:r>
      <w:bookmarkEnd w:id="52"/>
      <w:r w:rsidRPr="000E4C05">
        <w:rPr>
          <w:vertAlign w:val="superscript"/>
          <w:lang w:val="en-US"/>
        </w:rPr>
        <w:t xml:space="preserve"> </w:t>
      </w:r>
    </w:p>
    <w:p w14:paraId="53AA6FE4" w14:textId="77777777" w:rsidR="006515D5" w:rsidRPr="006515D5" w:rsidRDefault="006515D5" w:rsidP="006515D5">
      <w:pPr>
        <w:rPr>
          <w:b/>
          <w:bCs/>
          <w:lang w:val="en-US"/>
        </w:rPr>
      </w:pPr>
      <w:r w:rsidRPr="006515D5">
        <w:rPr>
          <w:b/>
          <w:bCs/>
          <w:lang w:val="en-US"/>
        </w:rPr>
        <w:t>Primary Objectives</w:t>
      </w:r>
    </w:p>
    <w:p w14:paraId="4C9365D4" w14:textId="77777777" w:rsidR="006515D5" w:rsidRPr="006515D5" w:rsidRDefault="006515D5" w:rsidP="006515D5">
      <w:pPr>
        <w:rPr>
          <w:lang w:val="en-US"/>
        </w:rPr>
      </w:pPr>
      <w:r w:rsidRPr="006515D5">
        <w:rPr>
          <w:b/>
          <w:lang w:val="en-US"/>
        </w:rPr>
        <w:t xml:space="preserve">Immunogenicity: </w:t>
      </w:r>
      <w:r w:rsidRPr="006515D5">
        <w:rPr>
          <w:lang w:val="en-US"/>
        </w:rPr>
        <w:t>To select the vaccine (low dose or high dose aH5N1c) to be tested in phase 3 based on achievement of CBER criteria 3 weeks after the second vaccine administration as measured by strain-specific HI assays.</w:t>
      </w:r>
    </w:p>
    <w:p w14:paraId="4DB6545A" w14:textId="77777777" w:rsidR="006515D5" w:rsidRPr="006515D5" w:rsidRDefault="006515D5" w:rsidP="006515D5">
      <w:pPr>
        <w:rPr>
          <w:b/>
          <w:bCs/>
          <w:lang w:val="en-US"/>
        </w:rPr>
      </w:pPr>
      <w:r w:rsidRPr="006515D5">
        <w:rPr>
          <w:b/>
          <w:bCs/>
          <w:lang w:val="en-US"/>
        </w:rPr>
        <w:t>Secondary Objectives: Immunogenicity</w:t>
      </w:r>
    </w:p>
    <w:p w14:paraId="66CECE78" w14:textId="77777777" w:rsidR="006515D5" w:rsidRPr="006515D5" w:rsidRDefault="006515D5" w:rsidP="006515D5">
      <w:pPr>
        <w:numPr>
          <w:ilvl w:val="0"/>
          <w:numId w:val="17"/>
        </w:numPr>
        <w:rPr>
          <w:lang w:val="en-US"/>
        </w:rPr>
      </w:pPr>
      <w:r w:rsidRPr="006515D5">
        <w:rPr>
          <w:lang w:val="en-US"/>
        </w:rPr>
        <w:t>For each aH5N1c vaccine (low or high dose), to evaluate achievement of all CHMP criteria 3 weeks after the second vaccine administration as measured by strain-specific HI assay.</w:t>
      </w:r>
    </w:p>
    <w:p w14:paraId="26D3C044" w14:textId="77777777" w:rsidR="006515D5" w:rsidRPr="006515D5" w:rsidRDefault="006515D5" w:rsidP="006515D5">
      <w:pPr>
        <w:numPr>
          <w:ilvl w:val="0"/>
          <w:numId w:val="17"/>
        </w:numPr>
        <w:rPr>
          <w:lang w:val="en-US"/>
        </w:rPr>
      </w:pPr>
      <w:r w:rsidRPr="006515D5">
        <w:rPr>
          <w:lang w:val="en-US"/>
        </w:rPr>
        <w:t>For each aH5N1c vaccine (low or high dose), to evaluate achievement of CBER and CHMP criteria 3 weeks after first vaccine as measured by strain-specific HI assay.</w:t>
      </w:r>
    </w:p>
    <w:p w14:paraId="2483AF0C" w14:textId="77777777" w:rsidR="006515D5" w:rsidRPr="006515D5" w:rsidRDefault="006515D5" w:rsidP="006515D5">
      <w:pPr>
        <w:numPr>
          <w:ilvl w:val="0"/>
          <w:numId w:val="17"/>
        </w:numPr>
        <w:rPr>
          <w:lang w:val="en-US"/>
        </w:rPr>
      </w:pPr>
      <w:r w:rsidRPr="006515D5">
        <w:rPr>
          <w:lang w:val="en-US"/>
        </w:rPr>
        <w:t>To evaluate immunogenicity of each aH5N1c vaccine (low or high dose) 12 months after the primary 2-doses with respect to CBER and CHMP criteria, using strain-specific HI assays.</w:t>
      </w:r>
    </w:p>
    <w:p w14:paraId="6ADF17A1" w14:textId="77777777" w:rsidR="006515D5" w:rsidRPr="006515D5" w:rsidRDefault="006515D5" w:rsidP="006515D5">
      <w:pPr>
        <w:rPr>
          <w:b/>
          <w:bCs/>
          <w:lang w:val="en-US"/>
        </w:rPr>
      </w:pPr>
      <w:r w:rsidRPr="006515D5">
        <w:rPr>
          <w:b/>
          <w:bCs/>
          <w:lang w:val="en-US"/>
        </w:rPr>
        <w:t>Exploratory Objectives: Immunogenicity</w:t>
      </w:r>
    </w:p>
    <w:p w14:paraId="0B9A6524" w14:textId="77777777" w:rsidR="006515D5" w:rsidRPr="006515D5" w:rsidRDefault="006515D5" w:rsidP="006515D5">
      <w:pPr>
        <w:rPr>
          <w:lang w:val="en-US"/>
        </w:rPr>
      </w:pPr>
      <w:r w:rsidRPr="006515D5">
        <w:rPr>
          <w:lang w:val="en-US"/>
        </w:rPr>
        <w:t>For each aH5N1c vaccine (low or high dose), to evaluate the antibody responses against heterologous influenza strain(s) as measured by HI assay; for each aH5N1c vaccine (low or high dose), to evaluate the antibody responses against heterologous and homologous influenza strain(s) as measured by MN assay.</w:t>
      </w:r>
    </w:p>
    <w:p w14:paraId="3D26CE0D" w14:textId="77777777" w:rsidR="006515D5" w:rsidRPr="006515D5" w:rsidRDefault="006515D5" w:rsidP="006515D5">
      <w:pPr>
        <w:rPr>
          <w:lang w:val="en-US"/>
        </w:rPr>
      </w:pPr>
      <w:r w:rsidRPr="006515D5">
        <w:rPr>
          <w:b/>
          <w:lang w:val="en-US"/>
        </w:rPr>
        <w:t xml:space="preserve">Safety Objective: </w:t>
      </w:r>
      <w:r w:rsidRPr="006515D5">
        <w:rPr>
          <w:lang w:val="en-US"/>
        </w:rPr>
        <w:t>To evaluate safety and tolerability of low and high dose aH5N1c vaccine in subjects 6 months to 17 years of age.</w:t>
      </w:r>
    </w:p>
    <w:p w14:paraId="14BB9680" w14:textId="77777777" w:rsidR="006515D5" w:rsidRPr="006515D5" w:rsidRDefault="006515D5" w:rsidP="006515D5">
      <w:pPr>
        <w:rPr>
          <w:b/>
          <w:bCs/>
          <w:lang w:val="en-US"/>
        </w:rPr>
      </w:pPr>
      <w:r w:rsidRPr="006515D5">
        <w:rPr>
          <w:b/>
          <w:bCs/>
          <w:lang w:val="en-US"/>
        </w:rPr>
        <w:t>Study treatments</w:t>
      </w:r>
    </w:p>
    <w:p w14:paraId="7C0AE3E5" w14:textId="7ED8FB0D" w:rsidR="00181B35" w:rsidRPr="00181B35" w:rsidRDefault="006515D5" w:rsidP="00181B35">
      <w:pPr>
        <w:rPr>
          <w:lang w:val="en-US"/>
        </w:rPr>
      </w:pPr>
      <w:r w:rsidRPr="006515D5">
        <w:rPr>
          <w:lang w:val="en-US"/>
        </w:rPr>
        <w:t>Investigational vaccine: MF59 adjuvanted cell-culture derived subunit inactivated monovalent, A/turkey/Turkey/1/2005 (H5N1) NIBRG-23 strain vaccine formulated as 7.5 μg HA of H5N1 with 0.25 mL MF59 for a total of 0.5 mL extractable volume in PFS. This 0.5 mL extractable volume was the high dose vaccine. The pre-filled syringe included a ring mark to indicate the volume for administration of the low dose (3.75 μg HA of H5N1 with 0.125 mL MF59 for a total</w:t>
      </w:r>
      <w:r w:rsidR="00181B35" w:rsidRPr="00181B35">
        <w:rPr>
          <w:rFonts w:eastAsia="Cambria" w:cs="Cambria"/>
          <w:szCs w:val="22"/>
          <w:lang w:val="en-US"/>
        </w:rPr>
        <w:t xml:space="preserve"> </w:t>
      </w:r>
      <w:r w:rsidR="00181B35" w:rsidRPr="00181B35">
        <w:rPr>
          <w:lang w:val="en-US"/>
        </w:rPr>
        <w:lastRenderedPageBreak/>
        <w:t>injection volume of 0.25 mL) and was ready for use for IM administration, preferably in the nondominant arm or in the anterolateral thigh as necessary for younger children.</w:t>
      </w:r>
    </w:p>
    <w:p w14:paraId="48D5B549" w14:textId="77777777" w:rsidR="00181B35" w:rsidRPr="00181B35" w:rsidRDefault="00181B35" w:rsidP="00181B35">
      <w:pPr>
        <w:rPr>
          <w:lang w:val="en-US"/>
        </w:rPr>
      </w:pPr>
      <w:r w:rsidRPr="00181B35">
        <w:rPr>
          <w:lang w:val="en-US"/>
        </w:rPr>
        <w:t>The primary course of vaccination was two IM injections, separated by approximately 3 weeks.</w:t>
      </w:r>
    </w:p>
    <w:p w14:paraId="135B8EAB" w14:textId="77777777" w:rsidR="00C87612" w:rsidRPr="00C87612" w:rsidRDefault="00C87612" w:rsidP="00C87612">
      <w:pPr>
        <w:rPr>
          <w:b/>
          <w:bCs/>
          <w:lang w:val="en-US"/>
        </w:rPr>
      </w:pPr>
      <w:r w:rsidRPr="00C87612">
        <w:rPr>
          <w:b/>
          <w:bCs/>
          <w:lang w:val="en-US"/>
        </w:rPr>
        <w:t>Results</w:t>
      </w:r>
    </w:p>
    <w:p w14:paraId="3A7D009A" w14:textId="77777777" w:rsidR="00C87612" w:rsidRPr="00C87612" w:rsidRDefault="00C87612" w:rsidP="00C87612">
      <w:pPr>
        <w:rPr>
          <w:b/>
          <w:bCs/>
          <w:lang w:val="en-US"/>
        </w:rPr>
      </w:pPr>
      <w:r w:rsidRPr="00C87612">
        <w:rPr>
          <w:b/>
          <w:bCs/>
          <w:lang w:val="en-US"/>
        </w:rPr>
        <w:t>Results for the primary efficacy outcome</w:t>
      </w:r>
    </w:p>
    <w:p w14:paraId="7EF5E76F" w14:textId="01200BAF" w:rsidR="00C87612" w:rsidRPr="00C87612" w:rsidRDefault="00C87612" w:rsidP="00C87612">
      <w:pPr>
        <w:rPr>
          <w:lang w:val="en-US"/>
        </w:rPr>
      </w:pPr>
      <w:r w:rsidRPr="00C87612">
        <w:rPr>
          <w:lang w:val="en-US"/>
        </w:rPr>
        <w:t>The primary immunogenicity objective was met in both low and high dose groups by satisfying</w:t>
      </w:r>
      <w:r w:rsidR="00AC2448">
        <w:rPr>
          <w:lang w:val="en-US"/>
        </w:rPr>
        <w:t xml:space="preserve"> </w:t>
      </w:r>
      <w:r w:rsidRPr="00C87612">
        <w:rPr>
          <w:lang w:val="en-US"/>
        </w:rPr>
        <w:t>the CBER criteria of seroconversion and HI ≥ 1:40 against homologous strain (Table 1</w:t>
      </w:r>
      <w:r w:rsidR="00AC2448">
        <w:rPr>
          <w:lang w:val="en-US"/>
        </w:rPr>
        <w:t>0</w:t>
      </w:r>
      <w:r w:rsidRPr="00C87612">
        <w:rPr>
          <w:lang w:val="en-US"/>
        </w:rPr>
        <w:t>).</w:t>
      </w:r>
    </w:p>
    <w:p w14:paraId="3ABC81D7" w14:textId="08A24A33" w:rsidR="00C87612" w:rsidRDefault="00C87612" w:rsidP="00C87612">
      <w:pPr>
        <w:pStyle w:val="TableTitle"/>
        <w:rPr>
          <w:lang w:val="en-US"/>
        </w:rPr>
      </w:pPr>
      <w:r w:rsidRPr="00C87612">
        <w:rPr>
          <w:lang w:val="en-US"/>
        </w:rPr>
        <w:t>Table 1</w:t>
      </w:r>
      <w:r w:rsidR="00AC2448">
        <w:rPr>
          <w:lang w:val="en-US"/>
        </w:rPr>
        <w:t>0</w:t>
      </w:r>
      <w:r w:rsidRPr="00C87612">
        <w:rPr>
          <w:lang w:val="en-US"/>
        </w:rPr>
        <w:t>. CBER Criteria Achievement on day 43 for Homologous Strain –FAS - HI Assay in V89_11.</w:t>
      </w:r>
    </w:p>
    <w:p w14:paraId="4310BB3C" w14:textId="36E68DEB" w:rsidR="002010AB" w:rsidRPr="00C87612" w:rsidRDefault="002010AB" w:rsidP="002010AB">
      <w:pPr>
        <w:rPr>
          <w:lang w:val="en-US"/>
        </w:rPr>
      </w:pPr>
      <w:r>
        <w:rPr>
          <w:b/>
          <w:noProof/>
        </w:rPr>
        <w:drawing>
          <wp:inline distT="0" distB="0" distL="0" distR="0" wp14:anchorId="45DF4770" wp14:editId="79130192">
            <wp:extent cx="5661329" cy="2076871"/>
            <wp:effectExtent l="0" t="0" r="0" b="0"/>
            <wp:docPr id="9793815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7119" cy="2090001"/>
                    </a:xfrm>
                    <a:prstGeom prst="rect">
                      <a:avLst/>
                    </a:prstGeom>
                    <a:noFill/>
                  </pic:spPr>
                </pic:pic>
              </a:graphicData>
            </a:graphic>
          </wp:inline>
        </w:drawing>
      </w:r>
    </w:p>
    <w:p w14:paraId="34BEC286" w14:textId="77777777" w:rsidR="00AC2448" w:rsidRPr="00AC2448" w:rsidRDefault="00AC2448" w:rsidP="00AC2448">
      <w:pPr>
        <w:pStyle w:val="TableDescription"/>
        <w:rPr>
          <w:lang w:val="en-US"/>
        </w:rPr>
      </w:pPr>
      <w:r w:rsidRPr="00AC2448">
        <w:rPr>
          <w:lang w:val="en-US"/>
        </w:rPr>
        <w:t>Abbreviations: CBER, Center for Biologics Evaluation and Research; CI, confidence interval, HI, hemagglutination inhibition; FAS, full analysis set. a Seroconversion is defined as the percentage of subjects with either a pre-vaccination HI &lt; 1:10 and a postvaccination HI ≥ 1:40 or a pre-vaccination HI ≥ 1:10 and a minimum 4-fold rise in postvaccination HI antibody titer.</w:t>
      </w:r>
    </w:p>
    <w:p w14:paraId="3C9C21A0" w14:textId="3B33A103" w:rsidR="00854D79" w:rsidRPr="00854D79" w:rsidRDefault="00854D79" w:rsidP="00854D79">
      <w:pPr>
        <w:rPr>
          <w:lang w:val="en-US"/>
        </w:rPr>
      </w:pPr>
      <w:r w:rsidRPr="00854D79">
        <w:rPr>
          <w:lang w:val="en-US"/>
        </w:rPr>
        <w:t>On day 43, i.e. 3 weeks after second vaccination, the lower bound (LB) of the 2-sided 97.5% CI for the percentage achieving seroconversion exceeded 40% in both formulations, i.e. 97.5% CI was 81%-90% for low dose group and 93%-98% for high dose group (Table 1</w:t>
      </w:r>
      <w:r>
        <w:rPr>
          <w:lang w:val="en-US"/>
        </w:rPr>
        <w:t>1</w:t>
      </w:r>
      <w:r w:rsidRPr="00854D79">
        <w:rPr>
          <w:lang w:val="en-US"/>
        </w:rPr>
        <w:t>).</w:t>
      </w:r>
    </w:p>
    <w:p w14:paraId="4CC2BBAF" w14:textId="065149F7" w:rsidR="00854D79" w:rsidRDefault="00854D79" w:rsidP="00854D79">
      <w:pPr>
        <w:pStyle w:val="TableTitle"/>
        <w:rPr>
          <w:lang w:val="en-US"/>
        </w:rPr>
      </w:pPr>
      <w:r w:rsidRPr="00854D79">
        <w:rPr>
          <w:lang w:val="en-US"/>
        </w:rPr>
        <w:t>Table 1</w:t>
      </w:r>
      <w:r>
        <w:rPr>
          <w:lang w:val="en-US"/>
        </w:rPr>
        <w:t>1</w:t>
      </w:r>
      <w:r w:rsidRPr="00854D79">
        <w:rPr>
          <w:lang w:val="en-US"/>
        </w:rPr>
        <w:t xml:space="preserve">. Percentage of Subjects (97.5% CI) with </w:t>
      </w:r>
      <w:proofErr w:type="spellStart"/>
      <w:r w:rsidRPr="00854D79">
        <w:rPr>
          <w:lang w:val="en-US"/>
        </w:rPr>
        <w:t>Seroconversion</w:t>
      </w:r>
      <w:r w:rsidR="007644EF" w:rsidRPr="007644EF">
        <w:rPr>
          <w:vertAlign w:val="superscript"/>
          <w:lang w:val="en-US"/>
        </w:rPr>
        <w:t>a</w:t>
      </w:r>
      <w:proofErr w:type="spellEnd"/>
      <w:r w:rsidRPr="00854D79">
        <w:rPr>
          <w:lang w:val="en-US"/>
        </w:rPr>
        <w:t xml:space="preserve"> Against Homologous Strain –HI Assay – FAS V89_11.</w:t>
      </w:r>
    </w:p>
    <w:p w14:paraId="09073617" w14:textId="1B76ED73" w:rsidR="002010AB" w:rsidRPr="00854D79" w:rsidRDefault="002010AB" w:rsidP="002010AB">
      <w:pPr>
        <w:rPr>
          <w:lang w:val="en-US"/>
        </w:rPr>
      </w:pPr>
      <w:r>
        <w:rPr>
          <w:noProof/>
          <w:lang w:val="en-US"/>
        </w:rPr>
        <w:drawing>
          <wp:inline distT="0" distB="0" distL="0" distR="0" wp14:anchorId="06B11BC4" wp14:editId="3AE91928">
            <wp:extent cx="5523230" cy="2023745"/>
            <wp:effectExtent l="0" t="0" r="1270" b="0"/>
            <wp:docPr id="980233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3230" cy="2023745"/>
                    </a:xfrm>
                    <a:prstGeom prst="rect">
                      <a:avLst/>
                    </a:prstGeom>
                    <a:noFill/>
                  </pic:spPr>
                </pic:pic>
              </a:graphicData>
            </a:graphic>
          </wp:inline>
        </w:drawing>
      </w:r>
    </w:p>
    <w:p w14:paraId="76E7CA17" w14:textId="77777777" w:rsidR="00D20337" w:rsidRPr="00D20337" w:rsidRDefault="00D20337" w:rsidP="00D20337">
      <w:pPr>
        <w:pStyle w:val="TableDescription"/>
        <w:rPr>
          <w:lang w:val="en-US"/>
        </w:rPr>
      </w:pPr>
      <w:r w:rsidRPr="00D20337">
        <w:rPr>
          <w:lang w:val="en-US"/>
        </w:rPr>
        <w:t>Abbreviations: CI, confidence interval, HI, hemagglutination inhibition, FAS, full analysis set. a Seroconversion is defined as the percentage of subjects with either a pre-vaccination HI &lt; 1:10 and a postvaccination HI ≥ 1:40 or a pre-vaccination HI ≥ 1:10 and a minimum four-fold rise in postvaccination HI antibody titer.</w:t>
      </w:r>
    </w:p>
    <w:p w14:paraId="169B795B" w14:textId="77777777" w:rsidR="002010AB" w:rsidRDefault="002010AB" w:rsidP="00BD4752">
      <w:pPr>
        <w:rPr>
          <w:lang w:val="en-US"/>
        </w:rPr>
      </w:pPr>
    </w:p>
    <w:p w14:paraId="2FEE29A0" w14:textId="77777777" w:rsidR="002010AB" w:rsidRDefault="002010AB" w:rsidP="00BD4752">
      <w:pPr>
        <w:rPr>
          <w:lang w:val="en-US"/>
        </w:rPr>
      </w:pPr>
    </w:p>
    <w:p w14:paraId="0AA29D52" w14:textId="658B66A8" w:rsidR="00BD4752" w:rsidRPr="00BD4752" w:rsidRDefault="00BD4752" w:rsidP="00BD4752">
      <w:pPr>
        <w:rPr>
          <w:lang w:val="en-US"/>
        </w:rPr>
      </w:pPr>
      <w:r w:rsidRPr="00BD4752">
        <w:rPr>
          <w:lang w:val="en-US"/>
        </w:rPr>
        <w:lastRenderedPageBreak/>
        <w:t xml:space="preserve">The following figure from the published paper describes the geometric mean HI </w:t>
      </w:r>
      <w:proofErr w:type="spellStart"/>
      <w:r w:rsidRPr="00BD4752">
        <w:rPr>
          <w:lang w:val="en-US"/>
        </w:rPr>
        <w:t>titres</w:t>
      </w:r>
      <w:proofErr w:type="spellEnd"/>
      <w:r w:rsidRPr="00BD4752">
        <w:rPr>
          <w:lang w:val="en-US"/>
        </w:rPr>
        <w:t xml:space="preserve"> (95% CI) against the homologous strain on days 1, 22, 43 and 387 in subjects stratified by age sub: group:</w:t>
      </w:r>
    </w:p>
    <w:p w14:paraId="1B7A10FB" w14:textId="58BAB068" w:rsidR="00BD4752" w:rsidRPr="00BD4752" w:rsidRDefault="00BD4752" w:rsidP="00BD4752">
      <w:pPr>
        <w:rPr>
          <w:lang w:val="en-US"/>
        </w:rPr>
      </w:pPr>
      <w:r w:rsidRPr="00BD4752">
        <w:rPr>
          <w:lang w:val="en-US"/>
        </w:rPr>
        <w:t>(A) 6–35 months of age; (B) 3–8 years of age; (C) 9–17 years of age and (D) 6 months–17 years of age (overall)</w:t>
      </w:r>
      <w:r>
        <w:rPr>
          <w:lang w:val="en-US"/>
        </w:rPr>
        <w:t>.</w:t>
      </w:r>
      <w:r w:rsidRPr="00BD4752">
        <w:rPr>
          <w:vertAlign w:val="superscript"/>
          <w:lang w:val="en-US"/>
        </w:rPr>
        <w:fldChar w:fldCharType="begin"/>
      </w:r>
      <w:r w:rsidRPr="00BD4752">
        <w:rPr>
          <w:vertAlign w:val="superscript"/>
          <w:lang w:val="en-US"/>
        </w:rPr>
        <w:instrText xml:space="preserve"> NOTEREF _Ref225865932 \h </w:instrText>
      </w:r>
      <w:r>
        <w:rPr>
          <w:vertAlign w:val="superscript"/>
          <w:lang w:val="en-US"/>
        </w:rPr>
        <w:instrText xml:space="preserve"> \* MERGEFORMAT </w:instrText>
      </w:r>
      <w:r w:rsidRPr="00BD4752">
        <w:rPr>
          <w:vertAlign w:val="superscript"/>
          <w:lang w:val="en-US"/>
        </w:rPr>
      </w:r>
      <w:r w:rsidRPr="00BD4752">
        <w:rPr>
          <w:vertAlign w:val="superscript"/>
          <w:lang w:val="en-US"/>
        </w:rPr>
        <w:fldChar w:fldCharType="separate"/>
      </w:r>
      <w:r w:rsidRPr="00BD4752">
        <w:rPr>
          <w:vertAlign w:val="superscript"/>
          <w:lang w:val="en-US"/>
        </w:rPr>
        <w:t>18</w:t>
      </w:r>
      <w:r w:rsidRPr="00BD4752">
        <w:rPr>
          <w:vertAlign w:val="superscript"/>
          <w:lang w:val="en-US"/>
        </w:rPr>
        <w:fldChar w:fldCharType="end"/>
      </w:r>
      <w:r w:rsidRPr="00BD4752">
        <w:rPr>
          <w:lang w:val="en-US"/>
        </w:rPr>
        <w:t xml:space="preserve"> </w:t>
      </w:r>
    </w:p>
    <w:p w14:paraId="57F20760" w14:textId="43911361" w:rsidR="00E36F5C" w:rsidRPr="00E36F5C" w:rsidRDefault="00E36F5C" w:rsidP="00E36F5C">
      <w:pPr>
        <w:pStyle w:val="FigureTitle"/>
        <w:rPr>
          <w:lang w:val="en-US"/>
        </w:rPr>
      </w:pPr>
      <w:r w:rsidRPr="00E36F5C">
        <w:rPr>
          <w:lang w:val="en-US"/>
        </w:rPr>
        <w:t>Figure 2. Geometric mean HI titers (95% CI) on days 1, 22, 43 and 387 in subjects (A) 6 – 35 months of age; (B) 3 – 8 years of age; (C) 9 – 17 years of age and (D) 6 months – 17 years of age (overall)</w:t>
      </w:r>
      <w:r>
        <w:rPr>
          <w:lang w:val="en-US"/>
        </w:rPr>
        <w:t>.</w:t>
      </w:r>
      <w:r w:rsidR="00721687" w:rsidRPr="00721687">
        <w:rPr>
          <w:vertAlign w:val="superscript"/>
          <w:lang w:val="en-US"/>
        </w:rPr>
        <w:fldChar w:fldCharType="begin"/>
      </w:r>
      <w:r w:rsidR="00721687" w:rsidRPr="00721687">
        <w:rPr>
          <w:vertAlign w:val="superscript"/>
          <w:lang w:val="en-US"/>
        </w:rPr>
        <w:instrText xml:space="preserve"> NOTEREF _Ref225865932 \h </w:instrText>
      </w:r>
      <w:r w:rsidR="00721687">
        <w:rPr>
          <w:vertAlign w:val="superscript"/>
          <w:lang w:val="en-US"/>
        </w:rPr>
        <w:instrText xml:space="preserve"> \* MERGEFORMAT </w:instrText>
      </w:r>
      <w:r w:rsidR="00721687" w:rsidRPr="00721687">
        <w:rPr>
          <w:vertAlign w:val="superscript"/>
          <w:lang w:val="en-US"/>
        </w:rPr>
      </w:r>
      <w:r w:rsidR="00721687" w:rsidRPr="00721687">
        <w:rPr>
          <w:vertAlign w:val="superscript"/>
          <w:lang w:val="en-US"/>
        </w:rPr>
        <w:fldChar w:fldCharType="separate"/>
      </w:r>
      <w:r w:rsidR="00721687" w:rsidRPr="00721687">
        <w:rPr>
          <w:vertAlign w:val="superscript"/>
          <w:lang w:val="en-US"/>
        </w:rPr>
        <w:t>18</w:t>
      </w:r>
      <w:r w:rsidR="00721687" w:rsidRPr="00721687">
        <w:rPr>
          <w:vertAlign w:val="superscript"/>
          <w:lang w:val="en-US"/>
        </w:rPr>
        <w:fldChar w:fldCharType="end"/>
      </w:r>
      <w:r w:rsidRPr="00E36F5C">
        <w:rPr>
          <w:lang w:val="en-US"/>
        </w:rPr>
        <w:t xml:space="preserve"> </w:t>
      </w:r>
    </w:p>
    <w:p w14:paraId="41EF3E91" w14:textId="7C82EEDF" w:rsidR="00203321" w:rsidRPr="00203321" w:rsidRDefault="002010AB" w:rsidP="00203321">
      <w:pPr>
        <w:rPr>
          <w:lang w:val="en-US"/>
        </w:rPr>
      </w:pPr>
      <w:r>
        <w:rPr>
          <w:b/>
          <w:noProof/>
        </w:rPr>
        <w:drawing>
          <wp:inline distT="0" distB="0" distL="0" distR="0" wp14:anchorId="4612D1EE" wp14:editId="7B45F1C7">
            <wp:extent cx="3780869" cy="3713259"/>
            <wp:effectExtent l="0" t="0" r="0" b="1905"/>
            <wp:docPr id="2074397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6275" cy="3718569"/>
                    </a:xfrm>
                    <a:prstGeom prst="rect">
                      <a:avLst/>
                    </a:prstGeom>
                    <a:noFill/>
                  </pic:spPr>
                </pic:pic>
              </a:graphicData>
            </a:graphic>
          </wp:inline>
        </w:drawing>
      </w:r>
    </w:p>
    <w:p w14:paraId="6A16F208" w14:textId="77777777" w:rsidR="00B735EC" w:rsidRPr="00B735EC" w:rsidRDefault="00B735EC" w:rsidP="00B735EC">
      <w:pPr>
        <w:rPr>
          <w:b/>
          <w:bCs/>
          <w:i/>
          <w:iCs/>
          <w:lang w:val="en-US"/>
        </w:rPr>
      </w:pPr>
      <w:r w:rsidRPr="00B735EC">
        <w:rPr>
          <w:b/>
          <w:bCs/>
          <w:i/>
          <w:iCs/>
          <w:lang w:val="en-US"/>
        </w:rPr>
        <w:t>Immunogenicity to heterologous strains</w:t>
      </w:r>
    </w:p>
    <w:p w14:paraId="0D500A88" w14:textId="77777777" w:rsidR="00B735EC" w:rsidRPr="00B735EC" w:rsidRDefault="00B735EC" w:rsidP="00B735EC">
      <w:pPr>
        <w:rPr>
          <w:lang w:val="en-US"/>
        </w:rPr>
      </w:pPr>
      <w:r w:rsidRPr="00B735EC">
        <w:rPr>
          <w:lang w:val="en-US"/>
        </w:rPr>
        <w:t>Immunogenicity against heterologous strains was an exploratory endpoint for this study. The sample size was small, with 332 paediatric subjects randomised to receive the full dose of the vaccine and only 69 subjects from the full dose group included in this exploratory analysis.</w:t>
      </w:r>
    </w:p>
    <w:p w14:paraId="52B0ACEA" w14:textId="7D43A7FA" w:rsidR="00B735EC" w:rsidRPr="00B735EC" w:rsidRDefault="00B735EC" w:rsidP="00B735EC">
      <w:pPr>
        <w:rPr>
          <w:lang w:val="en-US"/>
        </w:rPr>
      </w:pPr>
      <w:r w:rsidRPr="00B735EC">
        <w:rPr>
          <w:lang w:val="en-US"/>
        </w:rPr>
        <w:t>The published paper</w:t>
      </w:r>
      <w:r w:rsidRPr="00B735EC">
        <w:rPr>
          <w:vertAlign w:val="superscript"/>
          <w:lang w:val="en-US"/>
        </w:rPr>
        <w:fldChar w:fldCharType="begin"/>
      </w:r>
      <w:r w:rsidRPr="00B735EC">
        <w:rPr>
          <w:vertAlign w:val="superscript"/>
          <w:lang w:val="en-US"/>
        </w:rPr>
        <w:instrText xml:space="preserve"> NOTEREF _Ref225866061 \h </w:instrText>
      </w:r>
      <w:r>
        <w:rPr>
          <w:vertAlign w:val="superscript"/>
          <w:lang w:val="en-US"/>
        </w:rPr>
        <w:instrText xml:space="preserve"> \* MERGEFORMAT </w:instrText>
      </w:r>
      <w:r w:rsidRPr="00B735EC">
        <w:rPr>
          <w:vertAlign w:val="superscript"/>
          <w:lang w:val="en-US"/>
        </w:rPr>
      </w:r>
      <w:r w:rsidRPr="00B735EC">
        <w:rPr>
          <w:vertAlign w:val="superscript"/>
          <w:lang w:val="en-US"/>
        </w:rPr>
        <w:fldChar w:fldCharType="separate"/>
      </w:r>
      <w:r w:rsidRPr="00B735EC">
        <w:rPr>
          <w:vertAlign w:val="superscript"/>
          <w:lang w:val="en-US"/>
        </w:rPr>
        <w:t>17</w:t>
      </w:r>
      <w:r w:rsidRPr="00B735EC">
        <w:rPr>
          <w:vertAlign w:val="superscript"/>
          <w:lang w:val="en-US"/>
        </w:rPr>
        <w:fldChar w:fldCharType="end"/>
      </w:r>
      <w:r w:rsidRPr="00B735EC">
        <w:rPr>
          <w:lang w:val="en-US"/>
        </w:rPr>
        <w:t xml:space="preserve"> provides a summary of the antibody responses to the heterologous </w:t>
      </w:r>
      <w:bookmarkStart w:id="53" w:name="_bookmark35"/>
      <w:bookmarkEnd w:id="53"/>
      <w:r w:rsidRPr="00B735EC">
        <w:rPr>
          <w:lang w:val="en-US"/>
        </w:rPr>
        <w:t>strains and these results are also included in the proposed PI. There were some cross-reactive immune responses to heterologous strains in the full dose group.</w:t>
      </w:r>
    </w:p>
    <w:p w14:paraId="7FCFD78B" w14:textId="77777777" w:rsidR="00130DCA" w:rsidRPr="00130DCA" w:rsidRDefault="00130DCA" w:rsidP="00130DCA">
      <w:pPr>
        <w:pStyle w:val="Heading5"/>
        <w:rPr>
          <w:lang w:val="en-US"/>
        </w:rPr>
      </w:pPr>
      <w:r w:rsidRPr="00130DCA">
        <w:rPr>
          <w:lang w:val="en-US"/>
        </w:rPr>
        <w:t>Study V89_04 and Study V89_13</w:t>
      </w:r>
    </w:p>
    <w:p w14:paraId="638CE954" w14:textId="224353FA" w:rsidR="00130DCA" w:rsidRPr="00130DCA" w:rsidRDefault="00130DCA" w:rsidP="00130DCA">
      <w:pPr>
        <w:rPr>
          <w:lang w:val="en-US"/>
        </w:rPr>
      </w:pPr>
      <w:r w:rsidRPr="00130DCA">
        <w:rPr>
          <w:lang w:val="en-US"/>
        </w:rPr>
        <w:t>Study V89_04 and Study V89_13 were studies with similar study designs that enrolled adults 18 to 64 years of age and elderly adults 65 years of age and older, respectively. Publications arising from these studies have been included as attachments for the ACV.</w:t>
      </w:r>
      <w:bookmarkStart w:id="54" w:name="_bookmark38"/>
      <w:bookmarkEnd w:id="54"/>
      <w:r w:rsidRPr="00A870F8">
        <w:rPr>
          <w:rStyle w:val="FootnoteReference"/>
          <w:lang w:val="en-US"/>
        </w:rPr>
        <w:footnoteReference w:id="19"/>
      </w:r>
      <w:r w:rsidR="00002810" w:rsidRPr="00A870F8">
        <w:rPr>
          <w:vertAlign w:val="superscript"/>
          <w:lang w:val="en-US"/>
        </w:rPr>
        <w:t>,</w:t>
      </w:r>
      <w:bookmarkStart w:id="55" w:name="_Ref225866437"/>
      <w:r w:rsidR="00002810" w:rsidRPr="00A870F8">
        <w:rPr>
          <w:rStyle w:val="FootnoteReference"/>
          <w:lang w:val="en-US"/>
        </w:rPr>
        <w:footnoteReference w:id="20"/>
      </w:r>
      <w:bookmarkEnd w:id="55"/>
      <w:r w:rsidRPr="00130DCA">
        <w:rPr>
          <w:lang w:val="en-US"/>
        </w:rPr>
        <w:t xml:space="preserve"> </w:t>
      </w:r>
    </w:p>
    <w:p w14:paraId="2FE022D8" w14:textId="77777777" w:rsidR="00130DCA" w:rsidRPr="00130DCA" w:rsidRDefault="00130DCA" w:rsidP="00130DCA">
      <w:pPr>
        <w:rPr>
          <w:b/>
          <w:bCs/>
          <w:lang w:val="en-US"/>
        </w:rPr>
      </w:pPr>
      <w:r w:rsidRPr="00130DCA">
        <w:rPr>
          <w:b/>
          <w:bCs/>
          <w:lang w:val="en-US"/>
        </w:rPr>
        <w:lastRenderedPageBreak/>
        <w:t>Primary objectives</w:t>
      </w:r>
    </w:p>
    <w:p w14:paraId="44A57E74" w14:textId="6D9A546C" w:rsidR="00130DCA" w:rsidRPr="00130DCA" w:rsidRDefault="00130DCA" w:rsidP="00130DCA">
      <w:pPr>
        <w:rPr>
          <w:lang w:val="en-US"/>
        </w:rPr>
      </w:pPr>
      <w:r w:rsidRPr="00130DCA">
        <w:rPr>
          <w:b/>
          <w:lang w:val="en-US"/>
        </w:rPr>
        <w:t xml:space="preserve">Primary </w:t>
      </w:r>
      <w:r w:rsidR="002010AB" w:rsidRPr="00130DCA">
        <w:rPr>
          <w:b/>
          <w:lang w:val="en-US"/>
        </w:rPr>
        <w:t>objectives: immunogenicity</w:t>
      </w:r>
      <w:r w:rsidRPr="00130DCA">
        <w:rPr>
          <w:b/>
          <w:lang w:val="en-US"/>
        </w:rPr>
        <w:t xml:space="preserve">: </w:t>
      </w:r>
      <w:r w:rsidRPr="00130DCA">
        <w:rPr>
          <w:lang w:val="en-US"/>
        </w:rPr>
        <w:t>To select the vaccine (low dose or high dose aH5N1c) to be tested in phase 3 based on achievement of CBER criteria 3 weeks after the second vaccine administration as measured by strain-specific HI assays.</w:t>
      </w:r>
    </w:p>
    <w:p w14:paraId="1BF0F4A5" w14:textId="4A43A69B" w:rsidR="00130DCA" w:rsidRPr="00130DCA" w:rsidRDefault="00130DCA" w:rsidP="00130DCA">
      <w:pPr>
        <w:rPr>
          <w:b/>
          <w:bCs/>
          <w:lang w:val="en-US"/>
        </w:rPr>
      </w:pPr>
      <w:r w:rsidRPr="00130DCA">
        <w:rPr>
          <w:b/>
          <w:bCs/>
          <w:lang w:val="en-US"/>
        </w:rPr>
        <w:t xml:space="preserve">Secondary </w:t>
      </w:r>
      <w:r w:rsidR="002010AB" w:rsidRPr="00130DCA">
        <w:rPr>
          <w:b/>
          <w:bCs/>
          <w:lang w:val="en-US"/>
        </w:rPr>
        <w:t>objectives: immunogenicity</w:t>
      </w:r>
      <w:r w:rsidRPr="00130DCA">
        <w:rPr>
          <w:b/>
          <w:bCs/>
          <w:lang w:val="en-US"/>
        </w:rPr>
        <w:t>:</w:t>
      </w:r>
    </w:p>
    <w:p w14:paraId="05E622E1" w14:textId="77777777" w:rsidR="00130DCA" w:rsidRPr="00130DCA" w:rsidRDefault="00130DCA" w:rsidP="00A870F8">
      <w:pPr>
        <w:pStyle w:val="ListBullet"/>
        <w:rPr>
          <w:lang w:val="en-US"/>
        </w:rPr>
      </w:pPr>
      <w:r w:rsidRPr="00130DCA">
        <w:rPr>
          <w:lang w:val="en-US"/>
        </w:rPr>
        <w:t>For each aH5N1c vaccine (low or high dose), to evaluate achievement of all CHMP criteria 3 weeks after the second vaccine administration measured by strain-specific HI assay.</w:t>
      </w:r>
    </w:p>
    <w:p w14:paraId="68D4C968" w14:textId="77777777" w:rsidR="00130DCA" w:rsidRPr="00130DCA" w:rsidRDefault="00130DCA" w:rsidP="00A870F8">
      <w:pPr>
        <w:pStyle w:val="ListBullet"/>
        <w:rPr>
          <w:lang w:val="en-US"/>
        </w:rPr>
      </w:pPr>
      <w:r w:rsidRPr="00130DCA">
        <w:rPr>
          <w:lang w:val="en-US"/>
        </w:rPr>
        <w:t>For each aH5N1c vaccine (low or high dose), to evaluate achievement of CBER and CHMP criteria 3 weeks after the first vaccine administration measured by strain-specific HI assay.</w:t>
      </w:r>
    </w:p>
    <w:p w14:paraId="463F9969" w14:textId="77777777" w:rsidR="00130DCA" w:rsidRPr="00130DCA" w:rsidRDefault="00130DCA" w:rsidP="00A870F8">
      <w:pPr>
        <w:pStyle w:val="ListBullet"/>
        <w:rPr>
          <w:lang w:val="en-US"/>
        </w:rPr>
      </w:pPr>
      <w:r w:rsidRPr="00130DCA">
        <w:rPr>
          <w:lang w:val="en-US"/>
        </w:rPr>
        <w:t>To evaluate immunogenicity of each aH5N1c vaccine (low or high dose) 12 months after the primary 2-dose course with respect to CBER and CHMP criteria, as measured by strain-specific HI assays.</w:t>
      </w:r>
    </w:p>
    <w:p w14:paraId="10ED29F0" w14:textId="5DB8E24E" w:rsidR="00130DCA" w:rsidRPr="00130DCA" w:rsidRDefault="00130DCA" w:rsidP="00130DCA">
      <w:pPr>
        <w:rPr>
          <w:b/>
          <w:bCs/>
          <w:lang w:val="en-US"/>
        </w:rPr>
      </w:pPr>
      <w:r w:rsidRPr="00130DCA">
        <w:rPr>
          <w:b/>
          <w:bCs/>
          <w:lang w:val="en-US"/>
        </w:rPr>
        <w:t xml:space="preserve">Exploratory </w:t>
      </w:r>
      <w:r w:rsidR="002010AB">
        <w:rPr>
          <w:b/>
          <w:bCs/>
          <w:lang w:val="en-US"/>
        </w:rPr>
        <w:t>o</w:t>
      </w:r>
      <w:r w:rsidRPr="00130DCA">
        <w:rPr>
          <w:b/>
          <w:bCs/>
          <w:lang w:val="en-US"/>
        </w:rPr>
        <w:t>bjectives:</w:t>
      </w:r>
    </w:p>
    <w:p w14:paraId="756E9907" w14:textId="77777777" w:rsidR="00130DCA" w:rsidRPr="00130DCA" w:rsidRDefault="00130DCA" w:rsidP="00130DCA">
      <w:pPr>
        <w:rPr>
          <w:lang w:val="en-US"/>
        </w:rPr>
      </w:pPr>
      <w:r w:rsidRPr="00130DCA">
        <w:rPr>
          <w:lang w:val="en-US"/>
        </w:rPr>
        <w:t>Immunogenicity:</w:t>
      </w:r>
    </w:p>
    <w:p w14:paraId="2EF18E44" w14:textId="77777777" w:rsidR="00130DCA" w:rsidRPr="00130DCA" w:rsidRDefault="00130DCA" w:rsidP="00A870F8">
      <w:pPr>
        <w:pStyle w:val="ListBullet"/>
        <w:rPr>
          <w:lang w:val="en-US"/>
        </w:rPr>
      </w:pPr>
      <w:r w:rsidRPr="00130DCA">
        <w:rPr>
          <w:lang w:val="en-US"/>
        </w:rPr>
        <w:t>For each aH5N1c vaccine (low or high dose), to evaluate the antibody responses against heterologous influenza strain(s) as measured by HI assay.</w:t>
      </w:r>
    </w:p>
    <w:p w14:paraId="03EB8FC3" w14:textId="77777777" w:rsidR="00130DCA" w:rsidRPr="00130DCA" w:rsidRDefault="00130DCA" w:rsidP="00A870F8">
      <w:pPr>
        <w:pStyle w:val="ListBullet"/>
        <w:rPr>
          <w:lang w:val="en-US"/>
        </w:rPr>
      </w:pPr>
      <w:r w:rsidRPr="00130DCA">
        <w:rPr>
          <w:lang w:val="en-US"/>
        </w:rPr>
        <w:t>For each aH5N1c vaccine (low or high dose), to evaluate the antibody responses against heterologous and homologous influenza strain(s) as measured MN assay.</w:t>
      </w:r>
    </w:p>
    <w:p w14:paraId="7EF6E322" w14:textId="77777777" w:rsidR="00130DCA" w:rsidRPr="00130DCA" w:rsidRDefault="00130DCA" w:rsidP="00130DCA">
      <w:pPr>
        <w:rPr>
          <w:b/>
          <w:bCs/>
          <w:lang w:val="en-US"/>
        </w:rPr>
      </w:pPr>
      <w:r w:rsidRPr="00130DCA">
        <w:rPr>
          <w:b/>
          <w:bCs/>
          <w:lang w:val="en-US"/>
        </w:rPr>
        <w:t>Results</w:t>
      </w:r>
    </w:p>
    <w:p w14:paraId="60749180" w14:textId="77777777" w:rsidR="00130DCA" w:rsidRPr="00130DCA" w:rsidRDefault="00130DCA" w:rsidP="00130DCA">
      <w:pPr>
        <w:rPr>
          <w:b/>
          <w:bCs/>
          <w:i/>
          <w:iCs/>
          <w:lang w:val="en-US"/>
        </w:rPr>
      </w:pPr>
      <w:r w:rsidRPr="00130DCA">
        <w:rPr>
          <w:b/>
          <w:bCs/>
          <w:i/>
          <w:iCs/>
          <w:lang w:val="en-US"/>
        </w:rPr>
        <w:t>Results for the primary efficacy outcome Study V89_04 (adults 18 to &lt;65 years)</w:t>
      </w:r>
    </w:p>
    <w:p w14:paraId="72FEC8F8" w14:textId="093E9EF3" w:rsidR="00130DCA" w:rsidRPr="00130DCA" w:rsidRDefault="00130DCA" w:rsidP="00130DCA">
      <w:pPr>
        <w:rPr>
          <w:lang w:val="en-US"/>
        </w:rPr>
      </w:pPr>
      <w:r w:rsidRPr="00130DCA">
        <w:rPr>
          <w:lang w:val="en-US"/>
        </w:rPr>
        <w:t>CBER criteria at day 43: At day 22, a higher percentage of subjects in the high dose group (48%) showed seroconversion than in the low dose group (27%); similar trends were observed 3 weeks after the second vaccination (day 43; Table 1</w:t>
      </w:r>
      <w:r w:rsidR="001B4E54">
        <w:rPr>
          <w:lang w:val="en-US"/>
        </w:rPr>
        <w:t>2</w:t>
      </w:r>
      <w:r w:rsidRPr="00130DCA">
        <w:rPr>
          <w:lang w:val="en-US"/>
        </w:rPr>
        <w:t>). Twelve months after the second vaccination, there was a decrease in the percentage with seroconversion in both vaccine groups, but it was still higher in the high dose group (22%) than in the low dose group (9%).</w:t>
      </w:r>
    </w:p>
    <w:p w14:paraId="567B27EF" w14:textId="053B18B7" w:rsidR="001B4E54" w:rsidRDefault="001B4E54" w:rsidP="001B4E54">
      <w:pPr>
        <w:pStyle w:val="TableTitle"/>
        <w:rPr>
          <w:lang w:val="en-US"/>
        </w:rPr>
      </w:pPr>
      <w:r w:rsidRPr="001B4E54">
        <w:rPr>
          <w:lang w:val="en-US"/>
        </w:rPr>
        <w:t>Table 1</w:t>
      </w:r>
      <w:r>
        <w:rPr>
          <w:lang w:val="en-US"/>
        </w:rPr>
        <w:t>2</w:t>
      </w:r>
      <w:r w:rsidRPr="001B4E54">
        <w:rPr>
          <w:lang w:val="en-US"/>
        </w:rPr>
        <w:t xml:space="preserve">. Number (%) of Subjects (97.5% CI) with </w:t>
      </w:r>
      <w:proofErr w:type="spellStart"/>
      <w:r w:rsidRPr="001B4E54">
        <w:rPr>
          <w:lang w:val="en-US"/>
        </w:rPr>
        <w:t>Seroconversion</w:t>
      </w:r>
      <w:r w:rsidRPr="00D0646F">
        <w:rPr>
          <w:vertAlign w:val="superscript"/>
          <w:lang w:val="en-US"/>
        </w:rPr>
        <w:t>a</w:t>
      </w:r>
      <w:proofErr w:type="spellEnd"/>
      <w:r w:rsidRPr="00D0646F">
        <w:rPr>
          <w:vertAlign w:val="superscript"/>
          <w:lang w:val="en-US"/>
        </w:rPr>
        <w:t xml:space="preserve"> </w:t>
      </w:r>
      <w:r w:rsidRPr="001B4E54">
        <w:rPr>
          <w:lang w:val="en-US"/>
        </w:rPr>
        <w:t>Against Homologous Strain – HI Assay – FAS V89_04.</w:t>
      </w:r>
    </w:p>
    <w:p w14:paraId="4BFB3FBF" w14:textId="1F626D31" w:rsidR="002010AB" w:rsidRPr="001B4E54" w:rsidRDefault="002010AB" w:rsidP="002010AB">
      <w:pPr>
        <w:rPr>
          <w:lang w:val="en-US"/>
        </w:rPr>
      </w:pPr>
      <w:r>
        <w:rPr>
          <w:noProof/>
          <w:lang w:val="en-US"/>
        </w:rPr>
        <w:drawing>
          <wp:inline distT="0" distB="0" distL="0" distR="0" wp14:anchorId="106696F6" wp14:editId="58325E8F">
            <wp:extent cx="5755005" cy="1896110"/>
            <wp:effectExtent l="0" t="0" r="0" b="8890"/>
            <wp:docPr id="2069117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005" cy="1896110"/>
                    </a:xfrm>
                    <a:prstGeom prst="rect">
                      <a:avLst/>
                    </a:prstGeom>
                    <a:noFill/>
                  </pic:spPr>
                </pic:pic>
              </a:graphicData>
            </a:graphic>
          </wp:inline>
        </w:drawing>
      </w:r>
    </w:p>
    <w:p w14:paraId="282DCB7A" w14:textId="77777777" w:rsidR="00CC42EE" w:rsidRDefault="00FC46D9" w:rsidP="00CC42EE">
      <w:pPr>
        <w:pStyle w:val="TableDescription"/>
        <w:spacing w:after="0"/>
        <w:rPr>
          <w:lang w:val="en-US"/>
        </w:rPr>
      </w:pPr>
      <w:r w:rsidRPr="00FC46D9">
        <w:rPr>
          <w:lang w:val="en-US"/>
        </w:rPr>
        <w:t xml:space="preserve">Abbreviations: CI, confidence interval; HI, hemagglutination inhibition; FAS, full analysis set; N, number of subjects. </w:t>
      </w:r>
    </w:p>
    <w:p w14:paraId="4E48C9DB" w14:textId="333F8DC0" w:rsidR="00FC46D9" w:rsidRPr="00FC46D9" w:rsidRDefault="00CC42EE" w:rsidP="00CC42EE">
      <w:pPr>
        <w:pStyle w:val="TableDescription"/>
        <w:spacing w:before="0"/>
        <w:rPr>
          <w:lang w:val="en-US"/>
        </w:rPr>
      </w:pPr>
      <w:r>
        <w:rPr>
          <w:lang w:val="en-US"/>
        </w:rPr>
        <w:t>a-</w:t>
      </w:r>
      <w:r w:rsidR="00FC46D9" w:rsidRPr="00FC46D9">
        <w:rPr>
          <w:lang w:val="en-US"/>
        </w:rPr>
        <w:t>Seroconversion is defined as either a pre-vaccination HI &lt; 1:10 and a postvaccination HI ≥ 1:40 or a pre-vaccination HI ≥ 1:10 and a minimum 4-fold rise in postvaccination HI antibody titer.</w:t>
      </w:r>
    </w:p>
    <w:p w14:paraId="1BE48E34" w14:textId="77777777" w:rsidR="005561EF" w:rsidRPr="005561EF" w:rsidRDefault="005561EF" w:rsidP="005561EF">
      <w:pPr>
        <w:rPr>
          <w:b/>
          <w:bCs/>
          <w:lang w:val="en-US"/>
        </w:rPr>
      </w:pPr>
      <w:r w:rsidRPr="005561EF">
        <w:rPr>
          <w:b/>
          <w:bCs/>
          <w:lang w:val="en-US"/>
        </w:rPr>
        <w:t>Evaluator conclusions</w:t>
      </w:r>
    </w:p>
    <w:p w14:paraId="2A3029DF" w14:textId="77777777" w:rsidR="005561EF" w:rsidRPr="005561EF" w:rsidRDefault="005561EF" w:rsidP="005561EF">
      <w:pPr>
        <w:rPr>
          <w:lang w:val="en-US"/>
        </w:rPr>
      </w:pPr>
      <w:r w:rsidRPr="005561EF">
        <w:rPr>
          <w:lang w:val="en-US"/>
        </w:rPr>
        <w:t xml:space="preserve">The evaluator noted that the primary objective of this study was to select the preferred vaccine, low dose (3.75 μg HA of H5N1 combined with 0.125 mL MF59) or high dose (7.5 μg HA of H5N1 with 0.25 mL of MF59) to be tested in Phase 3, based on achieving CBER criteria for the </w:t>
      </w:r>
      <w:r w:rsidRPr="005561EF">
        <w:rPr>
          <w:lang w:val="en-US"/>
        </w:rPr>
        <w:lastRenderedPageBreak/>
        <w:t>homologous HI assays 3 weeks after the second vaccine administration. Immunogenicity results indicated that the high dose vaccine was the more appropriate formulation for adults 18-64 years of age to be further developed in Phase 3 studies. Cross-reactive antibody responses against 5 heterologous H5N1 strains were measurable but quite variable.</w:t>
      </w:r>
    </w:p>
    <w:p w14:paraId="14C326B5" w14:textId="77777777" w:rsidR="005561EF" w:rsidRPr="005561EF" w:rsidRDefault="005561EF" w:rsidP="005561EF">
      <w:pPr>
        <w:rPr>
          <w:b/>
          <w:bCs/>
          <w:lang w:val="en-US"/>
        </w:rPr>
      </w:pPr>
      <w:r w:rsidRPr="005561EF">
        <w:rPr>
          <w:b/>
          <w:bCs/>
          <w:lang w:val="en-US"/>
        </w:rPr>
        <w:t>Results for the primary efficacy outcome Study V89_13 (adults ≥ 65 years of age)</w:t>
      </w:r>
    </w:p>
    <w:p w14:paraId="1DB0A74D" w14:textId="22D2B5AA" w:rsidR="005561EF" w:rsidRPr="005561EF" w:rsidRDefault="005561EF" w:rsidP="005561EF">
      <w:pPr>
        <w:rPr>
          <w:lang w:val="en-US"/>
        </w:rPr>
      </w:pPr>
      <w:r w:rsidRPr="005561EF">
        <w:rPr>
          <w:lang w:val="en-US"/>
        </w:rPr>
        <w:t xml:space="preserve">Seroconversion: At day 22, a higher percentage in the high dose group (36%) showed seroconversion against Influenza </w:t>
      </w:r>
      <w:proofErr w:type="gramStart"/>
      <w:r w:rsidRPr="005561EF">
        <w:rPr>
          <w:lang w:val="en-US"/>
        </w:rPr>
        <w:t>A</w:t>
      </w:r>
      <w:proofErr w:type="gramEnd"/>
      <w:r w:rsidRPr="005561EF">
        <w:rPr>
          <w:lang w:val="en-US"/>
        </w:rPr>
        <w:t xml:space="preserve"> H5N1 Turkey/2005 CC Ab strain vs. low dose group (21%); similar trends were observed 3 weeks after second vaccination (day 43; Table 1</w:t>
      </w:r>
      <w:r w:rsidR="003B0D2B">
        <w:rPr>
          <w:lang w:val="en-US"/>
        </w:rPr>
        <w:t>3</w:t>
      </w:r>
      <w:r w:rsidRPr="005561EF">
        <w:rPr>
          <w:lang w:val="en-US"/>
        </w:rPr>
        <w:t>). At day 387, there was a decrease in the percentage of subjects with seroconversion in both vaccine groups, but it was still higher in the high dose group (23%) than the low dose group (10%).</w:t>
      </w:r>
    </w:p>
    <w:p w14:paraId="594D93FB" w14:textId="0FBA6C8E" w:rsidR="003B0D2B" w:rsidRPr="003B0D2B" w:rsidRDefault="006F5CA6" w:rsidP="003B0D2B">
      <w:pPr>
        <w:rPr>
          <w:b/>
          <w:bCs/>
          <w:lang w:val="en-US"/>
        </w:rPr>
      </w:pPr>
      <w:r>
        <w:rPr>
          <w:b/>
          <w:noProof/>
          <w:sz w:val="15"/>
        </w:rPr>
        <w:drawing>
          <wp:anchor distT="0" distB="0" distL="0" distR="0" simplePos="0" relativeHeight="251677696" behindDoc="1" locked="0" layoutInCell="1" allowOverlap="1" wp14:anchorId="06486A37" wp14:editId="7F0D21A0">
            <wp:simplePos x="0" y="0"/>
            <wp:positionH relativeFrom="margin">
              <wp:align>left</wp:align>
            </wp:positionH>
            <wp:positionV relativeFrom="paragraph">
              <wp:posOffset>410210</wp:posOffset>
            </wp:positionV>
            <wp:extent cx="5693555" cy="1834514"/>
            <wp:effectExtent l="0" t="0" r="254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0" cstate="print"/>
                    <a:stretch>
                      <a:fillRect/>
                    </a:stretch>
                  </pic:blipFill>
                  <pic:spPr>
                    <a:xfrm>
                      <a:off x="0" y="0"/>
                      <a:ext cx="5693555" cy="1834514"/>
                    </a:xfrm>
                    <a:prstGeom prst="rect">
                      <a:avLst/>
                    </a:prstGeom>
                  </pic:spPr>
                </pic:pic>
              </a:graphicData>
            </a:graphic>
          </wp:anchor>
        </w:drawing>
      </w:r>
      <w:r w:rsidR="003B0D2B" w:rsidRPr="003B0D2B">
        <w:rPr>
          <w:b/>
          <w:bCs/>
          <w:lang w:val="en-US"/>
        </w:rPr>
        <w:t>Table 1</w:t>
      </w:r>
      <w:r w:rsidR="003B0D2B">
        <w:rPr>
          <w:b/>
          <w:bCs/>
          <w:lang w:val="en-US"/>
        </w:rPr>
        <w:t>3</w:t>
      </w:r>
      <w:r w:rsidR="003B0D2B" w:rsidRPr="003B0D2B">
        <w:rPr>
          <w:b/>
          <w:bCs/>
          <w:lang w:val="en-US"/>
        </w:rPr>
        <w:t xml:space="preserve">. Number (%) of Subjects (97.5% CI) with </w:t>
      </w:r>
      <w:proofErr w:type="spellStart"/>
      <w:r w:rsidR="003B0D2B" w:rsidRPr="003B0D2B">
        <w:rPr>
          <w:b/>
          <w:bCs/>
          <w:lang w:val="en-US"/>
        </w:rPr>
        <w:t>Seroconversion</w:t>
      </w:r>
      <w:r w:rsidR="00E96A0A" w:rsidRPr="00E96A0A">
        <w:rPr>
          <w:b/>
          <w:bCs/>
          <w:vertAlign w:val="superscript"/>
          <w:lang w:val="en-US"/>
        </w:rPr>
        <w:t>a</w:t>
      </w:r>
      <w:proofErr w:type="spellEnd"/>
      <w:r w:rsidR="003B0D2B" w:rsidRPr="003B0D2B">
        <w:rPr>
          <w:b/>
          <w:bCs/>
          <w:lang w:val="en-US"/>
        </w:rPr>
        <w:t xml:space="preserve"> Against Homologous Strain – HI Assay – FAS V89_13.</w:t>
      </w:r>
    </w:p>
    <w:p w14:paraId="1BDA2108" w14:textId="11C00CDE" w:rsidR="000778A3" w:rsidRPr="000778A3" w:rsidRDefault="000778A3" w:rsidP="000778A3">
      <w:pPr>
        <w:pStyle w:val="TableDescription"/>
        <w:rPr>
          <w:lang w:val="en-US"/>
        </w:rPr>
      </w:pPr>
      <w:r w:rsidRPr="000778A3">
        <w:rPr>
          <w:lang w:val="en-US"/>
        </w:rPr>
        <w:t xml:space="preserve">Abbreviation: CBER, Center for Biologics Evaluation and Research CI, confidence interval; FAS, full analysis set; HI, hemagglutination inhibition. </w:t>
      </w:r>
      <w:r w:rsidR="00E96A0A">
        <w:rPr>
          <w:lang w:val="en-US"/>
        </w:rPr>
        <w:t>a</w:t>
      </w:r>
      <w:r w:rsidR="00A52392">
        <w:rPr>
          <w:lang w:val="en-US"/>
        </w:rPr>
        <w:t>-</w:t>
      </w:r>
      <w:r w:rsidRPr="000778A3">
        <w:rPr>
          <w:lang w:val="en-US"/>
        </w:rPr>
        <w:t>Seroconversion according to CBER is defined as either a pre-vaccination HI &lt; 1:10 and a postvaccination HI ≥ 1:40, or a pre-vaccination HI ≥ 1:10 and a minimum 4-fold rise in postvaccination HI antibody titer.</w:t>
      </w:r>
    </w:p>
    <w:p w14:paraId="03DE5456" w14:textId="49473028" w:rsidR="00CA4BC9" w:rsidRPr="00CA4BC9" w:rsidRDefault="00CA4BC9" w:rsidP="00CA4BC9">
      <w:pPr>
        <w:rPr>
          <w:lang w:val="en-US"/>
        </w:rPr>
      </w:pPr>
      <w:r w:rsidRPr="00CA4BC9">
        <w:rPr>
          <w:lang w:val="en-US"/>
        </w:rPr>
        <w:t>The published papers for these studies provide useful summaries of the results for the homologous and heterologous strains in adults, stratified by age group. Below are the results extracted from Figures 3 and 4 of the published paper</w:t>
      </w:r>
      <w:r>
        <w:rPr>
          <w:lang w:val="en-US"/>
        </w:rPr>
        <w:t>.</w:t>
      </w:r>
      <w:r w:rsidRPr="00CA4BC9">
        <w:rPr>
          <w:vertAlign w:val="superscript"/>
          <w:lang w:val="en-US"/>
        </w:rPr>
        <w:fldChar w:fldCharType="begin"/>
      </w:r>
      <w:r w:rsidRPr="00CA4BC9">
        <w:rPr>
          <w:vertAlign w:val="superscript"/>
          <w:lang w:val="en-US"/>
        </w:rPr>
        <w:instrText xml:space="preserve"> NOTEREF _Ref225866437 \h </w:instrText>
      </w:r>
      <w:r>
        <w:rPr>
          <w:vertAlign w:val="superscript"/>
          <w:lang w:val="en-US"/>
        </w:rPr>
        <w:instrText xml:space="preserve"> \* MERGEFORMAT </w:instrText>
      </w:r>
      <w:r w:rsidRPr="00CA4BC9">
        <w:rPr>
          <w:vertAlign w:val="superscript"/>
          <w:lang w:val="en-US"/>
        </w:rPr>
      </w:r>
      <w:r w:rsidRPr="00CA4BC9">
        <w:rPr>
          <w:vertAlign w:val="superscript"/>
          <w:lang w:val="en-US"/>
        </w:rPr>
        <w:fldChar w:fldCharType="separate"/>
      </w:r>
      <w:r w:rsidRPr="00CA4BC9">
        <w:rPr>
          <w:vertAlign w:val="superscript"/>
          <w:lang w:val="en-US"/>
        </w:rPr>
        <w:t>20</w:t>
      </w:r>
      <w:r w:rsidRPr="00CA4BC9">
        <w:rPr>
          <w:vertAlign w:val="superscript"/>
          <w:lang w:val="en-US"/>
        </w:rPr>
        <w:fldChar w:fldCharType="end"/>
      </w:r>
    </w:p>
    <w:p w14:paraId="7ED3D716" w14:textId="287D13CA" w:rsidR="0058439E" w:rsidRDefault="0058439E" w:rsidP="002010AB">
      <w:pPr>
        <w:pStyle w:val="FigureTitle"/>
        <w:rPr>
          <w:lang w:val="en-US"/>
        </w:rPr>
      </w:pPr>
      <w:r w:rsidRPr="0058439E">
        <w:rPr>
          <w:lang w:val="en-US"/>
        </w:rPr>
        <w:t>Figure 3. Percentage of subjects with hemagglutination inhibition (HI) titers ≥ 1:40 in adults aged 18 – 64 y (a) and aged ≥ 65 y (b).</w:t>
      </w:r>
      <w:r w:rsidR="003F28DB" w:rsidRPr="003F28DB">
        <w:rPr>
          <w:vertAlign w:val="superscript"/>
          <w:lang w:val="en-US"/>
        </w:rPr>
        <w:fldChar w:fldCharType="begin"/>
      </w:r>
      <w:r w:rsidR="003F28DB" w:rsidRPr="003F28DB">
        <w:rPr>
          <w:vertAlign w:val="superscript"/>
          <w:lang w:val="en-US"/>
        </w:rPr>
        <w:instrText xml:space="preserve"> NOTEREF _Ref225866437 \h </w:instrText>
      </w:r>
      <w:r w:rsidR="003F28DB">
        <w:rPr>
          <w:vertAlign w:val="superscript"/>
          <w:lang w:val="en-US"/>
        </w:rPr>
        <w:instrText xml:space="preserve"> \* MERGEFORMAT </w:instrText>
      </w:r>
      <w:r w:rsidR="003F28DB" w:rsidRPr="003F28DB">
        <w:rPr>
          <w:vertAlign w:val="superscript"/>
          <w:lang w:val="en-US"/>
        </w:rPr>
      </w:r>
      <w:r w:rsidR="003F28DB" w:rsidRPr="003F28DB">
        <w:rPr>
          <w:vertAlign w:val="superscript"/>
          <w:lang w:val="en-US"/>
        </w:rPr>
        <w:fldChar w:fldCharType="separate"/>
      </w:r>
      <w:r w:rsidR="003F28DB" w:rsidRPr="003F28DB">
        <w:rPr>
          <w:vertAlign w:val="superscript"/>
          <w:lang w:val="en-US"/>
        </w:rPr>
        <w:t>20</w:t>
      </w:r>
      <w:r w:rsidR="003F28DB" w:rsidRPr="003F28DB">
        <w:rPr>
          <w:vertAlign w:val="superscript"/>
          <w:lang w:val="en-US"/>
        </w:rPr>
        <w:fldChar w:fldCharType="end"/>
      </w:r>
      <w:r w:rsidR="003F28DB" w:rsidRPr="0058439E">
        <w:rPr>
          <w:lang w:val="en-US"/>
        </w:rPr>
        <w:t xml:space="preserve"> </w:t>
      </w:r>
    </w:p>
    <w:p w14:paraId="5A059342" w14:textId="5A43D852" w:rsidR="002010AB" w:rsidRDefault="002010AB" w:rsidP="002010AB">
      <w:pPr>
        <w:rPr>
          <w:lang w:val="en-US"/>
        </w:rPr>
      </w:pPr>
      <w:r>
        <w:rPr>
          <w:noProof/>
          <w:lang w:val="en-US"/>
        </w:rPr>
        <w:drawing>
          <wp:inline distT="0" distB="0" distL="0" distR="0" wp14:anchorId="4331756D" wp14:editId="6D7295BB">
            <wp:extent cx="5876014" cy="2557289"/>
            <wp:effectExtent l="0" t="0" r="0" b="0"/>
            <wp:docPr id="1798166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0461" cy="2594041"/>
                    </a:xfrm>
                    <a:prstGeom prst="rect">
                      <a:avLst/>
                    </a:prstGeom>
                    <a:noFill/>
                  </pic:spPr>
                </pic:pic>
              </a:graphicData>
            </a:graphic>
          </wp:inline>
        </w:drawing>
      </w:r>
    </w:p>
    <w:p w14:paraId="6F1D4D6C" w14:textId="77777777" w:rsidR="002010AB" w:rsidRDefault="002010AB" w:rsidP="002010AB">
      <w:pPr>
        <w:pStyle w:val="FigureDescription"/>
      </w:pPr>
      <w:r>
        <w:t>Error</w:t>
      </w:r>
      <w:r>
        <w:rPr>
          <w:spacing w:val="-3"/>
        </w:rPr>
        <w:t xml:space="preserve"> </w:t>
      </w:r>
      <w:r>
        <w:t>bars</w:t>
      </w:r>
      <w:r>
        <w:rPr>
          <w:spacing w:val="-3"/>
        </w:rPr>
        <w:t xml:space="preserve"> </w:t>
      </w:r>
      <w:r>
        <w:t>represent</w:t>
      </w:r>
      <w:r>
        <w:rPr>
          <w:spacing w:val="-3"/>
        </w:rPr>
        <w:t xml:space="preserve"> </w:t>
      </w:r>
      <w:r>
        <w:t>the</w:t>
      </w:r>
      <w:r>
        <w:rPr>
          <w:spacing w:val="-2"/>
        </w:rPr>
        <w:t xml:space="preserve"> </w:t>
      </w:r>
      <w:r>
        <w:t>95%</w:t>
      </w:r>
      <w:r>
        <w:rPr>
          <w:spacing w:val="-4"/>
        </w:rPr>
        <w:t xml:space="preserve"> </w:t>
      </w:r>
      <w:r>
        <w:t>confidence</w:t>
      </w:r>
      <w:r>
        <w:rPr>
          <w:spacing w:val="-2"/>
        </w:rPr>
        <w:t xml:space="preserve"> </w:t>
      </w:r>
      <w:r>
        <w:t>interval</w:t>
      </w:r>
      <w:r>
        <w:rPr>
          <w:spacing w:val="-5"/>
        </w:rPr>
        <w:t xml:space="preserve"> </w:t>
      </w:r>
      <w:r>
        <w:t>(CI)</w:t>
      </w:r>
      <w:r>
        <w:rPr>
          <w:spacing w:val="-4"/>
        </w:rPr>
        <w:t xml:space="preserve"> </w:t>
      </w:r>
      <w:r>
        <w:t>for</w:t>
      </w:r>
      <w:r>
        <w:rPr>
          <w:spacing w:val="-3"/>
        </w:rPr>
        <w:t xml:space="preserve"> </w:t>
      </w:r>
      <w:r>
        <w:t>heterologous</w:t>
      </w:r>
      <w:r>
        <w:rPr>
          <w:spacing w:val="-3"/>
        </w:rPr>
        <w:t xml:space="preserve"> </w:t>
      </w:r>
      <w:r>
        <w:t>strains</w:t>
      </w:r>
      <w:r>
        <w:rPr>
          <w:spacing w:val="-3"/>
        </w:rPr>
        <w:t xml:space="preserve"> </w:t>
      </w:r>
      <w:r>
        <w:t>and</w:t>
      </w:r>
      <w:r>
        <w:rPr>
          <w:spacing w:val="-3"/>
        </w:rPr>
        <w:t xml:space="preserve"> </w:t>
      </w:r>
      <w:r>
        <w:t>the</w:t>
      </w:r>
      <w:r>
        <w:rPr>
          <w:spacing w:val="-2"/>
        </w:rPr>
        <w:t xml:space="preserve"> </w:t>
      </w:r>
      <w:r>
        <w:t>97.5%</w:t>
      </w:r>
      <w:r>
        <w:rPr>
          <w:spacing w:val="-4"/>
        </w:rPr>
        <w:t xml:space="preserve"> </w:t>
      </w:r>
      <w:r>
        <w:t>CI</w:t>
      </w:r>
      <w:r>
        <w:rPr>
          <w:spacing w:val="-3"/>
        </w:rPr>
        <w:t xml:space="preserve"> </w:t>
      </w:r>
      <w:r>
        <w:t>for the homologous</w:t>
      </w:r>
      <w:r>
        <w:rPr>
          <w:spacing w:val="-1"/>
        </w:rPr>
        <w:t xml:space="preserve"> </w:t>
      </w:r>
      <w:r>
        <w:t>strain.</w:t>
      </w:r>
    </w:p>
    <w:p w14:paraId="5060F516" w14:textId="77777777" w:rsidR="002010AB" w:rsidRPr="0058439E" w:rsidRDefault="002010AB" w:rsidP="002010AB">
      <w:pPr>
        <w:rPr>
          <w:lang w:val="en-US"/>
        </w:rPr>
      </w:pPr>
    </w:p>
    <w:p w14:paraId="72B96E55" w14:textId="2897AD72" w:rsidR="00A52A54" w:rsidRDefault="00A52A54" w:rsidP="00CE7FDB">
      <w:pPr>
        <w:pStyle w:val="FigureTitle"/>
        <w:rPr>
          <w:vertAlign w:val="superscript"/>
          <w:lang w:val="en-US"/>
        </w:rPr>
      </w:pPr>
      <w:r w:rsidRPr="00A52A54">
        <w:rPr>
          <w:lang w:val="en-US"/>
        </w:rPr>
        <w:lastRenderedPageBreak/>
        <w:t>Figure 4. Percentage of subjects with seroconversion (defined as hemagglutination inhibition [HI] ≥ 1:40 for subjects negative at baseline [HI &lt; 1:10] or a minimum 4-fold increase in HI titer for subjects positive at baseline [HI ≥ 1:10]) on Day 43) or a ≥ 4-fold increase in microneutralization (MN) titers</w:t>
      </w:r>
      <w:r>
        <w:rPr>
          <w:lang w:val="en-US"/>
        </w:rPr>
        <w:t>.</w:t>
      </w:r>
      <w:r w:rsidRPr="00A52A54">
        <w:rPr>
          <w:vertAlign w:val="superscript"/>
          <w:lang w:val="en-US"/>
        </w:rPr>
        <w:fldChar w:fldCharType="begin"/>
      </w:r>
      <w:r w:rsidRPr="00A52A54">
        <w:rPr>
          <w:vertAlign w:val="superscript"/>
          <w:lang w:val="en-US"/>
        </w:rPr>
        <w:instrText xml:space="preserve"> NOTEREF _Ref225866437 \h </w:instrText>
      </w:r>
      <w:r>
        <w:rPr>
          <w:vertAlign w:val="superscript"/>
          <w:lang w:val="en-US"/>
        </w:rPr>
        <w:instrText xml:space="preserve"> \* MERGEFORMAT </w:instrText>
      </w:r>
      <w:r w:rsidRPr="00A52A54">
        <w:rPr>
          <w:vertAlign w:val="superscript"/>
          <w:lang w:val="en-US"/>
        </w:rPr>
      </w:r>
      <w:r w:rsidRPr="00A52A54">
        <w:rPr>
          <w:vertAlign w:val="superscript"/>
          <w:lang w:val="en-US"/>
        </w:rPr>
        <w:fldChar w:fldCharType="separate"/>
      </w:r>
      <w:r w:rsidRPr="00A52A54">
        <w:rPr>
          <w:vertAlign w:val="superscript"/>
          <w:lang w:val="en-US"/>
        </w:rPr>
        <w:t>20</w:t>
      </w:r>
      <w:r w:rsidRPr="00A52A54">
        <w:rPr>
          <w:vertAlign w:val="superscript"/>
          <w:lang w:val="en-US"/>
        </w:rPr>
        <w:fldChar w:fldCharType="end"/>
      </w:r>
    </w:p>
    <w:p w14:paraId="71C259BA" w14:textId="1506AF2F" w:rsidR="002010AB" w:rsidRPr="00A52A54" w:rsidRDefault="002010AB" w:rsidP="002010AB">
      <w:pPr>
        <w:rPr>
          <w:lang w:val="en-US"/>
        </w:rPr>
      </w:pPr>
      <w:r>
        <w:rPr>
          <w:noProof/>
          <w:lang w:val="en-US"/>
        </w:rPr>
        <w:drawing>
          <wp:inline distT="0" distB="0" distL="0" distR="0" wp14:anchorId="3400822E" wp14:editId="1183EC89">
            <wp:extent cx="5152446" cy="3027134"/>
            <wp:effectExtent l="0" t="0" r="0" b="1905"/>
            <wp:docPr id="771855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9374" cy="3031204"/>
                    </a:xfrm>
                    <a:prstGeom prst="rect">
                      <a:avLst/>
                    </a:prstGeom>
                    <a:noFill/>
                  </pic:spPr>
                </pic:pic>
              </a:graphicData>
            </a:graphic>
          </wp:inline>
        </w:drawing>
      </w:r>
    </w:p>
    <w:p w14:paraId="10989174" w14:textId="77777777" w:rsidR="00CE7FDB" w:rsidRDefault="00CE7FDB" w:rsidP="00CE7FDB">
      <w:pPr>
        <w:pStyle w:val="FigureDescription"/>
      </w:pPr>
      <w:r>
        <w:t>(a,</w:t>
      </w:r>
      <w:r>
        <w:rPr>
          <w:spacing w:val="-3"/>
        </w:rPr>
        <w:t xml:space="preserve"> </w:t>
      </w:r>
      <w:r>
        <w:t>b)</w:t>
      </w:r>
      <w:r>
        <w:rPr>
          <w:spacing w:val="-1"/>
        </w:rPr>
        <w:t xml:space="preserve"> </w:t>
      </w:r>
      <w:r>
        <w:t>Seroconversion</w:t>
      </w:r>
      <w:r>
        <w:rPr>
          <w:spacing w:val="-3"/>
        </w:rPr>
        <w:t xml:space="preserve"> </w:t>
      </w:r>
      <w:r>
        <w:t>in</w:t>
      </w:r>
      <w:r>
        <w:rPr>
          <w:spacing w:val="-3"/>
        </w:rPr>
        <w:t xml:space="preserve"> </w:t>
      </w:r>
      <w:r>
        <w:t>adults</w:t>
      </w:r>
      <w:r>
        <w:rPr>
          <w:spacing w:val="-2"/>
        </w:rPr>
        <w:t xml:space="preserve"> </w:t>
      </w:r>
      <w:r>
        <w:t>aged</w:t>
      </w:r>
      <w:r>
        <w:rPr>
          <w:spacing w:val="-2"/>
        </w:rPr>
        <w:t xml:space="preserve"> </w:t>
      </w:r>
      <w:r>
        <w:t>18–64</w:t>
      </w:r>
      <w:r>
        <w:rPr>
          <w:spacing w:val="-2"/>
        </w:rPr>
        <w:t xml:space="preserve"> </w:t>
      </w:r>
      <w:r>
        <w:t>y</w:t>
      </w:r>
      <w:r>
        <w:rPr>
          <w:spacing w:val="-2"/>
        </w:rPr>
        <w:t xml:space="preserve"> </w:t>
      </w:r>
      <w:r>
        <w:t>(a)</w:t>
      </w:r>
      <w:r>
        <w:rPr>
          <w:spacing w:val="-3"/>
        </w:rPr>
        <w:t xml:space="preserve"> </w:t>
      </w:r>
      <w:r>
        <w:t>and</w:t>
      </w:r>
      <w:r>
        <w:rPr>
          <w:spacing w:val="-2"/>
        </w:rPr>
        <w:t xml:space="preserve"> </w:t>
      </w:r>
      <w:r>
        <w:t>≥65</w:t>
      </w:r>
      <w:r>
        <w:rPr>
          <w:spacing w:val="-2"/>
        </w:rPr>
        <w:t xml:space="preserve"> </w:t>
      </w:r>
      <w:r>
        <w:t>y</w:t>
      </w:r>
      <w:r>
        <w:rPr>
          <w:spacing w:val="-2"/>
        </w:rPr>
        <w:t xml:space="preserve"> </w:t>
      </w:r>
      <w:r>
        <w:t>(b).</w:t>
      </w:r>
      <w:r>
        <w:rPr>
          <w:spacing w:val="-1"/>
        </w:rPr>
        <w:t xml:space="preserve"> </w:t>
      </w:r>
      <w:r>
        <w:t>Error</w:t>
      </w:r>
      <w:r>
        <w:rPr>
          <w:spacing w:val="-2"/>
        </w:rPr>
        <w:t xml:space="preserve"> </w:t>
      </w:r>
      <w:r>
        <w:t>bars</w:t>
      </w:r>
      <w:r>
        <w:rPr>
          <w:spacing w:val="-2"/>
        </w:rPr>
        <w:t xml:space="preserve"> </w:t>
      </w:r>
      <w:r>
        <w:t>represent</w:t>
      </w:r>
      <w:r>
        <w:rPr>
          <w:spacing w:val="-2"/>
        </w:rPr>
        <w:t xml:space="preserve"> </w:t>
      </w:r>
      <w:r>
        <w:t>the</w:t>
      </w:r>
      <w:r>
        <w:rPr>
          <w:spacing w:val="-1"/>
        </w:rPr>
        <w:t xml:space="preserve"> </w:t>
      </w:r>
      <w:r>
        <w:t>97.5%</w:t>
      </w:r>
      <w:r>
        <w:rPr>
          <w:spacing w:val="-3"/>
        </w:rPr>
        <w:t xml:space="preserve"> </w:t>
      </w:r>
      <w:r>
        <w:t>confidence interval</w:t>
      </w:r>
      <w:r>
        <w:rPr>
          <w:spacing w:val="-4"/>
        </w:rPr>
        <w:t xml:space="preserve"> </w:t>
      </w:r>
      <w:r>
        <w:t>(CI).</w:t>
      </w:r>
      <w:r>
        <w:rPr>
          <w:spacing w:val="-3"/>
        </w:rPr>
        <w:t xml:space="preserve"> </w:t>
      </w:r>
      <w:r>
        <w:t>(c,</w:t>
      </w:r>
      <w:r>
        <w:rPr>
          <w:spacing w:val="-3"/>
        </w:rPr>
        <w:t xml:space="preserve"> </w:t>
      </w:r>
      <w:r>
        <w:t>d)</w:t>
      </w:r>
      <w:r>
        <w:rPr>
          <w:spacing w:val="-1"/>
        </w:rPr>
        <w:t xml:space="preserve"> </w:t>
      </w:r>
      <w:r>
        <w:t>at</w:t>
      </w:r>
      <w:r>
        <w:rPr>
          <w:spacing w:val="-2"/>
        </w:rPr>
        <w:t xml:space="preserve"> </w:t>
      </w:r>
      <w:r>
        <w:t>least</w:t>
      </w:r>
      <w:r>
        <w:rPr>
          <w:spacing w:val="-2"/>
        </w:rPr>
        <w:t xml:space="preserve"> </w:t>
      </w:r>
      <w:r>
        <w:t>4-fold</w:t>
      </w:r>
      <w:r>
        <w:rPr>
          <w:spacing w:val="-2"/>
        </w:rPr>
        <w:t xml:space="preserve"> </w:t>
      </w:r>
      <w:r>
        <w:t>increase</w:t>
      </w:r>
      <w:r>
        <w:rPr>
          <w:spacing w:val="-1"/>
        </w:rPr>
        <w:t xml:space="preserve"> </w:t>
      </w:r>
      <w:r>
        <w:t>in</w:t>
      </w:r>
      <w:r>
        <w:rPr>
          <w:spacing w:val="-3"/>
        </w:rPr>
        <w:t xml:space="preserve"> </w:t>
      </w:r>
      <w:r>
        <w:t xml:space="preserve">MN </w:t>
      </w:r>
      <w:proofErr w:type="spellStart"/>
      <w:r>
        <w:t>titers</w:t>
      </w:r>
      <w:proofErr w:type="spellEnd"/>
      <w:r>
        <w:rPr>
          <w:spacing w:val="-2"/>
        </w:rPr>
        <w:t xml:space="preserve"> </w:t>
      </w:r>
      <w:r>
        <w:t>in</w:t>
      </w:r>
      <w:r>
        <w:rPr>
          <w:spacing w:val="-3"/>
        </w:rPr>
        <w:t xml:space="preserve"> </w:t>
      </w:r>
      <w:r>
        <w:t>adults</w:t>
      </w:r>
      <w:r>
        <w:rPr>
          <w:spacing w:val="-2"/>
        </w:rPr>
        <w:t xml:space="preserve"> </w:t>
      </w:r>
      <w:r>
        <w:t>aged</w:t>
      </w:r>
      <w:r>
        <w:rPr>
          <w:spacing w:val="-2"/>
        </w:rPr>
        <w:t xml:space="preserve"> </w:t>
      </w:r>
      <w:r>
        <w:t>18–64</w:t>
      </w:r>
      <w:r>
        <w:rPr>
          <w:spacing w:val="-2"/>
        </w:rPr>
        <w:t xml:space="preserve"> </w:t>
      </w:r>
      <w:r>
        <w:t>y</w:t>
      </w:r>
      <w:r>
        <w:rPr>
          <w:spacing w:val="-2"/>
        </w:rPr>
        <w:t xml:space="preserve"> </w:t>
      </w:r>
      <w:r>
        <w:t>(c)</w:t>
      </w:r>
      <w:r>
        <w:rPr>
          <w:spacing w:val="-3"/>
        </w:rPr>
        <w:t xml:space="preserve"> </w:t>
      </w:r>
      <w:r>
        <w:t>and</w:t>
      </w:r>
      <w:r>
        <w:rPr>
          <w:spacing w:val="-2"/>
        </w:rPr>
        <w:t xml:space="preserve"> </w:t>
      </w:r>
      <w:r>
        <w:t>≥65 y</w:t>
      </w:r>
      <w:r>
        <w:rPr>
          <w:spacing w:val="-2"/>
        </w:rPr>
        <w:t xml:space="preserve"> </w:t>
      </w:r>
      <w:r>
        <w:t>(d).</w:t>
      </w:r>
      <w:r>
        <w:rPr>
          <w:spacing w:val="-1"/>
        </w:rPr>
        <w:t xml:space="preserve"> </w:t>
      </w:r>
      <w:r>
        <w:t>Error</w:t>
      </w:r>
      <w:r>
        <w:rPr>
          <w:spacing w:val="-2"/>
        </w:rPr>
        <w:t xml:space="preserve"> </w:t>
      </w:r>
      <w:r>
        <w:t>bars represent the 95% CI.</w:t>
      </w:r>
    </w:p>
    <w:p w14:paraId="009B5049" w14:textId="77777777" w:rsidR="00451699" w:rsidRDefault="00451699" w:rsidP="00451699">
      <w:pPr>
        <w:pStyle w:val="Heading5"/>
      </w:pPr>
      <w:r>
        <w:t>Immunogenicity</w:t>
      </w:r>
      <w:r>
        <w:rPr>
          <w:spacing w:val="-13"/>
        </w:rPr>
        <w:t xml:space="preserve"> </w:t>
      </w:r>
      <w:r>
        <w:t>to</w:t>
      </w:r>
      <w:r>
        <w:rPr>
          <w:spacing w:val="-11"/>
        </w:rPr>
        <w:t xml:space="preserve"> </w:t>
      </w:r>
      <w:r>
        <w:t>heterologous</w:t>
      </w:r>
      <w:r>
        <w:rPr>
          <w:spacing w:val="-11"/>
        </w:rPr>
        <w:t xml:space="preserve"> </w:t>
      </w:r>
      <w:r>
        <w:rPr>
          <w:spacing w:val="-2"/>
        </w:rPr>
        <w:t>strains</w:t>
      </w:r>
    </w:p>
    <w:p w14:paraId="6163A2E9" w14:textId="438ACC33" w:rsidR="00451699" w:rsidRDefault="00451699" w:rsidP="008C6BAA">
      <w:pPr>
        <w:pStyle w:val="BodyText"/>
        <w:spacing w:before="120"/>
        <w:ind w:right="903"/>
      </w:pPr>
      <w:r>
        <w:t xml:space="preserve">As for the paediatric study, there were limited data presented for the heterologous </w:t>
      </w:r>
      <w:r w:rsidR="008C6BAA">
        <w:t>s</w:t>
      </w:r>
      <w:r>
        <w:t>trains in studies</w:t>
      </w:r>
      <w:r>
        <w:rPr>
          <w:spacing w:val="-1"/>
        </w:rPr>
        <w:t xml:space="preserve"> </w:t>
      </w:r>
      <w:r>
        <w:t>V89_04</w:t>
      </w:r>
      <w:r>
        <w:rPr>
          <w:spacing w:val="-2"/>
        </w:rPr>
        <w:t xml:space="preserve"> </w:t>
      </w:r>
      <w:r>
        <w:t>and</w:t>
      </w:r>
      <w:r>
        <w:rPr>
          <w:spacing w:val="-4"/>
        </w:rPr>
        <w:t xml:space="preserve"> </w:t>
      </w:r>
      <w:r>
        <w:t>V89_13.</w:t>
      </w:r>
      <w:r>
        <w:rPr>
          <w:spacing w:val="-2"/>
        </w:rPr>
        <w:t xml:space="preserve"> </w:t>
      </w:r>
      <w:r>
        <w:t>The</w:t>
      </w:r>
      <w:r>
        <w:rPr>
          <w:spacing w:val="-2"/>
        </w:rPr>
        <w:t xml:space="preserve"> </w:t>
      </w:r>
      <w:r>
        <w:t>results</w:t>
      </w:r>
      <w:r>
        <w:rPr>
          <w:spacing w:val="-3"/>
        </w:rPr>
        <w:t xml:space="preserve"> </w:t>
      </w:r>
      <w:r>
        <w:t>have</w:t>
      </w:r>
      <w:r>
        <w:rPr>
          <w:spacing w:val="-2"/>
        </w:rPr>
        <w:t xml:space="preserve"> </w:t>
      </w:r>
      <w:r>
        <w:t>been</w:t>
      </w:r>
      <w:r>
        <w:rPr>
          <w:spacing w:val="-3"/>
        </w:rPr>
        <w:t xml:space="preserve"> </w:t>
      </w:r>
      <w:r>
        <w:t>included</w:t>
      </w:r>
      <w:r>
        <w:rPr>
          <w:spacing w:val="-4"/>
        </w:rPr>
        <w:t xml:space="preserve"> </w:t>
      </w:r>
      <w:r>
        <w:t>in</w:t>
      </w:r>
      <w:r>
        <w:rPr>
          <w:spacing w:val="-3"/>
        </w:rPr>
        <w:t xml:space="preserve"> </w:t>
      </w:r>
      <w:r>
        <w:t>the</w:t>
      </w:r>
      <w:r>
        <w:rPr>
          <w:spacing w:val="-2"/>
        </w:rPr>
        <w:t xml:space="preserve"> </w:t>
      </w:r>
      <w:r>
        <w:t>PI.</w:t>
      </w:r>
      <w:r>
        <w:rPr>
          <w:spacing w:val="-2"/>
        </w:rPr>
        <w:t xml:space="preserve"> </w:t>
      </w:r>
      <w:r>
        <w:t>Only</w:t>
      </w:r>
      <w:r>
        <w:rPr>
          <w:spacing w:val="-3"/>
        </w:rPr>
        <w:t xml:space="preserve"> </w:t>
      </w:r>
      <w:r>
        <w:t>a</w:t>
      </w:r>
      <w:r>
        <w:rPr>
          <w:spacing w:val="-4"/>
        </w:rPr>
        <w:t xml:space="preserve"> </w:t>
      </w:r>
      <w:r>
        <w:t>subset</w:t>
      </w:r>
      <w:r>
        <w:rPr>
          <w:spacing w:val="-2"/>
        </w:rPr>
        <w:t xml:space="preserve"> </w:t>
      </w:r>
      <w:r>
        <w:t>of</w:t>
      </w:r>
      <w:r>
        <w:rPr>
          <w:spacing w:val="-3"/>
        </w:rPr>
        <w:t xml:space="preserve"> </w:t>
      </w:r>
      <w:r>
        <w:t xml:space="preserve">subjects </w:t>
      </w:r>
      <w:proofErr w:type="gramStart"/>
      <w:r>
        <w:t>were</w:t>
      </w:r>
      <w:proofErr w:type="gramEnd"/>
      <w:r>
        <w:t xml:space="preserve"> included: 69 younger and 35 older adults, respectively, in these exploratory analyses.</w:t>
      </w:r>
    </w:p>
    <w:p w14:paraId="0F87FEF8" w14:textId="77777777" w:rsidR="007B1F15" w:rsidRPr="007B1F15" w:rsidRDefault="007B1F15" w:rsidP="002B4488">
      <w:pPr>
        <w:pStyle w:val="Heading4"/>
        <w:rPr>
          <w:lang w:val="en-US"/>
        </w:rPr>
      </w:pPr>
      <w:bookmarkStart w:id="56" w:name="Safety"/>
      <w:bookmarkStart w:id="57" w:name="_bookmark41"/>
      <w:bookmarkStart w:id="58" w:name="_Toc227753756"/>
      <w:bookmarkEnd w:id="56"/>
      <w:bookmarkEnd w:id="57"/>
      <w:r w:rsidRPr="007B1F15">
        <w:rPr>
          <w:lang w:val="en-US"/>
        </w:rPr>
        <w:t>Safety</w:t>
      </w:r>
      <w:bookmarkEnd w:id="58"/>
    </w:p>
    <w:p w14:paraId="6F4D34A7" w14:textId="6C5144F3" w:rsidR="007B1F15" w:rsidRPr="007B1F15" w:rsidRDefault="007B1F15" w:rsidP="007B1F15">
      <w:pPr>
        <w:rPr>
          <w:lang w:val="en-US"/>
        </w:rPr>
      </w:pPr>
      <w:r w:rsidRPr="007B1F15">
        <w:rPr>
          <w:lang w:val="en-US"/>
        </w:rPr>
        <w:t>The summary of the aH5N1c clinical development program is summarised in Table 1</w:t>
      </w:r>
      <w:r w:rsidR="00614129">
        <w:rPr>
          <w:lang w:val="en-US"/>
        </w:rPr>
        <w:t>4</w:t>
      </w:r>
      <w:r w:rsidRPr="007B1F15">
        <w:rPr>
          <w:lang w:val="en-US"/>
        </w:rPr>
        <w:t>. In the integrated safety summary, the following is presented: pooled data from 3 studies in adults and elderly (Studies V89_18, V89_04, and V89_13); data from Phase 3 Study V89_18; Data from dose-ranging Study V89P1; Data from paediatric Study V89_11. No pivotal studies assessed safety as the sole primary outcome.</w:t>
      </w:r>
    </w:p>
    <w:p w14:paraId="43414B03" w14:textId="6969B7C8" w:rsidR="00B649DE" w:rsidRDefault="00614129" w:rsidP="00614129">
      <w:pPr>
        <w:pStyle w:val="TableTitle"/>
      </w:pPr>
      <w:r>
        <w:lastRenderedPageBreak/>
        <w:t>Table</w:t>
      </w:r>
      <w:r>
        <w:rPr>
          <w:spacing w:val="-7"/>
        </w:rPr>
        <w:t xml:space="preserve"> </w:t>
      </w:r>
      <w:r>
        <w:t>14.</w:t>
      </w:r>
      <w:r>
        <w:rPr>
          <w:spacing w:val="-6"/>
        </w:rPr>
        <w:t xml:space="preserve"> </w:t>
      </w:r>
      <w:r>
        <w:t>Summary</w:t>
      </w:r>
      <w:r>
        <w:rPr>
          <w:spacing w:val="-4"/>
        </w:rPr>
        <w:t xml:space="preserve"> </w:t>
      </w:r>
      <w:r>
        <w:t>of</w:t>
      </w:r>
      <w:r>
        <w:rPr>
          <w:spacing w:val="-5"/>
        </w:rPr>
        <w:t xml:space="preserve"> </w:t>
      </w:r>
      <w:r>
        <w:t>aH5N1c</w:t>
      </w:r>
      <w:r>
        <w:rPr>
          <w:spacing w:val="-4"/>
        </w:rPr>
        <w:t xml:space="preserve"> </w:t>
      </w:r>
      <w:r>
        <w:t>Clinical</w:t>
      </w:r>
      <w:r>
        <w:rPr>
          <w:spacing w:val="-6"/>
        </w:rPr>
        <w:t xml:space="preserve"> </w:t>
      </w:r>
      <w:r>
        <w:t>Development</w:t>
      </w:r>
      <w:r>
        <w:rPr>
          <w:spacing w:val="-3"/>
        </w:rPr>
        <w:t xml:space="preserve"> </w:t>
      </w:r>
      <w:r>
        <w:rPr>
          <w:spacing w:val="-2"/>
        </w:rPr>
        <w:t>Program</w:t>
      </w:r>
      <w:r w:rsidR="008D144B">
        <w:rPr>
          <w:spacing w:val="-2"/>
        </w:rPr>
        <w:t>.</w:t>
      </w:r>
    </w:p>
    <w:p w14:paraId="75D39EEB" w14:textId="67E09335" w:rsidR="00B649DE" w:rsidRDefault="002010AB" w:rsidP="00AF2869">
      <w:r>
        <w:rPr>
          <w:noProof/>
        </w:rPr>
        <w:drawing>
          <wp:inline distT="0" distB="0" distL="0" distR="0" wp14:anchorId="6764C89F" wp14:editId="07266AEC">
            <wp:extent cx="5718810" cy="2255520"/>
            <wp:effectExtent l="0" t="0" r="0" b="0"/>
            <wp:docPr id="1510806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810" cy="2255520"/>
                    </a:xfrm>
                    <a:prstGeom prst="rect">
                      <a:avLst/>
                    </a:prstGeom>
                    <a:noFill/>
                  </pic:spPr>
                </pic:pic>
              </a:graphicData>
            </a:graphic>
          </wp:inline>
        </w:drawing>
      </w:r>
    </w:p>
    <w:p w14:paraId="3D0AA5C2" w14:textId="5518AD7D" w:rsidR="00F93652" w:rsidRPr="00F93652" w:rsidRDefault="00F93652" w:rsidP="00F93652">
      <w:pPr>
        <w:rPr>
          <w:lang w:val="en-US"/>
        </w:rPr>
      </w:pPr>
      <w:r w:rsidRPr="00F93652">
        <w:rPr>
          <w:lang w:val="en-US"/>
        </w:rPr>
        <w:t>Monitoring periods for safety assessments were similar for all 5 studies (Table 1</w:t>
      </w:r>
      <w:r>
        <w:rPr>
          <w:lang w:val="en-US"/>
        </w:rPr>
        <w:t>5</w:t>
      </w:r>
      <w:r w:rsidRPr="00F93652">
        <w:rPr>
          <w:lang w:val="en-US"/>
        </w:rPr>
        <w:t>), except for the total study period, used for selected unsolicited AEs (i.e. SAEs, deaths, AESIs, NOCDs, AEs leading to vaccine/study withdrawal, medically attended AEs, and concomitant medications associated with these events), which was ≈ 1.5 years after first vaccination (day 546) for Study V89P1 and 1 year after last vaccination (Day 387) for all other studies.</w:t>
      </w:r>
    </w:p>
    <w:p w14:paraId="5617EE80" w14:textId="30141E1E" w:rsidR="003342B7" w:rsidRPr="003342B7" w:rsidRDefault="003342B7" w:rsidP="00CC6CAC">
      <w:pPr>
        <w:pStyle w:val="TableTitle"/>
        <w:rPr>
          <w:lang w:val="en-US"/>
        </w:rPr>
      </w:pPr>
      <w:r w:rsidRPr="003342B7">
        <w:rPr>
          <w:lang w:val="en-US"/>
        </w:rPr>
        <w:t>Table 1</w:t>
      </w:r>
      <w:r>
        <w:rPr>
          <w:lang w:val="en-US"/>
        </w:rPr>
        <w:t>5</w:t>
      </w:r>
      <w:r w:rsidRPr="003342B7">
        <w:rPr>
          <w:lang w:val="en-US"/>
        </w:rPr>
        <w:t>. Monitoring Periods for Safety Assessment in aH5N1c Studies and Studies of MF59 Adjuvanted Cell Culture-Derived Influenza Vaccines of Other Subtypes.</w:t>
      </w:r>
    </w:p>
    <w:p w14:paraId="07B5BDC6" w14:textId="0A2D6843" w:rsidR="00CC6CAC" w:rsidRDefault="002010AB" w:rsidP="00FF130D">
      <w:pPr>
        <w:rPr>
          <w:lang w:val="en-US"/>
        </w:rPr>
      </w:pPr>
      <w:r>
        <w:rPr>
          <w:noProof/>
          <w:lang w:val="en-US"/>
        </w:rPr>
        <w:drawing>
          <wp:inline distT="0" distB="0" distL="0" distR="0" wp14:anchorId="0A97A5E4" wp14:editId="1B46E78A">
            <wp:extent cx="4810125" cy="3200400"/>
            <wp:effectExtent l="0" t="0" r="9525" b="0"/>
            <wp:docPr id="29394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3200400"/>
                    </a:xfrm>
                    <a:prstGeom prst="rect">
                      <a:avLst/>
                    </a:prstGeom>
                    <a:noFill/>
                  </pic:spPr>
                </pic:pic>
              </a:graphicData>
            </a:graphic>
          </wp:inline>
        </w:drawing>
      </w:r>
    </w:p>
    <w:p w14:paraId="761E4249" w14:textId="0ED42C02" w:rsidR="00FF130D" w:rsidRPr="00FF130D" w:rsidRDefault="002010AB" w:rsidP="00FF130D">
      <w:pPr>
        <w:rPr>
          <w:lang w:val="en-US"/>
        </w:rPr>
      </w:pPr>
      <w:r>
        <w:rPr>
          <w:b/>
          <w:noProof/>
          <w:sz w:val="8"/>
        </w:rPr>
        <w:drawing>
          <wp:anchor distT="0" distB="0" distL="0" distR="0" simplePos="0" relativeHeight="251687936" behindDoc="1" locked="0" layoutInCell="1" allowOverlap="1" wp14:anchorId="602561DF" wp14:editId="4D90A956">
            <wp:simplePos x="0" y="0"/>
            <wp:positionH relativeFrom="margin">
              <wp:posOffset>-18415</wp:posOffset>
            </wp:positionH>
            <wp:positionV relativeFrom="paragraph">
              <wp:posOffset>589280</wp:posOffset>
            </wp:positionV>
            <wp:extent cx="5064760" cy="1266825"/>
            <wp:effectExtent l="0" t="0" r="2540" b="9525"/>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5" cstate="print"/>
                    <a:stretch>
                      <a:fillRect/>
                    </a:stretch>
                  </pic:blipFill>
                  <pic:spPr>
                    <a:xfrm>
                      <a:off x="0" y="0"/>
                      <a:ext cx="5064760" cy="1266825"/>
                    </a:xfrm>
                    <a:prstGeom prst="rect">
                      <a:avLst/>
                    </a:prstGeom>
                  </pic:spPr>
                </pic:pic>
              </a:graphicData>
            </a:graphic>
            <wp14:sizeRelH relativeFrom="margin">
              <wp14:pctWidth>0</wp14:pctWidth>
            </wp14:sizeRelH>
            <wp14:sizeRelV relativeFrom="margin">
              <wp14:pctHeight>0</wp14:pctHeight>
            </wp14:sizeRelV>
          </wp:anchor>
        </w:drawing>
      </w:r>
      <w:r w:rsidR="00944FCE">
        <w:rPr>
          <w:lang w:val="en-US"/>
        </w:rPr>
        <w:t>I</w:t>
      </w:r>
      <w:r w:rsidR="00FF130D" w:rsidRPr="00FF130D">
        <w:rPr>
          <w:lang w:val="en-US"/>
        </w:rPr>
        <w:t xml:space="preserve">n this report, unsolicited AEs have been listed as ‘All adverse events (irrespective of relationship to study treatment)’, and solicited AEs listed as ‘Treatment related adverse events (adverse drug reactions)’. The severity of solicited local AEs, including injection site erythema, </w:t>
      </w:r>
      <w:r w:rsidR="00FF130D" w:rsidRPr="00FF130D">
        <w:rPr>
          <w:lang w:val="en-US"/>
        </w:rPr>
        <w:lastRenderedPageBreak/>
        <w:t>ecchymosis and induration was categorised and summarised by grades based on the linear measurement of the widest diameter of these AEs. Injection site pain and systemic AEs (except fever) occurring in the first 7 days (inclusive) after each vaccination were summarised according to ‘mild’, ‘moderate’ or ‘severe’. Grading of local and systemic solicited AEs in the paediatric setting are summarised in Table 1</w:t>
      </w:r>
      <w:r w:rsidR="000D56A9">
        <w:rPr>
          <w:lang w:val="en-US"/>
        </w:rPr>
        <w:t>6</w:t>
      </w:r>
      <w:r w:rsidR="00FF130D" w:rsidRPr="00FF130D">
        <w:rPr>
          <w:lang w:val="en-US"/>
        </w:rPr>
        <w:t>.</w:t>
      </w:r>
    </w:p>
    <w:p w14:paraId="01E1F1B2" w14:textId="24A151F7" w:rsidR="00FF130D" w:rsidRPr="00FF130D" w:rsidRDefault="00FF130D" w:rsidP="00FF130D">
      <w:pPr>
        <w:rPr>
          <w:lang w:val="en-US"/>
        </w:rPr>
      </w:pPr>
      <w:r w:rsidRPr="00FF130D">
        <w:rPr>
          <w:lang w:val="en-US"/>
        </w:rPr>
        <w:t>All unsolicited AEs (including solicited AEs that continued beyond day 7 or 28, respectively) were collected for the period day 1-21 after last vaccination (i.e. day 1 to 43 inclusive). During that period and continuing through the completion of the study (≈1.5 years after first vaccination [day 546] for V89P1 and 1 year after last vaccination [day 387] for all other studies), specified categories of unsolicited AEs were collected separately (monitoring periods for safety assessments are provided in Table 1</w:t>
      </w:r>
      <w:r w:rsidR="000D56A9">
        <w:rPr>
          <w:lang w:val="en-US"/>
        </w:rPr>
        <w:t>5</w:t>
      </w:r>
      <w:r w:rsidRPr="00FF130D">
        <w:rPr>
          <w:lang w:val="en-US"/>
        </w:rPr>
        <w:t>). These included SAEs, AESIs, NOCDs, AEs leading to vaccine/study withdrawal (including deaths), AEs leading to dose change, medically attended AEs, associated concomitant medications for any of these events, and all vaccinations. These data were captured through the diary card, by interview of the subject, and by review of available medical records. For all unsolicited (S)AEs (including AESIs and NOCDs) the severity and relationship to study vaccine was determined and classified as ‘mild,’ ‘moderate’ or ‘severe’, as per the assessment of the investigator in all individual studies. Grades of Relatedness as Determined by the Investigator were ‘Not related’; ‘Possibly related’; ‘Probably related’.</w:t>
      </w:r>
    </w:p>
    <w:p w14:paraId="0E302AD6" w14:textId="51CEC921" w:rsidR="00195569" w:rsidRDefault="00195569" w:rsidP="00195569">
      <w:pPr>
        <w:pStyle w:val="TableTitle"/>
        <w:rPr>
          <w:lang w:val="en-US"/>
        </w:rPr>
      </w:pPr>
      <w:r w:rsidRPr="00195569">
        <w:rPr>
          <w:lang w:val="en-US"/>
        </w:rPr>
        <w:t>Table 1</w:t>
      </w:r>
      <w:r w:rsidR="00CC6CAC">
        <w:rPr>
          <w:lang w:val="en-US"/>
        </w:rPr>
        <w:t>6</w:t>
      </w:r>
      <w:r w:rsidRPr="00195569">
        <w:rPr>
          <w:lang w:val="en-US"/>
        </w:rPr>
        <w:t>. Grading of Solicited Local and Systemic AEs in Paediatric Subjects in V89_11 &amp; V129_01.</w:t>
      </w:r>
    </w:p>
    <w:p w14:paraId="069E8489" w14:textId="431B4B4D" w:rsidR="002010AB" w:rsidRPr="00195569" w:rsidRDefault="002010AB" w:rsidP="002010AB">
      <w:pPr>
        <w:rPr>
          <w:lang w:val="en-US"/>
        </w:rPr>
      </w:pPr>
      <w:r>
        <w:rPr>
          <w:noProof/>
          <w:lang w:val="en-US"/>
        </w:rPr>
        <w:drawing>
          <wp:inline distT="0" distB="0" distL="0" distR="0" wp14:anchorId="4D276DCA" wp14:editId="5191C1A0">
            <wp:extent cx="5814629" cy="3935895"/>
            <wp:effectExtent l="0" t="0" r="0" b="7620"/>
            <wp:docPr id="12247902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8569" cy="3938562"/>
                    </a:xfrm>
                    <a:prstGeom prst="rect">
                      <a:avLst/>
                    </a:prstGeom>
                    <a:noFill/>
                  </pic:spPr>
                </pic:pic>
              </a:graphicData>
            </a:graphic>
          </wp:inline>
        </w:drawing>
      </w:r>
    </w:p>
    <w:p w14:paraId="0E4987A3" w14:textId="77777777" w:rsidR="0001073B" w:rsidRPr="0001073B" w:rsidRDefault="0001073B" w:rsidP="0001073B">
      <w:pPr>
        <w:pStyle w:val="TableDescription"/>
        <w:spacing w:before="0" w:after="0"/>
        <w:rPr>
          <w:lang w:val="en-US"/>
        </w:rPr>
      </w:pPr>
      <w:r w:rsidRPr="0001073B">
        <w:rPr>
          <w:lang w:val="en-US"/>
        </w:rPr>
        <w:t>Abbreviations: °C = degrees Celsius; CBER = Center for Biologics Evaluation and Research; ER = emergency room; °F = degrees Fahrenheit; PLT = potentially life threatening; SAP = statistical analysis plan.</w:t>
      </w:r>
    </w:p>
    <w:p w14:paraId="35E53116" w14:textId="77777777" w:rsidR="0001073B" w:rsidRPr="0001073B" w:rsidRDefault="0001073B" w:rsidP="0001073B">
      <w:pPr>
        <w:pStyle w:val="TableDescription"/>
        <w:spacing w:before="0" w:after="0"/>
        <w:rPr>
          <w:lang w:val="en-US"/>
        </w:rPr>
      </w:pPr>
      <w:proofErr w:type="spellStart"/>
      <w:r w:rsidRPr="0001073B">
        <w:rPr>
          <w:lang w:val="en-US"/>
        </w:rPr>
        <w:t>a</w:t>
      </w:r>
      <w:proofErr w:type="spellEnd"/>
      <w:r w:rsidRPr="0001073B">
        <w:rPr>
          <w:lang w:val="en-US"/>
        </w:rPr>
        <w:t xml:space="preserve"> In Study V89_11 and V129_01 different diary cards were used for subjects &lt;6 years of age and subjects ≥6 years of</w:t>
      </w:r>
    </w:p>
    <w:p w14:paraId="3498EDAA" w14:textId="77777777" w:rsidR="0001073B" w:rsidRPr="0001073B" w:rsidRDefault="0001073B" w:rsidP="0001073B">
      <w:pPr>
        <w:pStyle w:val="TableDescription"/>
        <w:spacing w:before="0" w:after="0"/>
        <w:rPr>
          <w:lang w:val="en-US"/>
        </w:rPr>
      </w:pPr>
      <w:r w:rsidRPr="0001073B">
        <w:rPr>
          <w:lang w:val="en-US"/>
        </w:rPr>
        <w:t>age.</w:t>
      </w:r>
    </w:p>
    <w:p w14:paraId="69E24FF9" w14:textId="77777777" w:rsidR="0001073B" w:rsidRPr="0001073B" w:rsidRDefault="0001073B" w:rsidP="0001073B">
      <w:pPr>
        <w:pStyle w:val="TableDescription"/>
        <w:spacing w:before="0" w:after="0"/>
        <w:rPr>
          <w:lang w:val="en-US"/>
        </w:rPr>
      </w:pPr>
      <w:r w:rsidRPr="0001073B">
        <w:rPr>
          <w:lang w:val="en-US"/>
        </w:rPr>
        <w:t xml:space="preserve">b </w:t>
      </w:r>
      <w:proofErr w:type="gramStart"/>
      <w:r w:rsidRPr="0001073B">
        <w:rPr>
          <w:lang w:val="en-US"/>
        </w:rPr>
        <w:t>For</w:t>
      </w:r>
      <w:proofErr w:type="gramEnd"/>
      <w:r w:rsidRPr="0001073B">
        <w:rPr>
          <w:lang w:val="en-US"/>
        </w:rPr>
        <w:t xml:space="preserve"> subjects ≥6 years of age: nausea, myalgia, arthralgia, headache, fatigue, loss of appetite, and malaise (collected as</w:t>
      </w:r>
    </w:p>
    <w:p w14:paraId="2A22ECA8" w14:textId="77777777" w:rsidR="0001073B" w:rsidRPr="0001073B" w:rsidRDefault="0001073B" w:rsidP="0001073B">
      <w:pPr>
        <w:pStyle w:val="TableDescription"/>
        <w:spacing w:before="0" w:after="0"/>
        <w:rPr>
          <w:lang w:val="en-US"/>
        </w:rPr>
      </w:pPr>
      <w:r w:rsidRPr="0001073B">
        <w:rPr>
          <w:lang w:val="en-US"/>
        </w:rPr>
        <w:t>general discomfort on the diary cards) were recorded.</w:t>
      </w:r>
    </w:p>
    <w:p w14:paraId="18DDC3C6" w14:textId="77777777" w:rsidR="0001073B" w:rsidRPr="0001073B" w:rsidRDefault="0001073B" w:rsidP="0001073B">
      <w:pPr>
        <w:pStyle w:val="TableDescription"/>
        <w:spacing w:before="0" w:after="0"/>
        <w:rPr>
          <w:lang w:val="en-US"/>
        </w:rPr>
      </w:pPr>
      <w:r w:rsidRPr="0001073B">
        <w:rPr>
          <w:lang w:val="en-US"/>
        </w:rPr>
        <w:t xml:space="preserve">c </w:t>
      </w:r>
      <w:proofErr w:type="gramStart"/>
      <w:r w:rsidRPr="0001073B">
        <w:rPr>
          <w:lang w:val="en-US"/>
        </w:rPr>
        <w:t>For</w:t>
      </w:r>
      <w:proofErr w:type="gramEnd"/>
      <w:r w:rsidRPr="0001073B">
        <w:rPr>
          <w:lang w:val="en-US"/>
        </w:rPr>
        <w:t xml:space="preserve"> subjects &lt;6 years of age: change in eating habits, sleepiness, and irritability were recorded.</w:t>
      </w:r>
    </w:p>
    <w:p w14:paraId="0EAC3523" w14:textId="77777777" w:rsidR="0001073B" w:rsidRPr="0001073B" w:rsidRDefault="0001073B" w:rsidP="0001073B">
      <w:pPr>
        <w:pStyle w:val="TableDescription"/>
        <w:spacing w:before="0" w:after="0"/>
        <w:rPr>
          <w:lang w:val="en-US"/>
        </w:rPr>
      </w:pPr>
      <w:r w:rsidRPr="0001073B">
        <w:rPr>
          <w:lang w:val="en-US"/>
        </w:rPr>
        <w:t xml:space="preserve">d Recorded for all </w:t>
      </w:r>
      <w:proofErr w:type="gramStart"/>
      <w:r w:rsidRPr="0001073B">
        <w:rPr>
          <w:lang w:val="en-US"/>
        </w:rPr>
        <w:t>subjects ≥6 months</w:t>
      </w:r>
      <w:proofErr w:type="gramEnd"/>
      <w:r w:rsidRPr="0001073B">
        <w:rPr>
          <w:lang w:val="en-US"/>
        </w:rPr>
        <w:t xml:space="preserve"> of age.</w:t>
      </w:r>
    </w:p>
    <w:p w14:paraId="7F7F27A6" w14:textId="77777777" w:rsidR="0001073B" w:rsidRPr="0001073B" w:rsidRDefault="0001073B" w:rsidP="0001073B">
      <w:pPr>
        <w:pStyle w:val="TableDescription"/>
        <w:spacing w:before="0" w:after="0"/>
        <w:rPr>
          <w:lang w:val="en-US"/>
        </w:rPr>
      </w:pPr>
      <w:r w:rsidRPr="0001073B">
        <w:rPr>
          <w:lang w:val="en-US"/>
        </w:rPr>
        <w:t xml:space="preserve">e Vomiting </w:t>
      </w:r>
      <w:proofErr w:type="gramStart"/>
      <w:r w:rsidRPr="0001073B">
        <w:rPr>
          <w:lang w:val="en-US"/>
        </w:rPr>
        <w:t>only</w:t>
      </w:r>
      <w:proofErr w:type="gramEnd"/>
      <w:r w:rsidRPr="0001073B">
        <w:rPr>
          <w:lang w:val="en-US"/>
        </w:rPr>
        <w:t xml:space="preserve"> recorded in Study V129_01.</w:t>
      </w:r>
    </w:p>
    <w:p w14:paraId="752B871F" w14:textId="56AD50AD" w:rsidR="00763972" w:rsidRPr="00763972" w:rsidRDefault="00763972" w:rsidP="00763972">
      <w:pPr>
        <w:rPr>
          <w:b/>
          <w:bCs/>
          <w:lang w:val="en-US"/>
        </w:rPr>
      </w:pPr>
      <w:r w:rsidRPr="00763972">
        <w:rPr>
          <w:b/>
          <w:bCs/>
          <w:lang w:val="en-US"/>
        </w:rPr>
        <w:lastRenderedPageBreak/>
        <w:t>Subject exposure</w:t>
      </w:r>
    </w:p>
    <w:p w14:paraId="21EBB2B7" w14:textId="17D07717" w:rsidR="00763972" w:rsidRPr="00763972" w:rsidRDefault="00763972" w:rsidP="00763972">
      <w:pPr>
        <w:rPr>
          <w:lang w:val="en-US"/>
        </w:rPr>
      </w:pPr>
      <w:r w:rsidRPr="00763972">
        <w:rPr>
          <w:lang w:val="en-US"/>
        </w:rPr>
        <w:t>As summarised in Table 1</w:t>
      </w:r>
      <w:r w:rsidR="009F004B">
        <w:rPr>
          <w:lang w:val="en-US"/>
        </w:rPr>
        <w:t>7</w:t>
      </w:r>
      <w:r w:rsidRPr="00763972">
        <w:rPr>
          <w:lang w:val="en-US"/>
        </w:rPr>
        <w:t>, 5542 adults (including 126 adults from the V89P1 dose finding study) and 658 paediatric subjects were exposed to aH5N1c including either a full or half dose of the vaccine. Of these, 3972 adults and 329 paediatric subjects were exposed to the intended full dose. 796 subjects received saline placebo.</w:t>
      </w:r>
    </w:p>
    <w:p w14:paraId="5173943D" w14:textId="00E869BE" w:rsidR="00461575" w:rsidRDefault="009F004B" w:rsidP="00825D7E">
      <w:pPr>
        <w:pStyle w:val="TableTitle"/>
      </w:pPr>
      <w:r w:rsidRPr="00825D7E">
        <w:t>Table 17. Overview of Subjects Exposed to Two Dose Levels and Included in the Summary of Clinical Safety.</w:t>
      </w:r>
    </w:p>
    <w:p w14:paraId="571DEBAC" w14:textId="2661626C" w:rsidR="00E56CD6" w:rsidRDefault="002010AB" w:rsidP="00E56CD6">
      <w:pPr>
        <w:rPr>
          <w:lang w:val="en-US"/>
        </w:rPr>
      </w:pPr>
      <w:bookmarkStart w:id="59" w:name="_Toc314842514"/>
      <w:r>
        <w:rPr>
          <w:noProof/>
          <w:lang w:val="en-US"/>
        </w:rPr>
        <w:drawing>
          <wp:inline distT="0" distB="0" distL="0" distR="0" wp14:anchorId="511526D1" wp14:editId="0C6C8C92">
            <wp:extent cx="5247861" cy="3073927"/>
            <wp:effectExtent l="0" t="0" r="0" b="0"/>
            <wp:docPr id="10452320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4145" cy="3077608"/>
                    </a:xfrm>
                    <a:prstGeom prst="rect">
                      <a:avLst/>
                    </a:prstGeom>
                    <a:noFill/>
                  </pic:spPr>
                </pic:pic>
              </a:graphicData>
            </a:graphic>
          </wp:inline>
        </w:drawing>
      </w:r>
    </w:p>
    <w:p w14:paraId="3DEB926A" w14:textId="5FF50DC3" w:rsidR="00E56CD6" w:rsidRPr="00E56CD6" w:rsidRDefault="00E56CD6" w:rsidP="00E56CD6">
      <w:pPr>
        <w:rPr>
          <w:lang w:val="en-US"/>
        </w:rPr>
      </w:pPr>
      <w:r w:rsidRPr="00E56CD6">
        <w:rPr>
          <w:lang w:val="en-US"/>
        </w:rPr>
        <w:t>Assessment of the safety of aH5N1c was primarily based on the three adult studies and one paediatric study. Doses explored in both the paediatric and adult setting were the ‘full dose’ 7.5 μg HA in 0.5 mL (adjuvanted with 0.25 mL MF59), and the half-dose3.75 μg HA in 0.25 mL, adjuvanted with 0.125 mL MF59, both as a two-dose series separated by 21 days between doses.</w:t>
      </w:r>
    </w:p>
    <w:p w14:paraId="115CBF15" w14:textId="77777777" w:rsidR="00E56CD6" w:rsidRPr="00E56CD6" w:rsidRDefault="00E56CD6" w:rsidP="00E56CD6">
      <w:pPr>
        <w:pStyle w:val="Heading5"/>
        <w:rPr>
          <w:rFonts w:eastAsia="Cambria"/>
          <w:lang w:val="en-US"/>
        </w:rPr>
      </w:pPr>
      <w:bookmarkStart w:id="60" w:name="All_adverse_events_(irrespective_of_rela"/>
      <w:bookmarkEnd w:id="60"/>
      <w:r w:rsidRPr="00E56CD6">
        <w:rPr>
          <w:rFonts w:eastAsia="Cambria"/>
          <w:lang w:val="en-US"/>
        </w:rPr>
        <w:t>All adverse events (irrespective of relationship to study treatment)</w:t>
      </w:r>
    </w:p>
    <w:p w14:paraId="2E1B428D" w14:textId="77777777" w:rsidR="00E56CD6" w:rsidRPr="00E56CD6" w:rsidRDefault="00E56CD6" w:rsidP="00E56CD6">
      <w:pPr>
        <w:pStyle w:val="Heading6"/>
        <w:rPr>
          <w:rFonts w:eastAsia="Cambria"/>
          <w:lang w:val="en-US"/>
        </w:rPr>
      </w:pPr>
      <w:r w:rsidRPr="00E56CD6">
        <w:rPr>
          <w:rFonts w:eastAsia="Cambria"/>
          <w:lang w:val="en-US"/>
        </w:rPr>
        <w:t>Pivotal studies</w:t>
      </w:r>
    </w:p>
    <w:p w14:paraId="66D4DE5B" w14:textId="77777777" w:rsidR="00E56CD6" w:rsidRPr="00E56CD6" w:rsidRDefault="00E56CD6" w:rsidP="00E56CD6">
      <w:pPr>
        <w:rPr>
          <w:b/>
          <w:bCs/>
          <w:lang w:val="en-US"/>
        </w:rPr>
      </w:pPr>
      <w:r w:rsidRPr="00E56CD6">
        <w:rPr>
          <w:b/>
          <w:bCs/>
          <w:lang w:val="en-US"/>
        </w:rPr>
        <w:t>Studies V89_04, V89_13 and V89_18: Ages ≥ 18 Years, Full Dose and Placebo in the ISS</w:t>
      </w:r>
    </w:p>
    <w:p w14:paraId="0F633FAC" w14:textId="62992B16" w:rsidR="00E56CD6" w:rsidRPr="00E56CD6" w:rsidRDefault="00E56CD6" w:rsidP="00E56CD6">
      <w:pPr>
        <w:rPr>
          <w:lang w:val="en-US"/>
        </w:rPr>
      </w:pPr>
      <w:r w:rsidRPr="00E56CD6">
        <w:rPr>
          <w:b/>
          <w:bCs/>
          <w:i/>
          <w:lang w:val="en-US"/>
        </w:rPr>
        <w:t>Day 1 through study termination:</w:t>
      </w:r>
      <w:r w:rsidRPr="00E56CD6">
        <w:rPr>
          <w:i/>
          <w:lang w:val="en-US"/>
        </w:rPr>
        <w:t xml:space="preserve"> </w:t>
      </w:r>
      <w:r w:rsidRPr="00E56CD6">
        <w:rPr>
          <w:lang w:val="en-US"/>
        </w:rPr>
        <w:t>The proportion of subjects for whom unsolicited (related) AEs were reported from day 1 - 43 was comparable for subjects who received aH5N1c full dose vs. placebo (Table 1</w:t>
      </w:r>
      <w:r>
        <w:rPr>
          <w:lang w:val="en-US"/>
        </w:rPr>
        <w:t>8</w:t>
      </w:r>
      <w:r w:rsidRPr="00E56CD6">
        <w:rPr>
          <w:lang w:val="en-US"/>
        </w:rPr>
        <w:t xml:space="preserve">). </w:t>
      </w:r>
      <w:proofErr w:type="gramStart"/>
      <w:r w:rsidRPr="00E56CD6">
        <w:rPr>
          <w:lang w:val="en-US"/>
        </w:rPr>
        <w:t>The majority of</w:t>
      </w:r>
      <w:proofErr w:type="gramEnd"/>
      <w:r w:rsidRPr="00E56CD6">
        <w:rPr>
          <w:lang w:val="en-US"/>
        </w:rPr>
        <w:t xml:space="preserve"> the reported unsolicited AEs were of mild or moderate severity. Similar proportions of subjects in both treatment groups reported any unsolicited events, including SAEs, AESIs, AE(s) leading to NOCD, any AE leading to premature withdrawal and medically attended AE(s), from day 1 through study termination. One subject in the aH5N1c group and 2 subjects in the placebo group reported related SAEs, the latter were also classified as AESIs. There were 17 deaths, 16 (0.4%) in the aH5N1c full dose group and 1 (0.1%) death reported in the placebo group. None of the deaths were attributed to aH5N1c or placebo.</w:t>
      </w:r>
    </w:p>
    <w:p w14:paraId="6D8E7190" w14:textId="77777777" w:rsidR="00E56CD6" w:rsidRPr="00E56CD6" w:rsidRDefault="00E56CD6" w:rsidP="00E56CD6">
      <w:pPr>
        <w:rPr>
          <w:lang w:val="en-US"/>
        </w:rPr>
      </w:pPr>
      <w:r w:rsidRPr="00E56CD6">
        <w:rPr>
          <w:b/>
          <w:bCs/>
          <w:i/>
          <w:lang w:val="en-US"/>
        </w:rPr>
        <w:t>Day 1 - 43:</w:t>
      </w:r>
      <w:r w:rsidRPr="00E56CD6">
        <w:rPr>
          <w:i/>
          <w:lang w:val="en-US"/>
        </w:rPr>
        <w:t xml:space="preserve"> </w:t>
      </w:r>
      <w:r w:rsidRPr="00E56CD6">
        <w:rPr>
          <w:lang w:val="en-US"/>
        </w:rPr>
        <w:t>The proportion of subjects for whom unsolicited AEs were reported during the treatment period from day 1 - 43 after any vaccination was similar for the aH5N1c full dose (25.7%) and the placebo groups (22.6%). There was no clear increase in the frequency, or difference in nature of unsolicited AEs in the aH5N1c group vs. placebo group. The proportion of unsolicited AEs considered at least possibly related to vaccination was similar in the aH5N1c full dose group and placebo group (8.2% vs. 6.2%).</w:t>
      </w:r>
    </w:p>
    <w:p w14:paraId="0FC2F1E7" w14:textId="35DE04F2" w:rsidR="00E56CD6" w:rsidRPr="00E56CD6" w:rsidRDefault="00E56CD6" w:rsidP="00E56CD6">
      <w:pPr>
        <w:rPr>
          <w:lang w:val="en-US"/>
        </w:rPr>
      </w:pPr>
      <w:r w:rsidRPr="00E56CD6">
        <w:rPr>
          <w:lang w:val="en-US"/>
        </w:rPr>
        <w:lastRenderedPageBreak/>
        <w:t xml:space="preserve">The most frequently affected SOC in both treatment groups was ‘Infections and infestations’ (6.9% (aH5N1c group) vs. 6.5% (placebo group)) followed by ‘General disorders and administration site conditions’ (5.9% and 5.0%, respectively). There were no possibly or probably related AEs in the SOC ‘Immune system </w:t>
      </w:r>
      <w:proofErr w:type="gramStart"/>
      <w:r w:rsidRPr="00E56CD6">
        <w:rPr>
          <w:lang w:val="en-US"/>
        </w:rPr>
        <w:t>disorders’</w:t>
      </w:r>
      <w:proofErr w:type="gramEnd"/>
      <w:r w:rsidRPr="00E56CD6">
        <w:rPr>
          <w:lang w:val="en-US"/>
        </w:rPr>
        <w:t>. Both for subjects who received</w:t>
      </w:r>
      <w:r w:rsidR="00773783">
        <w:rPr>
          <w:lang w:val="en-US"/>
        </w:rPr>
        <w:t xml:space="preserve"> </w:t>
      </w:r>
      <w:r w:rsidRPr="00E56CD6">
        <w:rPr>
          <w:lang w:val="en-US"/>
        </w:rPr>
        <w:t xml:space="preserve">aH5N1c full dose or placebo, the most frequently reported unsolicited AEs (PT) during the treatment period were headache (aH5N1c: 2.2%, placebo: 2.1%) and injection site bruising (aH5N1c:1.8%, placebo: 1.6%). At PT level, no notable differences were found between aH5N1c and placebo for unsolicited AEs that were considered related to study vaccination. The most frequently reported related unsolicited AEs were injection site bruising (aH5N1c: 1.7%, placebo: 1.5%) and fatigue (aH5N1c:1.0%, placebo: 0.9%). Across the 2 treatment groups, &lt; 1% reported the unsolicited AEs injection site bruising and fatigue which were solicited AEs continuing beyond day 7 after the first and second vaccination. Most unsolicited AEs reported from day 1-43 after any vaccination were of mild (aH5N1c: 18.0%, placebo: 14.3%) or moderate severity (aH5N1c: 6.8%, placebo: 7.0%). Severe unsolicited AEs were experienced by 1.0% in the aH5N1c full dose group and 1.3% in the placebo group. The most frequent severe unsolicited AEs with aH5N1c full dose after any vaccination were fatigue (0.1%, n=5), headache (0.1%, n=5), and arthralgia (0.1%, n=4). Of these, 3 severe cases of fatigue, 2 severe cases of arthralgia and 1 severe case of headache were considered possibly or probably related to aH5N1c. </w:t>
      </w:r>
      <w:proofErr w:type="gramStart"/>
      <w:r w:rsidRPr="00E56CD6">
        <w:rPr>
          <w:lang w:val="en-US"/>
        </w:rPr>
        <w:t>The majority of</w:t>
      </w:r>
      <w:proofErr w:type="gramEnd"/>
      <w:r w:rsidRPr="00E56CD6">
        <w:rPr>
          <w:lang w:val="en-US"/>
        </w:rPr>
        <w:t xml:space="preserve"> the unsolicited AEs had resolved by the end of the studies.</w:t>
      </w:r>
    </w:p>
    <w:p w14:paraId="23020EB7" w14:textId="3262C84F" w:rsidR="00CC6CAC" w:rsidRDefault="005D1E53" w:rsidP="005D1E53">
      <w:pPr>
        <w:pStyle w:val="TableTitle"/>
        <w:rPr>
          <w:lang w:val="en-US"/>
        </w:rPr>
      </w:pPr>
      <w:r w:rsidRPr="005D1E53">
        <w:rPr>
          <w:lang w:val="en-US"/>
        </w:rPr>
        <w:t>Table 1</w:t>
      </w:r>
      <w:r>
        <w:rPr>
          <w:lang w:val="en-US"/>
        </w:rPr>
        <w:t>8</w:t>
      </w:r>
      <w:r w:rsidRPr="005D1E53">
        <w:rPr>
          <w:lang w:val="en-US"/>
        </w:rPr>
        <w:t>. Ages ≥ 18 Years (Full Dose and Placebo) – Number (%) of Subjects with All and at Least Possibly Related Unsolicited Adverse Events by Preferred Term (Occurring in ≥ 1% in Any Group) Reported from Day 1 Through Day 43 After Any Vaccination – Unsolicited Safety Set.</w:t>
      </w:r>
    </w:p>
    <w:p w14:paraId="04C7DF4F" w14:textId="3DA0D728" w:rsidR="002010AB" w:rsidRDefault="002010AB" w:rsidP="002010AB">
      <w:r>
        <w:rPr>
          <w:noProof/>
        </w:rPr>
        <w:drawing>
          <wp:inline distT="0" distB="0" distL="0" distR="0" wp14:anchorId="7D00E541" wp14:editId="695D5C0A">
            <wp:extent cx="5864860" cy="2176145"/>
            <wp:effectExtent l="0" t="0" r="2540" b="0"/>
            <wp:docPr id="64923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4860" cy="2176145"/>
                    </a:xfrm>
                    <a:prstGeom prst="rect">
                      <a:avLst/>
                    </a:prstGeom>
                    <a:noFill/>
                  </pic:spPr>
                </pic:pic>
              </a:graphicData>
            </a:graphic>
          </wp:inline>
        </w:drawing>
      </w:r>
    </w:p>
    <w:p w14:paraId="39342177" w14:textId="5F412101" w:rsidR="006203F3" w:rsidRPr="006203F3" w:rsidRDefault="006203F3" w:rsidP="006203F3">
      <w:pPr>
        <w:pStyle w:val="TableDescription"/>
        <w:rPr>
          <w:lang w:val="en-US"/>
        </w:rPr>
      </w:pPr>
      <w:r w:rsidRPr="006203F3">
        <w:rPr>
          <w:lang w:val="en-US"/>
        </w:rPr>
        <w:t>Abbreviations: AE = adverse event; MedDRA = Medical Dictionary for Regulatory Activities; n = number of subjects with values in category; N = total number of subjects. Coded using MedDRA version 20.0. Note: percentages of &lt;0.1% are displayed as 0.0%.</w:t>
      </w:r>
    </w:p>
    <w:p w14:paraId="67290051" w14:textId="77777777" w:rsidR="00E36E1F" w:rsidRPr="00E36E1F" w:rsidRDefault="00E36E1F" w:rsidP="00E36E1F">
      <w:pPr>
        <w:rPr>
          <w:lang w:val="en-US"/>
        </w:rPr>
      </w:pPr>
      <w:r w:rsidRPr="00E36E1F">
        <w:rPr>
          <w:lang w:val="en-US"/>
        </w:rPr>
        <w:t>In comparison to the first vaccination, a lower percentage of subjects reported unsolicited AEs after the second vaccination in both the aH5N1c full dose group (first vaccination: 17.3%; second vaccination: 12.6%) and placebo group (first vaccination: 14.4% vs. second vaccination: 10.8%). In total, 3.6% of the subjects in the aH5N1c group and 3.1% of subjects in the placebo group had at least possibly or probably related unsolicited AEs as per the investigator after the second vaccination. Like the unsolicited AEs reported after the first vaccination, the most frequently affected SOC in both groups was ‘Infections and infestations’ (3.1% aH5N1c group vs. 2.6% placebo group) followed by ‘General disorders and administration site conditions’ (2.3% and 2.4%, respectively).</w:t>
      </w:r>
    </w:p>
    <w:p w14:paraId="460A8C13" w14:textId="77777777" w:rsidR="002010AB" w:rsidRDefault="002010AB" w:rsidP="00E36E1F">
      <w:pPr>
        <w:rPr>
          <w:b/>
          <w:bCs/>
          <w:lang w:val="en-US"/>
        </w:rPr>
      </w:pPr>
    </w:p>
    <w:p w14:paraId="7FEFC090" w14:textId="77777777" w:rsidR="002010AB" w:rsidRDefault="002010AB" w:rsidP="00E36E1F">
      <w:pPr>
        <w:rPr>
          <w:b/>
          <w:bCs/>
          <w:lang w:val="en-US"/>
        </w:rPr>
      </w:pPr>
    </w:p>
    <w:p w14:paraId="2AFE0F19" w14:textId="1DAC8ED2" w:rsidR="00E36E1F" w:rsidRPr="005E77CB" w:rsidRDefault="00E36E1F" w:rsidP="00E36E1F">
      <w:pPr>
        <w:rPr>
          <w:b/>
          <w:bCs/>
          <w:lang w:val="en-US"/>
        </w:rPr>
      </w:pPr>
      <w:proofErr w:type="spellStart"/>
      <w:r w:rsidRPr="005E77CB">
        <w:rPr>
          <w:b/>
          <w:bCs/>
          <w:lang w:val="en-US"/>
        </w:rPr>
        <w:lastRenderedPageBreak/>
        <w:t>Paediatric</w:t>
      </w:r>
      <w:proofErr w:type="spellEnd"/>
      <w:r w:rsidRPr="005E77CB">
        <w:rPr>
          <w:b/>
          <w:bCs/>
          <w:lang w:val="en-US"/>
        </w:rPr>
        <w:t xml:space="preserve"> Study V89_11</w:t>
      </w:r>
    </w:p>
    <w:p w14:paraId="3EA188E8" w14:textId="4BF6C5AA" w:rsidR="00E36E1F" w:rsidRPr="00E36E1F" w:rsidRDefault="00E36E1F" w:rsidP="005E77CB">
      <w:pPr>
        <w:rPr>
          <w:lang w:val="en-US"/>
        </w:rPr>
      </w:pPr>
      <w:r w:rsidRPr="00E36E1F">
        <w:rPr>
          <w:lang w:val="en-US"/>
        </w:rPr>
        <w:t xml:space="preserve">The unsolicited AEs reported through 21 days after each vaccination and by full and the half dose are detailed in Table </w:t>
      </w:r>
      <w:r w:rsidR="005E77CB">
        <w:rPr>
          <w:lang w:val="en-US"/>
        </w:rPr>
        <w:t>19</w:t>
      </w:r>
      <w:r w:rsidRPr="00E36E1F">
        <w:rPr>
          <w:lang w:val="en-US"/>
        </w:rPr>
        <w:t>. Overall, the percentage of subjects reporting unsolicited AEs after any vaccination was similar between the half dose and full dose group (29% vs. 26%). In comparison to the first vaccination, the incidence of unsolicited AEs was lower after the second vaccination in both the half dose group (first vaccination: 18%; second vaccination: 14%) and</w:t>
      </w:r>
      <w:r w:rsidR="002010AB">
        <w:rPr>
          <w:lang w:val="en-US"/>
        </w:rPr>
        <w:t xml:space="preserve"> </w:t>
      </w:r>
      <w:r w:rsidRPr="00E36E1F">
        <w:rPr>
          <w:lang w:val="en-US"/>
        </w:rPr>
        <w:t>full dose group (first vaccination: 20% vs. second vaccination: 11%). In total, 3% of subjects in the half dose and 2% of subjects in the full dose group reported SAEs from day 1 through study termination. None of these SAEs were considered related to the study vaccination by the investigator No deaths were reported during the study. Only one subject in the full dose group (&lt; 1%) was prematurely withdrawn from the study due to unsolicited AEs of gastroenteritis and rash. Medically attended AEs were reported by 35% and 34% of subjects in the half and full dose group, respectively. Unsolicited AEs leading to NOCD were reported by 1% of subjects in the half dose group and in none of the subjects in the full dose group. The unsolicited AEs leading to NOCD were assessed as not related to the study vaccine by the investigator. No AESIs were reported throughout the study.</w:t>
      </w:r>
    </w:p>
    <w:p w14:paraId="560DFA95" w14:textId="77777777" w:rsidR="00E36E1F" w:rsidRPr="00E36E1F" w:rsidRDefault="00E36E1F" w:rsidP="005E77CB">
      <w:pPr>
        <w:rPr>
          <w:lang w:val="en-US"/>
        </w:rPr>
      </w:pPr>
      <w:r w:rsidRPr="00E36E1F">
        <w:rPr>
          <w:lang w:val="en-US"/>
        </w:rPr>
        <w:t>After the second vaccination (day 23 - 43), 14% of subjects in the half dose group and 11% in the full dose group reported unsolicited AEs, with ≤ 1% assessed as possibly or probably related as per the investigator. The most frequently affected SOC after second vaccination was ‘Infections and infestations’ (9% vs. 7%, in respective dose groups). URTI (3% (half dose) vs. 4% (full dose group)) was the most frequently reported unsolicited AE followed by pyrexia (2% vs. 1%) and nasopharyngitis (1% vs. 2%). Solicited AEs continuing beyond day 7 after the second vaccination (reported as unsolicited AEs) such as nausea, fatigue, injection site pain, myalgia and headache were reported by ≤ 1% of subjects.</w:t>
      </w:r>
    </w:p>
    <w:p w14:paraId="32723A44" w14:textId="74F303CE" w:rsidR="00D07883" w:rsidRDefault="00D07883" w:rsidP="00D07883">
      <w:pPr>
        <w:pStyle w:val="TableTitle"/>
      </w:pPr>
      <w:r w:rsidRPr="00D07883">
        <w:t>Table 19. Study V89_11 – Numbers (%) of Subjects Reporting Unsolicited AE for 21 days After Any and Each Vaccination– Overall Safety Set.</w:t>
      </w:r>
    </w:p>
    <w:p w14:paraId="18CD3771" w14:textId="03542F88" w:rsidR="002010AB" w:rsidRPr="00D07883" w:rsidRDefault="002010AB" w:rsidP="002010AB">
      <w:r>
        <w:rPr>
          <w:noProof/>
        </w:rPr>
        <w:drawing>
          <wp:inline distT="0" distB="0" distL="0" distR="0" wp14:anchorId="0E21EE9D" wp14:editId="41C0FE99">
            <wp:extent cx="5211581" cy="2965837"/>
            <wp:effectExtent l="0" t="0" r="8255" b="6350"/>
            <wp:docPr id="1698888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7331" cy="2969109"/>
                    </a:xfrm>
                    <a:prstGeom prst="rect">
                      <a:avLst/>
                    </a:prstGeom>
                    <a:noFill/>
                  </pic:spPr>
                </pic:pic>
              </a:graphicData>
            </a:graphic>
          </wp:inline>
        </w:drawing>
      </w:r>
    </w:p>
    <w:p w14:paraId="0697B083" w14:textId="77777777" w:rsidR="00A0434F" w:rsidRPr="00A0434F" w:rsidRDefault="00A0434F" w:rsidP="00A0434F">
      <w:pPr>
        <w:pStyle w:val="Heading5"/>
        <w:rPr>
          <w:rFonts w:eastAsia="Cambria"/>
          <w:lang w:val="en-US"/>
        </w:rPr>
      </w:pPr>
      <w:r w:rsidRPr="00A0434F">
        <w:rPr>
          <w:rFonts w:eastAsia="Cambria"/>
          <w:lang w:val="en-US"/>
        </w:rPr>
        <w:t>Treatment related adverse events (adverse drug reactions)</w:t>
      </w:r>
    </w:p>
    <w:p w14:paraId="045B4FA2" w14:textId="77777777" w:rsidR="00A0434F" w:rsidRPr="00A0434F" w:rsidRDefault="00A0434F" w:rsidP="00A0434F">
      <w:pPr>
        <w:pStyle w:val="Heading6"/>
        <w:rPr>
          <w:rFonts w:eastAsia="Cambria"/>
          <w:lang w:val="en-US"/>
        </w:rPr>
      </w:pPr>
      <w:r w:rsidRPr="00A0434F">
        <w:rPr>
          <w:rFonts w:eastAsia="Cambria"/>
          <w:lang w:val="en-US"/>
        </w:rPr>
        <w:t>Pivotal studies</w:t>
      </w:r>
    </w:p>
    <w:p w14:paraId="3E0ABC9D" w14:textId="77777777" w:rsidR="00A0434F" w:rsidRPr="00A0434F" w:rsidRDefault="00A0434F" w:rsidP="00A0434F">
      <w:pPr>
        <w:rPr>
          <w:b/>
          <w:bCs/>
          <w:lang w:val="en-US"/>
        </w:rPr>
      </w:pPr>
      <w:r w:rsidRPr="00A0434F">
        <w:rPr>
          <w:b/>
          <w:bCs/>
          <w:lang w:val="en-US"/>
        </w:rPr>
        <w:t>Studies V89_04, V89_13 and V89_18: Solicited Adverse Events data in the ISS.</w:t>
      </w:r>
    </w:p>
    <w:p w14:paraId="3CF2A6CE" w14:textId="38432053" w:rsidR="00A0434F" w:rsidRPr="00A0434F" w:rsidRDefault="00A0434F" w:rsidP="00A0434F">
      <w:pPr>
        <w:rPr>
          <w:lang w:val="en-US"/>
        </w:rPr>
      </w:pPr>
      <w:r w:rsidRPr="00A0434F">
        <w:rPr>
          <w:lang w:val="en-US"/>
        </w:rPr>
        <w:lastRenderedPageBreak/>
        <w:t>The criteria for assessment of solicited local and systemic Adverse Events (AEs) is summarised in Table 2</w:t>
      </w:r>
      <w:r w:rsidR="00B80A35">
        <w:rPr>
          <w:lang w:val="en-US"/>
        </w:rPr>
        <w:t>0</w:t>
      </w:r>
      <w:r w:rsidRPr="00A0434F">
        <w:rPr>
          <w:lang w:val="en-US"/>
        </w:rPr>
        <w:t>.</w:t>
      </w:r>
    </w:p>
    <w:p w14:paraId="43F60986" w14:textId="77777777" w:rsidR="00A0434F" w:rsidRPr="00A0434F" w:rsidRDefault="00A0434F" w:rsidP="00A0434F">
      <w:pPr>
        <w:rPr>
          <w:lang w:val="en-US"/>
        </w:rPr>
      </w:pPr>
      <w:r w:rsidRPr="00A0434F">
        <w:rPr>
          <w:lang w:val="en-US"/>
        </w:rPr>
        <w:t>61.9% of the subjects in the aH5N1c full dose group and 38.0% of placebo subjects reported any solicited AE after any vaccination. The frequency of any solicited AE (local and systemic) was higher in the aH5N1c group than in the placebo group after each vaccination. The proportion of subjects for whom any solicited AE was reported was lower after the second vaccination than after the first vaccination both in the aH5N1c group and the placebo group. Overall, the solicited AEs were predominantly either mild or moderate in severity. During the first 30 minutes after any vaccination, 4.8% of the aH5N1c full dose subjects and 3.4% of the placebo recipients reported any local and systemic AEs. Similar proportions of subjects in both treatment groups used analgesic/antipyretic medication within 24 hours prior to Vaccination 1 (aH5N1c: 17.7%, placebo: 20.9%), and Vaccination 2 (aH5N1c: 14.3%, placebo: 15.1%).</w:t>
      </w:r>
    </w:p>
    <w:p w14:paraId="479D1C76" w14:textId="40F139F7" w:rsidR="00B450CB" w:rsidRDefault="00A0434F" w:rsidP="00B450CB">
      <w:pPr>
        <w:rPr>
          <w:lang w:val="en-US"/>
        </w:rPr>
      </w:pPr>
      <w:r w:rsidRPr="00A0434F">
        <w:rPr>
          <w:lang w:val="en-US"/>
        </w:rPr>
        <w:t xml:space="preserve">During the first 30 minutes after any vaccination, 4.0% aH5N1c full dose subjects and 2.9% of placebo subjects reported experiencing a local AE, with pain the most frequently reported local AE in the aH5N1c group (3.8%) and in the placebo group (2.6%). In most subjects, the solicited local AEs were experienced within the first 2 days after vaccination and resolved within 3 to 4 days. Ecchymosis and pain, reported by 0.2% (aH5N1c group), were the only local AEs reported to continue beyond day 7 after any vaccination (as unsolicited AEs). The mean duration of ecchymosis was 6.5 days after Vaccination 1 and 7.1 days after Vaccination 2. The mean duration of pain was 1.9 days after Vaccination 1 and 2.0 days after Vaccination 2. The most reported (&gt; 10% of subjects) solicited systemic AEs after any vaccination in subjects ≥ 18 years of age were: fatigue, headache, malaise, and myalgia in both treatment groups, </w:t>
      </w:r>
      <w:proofErr w:type="gramStart"/>
      <w:r w:rsidRPr="00A0434F">
        <w:rPr>
          <w:lang w:val="en-US"/>
        </w:rPr>
        <w:t>and also</w:t>
      </w:r>
      <w:proofErr w:type="gramEnd"/>
      <w:r w:rsidRPr="00A0434F">
        <w:rPr>
          <w:lang w:val="en-US"/>
        </w:rPr>
        <w:t xml:space="preserve"> arthralgia in the aH5N1c group. Overall, in both groups, solicited systemic AEs were predominantly mild or moderate in severity. In both groups, systemic AE after any vaccination was generally lower from day 4 - 7 than from day 1 - 3. There was no clear difference in frequency of solicited systemic AEs in the aH5N1c group vs. the placebo group, except for malaise, reported more frequently in aH5N1c (19.4% vs. 11.9% after any vaccination with aH5N1c vs. placebo).</w:t>
      </w:r>
      <w:r w:rsidR="00B450CB" w:rsidRPr="00B450CB">
        <w:rPr>
          <w:lang w:val="en-US"/>
        </w:rPr>
        <w:t xml:space="preserve"> </w:t>
      </w:r>
    </w:p>
    <w:p w14:paraId="4ACFD55D" w14:textId="2AA66D28" w:rsidR="00B450CB" w:rsidRDefault="00B450CB" w:rsidP="00B22A8E">
      <w:pPr>
        <w:pStyle w:val="TableTitle"/>
        <w:rPr>
          <w:lang w:val="en-US"/>
        </w:rPr>
      </w:pPr>
      <w:r w:rsidRPr="00B450CB">
        <w:rPr>
          <w:lang w:val="en-US"/>
        </w:rPr>
        <w:lastRenderedPageBreak/>
        <w:t>Table 20. Solicited Local and Systemic Adverse Events Assessed in Studies V89_18, V89_04, V89_11, V89_13, V89P1, V110_04, V129_01, and V131_01.</w:t>
      </w:r>
    </w:p>
    <w:p w14:paraId="62F06E35" w14:textId="67F3E3B0" w:rsidR="002010AB" w:rsidRPr="00B450CB" w:rsidRDefault="00B22A8E" w:rsidP="00B450CB">
      <w:pPr>
        <w:rPr>
          <w:b/>
          <w:lang w:val="en-US"/>
        </w:rPr>
      </w:pPr>
      <w:r>
        <w:rPr>
          <w:b/>
          <w:noProof/>
          <w:lang w:val="en-US"/>
        </w:rPr>
        <w:drawing>
          <wp:inline distT="0" distB="0" distL="0" distR="0" wp14:anchorId="41B75ED9" wp14:editId="1B960396">
            <wp:extent cx="5168348" cy="4215573"/>
            <wp:effectExtent l="0" t="0" r="0" b="0"/>
            <wp:docPr id="20761470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6403" cy="4222143"/>
                    </a:xfrm>
                    <a:prstGeom prst="rect">
                      <a:avLst/>
                    </a:prstGeom>
                    <a:noFill/>
                  </pic:spPr>
                </pic:pic>
              </a:graphicData>
            </a:graphic>
          </wp:inline>
        </w:drawing>
      </w:r>
    </w:p>
    <w:p w14:paraId="50D8279B" w14:textId="4FE409BD" w:rsidR="00A0434F" w:rsidRPr="00A0434F" w:rsidRDefault="00B22A8E" w:rsidP="00A0434F">
      <w:pPr>
        <w:rPr>
          <w:lang w:val="en-US"/>
        </w:rPr>
      </w:pPr>
      <w:r>
        <w:rPr>
          <w:noProof/>
          <w:lang w:val="en-US"/>
        </w:rPr>
        <w:drawing>
          <wp:inline distT="0" distB="0" distL="0" distR="0" wp14:anchorId="175F7346" wp14:editId="4A34350D">
            <wp:extent cx="5011420" cy="749935"/>
            <wp:effectExtent l="0" t="0" r="0" b="0"/>
            <wp:docPr id="13527418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1420" cy="749935"/>
                    </a:xfrm>
                    <a:prstGeom prst="rect">
                      <a:avLst/>
                    </a:prstGeom>
                    <a:noFill/>
                  </pic:spPr>
                </pic:pic>
              </a:graphicData>
            </a:graphic>
          </wp:inline>
        </w:drawing>
      </w:r>
    </w:p>
    <w:p w14:paraId="203E8292" w14:textId="2A65DEE9" w:rsidR="003D2E24" w:rsidRPr="003D2E24" w:rsidRDefault="003D2E24" w:rsidP="003D2E24">
      <w:pPr>
        <w:rPr>
          <w:lang w:val="en-US"/>
        </w:rPr>
      </w:pPr>
      <w:r w:rsidRPr="003D2E24">
        <w:rPr>
          <w:lang w:val="en-US"/>
        </w:rPr>
        <w:t>As shown in Figure 5, the tolerability did not get worse with age, if anything it improved with older age.</w:t>
      </w:r>
    </w:p>
    <w:p w14:paraId="217D6808" w14:textId="723F2030" w:rsidR="00AF2F89" w:rsidRPr="00AF2F89" w:rsidRDefault="00AF2F89" w:rsidP="00AF2F89">
      <w:pPr>
        <w:pStyle w:val="FigureTitle"/>
        <w:rPr>
          <w:lang w:val="en-US"/>
        </w:rPr>
      </w:pPr>
      <w:r w:rsidRPr="00AF2F89">
        <w:rPr>
          <w:lang w:val="en-US"/>
        </w:rPr>
        <w:t>Figure 5. Frequency (%) of any Solicited AEs (Local or Systemic) from day 1 (Excluding 30 Minutes) through day 7 in Age Subgroups – Full Dose and Placebo.</w:t>
      </w:r>
    </w:p>
    <w:p w14:paraId="63DB40F0" w14:textId="335A44A0" w:rsidR="00CC6CAC" w:rsidRDefault="00B22A8E" w:rsidP="00B22A8E">
      <w:r>
        <w:rPr>
          <w:noProof/>
        </w:rPr>
        <w:drawing>
          <wp:inline distT="0" distB="0" distL="0" distR="0" wp14:anchorId="390F9ED5" wp14:editId="55A03501">
            <wp:extent cx="3983604" cy="2638134"/>
            <wp:effectExtent l="0" t="0" r="0" b="0"/>
            <wp:docPr id="1401644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3860" cy="2644926"/>
                    </a:xfrm>
                    <a:prstGeom prst="rect">
                      <a:avLst/>
                    </a:prstGeom>
                    <a:noFill/>
                  </pic:spPr>
                </pic:pic>
              </a:graphicData>
            </a:graphic>
          </wp:inline>
        </w:drawing>
      </w:r>
    </w:p>
    <w:p w14:paraId="0C184C4A" w14:textId="77777777" w:rsidR="009C3F9D" w:rsidRPr="009C3F9D" w:rsidRDefault="009C3F9D" w:rsidP="009C3F9D">
      <w:pPr>
        <w:rPr>
          <w:b/>
          <w:bCs/>
          <w:lang w:val="en-US"/>
        </w:rPr>
      </w:pPr>
      <w:r w:rsidRPr="009C3F9D">
        <w:rPr>
          <w:b/>
          <w:bCs/>
          <w:lang w:val="en-US"/>
        </w:rPr>
        <w:lastRenderedPageBreak/>
        <w:t>Solicited Adverse Events data for Study V89_11</w:t>
      </w:r>
    </w:p>
    <w:p w14:paraId="1B337173" w14:textId="5614D004" w:rsidR="009C3F9D" w:rsidRPr="009C3F9D" w:rsidRDefault="009C3F9D" w:rsidP="009C3F9D">
      <w:pPr>
        <w:rPr>
          <w:lang w:val="en-US"/>
        </w:rPr>
      </w:pPr>
      <w:r w:rsidRPr="009C3F9D">
        <w:rPr>
          <w:lang w:val="en-US"/>
        </w:rPr>
        <w:t>Overall summary of solicited AEs in the first 7 days after any vaccination by age (6 months to &lt; 6 years and 6 years to ≤ 17 years) are summarised in Table 2</w:t>
      </w:r>
      <w:r w:rsidR="00D47C04">
        <w:rPr>
          <w:lang w:val="en-US"/>
        </w:rPr>
        <w:t>1</w:t>
      </w:r>
      <w:r w:rsidRPr="009C3F9D">
        <w:rPr>
          <w:lang w:val="en-US"/>
        </w:rPr>
        <w:t>.</w:t>
      </w:r>
    </w:p>
    <w:p w14:paraId="1F9415F5" w14:textId="77777777" w:rsidR="009C3F9D" w:rsidRPr="009C3F9D" w:rsidRDefault="009C3F9D" w:rsidP="009C3F9D">
      <w:pPr>
        <w:rPr>
          <w:lang w:val="en-US"/>
        </w:rPr>
      </w:pPr>
      <w:r w:rsidRPr="009C3F9D">
        <w:rPr>
          <w:b/>
          <w:bCs/>
          <w:lang w:val="en-US"/>
        </w:rPr>
        <w:t xml:space="preserve">Solicited AEs - </w:t>
      </w:r>
      <w:r w:rsidRPr="007644EF">
        <w:rPr>
          <w:b/>
          <w:bCs/>
          <w:i/>
          <w:iCs/>
          <w:lang w:val="en-US"/>
        </w:rPr>
        <w:t>Children less than six years of age</w:t>
      </w:r>
      <w:r w:rsidRPr="009C3F9D">
        <w:rPr>
          <w:b/>
          <w:bCs/>
          <w:lang w:val="en-US"/>
        </w:rPr>
        <w:t>:</w:t>
      </w:r>
      <w:r w:rsidRPr="009C3F9D">
        <w:rPr>
          <w:lang w:val="en-US"/>
        </w:rPr>
        <w:t xml:space="preserve"> For subjects 6 months to less than 6 years of age, tenderness was the mostly frequently (56% in both dose groups) observed solicited local AE between day 1 through day 7 after any vaccination (first vaccination: 49% in half dose group vs. 47% in full dose group; second vaccination: 38% vs. 43%, respectively). Most of the solicited local AEs were of mild to moderate severity in both dose groups. Apart from severe tenderness after the first vaccination (1 subject in half dose group; 2 subjects in full dose group), no subjects in either of the dose groups experienced severe solicited local AEs. After each vaccination, 1% of subjects had erythema and 1% of subjects had induration across the 2 dose groups. Only 1 subject had ecchymosis, after the second vaccination. Most AEs resolved within a few days.</w:t>
      </w:r>
    </w:p>
    <w:p w14:paraId="0F1B0EEE" w14:textId="77777777" w:rsidR="009C3F9D" w:rsidRPr="009C3F9D" w:rsidRDefault="009C3F9D" w:rsidP="009C3F9D">
      <w:pPr>
        <w:rPr>
          <w:lang w:val="en-US"/>
        </w:rPr>
      </w:pPr>
      <w:r w:rsidRPr="009C3F9D">
        <w:rPr>
          <w:lang w:val="en-US"/>
        </w:rPr>
        <w:t xml:space="preserve">Overall, similar rates of solicited local AEs after any vaccination were observed in subjects 6 months to &lt; 3 years of age and subjects 3 to &lt; 6 years of age. Severe solicited local AEs were infrequent in both age </w:t>
      </w:r>
      <w:proofErr w:type="gramStart"/>
      <w:r w:rsidRPr="009C3F9D">
        <w:rPr>
          <w:lang w:val="en-US"/>
        </w:rPr>
        <w:t>subgroups</w:t>
      </w:r>
      <w:proofErr w:type="gramEnd"/>
      <w:r w:rsidRPr="009C3F9D">
        <w:rPr>
          <w:lang w:val="en-US"/>
        </w:rPr>
        <w:t>.</w:t>
      </w:r>
    </w:p>
    <w:p w14:paraId="099DA7D2" w14:textId="77777777" w:rsidR="00B953C0" w:rsidRDefault="009C3F9D" w:rsidP="009C3F9D">
      <w:pPr>
        <w:rPr>
          <w:lang w:val="en-US"/>
        </w:rPr>
      </w:pPr>
      <w:r w:rsidRPr="007644EF">
        <w:rPr>
          <w:b/>
          <w:bCs/>
          <w:i/>
          <w:iCs/>
          <w:lang w:val="en-US"/>
        </w:rPr>
        <w:t>Subjects 6 to 17 years of age</w:t>
      </w:r>
      <w:r w:rsidRPr="00117C03">
        <w:rPr>
          <w:b/>
          <w:bCs/>
          <w:i/>
          <w:lang w:val="en-US"/>
        </w:rPr>
        <w:t>:</w:t>
      </w:r>
      <w:r w:rsidRPr="009C3F9D">
        <w:rPr>
          <w:i/>
          <w:lang w:val="en-US"/>
        </w:rPr>
        <w:t xml:space="preserve"> </w:t>
      </w:r>
      <w:r w:rsidRPr="009C3F9D">
        <w:rPr>
          <w:lang w:val="en-US"/>
        </w:rPr>
        <w:t xml:space="preserve">In subjects 6 years and up to 17 years of age, pain was the most frequently reported solicited local AE; 72% of subjects in the half dose group and 68% subjects in the full dose group reported pain of mild to moderate severity after any vaccination (first vaccination: 69% vs. 67%; second vaccination: 41% vs. 38%). Two subjects in the full dose and none in the half dose group reported erythema, and none of the subjects in both dose groups reported ecchymosis after any vaccination. Induration was reported by 1% of subjects in the half dose group and 2% of subjects in the full dose group. Neither group reported severe local AEs, except for 1% of subjects who reported severe pain after each vaccination. </w:t>
      </w:r>
    </w:p>
    <w:p w14:paraId="13F97226" w14:textId="6A0A7FC5" w:rsidR="009C3F9D" w:rsidRPr="009C3F9D" w:rsidRDefault="009C3F9D" w:rsidP="009C3F9D">
      <w:pPr>
        <w:rPr>
          <w:lang w:val="en-US"/>
        </w:rPr>
      </w:pPr>
      <w:r w:rsidRPr="009C3F9D">
        <w:rPr>
          <w:lang w:val="en-US"/>
        </w:rPr>
        <w:t>Overall, in both age groups, the percentages reporting solicited local AEs were similar between the half dose and full dose groups. For the majority, the onset of solicited local AEs after each vaccination was</w:t>
      </w:r>
      <w:r w:rsidR="0011293D">
        <w:rPr>
          <w:lang w:val="en-US"/>
        </w:rPr>
        <w:t xml:space="preserve"> </w:t>
      </w:r>
      <w:r w:rsidRPr="009C3F9D">
        <w:rPr>
          <w:lang w:val="en-US"/>
        </w:rPr>
        <w:t>between 30 minutes through day 3 for subjects &lt; 6 years of age and between 30 minutes</w:t>
      </w:r>
      <w:r w:rsidR="00C707DF">
        <w:rPr>
          <w:lang w:val="en-US"/>
        </w:rPr>
        <w:t xml:space="preserve"> </w:t>
      </w:r>
      <w:r w:rsidRPr="009C3F9D">
        <w:rPr>
          <w:lang w:val="en-US"/>
        </w:rPr>
        <w:t>through day 2 for subjects 6 to ≤ 17 years of age; most of these events were resolved within day</w:t>
      </w:r>
      <w:r w:rsidR="00C707DF">
        <w:rPr>
          <w:lang w:val="en-US"/>
        </w:rPr>
        <w:t xml:space="preserve"> </w:t>
      </w:r>
      <w:r w:rsidRPr="009C3F9D">
        <w:rPr>
          <w:lang w:val="en-US"/>
        </w:rPr>
        <w:t xml:space="preserve">7. Local AEs were in general mild to moderate in severity; in both age groups, only 1% of subjects reported severe tenderness or pain after each vaccination; there were no other severe events. Most events </w:t>
      </w:r>
      <w:proofErr w:type="gramStart"/>
      <w:r w:rsidRPr="009C3F9D">
        <w:rPr>
          <w:lang w:val="en-US"/>
        </w:rPr>
        <w:t>resolved</w:t>
      </w:r>
      <w:proofErr w:type="gramEnd"/>
      <w:r w:rsidRPr="009C3F9D">
        <w:rPr>
          <w:lang w:val="en-US"/>
        </w:rPr>
        <w:t xml:space="preserve"> spontaneously within a few days.</w:t>
      </w:r>
    </w:p>
    <w:p w14:paraId="639CC65D" w14:textId="7D2F6734" w:rsidR="009C3F9D" w:rsidRPr="009C3F9D" w:rsidRDefault="009C3F9D" w:rsidP="009C3F9D">
      <w:pPr>
        <w:rPr>
          <w:lang w:val="en-US"/>
        </w:rPr>
      </w:pPr>
      <w:r w:rsidRPr="00F47E61">
        <w:rPr>
          <w:b/>
          <w:bCs/>
          <w:lang w:val="en-US"/>
        </w:rPr>
        <w:t xml:space="preserve">Solicited Systemic AEs </w:t>
      </w:r>
      <w:r w:rsidR="007644EF">
        <w:rPr>
          <w:b/>
          <w:bCs/>
          <w:lang w:val="en-US"/>
        </w:rPr>
        <w:t xml:space="preserve">- </w:t>
      </w:r>
      <w:r w:rsidRPr="00F47E61">
        <w:rPr>
          <w:b/>
          <w:bCs/>
          <w:i/>
          <w:lang w:val="en-US"/>
        </w:rPr>
        <w:t>Subjects 6 months to &lt; 6 years of age:</w:t>
      </w:r>
      <w:r w:rsidRPr="009C3F9D">
        <w:rPr>
          <w:i/>
          <w:lang w:val="en-US"/>
        </w:rPr>
        <w:t xml:space="preserve"> </w:t>
      </w:r>
      <w:r w:rsidRPr="009C3F9D">
        <w:rPr>
          <w:lang w:val="en-US"/>
        </w:rPr>
        <w:t>The most frequently observed solicited systemic AE after any vaccination was irritability (half dose: 28%, full dose: 30%), sleepiness (25% in both dose groups) and change in eating habits (half dose: 12% vs. full dose: 18%). Across the dose groups, ≤ 1% reported severe sleepiness and severe irritability after the first vaccination. Fever (≥ 38.0°C) was experienced by 8% of subjects in the half dose group (first vaccination: 6%; second vaccination: 3%) and by 16% of subjects in the full dose group (first vaccination: 7%; second vaccination 10%) after any vaccination. Only 1 subject in the full dose group had body temperature ≥ 40.0°C, which occurred post second vaccination. Prophylactic use of analgesic or antipyretic medication was reported for 16% of subjects in the half dose group and 11% of subjects in the full dose group. For the treatment of pain and/or fever after any vaccination, 16% vs. 23% of subjects in respective dose groups received analgesic or antipyretic medications. Overall, rates of solicited systemic AEs after any vaccination appeared to be slightly higher in the subjects 6 months to &lt; 3 years of age than the subjects 3 to &lt; 6 years of age. Severe solicited systemic AEs were infrequent in both age subgroups.</w:t>
      </w:r>
    </w:p>
    <w:p w14:paraId="1072BE39" w14:textId="77777777" w:rsidR="009C3F9D" w:rsidRPr="009C3F9D" w:rsidRDefault="009C3F9D" w:rsidP="009C3F9D">
      <w:pPr>
        <w:rPr>
          <w:lang w:val="en-US"/>
        </w:rPr>
      </w:pPr>
      <w:r w:rsidRPr="007644EF">
        <w:rPr>
          <w:b/>
          <w:bCs/>
          <w:i/>
          <w:iCs/>
          <w:lang w:val="en-US"/>
        </w:rPr>
        <w:t>Subjects 6 to ≤ 17 years of age:</w:t>
      </w:r>
      <w:r w:rsidRPr="009C3F9D">
        <w:rPr>
          <w:lang w:val="en-US"/>
        </w:rPr>
        <w:t xml:space="preserve"> The most frequently reported solicited systemic AE after any vaccination was myalgia (half dose: 28%, full dose: 30%), fatigue (30% vs. 27%, respectively) and headache (29% vs. 22%, respectively). Fever (≥ 38.0°C) was reported by 3% of subjects in the half dose group (first vaccination: 2%; second vaccination: 1%) and 4% of subjects (first </w:t>
      </w:r>
      <w:r w:rsidRPr="009C3F9D">
        <w:rPr>
          <w:lang w:val="en-US"/>
        </w:rPr>
        <w:lastRenderedPageBreak/>
        <w:t xml:space="preserve">vaccination: 3%; second vaccination: 1%) in the full dose group after any vaccination. No subjects developed a fever of ≥ 40.0°C. In </w:t>
      </w:r>
      <w:proofErr w:type="gramStart"/>
      <w:r w:rsidRPr="009C3F9D">
        <w:rPr>
          <w:lang w:val="en-US"/>
        </w:rPr>
        <w:t>both dose</w:t>
      </w:r>
      <w:proofErr w:type="gramEnd"/>
      <w:r w:rsidRPr="009C3F9D">
        <w:rPr>
          <w:lang w:val="en-US"/>
        </w:rPr>
        <w:t xml:space="preserve"> groups, ≤ 1% reported severe solicited systemic AEs. Prophylactic use of analgesic or antipyretic medication was reported for 6% and 9% of subjects in the half dose and full dose groups respectively. 14% vs. 15% of subjects in respective dose groups received analgesic or antipyretic medications for the pain and/or fever after any vaccination.</w:t>
      </w:r>
    </w:p>
    <w:p w14:paraId="6672F8F1" w14:textId="7E1E385B" w:rsidR="00520274" w:rsidRDefault="00520274">
      <w:pPr>
        <w:rPr>
          <w:b/>
          <w:lang w:val="en-US"/>
        </w:rPr>
      </w:pPr>
    </w:p>
    <w:p w14:paraId="0D4C0F0B" w14:textId="4317E3EF" w:rsidR="00520274" w:rsidRPr="00520274" w:rsidRDefault="00520274" w:rsidP="00072991">
      <w:pPr>
        <w:pStyle w:val="TableTitle"/>
        <w:rPr>
          <w:lang w:val="en-US"/>
        </w:rPr>
      </w:pPr>
      <w:r w:rsidRPr="00520274">
        <w:rPr>
          <w:lang w:val="en-US"/>
        </w:rPr>
        <w:t>Table 21. Study V89_11 – Numbers (%) of Subjects with at Least One Solicited AE, reported from day 1 (excluding first 30 minutes) through day 7, After Any Vaccination, and by Vaccination (Type 2) a –Age 6 months to &lt; 6 Years and 6 to ≤ 17 Years – Solicited Safety Set</w:t>
      </w:r>
      <w:r w:rsidR="00464DC5">
        <w:rPr>
          <w:lang w:val="en-US"/>
        </w:rPr>
        <w:t>.</w:t>
      </w:r>
    </w:p>
    <w:p w14:paraId="358B96C3" w14:textId="39B30A5D" w:rsidR="00D07883" w:rsidRDefault="00B22A8E" w:rsidP="00D07883">
      <w:r>
        <w:rPr>
          <w:noProof/>
        </w:rPr>
        <w:drawing>
          <wp:inline distT="0" distB="0" distL="0" distR="0" wp14:anchorId="5C51E61C" wp14:editId="1FBD3BFD">
            <wp:extent cx="5529580" cy="2792095"/>
            <wp:effectExtent l="0" t="0" r="0" b="8255"/>
            <wp:docPr id="12813567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9580" cy="2792095"/>
                    </a:xfrm>
                    <a:prstGeom prst="rect">
                      <a:avLst/>
                    </a:prstGeom>
                    <a:noFill/>
                  </pic:spPr>
                </pic:pic>
              </a:graphicData>
            </a:graphic>
          </wp:inline>
        </w:drawing>
      </w:r>
    </w:p>
    <w:p w14:paraId="6416997B" w14:textId="77777777" w:rsidR="00D05D77" w:rsidRPr="00D05D77" w:rsidRDefault="00D05D77" w:rsidP="00D05D77">
      <w:pPr>
        <w:rPr>
          <w:lang w:val="en-US"/>
        </w:rPr>
      </w:pPr>
      <w:r w:rsidRPr="00D05D77">
        <w:rPr>
          <w:lang w:val="en-US"/>
        </w:rPr>
        <w:t xml:space="preserve">In summary, across the 2 age groups, the percentage with solicited systemic AEs was similar between the 2 dose groups. However, in the age group ≥ 6 months to &lt; 6 years, a higher percentage of subjects in the full dose group reported fever and used analgesics/antipyretic medication. </w:t>
      </w:r>
      <w:proofErr w:type="gramStart"/>
      <w:r w:rsidRPr="00D05D77">
        <w:rPr>
          <w:lang w:val="en-US"/>
        </w:rPr>
        <w:t>The majority of</w:t>
      </w:r>
      <w:proofErr w:type="gramEnd"/>
      <w:r w:rsidRPr="00D05D77">
        <w:rPr>
          <w:lang w:val="en-US"/>
        </w:rPr>
        <w:t xml:space="preserve"> the solicited systemic AEs were of mild to moderate severity. The onset of solicited systemic AE was mostly between 30 minutes through day 5 for subjects 6 months to &lt; 6 years of age, whereas the onset was between 30 minutes through day 4 for subjects 6 to ≤ 17 years of age. Most of the systemic AEs were resolved within day 7 after vaccination. The incidence of solicited systemic AEs was lower after the second compared to the first vaccination.</w:t>
      </w:r>
    </w:p>
    <w:p w14:paraId="520AF1FA" w14:textId="77777777" w:rsidR="00D05D77" w:rsidRPr="00D05D77" w:rsidRDefault="00D05D77" w:rsidP="00606E7E">
      <w:pPr>
        <w:pStyle w:val="Heading5"/>
        <w:rPr>
          <w:lang w:val="en-US"/>
        </w:rPr>
      </w:pPr>
      <w:bookmarkStart w:id="61" w:name="Deaths_and_other_serious_adverse_events"/>
      <w:bookmarkEnd w:id="61"/>
      <w:r w:rsidRPr="00D05D77">
        <w:rPr>
          <w:lang w:val="en-US"/>
        </w:rPr>
        <w:t>Deaths and other serious adverse events</w:t>
      </w:r>
    </w:p>
    <w:p w14:paraId="08F1EC0D" w14:textId="77777777" w:rsidR="00D05D77" w:rsidRPr="00D05D77" w:rsidRDefault="00D05D77" w:rsidP="00606E7E">
      <w:pPr>
        <w:pStyle w:val="Heading6"/>
        <w:rPr>
          <w:lang w:val="en-US"/>
        </w:rPr>
      </w:pPr>
      <w:bookmarkStart w:id="62" w:name="Pivotal_and/or_main_efficacy_studies"/>
      <w:bookmarkEnd w:id="62"/>
      <w:r w:rsidRPr="00D05D77">
        <w:rPr>
          <w:lang w:val="en-US"/>
        </w:rPr>
        <w:t>Pivotal and/or main efficacy studies</w:t>
      </w:r>
    </w:p>
    <w:p w14:paraId="43F9553C" w14:textId="77777777" w:rsidR="00D05D77" w:rsidRPr="00D05D77" w:rsidRDefault="00D05D77" w:rsidP="00D05D77">
      <w:pPr>
        <w:rPr>
          <w:lang w:val="en-US"/>
        </w:rPr>
      </w:pPr>
      <w:r w:rsidRPr="00D05D77">
        <w:rPr>
          <w:b/>
          <w:lang w:val="en-US"/>
        </w:rPr>
        <w:t>Deaths in the ISS (Studies V89_04</w:t>
      </w:r>
      <w:r w:rsidRPr="00D05D77">
        <w:rPr>
          <w:lang w:val="en-US"/>
        </w:rPr>
        <w:t xml:space="preserve">, </w:t>
      </w:r>
      <w:r w:rsidRPr="00D05D77">
        <w:rPr>
          <w:b/>
          <w:lang w:val="en-US"/>
        </w:rPr>
        <w:t xml:space="preserve">V89_13 </w:t>
      </w:r>
      <w:r w:rsidRPr="00D05D77">
        <w:rPr>
          <w:lang w:val="en-US"/>
        </w:rPr>
        <w:t xml:space="preserve">and </w:t>
      </w:r>
      <w:r w:rsidRPr="00D05D77">
        <w:rPr>
          <w:b/>
          <w:lang w:val="en-US"/>
        </w:rPr>
        <w:t>V89_18)</w:t>
      </w:r>
      <w:r w:rsidRPr="00D05D77">
        <w:rPr>
          <w:lang w:val="en-US"/>
        </w:rPr>
        <w:t>: 17 deaths were reported. Sixteen deaths were reported in the full dose group and 1 in the placebo group. All deaths occurred during the follow-up period (i.e. &gt; 21 days after last vaccination received) with a mean of 234.4 days (range 38-512 days) for the aH5N1c group and 227 days for the placebo group. All deaths were reported in subjects with underlying diseases, taking multiple concomitant medications or were accidental (gunshot wounds). No patterns, trends or safety signals were identified during a review of the combined cases of death reported across the trials. None of the deaths were assessed as related to the study vaccine by either the investigator or by Seqirus Pty Ltd.</w:t>
      </w:r>
    </w:p>
    <w:p w14:paraId="4F47C692" w14:textId="77777777" w:rsidR="00D05D77" w:rsidRPr="00D05D77" w:rsidRDefault="00D05D77" w:rsidP="00D05D77">
      <w:pPr>
        <w:rPr>
          <w:lang w:val="en-US"/>
        </w:rPr>
      </w:pPr>
      <w:r w:rsidRPr="00D05D77">
        <w:rPr>
          <w:b/>
          <w:lang w:val="en-US"/>
        </w:rPr>
        <w:lastRenderedPageBreak/>
        <w:t xml:space="preserve">SAEs Ages ≥ 18 Years, Full Dose and Placebo in the ISS (V89_04, V89_13 and V89_18): </w:t>
      </w:r>
      <w:r w:rsidRPr="00D05D77">
        <w:rPr>
          <w:lang w:val="en-US"/>
        </w:rPr>
        <w:t>The frequency of subjects with SAEs from day 1 through study termination was 6.3% in the aH5N1c full dose group and 9.3% in the placebo group. Most of the SAEs were reported after day 43, during the follow-up period (aH5N1c: 5.8% of subjects; placebo: 8.4% of subjects). In total, 14 subjects in the ≥ 18 years of age, full dose population reported SAEs after the first vaccination comprising 9 subjects (0.3%) in the aH5N1c group and 5 subjects (0.6%) in the placebo group. After the second vaccination, 14 subjects reported an SAE (aH5N1c: 11 subjects [0.3%]; placebo: 3 subjects [0.4%]). During the treatment period (day 1-43), the most frequently reported SOC for SAEs in the aH5N1c full dose group was ‘Infections and infestations’ (7 subjects [0.2%]) and in the placebo group ‘cardiac disorders’ and ‘Gastrointestinal disorders’ (each 3 subjects [0.4%]). During the entire study period (day 1 through study termination), the most frequently reported SOC for SAEs was ‘cardiac disorders’ for both treatment groups (aH5N1c: 1.1%, placebo: 2.8%). The three most frequent PTs for SAEs in the aH5N1c group were atrial fibrillation (0.3%), osteoarthritis (0.5%), and pneumonia (0.2%). In the placebo group, the most frequent SAEs by PT were atrial fibrillation (1.0%), followed by osteoarthritis, myocardial infarction, and respiratory failure (all 0.5%).</w:t>
      </w:r>
    </w:p>
    <w:p w14:paraId="0F99BED6" w14:textId="77777777" w:rsidR="00D05D77" w:rsidRPr="00D05D77" w:rsidRDefault="00D05D77" w:rsidP="00D05D77">
      <w:pPr>
        <w:rPr>
          <w:lang w:val="en-US"/>
        </w:rPr>
      </w:pPr>
      <w:r w:rsidRPr="00D05D77">
        <w:rPr>
          <w:b/>
          <w:lang w:val="en-US"/>
        </w:rPr>
        <w:t xml:space="preserve">Related SAEs Ages ≥ 18 Years, Full Dose and Placebo in the ISS (V89_04, V89_13 and V89_18): </w:t>
      </w:r>
      <w:r w:rsidRPr="00D05D77">
        <w:rPr>
          <w:lang w:val="en-US"/>
        </w:rPr>
        <w:t xml:space="preserve">In 3 subjects (aH5N1c: 1 subject [&lt;0.1%]; placebo: 2 subjects [0.3%]) the SAEs, all reported during the follow-up period, were considered possibly or probably related to study vaccination (as per investigator). These SAEs included spontaneous abortion (aH5N1c group) and immune thrombocytopenic purpura and polymyalgia rheumatica (both placebo group). Except for the spontaneous abortion (V89_04), these related SAEs occurred in subjects ≥65 years of age. Polymyalgia rheumatica and immune thrombocytopenic purpura were defined as </w:t>
      </w:r>
      <w:proofErr w:type="gramStart"/>
      <w:r w:rsidRPr="00D05D77">
        <w:rPr>
          <w:lang w:val="en-US"/>
        </w:rPr>
        <w:t>an AESI</w:t>
      </w:r>
      <w:proofErr w:type="gramEnd"/>
      <w:r w:rsidRPr="00D05D77">
        <w:rPr>
          <w:lang w:val="en-US"/>
        </w:rPr>
        <w:t>.</w:t>
      </w:r>
    </w:p>
    <w:p w14:paraId="14F449F7" w14:textId="77777777" w:rsidR="002F4A01" w:rsidRDefault="00D05D77" w:rsidP="00D05D77">
      <w:pPr>
        <w:rPr>
          <w:lang w:val="en-US"/>
        </w:rPr>
      </w:pPr>
      <w:r w:rsidRPr="00D05D77">
        <w:rPr>
          <w:b/>
          <w:lang w:val="en-US"/>
        </w:rPr>
        <w:t xml:space="preserve">In the paediatric Study V89_11, </w:t>
      </w:r>
      <w:r w:rsidRPr="00D05D77">
        <w:rPr>
          <w:lang w:val="en-US"/>
        </w:rPr>
        <w:t>24 SAEs were reported from day 1 through study termination. 14 SAEs were reported by 11 subjects in the half dose group, and 10 SAEs by 8 subjects in the full dose group. As per investigator, none were considered related to study vaccine. No deaths reported.</w:t>
      </w:r>
    </w:p>
    <w:p w14:paraId="6A703481" w14:textId="77777777" w:rsidR="00D05D77" w:rsidRPr="00D05D77" w:rsidRDefault="00D05D77" w:rsidP="00D05D77">
      <w:pPr>
        <w:rPr>
          <w:b/>
          <w:bCs/>
          <w:lang w:val="en-US"/>
        </w:rPr>
      </w:pPr>
      <w:r w:rsidRPr="00D05D77">
        <w:rPr>
          <w:b/>
          <w:bCs/>
          <w:lang w:val="en-US"/>
        </w:rPr>
        <w:t>AESI Ages ≥ 18 Years, Full Dose and Placebo in the ISS (V89_04</w:t>
      </w:r>
      <w:r w:rsidRPr="00D05D77">
        <w:rPr>
          <w:bCs/>
          <w:lang w:val="en-US"/>
        </w:rPr>
        <w:t xml:space="preserve">, </w:t>
      </w:r>
      <w:r w:rsidRPr="00D05D77">
        <w:rPr>
          <w:b/>
          <w:bCs/>
          <w:lang w:val="en-US"/>
        </w:rPr>
        <w:t xml:space="preserve">V89_13 </w:t>
      </w:r>
      <w:r w:rsidRPr="00D05D77">
        <w:rPr>
          <w:bCs/>
          <w:lang w:val="en-US"/>
        </w:rPr>
        <w:t xml:space="preserve">and </w:t>
      </w:r>
      <w:r w:rsidRPr="00D05D77">
        <w:rPr>
          <w:b/>
          <w:bCs/>
          <w:lang w:val="en-US"/>
        </w:rPr>
        <w:t>V89_18).</w:t>
      </w:r>
    </w:p>
    <w:p w14:paraId="6D9B1CE4" w14:textId="77777777" w:rsidR="00D05D77" w:rsidRPr="00D05D77" w:rsidRDefault="00D05D77" w:rsidP="00D05D77">
      <w:pPr>
        <w:rPr>
          <w:lang w:val="en-US"/>
        </w:rPr>
      </w:pPr>
      <w:r w:rsidRPr="00D05D77">
        <w:rPr>
          <w:lang w:val="en-US"/>
        </w:rPr>
        <w:t xml:space="preserve">In the pooled data, 18 subjects developed an AESI, comprising 11 subjects (0.3%) with the full dose of aH5N1c and 7 subjects (0.9%) in the placebo group. For the subjects that were vaccinated with aH5N1c, all AESIs occurred beyond day 43. In the placebo group, 1 subject (0.1%) experienced an AESI (colitis ulcerative) after Vaccination 2 prior to day 43; all other AESIs were reported after day 43. None of the AESIs in the aH5N1c full dose group were assessed as possibly related to study vaccination; however, 2 AESIs reported for subjects (placebo group) were assessed by the investigator as possibly related to study vaccination: one with immune thrombocytopenic purpura and the other subject was diagnosed with polymyalgia rheumatica. </w:t>
      </w:r>
      <w:proofErr w:type="gramStart"/>
      <w:r w:rsidRPr="00D05D77">
        <w:rPr>
          <w:lang w:val="en-US"/>
        </w:rPr>
        <w:t>Both of these</w:t>
      </w:r>
      <w:proofErr w:type="gramEnd"/>
      <w:r w:rsidRPr="00D05D77">
        <w:rPr>
          <w:lang w:val="en-US"/>
        </w:rPr>
        <w:t xml:space="preserve"> AESIs were reported as SAEs (as above)</w:t>
      </w:r>
    </w:p>
    <w:p w14:paraId="72B04379" w14:textId="77777777" w:rsidR="00D05D77" w:rsidRPr="00D05D77" w:rsidRDefault="00D05D77" w:rsidP="00D05D77">
      <w:pPr>
        <w:rPr>
          <w:lang w:val="en-US"/>
        </w:rPr>
      </w:pPr>
      <w:r w:rsidRPr="00D05D77">
        <w:rPr>
          <w:b/>
          <w:lang w:val="en-US"/>
        </w:rPr>
        <w:t xml:space="preserve">Paediatric Study V89_11: </w:t>
      </w:r>
      <w:r w:rsidRPr="00D05D77">
        <w:rPr>
          <w:lang w:val="en-US"/>
        </w:rPr>
        <w:t>No AESIs reported throughout the study.</w:t>
      </w:r>
    </w:p>
    <w:p w14:paraId="022BFAAC" w14:textId="77777777" w:rsidR="00B22A8E" w:rsidRDefault="00D05D77" w:rsidP="00D05D77">
      <w:pPr>
        <w:rPr>
          <w:lang w:val="en-US"/>
        </w:rPr>
      </w:pPr>
      <w:r w:rsidRPr="00D05D77">
        <w:rPr>
          <w:b/>
          <w:lang w:val="en-US"/>
        </w:rPr>
        <w:t>NOCD in the ISS (V89_04</w:t>
      </w:r>
      <w:r w:rsidRPr="00D05D77">
        <w:rPr>
          <w:lang w:val="en-US"/>
        </w:rPr>
        <w:t xml:space="preserve">, </w:t>
      </w:r>
      <w:r w:rsidRPr="00D05D77">
        <w:rPr>
          <w:b/>
          <w:lang w:val="en-US"/>
        </w:rPr>
        <w:t xml:space="preserve">V89_13 </w:t>
      </w:r>
      <w:r w:rsidRPr="00D05D77">
        <w:rPr>
          <w:lang w:val="en-US"/>
        </w:rPr>
        <w:t xml:space="preserve">and </w:t>
      </w:r>
      <w:r w:rsidRPr="00D05D77">
        <w:rPr>
          <w:b/>
          <w:lang w:val="en-US"/>
        </w:rPr>
        <w:t xml:space="preserve">V89_18) Ages ≥ 18 Years, Full Dose and Placebo: </w:t>
      </w:r>
      <w:r w:rsidRPr="00D05D77">
        <w:rPr>
          <w:lang w:val="en-US"/>
        </w:rPr>
        <w:t xml:space="preserve">The proportion of subjects with unsolicited AEs leading to NOCD was similar for subjects who received aH5N1c full dose (9.7%) and subjects who received placebo (9.2%). Most of the NOCDs occurred after day 43 (aH5N1c: 8.9%, placebo: 8.5%). In 23 subjects (0.6%) NOCDs occurred after first vaccination during the treatment period and in 17 subjects (0.5%) after the second vaccination with aH5N1c during the treatment period. In the placebo group, the incidence of NOCDs after Vaccination 1 and after Vaccination 2 was 0.4% (n=3). During the entire study period, the most frequently reported NOCDs were in the SOC ‘Musculoskeletal and connective tissue disorders’ (aH5N1c: 2.0%, placebo: 1.8%). </w:t>
      </w:r>
    </w:p>
    <w:p w14:paraId="6F19617B" w14:textId="6A13518A" w:rsidR="00D05D77" w:rsidRPr="00D05D77" w:rsidRDefault="00D05D77" w:rsidP="00D05D77">
      <w:pPr>
        <w:rPr>
          <w:lang w:val="en-US"/>
        </w:rPr>
      </w:pPr>
      <w:r w:rsidRPr="00D05D77">
        <w:rPr>
          <w:lang w:val="en-US"/>
        </w:rPr>
        <w:lastRenderedPageBreak/>
        <w:t>The most frequent PTs for NOCDs in the aH5N1c group were hypertension (0.9%), osteoarthritis (0.5%), and atrial fibrillation (0.4%). In the placebo group, the most frequent NOCDs by PT were coronary artery disease (0.6%), hypertension and atrial fibrillation (both 0.5%).</w:t>
      </w:r>
    </w:p>
    <w:p w14:paraId="3BBD9482" w14:textId="77777777" w:rsidR="00D05D77" w:rsidRPr="00D05D77" w:rsidRDefault="00D05D77" w:rsidP="00D05D77">
      <w:pPr>
        <w:rPr>
          <w:lang w:val="en-US"/>
        </w:rPr>
      </w:pPr>
      <w:r w:rsidRPr="00D05D77">
        <w:rPr>
          <w:b/>
          <w:lang w:val="en-US"/>
        </w:rPr>
        <w:t xml:space="preserve">Paediatric Study V89_11: </w:t>
      </w:r>
      <w:r w:rsidRPr="00D05D77">
        <w:rPr>
          <w:lang w:val="en-US"/>
        </w:rPr>
        <w:t>3 subjects (1%), all in the half dose group, had NOCDs: bone cyst, attention deficit/ hyperactivity disorder, and dyspepsia. None were considered related to the study vaccine by the investigator.</w:t>
      </w:r>
    </w:p>
    <w:p w14:paraId="72F71D8F" w14:textId="77777777" w:rsidR="00D05D77" w:rsidRPr="00D05D77" w:rsidRDefault="00D05D77" w:rsidP="00A95BC8">
      <w:pPr>
        <w:pStyle w:val="Heading5"/>
        <w:rPr>
          <w:lang w:val="en-US"/>
        </w:rPr>
      </w:pPr>
      <w:bookmarkStart w:id="63" w:name="Discontinuations_due_to_adverse_events"/>
      <w:bookmarkEnd w:id="63"/>
      <w:r w:rsidRPr="00D05D77">
        <w:rPr>
          <w:lang w:val="en-US"/>
        </w:rPr>
        <w:t>Discontinuations due to adverse events</w:t>
      </w:r>
    </w:p>
    <w:p w14:paraId="0D35EB17" w14:textId="77777777" w:rsidR="00D05D77" w:rsidRPr="00D05D77" w:rsidRDefault="00D05D77" w:rsidP="00A95BC8">
      <w:pPr>
        <w:pStyle w:val="Heading6"/>
        <w:rPr>
          <w:lang w:val="en-US"/>
        </w:rPr>
      </w:pPr>
      <w:r w:rsidRPr="00D05D77">
        <w:rPr>
          <w:lang w:val="en-US"/>
        </w:rPr>
        <w:t>Pivotal studies</w:t>
      </w:r>
    </w:p>
    <w:p w14:paraId="688899CF" w14:textId="77777777" w:rsidR="00D05D77" w:rsidRPr="00D05D77" w:rsidRDefault="00D05D77" w:rsidP="00D05D77">
      <w:pPr>
        <w:rPr>
          <w:lang w:val="en-US"/>
        </w:rPr>
      </w:pPr>
      <w:r w:rsidRPr="00D05D77">
        <w:rPr>
          <w:b/>
          <w:lang w:val="en-US"/>
        </w:rPr>
        <w:t>Ages ≥ 18 Years, Full Dose and Placebo in the ISS (Studies V89_04</w:t>
      </w:r>
      <w:r w:rsidRPr="00D05D77">
        <w:rPr>
          <w:lang w:val="en-US"/>
        </w:rPr>
        <w:t xml:space="preserve">, </w:t>
      </w:r>
      <w:r w:rsidRPr="00D05D77">
        <w:rPr>
          <w:b/>
          <w:lang w:val="en-US"/>
        </w:rPr>
        <w:t xml:space="preserve">V89_13 </w:t>
      </w:r>
      <w:r w:rsidRPr="00D05D77">
        <w:rPr>
          <w:lang w:val="en-US"/>
        </w:rPr>
        <w:t xml:space="preserve">and </w:t>
      </w:r>
      <w:r w:rsidRPr="00D05D77">
        <w:rPr>
          <w:b/>
          <w:lang w:val="en-US"/>
        </w:rPr>
        <w:t xml:space="preserve">V89_18): </w:t>
      </w:r>
      <w:r w:rsidRPr="00D05D77">
        <w:rPr>
          <w:lang w:val="en-US"/>
        </w:rPr>
        <w:t>21 of the 4375 subjects experienced AEs that led to premature study withdrawal; 18 subjects (0.5%) in the aH5N1c full dose group and 3 subjects (0.4%) in the placebo group. Most subjects discontinued after day 43. Two subjects (0.1%) in the aH5N1c group and 1 subject (0.1%) in the placebo group experienced AEs (assessed as possibly or probably related) that led to study withdrawal during the treatment period, all after the first vaccination (day 1-22). In the aH5N1c group, these AEs were rash (1 subject) and constipation (1 subject).</w:t>
      </w:r>
    </w:p>
    <w:p w14:paraId="5B818CD7" w14:textId="77777777" w:rsidR="00D05D77" w:rsidRPr="00D05D77" w:rsidRDefault="00D05D77" w:rsidP="00D05D77">
      <w:pPr>
        <w:rPr>
          <w:lang w:val="en-US"/>
        </w:rPr>
      </w:pPr>
      <w:r w:rsidRPr="00D05D77">
        <w:rPr>
          <w:b/>
          <w:lang w:val="en-US"/>
        </w:rPr>
        <w:t xml:space="preserve">Paediatric Study V89_11: </w:t>
      </w:r>
      <w:r w:rsidRPr="00D05D77">
        <w:rPr>
          <w:lang w:val="en-US"/>
        </w:rPr>
        <w:t xml:space="preserve">Only one subject (&lt; 1%) in the full dose group was prematurely withdrawn on day 22 due to unsolicited AEs, gastroenteritis rotavirus and rash, which </w:t>
      </w:r>
      <w:proofErr w:type="gramStart"/>
      <w:r w:rsidRPr="00D05D77">
        <w:rPr>
          <w:lang w:val="en-US"/>
        </w:rPr>
        <w:t>were considered to be</w:t>
      </w:r>
      <w:proofErr w:type="gramEnd"/>
      <w:r w:rsidRPr="00D05D77">
        <w:rPr>
          <w:lang w:val="en-US"/>
        </w:rPr>
        <w:t xml:space="preserve"> not related to study vaccine by the investigator.</w:t>
      </w:r>
    </w:p>
    <w:p w14:paraId="1404EA80" w14:textId="77777777" w:rsidR="00D05D77" w:rsidRPr="00D05D77" w:rsidRDefault="00D05D77" w:rsidP="00A95BC8">
      <w:pPr>
        <w:pStyle w:val="Heading5"/>
        <w:rPr>
          <w:lang w:val="en-US"/>
        </w:rPr>
      </w:pPr>
      <w:bookmarkStart w:id="64" w:name="Evaluation_of_issues_with_possible_regul"/>
      <w:bookmarkEnd w:id="64"/>
      <w:r w:rsidRPr="00D05D77">
        <w:rPr>
          <w:lang w:val="en-US"/>
        </w:rPr>
        <w:t>Evaluation of issues with possible regulatory impact</w:t>
      </w:r>
    </w:p>
    <w:p w14:paraId="1BA4F48A" w14:textId="77777777" w:rsidR="00D05D77" w:rsidRPr="00D05D77" w:rsidRDefault="00D05D77" w:rsidP="00A95BC8">
      <w:pPr>
        <w:pStyle w:val="Heading6"/>
        <w:rPr>
          <w:lang w:val="en-US"/>
        </w:rPr>
      </w:pPr>
      <w:bookmarkStart w:id="65" w:name="Pivotal_studies"/>
      <w:bookmarkEnd w:id="65"/>
      <w:r w:rsidRPr="00D05D77">
        <w:rPr>
          <w:lang w:val="en-US"/>
        </w:rPr>
        <w:t>Pivotal studies</w:t>
      </w:r>
    </w:p>
    <w:p w14:paraId="224602EA" w14:textId="77777777" w:rsidR="00D05D77" w:rsidRDefault="00D05D77" w:rsidP="00D05D77">
      <w:pPr>
        <w:rPr>
          <w:lang w:val="en-US"/>
        </w:rPr>
      </w:pPr>
      <w:r w:rsidRPr="00D05D77">
        <w:rPr>
          <w:lang w:val="en-US"/>
        </w:rPr>
        <w:t>A general physical examination was performed in all subjects before first vaccination in all aH5N1c studies. Symptom-directed physical examinations were performed if deemed necessary by the investigator. No consistent or clinically significant changes in vital signs, physical findings, or other observations related to the safety of the vaccines were observed for the subjects participating in any of the studies described.</w:t>
      </w:r>
    </w:p>
    <w:p w14:paraId="2A703C4C" w14:textId="77777777" w:rsidR="00D05D77" w:rsidRPr="00D05D77" w:rsidRDefault="00D05D77" w:rsidP="00A95BC8">
      <w:pPr>
        <w:pStyle w:val="Heading5"/>
        <w:rPr>
          <w:lang w:val="en-US"/>
        </w:rPr>
      </w:pPr>
      <w:bookmarkStart w:id="66" w:name="Other_safety_issues"/>
      <w:bookmarkEnd w:id="66"/>
      <w:r w:rsidRPr="00D05D77">
        <w:rPr>
          <w:lang w:val="en-US"/>
        </w:rPr>
        <w:t>Other safety issues</w:t>
      </w:r>
    </w:p>
    <w:p w14:paraId="2EC5F06C" w14:textId="77777777" w:rsidR="00D05D77" w:rsidRPr="00D05D77" w:rsidRDefault="00D05D77" w:rsidP="00A95BC8">
      <w:pPr>
        <w:pStyle w:val="Heading6"/>
        <w:rPr>
          <w:lang w:val="en-US"/>
        </w:rPr>
      </w:pPr>
      <w:bookmarkStart w:id="67" w:name="Safety_in_special_populations"/>
      <w:bookmarkEnd w:id="67"/>
      <w:r w:rsidRPr="00D05D77">
        <w:rPr>
          <w:lang w:val="en-US"/>
        </w:rPr>
        <w:t>Safety in special populations</w:t>
      </w:r>
    </w:p>
    <w:p w14:paraId="7AA53DA4" w14:textId="77777777" w:rsidR="00D05D77" w:rsidRPr="00D05D77" w:rsidRDefault="00D05D77" w:rsidP="00D05D77">
      <w:pPr>
        <w:rPr>
          <w:b/>
          <w:bCs/>
          <w:lang w:val="en-US"/>
        </w:rPr>
      </w:pPr>
      <w:r w:rsidRPr="00D05D77">
        <w:rPr>
          <w:b/>
          <w:bCs/>
          <w:u w:val="single"/>
          <w:lang w:val="en-US"/>
        </w:rPr>
        <w:t>Intrinsic factors (age/gender/race)</w:t>
      </w:r>
    </w:p>
    <w:p w14:paraId="303AB7B0" w14:textId="77777777" w:rsidR="00D05D77" w:rsidRPr="00D05D77" w:rsidRDefault="00D05D77" w:rsidP="00D05D77">
      <w:pPr>
        <w:rPr>
          <w:lang w:val="en-US"/>
        </w:rPr>
      </w:pPr>
      <w:r w:rsidRPr="00D05D77">
        <w:rPr>
          <w:lang w:val="en-US"/>
        </w:rPr>
        <w:t xml:space="preserve">Pooled analyses of major age </w:t>
      </w:r>
      <w:proofErr w:type="gramStart"/>
      <w:r w:rsidRPr="00D05D77">
        <w:rPr>
          <w:lang w:val="en-US"/>
        </w:rPr>
        <w:t>group</w:t>
      </w:r>
      <w:proofErr w:type="gramEnd"/>
      <w:r w:rsidRPr="00D05D77">
        <w:rPr>
          <w:lang w:val="en-US"/>
        </w:rPr>
        <w:t xml:space="preserve"> (18 to &lt; 65 years and ≥ 65 years) for solicited and unsolicited AEs are described earlier in this Section, as are the data for solicited AEs by age group (&lt; 6 years and 6 to ≤ 17 years). In both pooled data sets, there was a higher proportion of females enrolled.</w:t>
      </w:r>
    </w:p>
    <w:p w14:paraId="57A59F32" w14:textId="77777777" w:rsidR="00D05D77" w:rsidRPr="00D05D77" w:rsidRDefault="00D05D77" w:rsidP="00D05D77">
      <w:pPr>
        <w:rPr>
          <w:b/>
          <w:bCs/>
          <w:lang w:val="en-US"/>
        </w:rPr>
      </w:pPr>
      <w:r w:rsidRPr="00D05D77">
        <w:rPr>
          <w:b/>
          <w:bCs/>
          <w:lang w:val="en-US"/>
        </w:rPr>
        <w:t>Solicited AE by Sex in the ISS (Studies V89_04</w:t>
      </w:r>
      <w:r w:rsidRPr="00D05D77">
        <w:rPr>
          <w:bCs/>
          <w:lang w:val="en-US"/>
        </w:rPr>
        <w:t xml:space="preserve">, </w:t>
      </w:r>
      <w:r w:rsidRPr="00D05D77">
        <w:rPr>
          <w:b/>
          <w:bCs/>
          <w:lang w:val="en-US"/>
        </w:rPr>
        <w:t xml:space="preserve">V89_13 </w:t>
      </w:r>
      <w:r w:rsidRPr="00D05D77">
        <w:rPr>
          <w:bCs/>
          <w:lang w:val="en-US"/>
        </w:rPr>
        <w:t xml:space="preserve">and </w:t>
      </w:r>
      <w:r w:rsidRPr="00D05D77">
        <w:rPr>
          <w:b/>
          <w:bCs/>
          <w:lang w:val="en-US"/>
        </w:rPr>
        <w:t>V89_18) Ages ≥ 18 Years</w:t>
      </w:r>
    </w:p>
    <w:p w14:paraId="07D92D37" w14:textId="77777777" w:rsidR="00D05D77" w:rsidRPr="00D05D77" w:rsidRDefault="00D05D77" w:rsidP="00D05D77">
      <w:pPr>
        <w:rPr>
          <w:lang w:val="en-US"/>
        </w:rPr>
      </w:pPr>
      <w:r w:rsidRPr="00D05D77">
        <w:rPr>
          <w:b/>
          <w:lang w:val="en-US"/>
        </w:rPr>
        <w:t xml:space="preserve">Solicited Local AEs: </w:t>
      </w:r>
      <w:r w:rsidRPr="00D05D77">
        <w:rPr>
          <w:lang w:val="en-US"/>
        </w:rPr>
        <w:t>Reported for 44.5% male vs. 57.1% female subjects in the aH5N1c group and 11.7% vs. 17.1% in the placebo group, respectively.</w:t>
      </w:r>
    </w:p>
    <w:p w14:paraId="31A8479C" w14:textId="5FE42F13" w:rsidR="00D05D77" w:rsidRPr="00D05D77" w:rsidRDefault="00D05D77" w:rsidP="00D05D77">
      <w:pPr>
        <w:rPr>
          <w:lang w:val="en-US"/>
        </w:rPr>
      </w:pPr>
      <w:r w:rsidRPr="00D05D77">
        <w:rPr>
          <w:b/>
          <w:lang w:val="en-US"/>
        </w:rPr>
        <w:t xml:space="preserve">Solicited Systemic AEs: </w:t>
      </w:r>
      <w:r w:rsidRPr="00D05D77">
        <w:rPr>
          <w:lang w:val="en-US"/>
        </w:rPr>
        <w:t xml:space="preserve">Reported for 34.3% (males) vs. 42.6% (females) in the aH5N1c group and 23.4% vs. 40.4% in the placebo group, respectively. This pattern was also seen for the individual AEs. A similar pattern, </w:t>
      </w:r>
      <w:r w:rsidR="00F1600B" w:rsidRPr="00D05D77">
        <w:rPr>
          <w:lang w:val="en-US"/>
        </w:rPr>
        <w:t>i.e.</w:t>
      </w:r>
      <w:r w:rsidRPr="00D05D77">
        <w:rPr>
          <w:lang w:val="en-US"/>
        </w:rPr>
        <w:t>, differences between male and female subjects, was found in the full and half dose combined. No notable difference in the frequency of fever between male and female subjects from day 1 (excluding 30 minutes) through day 7 (aH5N1c: 1.0% vs. 1.4%, placebo: 0.6% vs. 1.8% for males vs. females).</w:t>
      </w:r>
    </w:p>
    <w:p w14:paraId="1FD00118" w14:textId="77777777" w:rsidR="00D05D77" w:rsidRPr="00D05D77" w:rsidRDefault="00D05D77" w:rsidP="00D05D77">
      <w:pPr>
        <w:rPr>
          <w:b/>
          <w:bCs/>
          <w:lang w:val="en-US"/>
        </w:rPr>
      </w:pPr>
      <w:r w:rsidRPr="00D05D77">
        <w:rPr>
          <w:b/>
          <w:bCs/>
          <w:lang w:val="en-US"/>
        </w:rPr>
        <w:lastRenderedPageBreak/>
        <w:t>Study V89_18</w:t>
      </w:r>
    </w:p>
    <w:p w14:paraId="09C6ABE5" w14:textId="77777777" w:rsidR="00D05D77" w:rsidRPr="00D05D77" w:rsidRDefault="00D05D77" w:rsidP="00D05D77">
      <w:pPr>
        <w:rPr>
          <w:lang w:val="en-US"/>
        </w:rPr>
      </w:pPr>
      <w:r w:rsidRPr="00D05D77">
        <w:rPr>
          <w:b/>
          <w:lang w:val="en-US"/>
        </w:rPr>
        <w:t xml:space="preserve">Solicited Local AEs: </w:t>
      </w:r>
      <w:r w:rsidRPr="00D05D77">
        <w:rPr>
          <w:lang w:val="en-US"/>
        </w:rPr>
        <w:t xml:space="preserve">From day 1 (excluding 30 minutes) through day 7, the </w:t>
      </w:r>
      <w:proofErr w:type="gramStart"/>
      <w:r w:rsidRPr="00D05D77">
        <w:rPr>
          <w:lang w:val="en-US"/>
        </w:rPr>
        <w:t>most commonly reported</w:t>
      </w:r>
      <w:proofErr w:type="gramEnd"/>
      <w:r w:rsidRPr="00D05D77">
        <w:rPr>
          <w:lang w:val="en-US"/>
        </w:rPr>
        <w:t xml:space="preserve"> solicited local AE was pain, with higher frequency in the females than in the males in both treatment group (55.3% vs. 43.1% for aH5N1c and 17.1% vs. 11.7% for placebo group)</w:t>
      </w:r>
    </w:p>
    <w:p w14:paraId="25BD302F" w14:textId="77777777" w:rsidR="00D05D77" w:rsidRPr="00D05D77" w:rsidRDefault="00D05D77" w:rsidP="00D05D77">
      <w:pPr>
        <w:rPr>
          <w:lang w:val="en-US"/>
        </w:rPr>
      </w:pPr>
      <w:r w:rsidRPr="00D05D77">
        <w:rPr>
          <w:b/>
          <w:lang w:val="en-US"/>
        </w:rPr>
        <w:t xml:space="preserve">Solicited Systemic AEs: </w:t>
      </w:r>
      <w:r w:rsidRPr="00D05D77">
        <w:rPr>
          <w:lang w:val="en-US"/>
        </w:rPr>
        <w:t xml:space="preserve">From Day 1 (excluding 30 minutes) through day 7, the </w:t>
      </w:r>
      <w:proofErr w:type="gramStart"/>
      <w:r w:rsidRPr="00D05D77">
        <w:rPr>
          <w:lang w:val="en-US"/>
        </w:rPr>
        <w:t>most commonly reported</w:t>
      </w:r>
      <w:proofErr w:type="gramEnd"/>
      <w:r w:rsidRPr="00D05D77">
        <w:rPr>
          <w:lang w:val="en-US"/>
        </w:rPr>
        <w:t xml:space="preserve"> solicited systemic AE was fatigue in both sexes and treatment group; however, the frequency was higher in females than in males (24.8% vs. 18.9% in the aH5N1c group and 25.2% vs. 14.5% in the placebo group). From day 1 (excluding 30 minutes) through day 7, there was no notable difference in fever between the sexes for each treatment group. However, during this period, antipyretic/analgesic use for treatment was reported more frequently in females than in males in both treatment group (4.5% vs. 1.3% for aH5N1c group and 2.1% vs. 0 for placebo group).</w:t>
      </w:r>
    </w:p>
    <w:p w14:paraId="65EE3332" w14:textId="77777777" w:rsidR="00D05D77" w:rsidRPr="00D05D77" w:rsidRDefault="00D05D77" w:rsidP="00D05D77">
      <w:pPr>
        <w:rPr>
          <w:b/>
          <w:bCs/>
          <w:lang w:val="en-US"/>
        </w:rPr>
      </w:pPr>
      <w:r w:rsidRPr="00D05D77">
        <w:rPr>
          <w:b/>
          <w:bCs/>
          <w:lang w:val="en-US"/>
        </w:rPr>
        <w:t>Paediatric Study V89_11</w:t>
      </w:r>
    </w:p>
    <w:p w14:paraId="7E2EE0DF" w14:textId="77777777" w:rsidR="00D05D77" w:rsidRPr="00D05D77" w:rsidRDefault="00D05D77" w:rsidP="00D05D77">
      <w:pPr>
        <w:rPr>
          <w:lang w:val="en-US"/>
        </w:rPr>
      </w:pPr>
      <w:r w:rsidRPr="00D05D77">
        <w:rPr>
          <w:b/>
          <w:lang w:val="en-US"/>
        </w:rPr>
        <w:t xml:space="preserve">Subjects 6 months to &lt; 6 years of age: </w:t>
      </w:r>
      <w:r w:rsidRPr="00D05D77">
        <w:rPr>
          <w:lang w:val="en-US"/>
        </w:rPr>
        <w:t>From day 1 (excluding 30 minutes) through day 7, the proportion of subjects &lt; 6 years of age reporting any solicited AE after any vaccination was higher in females than males both for the half dose group (78% vs. 67%) and the full dose group (73% vs. 68%). Similarly, the proportion reporting solicited local AEs after any vaccination was higher in females than males for both dose group (half dose: 65% vs. 50%, full dose: 61% vs.</w:t>
      </w:r>
    </w:p>
    <w:p w14:paraId="6775D7CD" w14:textId="77777777" w:rsidR="00D05D77" w:rsidRPr="00D05D77" w:rsidRDefault="00D05D77" w:rsidP="00D05D77">
      <w:pPr>
        <w:rPr>
          <w:lang w:val="en-US"/>
        </w:rPr>
      </w:pPr>
      <w:r w:rsidRPr="00D05D77">
        <w:rPr>
          <w:lang w:val="en-US"/>
        </w:rPr>
        <w:t>50%). The proportion with solicited systemic AEs was similar for females and males for the half dose group (40% vs. 40%) and higher in female than male subjects for the full dose group (45% vs. 40%).</w:t>
      </w:r>
    </w:p>
    <w:p w14:paraId="2EE4B900" w14:textId="77777777" w:rsidR="00D05D77" w:rsidRPr="00D05D77" w:rsidRDefault="00D05D77" w:rsidP="00D05D77">
      <w:pPr>
        <w:rPr>
          <w:lang w:val="en-US"/>
        </w:rPr>
      </w:pPr>
      <w:r w:rsidRPr="00D05D77">
        <w:rPr>
          <w:b/>
          <w:lang w:val="en-US"/>
        </w:rPr>
        <w:t xml:space="preserve">Subjects 6 to ≤ 17 years of age: </w:t>
      </w:r>
      <w:r w:rsidRPr="00D05D77">
        <w:rPr>
          <w:lang w:val="en-US"/>
        </w:rPr>
        <w:t>From day 1 (excluding 30 minutes) through day 7, the proportion of subjects ≥6 years of age reporting any solicited AE after any vaccination was higher in females than males in the full dose group (81% vs. 71%). In the half dose group, the proportions were comparable (77% vs. 75%). The proportion of females reporting solicited local AEs after any vaccination was higher than the proportion of males for both dose groups: 73% vs. 69% (half dose) and 75% vs. 64% (full dose). The proportion of females reporting solicited systemic AEs after any vaccination was higher than the proportion of males for both dose groups: 53% vs. 48% (half dose) and 60% vs. 41% (full dose).</w:t>
      </w:r>
    </w:p>
    <w:p w14:paraId="037BFDCC" w14:textId="77777777" w:rsidR="00D05D77" w:rsidRPr="00D05D77" w:rsidRDefault="00D05D77" w:rsidP="00D05D77">
      <w:pPr>
        <w:rPr>
          <w:b/>
          <w:bCs/>
          <w:lang w:val="en-US"/>
        </w:rPr>
      </w:pPr>
      <w:r w:rsidRPr="00D05D77">
        <w:rPr>
          <w:b/>
          <w:bCs/>
          <w:lang w:val="en-US"/>
        </w:rPr>
        <w:t>Analyses by Race in the ISS (Studies V89_04</w:t>
      </w:r>
      <w:r w:rsidRPr="00D05D77">
        <w:rPr>
          <w:bCs/>
          <w:lang w:val="en-US"/>
        </w:rPr>
        <w:t xml:space="preserve">, </w:t>
      </w:r>
      <w:r w:rsidRPr="00D05D77">
        <w:rPr>
          <w:b/>
          <w:bCs/>
          <w:lang w:val="en-US"/>
        </w:rPr>
        <w:t xml:space="preserve">V89_13 </w:t>
      </w:r>
      <w:r w:rsidRPr="00D05D77">
        <w:rPr>
          <w:bCs/>
          <w:lang w:val="en-US"/>
        </w:rPr>
        <w:t xml:space="preserve">and </w:t>
      </w:r>
      <w:r w:rsidRPr="00D05D77">
        <w:rPr>
          <w:b/>
          <w:bCs/>
          <w:lang w:val="en-US"/>
        </w:rPr>
        <w:t>V89_18)</w:t>
      </w:r>
    </w:p>
    <w:p w14:paraId="46C43A93" w14:textId="77777777" w:rsidR="00D05D77" w:rsidRPr="00D05D77" w:rsidRDefault="00D05D77" w:rsidP="00D05D77">
      <w:pPr>
        <w:rPr>
          <w:lang w:val="en-US"/>
        </w:rPr>
      </w:pPr>
      <w:proofErr w:type="gramStart"/>
      <w:r w:rsidRPr="00D05D77">
        <w:rPr>
          <w:lang w:val="en-US"/>
        </w:rPr>
        <w:t>The majority of</w:t>
      </w:r>
      <w:proofErr w:type="gramEnd"/>
      <w:r w:rsidRPr="00D05D77">
        <w:rPr>
          <w:lang w:val="en-US"/>
        </w:rPr>
        <w:t xml:space="preserve"> the subjects were white: aH5N1c full dose: 76.9%, and placebo: 83.3%. The proportion of Asian subjects was higher in the aH5N1c group (full dose: 10.1%) than in the placebo group (0.9%) </w:t>
      </w:r>
      <w:proofErr w:type="gramStart"/>
      <w:r w:rsidRPr="00D05D77">
        <w:rPr>
          <w:lang w:val="en-US"/>
        </w:rPr>
        <w:t>as a consequence of</w:t>
      </w:r>
      <w:proofErr w:type="gramEnd"/>
      <w:r w:rsidRPr="00D05D77">
        <w:rPr>
          <w:lang w:val="en-US"/>
        </w:rPr>
        <w:t xml:space="preserve"> the countries where the studies were conducted. Overall, weight, height, and BMI were lower in Asian subjects. This subgroup contained relatively more female subjects and subjects ≥65 years of age than the subgroup of white and black or African American subjects. No notable differences were found in the overall frequency of solicited local AEs after any vaccination between races. Solicited local AEs were reported by 52.2% white, 48.7% black or African American, and 49.9% Asian subjects in the aH5N1c group and 14.9% white and 14.7% black or African American subjects in the placebo group. Note, Asian subjects made up 0.9% of the placebo group in the pooling, vs. 10.1% in the full dose aH5N1c pooling.</w:t>
      </w:r>
    </w:p>
    <w:p w14:paraId="7107ED78" w14:textId="77777777" w:rsidR="00D05D77" w:rsidRPr="00D05D77" w:rsidRDefault="00D05D77" w:rsidP="00D05D77">
      <w:pPr>
        <w:rPr>
          <w:lang w:val="en-US"/>
        </w:rPr>
      </w:pPr>
      <w:r w:rsidRPr="00D05D77">
        <w:rPr>
          <w:b/>
          <w:lang w:val="en-US"/>
        </w:rPr>
        <w:t xml:space="preserve">Solicited Systemic AEs: </w:t>
      </w:r>
      <w:r w:rsidRPr="00D05D77">
        <w:rPr>
          <w:lang w:val="en-US"/>
        </w:rPr>
        <w:t xml:space="preserve">No notable differences were found in the overall frequency of solicited systemic AEs after any vaccination between races. Solicited systemic AEs were reported by 38.8% white, 40.4% black or African American, and 38.7% Asian subjects in the aH5N1c group and 32.1% white and 34.9% black or African American in the placebo group, respectively. The proportion of Asian subjects (4.8%) presenting with fever after vaccination with aH5N1c full dose was higher as compared to black or African American (1.0%) and white subjects (0.7%). </w:t>
      </w:r>
      <w:r w:rsidRPr="00D05D77">
        <w:rPr>
          <w:lang w:val="en-US"/>
        </w:rPr>
        <w:lastRenderedPageBreak/>
        <w:t>The number of subjects with fever in the placebo group, shown by race, was too small to draw any conclusions.</w:t>
      </w:r>
    </w:p>
    <w:p w14:paraId="582E0D27" w14:textId="77777777" w:rsidR="00D05D77" w:rsidRPr="00D05D77" w:rsidRDefault="00D05D77" w:rsidP="00D05D77">
      <w:pPr>
        <w:rPr>
          <w:lang w:val="en-US"/>
        </w:rPr>
      </w:pPr>
      <w:r w:rsidRPr="00D05D77">
        <w:rPr>
          <w:b/>
          <w:lang w:val="en-US"/>
        </w:rPr>
        <w:t xml:space="preserve">Paediatric Study V89_11 Subjects 6 months to &lt; 6 years of age: </w:t>
      </w:r>
      <w:proofErr w:type="gramStart"/>
      <w:r w:rsidRPr="00D05D77">
        <w:rPr>
          <w:lang w:val="en-US"/>
        </w:rPr>
        <w:t>The majority of</w:t>
      </w:r>
      <w:proofErr w:type="gramEnd"/>
      <w:r w:rsidRPr="00D05D77">
        <w:rPr>
          <w:lang w:val="en-US"/>
        </w:rPr>
        <w:t xml:space="preserve"> subjects in the 6 months to &lt; 6 years of age group included in the Solicited Safety Set was either Asian (239 subjects) or white (59 subjects). From day 1 (excluding 30 minutes) through day 7, the proportion of white subjects reporting any solicited AE after any vaccination was higher than the proportion of Asian subjects in both dose group (half dose: 78% vs. 69%, full dose: 91% vs. 64%). A similar pattern, i.e. higher proportions of solicited AEs in white than Asian subjects was found both for the solicited local AEs and for solicited systemic AEs (local: half dose: 63% vs.</w:t>
      </w:r>
    </w:p>
    <w:p w14:paraId="79BB750B" w14:textId="77777777" w:rsidR="00D05D77" w:rsidRPr="00D05D77" w:rsidRDefault="00D05D77" w:rsidP="00D05D77">
      <w:pPr>
        <w:rPr>
          <w:lang w:val="en-US"/>
        </w:rPr>
      </w:pPr>
      <w:r w:rsidRPr="00D05D77">
        <w:rPr>
          <w:lang w:val="en-US"/>
        </w:rPr>
        <w:t>55%, full dose: 78% vs. 51%; systemic: half dose: 59% vs. 35%, full dose: 59% vs. 37%). The difference between proportions of Asian and white subjects reporting any or solicited local AEs was larger in the full dose than in the half dose group.</w:t>
      </w:r>
    </w:p>
    <w:p w14:paraId="27862C12" w14:textId="77777777" w:rsidR="00D05D77" w:rsidRPr="00D05D77" w:rsidRDefault="00D05D77" w:rsidP="00D05D77">
      <w:pPr>
        <w:rPr>
          <w:lang w:val="en-US"/>
        </w:rPr>
      </w:pPr>
      <w:r w:rsidRPr="00D05D77">
        <w:rPr>
          <w:b/>
          <w:lang w:val="en-US"/>
        </w:rPr>
        <w:t xml:space="preserve">Subjects 6 to ≤ 17 years of age: </w:t>
      </w:r>
      <w:r w:rsidRPr="00D05D77">
        <w:rPr>
          <w:lang w:val="en-US"/>
        </w:rPr>
        <w:t>In the ≥ 6 years of age group most of the subjects included in the Solicited Safety Set were either Asian (total 236 subjects) or white (total 74 subjects). For American Indian or Alaska Native (1 subject), black or African American (11 subjects) and Other (2 subjects), the sample size was too small to make any meaningful comparisons across races.</w:t>
      </w:r>
    </w:p>
    <w:p w14:paraId="615578CB" w14:textId="77777777" w:rsidR="00D05D77" w:rsidRPr="00D05D77" w:rsidRDefault="00D05D77" w:rsidP="00D05D77">
      <w:pPr>
        <w:rPr>
          <w:lang w:val="en-US"/>
        </w:rPr>
      </w:pPr>
      <w:r w:rsidRPr="00D05D77">
        <w:rPr>
          <w:lang w:val="en-US"/>
        </w:rPr>
        <w:t>From day 1 (excluding 30 minutes) through day 7, the proportion of white subjects reporting any solicited AE after any vaccination was higher than the proportion of Asian subjects in both dose group (half dose: 92% vs. 70%, full dose: 92% vs. 70%). A similar pattern, i.e. higher proportions of solicited AEs in white than Asian subjects was found both for the solicited local AEs and for solicited systemic AEs (local AEs: half dose: 89% vs. 66%, full dose: 84% vs. 65%; systemic AEs: half dose: 59% vs. 46%, full dose: 59% vs. 45%)</w:t>
      </w:r>
    </w:p>
    <w:p w14:paraId="2707DDD0" w14:textId="77777777" w:rsidR="00D05D77" w:rsidRPr="00D05D77" w:rsidRDefault="00D05D77" w:rsidP="00D05D77">
      <w:pPr>
        <w:rPr>
          <w:b/>
          <w:bCs/>
          <w:lang w:val="en-US"/>
        </w:rPr>
      </w:pPr>
      <w:r w:rsidRPr="00D05D77">
        <w:rPr>
          <w:b/>
          <w:bCs/>
          <w:u w:val="single"/>
          <w:lang w:val="en-US"/>
        </w:rPr>
        <w:t>Pregnancy</w:t>
      </w:r>
    </w:p>
    <w:p w14:paraId="73D534C6" w14:textId="77777777" w:rsidR="00D05D77" w:rsidRPr="00D05D77" w:rsidRDefault="00D05D77" w:rsidP="00D05D77">
      <w:pPr>
        <w:rPr>
          <w:lang w:val="en-US"/>
        </w:rPr>
      </w:pPr>
      <w:r w:rsidRPr="00D05D77">
        <w:rPr>
          <w:lang w:val="en-US"/>
        </w:rPr>
        <w:t xml:space="preserve">Although pregnancy was an exclusion criterion in all clinical trials with adjuvanted and non-adjuvanted H5N1c formulations, 55 pregnancies were reported, 47 after the administration of aH5N1c, 3 of the pregnancies with non-adjuvanted H5N1c and 5 with placebo during </w:t>
      </w:r>
      <w:proofErr w:type="gramStart"/>
      <w:r w:rsidRPr="00D05D77">
        <w:rPr>
          <w:lang w:val="en-US"/>
        </w:rPr>
        <w:t>studies</w:t>
      </w:r>
      <w:proofErr w:type="gramEnd"/>
      <w:r w:rsidRPr="00D05D77">
        <w:rPr>
          <w:lang w:val="en-US"/>
        </w:rPr>
        <w:t xml:space="preserve"> V89P1, V89_04, V89_11, and V89_18.</w:t>
      </w:r>
    </w:p>
    <w:p w14:paraId="77D38C18" w14:textId="5CD87844" w:rsidR="00D05D77" w:rsidRPr="00D05D77" w:rsidRDefault="00D05D77" w:rsidP="00D05D77">
      <w:pPr>
        <w:rPr>
          <w:lang w:val="en-US"/>
        </w:rPr>
      </w:pPr>
      <w:r w:rsidRPr="00D05D77">
        <w:rPr>
          <w:b/>
          <w:lang w:val="en-US"/>
        </w:rPr>
        <w:t>Study V89_18</w:t>
      </w:r>
      <w:r w:rsidRPr="00D05D77">
        <w:rPr>
          <w:lang w:val="en-US"/>
        </w:rPr>
        <w:t>: 11 pregnancies were reported (6 aH5N1c group; 5 placebo group); 9 subjects became pregnant after day 43, 2 subjects in the placebo group became pregnant between day 1-</w:t>
      </w:r>
      <w:r w:rsidR="00DD7D3B">
        <w:rPr>
          <w:lang w:val="en-US"/>
        </w:rPr>
        <w:t xml:space="preserve"> </w:t>
      </w:r>
      <w:r w:rsidRPr="00D05D77">
        <w:rPr>
          <w:lang w:val="en-US"/>
        </w:rPr>
        <w:t>43. In 1 subject the pregnancy was identified prior to the second vaccination on day 22 and the</w:t>
      </w:r>
      <w:r w:rsidR="00DD7D3B">
        <w:rPr>
          <w:lang w:val="en-US"/>
        </w:rPr>
        <w:t xml:space="preserve"> </w:t>
      </w:r>
      <w:r w:rsidRPr="00D05D77">
        <w:rPr>
          <w:lang w:val="en-US"/>
        </w:rPr>
        <w:t>subject did not receive the second dose of study treatment. For the second subject, the pregnancy was confirmed 3 weeks after the second vaccination. An outcome of spontaneous abortion occurred in 3 subjects (1 aH5N1c group; 2 placebo group), of which none were considered related to study treatment. 7 subjects reported normal delivery (5 aH5N1c group; 2 placebo group). No outcome data was available for the one remaining subject in the placebo group.</w:t>
      </w:r>
    </w:p>
    <w:p w14:paraId="09B27F44" w14:textId="77777777" w:rsidR="00D05D77" w:rsidRPr="00D05D77" w:rsidRDefault="00D05D77" w:rsidP="00D05D77">
      <w:pPr>
        <w:rPr>
          <w:lang w:val="en-US"/>
        </w:rPr>
      </w:pPr>
      <w:r w:rsidRPr="00D05D77">
        <w:rPr>
          <w:b/>
          <w:lang w:val="en-US"/>
        </w:rPr>
        <w:t>Study V89_04</w:t>
      </w:r>
      <w:r w:rsidRPr="00D05D77">
        <w:rPr>
          <w:lang w:val="en-US"/>
        </w:rPr>
        <w:t>: 15 pregnancies reported (8 with the full dose and 7 with the half dose of aH5N1c); 8 subjects became pregnant after day 43 and 7 between day 1-43. Two of the 7 subjects who became pregnant during the treatment period delivered a healthy baby, and for 3 subjects no further information was available. For 2 of these 7 subjects, spontaneous abortions were reported: One subject in the full dose group had a spontaneous abortion (Missed miscarriage [secondary to molar pregnancy]). Two of the 8 subjects who became pregnant after the treatment period delivered a healthy baby, and for 5 of these 8 subjects no further information was available. For 1 of these 8 subjects an SAE of a missed abortion was reported. No causal relationship with the study vaccine was suspected.</w:t>
      </w:r>
    </w:p>
    <w:p w14:paraId="1FC901A3" w14:textId="77777777" w:rsidR="00D05D77" w:rsidRPr="00D05D77" w:rsidRDefault="00D05D77" w:rsidP="00D05D77">
      <w:pPr>
        <w:rPr>
          <w:lang w:val="en-US"/>
        </w:rPr>
      </w:pPr>
      <w:r w:rsidRPr="00D05D77">
        <w:rPr>
          <w:b/>
          <w:lang w:val="en-US"/>
        </w:rPr>
        <w:lastRenderedPageBreak/>
        <w:t xml:space="preserve">Study V89_11: </w:t>
      </w:r>
      <w:r w:rsidRPr="00D05D77">
        <w:rPr>
          <w:lang w:val="en-US"/>
        </w:rPr>
        <w:t>Two pregnancies were reported, 1 subject in the full dose group became pregnant during the treatment period (day 1-43) and 1 subject in the half dose group during the follow-up period, after day 43). Both subjects delivered a healthy infant.</w:t>
      </w:r>
    </w:p>
    <w:p w14:paraId="7D508AF3" w14:textId="77777777" w:rsidR="00D05D77" w:rsidRPr="00D05D77" w:rsidRDefault="00D05D77" w:rsidP="00D05D77">
      <w:pPr>
        <w:rPr>
          <w:lang w:val="en-US"/>
        </w:rPr>
      </w:pPr>
      <w:r w:rsidRPr="00D05D77">
        <w:rPr>
          <w:b/>
          <w:lang w:val="en-US"/>
        </w:rPr>
        <w:t>Study V89P1</w:t>
      </w:r>
      <w:r w:rsidRPr="00D05D77">
        <w:rPr>
          <w:lang w:val="en-US"/>
        </w:rPr>
        <w:t xml:space="preserve">: 27 subjects became pregnant </w:t>
      </w:r>
      <w:proofErr w:type="gramStart"/>
      <w:r w:rsidRPr="00D05D77">
        <w:rPr>
          <w:lang w:val="en-US"/>
        </w:rPr>
        <w:t>during the course of</w:t>
      </w:r>
      <w:proofErr w:type="gramEnd"/>
      <w:r w:rsidRPr="00D05D77">
        <w:rPr>
          <w:lang w:val="en-US"/>
        </w:rPr>
        <w:t xml:space="preserve"> the study up to day 546, 24 in the adjuvanted group and 3 in the non-adjuvanted group; 19 of 27 became pregnant after day 43 and 8 subjects between day 1-43. 25 of 27 occurred with antigen or adjuvant levels other than the proposed vaccine doses of aH5N1c for adults or </w:t>
      </w:r>
      <w:proofErr w:type="spellStart"/>
      <w:r w:rsidRPr="00D05D77">
        <w:rPr>
          <w:lang w:val="en-US"/>
        </w:rPr>
        <w:t>paediatrics</w:t>
      </w:r>
      <w:proofErr w:type="spellEnd"/>
      <w:r w:rsidRPr="00D05D77">
        <w:rPr>
          <w:lang w:val="en-US"/>
        </w:rPr>
        <w:t>. Of the 19 who became pregnant after day 43, 12 delivered a healthy baby, 3 underwent a therapeutic abortion and for 4 subjects no further information is available. Of the 8 subjects who became pregnant between day 1-43, 2 subjects delivered a healthy baby, and for 6 subjects a therapeutic abortion was reported.</w:t>
      </w:r>
    </w:p>
    <w:p w14:paraId="15EF8A16" w14:textId="77777777" w:rsidR="00D05D77" w:rsidRPr="00D05D77" w:rsidRDefault="00D05D77" w:rsidP="00D05D77">
      <w:pPr>
        <w:rPr>
          <w:lang w:val="en-US"/>
        </w:rPr>
      </w:pPr>
      <w:r w:rsidRPr="00D05D77">
        <w:rPr>
          <w:b/>
          <w:lang w:val="en-US"/>
        </w:rPr>
        <w:t>Extrinsic Factors</w:t>
      </w:r>
      <w:r w:rsidRPr="00D05D77">
        <w:rPr>
          <w:lang w:val="en-US"/>
        </w:rPr>
        <w:t>. The proposed indication is independent of extrinsic factors, such as medical environment, use of other drugs, use of tobacco, use of alcohol, and good habits.</w:t>
      </w:r>
    </w:p>
    <w:p w14:paraId="21912092" w14:textId="77777777" w:rsidR="00D05D77" w:rsidRPr="00D05D77" w:rsidRDefault="00D05D77" w:rsidP="00DD7D3B">
      <w:pPr>
        <w:pStyle w:val="Heading5"/>
        <w:rPr>
          <w:lang w:val="en-US"/>
        </w:rPr>
      </w:pPr>
      <w:bookmarkStart w:id="68" w:name="Conclusion"/>
      <w:bookmarkEnd w:id="68"/>
      <w:r w:rsidRPr="00D05D77">
        <w:rPr>
          <w:lang w:val="en-US"/>
        </w:rPr>
        <w:t>Conclusion</w:t>
      </w:r>
    </w:p>
    <w:p w14:paraId="579B4BD1" w14:textId="77777777" w:rsidR="00D05D77" w:rsidRPr="00D05D77" w:rsidRDefault="00D05D77" w:rsidP="00D05D77">
      <w:pPr>
        <w:rPr>
          <w:lang w:val="en-US"/>
        </w:rPr>
      </w:pPr>
      <w:r w:rsidRPr="00D05D77">
        <w:rPr>
          <w:lang w:val="en-US"/>
        </w:rPr>
        <w:t>The evaluator concluded that no significant safety concerns have been identified with aH5N1c vaccine in adults. Both full and half doses were well tolerated, with a similar safety profile to approved seasonal influenza vaccines including those that are adjuvanted with MF59C.1. The monovalent vaccine was well tolerated, irrespective of antigen or adjuvant content. In addition, both full and half doses of the vaccine were well-tolerated in healthy paediatric subjects 6 months to ≤ 17 years of age. In adult subjects and paediatric subjects, a trend for fewer reactions after the second vaccination as compared with the first vaccination was observed.</w:t>
      </w:r>
    </w:p>
    <w:p w14:paraId="7BB87567" w14:textId="77777777" w:rsidR="00D05D77" w:rsidRPr="00D05D77" w:rsidRDefault="00D05D77" w:rsidP="00D05D77">
      <w:pPr>
        <w:rPr>
          <w:lang w:val="en-US"/>
        </w:rPr>
      </w:pPr>
      <w:r w:rsidRPr="00D05D77">
        <w:rPr>
          <w:lang w:val="en-US"/>
        </w:rPr>
        <w:t>No data in pregnant or breastfeeding women were provided, as they were excluded from all the studies in this application. Immunocompromised children and adults and those with co-morbidities were excluded from participation.</w:t>
      </w:r>
    </w:p>
    <w:p w14:paraId="6E7CE082" w14:textId="77777777" w:rsidR="00D05D77" w:rsidRPr="00D05D77" w:rsidRDefault="00D05D77" w:rsidP="00D05D77">
      <w:pPr>
        <w:rPr>
          <w:lang w:val="en-US"/>
        </w:rPr>
      </w:pPr>
      <w:r w:rsidRPr="00D05D77">
        <w:rPr>
          <w:lang w:val="en-US"/>
        </w:rPr>
        <w:t xml:space="preserve">The safety database for </w:t>
      </w:r>
      <w:proofErr w:type="spellStart"/>
      <w:r w:rsidRPr="00D05D77">
        <w:rPr>
          <w:lang w:val="en-US"/>
        </w:rPr>
        <w:t>paediatrics</w:t>
      </w:r>
      <w:proofErr w:type="spellEnd"/>
      <w:r w:rsidRPr="00D05D77">
        <w:rPr>
          <w:lang w:val="en-US"/>
        </w:rPr>
        <w:t xml:space="preserve"> was limited, with 339 paediatric subjects exposed to the full dose level in study V89_11.</w:t>
      </w:r>
    </w:p>
    <w:p w14:paraId="47BDD13D" w14:textId="77777777" w:rsidR="00D05D77" w:rsidRPr="00D05D77" w:rsidRDefault="00D05D77" w:rsidP="00D05D77">
      <w:pPr>
        <w:rPr>
          <w:lang w:val="en-US"/>
        </w:rPr>
      </w:pPr>
      <w:r w:rsidRPr="00D05D77">
        <w:rPr>
          <w:lang w:val="en-US"/>
        </w:rPr>
        <w:t>The EU assessment similarly concluded that ‘the reported safety profile indicates that the aH5N1c vaccine is well tolerated after both vaccinations and did not reveal unexpected safety signals or lead to significant safety concerns. Data from studies undertaken with other vaccine constructs, i.e. H1N1, H3N2 and H7N9, further support this conclusion.’ The FDA assessment reached similar conclusions regarding safety.</w:t>
      </w:r>
    </w:p>
    <w:p w14:paraId="2858B006" w14:textId="0B301F49" w:rsidR="00C22214" w:rsidRDefault="00C22214" w:rsidP="00C22214">
      <w:pPr>
        <w:pStyle w:val="Heading3"/>
        <w:rPr>
          <w:lang w:eastAsia="en-AU"/>
        </w:rPr>
      </w:pPr>
      <w:bookmarkStart w:id="69" w:name="_Toc103679298"/>
      <w:bookmarkStart w:id="70" w:name="_Toc227753757"/>
      <w:r>
        <w:rPr>
          <w:lang w:eastAsia="en-AU"/>
        </w:rPr>
        <w:t>Risk management plan</w:t>
      </w:r>
      <w:bookmarkEnd w:id="59"/>
      <w:bookmarkEnd w:id="69"/>
      <w:bookmarkEnd w:id="70"/>
    </w:p>
    <w:p w14:paraId="3348992D" w14:textId="77777777" w:rsidR="00997E89" w:rsidRPr="00997E89" w:rsidRDefault="00997E89" w:rsidP="00997E89">
      <w:pPr>
        <w:rPr>
          <w:lang w:val="en-US"/>
        </w:rPr>
      </w:pPr>
      <w:bookmarkStart w:id="71" w:name="_Ref97629131"/>
      <w:bookmarkStart w:id="72" w:name="_Toc247691531"/>
      <w:bookmarkStart w:id="73" w:name="_Toc314842515"/>
      <w:r w:rsidRPr="00997E89">
        <w:rPr>
          <w:lang w:val="en-US"/>
        </w:rPr>
        <w:t>Seqirus Pty Ltd has submitted EU RMP version 0.4 (date 20 February 2024; DLP 7 January 2022) and ASA version 0.1 (date 5 April 2024) in support of both applications. With the s31 responses, the sponsor provided an updated ASA version 0.2 (date 19 December 2024).</w:t>
      </w:r>
    </w:p>
    <w:p w14:paraId="032932E3" w14:textId="2560EEF0" w:rsidR="00997E89" w:rsidRPr="00997E89" w:rsidRDefault="00997E89" w:rsidP="00997E89">
      <w:pPr>
        <w:rPr>
          <w:lang w:val="en-US"/>
        </w:rPr>
      </w:pPr>
      <w:r w:rsidRPr="00997E89">
        <w:rPr>
          <w:lang w:val="en-US"/>
        </w:rPr>
        <w:t>The proposed summary of safety concerns and their associated risk monitoring and mitigation strategies for Celldemic are summarised in Table 2</w:t>
      </w:r>
      <w:r>
        <w:rPr>
          <w:lang w:val="en-US"/>
        </w:rPr>
        <w:t>2</w:t>
      </w:r>
      <w:r w:rsidRPr="00997E89">
        <w:rPr>
          <w:lang w:val="en-US"/>
        </w:rPr>
        <w:t>.</w:t>
      </w:r>
    </w:p>
    <w:p w14:paraId="56B51A93" w14:textId="0D978FE5" w:rsidR="006A277A" w:rsidRDefault="00C22214" w:rsidP="00C22214">
      <w:pPr>
        <w:pStyle w:val="TableTitle"/>
      </w:pPr>
      <w:r>
        <w:t>Table</w:t>
      </w:r>
      <w:bookmarkEnd w:id="71"/>
      <w:r w:rsidR="00DB1D34">
        <w:t xml:space="preserve"> </w:t>
      </w:r>
      <w:r w:rsidR="00997E89">
        <w:t>22</w:t>
      </w:r>
      <w:r w:rsidR="006B0EE3">
        <w:t>.</w:t>
      </w:r>
      <w:r>
        <w:t xml:space="preserve"> Summary of safety concerns</w:t>
      </w:r>
      <w:r w:rsidR="006B0EE3">
        <w:t>.</w:t>
      </w:r>
    </w:p>
    <w:tbl>
      <w:tblPr>
        <w:tblW w:w="9356"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1713"/>
        <w:gridCol w:w="3117"/>
        <w:gridCol w:w="1135"/>
        <w:gridCol w:w="1123"/>
        <w:gridCol w:w="1134"/>
        <w:gridCol w:w="1134"/>
      </w:tblGrid>
      <w:tr w:rsidR="00A369FA" w14:paraId="5BCF10CE" w14:textId="77777777" w:rsidTr="00B22A8E">
        <w:trPr>
          <w:trHeight w:val="261"/>
          <w:tblHeader/>
        </w:trPr>
        <w:tc>
          <w:tcPr>
            <w:tcW w:w="4830" w:type="dxa"/>
            <w:gridSpan w:val="2"/>
            <w:vMerge w:val="restart"/>
            <w:shd w:val="clear" w:color="auto" w:fill="DEEAF6"/>
          </w:tcPr>
          <w:p w14:paraId="7F9798D7" w14:textId="77777777" w:rsidR="00A369FA" w:rsidRDefault="00A369FA" w:rsidP="00B22A8E">
            <w:r>
              <w:t>Summary</w:t>
            </w:r>
            <w:r>
              <w:rPr>
                <w:spacing w:val="-7"/>
              </w:rPr>
              <w:t xml:space="preserve"> </w:t>
            </w:r>
            <w:r>
              <w:t>of</w:t>
            </w:r>
            <w:r>
              <w:rPr>
                <w:spacing w:val="-6"/>
              </w:rPr>
              <w:t xml:space="preserve"> </w:t>
            </w:r>
            <w:r>
              <w:t>safety</w:t>
            </w:r>
            <w:r>
              <w:rPr>
                <w:spacing w:val="-6"/>
              </w:rPr>
              <w:t xml:space="preserve"> </w:t>
            </w:r>
            <w:r>
              <w:rPr>
                <w:spacing w:val="-2"/>
              </w:rPr>
              <w:t>concerns</w:t>
            </w:r>
          </w:p>
        </w:tc>
        <w:tc>
          <w:tcPr>
            <w:tcW w:w="2258" w:type="dxa"/>
            <w:gridSpan w:val="2"/>
            <w:shd w:val="clear" w:color="auto" w:fill="DEEAF6"/>
          </w:tcPr>
          <w:p w14:paraId="75CF6092" w14:textId="77777777" w:rsidR="00A369FA" w:rsidRDefault="00A369FA" w:rsidP="00B22A8E">
            <w:pPr>
              <w:rPr>
                <w:sz w:val="18"/>
              </w:rPr>
            </w:pPr>
            <w:r>
              <w:rPr>
                <w:spacing w:val="-2"/>
                <w:sz w:val="18"/>
              </w:rPr>
              <w:t>Pharmacovigilance</w:t>
            </w:r>
          </w:p>
        </w:tc>
        <w:tc>
          <w:tcPr>
            <w:tcW w:w="2268" w:type="dxa"/>
            <w:gridSpan w:val="2"/>
            <w:shd w:val="clear" w:color="auto" w:fill="DEEAF6"/>
          </w:tcPr>
          <w:p w14:paraId="2FB8B39B" w14:textId="77777777" w:rsidR="00A369FA" w:rsidRDefault="00A369FA" w:rsidP="00B22A8E">
            <w:pPr>
              <w:rPr>
                <w:sz w:val="18"/>
              </w:rPr>
            </w:pPr>
            <w:r>
              <w:rPr>
                <w:sz w:val="18"/>
              </w:rPr>
              <w:t>Risk</w:t>
            </w:r>
            <w:r>
              <w:rPr>
                <w:spacing w:val="-1"/>
                <w:sz w:val="18"/>
              </w:rPr>
              <w:t xml:space="preserve"> </w:t>
            </w:r>
            <w:r>
              <w:rPr>
                <w:spacing w:val="-2"/>
                <w:sz w:val="18"/>
              </w:rPr>
              <w:t>Minimisation</w:t>
            </w:r>
          </w:p>
        </w:tc>
      </w:tr>
      <w:tr w:rsidR="00A369FA" w14:paraId="72A9F9A3" w14:textId="77777777" w:rsidTr="00410163">
        <w:trPr>
          <w:trHeight w:val="261"/>
        </w:trPr>
        <w:tc>
          <w:tcPr>
            <w:tcW w:w="4830" w:type="dxa"/>
            <w:gridSpan w:val="2"/>
            <w:vMerge/>
            <w:tcBorders>
              <w:top w:val="nil"/>
            </w:tcBorders>
            <w:shd w:val="clear" w:color="auto" w:fill="DEEAF6"/>
          </w:tcPr>
          <w:p w14:paraId="31C4A453" w14:textId="77777777" w:rsidR="00A369FA" w:rsidRDefault="00A369FA" w:rsidP="00B22A8E">
            <w:pPr>
              <w:rPr>
                <w:sz w:val="2"/>
                <w:szCs w:val="2"/>
              </w:rPr>
            </w:pPr>
          </w:p>
        </w:tc>
        <w:tc>
          <w:tcPr>
            <w:tcW w:w="1135" w:type="dxa"/>
          </w:tcPr>
          <w:p w14:paraId="5FE0D6CC" w14:textId="77777777" w:rsidR="00A369FA" w:rsidRDefault="00A369FA" w:rsidP="00B22A8E">
            <w:pPr>
              <w:rPr>
                <w:sz w:val="18"/>
              </w:rPr>
            </w:pPr>
            <w:r>
              <w:rPr>
                <w:spacing w:val="-2"/>
                <w:sz w:val="18"/>
              </w:rPr>
              <w:t>Routine</w:t>
            </w:r>
          </w:p>
        </w:tc>
        <w:tc>
          <w:tcPr>
            <w:tcW w:w="1123" w:type="dxa"/>
          </w:tcPr>
          <w:p w14:paraId="4F9D375C" w14:textId="77777777" w:rsidR="00A369FA" w:rsidRDefault="00A369FA" w:rsidP="00B22A8E">
            <w:pPr>
              <w:rPr>
                <w:sz w:val="18"/>
              </w:rPr>
            </w:pPr>
            <w:r>
              <w:rPr>
                <w:spacing w:val="-2"/>
                <w:sz w:val="18"/>
              </w:rPr>
              <w:t>Additional</w:t>
            </w:r>
          </w:p>
        </w:tc>
        <w:tc>
          <w:tcPr>
            <w:tcW w:w="1134" w:type="dxa"/>
          </w:tcPr>
          <w:p w14:paraId="5D61A9CC" w14:textId="77777777" w:rsidR="00A369FA" w:rsidRDefault="00A369FA" w:rsidP="00B22A8E">
            <w:pPr>
              <w:rPr>
                <w:sz w:val="18"/>
              </w:rPr>
            </w:pPr>
            <w:r>
              <w:rPr>
                <w:spacing w:val="-2"/>
                <w:sz w:val="18"/>
              </w:rPr>
              <w:t>Routine</w:t>
            </w:r>
          </w:p>
        </w:tc>
        <w:tc>
          <w:tcPr>
            <w:tcW w:w="1134" w:type="dxa"/>
          </w:tcPr>
          <w:p w14:paraId="06BBEE19" w14:textId="77777777" w:rsidR="00A369FA" w:rsidRDefault="00A369FA" w:rsidP="00B22A8E">
            <w:pPr>
              <w:rPr>
                <w:sz w:val="18"/>
              </w:rPr>
            </w:pPr>
            <w:r>
              <w:rPr>
                <w:spacing w:val="-2"/>
                <w:sz w:val="18"/>
              </w:rPr>
              <w:t>Additional</w:t>
            </w:r>
          </w:p>
        </w:tc>
      </w:tr>
      <w:tr w:rsidR="00A369FA" w14:paraId="5087C1C9" w14:textId="77777777" w:rsidTr="00410163">
        <w:trPr>
          <w:trHeight w:val="779"/>
        </w:trPr>
        <w:tc>
          <w:tcPr>
            <w:tcW w:w="1713" w:type="dxa"/>
          </w:tcPr>
          <w:p w14:paraId="7DDAEA22" w14:textId="77777777" w:rsidR="00A369FA" w:rsidRDefault="00A369FA" w:rsidP="00B22A8E">
            <w:r>
              <w:rPr>
                <w:spacing w:val="-2"/>
              </w:rPr>
              <w:t>Important identified risks</w:t>
            </w:r>
          </w:p>
        </w:tc>
        <w:tc>
          <w:tcPr>
            <w:tcW w:w="3117" w:type="dxa"/>
          </w:tcPr>
          <w:p w14:paraId="5255075F" w14:textId="77777777" w:rsidR="00A369FA" w:rsidRDefault="00A369FA" w:rsidP="00B22A8E">
            <w:r>
              <w:rPr>
                <w:spacing w:val="-4"/>
              </w:rPr>
              <w:t>None</w:t>
            </w:r>
          </w:p>
        </w:tc>
        <w:tc>
          <w:tcPr>
            <w:tcW w:w="1135" w:type="dxa"/>
          </w:tcPr>
          <w:p w14:paraId="2308AC71" w14:textId="77777777" w:rsidR="00A369FA" w:rsidRDefault="00A369FA" w:rsidP="00B22A8E">
            <w:r>
              <w:rPr>
                <w:spacing w:val="-10"/>
              </w:rPr>
              <w:t>–</w:t>
            </w:r>
          </w:p>
        </w:tc>
        <w:tc>
          <w:tcPr>
            <w:tcW w:w="1123" w:type="dxa"/>
          </w:tcPr>
          <w:p w14:paraId="1ECC383B" w14:textId="77777777" w:rsidR="00A369FA" w:rsidRDefault="00A369FA" w:rsidP="00B22A8E">
            <w:r>
              <w:rPr>
                <w:spacing w:val="-10"/>
              </w:rPr>
              <w:t>–</w:t>
            </w:r>
          </w:p>
        </w:tc>
        <w:tc>
          <w:tcPr>
            <w:tcW w:w="1134" w:type="dxa"/>
          </w:tcPr>
          <w:p w14:paraId="1B95E65C" w14:textId="77777777" w:rsidR="00A369FA" w:rsidRDefault="00A369FA" w:rsidP="00B22A8E">
            <w:r>
              <w:rPr>
                <w:spacing w:val="-10"/>
              </w:rPr>
              <w:t>–</w:t>
            </w:r>
          </w:p>
        </w:tc>
        <w:tc>
          <w:tcPr>
            <w:tcW w:w="1134" w:type="dxa"/>
          </w:tcPr>
          <w:p w14:paraId="60B3105E" w14:textId="77777777" w:rsidR="00A369FA" w:rsidRDefault="00A369FA" w:rsidP="00B22A8E">
            <w:r>
              <w:rPr>
                <w:spacing w:val="-10"/>
              </w:rPr>
              <w:t>–</w:t>
            </w:r>
          </w:p>
        </w:tc>
      </w:tr>
      <w:tr w:rsidR="00A369FA" w14:paraId="5ACE6490" w14:textId="77777777" w:rsidTr="00410163">
        <w:trPr>
          <w:trHeight w:val="285"/>
        </w:trPr>
        <w:tc>
          <w:tcPr>
            <w:tcW w:w="1713" w:type="dxa"/>
            <w:vMerge w:val="restart"/>
          </w:tcPr>
          <w:p w14:paraId="03221B7B" w14:textId="77777777" w:rsidR="00A369FA" w:rsidRDefault="00A369FA" w:rsidP="00B22A8E">
            <w:r>
              <w:rPr>
                <w:spacing w:val="-2"/>
              </w:rPr>
              <w:t>Important potential risks</w:t>
            </w:r>
          </w:p>
        </w:tc>
        <w:tc>
          <w:tcPr>
            <w:tcW w:w="3117" w:type="dxa"/>
          </w:tcPr>
          <w:p w14:paraId="4E8500E5" w14:textId="77777777" w:rsidR="00A369FA" w:rsidRDefault="00A369FA" w:rsidP="00B22A8E">
            <w:r>
              <w:rPr>
                <w:spacing w:val="-2"/>
              </w:rPr>
              <w:t>Neuritis</w:t>
            </w:r>
          </w:p>
        </w:tc>
        <w:tc>
          <w:tcPr>
            <w:tcW w:w="1135" w:type="dxa"/>
          </w:tcPr>
          <w:p w14:paraId="5F802869" w14:textId="77777777" w:rsidR="00A369FA" w:rsidRDefault="00A369FA" w:rsidP="00B22A8E">
            <w:pPr>
              <w:rPr>
                <w:rFonts w:ascii="Wingdings" w:hAnsi="Wingdings"/>
              </w:rPr>
            </w:pPr>
            <w:r>
              <w:rPr>
                <w:rFonts w:ascii="Wingdings" w:hAnsi="Wingdings"/>
                <w:spacing w:val="-10"/>
              </w:rPr>
              <w:t></w:t>
            </w:r>
          </w:p>
        </w:tc>
        <w:tc>
          <w:tcPr>
            <w:tcW w:w="1123" w:type="dxa"/>
          </w:tcPr>
          <w:p w14:paraId="529B1F1B" w14:textId="77777777" w:rsidR="00A369FA" w:rsidRDefault="00A369FA" w:rsidP="00B22A8E">
            <w:r>
              <w:rPr>
                <w:spacing w:val="-10"/>
              </w:rPr>
              <w:t>–</w:t>
            </w:r>
          </w:p>
        </w:tc>
        <w:tc>
          <w:tcPr>
            <w:tcW w:w="1134" w:type="dxa"/>
          </w:tcPr>
          <w:p w14:paraId="24053C48" w14:textId="77777777" w:rsidR="00A369FA" w:rsidRDefault="00A369FA" w:rsidP="00B22A8E">
            <w:pPr>
              <w:rPr>
                <w:rFonts w:ascii="Wingdings" w:hAnsi="Wingdings"/>
              </w:rPr>
            </w:pPr>
            <w:r>
              <w:rPr>
                <w:rFonts w:ascii="Wingdings" w:hAnsi="Wingdings"/>
                <w:spacing w:val="-10"/>
              </w:rPr>
              <w:t></w:t>
            </w:r>
          </w:p>
        </w:tc>
        <w:tc>
          <w:tcPr>
            <w:tcW w:w="1134" w:type="dxa"/>
          </w:tcPr>
          <w:p w14:paraId="77E65817" w14:textId="77777777" w:rsidR="00A369FA" w:rsidRDefault="00A369FA" w:rsidP="00B22A8E">
            <w:r>
              <w:rPr>
                <w:spacing w:val="-10"/>
              </w:rPr>
              <w:t>–</w:t>
            </w:r>
          </w:p>
        </w:tc>
      </w:tr>
      <w:tr w:rsidR="00A369FA" w14:paraId="346FC272" w14:textId="77777777" w:rsidTr="00410163">
        <w:trPr>
          <w:trHeight w:val="287"/>
        </w:trPr>
        <w:tc>
          <w:tcPr>
            <w:tcW w:w="1713" w:type="dxa"/>
            <w:vMerge/>
            <w:tcBorders>
              <w:top w:val="nil"/>
            </w:tcBorders>
          </w:tcPr>
          <w:p w14:paraId="3AF4CC0B" w14:textId="77777777" w:rsidR="00A369FA" w:rsidRDefault="00A369FA" w:rsidP="00B22A8E">
            <w:pPr>
              <w:rPr>
                <w:sz w:val="2"/>
                <w:szCs w:val="2"/>
              </w:rPr>
            </w:pPr>
          </w:p>
        </w:tc>
        <w:tc>
          <w:tcPr>
            <w:tcW w:w="3117" w:type="dxa"/>
          </w:tcPr>
          <w:p w14:paraId="5C4492C4" w14:textId="77777777" w:rsidR="00A369FA" w:rsidRDefault="00A369FA" w:rsidP="00B22A8E">
            <w:r>
              <w:rPr>
                <w:spacing w:val="-2"/>
              </w:rPr>
              <w:t>Convulsions</w:t>
            </w:r>
          </w:p>
        </w:tc>
        <w:tc>
          <w:tcPr>
            <w:tcW w:w="1135" w:type="dxa"/>
          </w:tcPr>
          <w:p w14:paraId="4DBF6210" w14:textId="77777777" w:rsidR="00A369FA" w:rsidRDefault="00A369FA" w:rsidP="00B22A8E">
            <w:pPr>
              <w:rPr>
                <w:rFonts w:ascii="Wingdings" w:hAnsi="Wingdings"/>
              </w:rPr>
            </w:pPr>
            <w:r>
              <w:rPr>
                <w:rFonts w:ascii="Wingdings" w:hAnsi="Wingdings"/>
                <w:spacing w:val="-10"/>
              </w:rPr>
              <w:t></w:t>
            </w:r>
          </w:p>
        </w:tc>
        <w:tc>
          <w:tcPr>
            <w:tcW w:w="1123" w:type="dxa"/>
          </w:tcPr>
          <w:p w14:paraId="4221D921" w14:textId="77777777" w:rsidR="00A369FA" w:rsidRDefault="00A369FA" w:rsidP="00B22A8E">
            <w:r>
              <w:rPr>
                <w:spacing w:val="-10"/>
              </w:rPr>
              <w:t>–</w:t>
            </w:r>
          </w:p>
        </w:tc>
        <w:tc>
          <w:tcPr>
            <w:tcW w:w="1134" w:type="dxa"/>
          </w:tcPr>
          <w:p w14:paraId="27938E3F" w14:textId="77777777" w:rsidR="00A369FA" w:rsidRDefault="00A369FA" w:rsidP="00B22A8E">
            <w:pPr>
              <w:rPr>
                <w:rFonts w:ascii="Wingdings" w:hAnsi="Wingdings"/>
              </w:rPr>
            </w:pPr>
            <w:r>
              <w:rPr>
                <w:rFonts w:ascii="Wingdings" w:hAnsi="Wingdings"/>
                <w:spacing w:val="-10"/>
              </w:rPr>
              <w:t></w:t>
            </w:r>
          </w:p>
        </w:tc>
        <w:tc>
          <w:tcPr>
            <w:tcW w:w="1134" w:type="dxa"/>
          </w:tcPr>
          <w:p w14:paraId="62C4D6C2" w14:textId="77777777" w:rsidR="00A369FA" w:rsidRDefault="00A369FA" w:rsidP="00B22A8E">
            <w:r>
              <w:rPr>
                <w:spacing w:val="-10"/>
              </w:rPr>
              <w:t>–</w:t>
            </w:r>
          </w:p>
        </w:tc>
      </w:tr>
      <w:tr w:rsidR="00A369FA" w14:paraId="1626102F" w14:textId="77777777" w:rsidTr="00410163">
        <w:trPr>
          <w:trHeight w:val="285"/>
        </w:trPr>
        <w:tc>
          <w:tcPr>
            <w:tcW w:w="1713" w:type="dxa"/>
            <w:vMerge/>
            <w:tcBorders>
              <w:top w:val="nil"/>
            </w:tcBorders>
          </w:tcPr>
          <w:p w14:paraId="3E834D75" w14:textId="77777777" w:rsidR="00A369FA" w:rsidRDefault="00A369FA" w:rsidP="00B22A8E">
            <w:pPr>
              <w:rPr>
                <w:sz w:val="2"/>
                <w:szCs w:val="2"/>
              </w:rPr>
            </w:pPr>
          </w:p>
        </w:tc>
        <w:tc>
          <w:tcPr>
            <w:tcW w:w="3117" w:type="dxa"/>
          </w:tcPr>
          <w:p w14:paraId="4E3F4444" w14:textId="77777777" w:rsidR="00A369FA" w:rsidRDefault="00A369FA" w:rsidP="00B22A8E">
            <w:r>
              <w:rPr>
                <w:spacing w:val="-2"/>
              </w:rPr>
              <w:t>Encephalomyelitis</w:t>
            </w:r>
          </w:p>
        </w:tc>
        <w:tc>
          <w:tcPr>
            <w:tcW w:w="1135" w:type="dxa"/>
          </w:tcPr>
          <w:p w14:paraId="6C2AB878" w14:textId="77777777" w:rsidR="00A369FA" w:rsidRDefault="00A369FA" w:rsidP="00B22A8E">
            <w:pPr>
              <w:rPr>
                <w:rFonts w:ascii="Wingdings" w:hAnsi="Wingdings"/>
              </w:rPr>
            </w:pPr>
            <w:r>
              <w:rPr>
                <w:rFonts w:ascii="Wingdings" w:hAnsi="Wingdings"/>
                <w:spacing w:val="-10"/>
              </w:rPr>
              <w:t></w:t>
            </w:r>
          </w:p>
        </w:tc>
        <w:tc>
          <w:tcPr>
            <w:tcW w:w="1123" w:type="dxa"/>
          </w:tcPr>
          <w:p w14:paraId="3DF3D6A5" w14:textId="77777777" w:rsidR="00A369FA" w:rsidRDefault="00A369FA" w:rsidP="00B22A8E">
            <w:r>
              <w:rPr>
                <w:spacing w:val="-10"/>
              </w:rPr>
              <w:t>–</w:t>
            </w:r>
          </w:p>
        </w:tc>
        <w:tc>
          <w:tcPr>
            <w:tcW w:w="1134" w:type="dxa"/>
          </w:tcPr>
          <w:p w14:paraId="4E7E45F1" w14:textId="77777777" w:rsidR="00A369FA" w:rsidRDefault="00A369FA" w:rsidP="00B22A8E">
            <w:pPr>
              <w:rPr>
                <w:rFonts w:ascii="Wingdings" w:hAnsi="Wingdings"/>
              </w:rPr>
            </w:pPr>
            <w:r>
              <w:rPr>
                <w:rFonts w:ascii="Wingdings" w:hAnsi="Wingdings"/>
                <w:spacing w:val="-10"/>
              </w:rPr>
              <w:t></w:t>
            </w:r>
          </w:p>
        </w:tc>
        <w:tc>
          <w:tcPr>
            <w:tcW w:w="1134" w:type="dxa"/>
          </w:tcPr>
          <w:p w14:paraId="5D4E0BC3" w14:textId="77777777" w:rsidR="00A369FA" w:rsidRDefault="00A369FA" w:rsidP="00B22A8E">
            <w:r>
              <w:rPr>
                <w:spacing w:val="-10"/>
              </w:rPr>
              <w:t>–</w:t>
            </w:r>
          </w:p>
        </w:tc>
      </w:tr>
      <w:tr w:rsidR="00A369FA" w14:paraId="30913A1C" w14:textId="77777777" w:rsidTr="00410163">
        <w:trPr>
          <w:trHeight w:val="287"/>
        </w:trPr>
        <w:tc>
          <w:tcPr>
            <w:tcW w:w="1713" w:type="dxa"/>
            <w:vMerge/>
            <w:tcBorders>
              <w:top w:val="nil"/>
            </w:tcBorders>
          </w:tcPr>
          <w:p w14:paraId="4D479478" w14:textId="77777777" w:rsidR="00A369FA" w:rsidRDefault="00A369FA" w:rsidP="00B22A8E">
            <w:pPr>
              <w:rPr>
                <w:sz w:val="2"/>
                <w:szCs w:val="2"/>
              </w:rPr>
            </w:pPr>
          </w:p>
        </w:tc>
        <w:tc>
          <w:tcPr>
            <w:tcW w:w="3117" w:type="dxa"/>
          </w:tcPr>
          <w:p w14:paraId="4E179EAD" w14:textId="77777777" w:rsidR="00A369FA" w:rsidRDefault="00A369FA" w:rsidP="00B22A8E">
            <w:r>
              <w:rPr>
                <w:spacing w:val="-2"/>
              </w:rPr>
              <w:t>Vasculitis</w:t>
            </w:r>
          </w:p>
        </w:tc>
        <w:tc>
          <w:tcPr>
            <w:tcW w:w="1135" w:type="dxa"/>
          </w:tcPr>
          <w:p w14:paraId="7B2F3FF1" w14:textId="77777777" w:rsidR="00A369FA" w:rsidRDefault="00A369FA" w:rsidP="00B22A8E">
            <w:pPr>
              <w:rPr>
                <w:rFonts w:ascii="Wingdings" w:hAnsi="Wingdings"/>
              </w:rPr>
            </w:pPr>
            <w:r>
              <w:rPr>
                <w:rFonts w:ascii="Wingdings" w:hAnsi="Wingdings"/>
                <w:spacing w:val="-10"/>
              </w:rPr>
              <w:t></w:t>
            </w:r>
          </w:p>
        </w:tc>
        <w:tc>
          <w:tcPr>
            <w:tcW w:w="1123" w:type="dxa"/>
          </w:tcPr>
          <w:p w14:paraId="5EB4EC5F" w14:textId="77777777" w:rsidR="00A369FA" w:rsidRDefault="00A369FA" w:rsidP="00B22A8E">
            <w:r>
              <w:rPr>
                <w:spacing w:val="-10"/>
              </w:rPr>
              <w:t>–</w:t>
            </w:r>
          </w:p>
        </w:tc>
        <w:tc>
          <w:tcPr>
            <w:tcW w:w="1134" w:type="dxa"/>
          </w:tcPr>
          <w:p w14:paraId="5DDCE109" w14:textId="77777777" w:rsidR="00A369FA" w:rsidRDefault="00A369FA" w:rsidP="00B22A8E">
            <w:pPr>
              <w:rPr>
                <w:rFonts w:ascii="Wingdings" w:hAnsi="Wingdings"/>
              </w:rPr>
            </w:pPr>
            <w:r>
              <w:rPr>
                <w:rFonts w:ascii="Wingdings" w:hAnsi="Wingdings"/>
                <w:spacing w:val="-10"/>
              </w:rPr>
              <w:t></w:t>
            </w:r>
          </w:p>
        </w:tc>
        <w:tc>
          <w:tcPr>
            <w:tcW w:w="1134" w:type="dxa"/>
          </w:tcPr>
          <w:p w14:paraId="7DB1FF04" w14:textId="77777777" w:rsidR="00A369FA" w:rsidRDefault="00A369FA" w:rsidP="00B22A8E">
            <w:r>
              <w:rPr>
                <w:spacing w:val="-10"/>
              </w:rPr>
              <w:t>–</w:t>
            </w:r>
          </w:p>
        </w:tc>
      </w:tr>
      <w:tr w:rsidR="00A369FA" w14:paraId="6691D36B" w14:textId="77777777" w:rsidTr="00410163">
        <w:trPr>
          <w:trHeight w:val="285"/>
        </w:trPr>
        <w:tc>
          <w:tcPr>
            <w:tcW w:w="1713" w:type="dxa"/>
            <w:vMerge/>
            <w:tcBorders>
              <w:top w:val="nil"/>
            </w:tcBorders>
          </w:tcPr>
          <w:p w14:paraId="4E6F0F2D" w14:textId="77777777" w:rsidR="00A369FA" w:rsidRDefault="00A369FA" w:rsidP="00B22A8E">
            <w:pPr>
              <w:rPr>
                <w:sz w:val="2"/>
                <w:szCs w:val="2"/>
              </w:rPr>
            </w:pPr>
          </w:p>
        </w:tc>
        <w:tc>
          <w:tcPr>
            <w:tcW w:w="3117" w:type="dxa"/>
          </w:tcPr>
          <w:p w14:paraId="15A6045F" w14:textId="77777777" w:rsidR="00A369FA" w:rsidRDefault="00A369FA" w:rsidP="00B22A8E">
            <w:r>
              <w:rPr>
                <w:spacing w:val="-2"/>
              </w:rPr>
              <w:t>Guillain-Barré</w:t>
            </w:r>
            <w:r>
              <w:rPr>
                <w:spacing w:val="8"/>
              </w:rPr>
              <w:t xml:space="preserve"> </w:t>
            </w:r>
            <w:r>
              <w:rPr>
                <w:spacing w:val="-2"/>
              </w:rPr>
              <w:t>syndrome</w:t>
            </w:r>
          </w:p>
        </w:tc>
        <w:tc>
          <w:tcPr>
            <w:tcW w:w="1135" w:type="dxa"/>
          </w:tcPr>
          <w:p w14:paraId="1D026DE1" w14:textId="77777777" w:rsidR="00A369FA" w:rsidRDefault="00A369FA" w:rsidP="00B22A8E">
            <w:pPr>
              <w:rPr>
                <w:rFonts w:ascii="Wingdings" w:hAnsi="Wingdings"/>
              </w:rPr>
            </w:pPr>
            <w:r>
              <w:rPr>
                <w:rFonts w:ascii="Wingdings" w:hAnsi="Wingdings"/>
                <w:spacing w:val="-10"/>
              </w:rPr>
              <w:t></w:t>
            </w:r>
          </w:p>
        </w:tc>
        <w:tc>
          <w:tcPr>
            <w:tcW w:w="1123" w:type="dxa"/>
          </w:tcPr>
          <w:p w14:paraId="013E2184" w14:textId="77777777" w:rsidR="00A369FA" w:rsidRDefault="00A369FA" w:rsidP="00B22A8E">
            <w:r>
              <w:rPr>
                <w:spacing w:val="-10"/>
              </w:rPr>
              <w:t>–</w:t>
            </w:r>
          </w:p>
        </w:tc>
        <w:tc>
          <w:tcPr>
            <w:tcW w:w="1134" w:type="dxa"/>
          </w:tcPr>
          <w:p w14:paraId="47987116" w14:textId="77777777" w:rsidR="00A369FA" w:rsidRDefault="00A369FA" w:rsidP="00B22A8E">
            <w:pPr>
              <w:rPr>
                <w:rFonts w:ascii="Wingdings" w:hAnsi="Wingdings"/>
              </w:rPr>
            </w:pPr>
            <w:r>
              <w:rPr>
                <w:rFonts w:ascii="Wingdings" w:hAnsi="Wingdings"/>
                <w:spacing w:val="-10"/>
              </w:rPr>
              <w:t></w:t>
            </w:r>
          </w:p>
        </w:tc>
        <w:tc>
          <w:tcPr>
            <w:tcW w:w="1134" w:type="dxa"/>
          </w:tcPr>
          <w:p w14:paraId="3E37324F" w14:textId="77777777" w:rsidR="00A369FA" w:rsidRDefault="00A369FA" w:rsidP="00B22A8E">
            <w:r>
              <w:rPr>
                <w:spacing w:val="-10"/>
              </w:rPr>
              <w:t>–</w:t>
            </w:r>
          </w:p>
        </w:tc>
      </w:tr>
      <w:tr w:rsidR="00A369FA" w14:paraId="4A868508" w14:textId="77777777" w:rsidTr="00410163">
        <w:trPr>
          <w:trHeight w:val="287"/>
        </w:trPr>
        <w:tc>
          <w:tcPr>
            <w:tcW w:w="1713" w:type="dxa"/>
            <w:vMerge/>
            <w:tcBorders>
              <w:top w:val="nil"/>
            </w:tcBorders>
          </w:tcPr>
          <w:p w14:paraId="03689E18" w14:textId="77777777" w:rsidR="00A369FA" w:rsidRDefault="00A369FA" w:rsidP="00B22A8E">
            <w:pPr>
              <w:rPr>
                <w:sz w:val="2"/>
                <w:szCs w:val="2"/>
              </w:rPr>
            </w:pPr>
          </w:p>
        </w:tc>
        <w:tc>
          <w:tcPr>
            <w:tcW w:w="3117" w:type="dxa"/>
          </w:tcPr>
          <w:p w14:paraId="5F85B99C" w14:textId="77777777" w:rsidR="00A369FA" w:rsidRDefault="00A369FA" w:rsidP="00B22A8E">
            <w:r>
              <w:rPr>
                <w:spacing w:val="-2"/>
              </w:rPr>
              <w:t>Demyelination</w:t>
            </w:r>
          </w:p>
        </w:tc>
        <w:tc>
          <w:tcPr>
            <w:tcW w:w="1135" w:type="dxa"/>
          </w:tcPr>
          <w:p w14:paraId="282E8D09" w14:textId="77777777" w:rsidR="00A369FA" w:rsidRDefault="00A369FA" w:rsidP="00B22A8E">
            <w:pPr>
              <w:rPr>
                <w:rFonts w:ascii="Wingdings" w:hAnsi="Wingdings"/>
              </w:rPr>
            </w:pPr>
            <w:r>
              <w:rPr>
                <w:rFonts w:ascii="Wingdings" w:hAnsi="Wingdings"/>
                <w:spacing w:val="-10"/>
              </w:rPr>
              <w:t></w:t>
            </w:r>
          </w:p>
        </w:tc>
        <w:tc>
          <w:tcPr>
            <w:tcW w:w="1123" w:type="dxa"/>
          </w:tcPr>
          <w:p w14:paraId="1CE5534F" w14:textId="77777777" w:rsidR="00A369FA" w:rsidRDefault="00A369FA" w:rsidP="00B22A8E">
            <w:r>
              <w:rPr>
                <w:spacing w:val="-10"/>
              </w:rPr>
              <w:t>–</w:t>
            </w:r>
          </w:p>
        </w:tc>
        <w:tc>
          <w:tcPr>
            <w:tcW w:w="1134" w:type="dxa"/>
          </w:tcPr>
          <w:p w14:paraId="24B9CAA7" w14:textId="77777777" w:rsidR="00A369FA" w:rsidRDefault="00A369FA" w:rsidP="00B22A8E">
            <w:r>
              <w:rPr>
                <w:spacing w:val="-10"/>
              </w:rPr>
              <w:t>–</w:t>
            </w:r>
          </w:p>
        </w:tc>
        <w:tc>
          <w:tcPr>
            <w:tcW w:w="1134" w:type="dxa"/>
          </w:tcPr>
          <w:p w14:paraId="06A0310D" w14:textId="77777777" w:rsidR="00A369FA" w:rsidRDefault="00A369FA" w:rsidP="00B22A8E">
            <w:r>
              <w:rPr>
                <w:spacing w:val="-10"/>
              </w:rPr>
              <w:t>–</w:t>
            </w:r>
          </w:p>
        </w:tc>
      </w:tr>
      <w:tr w:rsidR="00A369FA" w14:paraId="0197384C" w14:textId="77777777" w:rsidTr="00410163">
        <w:trPr>
          <w:trHeight w:val="285"/>
        </w:trPr>
        <w:tc>
          <w:tcPr>
            <w:tcW w:w="1713" w:type="dxa"/>
            <w:vMerge/>
            <w:tcBorders>
              <w:top w:val="nil"/>
            </w:tcBorders>
          </w:tcPr>
          <w:p w14:paraId="25AA5E6C" w14:textId="77777777" w:rsidR="00A369FA" w:rsidRDefault="00A369FA" w:rsidP="00B22A8E">
            <w:pPr>
              <w:rPr>
                <w:sz w:val="2"/>
                <w:szCs w:val="2"/>
              </w:rPr>
            </w:pPr>
          </w:p>
        </w:tc>
        <w:tc>
          <w:tcPr>
            <w:tcW w:w="3117" w:type="dxa"/>
          </w:tcPr>
          <w:p w14:paraId="13F518E6" w14:textId="77777777" w:rsidR="00A369FA" w:rsidRDefault="00A369FA" w:rsidP="00B22A8E">
            <w:r>
              <w:t>Bell’s</w:t>
            </w:r>
            <w:r>
              <w:rPr>
                <w:spacing w:val="-7"/>
              </w:rPr>
              <w:t xml:space="preserve"> </w:t>
            </w:r>
            <w:r>
              <w:rPr>
                <w:spacing w:val="-2"/>
              </w:rPr>
              <w:t>palsy</w:t>
            </w:r>
          </w:p>
        </w:tc>
        <w:tc>
          <w:tcPr>
            <w:tcW w:w="1135" w:type="dxa"/>
          </w:tcPr>
          <w:p w14:paraId="3CC8E3DB" w14:textId="77777777" w:rsidR="00A369FA" w:rsidRDefault="00A369FA" w:rsidP="00B22A8E">
            <w:pPr>
              <w:rPr>
                <w:rFonts w:ascii="Wingdings" w:hAnsi="Wingdings"/>
              </w:rPr>
            </w:pPr>
            <w:r>
              <w:rPr>
                <w:rFonts w:ascii="Wingdings" w:hAnsi="Wingdings"/>
                <w:spacing w:val="-10"/>
              </w:rPr>
              <w:t></w:t>
            </w:r>
          </w:p>
        </w:tc>
        <w:tc>
          <w:tcPr>
            <w:tcW w:w="1123" w:type="dxa"/>
          </w:tcPr>
          <w:p w14:paraId="01DA1A29" w14:textId="77777777" w:rsidR="00A369FA" w:rsidRDefault="00A369FA" w:rsidP="00B22A8E">
            <w:r>
              <w:rPr>
                <w:spacing w:val="-10"/>
              </w:rPr>
              <w:t>–</w:t>
            </w:r>
          </w:p>
        </w:tc>
        <w:tc>
          <w:tcPr>
            <w:tcW w:w="1134" w:type="dxa"/>
          </w:tcPr>
          <w:p w14:paraId="272A42F4" w14:textId="77777777" w:rsidR="00A369FA" w:rsidRDefault="00A369FA" w:rsidP="00B22A8E">
            <w:r>
              <w:rPr>
                <w:spacing w:val="-10"/>
              </w:rPr>
              <w:t>–</w:t>
            </w:r>
          </w:p>
        </w:tc>
        <w:tc>
          <w:tcPr>
            <w:tcW w:w="1134" w:type="dxa"/>
          </w:tcPr>
          <w:p w14:paraId="1B575CFE" w14:textId="77777777" w:rsidR="00A369FA" w:rsidRDefault="00A369FA" w:rsidP="00B22A8E">
            <w:r>
              <w:rPr>
                <w:spacing w:val="-10"/>
              </w:rPr>
              <w:t>–</w:t>
            </w:r>
          </w:p>
        </w:tc>
      </w:tr>
      <w:tr w:rsidR="00A369FA" w14:paraId="60A2B18D" w14:textId="77777777" w:rsidTr="00410163">
        <w:trPr>
          <w:trHeight w:val="285"/>
        </w:trPr>
        <w:tc>
          <w:tcPr>
            <w:tcW w:w="1713" w:type="dxa"/>
            <w:vMerge/>
            <w:tcBorders>
              <w:top w:val="nil"/>
            </w:tcBorders>
          </w:tcPr>
          <w:p w14:paraId="21575BAE" w14:textId="77777777" w:rsidR="00A369FA" w:rsidRDefault="00A369FA" w:rsidP="00B22A8E">
            <w:pPr>
              <w:rPr>
                <w:sz w:val="2"/>
                <w:szCs w:val="2"/>
              </w:rPr>
            </w:pPr>
          </w:p>
        </w:tc>
        <w:tc>
          <w:tcPr>
            <w:tcW w:w="3117" w:type="dxa"/>
          </w:tcPr>
          <w:p w14:paraId="2F64F229" w14:textId="77777777" w:rsidR="00A369FA" w:rsidRDefault="00A369FA" w:rsidP="00B22A8E">
            <w:r>
              <w:t>Immune</w:t>
            </w:r>
            <w:r>
              <w:rPr>
                <w:spacing w:val="-11"/>
              </w:rPr>
              <w:t xml:space="preserve"> </w:t>
            </w:r>
            <w:r>
              <w:rPr>
                <w:spacing w:val="-2"/>
              </w:rPr>
              <w:t>thrombocytopenia</w:t>
            </w:r>
          </w:p>
        </w:tc>
        <w:tc>
          <w:tcPr>
            <w:tcW w:w="1135" w:type="dxa"/>
          </w:tcPr>
          <w:p w14:paraId="4EAAECF7" w14:textId="77777777" w:rsidR="00A369FA" w:rsidRDefault="00A369FA" w:rsidP="00B22A8E">
            <w:pPr>
              <w:rPr>
                <w:rFonts w:ascii="Wingdings" w:hAnsi="Wingdings"/>
              </w:rPr>
            </w:pPr>
            <w:r>
              <w:rPr>
                <w:rFonts w:ascii="Wingdings" w:hAnsi="Wingdings"/>
                <w:spacing w:val="-10"/>
              </w:rPr>
              <w:t></w:t>
            </w:r>
          </w:p>
        </w:tc>
        <w:tc>
          <w:tcPr>
            <w:tcW w:w="1123" w:type="dxa"/>
          </w:tcPr>
          <w:p w14:paraId="0E51AEAA" w14:textId="77777777" w:rsidR="00A369FA" w:rsidRDefault="00A369FA" w:rsidP="00B22A8E">
            <w:r>
              <w:rPr>
                <w:spacing w:val="-10"/>
              </w:rPr>
              <w:t>–</w:t>
            </w:r>
          </w:p>
        </w:tc>
        <w:tc>
          <w:tcPr>
            <w:tcW w:w="1134" w:type="dxa"/>
          </w:tcPr>
          <w:p w14:paraId="6EA67357" w14:textId="77777777" w:rsidR="00A369FA" w:rsidRDefault="00A369FA" w:rsidP="00B22A8E">
            <w:r>
              <w:rPr>
                <w:spacing w:val="-10"/>
              </w:rPr>
              <w:t>–</w:t>
            </w:r>
          </w:p>
        </w:tc>
        <w:tc>
          <w:tcPr>
            <w:tcW w:w="1134" w:type="dxa"/>
          </w:tcPr>
          <w:p w14:paraId="02A3CAAB" w14:textId="77777777" w:rsidR="00A369FA" w:rsidRDefault="00A369FA" w:rsidP="00B22A8E">
            <w:r>
              <w:rPr>
                <w:spacing w:val="-10"/>
              </w:rPr>
              <w:t>–</w:t>
            </w:r>
          </w:p>
        </w:tc>
      </w:tr>
      <w:tr w:rsidR="00A369FA" w14:paraId="4B9984AF" w14:textId="77777777" w:rsidTr="00410163">
        <w:trPr>
          <w:trHeight w:val="534"/>
        </w:trPr>
        <w:tc>
          <w:tcPr>
            <w:tcW w:w="1713" w:type="dxa"/>
          </w:tcPr>
          <w:p w14:paraId="5C82473D" w14:textId="77777777" w:rsidR="00A369FA" w:rsidRDefault="00A369FA" w:rsidP="00B22A8E">
            <w:r>
              <w:rPr>
                <w:spacing w:val="-2"/>
              </w:rPr>
              <w:t>Missing information</w:t>
            </w:r>
          </w:p>
        </w:tc>
        <w:tc>
          <w:tcPr>
            <w:tcW w:w="3117" w:type="dxa"/>
          </w:tcPr>
          <w:p w14:paraId="0CF3D7EA" w14:textId="77777777" w:rsidR="00A369FA" w:rsidRDefault="00A369FA" w:rsidP="00B22A8E">
            <w:r>
              <w:t>Use</w:t>
            </w:r>
            <w:r>
              <w:rPr>
                <w:spacing w:val="-3"/>
              </w:rPr>
              <w:t xml:space="preserve"> </w:t>
            </w:r>
            <w:r>
              <w:t>in</w:t>
            </w:r>
            <w:r>
              <w:rPr>
                <w:spacing w:val="-5"/>
              </w:rPr>
              <w:t xml:space="preserve"> </w:t>
            </w:r>
            <w:r>
              <w:rPr>
                <w:spacing w:val="-2"/>
              </w:rPr>
              <w:t>pregnancy</w:t>
            </w:r>
          </w:p>
        </w:tc>
        <w:tc>
          <w:tcPr>
            <w:tcW w:w="1135" w:type="dxa"/>
          </w:tcPr>
          <w:p w14:paraId="01AEDCF1" w14:textId="77777777" w:rsidR="00A369FA" w:rsidRDefault="00A369FA" w:rsidP="00B22A8E">
            <w:pPr>
              <w:rPr>
                <w:rFonts w:ascii="Wingdings" w:hAnsi="Wingdings"/>
              </w:rPr>
            </w:pPr>
            <w:r>
              <w:rPr>
                <w:rFonts w:ascii="Wingdings" w:hAnsi="Wingdings"/>
                <w:spacing w:val="-10"/>
              </w:rPr>
              <w:t></w:t>
            </w:r>
          </w:p>
        </w:tc>
        <w:tc>
          <w:tcPr>
            <w:tcW w:w="1123" w:type="dxa"/>
          </w:tcPr>
          <w:p w14:paraId="2C5EAE1E" w14:textId="77777777" w:rsidR="00A369FA" w:rsidRDefault="00A369FA" w:rsidP="00B22A8E">
            <w:r>
              <w:rPr>
                <w:spacing w:val="-10"/>
              </w:rPr>
              <w:t>–</w:t>
            </w:r>
          </w:p>
        </w:tc>
        <w:tc>
          <w:tcPr>
            <w:tcW w:w="1134" w:type="dxa"/>
          </w:tcPr>
          <w:p w14:paraId="474A80F4" w14:textId="77777777" w:rsidR="00A369FA" w:rsidRDefault="00A369FA" w:rsidP="00B22A8E">
            <w:pPr>
              <w:rPr>
                <w:rFonts w:ascii="Wingdings" w:hAnsi="Wingdings"/>
              </w:rPr>
            </w:pPr>
            <w:r>
              <w:rPr>
                <w:rFonts w:ascii="Wingdings" w:hAnsi="Wingdings"/>
                <w:spacing w:val="-10"/>
              </w:rPr>
              <w:t></w:t>
            </w:r>
          </w:p>
        </w:tc>
        <w:tc>
          <w:tcPr>
            <w:tcW w:w="1134" w:type="dxa"/>
          </w:tcPr>
          <w:p w14:paraId="1041E922" w14:textId="77777777" w:rsidR="00A369FA" w:rsidRDefault="00A369FA" w:rsidP="00B22A8E">
            <w:r>
              <w:rPr>
                <w:spacing w:val="-10"/>
              </w:rPr>
              <w:t>–</w:t>
            </w:r>
          </w:p>
        </w:tc>
      </w:tr>
    </w:tbl>
    <w:p w14:paraId="0286A0A5" w14:textId="77777777" w:rsidR="00B22A8E" w:rsidRDefault="00B22A8E" w:rsidP="00AC2814">
      <w:pPr>
        <w:rPr>
          <w:b/>
          <w:bCs/>
          <w:lang w:val="en-US"/>
        </w:rPr>
      </w:pPr>
      <w:bookmarkStart w:id="74" w:name="_Toc103679299"/>
    </w:p>
    <w:p w14:paraId="378063EC" w14:textId="38CBEE6D" w:rsidR="00AC2814" w:rsidRPr="00AC2814" w:rsidRDefault="00AC2814" w:rsidP="00AC2814">
      <w:pPr>
        <w:rPr>
          <w:b/>
          <w:bCs/>
          <w:lang w:val="en-US"/>
        </w:rPr>
      </w:pPr>
      <w:r w:rsidRPr="00AC2814">
        <w:rPr>
          <w:b/>
          <w:bCs/>
          <w:lang w:val="en-US"/>
        </w:rPr>
        <w:t>RMP evaluator recommendations regarding condition/s of registration</w:t>
      </w:r>
    </w:p>
    <w:p w14:paraId="53862F2C" w14:textId="77777777" w:rsidR="00AC2814" w:rsidRPr="00AC2814" w:rsidRDefault="00AC2814" w:rsidP="00C218C6">
      <w:pPr>
        <w:rPr>
          <w:lang w:val="en-US"/>
        </w:rPr>
      </w:pPr>
      <w:r w:rsidRPr="00AC2814">
        <w:rPr>
          <w:lang w:val="en-US"/>
        </w:rPr>
        <w:t>The Celldemic EU-Risk Management Plan (RMP) version 0.4 (dated 20 February 2024; DLP 7 January 2022), with Australia-Specific Annex (ASA) version 0.2 (dated 19 December 2024), included with submission PM-2024-01545-1-2, and any subsequent revisions, as agreed with the TGA will be implemented in Australia.</w:t>
      </w:r>
    </w:p>
    <w:p w14:paraId="79BC8466" w14:textId="30B61F96" w:rsidR="00F3517C" w:rsidRPr="00F3517C" w:rsidRDefault="00AC2814" w:rsidP="00F3517C">
      <w:pPr>
        <w:rPr>
          <w:lang w:val="en-US"/>
        </w:rPr>
      </w:pPr>
      <w:r w:rsidRPr="00AC2814">
        <w:rPr>
          <w:lang w:val="en-US"/>
        </w:rPr>
        <w:t xml:space="preserve">The TGA may request an updated RMP at any stage of a product's life cycle, during both the pre-approval and post-approval phases. Further information regarding the TGA’s risk management approach can be found </w:t>
      </w:r>
      <w:r w:rsidRPr="00C218C6">
        <w:t xml:space="preserve">in </w:t>
      </w:r>
      <w:hyperlink r:id="rId44">
        <w:r w:rsidR="00F3517C" w:rsidRPr="00F3517C">
          <w:rPr>
            <w:rStyle w:val="Hyperlink"/>
            <w:lang w:val="en-US"/>
          </w:rPr>
          <w:t>risk management plans for medicines and biologicals</w:t>
        </w:r>
      </w:hyperlink>
      <w:r w:rsidR="00F3517C" w:rsidRPr="00F3517C">
        <w:rPr>
          <w:lang w:val="en-US"/>
        </w:rPr>
        <w:t xml:space="preserve"> and </w:t>
      </w:r>
      <w:hyperlink r:id="rId45">
        <w:r w:rsidR="00F3517C" w:rsidRPr="00F3517C">
          <w:rPr>
            <w:rStyle w:val="Hyperlink"/>
            <w:lang w:val="en-US"/>
          </w:rPr>
          <w:t>the TGA's</w:t>
        </w:r>
      </w:hyperlink>
      <w:r w:rsidR="00F3517C" w:rsidRPr="00F3517C">
        <w:rPr>
          <w:lang w:val="en-US"/>
        </w:rPr>
        <w:t xml:space="preserve"> </w:t>
      </w:r>
      <w:hyperlink r:id="rId46">
        <w:r w:rsidR="00F3517C" w:rsidRPr="00F3517C">
          <w:rPr>
            <w:rStyle w:val="Hyperlink"/>
            <w:lang w:val="en-US"/>
          </w:rPr>
          <w:t>risk management approach.</w:t>
        </w:r>
      </w:hyperlink>
      <w:r w:rsidR="00F3517C" w:rsidRPr="00F3517C">
        <w:rPr>
          <w:lang w:val="en-US"/>
        </w:rPr>
        <w:t xml:space="preserve"> Information on the </w:t>
      </w:r>
      <w:hyperlink r:id="rId47">
        <w:r w:rsidR="00F3517C" w:rsidRPr="00F3517C">
          <w:rPr>
            <w:rStyle w:val="Hyperlink"/>
            <w:lang w:val="en-US"/>
          </w:rPr>
          <w:t>Australia-specific annex</w:t>
        </w:r>
      </w:hyperlink>
      <w:r w:rsidR="00F3517C" w:rsidRPr="00F3517C">
        <w:rPr>
          <w:lang w:val="en-US"/>
        </w:rPr>
        <w:t xml:space="preserve"> (</w:t>
      </w:r>
      <w:hyperlink r:id="rId48">
        <w:r w:rsidR="00F3517C" w:rsidRPr="00F3517C">
          <w:rPr>
            <w:rStyle w:val="Hyperlink"/>
            <w:lang w:val="en-US"/>
          </w:rPr>
          <w:t>ASA</w:t>
        </w:r>
      </w:hyperlink>
      <w:r w:rsidR="00F3517C" w:rsidRPr="00F3517C">
        <w:rPr>
          <w:lang w:val="en-US"/>
        </w:rPr>
        <w:t>) can be found on the TGA website.</w:t>
      </w:r>
    </w:p>
    <w:p w14:paraId="74A4F87F" w14:textId="4712C6F4" w:rsidR="00C22214" w:rsidRDefault="00C22214" w:rsidP="00C22214">
      <w:pPr>
        <w:pStyle w:val="Heading3"/>
      </w:pPr>
      <w:bookmarkStart w:id="75" w:name="_Toc227753758"/>
      <w:r>
        <w:t>Risk-benefit analysis</w:t>
      </w:r>
      <w:bookmarkEnd w:id="72"/>
      <w:bookmarkEnd w:id="73"/>
      <w:bookmarkEnd w:id="74"/>
      <w:bookmarkEnd w:id="75"/>
    </w:p>
    <w:p w14:paraId="77DE2655" w14:textId="77777777" w:rsidR="00C22214" w:rsidRDefault="00C22214" w:rsidP="00C22214">
      <w:pPr>
        <w:pStyle w:val="Heading4"/>
      </w:pPr>
      <w:bookmarkStart w:id="76" w:name="_Toc98931932"/>
      <w:bookmarkStart w:id="77" w:name="_Toc227753759"/>
      <w:r>
        <w:t>Delegate’s considerations</w:t>
      </w:r>
      <w:bookmarkEnd w:id="76"/>
      <w:bookmarkEnd w:id="77"/>
    </w:p>
    <w:p w14:paraId="448576EF" w14:textId="15E602B3" w:rsidR="00314D80" w:rsidRPr="00314D80" w:rsidRDefault="00314D80" w:rsidP="00314D80">
      <w:pPr>
        <w:rPr>
          <w:lang w:val="en-US"/>
        </w:rPr>
      </w:pPr>
      <w:bookmarkStart w:id="78" w:name="_Toc98931933"/>
      <w:r w:rsidRPr="00314D80">
        <w:rPr>
          <w:lang w:val="en-US"/>
        </w:rPr>
        <w:t xml:space="preserve">The intended indication and usage of the zoonotic vaccine, Celldemic, is for active </w:t>
      </w:r>
      <w:proofErr w:type="spellStart"/>
      <w:r w:rsidRPr="00314D80">
        <w:rPr>
          <w:lang w:val="en-US"/>
        </w:rPr>
        <w:t>immunisation</w:t>
      </w:r>
      <w:proofErr w:type="spellEnd"/>
      <w:r w:rsidRPr="00314D80">
        <w:rPr>
          <w:lang w:val="en-US"/>
        </w:rPr>
        <w:t xml:space="preserve"> in persons from 6 months of age, to prevent influenza disease caused by the influenza A virus.</w:t>
      </w:r>
      <w:r>
        <w:rPr>
          <w:lang w:val="en-US"/>
        </w:rPr>
        <w:t xml:space="preserve"> </w:t>
      </w:r>
      <w:r w:rsidRPr="00314D80">
        <w:rPr>
          <w:lang w:val="en-US"/>
        </w:rPr>
        <w:t xml:space="preserve">The MF59 proprietary adjuvant contained in Celldemic is the same as that included in the TGA approved formulation for </w:t>
      </w:r>
      <w:proofErr w:type="spellStart"/>
      <w:r w:rsidRPr="00314D80">
        <w:rPr>
          <w:lang w:val="en-US"/>
        </w:rPr>
        <w:t>Fluad</w:t>
      </w:r>
      <w:proofErr w:type="spellEnd"/>
      <w:r w:rsidRPr="00314D80">
        <w:rPr>
          <w:lang w:val="en-US"/>
        </w:rPr>
        <w:t xml:space="preserve"> and </w:t>
      </w:r>
      <w:proofErr w:type="spellStart"/>
      <w:r w:rsidRPr="00314D80">
        <w:rPr>
          <w:lang w:val="en-US"/>
        </w:rPr>
        <w:t>Fluad</w:t>
      </w:r>
      <w:proofErr w:type="spellEnd"/>
      <w:r w:rsidRPr="00314D80">
        <w:rPr>
          <w:lang w:val="en-US"/>
        </w:rPr>
        <w:t xml:space="preserve"> Quad.</w:t>
      </w:r>
    </w:p>
    <w:p w14:paraId="5F79B01A" w14:textId="3C9AD1DA" w:rsidR="00314D80" w:rsidRPr="00314D80" w:rsidRDefault="00314D80" w:rsidP="00314D80">
      <w:pPr>
        <w:rPr>
          <w:lang w:val="en-US"/>
        </w:rPr>
      </w:pPr>
      <w:r w:rsidRPr="00314D80">
        <w:rPr>
          <w:lang w:val="en-US"/>
        </w:rPr>
        <w:t>Regarding the immunogenicity data presented, immune responses to heterologous strains were significantly lower than homologous strains. The Delegate concurs with the conclusions of the EMA assessment (Section 3.7.1):</w:t>
      </w:r>
      <w:r w:rsidR="00942746">
        <w:rPr>
          <w:rStyle w:val="FootnoteReference"/>
          <w:lang w:val="en-US"/>
        </w:rPr>
        <w:footnoteReference w:id="21"/>
      </w:r>
    </w:p>
    <w:p w14:paraId="5A65CDA1" w14:textId="77777777" w:rsidR="00314D80" w:rsidRPr="00314D80" w:rsidRDefault="00314D80" w:rsidP="00992743">
      <w:pPr>
        <w:ind w:left="720"/>
        <w:rPr>
          <w:i/>
          <w:lang w:val="en-US"/>
        </w:rPr>
      </w:pPr>
      <w:r w:rsidRPr="00314D80">
        <w:rPr>
          <w:i/>
          <w:lang w:val="en-US"/>
        </w:rPr>
        <w:t>‘…Since the strain included in Celldemic is from 2005, it is unclear how strong this pandemic potential is today. Consequently, cross-reactivity to heterologous strains is of importance. Some cross-reactivity was observed towards five other H5N1 strains tested, however, this was only tested in those that had received the adjuvanted full dose.</w:t>
      </w:r>
    </w:p>
    <w:p w14:paraId="0E8E80D1" w14:textId="77777777" w:rsidR="00314D80" w:rsidRPr="00314D80" w:rsidRDefault="00314D80" w:rsidP="00992743">
      <w:pPr>
        <w:ind w:left="720"/>
        <w:rPr>
          <w:lang w:val="en-US"/>
        </w:rPr>
      </w:pPr>
      <w:r w:rsidRPr="00314D80">
        <w:rPr>
          <w:i/>
          <w:lang w:val="en-US"/>
        </w:rPr>
        <w:t xml:space="preserve">Immune responses were markedly lower compared to homologous strains and showed variation in immune responses according to strain and age group being consistently lower </w:t>
      </w:r>
      <w:r w:rsidRPr="00314D80">
        <w:rPr>
          <w:i/>
          <w:lang w:val="en-US"/>
        </w:rPr>
        <w:lastRenderedPageBreak/>
        <w:t xml:space="preserve">in the elderly. Since responses to heterologous strains </w:t>
      </w:r>
      <w:proofErr w:type="gramStart"/>
      <w:r w:rsidRPr="00314D80">
        <w:rPr>
          <w:i/>
          <w:lang w:val="en-US"/>
        </w:rPr>
        <w:t>was</w:t>
      </w:r>
      <w:proofErr w:type="gramEnd"/>
      <w:r w:rsidRPr="00314D80">
        <w:rPr>
          <w:i/>
          <w:lang w:val="en-US"/>
        </w:rPr>
        <w:t xml:space="preserve"> less robust, the potential protection and the duration of protection to heterologous strains is therefore uncertain</w:t>
      </w:r>
      <w:r w:rsidRPr="00314D80">
        <w:rPr>
          <w:lang w:val="en-US"/>
        </w:rPr>
        <w:t>.’</w:t>
      </w:r>
    </w:p>
    <w:p w14:paraId="0BF097EA" w14:textId="77777777" w:rsidR="00314D80" w:rsidRPr="00314D80" w:rsidRDefault="00314D80" w:rsidP="00314D80">
      <w:pPr>
        <w:rPr>
          <w:lang w:val="en-US"/>
        </w:rPr>
      </w:pPr>
      <w:r w:rsidRPr="00314D80">
        <w:rPr>
          <w:lang w:val="en-US"/>
        </w:rPr>
        <w:t>Results from the completed study V89_18E1 will provide further information on the safety and immunogenicity of one or two heterologous booster vaccinations with MF59-adjuvanted, Cell Culture-derived H5N6 Influenza Vaccine in adults primed or not primed with MF59-adjuvanted, Cell Culture-derived H5N1 Influenza Vaccine.</w:t>
      </w:r>
    </w:p>
    <w:p w14:paraId="28009226" w14:textId="77777777" w:rsidR="00314D80" w:rsidRPr="00314D80" w:rsidRDefault="00314D80" w:rsidP="00314D80">
      <w:pPr>
        <w:rPr>
          <w:lang w:val="en-US"/>
        </w:rPr>
      </w:pPr>
      <w:r w:rsidRPr="00314D80">
        <w:rPr>
          <w:lang w:val="en-US"/>
        </w:rPr>
        <w:t>The Delegate will consider the advice of Advisory Committee of Vaccines (ACV) regarding registration of the pre-filled syringe formulation for Celldemic.</w:t>
      </w:r>
    </w:p>
    <w:p w14:paraId="3916F296" w14:textId="19B82062" w:rsidR="00C22214" w:rsidRDefault="00C22214" w:rsidP="00C22214">
      <w:pPr>
        <w:pStyle w:val="Heading4"/>
      </w:pPr>
      <w:bookmarkStart w:id="79" w:name="_Toc227753760"/>
      <w:r w:rsidRPr="00D23139">
        <w:t>Proposed action</w:t>
      </w:r>
      <w:bookmarkEnd w:id="78"/>
      <w:bookmarkEnd w:id="79"/>
    </w:p>
    <w:p w14:paraId="655AD315" w14:textId="77777777" w:rsidR="00B63D62" w:rsidRPr="00B63D62" w:rsidRDefault="00B63D62" w:rsidP="00B63D62">
      <w:pPr>
        <w:rPr>
          <w:lang w:val="en-US"/>
        </w:rPr>
      </w:pPr>
      <w:r w:rsidRPr="00B63D62">
        <w:rPr>
          <w:lang w:val="en-US"/>
        </w:rPr>
        <w:t>A decision regarding approval of Celldemic pre-filled syringes will be made following the advice of the ACV. Registration is subject to implementation of the Quality and RMP conditions of registration and satisfactory resolution of the product information.</w:t>
      </w:r>
    </w:p>
    <w:p w14:paraId="318CFABC" w14:textId="77777777" w:rsidR="00C22214" w:rsidRPr="00F73346" w:rsidRDefault="00C22214" w:rsidP="00C22214">
      <w:pPr>
        <w:pStyle w:val="Heading4"/>
      </w:pPr>
      <w:bookmarkStart w:id="80" w:name="_Toc98931936"/>
      <w:bookmarkStart w:id="81" w:name="_Toc227753761"/>
      <w:bookmarkStart w:id="82" w:name="_Toc247691532"/>
      <w:bookmarkStart w:id="83" w:name="_Toc314842516"/>
      <w:r w:rsidRPr="00F73346">
        <w:t>Advisory Committee considerations</w:t>
      </w:r>
      <w:bookmarkEnd w:id="80"/>
      <w:bookmarkEnd w:id="81"/>
    </w:p>
    <w:p w14:paraId="087BB9CB" w14:textId="1D112246" w:rsidR="00C22214" w:rsidRPr="00BD5DBD" w:rsidRDefault="00C22214" w:rsidP="00C22214">
      <w:pPr>
        <w:rPr>
          <w:bCs/>
          <w:szCs w:val="22"/>
        </w:rPr>
      </w:pPr>
      <w:r w:rsidRPr="00BD5DBD">
        <w:rPr>
          <w:bCs/>
          <w:szCs w:val="22"/>
        </w:rPr>
        <w:t xml:space="preserve">The </w:t>
      </w:r>
      <w:hyperlink r:id="rId49" w:history="1">
        <w:r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6F57B9E9" w14:textId="77777777" w:rsidR="00BB29D2" w:rsidRPr="00BB29D2" w:rsidRDefault="00BB29D2" w:rsidP="00BB29D2">
      <w:pPr>
        <w:pStyle w:val="Heading5"/>
        <w:rPr>
          <w:iCs/>
          <w:lang w:val="en-US"/>
        </w:rPr>
      </w:pPr>
      <w:r w:rsidRPr="00BB29D2">
        <w:rPr>
          <w:iCs/>
          <w:lang w:val="en-US"/>
        </w:rPr>
        <w:t>Specific advice to the Delegate</w:t>
      </w:r>
    </w:p>
    <w:p w14:paraId="1384046D" w14:textId="77777777" w:rsidR="00BB29D2" w:rsidRPr="00BB29D2" w:rsidRDefault="00BB29D2" w:rsidP="00BB29D2">
      <w:pPr>
        <w:rPr>
          <w:lang w:val="en-US"/>
        </w:rPr>
      </w:pPr>
      <w:r w:rsidRPr="00BB29D2">
        <w:rPr>
          <w:lang w:val="en-US"/>
        </w:rPr>
        <w:t>The ACV advised the following in response to the Delegate’s specific request for advice.</w:t>
      </w:r>
    </w:p>
    <w:p w14:paraId="4AAA88E9" w14:textId="77777777" w:rsidR="00BB29D2" w:rsidRPr="00BB29D2" w:rsidRDefault="00BB29D2" w:rsidP="008B55D0">
      <w:pPr>
        <w:pStyle w:val="DelegatesQuestions"/>
        <w:rPr>
          <w:lang w:val="en-US"/>
        </w:rPr>
      </w:pPr>
      <w:r w:rsidRPr="00BB29D2">
        <w:rPr>
          <w:lang w:val="en-US"/>
        </w:rPr>
        <w:t>What is the view of the ACV on the immunogenicity data provided to inform protection of Celldemic against currently circulating strains of A/H5N1 influenza, considering the limited Phase 2 data available for heterologous strains, inclusion of a 2005 strain in this vaccine and waning of antibody responses, particularly in adults?</w:t>
      </w:r>
    </w:p>
    <w:p w14:paraId="0B533F25" w14:textId="77777777" w:rsidR="00BB29D2" w:rsidRPr="00BB29D2" w:rsidRDefault="00BB29D2" w:rsidP="00BB29D2">
      <w:pPr>
        <w:rPr>
          <w:lang w:val="en-US"/>
        </w:rPr>
      </w:pPr>
      <w:r w:rsidRPr="00BB29D2">
        <w:rPr>
          <w:lang w:val="en-US"/>
        </w:rPr>
        <w:t xml:space="preserve">The ACV noted that the A/turkey/Turkey/1/2005 virus strain in Celldemic is currently one of over 30 zoonotic influenza candidate vaccine viruses identified by the WHO Collaborating </w:t>
      </w:r>
      <w:proofErr w:type="spellStart"/>
      <w:r w:rsidRPr="00BB29D2">
        <w:rPr>
          <w:lang w:val="en-US"/>
        </w:rPr>
        <w:t>Centres</w:t>
      </w:r>
      <w:proofErr w:type="spellEnd"/>
      <w:r w:rsidRPr="00BB29D2">
        <w:rPr>
          <w:lang w:val="en-US"/>
        </w:rPr>
        <w:t xml:space="preserve"> of the Global Influenza Surveillance and Response System as of February 2025. As such, it is a suitable strain for inclusion and assessment in a candidate pandemic vaccine.</w:t>
      </w:r>
    </w:p>
    <w:p w14:paraId="7864AFAB" w14:textId="674CDA76" w:rsidR="009602F1" w:rsidRPr="009602F1" w:rsidRDefault="00BB29D2" w:rsidP="009602F1">
      <w:pPr>
        <w:rPr>
          <w:lang w:val="en-US"/>
        </w:rPr>
      </w:pPr>
      <w:r w:rsidRPr="00BB29D2">
        <w:rPr>
          <w:lang w:val="en-US"/>
        </w:rPr>
        <w:t xml:space="preserve">However, in Study V89_18 in adults, antibody responses waned substantially over time. A reduction of antibody </w:t>
      </w:r>
      <w:proofErr w:type="spellStart"/>
      <w:r w:rsidRPr="00BB29D2">
        <w:rPr>
          <w:lang w:val="en-US"/>
        </w:rPr>
        <w:t>titres</w:t>
      </w:r>
      <w:proofErr w:type="spellEnd"/>
      <w:r w:rsidRPr="00BB29D2">
        <w:rPr>
          <w:lang w:val="en-US"/>
        </w:rPr>
        <w:t xml:space="preserve"> was observed 6 months after the primary vaccination series, with</w:t>
      </w:r>
      <w:r w:rsidR="009602F1">
        <w:rPr>
          <w:lang w:val="en-US"/>
        </w:rPr>
        <w:t xml:space="preserve"> </w:t>
      </w:r>
      <w:r w:rsidR="009602F1" w:rsidRPr="009602F1">
        <w:rPr>
          <w:lang w:val="en-US"/>
        </w:rPr>
        <w:t>GMRs (Day 183/Day 1) of 1.53 [95% CI: 1.44, 1.61] in adults 18 to &lt; 65 years of age and 0.97</w:t>
      </w:r>
      <w:r w:rsidR="00D54F2A">
        <w:rPr>
          <w:lang w:val="en-US"/>
        </w:rPr>
        <w:t xml:space="preserve"> </w:t>
      </w:r>
      <w:r w:rsidR="009602F1" w:rsidRPr="009602F1">
        <w:rPr>
          <w:lang w:val="en-US"/>
        </w:rPr>
        <w:t>[95% CI: 0.91, 1.02] in adults 65 years of age and older.</w:t>
      </w:r>
    </w:p>
    <w:p w14:paraId="49B43832" w14:textId="77777777" w:rsidR="009602F1" w:rsidRPr="009602F1" w:rsidRDefault="009602F1" w:rsidP="009602F1">
      <w:pPr>
        <w:rPr>
          <w:lang w:val="en-US"/>
        </w:rPr>
      </w:pPr>
      <w:r w:rsidRPr="009602F1">
        <w:rPr>
          <w:lang w:val="en-US"/>
        </w:rPr>
        <w:t>The relatively lower rates of seroconversion and waning of antibody to heterologous strains is not unsurprising but does underpin the consideration to update the H5 virus in Celldemic to a virus more genetically related to current circulating strains. The sponsor’s pre-ACV response indicated that the sponsor intends to update the vaccine post-registration with the A/Astrakhan/3212/2020 (H5N1, clade 2.3.4.4b) candidate vaccine virus, which is the same candidate vaccine virus as in the Panvax H5N8 egg-cultured, alum adjuvanted vaccine since October 2023.</w:t>
      </w:r>
    </w:p>
    <w:p w14:paraId="21DCA06C" w14:textId="77777777" w:rsidR="009602F1" w:rsidRPr="009602F1" w:rsidRDefault="009602F1" w:rsidP="009602F1">
      <w:pPr>
        <w:rPr>
          <w:lang w:val="en-US"/>
        </w:rPr>
      </w:pPr>
      <w:r w:rsidRPr="009602F1">
        <w:rPr>
          <w:lang w:val="en-US"/>
        </w:rPr>
        <w:t>The ACV recommended that should a strain change occur for Celldemic, it will be important to conduct a series of safety and immunogenicity studies in a range of populations (for example, children, adults and older adults) to assess if seroconversion and durability of immune responses were improved for relevant heterologous strains, as well as safety assessment. This would provide important data to inform the potential use of a Celldemic containing an updated vaccine virus in a pre-pandemic context.</w:t>
      </w:r>
    </w:p>
    <w:p w14:paraId="280302F0" w14:textId="77777777" w:rsidR="009602F1" w:rsidRPr="009602F1" w:rsidRDefault="009602F1" w:rsidP="00D54F2A">
      <w:pPr>
        <w:pStyle w:val="DelegatesQuestions"/>
        <w:rPr>
          <w:lang w:val="en-US"/>
        </w:rPr>
      </w:pPr>
      <w:r w:rsidRPr="009602F1">
        <w:rPr>
          <w:lang w:val="en-US"/>
        </w:rPr>
        <w:lastRenderedPageBreak/>
        <w:t>Related to Question 1, does the ACV recommend registration of Celldemic? Is there a population for which this vaccine could offer protection against severe disease and death?</w:t>
      </w:r>
    </w:p>
    <w:p w14:paraId="16947167" w14:textId="77777777" w:rsidR="009602F1" w:rsidRPr="009602F1" w:rsidRDefault="009602F1" w:rsidP="009602F1">
      <w:pPr>
        <w:rPr>
          <w:lang w:val="en-US"/>
        </w:rPr>
      </w:pPr>
      <w:r w:rsidRPr="009602F1">
        <w:rPr>
          <w:lang w:val="en-US"/>
        </w:rPr>
        <w:t>The ACV noted that protective benefit from Celldemic would rely on a response to the heterogenous strain(s) circulating at the time of vaccination in the Standby and Initial Action phases of the Australian Health Management Plan for Pandemic Influenza (AHMPPI) response. Thus, the benefit of Celldemic will depend on whether immune response generated against the strain following vaccination is able to protect against the circulating influenza pandemic strain.</w:t>
      </w:r>
    </w:p>
    <w:p w14:paraId="57CF4971" w14:textId="77777777" w:rsidR="009602F1" w:rsidRPr="009602F1" w:rsidRDefault="009602F1" w:rsidP="009602F1">
      <w:pPr>
        <w:rPr>
          <w:lang w:val="en-US"/>
        </w:rPr>
      </w:pPr>
      <w:r w:rsidRPr="009602F1">
        <w:rPr>
          <w:lang w:val="en-US"/>
        </w:rPr>
        <w:t>The ACV advised that registration of Celldemic was appropriate as, in principle, Celldemic could be of value in protecting people at risk of complications from influenza and in protecting the health workforce.</w:t>
      </w:r>
    </w:p>
    <w:p w14:paraId="464169C3" w14:textId="77777777" w:rsidR="009602F1" w:rsidRPr="009602F1" w:rsidRDefault="009602F1" w:rsidP="009602F1">
      <w:pPr>
        <w:rPr>
          <w:lang w:val="en-US"/>
        </w:rPr>
      </w:pPr>
      <w:r w:rsidRPr="009602F1">
        <w:rPr>
          <w:lang w:val="en-US"/>
        </w:rPr>
        <w:t>Decisions on use in vaccine programs in pre- or pandemic stages would be informed by a range of factors, such as epidemiology and burden of disease. These and other factors would be influential criteria for determining priority groups for vaccination with Celldemic.</w:t>
      </w:r>
    </w:p>
    <w:p w14:paraId="56834564" w14:textId="77777777" w:rsidR="009602F1" w:rsidRPr="009602F1" w:rsidRDefault="009602F1" w:rsidP="00B96EFB">
      <w:pPr>
        <w:pStyle w:val="DelegatesQuestions"/>
        <w:rPr>
          <w:lang w:val="en-US"/>
        </w:rPr>
      </w:pPr>
      <w:r w:rsidRPr="009602F1">
        <w:rPr>
          <w:lang w:val="en-US"/>
        </w:rPr>
        <w:t>Does the ACV have any further comments on the wording of the indication, including the Delegate’s proposal to align with the EU approved indication, in the event of registration?</w:t>
      </w:r>
    </w:p>
    <w:p w14:paraId="0509E838" w14:textId="77777777" w:rsidR="009602F1" w:rsidRPr="009602F1" w:rsidRDefault="009602F1" w:rsidP="009602F1">
      <w:pPr>
        <w:rPr>
          <w:lang w:val="en-US"/>
        </w:rPr>
      </w:pPr>
      <w:r w:rsidRPr="009602F1">
        <w:rPr>
          <w:lang w:val="en-US"/>
        </w:rPr>
        <w:t>The ACV supported alignment with the EU, UK and Swiss approved indication.</w:t>
      </w:r>
    </w:p>
    <w:p w14:paraId="681E6C7B" w14:textId="77777777" w:rsidR="009602F1" w:rsidRPr="009602F1" w:rsidRDefault="009602F1" w:rsidP="009602F1">
      <w:pPr>
        <w:rPr>
          <w:lang w:val="en-US"/>
        </w:rPr>
      </w:pPr>
      <w:r w:rsidRPr="009602F1">
        <w:rPr>
          <w:lang w:val="en-US"/>
        </w:rPr>
        <w:t xml:space="preserve">The ACV discussed whether ‘H5N1’ should be included in the wording of the indication. The ACV noted that the strain change under evaluation in the USA and anticipated in Australia, from A/turkey/Turkey/1/2005 to A/Astrakhan/3212/2020 (clade 2.3.4.4b) is also a change from H5N1 to H5N8. On this </w:t>
      </w:r>
      <w:proofErr w:type="gramStart"/>
      <w:r w:rsidRPr="009602F1">
        <w:rPr>
          <w:lang w:val="en-US"/>
        </w:rPr>
        <w:t>basis, ‘</w:t>
      </w:r>
      <w:proofErr w:type="gramEnd"/>
      <w:r w:rsidRPr="009602F1">
        <w:rPr>
          <w:lang w:val="en-US"/>
        </w:rPr>
        <w:t>H5’ is preferable for inclusion in the indication.</w:t>
      </w:r>
    </w:p>
    <w:p w14:paraId="7234971A" w14:textId="77777777" w:rsidR="009602F1" w:rsidRPr="009602F1" w:rsidRDefault="009602F1" w:rsidP="009602F1">
      <w:pPr>
        <w:rPr>
          <w:lang w:val="en-US"/>
        </w:rPr>
      </w:pPr>
      <w:r w:rsidRPr="009602F1">
        <w:rPr>
          <w:lang w:val="en-US"/>
        </w:rPr>
        <w:t xml:space="preserve">The ACV supported the inclusion of 'H5' in the indication. This is unlikely to cause confusion among healthcare professionals when read in </w:t>
      </w:r>
      <w:proofErr w:type="gramStart"/>
      <w:r w:rsidRPr="009602F1">
        <w:rPr>
          <w:lang w:val="en-US"/>
        </w:rPr>
        <w:t>conjunction with ‘in accordance</w:t>
      </w:r>
      <w:proofErr w:type="gramEnd"/>
      <w:r w:rsidRPr="009602F1">
        <w:rPr>
          <w:lang w:val="en-US"/>
        </w:rPr>
        <w:t xml:space="preserve"> with official </w:t>
      </w:r>
      <w:proofErr w:type="gramStart"/>
      <w:r w:rsidRPr="009602F1">
        <w:rPr>
          <w:lang w:val="en-US"/>
        </w:rPr>
        <w:t>recommendations’</w:t>
      </w:r>
      <w:proofErr w:type="gramEnd"/>
      <w:r w:rsidRPr="009602F1">
        <w:rPr>
          <w:lang w:val="en-US"/>
        </w:rPr>
        <w:t>.</w:t>
      </w:r>
    </w:p>
    <w:p w14:paraId="6695BA47" w14:textId="77777777" w:rsidR="009602F1" w:rsidRPr="009602F1" w:rsidRDefault="009602F1" w:rsidP="00B96EFB">
      <w:pPr>
        <w:pStyle w:val="DelegatesQuestions"/>
        <w:rPr>
          <w:lang w:val="en-US"/>
        </w:rPr>
      </w:pPr>
      <w:r w:rsidRPr="009602F1">
        <w:rPr>
          <w:lang w:val="en-US"/>
        </w:rPr>
        <w:t>The ACV is also requested to provide advice on any other issues that it thinks may be relevant.</w:t>
      </w:r>
    </w:p>
    <w:p w14:paraId="19181D1F" w14:textId="77777777" w:rsidR="009602F1" w:rsidRPr="009602F1" w:rsidRDefault="009602F1" w:rsidP="009602F1">
      <w:pPr>
        <w:rPr>
          <w:lang w:val="en-US"/>
        </w:rPr>
      </w:pPr>
      <w:r w:rsidRPr="009602F1">
        <w:rPr>
          <w:lang w:val="en-US"/>
        </w:rPr>
        <w:t>The ACV encouraged the sponsor to update the H5 influenza A virus strain in this candidate pandemic vaccine to align with more recently circulating virus, and to conduct and provide appropriate clinical data with this strain to provide evidence of immunogenicity and safety in a range of subpopulations.</w:t>
      </w:r>
    </w:p>
    <w:p w14:paraId="2AA3E164" w14:textId="77777777" w:rsidR="009602F1" w:rsidRPr="009602F1" w:rsidRDefault="009602F1" w:rsidP="00B96EFB">
      <w:pPr>
        <w:pStyle w:val="Heading5"/>
        <w:rPr>
          <w:lang w:val="en-US"/>
        </w:rPr>
      </w:pPr>
      <w:bookmarkStart w:id="84" w:name="Advisory_committee_conclusions"/>
      <w:bookmarkStart w:id="85" w:name="Quality"/>
      <w:bookmarkStart w:id="86" w:name="GMP_clearance_for_listed_manufacturers:"/>
      <w:bookmarkStart w:id="87" w:name="All_relevant_manufacturing_sites_require"/>
      <w:bookmarkStart w:id="88" w:name="Additionally,_that_adherence_to_the_cond"/>
      <w:bookmarkStart w:id="89" w:name="upheld."/>
      <w:bookmarkStart w:id="90" w:name="Post-approval_stability_protocol_and_sta"/>
      <w:bookmarkStart w:id="91" w:name="The_manufacturer_has_provided_commitment"/>
      <w:bookmarkStart w:id="92" w:name="Batch_Release_Testing_and_Compliance"/>
      <w:bookmarkStart w:id="93" w:name="It_is_a_condition_of_registration_that_a"/>
      <w:bookmarkStart w:id="94" w:name="Celldemic_Pre-pandemic_Influenza_Vaccine"/>
      <w:bookmarkStart w:id="95" w:name="imported_into_Australia_are_not_released"/>
      <w:bookmarkStart w:id="96" w:name="release_data_have_been_assessed,_and_you"/>
      <w:bookmarkStart w:id="97" w:name="release_from_the_Laboratories_Branch,_TG"/>
      <w:bookmarkStart w:id="98" w:name="For_each_independent_batch_of_the_produc"/>
      <w:bookmarkStart w:id="99" w:name="supply_samples,_reagents_and_standards_a"/>
      <w:bookmarkStart w:id="100" w:name="quality_module_(Version_2.0,_September_2"/>
      <w:bookmarkStart w:id="101" w:name="A_completed_Request_for_Release_Form,_av"/>
      <w:bookmarkStart w:id="102" w:name="Complete_summary_protocols_for_manufactu"/>
      <w:bookmarkStart w:id="103" w:name="At_least_20_(twenty)_prefilled_syringes_"/>
      <w:bookmarkStart w:id="104" w:name="At_least_10_(ten)_prefilled_syringes_(Sa"/>
      <w:bookmarkStart w:id="105" w:name="Details_of_reference_antigen_and_antiser"/>
      <w:bookmarkStart w:id="106" w:name="For_non-TGA_reagents,_a_minimum_of_20_(t"/>
      <w:bookmarkStart w:id="107" w:name="At_least_3_(three)_batches_of_Monovalent"/>
      <w:bookmarkStart w:id="108" w:name="If_the_manufacturing_batch_has_been_rele"/>
      <w:bookmarkStart w:id="109" w:name="Sponsors_must_provide_all_requested_Samp"/>
      <w:bookmarkStart w:id="110" w:name="Samples_and_data_should_be_forwarded_to_"/>
      <w:bookmarkStart w:id="111" w:name="ATTN:_Batch_Release_Coordinator,"/>
      <w:bookmarkStart w:id="112" w:name="Batch_Release_Unit,"/>
      <w:bookmarkStart w:id="113" w:name="TGA_Laboratories_Branch,"/>
      <w:bookmarkStart w:id="114" w:name="1_Tindal_Lane,"/>
      <w:bookmarkStart w:id="115" w:name="Canberra_Airport,_ACT_2609."/>
      <w:bookmarkStart w:id="116" w:name="The_shipments_(including_reagents)_to_TG"/>
      <w:bookmarkStart w:id="117" w:name="Certified_Product_Details"/>
      <w:bookmarkStart w:id="118" w:name="An_electronic_copy_of_the_Certified_Prod"/>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9602F1">
        <w:rPr>
          <w:lang w:val="en-US"/>
        </w:rPr>
        <w:t>Advisory committee conclusions</w:t>
      </w:r>
    </w:p>
    <w:p w14:paraId="6C0A7E43" w14:textId="77777777" w:rsidR="009602F1" w:rsidRPr="009602F1" w:rsidRDefault="009602F1" w:rsidP="009602F1">
      <w:pPr>
        <w:rPr>
          <w:lang w:val="en-US"/>
        </w:rPr>
      </w:pPr>
      <w:r w:rsidRPr="009602F1">
        <w:rPr>
          <w:lang w:val="en-US"/>
        </w:rPr>
        <w:t>The ACV considered this product to have an overall positive benefit-risk profile for the indications:</w:t>
      </w:r>
    </w:p>
    <w:p w14:paraId="699AAE5F" w14:textId="77777777" w:rsidR="009602F1" w:rsidRPr="009602F1" w:rsidRDefault="009602F1" w:rsidP="00B96EFB">
      <w:pPr>
        <w:ind w:left="720"/>
        <w:rPr>
          <w:i/>
          <w:lang w:val="en-US"/>
        </w:rPr>
      </w:pPr>
      <w:r w:rsidRPr="009602F1">
        <w:rPr>
          <w:i/>
          <w:lang w:val="en-US"/>
        </w:rPr>
        <w:t xml:space="preserve">Celldemic is indicated for active </w:t>
      </w:r>
      <w:proofErr w:type="spellStart"/>
      <w:r w:rsidRPr="009602F1">
        <w:rPr>
          <w:i/>
          <w:lang w:val="en-US"/>
        </w:rPr>
        <w:t>immunisation</w:t>
      </w:r>
      <w:proofErr w:type="spellEnd"/>
      <w:r w:rsidRPr="009602F1">
        <w:rPr>
          <w:i/>
          <w:lang w:val="en-US"/>
        </w:rPr>
        <w:t xml:space="preserve"> against H5 subtype of influenza A virus in adults and infants from 6 months of age and above.</w:t>
      </w:r>
    </w:p>
    <w:p w14:paraId="6E207137" w14:textId="77777777" w:rsidR="009602F1" w:rsidRPr="009602F1" w:rsidRDefault="009602F1" w:rsidP="00B96EFB">
      <w:pPr>
        <w:ind w:left="720"/>
        <w:rPr>
          <w:i/>
          <w:lang w:val="en-US"/>
        </w:rPr>
      </w:pPr>
      <w:r w:rsidRPr="009602F1">
        <w:rPr>
          <w:i/>
          <w:lang w:val="en-US"/>
        </w:rPr>
        <w:t>Celldemic should be used in accordance with official recommendations.</w:t>
      </w:r>
    </w:p>
    <w:p w14:paraId="307F236C" w14:textId="7FD19BD3" w:rsidR="00C22214" w:rsidRPr="002E238E" w:rsidRDefault="0046285C" w:rsidP="00C22214">
      <w:pPr>
        <w:pStyle w:val="Heading2"/>
      </w:pPr>
      <w:bookmarkStart w:id="119" w:name="_Toc103679300"/>
      <w:bookmarkStart w:id="120" w:name="_Toc227753762"/>
      <w:r>
        <w:t>Assessment</w:t>
      </w:r>
      <w:r w:rsidR="00190853">
        <w:t xml:space="preserve"> </w:t>
      </w:r>
      <w:r>
        <w:t>o</w:t>
      </w:r>
      <w:r w:rsidR="00C22214">
        <w:t>utcome</w:t>
      </w:r>
      <w:bookmarkEnd w:id="82"/>
      <w:bookmarkEnd w:id="83"/>
      <w:bookmarkEnd w:id="119"/>
      <w:bookmarkEnd w:id="120"/>
    </w:p>
    <w:p w14:paraId="4D59AACE" w14:textId="77777777" w:rsidR="00283295" w:rsidRPr="00283295" w:rsidRDefault="00283295" w:rsidP="00283295">
      <w:pPr>
        <w:rPr>
          <w:szCs w:val="22"/>
          <w:lang w:val="en-US"/>
        </w:rPr>
      </w:pPr>
      <w:r w:rsidRPr="00283295">
        <w:rPr>
          <w:szCs w:val="22"/>
          <w:lang w:val="en-US"/>
        </w:rPr>
        <w:t>Based on a review of quality, safety, and efficacy, the TGA decided to register Celldemic Pre-pandemic Influenza Vaccine H5N1 (surface antigen, inactivated, adjuvanted) suspension for injection PFS needle-free indicated for:</w:t>
      </w:r>
    </w:p>
    <w:p w14:paraId="03FA7595" w14:textId="77777777" w:rsidR="00283295" w:rsidRPr="00283295" w:rsidRDefault="00283295" w:rsidP="00283295">
      <w:pPr>
        <w:ind w:left="720"/>
        <w:rPr>
          <w:i/>
          <w:szCs w:val="22"/>
          <w:lang w:val="en-US"/>
        </w:rPr>
      </w:pPr>
      <w:r w:rsidRPr="00283295">
        <w:rPr>
          <w:i/>
          <w:szCs w:val="22"/>
          <w:lang w:val="en-US"/>
        </w:rPr>
        <w:lastRenderedPageBreak/>
        <w:t xml:space="preserve">Celldemic is indicated for active </w:t>
      </w:r>
      <w:proofErr w:type="spellStart"/>
      <w:r w:rsidRPr="00283295">
        <w:rPr>
          <w:i/>
          <w:szCs w:val="22"/>
          <w:lang w:val="en-US"/>
        </w:rPr>
        <w:t>immunisation</w:t>
      </w:r>
      <w:proofErr w:type="spellEnd"/>
      <w:r w:rsidRPr="00283295">
        <w:rPr>
          <w:i/>
          <w:szCs w:val="22"/>
          <w:lang w:val="en-US"/>
        </w:rPr>
        <w:t xml:space="preserve"> against the H5 subtype of Influenza A virus in persons from 6 months of age and older.</w:t>
      </w:r>
    </w:p>
    <w:p w14:paraId="3A7D9950" w14:textId="77777777" w:rsidR="00283295" w:rsidRPr="00283295" w:rsidRDefault="00283295" w:rsidP="00283295">
      <w:pPr>
        <w:ind w:left="720"/>
        <w:rPr>
          <w:i/>
          <w:szCs w:val="22"/>
          <w:lang w:val="en-US"/>
        </w:rPr>
      </w:pPr>
      <w:r w:rsidRPr="00283295">
        <w:rPr>
          <w:i/>
          <w:szCs w:val="22"/>
          <w:lang w:val="en-US"/>
        </w:rPr>
        <w:t>Celldemic should be used in accordance with official recommendations.</w:t>
      </w:r>
    </w:p>
    <w:p w14:paraId="0D732DA4" w14:textId="74882685" w:rsidR="00854D98" w:rsidRDefault="00854D98" w:rsidP="00F41196">
      <w:pPr>
        <w:pStyle w:val="Heading3"/>
      </w:pPr>
      <w:bookmarkStart w:id="121" w:name="_Toc227753763"/>
      <w:bookmarkStart w:id="122" w:name="_Toc103679301"/>
      <w:r w:rsidRPr="00D23139">
        <w:t>Specific conditions of registration</w:t>
      </w:r>
      <w:bookmarkEnd w:id="121"/>
      <w:r w:rsidRPr="00D23139">
        <w:t xml:space="preserve"> </w:t>
      </w:r>
      <w:bookmarkEnd w:id="122"/>
    </w:p>
    <w:p w14:paraId="2B4998AD" w14:textId="77777777" w:rsidR="00854108" w:rsidRPr="00854108" w:rsidRDefault="00854108" w:rsidP="00EB49AA">
      <w:pPr>
        <w:pStyle w:val="ListBullet"/>
        <w:rPr>
          <w:lang w:val="en-US"/>
        </w:rPr>
      </w:pPr>
      <w:r w:rsidRPr="00854108">
        <w:rPr>
          <w:lang w:val="en-US"/>
        </w:rPr>
        <w:t>Celldemic (pre-pandemic influenza vaccine) is to be included in the Black Triangle Scheme. The PI and CMI for Celldemic must include the black triangle symbol and mandatory accompanying text for five years, which starts from the date of first supply of the product.</w:t>
      </w:r>
    </w:p>
    <w:p w14:paraId="4172F180" w14:textId="77777777" w:rsidR="00854108" w:rsidRPr="00854108" w:rsidRDefault="00854108" w:rsidP="00EB49AA">
      <w:pPr>
        <w:pStyle w:val="ListBullet"/>
        <w:rPr>
          <w:lang w:val="en-US"/>
        </w:rPr>
      </w:pPr>
      <w:r w:rsidRPr="00854108">
        <w:rPr>
          <w:lang w:val="en-US"/>
        </w:rPr>
        <w:t>The Celldemic EU-Risk Management Plan (RMP) version 0.4 (dated 20 February 2024; DLP 7 January 2022), with Australian Specific Annex (ASA) version 0.2 (dated 19 December 2024), included with submission PM-2024-01545-1-2, and any subsequent revisions, as agreed with the TGA will be implemented in Australia.</w:t>
      </w:r>
    </w:p>
    <w:p w14:paraId="71A78E5E" w14:textId="77777777" w:rsidR="00854108" w:rsidRPr="00854108" w:rsidRDefault="00854108" w:rsidP="00EB49AA">
      <w:pPr>
        <w:pStyle w:val="ListBullet"/>
        <w:rPr>
          <w:lang w:val="en-US"/>
        </w:rPr>
      </w:pPr>
      <w:r w:rsidRPr="00854108">
        <w:rPr>
          <w:lang w:val="en-US"/>
        </w:rPr>
        <w:t>An obligatory component of risk management plans is routine pharmacovigilance. Routine pharmacovigilance includes the submission of periodic safety update reports (PSURs).</w:t>
      </w:r>
    </w:p>
    <w:p w14:paraId="440DA84E" w14:textId="77777777" w:rsidR="00854108" w:rsidRPr="00854108" w:rsidRDefault="00854108" w:rsidP="00EB49AA">
      <w:pPr>
        <w:ind w:left="360"/>
        <w:rPr>
          <w:lang w:val="en-US"/>
        </w:rPr>
      </w:pPr>
      <w:r w:rsidRPr="00854108">
        <w:rPr>
          <w:lang w:val="en-US"/>
        </w:rPr>
        <w:t>Reports are to be provided in line with the current published list of EU reference dates and frequency of submission of PSURs until the period covered by such reports is not less</w:t>
      </w:r>
    </w:p>
    <w:p w14:paraId="5AFE916D" w14:textId="77777777" w:rsidR="00854108" w:rsidRPr="00854108" w:rsidRDefault="00854108" w:rsidP="00EB49AA">
      <w:pPr>
        <w:ind w:left="360"/>
        <w:rPr>
          <w:lang w:val="en-US"/>
        </w:rPr>
      </w:pPr>
      <w:r w:rsidRPr="00854108">
        <w:rPr>
          <w:lang w:val="en-US"/>
        </w:rPr>
        <w:t>than three years from the date of this approval letter. Each report must be submitted within ninety calendar days of the data lock point for that report.</w:t>
      </w:r>
    </w:p>
    <w:p w14:paraId="731DDB4F" w14:textId="77777777" w:rsidR="00854108" w:rsidRPr="00854108" w:rsidRDefault="00854108" w:rsidP="00EB49AA">
      <w:pPr>
        <w:ind w:left="360"/>
        <w:rPr>
          <w:lang w:val="en-US"/>
        </w:rPr>
      </w:pPr>
      <w:r w:rsidRPr="00854108">
        <w:rPr>
          <w:lang w:val="en-U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5B73684C" w14:textId="77777777" w:rsidR="00854108" w:rsidRPr="00854108" w:rsidRDefault="00854108" w:rsidP="00EB49AA">
      <w:pPr>
        <w:pStyle w:val="ListBullet"/>
      </w:pPr>
      <w:r w:rsidRPr="00854108">
        <w:t>Quality</w:t>
      </w:r>
    </w:p>
    <w:p w14:paraId="75751C86" w14:textId="77777777" w:rsidR="00854108" w:rsidRPr="00854108" w:rsidRDefault="00854108" w:rsidP="00EB49AA">
      <w:pPr>
        <w:pStyle w:val="ListBullet2"/>
      </w:pPr>
      <w:r w:rsidRPr="00854108">
        <w:rPr>
          <w:b/>
          <w:bCs/>
        </w:rPr>
        <w:t xml:space="preserve">GMP clearance for listed manufacturers: </w:t>
      </w:r>
      <w:r w:rsidRPr="00854108">
        <w:t>All relevant manufacturing sites require approved and current GMP Clearances prior to Australian supply. A commitment is required from the Sponsor that they maintain the validity of all manufacturer GMP Clearances for the duration of product supply to Australia. Additionally, that adherence to the conditions of GMP Clearance approval is upheld.</w:t>
      </w:r>
    </w:p>
    <w:p w14:paraId="28D4369E" w14:textId="77777777" w:rsidR="00854108" w:rsidRPr="00854108" w:rsidRDefault="00854108" w:rsidP="00EB49AA">
      <w:pPr>
        <w:pStyle w:val="ListBullet2"/>
      </w:pPr>
      <w:r w:rsidRPr="00854108">
        <w:rPr>
          <w:b/>
          <w:bCs/>
        </w:rPr>
        <w:t xml:space="preserve">Post-approval stability protocol and stability commitment: </w:t>
      </w:r>
      <w:r w:rsidRPr="00854108">
        <w:t>The manufacturer has provided commitment to continue the ongoing stability studies presented in the stability studies protocol. Additionally, one (1) batch of drug product per year for all relevant products will be placed on long-term stability program and on accelerated stability testing where significant changes are made to the manufacturing process. The manufacturer has committed to communicate any out of specifications stability test results to the TGA.</w:t>
      </w:r>
    </w:p>
    <w:p w14:paraId="704021A3" w14:textId="77777777" w:rsidR="00854108" w:rsidRPr="00854108" w:rsidRDefault="00854108" w:rsidP="00EB49AA">
      <w:pPr>
        <w:pStyle w:val="ListBullet"/>
      </w:pPr>
      <w:r w:rsidRPr="00854108">
        <w:t>Batch Release Testing and Compliance</w:t>
      </w:r>
    </w:p>
    <w:p w14:paraId="67576D0A" w14:textId="77777777" w:rsidR="00854108" w:rsidRPr="00854108" w:rsidRDefault="00854108" w:rsidP="00854108">
      <w:r w:rsidRPr="00854108">
        <w:t>It is a condition of registration that all independent batches of:</w:t>
      </w:r>
    </w:p>
    <w:p w14:paraId="1FFEF82B" w14:textId="77777777" w:rsidR="00854108" w:rsidRPr="00854108" w:rsidRDefault="00854108" w:rsidP="00EB49AA">
      <w:pPr>
        <w:pStyle w:val="ListBullet2"/>
      </w:pPr>
      <w:r w:rsidRPr="00854108">
        <w:t>Celldemic Pre-pandemic Influenza Vaccine H5N1 (surface antigen, inactivated, adjuvanted) suspension for injection PFS needle-free</w:t>
      </w:r>
    </w:p>
    <w:p w14:paraId="138353CE" w14:textId="77777777" w:rsidR="00854108" w:rsidRPr="00854108" w:rsidRDefault="00854108" w:rsidP="00EB49AA">
      <w:r w:rsidRPr="00854108">
        <w:t>imported into Australia are not released for sale until samples and the manufacturer’s release data have been assessed and you have received notification acknowledging release from the Laboratories Branch, TGA.</w:t>
      </w:r>
    </w:p>
    <w:p w14:paraId="3032B292" w14:textId="77777777" w:rsidR="00854108" w:rsidRPr="00854108" w:rsidRDefault="00854108" w:rsidP="00EB49AA">
      <w:r w:rsidRPr="00854108">
        <w:lastRenderedPageBreak/>
        <w:t>For each independent batch of the product imported into Australia, the Sponsor must supply samples, reagents and standards as described in Seasonal influenza vaccines –quality module (Version 2.0, September 2023) which includes the following:</w:t>
      </w:r>
    </w:p>
    <w:p w14:paraId="23F94F60" w14:textId="77777777" w:rsidR="00854108" w:rsidRPr="00854108" w:rsidRDefault="00854108" w:rsidP="00EB49AA">
      <w:pPr>
        <w:pStyle w:val="ListBullet2"/>
      </w:pPr>
      <w:r w:rsidRPr="00854108">
        <w:t>A completed Request for Release Form, available from vaccines@health.gov.au.</w:t>
      </w:r>
    </w:p>
    <w:p w14:paraId="2E66E287" w14:textId="77777777" w:rsidR="00854108" w:rsidRPr="00854108" w:rsidRDefault="00854108" w:rsidP="00EB49AA">
      <w:pPr>
        <w:pStyle w:val="ListBullet2"/>
      </w:pPr>
      <w:r w:rsidRPr="00854108">
        <w:t>Complete summary protocols for manufacture and QC, including all steps in production in the agreed format.</w:t>
      </w:r>
    </w:p>
    <w:p w14:paraId="3C0D27EA" w14:textId="77777777" w:rsidR="00854108" w:rsidRPr="00854108" w:rsidRDefault="00854108" w:rsidP="00EB49AA">
      <w:pPr>
        <w:pStyle w:val="ListBullet2"/>
      </w:pPr>
      <w:r w:rsidRPr="00854108">
        <w:t>At least 20 (twenty) prefilled syringes (Samples) of each manufacturing batch of the above listed vaccines with the Australian approved labels, PI and packaging (unless an exemption to supply these has been granted) representative of all batches of product seeking distribution in Australia.</w:t>
      </w:r>
    </w:p>
    <w:p w14:paraId="5FC111CD" w14:textId="77777777" w:rsidR="00854108" w:rsidRPr="00854108" w:rsidRDefault="00854108" w:rsidP="00EB49AA">
      <w:pPr>
        <w:pStyle w:val="ListBullet2"/>
      </w:pPr>
      <w:r w:rsidRPr="00854108">
        <w:t>At least 10 (ten) prefilled syringes (Samples) of any further consignments of a manufacturing batch of the above listed vaccines with the Australian approved labels, PI and packaging (unless an exemption to supply these has been granted). Further consignments cover batches previously supplied to TGA for the purposes of batch release testing but are seeking to be supplied again.</w:t>
      </w:r>
    </w:p>
    <w:p w14:paraId="0CD4BE7E" w14:textId="77777777" w:rsidR="00854108" w:rsidRPr="00854108" w:rsidRDefault="00854108" w:rsidP="00EB49AA">
      <w:pPr>
        <w:pStyle w:val="ListBullet2"/>
      </w:pPr>
      <w:r w:rsidRPr="00854108">
        <w:t>Details of reference antigen and antisera to be used for the release testing for each subtype. These details should also be included in the supplied summary protocol.</w:t>
      </w:r>
    </w:p>
    <w:p w14:paraId="589C9328" w14:textId="77777777" w:rsidR="00854108" w:rsidRPr="00854108" w:rsidRDefault="00854108" w:rsidP="00EB49AA">
      <w:pPr>
        <w:pStyle w:val="ListBullet2"/>
      </w:pPr>
      <w:r w:rsidRPr="00854108">
        <w:t>For non-TGA reagents, a minimum of 20 (twenty) vials of reference antigen and 20 (twenty) vials of antisera. Additionally, supply 1 (one) vial of reference antigen and antisera for each batch that is intended for release in Australia.</w:t>
      </w:r>
    </w:p>
    <w:p w14:paraId="09C645E5" w14:textId="77777777" w:rsidR="00854108" w:rsidRPr="00854108" w:rsidRDefault="00854108" w:rsidP="00EB49AA">
      <w:pPr>
        <w:pStyle w:val="ListBullet2"/>
      </w:pPr>
      <w:r w:rsidRPr="00854108">
        <w:t>At least 3 (three) batches of Monovalent Bulk (5 mL) for each strain included in the vaccine. These should be from recent batches and should be provided along with the associated protocol or Certificate of Analysis that states the HA content of the bulk.</w:t>
      </w:r>
    </w:p>
    <w:p w14:paraId="167405EF" w14:textId="77777777" w:rsidR="00854108" w:rsidRPr="00854108" w:rsidRDefault="00854108" w:rsidP="00EB49AA">
      <w:pPr>
        <w:pStyle w:val="ListBullet2"/>
      </w:pPr>
      <w:r w:rsidRPr="00854108">
        <w:t>If the manufacturing batch has been released in Europe or United Kingdom a copy of the EU Official Control Authority Batch Release (OCABR) certificate (or equivalent from the UK) must be provided.</w:t>
      </w:r>
    </w:p>
    <w:p w14:paraId="7C146DF3" w14:textId="77777777" w:rsidR="00854108" w:rsidRPr="00854108" w:rsidRDefault="00854108" w:rsidP="00EB49AA">
      <w:r w:rsidRPr="00854108">
        <w:t>Sponsors must provide all requested Samples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w:t>
      </w:r>
    </w:p>
    <w:p w14:paraId="36CAF219" w14:textId="77777777" w:rsidR="00854108" w:rsidRPr="00854108" w:rsidRDefault="00854108" w:rsidP="00EB49AA">
      <w:r w:rsidRPr="00854108">
        <w:t>Samples and data should be forwarded to the Biotherapeutics Section, Laboratories Branch before release of each batch and with sufficient lead time to allow for Laboratories Branch testing. The address for courier delivery is:</w:t>
      </w:r>
    </w:p>
    <w:p w14:paraId="22B67570" w14:textId="77777777" w:rsidR="00854108" w:rsidRPr="00854108" w:rsidRDefault="00854108" w:rsidP="00910297">
      <w:pPr>
        <w:ind w:left="720"/>
      </w:pPr>
      <w:r w:rsidRPr="00854108">
        <w:t xml:space="preserve">ATTN: Batch Release Coordinator, </w:t>
      </w:r>
    </w:p>
    <w:p w14:paraId="4CC400AF" w14:textId="77777777" w:rsidR="00854108" w:rsidRPr="00854108" w:rsidRDefault="00854108" w:rsidP="00910297">
      <w:pPr>
        <w:ind w:left="720"/>
      </w:pPr>
      <w:r w:rsidRPr="00854108">
        <w:t>Batch Release Unit,</w:t>
      </w:r>
    </w:p>
    <w:p w14:paraId="165B1FDB" w14:textId="77777777" w:rsidR="00854108" w:rsidRPr="00854108" w:rsidRDefault="00854108" w:rsidP="00910297">
      <w:pPr>
        <w:ind w:left="720"/>
      </w:pPr>
      <w:r w:rsidRPr="00854108">
        <w:t>TGA Laboratories Branch,</w:t>
      </w:r>
    </w:p>
    <w:p w14:paraId="68C7831D" w14:textId="77777777" w:rsidR="00910297" w:rsidRDefault="00854108" w:rsidP="00910297">
      <w:pPr>
        <w:ind w:left="720"/>
      </w:pPr>
      <w:r w:rsidRPr="00854108">
        <w:t>1 Tindal Lane,</w:t>
      </w:r>
    </w:p>
    <w:p w14:paraId="306AB6F4" w14:textId="3571C60C" w:rsidR="00854108" w:rsidRPr="00854108" w:rsidRDefault="00854108" w:rsidP="00910297">
      <w:pPr>
        <w:ind w:left="720"/>
      </w:pPr>
      <w:r w:rsidRPr="00854108">
        <w:t>Canberra Airport, ACT 2609.</w:t>
      </w:r>
    </w:p>
    <w:p w14:paraId="004A289C" w14:textId="555A7561" w:rsidR="00854108" w:rsidRPr="00854108" w:rsidRDefault="00854108" w:rsidP="00854108">
      <w:r w:rsidRPr="00854108">
        <w:t>The shipments (including reagents) to TGA are the responsibility of the Australian Sponsor/Agent who will be required to facilitate the import and customs clearance process.</w:t>
      </w:r>
    </w:p>
    <w:p w14:paraId="3804A73D" w14:textId="77777777" w:rsidR="00854108" w:rsidRPr="00854108" w:rsidRDefault="00854108" w:rsidP="00EB49AA">
      <w:pPr>
        <w:pStyle w:val="ListBullet"/>
      </w:pPr>
      <w:r w:rsidRPr="00854108">
        <w:t>Certified Product Details</w:t>
      </w:r>
    </w:p>
    <w:p w14:paraId="25909C57" w14:textId="77777777" w:rsidR="00854108" w:rsidRPr="00854108" w:rsidRDefault="00854108" w:rsidP="00EB49AA">
      <w:pPr>
        <w:rPr>
          <w:lang w:val="en-US"/>
        </w:rPr>
      </w:pPr>
      <w:r w:rsidRPr="00854108">
        <w:t xml:space="preserve">An electronic copy of the Certified Product Details (CPD) as described in Guidance 7: Certified Product Details of the Australian Regulatory Guidelines for Prescription Medicines (ARGPM) </w:t>
      </w:r>
      <w:hyperlink r:id="rId50" w:history="1">
        <w:r w:rsidRPr="00854108">
          <w:rPr>
            <w:rStyle w:val="Hyperlink"/>
          </w:rPr>
          <w:t>https://www.tga.gov.au/guidance-7-certified-product-details</w:t>
        </w:r>
      </w:hyperlink>
      <w:r w:rsidRPr="00854108">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hyperlink r:id="rId51" w:history="1">
        <w:r w:rsidRPr="00854108">
          <w:rPr>
            <w:rStyle w:val="Hyperlink"/>
          </w:rPr>
          <w:t>https://www.tga.gov.au/form/certified-product-details-cpd-biological-prescriptionmedicines</w:t>
        </w:r>
      </w:hyperlink>
      <w:r w:rsidRPr="00854108">
        <w:t>]. The CPD should be sent as a single bookmarked PDF document to Vaccines@health.gov.au as soon as possible after registration/approval of the product or any subsequent changes as indicated above.</w:t>
      </w:r>
    </w:p>
    <w:p w14:paraId="0F9C1952" w14:textId="46BD475E" w:rsidR="00BA657C" w:rsidRPr="00BA657C" w:rsidRDefault="00BA657C" w:rsidP="00910297">
      <w:pPr>
        <w:pStyle w:val="Heading2"/>
      </w:pPr>
      <w:bookmarkStart w:id="123" w:name="_Toc227753764"/>
      <w:bookmarkStart w:id="124" w:name="_Toc196738290"/>
      <w:r w:rsidRPr="00BA657C">
        <w:t>Product Information and Consumer Medicine Information</w:t>
      </w:r>
      <w:bookmarkEnd w:id="123"/>
      <w:r w:rsidRPr="00BA657C">
        <w:t xml:space="preserve"> </w:t>
      </w:r>
      <w:bookmarkEnd w:id="124"/>
    </w:p>
    <w:p w14:paraId="5F276616" w14:textId="6667B73D" w:rsidR="004D0933" w:rsidRPr="004D0933" w:rsidRDefault="004D0933" w:rsidP="004D0933">
      <w:bookmarkStart w:id="125" w:name="_Hlk200021736"/>
      <w:r w:rsidRPr="004D0933">
        <w:t xml:space="preserve">For the most recent Product Information (PI) and Consumer Medicine Information (CMI), please refer to the TGA </w:t>
      </w:r>
      <w:hyperlink r:id="rId52" w:history="1">
        <w:r w:rsidRPr="004D0933">
          <w:rPr>
            <w:rStyle w:val="Hyperlink"/>
          </w:rPr>
          <w:t>PI/CMI search facility.</w:t>
        </w:r>
      </w:hyperlink>
    </w:p>
    <w:bookmarkEnd w:id="125"/>
    <w:p w14:paraId="11222186" w14:textId="77777777" w:rsidR="004D0933" w:rsidRPr="00BD5DBD" w:rsidRDefault="004D0933" w:rsidP="00675F81">
      <w:pPr>
        <w:rPr>
          <w:szCs w:val="22"/>
        </w:rPr>
      </w:pPr>
    </w:p>
    <w:p w14:paraId="53357BF3" w14:textId="276457B5" w:rsidR="00C22214" w:rsidRDefault="00C22214" w:rsidP="00C22214">
      <w:pPr>
        <w:rPr>
          <w:lang w:eastAsia="ja-JP"/>
        </w:rPr>
        <w:sectPr w:rsidR="00C22214" w:rsidSect="007452E8">
          <w:headerReference w:type="default" r:id="rId53"/>
          <w:footerReference w:type="default" r:id="rId5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5"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6"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7"/>
      <w:footerReference w:type="first" r:id="rId5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0DA59" w14:textId="77777777" w:rsidR="003857C7" w:rsidRDefault="003857C7" w:rsidP="00F02AEC">
      <w:pPr>
        <w:spacing w:after="0" w:line="240" w:lineRule="auto"/>
      </w:pPr>
      <w:r>
        <w:separator/>
      </w:r>
    </w:p>
  </w:endnote>
  <w:endnote w:type="continuationSeparator" w:id="0">
    <w:p w14:paraId="383F518E" w14:textId="77777777" w:rsidR="003857C7" w:rsidRDefault="003857C7"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3011"/>
      <w:gridCol w:w="1349"/>
    </w:tblGrid>
    <w:tr w:rsidR="007452E8" w:rsidRPr="00257138" w14:paraId="162D69C2" w14:textId="77777777" w:rsidTr="00E039F9">
      <w:trPr>
        <w:trHeight w:val="132"/>
      </w:trPr>
      <w:tc>
        <w:tcPr>
          <w:tcW w:w="7371" w:type="dxa"/>
          <w:gridSpan w:val="2"/>
          <w:tcBorders>
            <w:top w:val="single" w:sz="4" w:space="0" w:color="auto"/>
          </w:tcBorders>
        </w:tcPr>
        <w:p w14:paraId="1849C07C" w14:textId="17E5643F" w:rsidR="007452E8" w:rsidRPr="00257138" w:rsidRDefault="00E67796" w:rsidP="007452E8">
          <w:pPr>
            <w:pStyle w:val="Footer"/>
          </w:pPr>
          <w:r>
            <w:t xml:space="preserve">AusPAR – Celldemic </w:t>
          </w:r>
          <w:r w:rsidR="00E87463">
            <w:t>–</w:t>
          </w:r>
          <w:r>
            <w:t xml:space="preserve"> Influenz</w:t>
          </w:r>
          <w:r w:rsidR="00E87463">
            <w:t xml:space="preserve">a virus </w:t>
          </w:r>
          <w:r w:rsidR="00794E3D">
            <w:t>haemagglutinin – Seqirus Pty</w:t>
          </w:r>
          <w:r w:rsidR="008F3123">
            <w:t xml:space="preserve"> </w:t>
          </w:r>
          <w:r w:rsidR="00794E3D">
            <w:t xml:space="preserve">Ltd – PM-2024-01545-1-2. Final </w:t>
          </w:r>
          <w:r w:rsidR="009556D4">
            <w:t>– 20 April 2026</w:t>
          </w:r>
        </w:p>
      </w:tc>
      <w:tc>
        <w:tcPr>
          <w:tcW w:w="1349"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2037CCFE" w:rsidR="007452E8" w:rsidRPr="00257138" w:rsidRDefault="007452E8" w:rsidP="007452E8">
          <w:pPr>
            <w:pStyle w:val="Footer"/>
          </w:pPr>
        </w:p>
      </w:tc>
      <w:tc>
        <w:tcPr>
          <w:tcW w:w="4360" w:type="dxa"/>
          <w:gridSpan w:val="2"/>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BEDF14B" w:rsidR="007452E8" w:rsidRPr="004A3084" w:rsidRDefault="00E039F9" w:rsidP="007452E8">
          <w:pPr>
            <w:pStyle w:val="Footer"/>
          </w:pPr>
          <w:r w:rsidRPr="00E039F9">
            <w:t>AusPAR – Celldemic – Influenza virus haemagglutinin – Seqirus Pty Ltd – PM-2024-01545-1-2. Final – 20 April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6E9AD" w14:textId="77777777" w:rsidR="003857C7" w:rsidRDefault="003857C7" w:rsidP="00F02AEC">
      <w:pPr>
        <w:spacing w:after="0" w:line="240" w:lineRule="auto"/>
      </w:pPr>
      <w:r>
        <w:separator/>
      </w:r>
    </w:p>
  </w:footnote>
  <w:footnote w:type="continuationSeparator" w:id="0">
    <w:p w14:paraId="1F5F37FC" w14:textId="77777777" w:rsidR="003857C7" w:rsidRDefault="003857C7" w:rsidP="00F02AEC">
      <w:pPr>
        <w:spacing w:after="0" w:line="240" w:lineRule="auto"/>
      </w:pPr>
      <w:r>
        <w:continuationSeparator/>
      </w:r>
    </w:p>
  </w:footnote>
  <w:footnote w:id="1">
    <w:p w14:paraId="2010E4BE" w14:textId="644C1598" w:rsidR="00F0497A" w:rsidRDefault="00F0497A">
      <w:pPr>
        <w:pStyle w:val="FootnoteText"/>
      </w:pPr>
      <w:r>
        <w:rPr>
          <w:rStyle w:val="FootnoteReference"/>
        </w:rPr>
        <w:footnoteRef/>
      </w:r>
      <w:r>
        <w:t xml:space="preserve"> </w:t>
      </w:r>
      <w:r w:rsidR="0056325D" w:rsidRPr="0056325D">
        <w:rPr>
          <w:lang w:val="en-US"/>
        </w:rPr>
        <w:t>This is the original indication proposed by the sponsor when the TGA commenced the evaluation of this submission. It may differ to the final indication approved by the TGA and registered in the Australian Register of Therapeutic Goods.</w:t>
      </w:r>
    </w:p>
  </w:footnote>
  <w:footnote w:id="2">
    <w:p w14:paraId="3EF6EEFD" w14:textId="2A29C0A5" w:rsidR="002713FD" w:rsidRDefault="002713FD">
      <w:pPr>
        <w:pStyle w:val="FootnoteText"/>
      </w:pPr>
      <w:r>
        <w:rPr>
          <w:rStyle w:val="FootnoteReference"/>
        </w:rPr>
        <w:footnoteRef/>
      </w:r>
      <w:r>
        <w:t xml:space="preserve"> </w:t>
      </w:r>
      <w:r w:rsidR="003577C3" w:rsidRPr="003577C3">
        <w:rPr>
          <w:lang w:val="en-US"/>
        </w:rPr>
        <w:t xml:space="preserve">Rubino, I., &amp; Choi, H. J. (2017). Respiratory Protection against Pandemic and Epidemic Diseases. </w:t>
      </w:r>
      <w:r w:rsidR="003577C3" w:rsidRPr="003577C3">
        <w:rPr>
          <w:i/>
          <w:lang w:val="en-US"/>
        </w:rPr>
        <w:t>Trends in biotechnology</w:t>
      </w:r>
      <w:r w:rsidR="003577C3" w:rsidRPr="003577C3">
        <w:rPr>
          <w:lang w:val="en-US"/>
        </w:rPr>
        <w:t xml:space="preserve">, </w:t>
      </w:r>
      <w:r w:rsidR="003577C3" w:rsidRPr="003577C3">
        <w:rPr>
          <w:i/>
          <w:lang w:val="en-US"/>
        </w:rPr>
        <w:t>35</w:t>
      </w:r>
      <w:r w:rsidR="003577C3" w:rsidRPr="003577C3">
        <w:rPr>
          <w:lang w:val="en-US"/>
        </w:rPr>
        <w:t xml:space="preserve">(10), 907–910. </w:t>
      </w:r>
      <w:hyperlink r:id="rId1">
        <w:r w:rsidR="003577C3" w:rsidRPr="003577C3">
          <w:rPr>
            <w:rStyle w:val="Hyperlink"/>
            <w:lang w:val="en-US"/>
          </w:rPr>
          <w:t>https://doi.org/10.1016/j.tibtech.2017.06.005</w:t>
        </w:r>
      </w:hyperlink>
    </w:p>
  </w:footnote>
  <w:footnote w:id="3">
    <w:p w14:paraId="372DAA68" w14:textId="280ABA9B" w:rsidR="003577C3" w:rsidRDefault="003577C3">
      <w:pPr>
        <w:pStyle w:val="FootnoteText"/>
      </w:pPr>
      <w:r>
        <w:rPr>
          <w:rStyle w:val="FootnoteReference"/>
        </w:rPr>
        <w:footnoteRef/>
      </w:r>
      <w:r>
        <w:t xml:space="preserve"> </w:t>
      </w:r>
      <w:r w:rsidR="00D37C36" w:rsidRPr="00D37C36">
        <w:rPr>
          <w:lang w:val="en-US"/>
        </w:rPr>
        <w:t xml:space="preserve">Webster, R. G., &amp; </w:t>
      </w:r>
      <w:r w:rsidR="00D37C36" w:rsidRPr="00D37C36">
        <w:rPr>
          <w:lang w:val="en-US"/>
        </w:rPr>
        <w:t xml:space="preserve">Govorkova, E. A. (2014). Continuing challenges in influenza. </w:t>
      </w:r>
      <w:r w:rsidR="00D37C36" w:rsidRPr="00D37C36">
        <w:rPr>
          <w:i/>
          <w:lang w:val="en-US"/>
        </w:rPr>
        <w:t>Annals of the New York Academy of Sciences</w:t>
      </w:r>
      <w:r w:rsidR="00D37C36" w:rsidRPr="00D37C36">
        <w:rPr>
          <w:lang w:val="en-US"/>
        </w:rPr>
        <w:t xml:space="preserve">, </w:t>
      </w:r>
      <w:r w:rsidR="00D37C36" w:rsidRPr="00D37C36">
        <w:rPr>
          <w:i/>
          <w:lang w:val="en-US"/>
        </w:rPr>
        <w:t>1323</w:t>
      </w:r>
      <w:r w:rsidR="00D37C36" w:rsidRPr="00D37C36">
        <w:rPr>
          <w:lang w:val="en-US"/>
        </w:rPr>
        <w:t xml:space="preserve">(1), 115–139. </w:t>
      </w:r>
      <w:hyperlink r:id="rId2">
        <w:r w:rsidR="00D37C36" w:rsidRPr="00D37C36">
          <w:rPr>
            <w:rStyle w:val="Hyperlink"/>
            <w:lang w:val="en-US"/>
          </w:rPr>
          <w:t>https://doi.org/10.1111/nyas.12462</w:t>
        </w:r>
      </w:hyperlink>
    </w:p>
  </w:footnote>
  <w:footnote w:id="4">
    <w:p w14:paraId="73A3D1E2" w14:textId="663296F6" w:rsidR="00D37C36" w:rsidRDefault="00D37C36">
      <w:pPr>
        <w:pStyle w:val="FootnoteText"/>
      </w:pPr>
      <w:r>
        <w:rPr>
          <w:rStyle w:val="FootnoteReference"/>
        </w:rPr>
        <w:footnoteRef/>
      </w:r>
      <w:r>
        <w:t xml:space="preserve"> </w:t>
      </w:r>
      <w:r w:rsidR="00641496" w:rsidRPr="00641496">
        <w:rPr>
          <w:lang w:val="en-US"/>
        </w:rPr>
        <w:t xml:space="preserve">WHO (2014) How Pandemic influenza emerges. </w:t>
      </w:r>
      <w:hyperlink r:id="rId3">
        <w:r w:rsidR="00641496" w:rsidRPr="00641496">
          <w:rPr>
            <w:rStyle w:val="Hyperlink"/>
            <w:lang w:val="en-US"/>
          </w:rPr>
          <w:t>How pandemic influenza emerges</w:t>
        </w:r>
      </w:hyperlink>
    </w:p>
  </w:footnote>
  <w:footnote w:id="5">
    <w:p w14:paraId="18E8D04D" w14:textId="112809E5" w:rsidR="009449AF" w:rsidRDefault="009449AF">
      <w:pPr>
        <w:pStyle w:val="FootnoteText"/>
      </w:pPr>
      <w:r>
        <w:rPr>
          <w:rStyle w:val="FootnoteReference"/>
        </w:rPr>
        <w:footnoteRef/>
      </w:r>
      <w:r>
        <w:t xml:space="preserve"> </w:t>
      </w:r>
      <w:hyperlink r:id="rId4">
        <w:r w:rsidR="00E90FE2" w:rsidRPr="00E90FE2">
          <w:rPr>
            <w:rStyle w:val="Hyperlink"/>
            <w:lang w:val="en-US"/>
          </w:rPr>
          <w:t>Panvax H5N8 pre-pandemic, Pre-pandemic influenza vaccine (split-virion, inactivated) 10 mL multi-dose injection vial</w:t>
        </w:r>
      </w:hyperlink>
      <w:r w:rsidR="00E90FE2" w:rsidRPr="00E90FE2">
        <w:rPr>
          <w:lang w:val="en-US"/>
        </w:rPr>
        <w:t xml:space="preserve"> </w:t>
      </w:r>
      <w:hyperlink r:id="rId5">
        <w:r w:rsidR="00E90FE2" w:rsidRPr="00E90FE2">
          <w:rPr>
            <w:rStyle w:val="Hyperlink"/>
            <w:lang w:val="en-US"/>
          </w:rPr>
          <w:t>(421511) | Therapeutic Goods Administration (TGA)</w:t>
        </w:r>
      </w:hyperlink>
    </w:p>
  </w:footnote>
  <w:footnote w:id="6">
    <w:p w14:paraId="5B2F654E" w14:textId="78CD9DE3" w:rsidR="008405AC" w:rsidRDefault="008405AC">
      <w:pPr>
        <w:pStyle w:val="FootnoteText"/>
      </w:pPr>
      <w:r>
        <w:rPr>
          <w:rStyle w:val="FootnoteReference"/>
        </w:rPr>
        <w:footnoteRef/>
      </w:r>
      <w:r>
        <w:t xml:space="preserve"> </w:t>
      </w:r>
      <w:hyperlink r:id="rId6">
        <w:r w:rsidR="001A1330" w:rsidRPr="001A1330">
          <w:rPr>
            <w:rStyle w:val="Hyperlink"/>
            <w:lang w:val="en-US"/>
          </w:rPr>
          <w:t>PANVAX H1N1 VACCINE, H1N1 pandemic influenza vaccine (split-virion, inactivated) 0.5mL injection pre-filled syringe</w:t>
        </w:r>
      </w:hyperlink>
      <w:r w:rsidR="001A1330" w:rsidRPr="001A1330">
        <w:rPr>
          <w:lang w:val="en-US"/>
        </w:rPr>
        <w:t xml:space="preserve"> </w:t>
      </w:r>
      <w:hyperlink r:id="rId7">
        <w:r w:rsidR="001A1330" w:rsidRPr="001A1330">
          <w:rPr>
            <w:rStyle w:val="Hyperlink"/>
            <w:lang w:val="en-US"/>
          </w:rPr>
          <w:t>(163900) | Therapeutic Goods Administration (TGA)</w:t>
        </w:r>
      </w:hyperlink>
    </w:p>
  </w:footnote>
  <w:footnote w:id="7">
    <w:p w14:paraId="7244183E" w14:textId="26F06BFC" w:rsidR="001A1330" w:rsidRDefault="001A1330">
      <w:pPr>
        <w:pStyle w:val="FootnoteText"/>
      </w:pPr>
      <w:r>
        <w:rPr>
          <w:rStyle w:val="FootnoteReference"/>
        </w:rPr>
        <w:footnoteRef/>
      </w:r>
      <w:r>
        <w:t xml:space="preserve"> </w:t>
      </w:r>
      <w:hyperlink r:id="rId8">
        <w:r w:rsidR="00F75A47" w:rsidRPr="00F75A47">
          <w:rPr>
            <w:rStyle w:val="Hyperlink"/>
            <w:lang w:val="en-US"/>
          </w:rPr>
          <w:t>PANVAX H1N1 VACCINE, H1N1 pandemic influenza vaccine (split-virion, inactivated) 10mL multi-dose injection vial</w:t>
        </w:r>
      </w:hyperlink>
      <w:r w:rsidR="00F75A47" w:rsidRPr="00F75A47">
        <w:rPr>
          <w:lang w:val="en-US"/>
        </w:rPr>
        <w:t xml:space="preserve"> </w:t>
      </w:r>
      <w:hyperlink r:id="rId9">
        <w:r w:rsidR="00F75A47" w:rsidRPr="00F75A47">
          <w:rPr>
            <w:rStyle w:val="Hyperlink"/>
            <w:lang w:val="en-US"/>
          </w:rPr>
          <w:t>(163897) | Therapeutic Goods Administration (TGA)</w:t>
        </w:r>
      </w:hyperlink>
    </w:p>
  </w:footnote>
  <w:footnote w:id="8">
    <w:p w14:paraId="0B664692" w14:textId="25C76927" w:rsidR="000463D2" w:rsidRDefault="000463D2">
      <w:pPr>
        <w:pStyle w:val="FootnoteText"/>
      </w:pPr>
      <w:r>
        <w:rPr>
          <w:rStyle w:val="FootnoteReference"/>
        </w:rPr>
        <w:footnoteRef/>
      </w:r>
      <w:r>
        <w:t xml:space="preserve"> </w:t>
      </w:r>
      <w:hyperlink r:id="rId10">
        <w:r w:rsidR="00EA5CE9" w:rsidRPr="00EA5CE9">
          <w:rPr>
            <w:rStyle w:val="Hyperlink"/>
            <w:lang w:val="en-US"/>
          </w:rPr>
          <w:t>PANVAX H1N1 VACCINE, H1N1 pandemic influenza vaccine (split-virion, inactivated) 5mL multi-dose injection vial</w:t>
        </w:r>
      </w:hyperlink>
      <w:r w:rsidR="00EA5CE9" w:rsidRPr="00EA5CE9">
        <w:rPr>
          <w:lang w:val="en-US"/>
        </w:rPr>
        <w:t xml:space="preserve"> </w:t>
      </w:r>
      <w:hyperlink r:id="rId11">
        <w:r w:rsidR="00EA5CE9" w:rsidRPr="00EA5CE9">
          <w:rPr>
            <w:rStyle w:val="Hyperlink"/>
            <w:lang w:val="en-US"/>
          </w:rPr>
          <w:t>(165345) | Therapeutic Goods Administration (TGA)</w:t>
        </w:r>
      </w:hyperlink>
    </w:p>
  </w:footnote>
  <w:footnote w:id="9">
    <w:p w14:paraId="06C9330A" w14:textId="7314A33D" w:rsidR="00EA5CE9" w:rsidRDefault="00EA5CE9">
      <w:pPr>
        <w:pStyle w:val="FootnoteText"/>
      </w:pPr>
      <w:r>
        <w:rPr>
          <w:rStyle w:val="FootnoteReference"/>
        </w:rPr>
        <w:footnoteRef/>
      </w:r>
      <w:r>
        <w:t xml:space="preserve"> </w:t>
      </w:r>
      <w:hyperlink r:id="rId12">
        <w:r w:rsidR="004612F7" w:rsidRPr="004612F7">
          <w:rPr>
            <w:rStyle w:val="Hyperlink"/>
            <w:lang w:val="en-US"/>
          </w:rPr>
          <w:t>PANVAX H1N1 VACCINE JUNIOR H1N1 pandemic influenza vaccine (split-virion, inactivated) 0.25mL suspension for</w:t>
        </w:r>
      </w:hyperlink>
      <w:r w:rsidR="004612F7" w:rsidRPr="004612F7">
        <w:rPr>
          <w:lang w:val="en-US"/>
        </w:rPr>
        <w:t xml:space="preserve"> </w:t>
      </w:r>
      <w:hyperlink r:id="rId13">
        <w:r w:rsidR="004612F7" w:rsidRPr="004612F7">
          <w:rPr>
            <w:rStyle w:val="Hyperlink"/>
            <w:lang w:val="en-US"/>
          </w:rPr>
          <w:t>injection pre-filled syringe (166312) | Therapeutic Goods Administration (TGA)</w:t>
        </w:r>
      </w:hyperlink>
    </w:p>
  </w:footnote>
  <w:footnote w:id="10">
    <w:p w14:paraId="4987C7D9" w14:textId="13B25D86" w:rsidR="004612F7" w:rsidRDefault="004612F7">
      <w:pPr>
        <w:pStyle w:val="FootnoteText"/>
      </w:pPr>
      <w:r>
        <w:rPr>
          <w:rStyle w:val="FootnoteReference"/>
        </w:rPr>
        <w:footnoteRef/>
      </w:r>
      <w:r>
        <w:t xml:space="preserve"> </w:t>
      </w:r>
      <w:hyperlink r:id="rId14">
        <w:r w:rsidR="00885407" w:rsidRPr="00885407">
          <w:rPr>
            <w:rStyle w:val="Hyperlink"/>
            <w:lang w:val="en-US"/>
          </w:rPr>
          <w:t>PANVAX pandemic influenza vaccine, adjuvanted 10 ml suspension for injection vial (137704) | Therapeutic Goods</w:t>
        </w:r>
      </w:hyperlink>
      <w:r w:rsidR="00885407" w:rsidRPr="00885407">
        <w:rPr>
          <w:lang w:val="en-US"/>
        </w:rPr>
        <w:t xml:space="preserve"> </w:t>
      </w:r>
      <w:hyperlink r:id="rId15">
        <w:r w:rsidR="00885407" w:rsidRPr="00885407">
          <w:rPr>
            <w:rStyle w:val="Hyperlink"/>
            <w:lang w:val="en-US"/>
          </w:rPr>
          <w:t>Administration (TGA)</w:t>
        </w:r>
      </w:hyperlink>
    </w:p>
  </w:footnote>
  <w:footnote w:id="11">
    <w:p w14:paraId="0AFC6A53" w14:textId="30DEE75F" w:rsidR="00EB5552" w:rsidRDefault="00EB5552">
      <w:pPr>
        <w:pStyle w:val="FootnoteText"/>
      </w:pPr>
      <w:r>
        <w:rPr>
          <w:rStyle w:val="FootnoteReference"/>
        </w:rPr>
        <w:footnoteRef/>
      </w:r>
      <w:r>
        <w:t xml:space="preserve"> </w:t>
      </w:r>
      <w:hyperlink r:id="rId16">
        <w:r w:rsidR="00CC010E" w:rsidRPr="00CC010E">
          <w:rPr>
            <w:rStyle w:val="Hyperlink"/>
            <w:lang w:val="en-US"/>
          </w:rPr>
          <w:t>Incellipan | European Medicines Agency (EMA)</w:t>
        </w:r>
      </w:hyperlink>
    </w:p>
  </w:footnote>
  <w:footnote w:id="12">
    <w:p w14:paraId="110E845E" w14:textId="7782E4A1" w:rsidR="00CC010E" w:rsidRDefault="00CC010E">
      <w:pPr>
        <w:pStyle w:val="FootnoteText"/>
      </w:pPr>
      <w:r>
        <w:rPr>
          <w:rStyle w:val="FootnoteReference"/>
        </w:rPr>
        <w:footnoteRef/>
      </w:r>
      <w:r>
        <w:t xml:space="preserve"> </w:t>
      </w:r>
      <w:hyperlink r:id="rId17">
        <w:r w:rsidR="00441C23" w:rsidRPr="00441C23">
          <w:rPr>
            <w:rStyle w:val="Hyperlink"/>
            <w:lang w:val="en-US"/>
          </w:rPr>
          <w:t>Celldemic | European Medicines Agency (EMA)</w:t>
        </w:r>
      </w:hyperlink>
    </w:p>
  </w:footnote>
  <w:footnote w:id="13">
    <w:p w14:paraId="730C06D1" w14:textId="21081B40" w:rsidR="00A8291A" w:rsidRDefault="00A8291A">
      <w:pPr>
        <w:pStyle w:val="FootnoteText"/>
      </w:pPr>
      <w:r>
        <w:rPr>
          <w:rStyle w:val="FootnoteReference"/>
        </w:rPr>
        <w:footnoteRef/>
      </w:r>
      <w:r>
        <w:t xml:space="preserve"> </w:t>
      </w:r>
      <w:hyperlink r:id="rId18">
        <w:r w:rsidRPr="00A8291A">
          <w:rPr>
            <w:rStyle w:val="Hyperlink"/>
            <w:lang w:val="en-US"/>
          </w:rPr>
          <w:t>AUDENZ | FDA</w:t>
        </w:r>
      </w:hyperlink>
    </w:p>
  </w:footnote>
  <w:footnote w:id="14">
    <w:p w14:paraId="5010B860" w14:textId="79B587F2" w:rsidR="000B3E42" w:rsidRDefault="000B3E42">
      <w:pPr>
        <w:pStyle w:val="FootnoteText"/>
      </w:pPr>
      <w:r>
        <w:rPr>
          <w:rStyle w:val="FootnoteReference"/>
        </w:rPr>
        <w:footnoteRef/>
      </w:r>
      <w:r>
        <w:t xml:space="preserve"> </w:t>
      </w:r>
      <w:r w:rsidR="004F4CE3" w:rsidRPr="004F4CE3">
        <w:rPr>
          <w:lang w:val="en-US"/>
        </w:rPr>
        <w:t xml:space="preserve">Peterson, J., Van </w:t>
      </w:r>
      <w:r w:rsidR="004F4CE3" w:rsidRPr="004F4CE3">
        <w:rPr>
          <w:lang w:val="en-US"/>
        </w:rPr>
        <w:t xml:space="preserve">Twuijver, E., Versage, E., &amp; Hohenboken, M. (2022). Phase 3 Randomized, Multicenter, Placebo-Controlled Study to Evaluate Safety, Immunogenicity, and Lot-to-Lot Consistency of an Adjuvanted Cell Culture-Derived, H5N1 Subunit Influenza Virus Vaccine in Healthy Adult Subjects. </w:t>
      </w:r>
      <w:r w:rsidR="004F4CE3" w:rsidRPr="004F4CE3">
        <w:rPr>
          <w:i/>
          <w:lang w:val="en-US"/>
        </w:rPr>
        <w:t>Vaccines</w:t>
      </w:r>
      <w:r w:rsidR="004F4CE3" w:rsidRPr="004F4CE3">
        <w:rPr>
          <w:lang w:val="en-US"/>
        </w:rPr>
        <w:t xml:space="preserve">, </w:t>
      </w:r>
      <w:r w:rsidR="004F4CE3" w:rsidRPr="004F4CE3">
        <w:rPr>
          <w:i/>
          <w:lang w:val="en-US"/>
        </w:rPr>
        <w:t>10</w:t>
      </w:r>
      <w:r w:rsidR="004F4CE3" w:rsidRPr="004F4CE3">
        <w:rPr>
          <w:lang w:val="en-US"/>
        </w:rPr>
        <w:t xml:space="preserve">(4), 497. </w:t>
      </w:r>
      <w:hyperlink r:id="rId19">
        <w:r w:rsidR="004F4CE3" w:rsidRPr="004F4CE3">
          <w:rPr>
            <w:rStyle w:val="Hyperlink"/>
            <w:lang w:val="en-US"/>
          </w:rPr>
          <w:t>https://doi.org/10.3390/vaccines10040497</w:t>
        </w:r>
      </w:hyperlink>
    </w:p>
  </w:footnote>
  <w:footnote w:id="15">
    <w:p w14:paraId="5252DC19" w14:textId="3A5E37F1" w:rsidR="00203321" w:rsidRDefault="00203321">
      <w:pPr>
        <w:pStyle w:val="FootnoteText"/>
      </w:pPr>
      <w:r>
        <w:rPr>
          <w:rStyle w:val="FootnoteReference"/>
        </w:rPr>
        <w:footnoteRef/>
      </w:r>
      <w:r>
        <w:t xml:space="preserve"> </w:t>
      </w:r>
      <w:r w:rsidR="0061377C" w:rsidRPr="0061377C">
        <w:rPr>
          <w:lang w:val="en-US"/>
        </w:rPr>
        <w:t xml:space="preserve">European Medicines Agency (EMA) (2024) </w:t>
      </w:r>
      <w:r w:rsidR="0061377C" w:rsidRPr="0061377C">
        <w:rPr>
          <w:lang w:val="en-US"/>
        </w:rPr>
        <w:t xml:space="preserve">Incellipan (pandemic influenza vaccine (H5N1) (surface antigen, inactivated, adjuvanted, prepared in cell cultures) </w:t>
      </w:r>
      <w:hyperlink r:id="rId20">
        <w:r w:rsidR="0061377C" w:rsidRPr="0061377C">
          <w:rPr>
            <w:rStyle w:val="Hyperlink"/>
            <w:lang w:val="en-US"/>
          </w:rPr>
          <w:t>https://www.ema.europa.eu/en/documents/overview/incellipan-epar-medicine-</w:t>
        </w:r>
      </w:hyperlink>
      <w:hyperlink r:id="rId21">
        <w:r w:rsidR="0061377C" w:rsidRPr="0061377C">
          <w:rPr>
            <w:rStyle w:val="Hyperlink"/>
            <w:lang w:val="en-US"/>
          </w:rPr>
          <w:t>overview_en.pdf</w:t>
        </w:r>
      </w:hyperlink>
    </w:p>
  </w:footnote>
  <w:footnote w:id="16">
    <w:p w14:paraId="27295D04" w14:textId="72AC2EAD" w:rsidR="00225295" w:rsidRDefault="00225295">
      <w:pPr>
        <w:pStyle w:val="FootnoteText"/>
      </w:pPr>
      <w:r>
        <w:rPr>
          <w:rStyle w:val="FootnoteReference"/>
        </w:rPr>
        <w:footnoteRef/>
      </w:r>
      <w:r>
        <w:t xml:space="preserve"> </w:t>
      </w:r>
      <w:r w:rsidR="00766FC9" w:rsidRPr="00766FC9">
        <w:rPr>
          <w:lang w:val="en-US"/>
        </w:rPr>
        <w:t xml:space="preserve">A Study to Evaluate Safety and Immunogenicity of One or Two Booster Vaccinations with H5N6 Influenza Vaccine in Adults Primed with H5N1 Influenza Vaccine or Unprimed. </w:t>
      </w:r>
      <w:hyperlink r:id="rId22" w:anchor="more-information">
        <w:r w:rsidR="00766FC9" w:rsidRPr="00766FC9">
          <w:rPr>
            <w:rStyle w:val="Hyperlink"/>
            <w:lang w:val="en-US"/>
          </w:rPr>
          <w:t>https://clinicaltrials.gov/study/NCT05422326#more-</w:t>
        </w:r>
      </w:hyperlink>
      <w:hyperlink r:id="rId23" w:anchor="more-information">
        <w:r w:rsidR="00766FC9" w:rsidRPr="00766FC9">
          <w:rPr>
            <w:rStyle w:val="Hyperlink"/>
            <w:lang w:val="en-US"/>
          </w:rPr>
          <w:t>information</w:t>
        </w:r>
      </w:hyperlink>
    </w:p>
  </w:footnote>
  <w:footnote w:id="17">
    <w:p w14:paraId="0B004956" w14:textId="0D550F70" w:rsidR="006515D5" w:rsidRDefault="006515D5">
      <w:pPr>
        <w:pStyle w:val="FootnoteText"/>
      </w:pPr>
      <w:r>
        <w:rPr>
          <w:rStyle w:val="FootnoteReference"/>
        </w:rPr>
        <w:footnoteRef/>
      </w:r>
      <w:r>
        <w:t xml:space="preserve"> </w:t>
      </w:r>
      <w:r w:rsidR="007C36A4" w:rsidRPr="007C36A4">
        <w:rPr>
          <w:lang w:val="en-US"/>
        </w:rPr>
        <w:t xml:space="preserve">Chanthavanich, P., Versage, E., Van Twuijver, E., &amp; Hohenboken, M. (2021). Antibody responses against heterologous A/H5N1 strains for an MF59-adjuvanted cell culture-derived A/H5N1 (aH5N1c) influenza vaccine in healthy pediatric subjects. </w:t>
      </w:r>
      <w:r w:rsidR="007C36A4" w:rsidRPr="007C36A4">
        <w:rPr>
          <w:i/>
          <w:lang w:val="en-US"/>
        </w:rPr>
        <w:t>Vaccine</w:t>
      </w:r>
      <w:r w:rsidR="007C36A4" w:rsidRPr="007C36A4">
        <w:rPr>
          <w:lang w:val="en-US"/>
        </w:rPr>
        <w:t xml:space="preserve">, </w:t>
      </w:r>
      <w:r w:rsidR="007C36A4" w:rsidRPr="007C36A4">
        <w:rPr>
          <w:i/>
          <w:lang w:val="en-US"/>
        </w:rPr>
        <w:t>39</w:t>
      </w:r>
      <w:r w:rsidR="007C36A4" w:rsidRPr="007C36A4">
        <w:rPr>
          <w:lang w:val="en-US"/>
        </w:rPr>
        <w:t xml:space="preserve">(47), 6930–6935. </w:t>
      </w:r>
      <w:hyperlink r:id="rId24">
        <w:r w:rsidR="007C36A4" w:rsidRPr="007C36A4">
          <w:rPr>
            <w:rStyle w:val="Hyperlink"/>
            <w:lang w:val="en-US"/>
          </w:rPr>
          <w:t>https://doi.org/10.1016/j.vaccine.2021.10.010</w:t>
        </w:r>
      </w:hyperlink>
    </w:p>
  </w:footnote>
  <w:footnote w:id="18">
    <w:p w14:paraId="5FD1F008" w14:textId="23F488D1" w:rsidR="007C36A4" w:rsidRDefault="007C36A4">
      <w:pPr>
        <w:pStyle w:val="FootnoteText"/>
      </w:pPr>
      <w:r>
        <w:rPr>
          <w:rStyle w:val="FootnoteReference"/>
        </w:rPr>
        <w:footnoteRef/>
      </w:r>
      <w:r>
        <w:t xml:space="preserve"> </w:t>
      </w:r>
      <w:r w:rsidR="000E4C05" w:rsidRPr="000E4C05">
        <w:rPr>
          <w:lang w:val="en-US"/>
        </w:rPr>
        <w:t xml:space="preserve">Chanthavanich, P., Anderson, E., Kerdpanich, P., Bulitta, M., Kanesa-Thasan, N., &amp; Hohenboken, M. (2019). Safety, Tolerability and Immunogenicity of an MF59-adjuvanted, Cell Culture-derived, A/H5N1, Subunit Influenza Virus Vaccine: Results </w:t>
      </w:r>
      <w:r w:rsidR="000E4C05" w:rsidRPr="000E4C05">
        <w:rPr>
          <w:lang w:val="en-US"/>
        </w:rPr>
        <w:t xml:space="preserve">From a Dose-finding Clinical Trial in Healthy Pediatric Subjects. </w:t>
      </w:r>
      <w:r w:rsidR="000E4C05" w:rsidRPr="000E4C05">
        <w:rPr>
          <w:i/>
          <w:lang w:val="en-US"/>
        </w:rPr>
        <w:t>The Pediatric infectious disease journal</w:t>
      </w:r>
      <w:r w:rsidR="000E4C05" w:rsidRPr="000E4C05">
        <w:rPr>
          <w:lang w:val="en-US"/>
        </w:rPr>
        <w:t xml:space="preserve">, </w:t>
      </w:r>
      <w:r w:rsidR="000E4C05" w:rsidRPr="000E4C05">
        <w:rPr>
          <w:i/>
          <w:lang w:val="en-US"/>
        </w:rPr>
        <w:t>38</w:t>
      </w:r>
      <w:r w:rsidR="000E4C05" w:rsidRPr="000E4C05">
        <w:rPr>
          <w:lang w:val="en-US"/>
        </w:rPr>
        <w:t xml:space="preserve">(7), 757–764. </w:t>
      </w:r>
      <w:hyperlink r:id="rId25">
        <w:r w:rsidR="000E4C05" w:rsidRPr="000E4C05">
          <w:rPr>
            <w:rStyle w:val="Hyperlink"/>
            <w:lang w:val="en-US"/>
          </w:rPr>
          <w:t>https://doi.org/10.1097/INF.0000000000002345</w:t>
        </w:r>
      </w:hyperlink>
    </w:p>
  </w:footnote>
  <w:footnote w:id="19">
    <w:p w14:paraId="16781D97" w14:textId="661E932D" w:rsidR="00130DCA" w:rsidRDefault="00130DCA">
      <w:pPr>
        <w:pStyle w:val="FootnoteText"/>
      </w:pPr>
      <w:r>
        <w:rPr>
          <w:rStyle w:val="FootnoteReference"/>
        </w:rPr>
        <w:footnoteRef/>
      </w:r>
      <w:r>
        <w:t xml:space="preserve"> </w:t>
      </w:r>
      <w:r w:rsidR="00002810" w:rsidRPr="00002810">
        <w:rPr>
          <w:lang w:val="en-US"/>
        </w:rPr>
        <w:t xml:space="preserve">Frey, S. E., Shakib, S., </w:t>
      </w:r>
      <w:r w:rsidR="00002810" w:rsidRPr="00002810">
        <w:rPr>
          <w:lang w:val="en-US"/>
        </w:rPr>
        <w:t xml:space="preserve">Chanthavanich, P., Richmond, P., Smith, T., Tantawichien, T., Kittel, C., Jaehnig, P., Mojares, Z., Verma, B., Kanesa-Thasan, N., &amp; Hohenboken, M. (2019). Safety and Immunogenicity of MF59-Adjuvanted Cell Culture-Derived A/H5N1 Subunit Influenza Virus Vaccine: Dose-Finding Clinical Trials in Adults and the Elderly. </w:t>
      </w:r>
      <w:r w:rsidR="00002810" w:rsidRPr="00002810">
        <w:rPr>
          <w:i/>
          <w:lang w:val="en-US"/>
        </w:rPr>
        <w:t>Open forum infectious diseases</w:t>
      </w:r>
      <w:r w:rsidR="00002810" w:rsidRPr="00002810">
        <w:rPr>
          <w:lang w:val="en-US"/>
        </w:rPr>
        <w:t xml:space="preserve">, </w:t>
      </w:r>
      <w:r w:rsidR="00002810" w:rsidRPr="00002810">
        <w:rPr>
          <w:i/>
          <w:lang w:val="en-US"/>
        </w:rPr>
        <w:t>6</w:t>
      </w:r>
      <w:r w:rsidR="00002810" w:rsidRPr="00002810">
        <w:rPr>
          <w:lang w:val="en-US"/>
        </w:rPr>
        <w:t xml:space="preserve">(4), ofz107. </w:t>
      </w:r>
      <w:hyperlink r:id="rId26">
        <w:r w:rsidR="00002810" w:rsidRPr="00002810">
          <w:rPr>
            <w:rStyle w:val="Hyperlink"/>
            <w:lang w:val="en-US"/>
          </w:rPr>
          <w:t>https://doi.org/10.1093/ofid/ofz107</w:t>
        </w:r>
      </w:hyperlink>
    </w:p>
  </w:footnote>
  <w:footnote w:id="20">
    <w:p w14:paraId="0BF966E1" w14:textId="45596258" w:rsidR="00002810" w:rsidRDefault="00002810">
      <w:pPr>
        <w:pStyle w:val="FootnoteText"/>
      </w:pPr>
      <w:r>
        <w:rPr>
          <w:rStyle w:val="FootnoteReference"/>
        </w:rPr>
        <w:footnoteRef/>
      </w:r>
      <w:r>
        <w:t xml:space="preserve"> </w:t>
      </w:r>
      <w:r w:rsidR="00A870F8" w:rsidRPr="00A870F8">
        <w:rPr>
          <w:lang w:val="en-US"/>
        </w:rPr>
        <w:t xml:space="preserve">Frey, S. S., Versage, E., Van </w:t>
      </w:r>
      <w:r w:rsidR="00A870F8" w:rsidRPr="00A870F8">
        <w:rPr>
          <w:lang w:val="en-US"/>
        </w:rPr>
        <w:t xml:space="preserve">Twuijver, E., &amp; Hohenboken, M. (2023). Antibody responses against heterologous H5N1 strains for an MF59-adjuvanted cell culture–derived H5N1 (aH5n1c) influenza vaccine in adults and older adults. </w:t>
      </w:r>
      <w:r w:rsidR="00A870F8" w:rsidRPr="00A870F8">
        <w:rPr>
          <w:i/>
          <w:lang w:val="en-US"/>
        </w:rPr>
        <w:t>Human Vaccines &amp;amp; Immunotherapeutics</w:t>
      </w:r>
      <w:r w:rsidR="00A870F8" w:rsidRPr="00A870F8">
        <w:rPr>
          <w:lang w:val="en-US"/>
        </w:rPr>
        <w:t xml:space="preserve">, </w:t>
      </w:r>
      <w:r w:rsidR="00A870F8" w:rsidRPr="00A870F8">
        <w:rPr>
          <w:i/>
          <w:lang w:val="en-US"/>
        </w:rPr>
        <w:t>19</w:t>
      </w:r>
      <w:r w:rsidR="00A870F8" w:rsidRPr="00A870F8">
        <w:rPr>
          <w:lang w:val="en-US"/>
        </w:rPr>
        <w:t xml:space="preserve">(1). </w:t>
      </w:r>
      <w:hyperlink r:id="rId27">
        <w:r w:rsidR="00A870F8" w:rsidRPr="00A870F8">
          <w:rPr>
            <w:rStyle w:val="Hyperlink"/>
            <w:lang w:val="en-US"/>
          </w:rPr>
          <w:t>https://doi.org/10.1080/21645515.2023.2193119</w:t>
        </w:r>
      </w:hyperlink>
    </w:p>
  </w:footnote>
  <w:footnote w:id="21">
    <w:p w14:paraId="1A716C44" w14:textId="13D69626" w:rsidR="00942746" w:rsidRDefault="00942746">
      <w:pPr>
        <w:pStyle w:val="FootnoteText"/>
      </w:pPr>
      <w:r>
        <w:rPr>
          <w:rStyle w:val="FootnoteReference"/>
        </w:rPr>
        <w:footnoteRef/>
      </w:r>
      <w:r>
        <w:t xml:space="preserve"> </w:t>
      </w:r>
      <w:r w:rsidR="00992743" w:rsidRPr="00992743">
        <w:rPr>
          <w:lang w:val="en-US"/>
        </w:rPr>
        <w:t xml:space="preserve">EMA Public assessment report CELLDEMIC. </w:t>
      </w:r>
      <w:hyperlink r:id="rId28">
        <w:r w:rsidR="00992743" w:rsidRPr="00992743">
          <w:rPr>
            <w:rStyle w:val="Hyperlink"/>
            <w:lang w:val="en-US"/>
          </w:rPr>
          <w:t>https://www.ema.europa.eu/en/documents/assessment-report/celldemic-</w:t>
        </w:r>
      </w:hyperlink>
      <w:hyperlink r:id="rId29">
        <w:r w:rsidR="00992743" w:rsidRPr="00992743">
          <w:rPr>
            <w:rStyle w:val="Hyperlink"/>
            <w:lang w:val="en-US"/>
          </w:rPr>
          <w:t>epar-public-assessment-report_en.pdf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4A45C0"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41B64"/>
    <w:multiLevelType w:val="hybridMultilevel"/>
    <w:tmpl w:val="F8D0FE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08E3CA5"/>
    <w:multiLevelType w:val="hybridMultilevel"/>
    <w:tmpl w:val="A70034C0"/>
    <w:lvl w:ilvl="0" w:tplc="2B8CDDA0">
      <w:numFmt w:val="bullet"/>
      <w:lvlText w:val="•"/>
      <w:lvlJc w:val="left"/>
      <w:pPr>
        <w:ind w:left="503" w:hanging="361"/>
      </w:pPr>
      <w:rPr>
        <w:rFonts w:ascii="Cambria" w:eastAsia="Cambria" w:hAnsi="Cambria" w:cs="Cambria" w:hint="default"/>
        <w:b w:val="0"/>
        <w:bCs w:val="0"/>
        <w:i w:val="0"/>
        <w:iCs w:val="0"/>
        <w:spacing w:val="0"/>
        <w:w w:val="100"/>
        <w:sz w:val="22"/>
        <w:szCs w:val="22"/>
        <w:lang w:val="en-US" w:eastAsia="en-US" w:bidi="ar-SA"/>
      </w:rPr>
    </w:lvl>
    <w:lvl w:ilvl="1" w:tplc="DA0694D2">
      <w:numFmt w:val="bullet"/>
      <w:lvlText w:val="•"/>
      <w:lvlJc w:val="left"/>
      <w:pPr>
        <w:ind w:left="1456" w:hanging="361"/>
      </w:pPr>
      <w:rPr>
        <w:rFonts w:hint="default"/>
        <w:lang w:val="en-US" w:eastAsia="en-US" w:bidi="ar-SA"/>
      </w:rPr>
    </w:lvl>
    <w:lvl w:ilvl="2" w:tplc="B1384296">
      <w:numFmt w:val="bullet"/>
      <w:lvlText w:val="•"/>
      <w:lvlJc w:val="left"/>
      <w:pPr>
        <w:ind w:left="2413" w:hanging="361"/>
      </w:pPr>
      <w:rPr>
        <w:rFonts w:hint="default"/>
        <w:lang w:val="en-US" w:eastAsia="en-US" w:bidi="ar-SA"/>
      </w:rPr>
    </w:lvl>
    <w:lvl w:ilvl="3" w:tplc="D940007A">
      <w:numFmt w:val="bullet"/>
      <w:lvlText w:val="•"/>
      <w:lvlJc w:val="left"/>
      <w:pPr>
        <w:ind w:left="3369" w:hanging="361"/>
      </w:pPr>
      <w:rPr>
        <w:rFonts w:hint="default"/>
        <w:lang w:val="en-US" w:eastAsia="en-US" w:bidi="ar-SA"/>
      </w:rPr>
    </w:lvl>
    <w:lvl w:ilvl="4" w:tplc="8632D6F8">
      <w:numFmt w:val="bullet"/>
      <w:lvlText w:val="•"/>
      <w:lvlJc w:val="left"/>
      <w:pPr>
        <w:ind w:left="4326" w:hanging="361"/>
      </w:pPr>
      <w:rPr>
        <w:rFonts w:hint="default"/>
        <w:lang w:val="en-US" w:eastAsia="en-US" w:bidi="ar-SA"/>
      </w:rPr>
    </w:lvl>
    <w:lvl w:ilvl="5" w:tplc="9AA2E7E8">
      <w:numFmt w:val="bullet"/>
      <w:lvlText w:val="•"/>
      <w:lvlJc w:val="left"/>
      <w:pPr>
        <w:ind w:left="5282" w:hanging="361"/>
      </w:pPr>
      <w:rPr>
        <w:rFonts w:hint="default"/>
        <w:lang w:val="en-US" w:eastAsia="en-US" w:bidi="ar-SA"/>
      </w:rPr>
    </w:lvl>
    <w:lvl w:ilvl="6" w:tplc="313E6466">
      <w:numFmt w:val="bullet"/>
      <w:lvlText w:val="•"/>
      <w:lvlJc w:val="left"/>
      <w:pPr>
        <w:ind w:left="6239" w:hanging="361"/>
      </w:pPr>
      <w:rPr>
        <w:rFonts w:hint="default"/>
        <w:lang w:val="en-US" w:eastAsia="en-US" w:bidi="ar-SA"/>
      </w:rPr>
    </w:lvl>
    <w:lvl w:ilvl="7" w:tplc="FE301686">
      <w:numFmt w:val="bullet"/>
      <w:lvlText w:val="•"/>
      <w:lvlJc w:val="left"/>
      <w:pPr>
        <w:ind w:left="7195" w:hanging="361"/>
      </w:pPr>
      <w:rPr>
        <w:rFonts w:hint="default"/>
        <w:lang w:val="en-US" w:eastAsia="en-US" w:bidi="ar-SA"/>
      </w:rPr>
    </w:lvl>
    <w:lvl w:ilvl="8" w:tplc="4FFC0E8A">
      <w:numFmt w:val="bullet"/>
      <w:lvlText w:val="•"/>
      <w:lvlJc w:val="left"/>
      <w:pPr>
        <w:ind w:left="8152" w:hanging="361"/>
      </w:pPr>
      <w:rPr>
        <w:rFonts w:hint="default"/>
        <w:lang w:val="en-US" w:eastAsia="en-US" w:bidi="ar-SA"/>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1CAC164C"/>
    <w:multiLevelType w:val="hybridMultilevel"/>
    <w:tmpl w:val="12CED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82A8B"/>
    <w:multiLevelType w:val="hybridMultilevel"/>
    <w:tmpl w:val="9FE0BEBE"/>
    <w:lvl w:ilvl="0" w:tplc="370AF648">
      <w:numFmt w:val="bullet"/>
      <w:lvlText w:val="•"/>
      <w:lvlJc w:val="left"/>
      <w:pPr>
        <w:ind w:left="503" w:hanging="361"/>
      </w:pPr>
      <w:rPr>
        <w:rFonts w:ascii="Cambria" w:eastAsia="Cambria" w:hAnsi="Cambria" w:cs="Cambria" w:hint="default"/>
        <w:b w:val="0"/>
        <w:bCs w:val="0"/>
        <w:i w:val="0"/>
        <w:iCs w:val="0"/>
        <w:spacing w:val="0"/>
        <w:w w:val="100"/>
        <w:sz w:val="22"/>
        <w:szCs w:val="22"/>
        <w:lang w:val="en-US" w:eastAsia="en-US" w:bidi="ar-SA"/>
      </w:rPr>
    </w:lvl>
    <w:lvl w:ilvl="1" w:tplc="E25EE918">
      <w:numFmt w:val="bullet"/>
      <w:lvlText w:val="•"/>
      <w:lvlJc w:val="left"/>
      <w:pPr>
        <w:ind w:left="1456" w:hanging="361"/>
      </w:pPr>
      <w:rPr>
        <w:rFonts w:hint="default"/>
        <w:lang w:val="en-US" w:eastAsia="en-US" w:bidi="ar-SA"/>
      </w:rPr>
    </w:lvl>
    <w:lvl w:ilvl="2" w:tplc="C75A5ECC">
      <w:numFmt w:val="bullet"/>
      <w:lvlText w:val="•"/>
      <w:lvlJc w:val="left"/>
      <w:pPr>
        <w:ind w:left="2413" w:hanging="361"/>
      </w:pPr>
      <w:rPr>
        <w:rFonts w:hint="default"/>
        <w:lang w:val="en-US" w:eastAsia="en-US" w:bidi="ar-SA"/>
      </w:rPr>
    </w:lvl>
    <w:lvl w:ilvl="3" w:tplc="41C4476E">
      <w:numFmt w:val="bullet"/>
      <w:lvlText w:val="•"/>
      <w:lvlJc w:val="left"/>
      <w:pPr>
        <w:ind w:left="3369" w:hanging="361"/>
      </w:pPr>
      <w:rPr>
        <w:rFonts w:hint="default"/>
        <w:lang w:val="en-US" w:eastAsia="en-US" w:bidi="ar-SA"/>
      </w:rPr>
    </w:lvl>
    <w:lvl w:ilvl="4" w:tplc="B608F94C">
      <w:numFmt w:val="bullet"/>
      <w:lvlText w:val="•"/>
      <w:lvlJc w:val="left"/>
      <w:pPr>
        <w:ind w:left="4326" w:hanging="361"/>
      </w:pPr>
      <w:rPr>
        <w:rFonts w:hint="default"/>
        <w:lang w:val="en-US" w:eastAsia="en-US" w:bidi="ar-SA"/>
      </w:rPr>
    </w:lvl>
    <w:lvl w:ilvl="5" w:tplc="A4FE0BFC">
      <w:numFmt w:val="bullet"/>
      <w:lvlText w:val="•"/>
      <w:lvlJc w:val="left"/>
      <w:pPr>
        <w:ind w:left="5282" w:hanging="361"/>
      </w:pPr>
      <w:rPr>
        <w:rFonts w:hint="default"/>
        <w:lang w:val="en-US" w:eastAsia="en-US" w:bidi="ar-SA"/>
      </w:rPr>
    </w:lvl>
    <w:lvl w:ilvl="6" w:tplc="3BE4F894">
      <w:numFmt w:val="bullet"/>
      <w:lvlText w:val="•"/>
      <w:lvlJc w:val="left"/>
      <w:pPr>
        <w:ind w:left="6239" w:hanging="361"/>
      </w:pPr>
      <w:rPr>
        <w:rFonts w:hint="default"/>
        <w:lang w:val="en-US" w:eastAsia="en-US" w:bidi="ar-SA"/>
      </w:rPr>
    </w:lvl>
    <w:lvl w:ilvl="7" w:tplc="D6842CD4">
      <w:numFmt w:val="bullet"/>
      <w:lvlText w:val="•"/>
      <w:lvlJc w:val="left"/>
      <w:pPr>
        <w:ind w:left="7195" w:hanging="361"/>
      </w:pPr>
      <w:rPr>
        <w:rFonts w:hint="default"/>
        <w:lang w:val="en-US" w:eastAsia="en-US" w:bidi="ar-SA"/>
      </w:rPr>
    </w:lvl>
    <w:lvl w:ilvl="8" w:tplc="088E8A64">
      <w:numFmt w:val="bullet"/>
      <w:lvlText w:val="•"/>
      <w:lvlJc w:val="left"/>
      <w:pPr>
        <w:ind w:left="8152" w:hanging="361"/>
      </w:pPr>
      <w:rPr>
        <w:rFonts w:hint="default"/>
        <w:lang w:val="en-US" w:eastAsia="en-US" w:bidi="ar-SA"/>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CB008D8"/>
    <w:multiLevelType w:val="hybridMultilevel"/>
    <w:tmpl w:val="0AC6A86E"/>
    <w:lvl w:ilvl="0" w:tplc="2018A118">
      <w:numFmt w:val="bullet"/>
      <w:lvlText w:val="–"/>
      <w:lvlJc w:val="left"/>
      <w:pPr>
        <w:ind w:left="992" w:hanging="425"/>
      </w:pPr>
      <w:rPr>
        <w:rFonts w:ascii="Arial" w:eastAsia="Arial" w:hAnsi="Arial" w:cs="Arial" w:hint="default"/>
        <w:b w:val="0"/>
        <w:bCs w:val="0"/>
        <w:i w:val="0"/>
        <w:iCs w:val="0"/>
        <w:spacing w:val="0"/>
        <w:w w:val="100"/>
        <w:sz w:val="22"/>
        <w:szCs w:val="22"/>
        <w:lang w:val="en-US" w:eastAsia="en-US" w:bidi="ar-SA"/>
      </w:rPr>
    </w:lvl>
    <w:lvl w:ilvl="1" w:tplc="B400E5FE">
      <w:numFmt w:val="bullet"/>
      <w:lvlText w:val="•"/>
      <w:lvlJc w:val="left"/>
      <w:pPr>
        <w:ind w:left="1906" w:hanging="425"/>
      </w:pPr>
      <w:rPr>
        <w:rFonts w:hint="default"/>
        <w:lang w:val="en-US" w:eastAsia="en-US" w:bidi="ar-SA"/>
      </w:rPr>
    </w:lvl>
    <w:lvl w:ilvl="2" w:tplc="07D6E970">
      <w:numFmt w:val="bullet"/>
      <w:lvlText w:val="•"/>
      <w:lvlJc w:val="left"/>
      <w:pPr>
        <w:ind w:left="2813" w:hanging="425"/>
      </w:pPr>
      <w:rPr>
        <w:rFonts w:hint="default"/>
        <w:lang w:val="en-US" w:eastAsia="en-US" w:bidi="ar-SA"/>
      </w:rPr>
    </w:lvl>
    <w:lvl w:ilvl="3" w:tplc="1E8C2BE6">
      <w:numFmt w:val="bullet"/>
      <w:lvlText w:val="•"/>
      <w:lvlJc w:val="left"/>
      <w:pPr>
        <w:ind w:left="3719" w:hanging="425"/>
      </w:pPr>
      <w:rPr>
        <w:rFonts w:hint="default"/>
        <w:lang w:val="en-US" w:eastAsia="en-US" w:bidi="ar-SA"/>
      </w:rPr>
    </w:lvl>
    <w:lvl w:ilvl="4" w:tplc="5C3AA72E">
      <w:numFmt w:val="bullet"/>
      <w:lvlText w:val="•"/>
      <w:lvlJc w:val="left"/>
      <w:pPr>
        <w:ind w:left="4626" w:hanging="425"/>
      </w:pPr>
      <w:rPr>
        <w:rFonts w:hint="default"/>
        <w:lang w:val="en-US" w:eastAsia="en-US" w:bidi="ar-SA"/>
      </w:rPr>
    </w:lvl>
    <w:lvl w:ilvl="5" w:tplc="0DE0AF96">
      <w:numFmt w:val="bullet"/>
      <w:lvlText w:val="•"/>
      <w:lvlJc w:val="left"/>
      <w:pPr>
        <w:ind w:left="5532" w:hanging="425"/>
      </w:pPr>
      <w:rPr>
        <w:rFonts w:hint="default"/>
        <w:lang w:val="en-US" w:eastAsia="en-US" w:bidi="ar-SA"/>
      </w:rPr>
    </w:lvl>
    <w:lvl w:ilvl="6" w:tplc="84960FEC">
      <w:numFmt w:val="bullet"/>
      <w:lvlText w:val="•"/>
      <w:lvlJc w:val="left"/>
      <w:pPr>
        <w:ind w:left="6439" w:hanging="425"/>
      </w:pPr>
      <w:rPr>
        <w:rFonts w:hint="default"/>
        <w:lang w:val="en-US" w:eastAsia="en-US" w:bidi="ar-SA"/>
      </w:rPr>
    </w:lvl>
    <w:lvl w:ilvl="7" w:tplc="1B6E8E8E">
      <w:numFmt w:val="bullet"/>
      <w:lvlText w:val="•"/>
      <w:lvlJc w:val="left"/>
      <w:pPr>
        <w:ind w:left="7345" w:hanging="425"/>
      </w:pPr>
      <w:rPr>
        <w:rFonts w:hint="default"/>
        <w:lang w:val="en-US" w:eastAsia="en-US" w:bidi="ar-SA"/>
      </w:rPr>
    </w:lvl>
    <w:lvl w:ilvl="8" w:tplc="5D62E16A">
      <w:numFmt w:val="bullet"/>
      <w:lvlText w:val="•"/>
      <w:lvlJc w:val="left"/>
      <w:pPr>
        <w:ind w:left="8252" w:hanging="425"/>
      </w:pPr>
      <w:rPr>
        <w:rFonts w:hint="default"/>
        <w:lang w:val="en-US" w:eastAsia="en-US" w:bidi="ar-SA"/>
      </w:rPr>
    </w:lvl>
  </w:abstractNum>
  <w:abstractNum w:abstractNumId="11" w15:restartNumberingAfterBreak="0">
    <w:nsid w:val="344D1CD5"/>
    <w:multiLevelType w:val="hybridMultilevel"/>
    <w:tmpl w:val="A98E2948"/>
    <w:lvl w:ilvl="0" w:tplc="26500F08">
      <w:numFmt w:val="bullet"/>
      <w:lvlText w:val="•"/>
      <w:lvlJc w:val="left"/>
      <w:pPr>
        <w:ind w:left="503" w:hanging="361"/>
      </w:pPr>
      <w:rPr>
        <w:rFonts w:ascii="Cambria" w:eastAsia="Cambria" w:hAnsi="Cambria" w:cs="Cambria" w:hint="default"/>
        <w:b w:val="0"/>
        <w:bCs w:val="0"/>
        <w:i w:val="0"/>
        <w:iCs w:val="0"/>
        <w:spacing w:val="0"/>
        <w:w w:val="100"/>
        <w:sz w:val="22"/>
        <w:szCs w:val="22"/>
        <w:lang w:val="en-US" w:eastAsia="en-US" w:bidi="ar-SA"/>
      </w:rPr>
    </w:lvl>
    <w:lvl w:ilvl="1" w:tplc="EA6A8F5E">
      <w:numFmt w:val="bullet"/>
      <w:lvlText w:val="•"/>
      <w:lvlJc w:val="left"/>
      <w:pPr>
        <w:ind w:left="1456" w:hanging="361"/>
      </w:pPr>
      <w:rPr>
        <w:rFonts w:hint="default"/>
        <w:lang w:val="en-US" w:eastAsia="en-US" w:bidi="ar-SA"/>
      </w:rPr>
    </w:lvl>
    <w:lvl w:ilvl="2" w:tplc="9F36638C">
      <w:numFmt w:val="bullet"/>
      <w:lvlText w:val="•"/>
      <w:lvlJc w:val="left"/>
      <w:pPr>
        <w:ind w:left="2413" w:hanging="361"/>
      </w:pPr>
      <w:rPr>
        <w:rFonts w:hint="default"/>
        <w:lang w:val="en-US" w:eastAsia="en-US" w:bidi="ar-SA"/>
      </w:rPr>
    </w:lvl>
    <w:lvl w:ilvl="3" w:tplc="69185544">
      <w:numFmt w:val="bullet"/>
      <w:lvlText w:val="•"/>
      <w:lvlJc w:val="left"/>
      <w:pPr>
        <w:ind w:left="3369" w:hanging="361"/>
      </w:pPr>
      <w:rPr>
        <w:rFonts w:hint="default"/>
        <w:lang w:val="en-US" w:eastAsia="en-US" w:bidi="ar-SA"/>
      </w:rPr>
    </w:lvl>
    <w:lvl w:ilvl="4" w:tplc="982EB99E">
      <w:numFmt w:val="bullet"/>
      <w:lvlText w:val="•"/>
      <w:lvlJc w:val="left"/>
      <w:pPr>
        <w:ind w:left="4326" w:hanging="361"/>
      </w:pPr>
      <w:rPr>
        <w:rFonts w:hint="default"/>
        <w:lang w:val="en-US" w:eastAsia="en-US" w:bidi="ar-SA"/>
      </w:rPr>
    </w:lvl>
    <w:lvl w:ilvl="5" w:tplc="79309180">
      <w:numFmt w:val="bullet"/>
      <w:lvlText w:val="•"/>
      <w:lvlJc w:val="left"/>
      <w:pPr>
        <w:ind w:left="5282" w:hanging="361"/>
      </w:pPr>
      <w:rPr>
        <w:rFonts w:hint="default"/>
        <w:lang w:val="en-US" w:eastAsia="en-US" w:bidi="ar-SA"/>
      </w:rPr>
    </w:lvl>
    <w:lvl w:ilvl="6" w:tplc="71C06CC8">
      <w:numFmt w:val="bullet"/>
      <w:lvlText w:val="•"/>
      <w:lvlJc w:val="left"/>
      <w:pPr>
        <w:ind w:left="6239" w:hanging="361"/>
      </w:pPr>
      <w:rPr>
        <w:rFonts w:hint="default"/>
        <w:lang w:val="en-US" w:eastAsia="en-US" w:bidi="ar-SA"/>
      </w:rPr>
    </w:lvl>
    <w:lvl w:ilvl="7" w:tplc="BA942E56">
      <w:numFmt w:val="bullet"/>
      <w:lvlText w:val="•"/>
      <w:lvlJc w:val="left"/>
      <w:pPr>
        <w:ind w:left="7195" w:hanging="361"/>
      </w:pPr>
      <w:rPr>
        <w:rFonts w:hint="default"/>
        <w:lang w:val="en-US" w:eastAsia="en-US" w:bidi="ar-SA"/>
      </w:rPr>
    </w:lvl>
    <w:lvl w:ilvl="8" w:tplc="239A554C">
      <w:numFmt w:val="bullet"/>
      <w:lvlText w:val="•"/>
      <w:lvlJc w:val="left"/>
      <w:pPr>
        <w:ind w:left="8152" w:hanging="361"/>
      </w:pPr>
      <w:rPr>
        <w:rFonts w:hint="default"/>
        <w:lang w:val="en-US" w:eastAsia="en-US" w:bidi="ar-SA"/>
      </w:rPr>
    </w:lvl>
  </w:abstractNum>
  <w:abstractNum w:abstractNumId="1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5" w15:restartNumberingAfterBreak="0">
    <w:nsid w:val="4FA81DA4"/>
    <w:multiLevelType w:val="hybridMultilevel"/>
    <w:tmpl w:val="8C0C4226"/>
    <w:lvl w:ilvl="0" w:tplc="2AFC5042">
      <w:numFmt w:val="bullet"/>
      <w:lvlText w:val="•"/>
      <w:lvlJc w:val="left"/>
      <w:pPr>
        <w:ind w:left="503" w:hanging="361"/>
      </w:pPr>
      <w:rPr>
        <w:rFonts w:ascii="Cambria" w:eastAsia="Cambria" w:hAnsi="Cambria" w:cs="Cambria" w:hint="default"/>
        <w:b w:val="0"/>
        <w:bCs w:val="0"/>
        <w:i w:val="0"/>
        <w:iCs w:val="0"/>
        <w:spacing w:val="0"/>
        <w:w w:val="100"/>
        <w:sz w:val="22"/>
        <w:szCs w:val="22"/>
        <w:lang w:val="en-US" w:eastAsia="en-US" w:bidi="ar-SA"/>
      </w:rPr>
    </w:lvl>
    <w:lvl w:ilvl="1" w:tplc="68864ECE">
      <w:numFmt w:val="bullet"/>
      <w:lvlText w:val="•"/>
      <w:lvlJc w:val="left"/>
      <w:pPr>
        <w:ind w:left="1456" w:hanging="361"/>
      </w:pPr>
      <w:rPr>
        <w:rFonts w:hint="default"/>
        <w:lang w:val="en-US" w:eastAsia="en-US" w:bidi="ar-SA"/>
      </w:rPr>
    </w:lvl>
    <w:lvl w:ilvl="2" w:tplc="A502BF58">
      <w:numFmt w:val="bullet"/>
      <w:lvlText w:val="•"/>
      <w:lvlJc w:val="left"/>
      <w:pPr>
        <w:ind w:left="2413" w:hanging="361"/>
      </w:pPr>
      <w:rPr>
        <w:rFonts w:hint="default"/>
        <w:lang w:val="en-US" w:eastAsia="en-US" w:bidi="ar-SA"/>
      </w:rPr>
    </w:lvl>
    <w:lvl w:ilvl="3" w:tplc="4CB4EC8C">
      <w:numFmt w:val="bullet"/>
      <w:lvlText w:val="•"/>
      <w:lvlJc w:val="left"/>
      <w:pPr>
        <w:ind w:left="3369" w:hanging="361"/>
      </w:pPr>
      <w:rPr>
        <w:rFonts w:hint="default"/>
        <w:lang w:val="en-US" w:eastAsia="en-US" w:bidi="ar-SA"/>
      </w:rPr>
    </w:lvl>
    <w:lvl w:ilvl="4" w:tplc="5C22DB1C">
      <w:numFmt w:val="bullet"/>
      <w:lvlText w:val="•"/>
      <w:lvlJc w:val="left"/>
      <w:pPr>
        <w:ind w:left="4326" w:hanging="361"/>
      </w:pPr>
      <w:rPr>
        <w:rFonts w:hint="default"/>
        <w:lang w:val="en-US" w:eastAsia="en-US" w:bidi="ar-SA"/>
      </w:rPr>
    </w:lvl>
    <w:lvl w:ilvl="5" w:tplc="7148438E">
      <w:numFmt w:val="bullet"/>
      <w:lvlText w:val="•"/>
      <w:lvlJc w:val="left"/>
      <w:pPr>
        <w:ind w:left="5282" w:hanging="361"/>
      </w:pPr>
      <w:rPr>
        <w:rFonts w:hint="default"/>
        <w:lang w:val="en-US" w:eastAsia="en-US" w:bidi="ar-SA"/>
      </w:rPr>
    </w:lvl>
    <w:lvl w:ilvl="6" w:tplc="06683952">
      <w:numFmt w:val="bullet"/>
      <w:lvlText w:val="•"/>
      <w:lvlJc w:val="left"/>
      <w:pPr>
        <w:ind w:left="6239" w:hanging="361"/>
      </w:pPr>
      <w:rPr>
        <w:rFonts w:hint="default"/>
        <w:lang w:val="en-US" w:eastAsia="en-US" w:bidi="ar-SA"/>
      </w:rPr>
    </w:lvl>
    <w:lvl w:ilvl="7" w:tplc="611E54A6">
      <w:numFmt w:val="bullet"/>
      <w:lvlText w:val="•"/>
      <w:lvlJc w:val="left"/>
      <w:pPr>
        <w:ind w:left="7195" w:hanging="361"/>
      </w:pPr>
      <w:rPr>
        <w:rFonts w:hint="default"/>
        <w:lang w:val="en-US" w:eastAsia="en-US" w:bidi="ar-SA"/>
      </w:rPr>
    </w:lvl>
    <w:lvl w:ilvl="8" w:tplc="E70A3046">
      <w:numFmt w:val="bullet"/>
      <w:lvlText w:val="•"/>
      <w:lvlJc w:val="left"/>
      <w:pPr>
        <w:ind w:left="8152" w:hanging="361"/>
      </w:pPr>
      <w:rPr>
        <w:rFonts w:hint="default"/>
        <w:lang w:val="en-US" w:eastAsia="en-US" w:bidi="ar-SA"/>
      </w:rPr>
    </w:lvl>
  </w:abstractNum>
  <w:abstractNum w:abstractNumId="1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1725B1"/>
    <w:multiLevelType w:val="hybridMultilevel"/>
    <w:tmpl w:val="6EDEB16E"/>
    <w:lvl w:ilvl="0" w:tplc="57FE358A">
      <w:numFmt w:val="bullet"/>
      <w:lvlText w:val="•"/>
      <w:lvlJc w:val="left"/>
      <w:pPr>
        <w:ind w:left="503" w:hanging="361"/>
      </w:pPr>
      <w:rPr>
        <w:rFonts w:ascii="Cambria" w:eastAsia="Cambria" w:hAnsi="Cambria" w:cs="Cambria" w:hint="default"/>
        <w:b w:val="0"/>
        <w:bCs w:val="0"/>
        <w:i w:val="0"/>
        <w:iCs w:val="0"/>
        <w:spacing w:val="0"/>
        <w:w w:val="100"/>
        <w:sz w:val="22"/>
        <w:szCs w:val="22"/>
        <w:lang w:val="en-US" w:eastAsia="en-US" w:bidi="ar-SA"/>
      </w:rPr>
    </w:lvl>
    <w:lvl w:ilvl="1" w:tplc="3F4EF9AC">
      <w:numFmt w:val="bullet"/>
      <w:lvlText w:val="•"/>
      <w:lvlJc w:val="left"/>
      <w:pPr>
        <w:ind w:left="1456" w:hanging="361"/>
      </w:pPr>
      <w:rPr>
        <w:rFonts w:hint="default"/>
        <w:lang w:val="en-US" w:eastAsia="en-US" w:bidi="ar-SA"/>
      </w:rPr>
    </w:lvl>
    <w:lvl w:ilvl="2" w:tplc="D1F67F06">
      <w:numFmt w:val="bullet"/>
      <w:lvlText w:val="•"/>
      <w:lvlJc w:val="left"/>
      <w:pPr>
        <w:ind w:left="2413" w:hanging="361"/>
      </w:pPr>
      <w:rPr>
        <w:rFonts w:hint="default"/>
        <w:lang w:val="en-US" w:eastAsia="en-US" w:bidi="ar-SA"/>
      </w:rPr>
    </w:lvl>
    <w:lvl w:ilvl="3" w:tplc="8D022C4E">
      <w:numFmt w:val="bullet"/>
      <w:lvlText w:val="•"/>
      <w:lvlJc w:val="left"/>
      <w:pPr>
        <w:ind w:left="3369" w:hanging="361"/>
      </w:pPr>
      <w:rPr>
        <w:rFonts w:hint="default"/>
        <w:lang w:val="en-US" w:eastAsia="en-US" w:bidi="ar-SA"/>
      </w:rPr>
    </w:lvl>
    <w:lvl w:ilvl="4" w:tplc="1E4A751A">
      <w:numFmt w:val="bullet"/>
      <w:lvlText w:val="•"/>
      <w:lvlJc w:val="left"/>
      <w:pPr>
        <w:ind w:left="4326" w:hanging="361"/>
      </w:pPr>
      <w:rPr>
        <w:rFonts w:hint="default"/>
        <w:lang w:val="en-US" w:eastAsia="en-US" w:bidi="ar-SA"/>
      </w:rPr>
    </w:lvl>
    <w:lvl w:ilvl="5" w:tplc="CE70193A">
      <w:numFmt w:val="bullet"/>
      <w:lvlText w:val="•"/>
      <w:lvlJc w:val="left"/>
      <w:pPr>
        <w:ind w:left="5282" w:hanging="361"/>
      </w:pPr>
      <w:rPr>
        <w:rFonts w:hint="default"/>
        <w:lang w:val="en-US" w:eastAsia="en-US" w:bidi="ar-SA"/>
      </w:rPr>
    </w:lvl>
    <w:lvl w:ilvl="6" w:tplc="484A9616">
      <w:numFmt w:val="bullet"/>
      <w:lvlText w:val="•"/>
      <w:lvlJc w:val="left"/>
      <w:pPr>
        <w:ind w:left="6239" w:hanging="361"/>
      </w:pPr>
      <w:rPr>
        <w:rFonts w:hint="default"/>
        <w:lang w:val="en-US" w:eastAsia="en-US" w:bidi="ar-SA"/>
      </w:rPr>
    </w:lvl>
    <w:lvl w:ilvl="7" w:tplc="69404ECC">
      <w:numFmt w:val="bullet"/>
      <w:lvlText w:val="•"/>
      <w:lvlJc w:val="left"/>
      <w:pPr>
        <w:ind w:left="7195" w:hanging="361"/>
      </w:pPr>
      <w:rPr>
        <w:rFonts w:hint="default"/>
        <w:lang w:val="en-US" w:eastAsia="en-US" w:bidi="ar-SA"/>
      </w:rPr>
    </w:lvl>
    <w:lvl w:ilvl="8" w:tplc="7EF64B4C">
      <w:numFmt w:val="bullet"/>
      <w:lvlText w:val="•"/>
      <w:lvlJc w:val="left"/>
      <w:pPr>
        <w:ind w:left="8152" w:hanging="361"/>
      </w:pPr>
      <w:rPr>
        <w:rFonts w:hint="default"/>
        <w:lang w:val="en-US" w:eastAsia="en-US" w:bidi="ar-SA"/>
      </w:rPr>
    </w:lvl>
  </w:abstractNum>
  <w:abstractNum w:abstractNumId="18"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9" w15:restartNumberingAfterBreak="0">
    <w:nsid w:val="65204AE0"/>
    <w:multiLevelType w:val="hybridMultilevel"/>
    <w:tmpl w:val="8292AD80"/>
    <w:lvl w:ilvl="0" w:tplc="99BE9678">
      <w:start w:val="1"/>
      <w:numFmt w:val="decimal"/>
      <w:lvlText w:val="%1."/>
      <w:lvlJc w:val="left"/>
      <w:pPr>
        <w:ind w:left="503" w:hanging="360"/>
      </w:pPr>
      <w:rPr>
        <w:rFonts w:ascii="Arial" w:eastAsia="Arial" w:hAnsi="Arial" w:cs="Arial" w:hint="default"/>
        <w:b/>
        <w:bCs/>
        <w:i/>
        <w:iCs/>
        <w:spacing w:val="-1"/>
        <w:w w:val="100"/>
        <w:sz w:val="22"/>
        <w:szCs w:val="22"/>
        <w:lang w:val="en-US" w:eastAsia="en-US" w:bidi="ar-SA"/>
      </w:rPr>
    </w:lvl>
    <w:lvl w:ilvl="1" w:tplc="0F56B074">
      <w:numFmt w:val="bullet"/>
      <w:lvlText w:val="•"/>
      <w:lvlJc w:val="left"/>
      <w:pPr>
        <w:ind w:left="1456" w:hanging="360"/>
      </w:pPr>
      <w:rPr>
        <w:rFonts w:hint="default"/>
        <w:lang w:val="en-US" w:eastAsia="en-US" w:bidi="ar-SA"/>
      </w:rPr>
    </w:lvl>
    <w:lvl w:ilvl="2" w:tplc="C4E89D72">
      <w:numFmt w:val="bullet"/>
      <w:lvlText w:val="•"/>
      <w:lvlJc w:val="left"/>
      <w:pPr>
        <w:ind w:left="2413" w:hanging="360"/>
      </w:pPr>
      <w:rPr>
        <w:rFonts w:hint="default"/>
        <w:lang w:val="en-US" w:eastAsia="en-US" w:bidi="ar-SA"/>
      </w:rPr>
    </w:lvl>
    <w:lvl w:ilvl="3" w:tplc="ABA45458">
      <w:numFmt w:val="bullet"/>
      <w:lvlText w:val="•"/>
      <w:lvlJc w:val="left"/>
      <w:pPr>
        <w:ind w:left="3369" w:hanging="360"/>
      </w:pPr>
      <w:rPr>
        <w:rFonts w:hint="default"/>
        <w:lang w:val="en-US" w:eastAsia="en-US" w:bidi="ar-SA"/>
      </w:rPr>
    </w:lvl>
    <w:lvl w:ilvl="4" w:tplc="38048126">
      <w:numFmt w:val="bullet"/>
      <w:lvlText w:val="•"/>
      <w:lvlJc w:val="left"/>
      <w:pPr>
        <w:ind w:left="4326" w:hanging="360"/>
      </w:pPr>
      <w:rPr>
        <w:rFonts w:hint="default"/>
        <w:lang w:val="en-US" w:eastAsia="en-US" w:bidi="ar-SA"/>
      </w:rPr>
    </w:lvl>
    <w:lvl w:ilvl="5" w:tplc="22464AC4">
      <w:numFmt w:val="bullet"/>
      <w:lvlText w:val="•"/>
      <w:lvlJc w:val="left"/>
      <w:pPr>
        <w:ind w:left="5282" w:hanging="360"/>
      </w:pPr>
      <w:rPr>
        <w:rFonts w:hint="default"/>
        <w:lang w:val="en-US" w:eastAsia="en-US" w:bidi="ar-SA"/>
      </w:rPr>
    </w:lvl>
    <w:lvl w:ilvl="6" w:tplc="9CEA4C84">
      <w:numFmt w:val="bullet"/>
      <w:lvlText w:val="•"/>
      <w:lvlJc w:val="left"/>
      <w:pPr>
        <w:ind w:left="6239" w:hanging="360"/>
      </w:pPr>
      <w:rPr>
        <w:rFonts w:hint="default"/>
        <w:lang w:val="en-US" w:eastAsia="en-US" w:bidi="ar-SA"/>
      </w:rPr>
    </w:lvl>
    <w:lvl w:ilvl="7" w:tplc="E976D974">
      <w:numFmt w:val="bullet"/>
      <w:lvlText w:val="•"/>
      <w:lvlJc w:val="left"/>
      <w:pPr>
        <w:ind w:left="7195" w:hanging="360"/>
      </w:pPr>
      <w:rPr>
        <w:rFonts w:hint="default"/>
        <w:lang w:val="en-US" w:eastAsia="en-US" w:bidi="ar-SA"/>
      </w:rPr>
    </w:lvl>
    <w:lvl w:ilvl="8" w:tplc="B4D84372">
      <w:numFmt w:val="bullet"/>
      <w:lvlText w:val="•"/>
      <w:lvlJc w:val="left"/>
      <w:pPr>
        <w:ind w:left="8152" w:hanging="360"/>
      </w:pPr>
      <w:rPr>
        <w:rFonts w:hint="default"/>
        <w:lang w:val="en-US" w:eastAsia="en-US" w:bidi="ar-SA"/>
      </w:rPr>
    </w:lvl>
  </w:abstractNum>
  <w:abstractNum w:abstractNumId="20" w15:restartNumberingAfterBreak="0">
    <w:nsid w:val="663E322C"/>
    <w:multiLevelType w:val="hybridMultilevel"/>
    <w:tmpl w:val="0EFAFCAC"/>
    <w:lvl w:ilvl="0" w:tplc="F78EA6B4">
      <w:numFmt w:val="bullet"/>
      <w:lvlText w:val="•"/>
      <w:lvlJc w:val="left"/>
      <w:pPr>
        <w:ind w:left="503" w:hanging="361"/>
      </w:pPr>
      <w:rPr>
        <w:rFonts w:ascii="Cambria" w:eastAsia="Cambria" w:hAnsi="Cambria" w:cs="Cambria" w:hint="default"/>
        <w:b w:val="0"/>
        <w:bCs w:val="0"/>
        <w:i w:val="0"/>
        <w:iCs w:val="0"/>
        <w:spacing w:val="0"/>
        <w:w w:val="100"/>
        <w:sz w:val="22"/>
        <w:szCs w:val="22"/>
        <w:lang w:val="en-US" w:eastAsia="en-US" w:bidi="ar-SA"/>
      </w:rPr>
    </w:lvl>
    <w:lvl w:ilvl="1" w:tplc="D1EE53A0">
      <w:numFmt w:val="bullet"/>
      <w:lvlText w:val="•"/>
      <w:lvlJc w:val="left"/>
      <w:pPr>
        <w:ind w:left="1456" w:hanging="361"/>
      </w:pPr>
      <w:rPr>
        <w:rFonts w:hint="default"/>
        <w:lang w:val="en-US" w:eastAsia="en-US" w:bidi="ar-SA"/>
      </w:rPr>
    </w:lvl>
    <w:lvl w:ilvl="2" w:tplc="A6FA6392">
      <w:numFmt w:val="bullet"/>
      <w:lvlText w:val="•"/>
      <w:lvlJc w:val="left"/>
      <w:pPr>
        <w:ind w:left="2413" w:hanging="361"/>
      </w:pPr>
      <w:rPr>
        <w:rFonts w:hint="default"/>
        <w:lang w:val="en-US" w:eastAsia="en-US" w:bidi="ar-SA"/>
      </w:rPr>
    </w:lvl>
    <w:lvl w:ilvl="3" w:tplc="5E94AE00">
      <w:numFmt w:val="bullet"/>
      <w:lvlText w:val="•"/>
      <w:lvlJc w:val="left"/>
      <w:pPr>
        <w:ind w:left="3369" w:hanging="361"/>
      </w:pPr>
      <w:rPr>
        <w:rFonts w:hint="default"/>
        <w:lang w:val="en-US" w:eastAsia="en-US" w:bidi="ar-SA"/>
      </w:rPr>
    </w:lvl>
    <w:lvl w:ilvl="4" w:tplc="DB8066F0">
      <w:numFmt w:val="bullet"/>
      <w:lvlText w:val="•"/>
      <w:lvlJc w:val="left"/>
      <w:pPr>
        <w:ind w:left="4326" w:hanging="361"/>
      </w:pPr>
      <w:rPr>
        <w:rFonts w:hint="default"/>
        <w:lang w:val="en-US" w:eastAsia="en-US" w:bidi="ar-SA"/>
      </w:rPr>
    </w:lvl>
    <w:lvl w:ilvl="5" w:tplc="9F18FB34">
      <w:numFmt w:val="bullet"/>
      <w:lvlText w:val="•"/>
      <w:lvlJc w:val="left"/>
      <w:pPr>
        <w:ind w:left="5282" w:hanging="361"/>
      </w:pPr>
      <w:rPr>
        <w:rFonts w:hint="default"/>
        <w:lang w:val="en-US" w:eastAsia="en-US" w:bidi="ar-SA"/>
      </w:rPr>
    </w:lvl>
    <w:lvl w:ilvl="6" w:tplc="AEB86D20">
      <w:numFmt w:val="bullet"/>
      <w:lvlText w:val="•"/>
      <w:lvlJc w:val="left"/>
      <w:pPr>
        <w:ind w:left="6239" w:hanging="361"/>
      </w:pPr>
      <w:rPr>
        <w:rFonts w:hint="default"/>
        <w:lang w:val="en-US" w:eastAsia="en-US" w:bidi="ar-SA"/>
      </w:rPr>
    </w:lvl>
    <w:lvl w:ilvl="7" w:tplc="C2328F28">
      <w:numFmt w:val="bullet"/>
      <w:lvlText w:val="•"/>
      <w:lvlJc w:val="left"/>
      <w:pPr>
        <w:ind w:left="7195" w:hanging="361"/>
      </w:pPr>
      <w:rPr>
        <w:rFonts w:hint="default"/>
        <w:lang w:val="en-US" w:eastAsia="en-US" w:bidi="ar-SA"/>
      </w:rPr>
    </w:lvl>
    <w:lvl w:ilvl="8" w:tplc="541E77C4">
      <w:numFmt w:val="bullet"/>
      <w:lvlText w:val="•"/>
      <w:lvlJc w:val="left"/>
      <w:pPr>
        <w:ind w:left="8152" w:hanging="361"/>
      </w:pPr>
      <w:rPr>
        <w:rFonts w:hint="default"/>
        <w:lang w:val="en-US" w:eastAsia="en-US" w:bidi="ar-SA"/>
      </w:rPr>
    </w:lvl>
  </w:abstractNum>
  <w:abstractNum w:abstractNumId="21" w15:restartNumberingAfterBreak="0">
    <w:nsid w:val="67742A22"/>
    <w:multiLevelType w:val="hybridMultilevel"/>
    <w:tmpl w:val="4984DD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2F7474"/>
    <w:multiLevelType w:val="hybridMultilevel"/>
    <w:tmpl w:val="7908B5CE"/>
    <w:lvl w:ilvl="0" w:tplc="0C090005">
      <w:start w:val="1"/>
      <w:numFmt w:val="bullet"/>
      <w:lvlText w:val=""/>
      <w:lvlJc w:val="left"/>
      <w:pPr>
        <w:ind w:left="360" w:hanging="360"/>
      </w:pPr>
      <w:rPr>
        <w:rFonts w:ascii="Wingdings" w:hAnsi="Wingdings" w:hint="default"/>
        <w:lang w:val="en-US" w:eastAsia="en-US" w:bidi="ar-SA"/>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5"/>
  </w:num>
  <w:num w:numId="2" w16cid:durableId="1856573705">
    <w:abstractNumId w:val="1"/>
  </w:num>
  <w:num w:numId="3" w16cid:durableId="357703499">
    <w:abstractNumId w:val="4"/>
  </w:num>
  <w:num w:numId="4" w16cid:durableId="1869176708">
    <w:abstractNumId w:val="16"/>
  </w:num>
  <w:num w:numId="5" w16cid:durableId="1652950129">
    <w:abstractNumId w:val="9"/>
  </w:num>
  <w:num w:numId="6" w16cid:durableId="1053193207">
    <w:abstractNumId w:val="13"/>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4"/>
  </w:num>
  <w:num w:numId="9" w16cid:durableId="173421270">
    <w:abstractNumId w:val="3"/>
  </w:num>
  <w:num w:numId="10" w16cid:durableId="2108043357">
    <w:abstractNumId w:val="6"/>
  </w:num>
  <w:num w:numId="11" w16cid:durableId="1725904230">
    <w:abstractNumId w:val="12"/>
  </w:num>
  <w:num w:numId="12" w16cid:durableId="141579354">
    <w:abstractNumId w:val="18"/>
  </w:num>
  <w:num w:numId="13" w16cid:durableId="283735081">
    <w:abstractNumId w:val="23"/>
  </w:num>
  <w:num w:numId="14" w16cid:durableId="588271586">
    <w:abstractNumId w:val="10"/>
  </w:num>
  <w:num w:numId="15" w16cid:durableId="960184949">
    <w:abstractNumId w:val="17"/>
  </w:num>
  <w:num w:numId="16" w16cid:durableId="1388651072">
    <w:abstractNumId w:val="20"/>
  </w:num>
  <w:num w:numId="17" w16cid:durableId="120658293">
    <w:abstractNumId w:val="11"/>
  </w:num>
  <w:num w:numId="18" w16cid:durableId="1471745789">
    <w:abstractNumId w:val="15"/>
  </w:num>
  <w:num w:numId="19" w16cid:durableId="397898190">
    <w:abstractNumId w:val="8"/>
  </w:num>
  <w:num w:numId="20" w16cid:durableId="1457797711">
    <w:abstractNumId w:val="19"/>
  </w:num>
  <w:num w:numId="21" w16cid:durableId="1535733440">
    <w:abstractNumId w:val="2"/>
  </w:num>
  <w:num w:numId="22" w16cid:durableId="1050423806">
    <w:abstractNumId w:val="7"/>
  </w:num>
  <w:num w:numId="23" w16cid:durableId="530460173">
    <w:abstractNumId w:val="22"/>
  </w:num>
  <w:num w:numId="24" w16cid:durableId="1305352492">
    <w:abstractNumId w:val="21"/>
  </w:num>
  <w:num w:numId="25" w16cid:durableId="67562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A5A"/>
    <w:rsid w:val="00002810"/>
    <w:rsid w:val="00004431"/>
    <w:rsid w:val="00004FD4"/>
    <w:rsid w:val="00005062"/>
    <w:rsid w:val="00005DFC"/>
    <w:rsid w:val="0001064C"/>
    <w:rsid w:val="0001073B"/>
    <w:rsid w:val="0001384A"/>
    <w:rsid w:val="00021C13"/>
    <w:rsid w:val="00032A0F"/>
    <w:rsid w:val="000400E9"/>
    <w:rsid w:val="00040D8D"/>
    <w:rsid w:val="000463D2"/>
    <w:rsid w:val="00046423"/>
    <w:rsid w:val="000477F5"/>
    <w:rsid w:val="0005067C"/>
    <w:rsid w:val="000512B1"/>
    <w:rsid w:val="0006104E"/>
    <w:rsid w:val="000640BD"/>
    <w:rsid w:val="00065839"/>
    <w:rsid w:val="00065FDF"/>
    <w:rsid w:val="0006693A"/>
    <w:rsid w:val="000717AB"/>
    <w:rsid w:val="00072991"/>
    <w:rsid w:val="00072B78"/>
    <w:rsid w:val="00077844"/>
    <w:rsid w:val="000778A3"/>
    <w:rsid w:val="00083763"/>
    <w:rsid w:val="00090510"/>
    <w:rsid w:val="000917AE"/>
    <w:rsid w:val="00094B81"/>
    <w:rsid w:val="00095C6A"/>
    <w:rsid w:val="000975AA"/>
    <w:rsid w:val="000A466D"/>
    <w:rsid w:val="000A7EC1"/>
    <w:rsid w:val="000B3E42"/>
    <w:rsid w:val="000B6B15"/>
    <w:rsid w:val="000C25A7"/>
    <w:rsid w:val="000C4101"/>
    <w:rsid w:val="000C5432"/>
    <w:rsid w:val="000D56A9"/>
    <w:rsid w:val="000D78EC"/>
    <w:rsid w:val="000D7934"/>
    <w:rsid w:val="000E2434"/>
    <w:rsid w:val="000E2575"/>
    <w:rsid w:val="000E2597"/>
    <w:rsid w:val="000E4C05"/>
    <w:rsid w:val="000E504E"/>
    <w:rsid w:val="000E6746"/>
    <w:rsid w:val="000F19A9"/>
    <w:rsid w:val="000F7B51"/>
    <w:rsid w:val="00101BEE"/>
    <w:rsid w:val="00101CE6"/>
    <w:rsid w:val="00101FB1"/>
    <w:rsid w:val="0010558A"/>
    <w:rsid w:val="001101FF"/>
    <w:rsid w:val="00111989"/>
    <w:rsid w:val="0011293D"/>
    <w:rsid w:val="00113F9F"/>
    <w:rsid w:val="00114025"/>
    <w:rsid w:val="00117C03"/>
    <w:rsid w:val="00117FFD"/>
    <w:rsid w:val="0012473C"/>
    <w:rsid w:val="00127A74"/>
    <w:rsid w:val="00130DCA"/>
    <w:rsid w:val="0013132F"/>
    <w:rsid w:val="00131B1B"/>
    <w:rsid w:val="0013306D"/>
    <w:rsid w:val="00133D90"/>
    <w:rsid w:val="0013528C"/>
    <w:rsid w:val="001442A2"/>
    <w:rsid w:val="001468CA"/>
    <w:rsid w:val="001500A8"/>
    <w:rsid w:val="001534D9"/>
    <w:rsid w:val="00155D85"/>
    <w:rsid w:val="00165D28"/>
    <w:rsid w:val="001675F8"/>
    <w:rsid w:val="0017005C"/>
    <w:rsid w:val="00175CD8"/>
    <w:rsid w:val="00181B35"/>
    <w:rsid w:val="00182BD8"/>
    <w:rsid w:val="001845F2"/>
    <w:rsid w:val="00190792"/>
    <w:rsid w:val="00190853"/>
    <w:rsid w:val="00195569"/>
    <w:rsid w:val="001A1330"/>
    <w:rsid w:val="001A2665"/>
    <w:rsid w:val="001A76F9"/>
    <w:rsid w:val="001B06FF"/>
    <w:rsid w:val="001B1703"/>
    <w:rsid w:val="001B4B70"/>
    <w:rsid w:val="001B4E54"/>
    <w:rsid w:val="001C1C2E"/>
    <w:rsid w:val="001C31A1"/>
    <w:rsid w:val="001C3FA2"/>
    <w:rsid w:val="001C5EE2"/>
    <w:rsid w:val="001C7EA8"/>
    <w:rsid w:val="001D0077"/>
    <w:rsid w:val="001D38F2"/>
    <w:rsid w:val="001D5132"/>
    <w:rsid w:val="001D571A"/>
    <w:rsid w:val="001E2199"/>
    <w:rsid w:val="001E407B"/>
    <w:rsid w:val="001E7FC6"/>
    <w:rsid w:val="001F02D5"/>
    <w:rsid w:val="001F2502"/>
    <w:rsid w:val="001F70A5"/>
    <w:rsid w:val="00200EDC"/>
    <w:rsid w:val="002010AB"/>
    <w:rsid w:val="0020235D"/>
    <w:rsid w:val="00203321"/>
    <w:rsid w:val="0020369B"/>
    <w:rsid w:val="00207B4D"/>
    <w:rsid w:val="00210F9B"/>
    <w:rsid w:val="002117B1"/>
    <w:rsid w:val="00217CCE"/>
    <w:rsid w:val="002203B1"/>
    <w:rsid w:val="00225295"/>
    <w:rsid w:val="00226B3B"/>
    <w:rsid w:val="00226F39"/>
    <w:rsid w:val="00230ABF"/>
    <w:rsid w:val="00231430"/>
    <w:rsid w:val="002334AD"/>
    <w:rsid w:val="00241B60"/>
    <w:rsid w:val="002459E7"/>
    <w:rsid w:val="00252B2C"/>
    <w:rsid w:val="0025339F"/>
    <w:rsid w:val="002550A2"/>
    <w:rsid w:val="00257519"/>
    <w:rsid w:val="0025785B"/>
    <w:rsid w:val="00257969"/>
    <w:rsid w:val="00260158"/>
    <w:rsid w:val="00260FF9"/>
    <w:rsid w:val="00261F25"/>
    <w:rsid w:val="00265CD1"/>
    <w:rsid w:val="0026606F"/>
    <w:rsid w:val="002713FD"/>
    <w:rsid w:val="00280048"/>
    <w:rsid w:val="00283295"/>
    <w:rsid w:val="00283381"/>
    <w:rsid w:val="002835D9"/>
    <w:rsid w:val="0028489E"/>
    <w:rsid w:val="002848DE"/>
    <w:rsid w:val="0028794E"/>
    <w:rsid w:val="00287E65"/>
    <w:rsid w:val="0029733B"/>
    <w:rsid w:val="002A5841"/>
    <w:rsid w:val="002B1EDF"/>
    <w:rsid w:val="002B2061"/>
    <w:rsid w:val="002B33C3"/>
    <w:rsid w:val="002B4488"/>
    <w:rsid w:val="002C1232"/>
    <w:rsid w:val="002C1E44"/>
    <w:rsid w:val="002C5C92"/>
    <w:rsid w:val="002C5E29"/>
    <w:rsid w:val="002D0478"/>
    <w:rsid w:val="002D34B6"/>
    <w:rsid w:val="002D6565"/>
    <w:rsid w:val="002D7127"/>
    <w:rsid w:val="002F4A01"/>
    <w:rsid w:val="002F5024"/>
    <w:rsid w:val="002F599E"/>
    <w:rsid w:val="003008D8"/>
    <w:rsid w:val="00301D9A"/>
    <w:rsid w:val="003028C7"/>
    <w:rsid w:val="00303959"/>
    <w:rsid w:val="00306E72"/>
    <w:rsid w:val="0031104C"/>
    <w:rsid w:val="00312AC3"/>
    <w:rsid w:val="003135D9"/>
    <w:rsid w:val="00314430"/>
    <w:rsid w:val="00314D80"/>
    <w:rsid w:val="003163BC"/>
    <w:rsid w:val="003212D9"/>
    <w:rsid w:val="0032351A"/>
    <w:rsid w:val="003244BB"/>
    <w:rsid w:val="00324B33"/>
    <w:rsid w:val="00327488"/>
    <w:rsid w:val="003342B7"/>
    <w:rsid w:val="00336FE1"/>
    <w:rsid w:val="00337BD8"/>
    <w:rsid w:val="00342D56"/>
    <w:rsid w:val="003456E7"/>
    <w:rsid w:val="00346EC2"/>
    <w:rsid w:val="003477F9"/>
    <w:rsid w:val="0035444D"/>
    <w:rsid w:val="00356D62"/>
    <w:rsid w:val="003577C3"/>
    <w:rsid w:val="00362B7D"/>
    <w:rsid w:val="00363EE3"/>
    <w:rsid w:val="003650FF"/>
    <w:rsid w:val="003735F3"/>
    <w:rsid w:val="00374729"/>
    <w:rsid w:val="00377AC4"/>
    <w:rsid w:val="003813A9"/>
    <w:rsid w:val="00382911"/>
    <w:rsid w:val="003857C7"/>
    <w:rsid w:val="00387298"/>
    <w:rsid w:val="00387984"/>
    <w:rsid w:val="00395140"/>
    <w:rsid w:val="003A04B5"/>
    <w:rsid w:val="003A2422"/>
    <w:rsid w:val="003A3331"/>
    <w:rsid w:val="003B0D2B"/>
    <w:rsid w:val="003B149C"/>
    <w:rsid w:val="003C0FDB"/>
    <w:rsid w:val="003C1192"/>
    <w:rsid w:val="003C55E2"/>
    <w:rsid w:val="003C63D5"/>
    <w:rsid w:val="003C7AA8"/>
    <w:rsid w:val="003D2E24"/>
    <w:rsid w:val="003D71A1"/>
    <w:rsid w:val="003E325C"/>
    <w:rsid w:val="003F28DB"/>
    <w:rsid w:val="00405279"/>
    <w:rsid w:val="00405F21"/>
    <w:rsid w:val="00410163"/>
    <w:rsid w:val="0041688F"/>
    <w:rsid w:val="0042376F"/>
    <w:rsid w:val="004246B8"/>
    <w:rsid w:val="004248F1"/>
    <w:rsid w:val="00433318"/>
    <w:rsid w:val="004358C9"/>
    <w:rsid w:val="00435A42"/>
    <w:rsid w:val="004411D9"/>
    <w:rsid w:val="00441C23"/>
    <w:rsid w:val="00442A56"/>
    <w:rsid w:val="004444B0"/>
    <w:rsid w:val="0045060B"/>
    <w:rsid w:val="00451699"/>
    <w:rsid w:val="0045351E"/>
    <w:rsid w:val="004577D7"/>
    <w:rsid w:val="004612F7"/>
    <w:rsid w:val="00461575"/>
    <w:rsid w:val="004626FF"/>
    <w:rsid w:val="0046285C"/>
    <w:rsid w:val="00464DC5"/>
    <w:rsid w:val="00470A52"/>
    <w:rsid w:val="00471BD5"/>
    <w:rsid w:val="00477C4E"/>
    <w:rsid w:val="00477F07"/>
    <w:rsid w:val="00481503"/>
    <w:rsid w:val="00481D12"/>
    <w:rsid w:val="004854A6"/>
    <w:rsid w:val="00491A55"/>
    <w:rsid w:val="00494C3E"/>
    <w:rsid w:val="00497DF1"/>
    <w:rsid w:val="004A318E"/>
    <w:rsid w:val="004A45D4"/>
    <w:rsid w:val="004A510C"/>
    <w:rsid w:val="004A57E8"/>
    <w:rsid w:val="004B10DC"/>
    <w:rsid w:val="004B2018"/>
    <w:rsid w:val="004B3081"/>
    <w:rsid w:val="004B4A09"/>
    <w:rsid w:val="004B4F33"/>
    <w:rsid w:val="004C262A"/>
    <w:rsid w:val="004C41CE"/>
    <w:rsid w:val="004C4D40"/>
    <w:rsid w:val="004C631B"/>
    <w:rsid w:val="004D0933"/>
    <w:rsid w:val="004D2F00"/>
    <w:rsid w:val="004D31D8"/>
    <w:rsid w:val="004D35D1"/>
    <w:rsid w:val="004D4AD5"/>
    <w:rsid w:val="004D5301"/>
    <w:rsid w:val="004D5388"/>
    <w:rsid w:val="004E0D93"/>
    <w:rsid w:val="004E16C6"/>
    <w:rsid w:val="004E4F63"/>
    <w:rsid w:val="004E7F16"/>
    <w:rsid w:val="004F18EC"/>
    <w:rsid w:val="004F25F3"/>
    <w:rsid w:val="004F4C52"/>
    <w:rsid w:val="004F4CE3"/>
    <w:rsid w:val="00500D68"/>
    <w:rsid w:val="005079CE"/>
    <w:rsid w:val="00520274"/>
    <w:rsid w:val="005318ED"/>
    <w:rsid w:val="00532A68"/>
    <w:rsid w:val="0053377D"/>
    <w:rsid w:val="00535DFE"/>
    <w:rsid w:val="005373B5"/>
    <w:rsid w:val="00537AB7"/>
    <w:rsid w:val="00540495"/>
    <w:rsid w:val="0054669B"/>
    <w:rsid w:val="00553530"/>
    <w:rsid w:val="00553533"/>
    <w:rsid w:val="005561EF"/>
    <w:rsid w:val="00557684"/>
    <w:rsid w:val="0056061B"/>
    <w:rsid w:val="00560EC1"/>
    <w:rsid w:val="005610D1"/>
    <w:rsid w:val="00562F42"/>
    <w:rsid w:val="0056325D"/>
    <w:rsid w:val="00565739"/>
    <w:rsid w:val="0056766D"/>
    <w:rsid w:val="00575215"/>
    <w:rsid w:val="005775D0"/>
    <w:rsid w:val="00581138"/>
    <w:rsid w:val="005811BA"/>
    <w:rsid w:val="005835BC"/>
    <w:rsid w:val="0058439E"/>
    <w:rsid w:val="0058575E"/>
    <w:rsid w:val="0058783C"/>
    <w:rsid w:val="005911AE"/>
    <w:rsid w:val="005926E2"/>
    <w:rsid w:val="0059313A"/>
    <w:rsid w:val="005A54EA"/>
    <w:rsid w:val="005B023F"/>
    <w:rsid w:val="005B02A2"/>
    <w:rsid w:val="005B1417"/>
    <w:rsid w:val="005B69CF"/>
    <w:rsid w:val="005C3F07"/>
    <w:rsid w:val="005C4B46"/>
    <w:rsid w:val="005C5DC5"/>
    <w:rsid w:val="005D0E1E"/>
    <w:rsid w:val="005D1E53"/>
    <w:rsid w:val="005D2089"/>
    <w:rsid w:val="005D2BAE"/>
    <w:rsid w:val="005D596E"/>
    <w:rsid w:val="005D7514"/>
    <w:rsid w:val="005E0FC6"/>
    <w:rsid w:val="005E1A7B"/>
    <w:rsid w:val="005E231F"/>
    <w:rsid w:val="005E4D3C"/>
    <w:rsid w:val="005E77CB"/>
    <w:rsid w:val="00602D6E"/>
    <w:rsid w:val="00605C05"/>
    <w:rsid w:val="00606E7E"/>
    <w:rsid w:val="00610C52"/>
    <w:rsid w:val="00611351"/>
    <w:rsid w:val="0061217D"/>
    <w:rsid w:val="006129AE"/>
    <w:rsid w:val="0061377C"/>
    <w:rsid w:val="00614129"/>
    <w:rsid w:val="00615E9C"/>
    <w:rsid w:val="006203F3"/>
    <w:rsid w:val="00624E61"/>
    <w:rsid w:val="00625AA6"/>
    <w:rsid w:val="006277A1"/>
    <w:rsid w:val="00633BD7"/>
    <w:rsid w:val="00634580"/>
    <w:rsid w:val="00634884"/>
    <w:rsid w:val="006351D9"/>
    <w:rsid w:val="00637130"/>
    <w:rsid w:val="00637F0E"/>
    <w:rsid w:val="00641496"/>
    <w:rsid w:val="006423F2"/>
    <w:rsid w:val="006428C5"/>
    <w:rsid w:val="00650234"/>
    <w:rsid w:val="006513DD"/>
    <w:rsid w:val="006515D5"/>
    <w:rsid w:val="00656E8A"/>
    <w:rsid w:val="006576A7"/>
    <w:rsid w:val="0066044B"/>
    <w:rsid w:val="006630AA"/>
    <w:rsid w:val="00663544"/>
    <w:rsid w:val="00665B42"/>
    <w:rsid w:val="00666539"/>
    <w:rsid w:val="00666911"/>
    <w:rsid w:val="00667EB6"/>
    <w:rsid w:val="00675F81"/>
    <w:rsid w:val="0067704D"/>
    <w:rsid w:val="0068143E"/>
    <w:rsid w:val="0068224D"/>
    <w:rsid w:val="0068507D"/>
    <w:rsid w:val="00691AF2"/>
    <w:rsid w:val="00692B80"/>
    <w:rsid w:val="00692CCD"/>
    <w:rsid w:val="00692D51"/>
    <w:rsid w:val="00694DD7"/>
    <w:rsid w:val="00695EAA"/>
    <w:rsid w:val="0069636B"/>
    <w:rsid w:val="006A1762"/>
    <w:rsid w:val="006A19CE"/>
    <w:rsid w:val="006A1F0B"/>
    <w:rsid w:val="006A277A"/>
    <w:rsid w:val="006A5973"/>
    <w:rsid w:val="006B04F3"/>
    <w:rsid w:val="006B0EE3"/>
    <w:rsid w:val="006B57E6"/>
    <w:rsid w:val="006B5E64"/>
    <w:rsid w:val="006B7126"/>
    <w:rsid w:val="006C6B86"/>
    <w:rsid w:val="006C7F83"/>
    <w:rsid w:val="006D2959"/>
    <w:rsid w:val="006D4553"/>
    <w:rsid w:val="006D4A35"/>
    <w:rsid w:val="006D4D72"/>
    <w:rsid w:val="006D6B44"/>
    <w:rsid w:val="006E0F71"/>
    <w:rsid w:val="006E27FE"/>
    <w:rsid w:val="006E591D"/>
    <w:rsid w:val="006F5CA6"/>
    <w:rsid w:val="007007AD"/>
    <w:rsid w:val="00701110"/>
    <w:rsid w:val="00702E91"/>
    <w:rsid w:val="0070330F"/>
    <w:rsid w:val="00703624"/>
    <w:rsid w:val="007046ED"/>
    <w:rsid w:val="0070541F"/>
    <w:rsid w:val="00706B23"/>
    <w:rsid w:val="007072A1"/>
    <w:rsid w:val="0071060C"/>
    <w:rsid w:val="00710BC5"/>
    <w:rsid w:val="00711507"/>
    <w:rsid w:val="007121CA"/>
    <w:rsid w:val="0072003B"/>
    <w:rsid w:val="00721059"/>
    <w:rsid w:val="007211E6"/>
    <w:rsid w:val="00721687"/>
    <w:rsid w:val="007220C4"/>
    <w:rsid w:val="00725685"/>
    <w:rsid w:val="007305ED"/>
    <w:rsid w:val="007311B9"/>
    <w:rsid w:val="00732361"/>
    <w:rsid w:val="007357B9"/>
    <w:rsid w:val="00741AB9"/>
    <w:rsid w:val="00742D03"/>
    <w:rsid w:val="00744216"/>
    <w:rsid w:val="007452E8"/>
    <w:rsid w:val="00746990"/>
    <w:rsid w:val="00747093"/>
    <w:rsid w:val="00750D70"/>
    <w:rsid w:val="007575D0"/>
    <w:rsid w:val="00763972"/>
    <w:rsid w:val="007644EF"/>
    <w:rsid w:val="007662E0"/>
    <w:rsid w:val="00766FC9"/>
    <w:rsid w:val="00773783"/>
    <w:rsid w:val="00776E9C"/>
    <w:rsid w:val="007816D8"/>
    <w:rsid w:val="00784150"/>
    <w:rsid w:val="00785707"/>
    <w:rsid w:val="00792D10"/>
    <w:rsid w:val="00793272"/>
    <w:rsid w:val="0079499A"/>
    <w:rsid w:val="00794B64"/>
    <w:rsid w:val="00794E3D"/>
    <w:rsid w:val="007967C3"/>
    <w:rsid w:val="00797DFF"/>
    <w:rsid w:val="007A0A33"/>
    <w:rsid w:val="007A1147"/>
    <w:rsid w:val="007A39D3"/>
    <w:rsid w:val="007B04DE"/>
    <w:rsid w:val="007B0AE6"/>
    <w:rsid w:val="007B1F15"/>
    <w:rsid w:val="007B604E"/>
    <w:rsid w:val="007C0F0B"/>
    <w:rsid w:val="007C36A4"/>
    <w:rsid w:val="007C57BC"/>
    <w:rsid w:val="007C5A75"/>
    <w:rsid w:val="007D04CA"/>
    <w:rsid w:val="007D0A2B"/>
    <w:rsid w:val="007D12A1"/>
    <w:rsid w:val="007D2113"/>
    <w:rsid w:val="007D2F58"/>
    <w:rsid w:val="007D40E5"/>
    <w:rsid w:val="007D4138"/>
    <w:rsid w:val="007E4090"/>
    <w:rsid w:val="007E4178"/>
    <w:rsid w:val="007E6443"/>
    <w:rsid w:val="007F0A77"/>
    <w:rsid w:val="007F1E37"/>
    <w:rsid w:val="007F50D3"/>
    <w:rsid w:val="007F6B1F"/>
    <w:rsid w:val="007F7112"/>
    <w:rsid w:val="008013F0"/>
    <w:rsid w:val="00803926"/>
    <w:rsid w:val="00804897"/>
    <w:rsid w:val="00805629"/>
    <w:rsid w:val="00822DFF"/>
    <w:rsid w:val="00825D7E"/>
    <w:rsid w:val="00830789"/>
    <w:rsid w:val="008329DB"/>
    <w:rsid w:val="00835574"/>
    <w:rsid w:val="008361C5"/>
    <w:rsid w:val="0083628F"/>
    <w:rsid w:val="008377AB"/>
    <w:rsid w:val="008378FF"/>
    <w:rsid w:val="00837AB9"/>
    <w:rsid w:val="008405AC"/>
    <w:rsid w:val="008427E9"/>
    <w:rsid w:val="00850637"/>
    <w:rsid w:val="00854108"/>
    <w:rsid w:val="00854D79"/>
    <w:rsid w:val="00854D98"/>
    <w:rsid w:val="0085751E"/>
    <w:rsid w:val="00860B29"/>
    <w:rsid w:val="008622E8"/>
    <w:rsid w:val="008645EE"/>
    <w:rsid w:val="008656C1"/>
    <w:rsid w:val="00870144"/>
    <w:rsid w:val="0087072C"/>
    <w:rsid w:val="00871312"/>
    <w:rsid w:val="00873D7A"/>
    <w:rsid w:val="00877CB3"/>
    <w:rsid w:val="008804CF"/>
    <w:rsid w:val="00882D58"/>
    <w:rsid w:val="00882F19"/>
    <w:rsid w:val="00883812"/>
    <w:rsid w:val="00883D35"/>
    <w:rsid w:val="00883E71"/>
    <w:rsid w:val="00884569"/>
    <w:rsid w:val="00885407"/>
    <w:rsid w:val="00887A51"/>
    <w:rsid w:val="0089038A"/>
    <w:rsid w:val="00890D9B"/>
    <w:rsid w:val="00891C6C"/>
    <w:rsid w:val="00893CCD"/>
    <w:rsid w:val="008964B3"/>
    <w:rsid w:val="008B16DF"/>
    <w:rsid w:val="008B1CB5"/>
    <w:rsid w:val="008B2802"/>
    <w:rsid w:val="008B55D0"/>
    <w:rsid w:val="008C2D69"/>
    <w:rsid w:val="008C2F8C"/>
    <w:rsid w:val="008C4579"/>
    <w:rsid w:val="008C49C6"/>
    <w:rsid w:val="008C6BAA"/>
    <w:rsid w:val="008C754C"/>
    <w:rsid w:val="008C7B35"/>
    <w:rsid w:val="008D0540"/>
    <w:rsid w:val="008D144B"/>
    <w:rsid w:val="008D29EF"/>
    <w:rsid w:val="008D47DC"/>
    <w:rsid w:val="008D56C9"/>
    <w:rsid w:val="008D56CA"/>
    <w:rsid w:val="008D6A54"/>
    <w:rsid w:val="008E0661"/>
    <w:rsid w:val="008E2585"/>
    <w:rsid w:val="008E2D7A"/>
    <w:rsid w:val="008E453F"/>
    <w:rsid w:val="008E5793"/>
    <w:rsid w:val="008F2058"/>
    <w:rsid w:val="008F3123"/>
    <w:rsid w:val="008F3215"/>
    <w:rsid w:val="008F4A62"/>
    <w:rsid w:val="008F7256"/>
    <w:rsid w:val="00901CE7"/>
    <w:rsid w:val="0090424C"/>
    <w:rsid w:val="0090605E"/>
    <w:rsid w:val="00906C74"/>
    <w:rsid w:val="00910297"/>
    <w:rsid w:val="009108CE"/>
    <w:rsid w:val="00912B0E"/>
    <w:rsid w:val="00915A9F"/>
    <w:rsid w:val="0092091D"/>
    <w:rsid w:val="009213C1"/>
    <w:rsid w:val="009229FA"/>
    <w:rsid w:val="009261E0"/>
    <w:rsid w:val="0092624B"/>
    <w:rsid w:val="00930D58"/>
    <w:rsid w:val="00931B06"/>
    <w:rsid w:val="00935AAA"/>
    <w:rsid w:val="00942746"/>
    <w:rsid w:val="009449AF"/>
    <w:rsid w:val="00944FCE"/>
    <w:rsid w:val="0095031E"/>
    <w:rsid w:val="00952198"/>
    <w:rsid w:val="00954297"/>
    <w:rsid w:val="009556D4"/>
    <w:rsid w:val="009602F1"/>
    <w:rsid w:val="00960A56"/>
    <w:rsid w:val="00961F35"/>
    <w:rsid w:val="00966EF1"/>
    <w:rsid w:val="00967223"/>
    <w:rsid w:val="009751F7"/>
    <w:rsid w:val="0097633A"/>
    <w:rsid w:val="0098168B"/>
    <w:rsid w:val="0098350E"/>
    <w:rsid w:val="00985697"/>
    <w:rsid w:val="00990C12"/>
    <w:rsid w:val="00991C28"/>
    <w:rsid w:val="00992743"/>
    <w:rsid w:val="0099404F"/>
    <w:rsid w:val="00996FA5"/>
    <w:rsid w:val="00997E89"/>
    <w:rsid w:val="009B0350"/>
    <w:rsid w:val="009B5662"/>
    <w:rsid w:val="009C2211"/>
    <w:rsid w:val="009C3F9D"/>
    <w:rsid w:val="009C40E8"/>
    <w:rsid w:val="009C45C5"/>
    <w:rsid w:val="009C5D4C"/>
    <w:rsid w:val="009C5D72"/>
    <w:rsid w:val="009E2EF6"/>
    <w:rsid w:val="009E66CA"/>
    <w:rsid w:val="009E6858"/>
    <w:rsid w:val="009E6F8C"/>
    <w:rsid w:val="009F004B"/>
    <w:rsid w:val="009F405F"/>
    <w:rsid w:val="009F4431"/>
    <w:rsid w:val="009F689D"/>
    <w:rsid w:val="009F6D85"/>
    <w:rsid w:val="009F70FC"/>
    <w:rsid w:val="00A01C56"/>
    <w:rsid w:val="00A0434F"/>
    <w:rsid w:val="00A0514F"/>
    <w:rsid w:val="00A11978"/>
    <w:rsid w:val="00A31974"/>
    <w:rsid w:val="00A32C50"/>
    <w:rsid w:val="00A358E7"/>
    <w:rsid w:val="00A369FA"/>
    <w:rsid w:val="00A40BC6"/>
    <w:rsid w:val="00A4380B"/>
    <w:rsid w:val="00A51A2D"/>
    <w:rsid w:val="00A52392"/>
    <w:rsid w:val="00A52A54"/>
    <w:rsid w:val="00A52E88"/>
    <w:rsid w:val="00A5596B"/>
    <w:rsid w:val="00A63C07"/>
    <w:rsid w:val="00A63D9B"/>
    <w:rsid w:val="00A66691"/>
    <w:rsid w:val="00A674F7"/>
    <w:rsid w:val="00A704DC"/>
    <w:rsid w:val="00A8291A"/>
    <w:rsid w:val="00A870F8"/>
    <w:rsid w:val="00A9240A"/>
    <w:rsid w:val="00A93DC6"/>
    <w:rsid w:val="00A9411A"/>
    <w:rsid w:val="00A95BC8"/>
    <w:rsid w:val="00AA0FCF"/>
    <w:rsid w:val="00AA4A4B"/>
    <w:rsid w:val="00AA6682"/>
    <w:rsid w:val="00AB0613"/>
    <w:rsid w:val="00AB6EDF"/>
    <w:rsid w:val="00AB7C5C"/>
    <w:rsid w:val="00AB7CBF"/>
    <w:rsid w:val="00AC2448"/>
    <w:rsid w:val="00AC2814"/>
    <w:rsid w:val="00AD0111"/>
    <w:rsid w:val="00AD0B68"/>
    <w:rsid w:val="00AD40C3"/>
    <w:rsid w:val="00AD4C72"/>
    <w:rsid w:val="00AD5451"/>
    <w:rsid w:val="00AE1947"/>
    <w:rsid w:val="00AF1C8B"/>
    <w:rsid w:val="00AF2869"/>
    <w:rsid w:val="00AF299B"/>
    <w:rsid w:val="00AF2B59"/>
    <w:rsid w:val="00AF2F89"/>
    <w:rsid w:val="00AF7E43"/>
    <w:rsid w:val="00B02AE0"/>
    <w:rsid w:val="00B03F25"/>
    <w:rsid w:val="00B05326"/>
    <w:rsid w:val="00B14545"/>
    <w:rsid w:val="00B14E60"/>
    <w:rsid w:val="00B17283"/>
    <w:rsid w:val="00B17BA2"/>
    <w:rsid w:val="00B22A8E"/>
    <w:rsid w:val="00B26DC3"/>
    <w:rsid w:val="00B30B9D"/>
    <w:rsid w:val="00B359DC"/>
    <w:rsid w:val="00B376F7"/>
    <w:rsid w:val="00B450CB"/>
    <w:rsid w:val="00B4574D"/>
    <w:rsid w:val="00B468E1"/>
    <w:rsid w:val="00B46BC0"/>
    <w:rsid w:val="00B46DFB"/>
    <w:rsid w:val="00B5141B"/>
    <w:rsid w:val="00B54BA4"/>
    <w:rsid w:val="00B55681"/>
    <w:rsid w:val="00B565E9"/>
    <w:rsid w:val="00B57AAD"/>
    <w:rsid w:val="00B632C5"/>
    <w:rsid w:val="00B6374E"/>
    <w:rsid w:val="00B63D62"/>
    <w:rsid w:val="00B6462F"/>
    <w:rsid w:val="00B649DE"/>
    <w:rsid w:val="00B72B16"/>
    <w:rsid w:val="00B735EC"/>
    <w:rsid w:val="00B80408"/>
    <w:rsid w:val="00B80A35"/>
    <w:rsid w:val="00B81397"/>
    <w:rsid w:val="00B925DB"/>
    <w:rsid w:val="00B953C0"/>
    <w:rsid w:val="00B966C3"/>
    <w:rsid w:val="00B967FF"/>
    <w:rsid w:val="00B96EFB"/>
    <w:rsid w:val="00B974B9"/>
    <w:rsid w:val="00BA3F6D"/>
    <w:rsid w:val="00BA4BE6"/>
    <w:rsid w:val="00BA4FC0"/>
    <w:rsid w:val="00BA61E0"/>
    <w:rsid w:val="00BA657C"/>
    <w:rsid w:val="00BA7F7D"/>
    <w:rsid w:val="00BB1C14"/>
    <w:rsid w:val="00BB29D2"/>
    <w:rsid w:val="00BB6847"/>
    <w:rsid w:val="00BB7F8F"/>
    <w:rsid w:val="00BC58FC"/>
    <w:rsid w:val="00BC6F6C"/>
    <w:rsid w:val="00BC716A"/>
    <w:rsid w:val="00BD07DF"/>
    <w:rsid w:val="00BD26F4"/>
    <w:rsid w:val="00BD4752"/>
    <w:rsid w:val="00BD4D60"/>
    <w:rsid w:val="00BD5DBD"/>
    <w:rsid w:val="00BD5DF6"/>
    <w:rsid w:val="00BE0041"/>
    <w:rsid w:val="00BE4001"/>
    <w:rsid w:val="00BE640F"/>
    <w:rsid w:val="00BE6D2A"/>
    <w:rsid w:val="00BF169F"/>
    <w:rsid w:val="00BF4638"/>
    <w:rsid w:val="00BF5130"/>
    <w:rsid w:val="00C00844"/>
    <w:rsid w:val="00C01CCA"/>
    <w:rsid w:val="00C048D9"/>
    <w:rsid w:val="00C059D0"/>
    <w:rsid w:val="00C07551"/>
    <w:rsid w:val="00C1109F"/>
    <w:rsid w:val="00C12D65"/>
    <w:rsid w:val="00C133AB"/>
    <w:rsid w:val="00C137F1"/>
    <w:rsid w:val="00C20B56"/>
    <w:rsid w:val="00C218C6"/>
    <w:rsid w:val="00C22214"/>
    <w:rsid w:val="00C25950"/>
    <w:rsid w:val="00C26F72"/>
    <w:rsid w:val="00C309A7"/>
    <w:rsid w:val="00C335AB"/>
    <w:rsid w:val="00C34BA2"/>
    <w:rsid w:val="00C34C4E"/>
    <w:rsid w:val="00C407AB"/>
    <w:rsid w:val="00C52B7B"/>
    <w:rsid w:val="00C547CD"/>
    <w:rsid w:val="00C570FF"/>
    <w:rsid w:val="00C57C01"/>
    <w:rsid w:val="00C57CEA"/>
    <w:rsid w:val="00C60FEC"/>
    <w:rsid w:val="00C62B1C"/>
    <w:rsid w:val="00C64B59"/>
    <w:rsid w:val="00C6574E"/>
    <w:rsid w:val="00C663D1"/>
    <w:rsid w:val="00C707DF"/>
    <w:rsid w:val="00C707FD"/>
    <w:rsid w:val="00C76DEB"/>
    <w:rsid w:val="00C811D8"/>
    <w:rsid w:val="00C816C6"/>
    <w:rsid w:val="00C84EB3"/>
    <w:rsid w:val="00C863A7"/>
    <w:rsid w:val="00C87612"/>
    <w:rsid w:val="00C87D7F"/>
    <w:rsid w:val="00C912F4"/>
    <w:rsid w:val="00C9156F"/>
    <w:rsid w:val="00C9581A"/>
    <w:rsid w:val="00C95E4B"/>
    <w:rsid w:val="00C96CD8"/>
    <w:rsid w:val="00C97D29"/>
    <w:rsid w:val="00CA4BC9"/>
    <w:rsid w:val="00CB0550"/>
    <w:rsid w:val="00CB1A24"/>
    <w:rsid w:val="00CB6813"/>
    <w:rsid w:val="00CC010E"/>
    <w:rsid w:val="00CC42EE"/>
    <w:rsid w:val="00CC6CAC"/>
    <w:rsid w:val="00CD0EB4"/>
    <w:rsid w:val="00CE13C4"/>
    <w:rsid w:val="00CE2CD8"/>
    <w:rsid w:val="00CE3B4D"/>
    <w:rsid w:val="00CE7FDB"/>
    <w:rsid w:val="00CF6A55"/>
    <w:rsid w:val="00CF6DC6"/>
    <w:rsid w:val="00CF6DCF"/>
    <w:rsid w:val="00D01DDB"/>
    <w:rsid w:val="00D05D77"/>
    <w:rsid w:val="00D0646F"/>
    <w:rsid w:val="00D07883"/>
    <w:rsid w:val="00D078BE"/>
    <w:rsid w:val="00D13F8A"/>
    <w:rsid w:val="00D16F60"/>
    <w:rsid w:val="00D200BA"/>
    <w:rsid w:val="00D20337"/>
    <w:rsid w:val="00D212AD"/>
    <w:rsid w:val="00D22981"/>
    <w:rsid w:val="00D254FE"/>
    <w:rsid w:val="00D3349B"/>
    <w:rsid w:val="00D37C36"/>
    <w:rsid w:val="00D424A8"/>
    <w:rsid w:val="00D4457A"/>
    <w:rsid w:val="00D47C04"/>
    <w:rsid w:val="00D54F2A"/>
    <w:rsid w:val="00D56CB8"/>
    <w:rsid w:val="00D6036F"/>
    <w:rsid w:val="00D62877"/>
    <w:rsid w:val="00D63760"/>
    <w:rsid w:val="00D6703F"/>
    <w:rsid w:val="00D734EB"/>
    <w:rsid w:val="00D74DD8"/>
    <w:rsid w:val="00D82713"/>
    <w:rsid w:val="00D86F00"/>
    <w:rsid w:val="00D912AC"/>
    <w:rsid w:val="00D918D5"/>
    <w:rsid w:val="00D94C8E"/>
    <w:rsid w:val="00DB1372"/>
    <w:rsid w:val="00DB192C"/>
    <w:rsid w:val="00DB1CF3"/>
    <w:rsid w:val="00DB1D34"/>
    <w:rsid w:val="00DB234A"/>
    <w:rsid w:val="00DB3782"/>
    <w:rsid w:val="00DB5425"/>
    <w:rsid w:val="00DB72A6"/>
    <w:rsid w:val="00DC33AF"/>
    <w:rsid w:val="00DC6611"/>
    <w:rsid w:val="00DD0C53"/>
    <w:rsid w:val="00DD3477"/>
    <w:rsid w:val="00DD5AFB"/>
    <w:rsid w:val="00DD798F"/>
    <w:rsid w:val="00DD7D3B"/>
    <w:rsid w:val="00DE1344"/>
    <w:rsid w:val="00DE2DE1"/>
    <w:rsid w:val="00DF1CFD"/>
    <w:rsid w:val="00DF3FB4"/>
    <w:rsid w:val="00DF5BFE"/>
    <w:rsid w:val="00E039F9"/>
    <w:rsid w:val="00E0523F"/>
    <w:rsid w:val="00E054D8"/>
    <w:rsid w:val="00E23E50"/>
    <w:rsid w:val="00E26213"/>
    <w:rsid w:val="00E274DF"/>
    <w:rsid w:val="00E34D66"/>
    <w:rsid w:val="00E362C4"/>
    <w:rsid w:val="00E36E1F"/>
    <w:rsid w:val="00E36F5C"/>
    <w:rsid w:val="00E46CC2"/>
    <w:rsid w:val="00E47E0C"/>
    <w:rsid w:val="00E51813"/>
    <w:rsid w:val="00E52C0B"/>
    <w:rsid w:val="00E53D3F"/>
    <w:rsid w:val="00E5579B"/>
    <w:rsid w:val="00E56135"/>
    <w:rsid w:val="00E56CD6"/>
    <w:rsid w:val="00E57FF4"/>
    <w:rsid w:val="00E67796"/>
    <w:rsid w:val="00E679D1"/>
    <w:rsid w:val="00E67C1C"/>
    <w:rsid w:val="00E72E9D"/>
    <w:rsid w:val="00E87463"/>
    <w:rsid w:val="00E90FE2"/>
    <w:rsid w:val="00E91F11"/>
    <w:rsid w:val="00E96A0A"/>
    <w:rsid w:val="00E9706D"/>
    <w:rsid w:val="00EA3AF4"/>
    <w:rsid w:val="00EA5CE9"/>
    <w:rsid w:val="00EB49AA"/>
    <w:rsid w:val="00EB5552"/>
    <w:rsid w:val="00EB6897"/>
    <w:rsid w:val="00ED6668"/>
    <w:rsid w:val="00EE2195"/>
    <w:rsid w:val="00EE4B01"/>
    <w:rsid w:val="00EE60D3"/>
    <w:rsid w:val="00EF35FF"/>
    <w:rsid w:val="00EF3F0B"/>
    <w:rsid w:val="00EF5583"/>
    <w:rsid w:val="00F00440"/>
    <w:rsid w:val="00F0289D"/>
    <w:rsid w:val="00F02AEC"/>
    <w:rsid w:val="00F0497A"/>
    <w:rsid w:val="00F07572"/>
    <w:rsid w:val="00F157FC"/>
    <w:rsid w:val="00F1600B"/>
    <w:rsid w:val="00F2776F"/>
    <w:rsid w:val="00F30AF3"/>
    <w:rsid w:val="00F3517C"/>
    <w:rsid w:val="00F41196"/>
    <w:rsid w:val="00F428EE"/>
    <w:rsid w:val="00F43CD1"/>
    <w:rsid w:val="00F45AE0"/>
    <w:rsid w:val="00F47E61"/>
    <w:rsid w:val="00F512B0"/>
    <w:rsid w:val="00F60CF2"/>
    <w:rsid w:val="00F657B4"/>
    <w:rsid w:val="00F72725"/>
    <w:rsid w:val="00F73898"/>
    <w:rsid w:val="00F75A47"/>
    <w:rsid w:val="00F75F43"/>
    <w:rsid w:val="00F7649F"/>
    <w:rsid w:val="00F8083B"/>
    <w:rsid w:val="00F82D1B"/>
    <w:rsid w:val="00F8568E"/>
    <w:rsid w:val="00F865A7"/>
    <w:rsid w:val="00F93652"/>
    <w:rsid w:val="00FA0754"/>
    <w:rsid w:val="00FA1BC9"/>
    <w:rsid w:val="00FA2502"/>
    <w:rsid w:val="00FA49C3"/>
    <w:rsid w:val="00FB236E"/>
    <w:rsid w:val="00FB3F7B"/>
    <w:rsid w:val="00FB4C2A"/>
    <w:rsid w:val="00FB639D"/>
    <w:rsid w:val="00FC2107"/>
    <w:rsid w:val="00FC46D9"/>
    <w:rsid w:val="00FC48FE"/>
    <w:rsid w:val="00FC6F56"/>
    <w:rsid w:val="00FE087C"/>
    <w:rsid w:val="00FE4DE9"/>
    <w:rsid w:val="00FE79A0"/>
    <w:rsid w:val="00FE7BC4"/>
    <w:rsid w:val="00FF0939"/>
    <w:rsid w:val="00FF130D"/>
    <w:rsid w:val="00FF3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F83"/>
    <w:rPr>
      <w:rFonts w:ascii="Cambria" w:hAnsi="Cambria"/>
      <w:sz w:val="22"/>
    </w:rPr>
  </w:style>
  <w:style w:type="paragraph" w:styleId="Heading1">
    <w:name w:val="heading 1"/>
    <w:basedOn w:val="Normal"/>
    <w:next w:val="Normal"/>
    <w:link w:val="Heading1Char"/>
    <w:uiPriority w:val="9"/>
    <w:qFormat/>
    <w:rsid w:val="00F75F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uiPriority w:val="9"/>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uiPriority w:val="9"/>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1"/>
    <w:unhideWhenUsed/>
    <w:qFormat/>
    <w:rsid w:val="009F443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unhideWhenUsed/>
    <w:qFormat/>
    <w:rsid w:val="00B735E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qFormat/>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qFormat/>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qFormat/>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F75F43"/>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EE2195"/>
    <w:pPr>
      <w:widowControl w:val="0"/>
      <w:autoSpaceDE w:val="0"/>
      <w:autoSpaceDN w:val="0"/>
      <w:spacing w:before="81" w:after="0" w:line="240" w:lineRule="auto"/>
      <w:ind w:left="220"/>
    </w:pPr>
    <w:rPr>
      <w:rFonts w:eastAsia="Cambria" w:cs="Cambria"/>
      <w:szCs w:val="22"/>
      <w:lang w:val="en-US"/>
    </w:rPr>
  </w:style>
  <w:style w:type="paragraph" w:styleId="BodyText">
    <w:name w:val="Body Text"/>
    <w:basedOn w:val="Normal"/>
    <w:link w:val="BodyTextChar"/>
    <w:uiPriority w:val="1"/>
    <w:unhideWhenUsed/>
    <w:qFormat/>
    <w:rsid w:val="00540495"/>
  </w:style>
  <w:style w:type="character" w:customStyle="1" w:styleId="BodyTextChar">
    <w:name w:val="Body Text Char"/>
    <w:basedOn w:val="DefaultParagraphFont"/>
    <w:link w:val="BodyText"/>
    <w:uiPriority w:val="99"/>
    <w:semiHidden/>
    <w:rsid w:val="00540495"/>
    <w:rPr>
      <w:rFonts w:ascii="Cambria" w:hAnsi="Cambria"/>
      <w:sz w:val="22"/>
    </w:rPr>
  </w:style>
  <w:style w:type="character" w:customStyle="1" w:styleId="Heading7Char">
    <w:name w:val="Heading 7 Char"/>
    <w:basedOn w:val="DefaultParagraphFont"/>
    <w:link w:val="Heading7"/>
    <w:uiPriority w:val="9"/>
    <w:semiHidden/>
    <w:rsid w:val="009F4431"/>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B735EC"/>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how-we-regulate/supply-therapeutic-good-0/supply-prescription-medicine/application-process/prescription-medicines-registration-process"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tga.gov.au/resources/resource/guidance/risk-management-plans-medicines-and-biologicals/australia-specific-annex-eu-rmp" TargetMode="External"/><Relationship Id="rId50" Type="http://schemas.openxmlformats.org/officeDocument/2006/relationships/hyperlink" Target="https://www.tga.gov.au/guidance-7-certified-product-details" TargetMode="External"/><Relationship Id="rId55" Type="http://schemas.openxmlformats.org/officeDocument/2006/relationships/hyperlink" Target="mailto:info@tg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tga.gov.au/tgas-risk-management-approach" TargetMode="External"/><Relationship Id="rId53" Type="http://schemas.openxmlformats.org/officeDocument/2006/relationships/header" Target="header3.xm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hyperlink" Target="https://www.tga.gov.au/resources/resource/guidance/risk-management-plans-medicines-and-biologicals/australia-specific-annex-eu-rmp" TargetMode="External"/><Relationship Id="rId56" Type="http://schemas.openxmlformats.org/officeDocument/2006/relationships/hyperlink" Target="https://www.tga.gov.au" TargetMode="External"/><Relationship Id="rId8" Type="http://schemas.openxmlformats.org/officeDocument/2006/relationships/header" Target="header1.xml"/><Relationship Id="rId51" Type="http://schemas.openxmlformats.org/officeDocument/2006/relationships/hyperlink" Target="https://www.tga.gov.au/form/certified-product-details-cpd-biological-prescriptionmedicines" TargetMode="Externa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tga.gov.au/tgas-risk-management-approach" TargetMode="External"/><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black-triangle-schem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tga.gov.au/committee/advisory-committee-vaccines-acv" TargetMode="External"/><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https://www.tga.gov.au/publication/risk-management-plans-medicines-and-biologicals" TargetMode="External"/><Relationship Id="rId52" Type="http://schemas.openxmlformats.org/officeDocument/2006/relationships/hyperlink" Target="https://www.ebs.tga.gov.au/"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resources/artg/163897" TargetMode="External"/><Relationship Id="rId13" Type="http://schemas.openxmlformats.org/officeDocument/2006/relationships/hyperlink" Target="https://www.tga.gov.au/resources/artg/166312" TargetMode="External"/><Relationship Id="rId18" Type="http://schemas.openxmlformats.org/officeDocument/2006/relationships/hyperlink" Target="https://www.fda.gov/vaccines-blood-biologics/audenz" TargetMode="External"/><Relationship Id="rId26" Type="http://schemas.openxmlformats.org/officeDocument/2006/relationships/hyperlink" Target="https://doi.org/10.1093/ofid/ofz107" TargetMode="External"/><Relationship Id="rId3" Type="http://schemas.openxmlformats.org/officeDocument/2006/relationships/hyperlink" Target="https://www.who.int/europe/news-room/fact-sheets/item/how-pandemic-influenza-emerges" TargetMode="External"/><Relationship Id="rId21" Type="http://schemas.openxmlformats.org/officeDocument/2006/relationships/hyperlink" Target="https://www.ema.europa.eu/en/documents/overview/incellipan-epar-medicine-overview_en.pdf" TargetMode="External"/><Relationship Id="rId7" Type="http://schemas.openxmlformats.org/officeDocument/2006/relationships/hyperlink" Target="https://www.tga.gov.au/resources/artg/163900" TargetMode="External"/><Relationship Id="rId12" Type="http://schemas.openxmlformats.org/officeDocument/2006/relationships/hyperlink" Target="https://www.tga.gov.au/resources/artg/166312" TargetMode="External"/><Relationship Id="rId17" Type="http://schemas.openxmlformats.org/officeDocument/2006/relationships/hyperlink" Target="https://www.ema.europa.eu/en/medicines/human/EPAR/celldemic" TargetMode="External"/><Relationship Id="rId25" Type="http://schemas.openxmlformats.org/officeDocument/2006/relationships/hyperlink" Target="https://doi.org/10.1097/INF.0000000000002345" TargetMode="External"/><Relationship Id="rId2" Type="http://schemas.openxmlformats.org/officeDocument/2006/relationships/hyperlink" Target="https://doi.org/10.1111/nyas.12462" TargetMode="External"/><Relationship Id="rId16" Type="http://schemas.openxmlformats.org/officeDocument/2006/relationships/hyperlink" Target="https://www.ema.europa.eu/en/medicines/human/EPAR/incellipan" TargetMode="External"/><Relationship Id="rId20" Type="http://schemas.openxmlformats.org/officeDocument/2006/relationships/hyperlink" Target="https://www.ema.europa.eu/en/documents/overview/incellipan-epar-medicine-overview_en.pdf" TargetMode="External"/><Relationship Id="rId29" Type="http://schemas.openxmlformats.org/officeDocument/2006/relationships/hyperlink" Target="https://www.ema.europa.eu/en/documents/assessment-report/celldemic-epar-public-assessment-report_en.pdf" TargetMode="External"/><Relationship Id="rId1" Type="http://schemas.openxmlformats.org/officeDocument/2006/relationships/hyperlink" Target="https://doi.org/10.1016/j.tibtech.2017.06.005" TargetMode="External"/><Relationship Id="rId6" Type="http://schemas.openxmlformats.org/officeDocument/2006/relationships/hyperlink" Target="https://www.tga.gov.au/resources/artg/163900" TargetMode="External"/><Relationship Id="rId11" Type="http://schemas.openxmlformats.org/officeDocument/2006/relationships/hyperlink" Target="https://www.tga.gov.au/resources/artg/165345" TargetMode="External"/><Relationship Id="rId24" Type="http://schemas.openxmlformats.org/officeDocument/2006/relationships/hyperlink" Target="https://doi.org/10.1016/j.vaccine.2021.10.010" TargetMode="External"/><Relationship Id="rId5" Type="http://schemas.openxmlformats.org/officeDocument/2006/relationships/hyperlink" Target="https://www.tga.gov.au/resources/artg/421511" TargetMode="External"/><Relationship Id="rId15" Type="http://schemas.openxmlformats.org/officeDocument/2006/relationships/hyperlink" Target="https://www.tga.gov.au/resources/artg/137704" TargetMode="External"/><Relationship Id="rId23" Type="http://schemas.openxmlformats.org/officeDocument/2006/relationships/hyperlink" Target="https://clinicaltrials.gov/study/NCT05422326" TargetMode="External"/><Relationship Id="rId28" Type="http://schemas.openxmlformats.org/officeDocument/2006/relationships/hyperlink" Target="https://www.ema.europa.eu/en/documents/assessment-report/celldemic-epar-public-assessment-report_en.pdf" TargetMode="External"/><Relationship Id="rId10" Type="http://schemas.openxmlformats.org/officeDocument/2006/relationships/hyperlink" Target="https://www.tga.gov.au/resources/artg/165345" TargetMode="External"/><Relationship Id="rId19" Type="http://schemas.openxmlformats.org/officeDocument/2006/relationships/hyperlink" Target="https://doi.org/10.3390/vaccines10040497" TargetMode="External"/><Relationship Id="rId4" Type="http://schemas.openxmlformats.org/officeDocument/2006/relationships/hyperlink" Target="https://www.tga.gov.au/resources/artg/421511" TargetMode="External"/><Relationship Id="rId9" Type="http://schemas.openxmlformats.org/officeDocument/2006/relationships/hyperlink" Target="https://www.tga.gov.au/resources/artg/163897" TargetMode="External"/><Relationship Id="rId14" Type="http://schemas.openxmlformats.org/officeDocument/2006/relationships/hyperlink" Target="https://www.tga.gov.au/resources/artg/137704" TargetMode="External"/><Relationship Id="rId22" Type="http://schemas.openxmlformats.org/officeDocument/2006/relationships/hyperlink" Target="https://clinicaltrials.gov/study/NCT05422326" TargetMode="External"/><Relationship Id="rId27" Type="http://schemas.openxmlformats.org/officeDocument/2006/relationships/hyperlink" Target="https://doi.org/10.1080/21645515.2023.2193119"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45</Pages>
  <Words>14734</Words>
  <Characters>80070</Characters>
  <Application>Microsoft Office Word</Application>
  <DocSecurity>0</DocSecurity>
  <Lines>1654</Lines>
  <Paragraphs>638</Paragraphs>
  <ScaleCrop>false</ScaleCrop>
  <HeadingPairs>
    <vt:vector size="2" baseType="variant">
      <vt:variant>
        <vt:lpstr>Title</vt:lpstr>
      </vt:variant>
      <vt:variant>
        <vt:i4>1</vt:i4>
      </vt:variant>
    </vt:vector>
  </HeadingPairs>
  <TitlesOfParts>
    <vt:vector size="1" baseType="lpstr">
      <vt:lpstr>Australian public assessment report for Calcemic</vt:lpstr>
    </vt:vector>
  </TitlesOfParts>
  <Company>Department of Health, Disability and Ageing</Company>
  <LinksUpToDate>false</LinksUpToDate>
  <CharactersWithSpaces>94235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Calcemic</dc:title>
  <dc:subject>Prescription medicines</dc:subject>
  <dc:creator>Therapeutic Goods Administration</dc:creator>
  <cp:keywords/>
  <dc:description/>
  <cp:lastModifiedBy>LACK, Janet</cp:lastModifiedBy>
  <cp:revision>4</cp:revision>
  <dcterms:created xsi:type="dcterms:W3CDTF">2026-05-06T01:42:00Z</dcterms:created>
  <dcterms:modified xsi:type="dcterms:W3CDTF">2026-05-06T03:42:00Z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2025-12-01T03:47:48Z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93f14edd-a9cd-485c-a7b7-a4a0dd485297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ies>
</file>