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70AF548" w:rsidR="00F02AEC" w:rsidRPr="00215D48" w:rsidRDefault="00346EC2" w:rsidP="007452E8">
            <w:pPr>
              <w:pStyle w:val="Title"/>
            </w:pPr>
            <w:r w:rsidRPr="00346EC2">
              <w:t xml:space="preserve">Australian Public Assessment Report for </w:t>
            </w:r>
            <w:r w:rsidR="00A0536E">
              <w:t>Blenrep</w:t>
            </w:r>
            <w:fldSimple w:instr=" DOCVARIABLE vault_nd_5046f4b7-c40e-4fd6-a98b-41fc46fc4c33 \* MERGEFORMAT ">
              <w:r w:rsidR="00145B4A">
                <w:t xml:space="preserve"> </w:t>
              </w:r>
            </w:fldSimple>
          </w:p>
        </w:tc>
      </w:tr>
      <w:tr w:rsidR="00F02AEC" w:rsidRPr="00215D48" w14:paraId="318A40A3" w14:textId="77777777" w:rsidTr="00346EC2">
        <w:trPr>
          <w:trHeight w:val="995"/>
        </w:trPr>
        <w:tc>
          <w:tcPr>
            <w:tcW w:w="8720" w:type="dxa"/>
          </w:tcPr>
          <w:p w14:paraId="1AA7C701" w14:textId="4271B859" w:rsidR="00F02AEC" w:rsidRPr="00215D48" w:rsidRDefault="00346EC2" w:rsidP="007452E8">
            <w:pPr>
              <w:pStyle w:val="Subtitle"/>
              <w:ind w:left="0"/>
            </w:pPr>
            <w:r w:rsidRPr="00346EC2">
              <w:t xml:space="preserve">Active ingredient: </w:t>
            </w:r>
            <w:r w:rsidR="00174EDB" w:rsidRPr="00174EDB">
              <w:t>belantamab mafodotin</w:t>
            </w:r>
          </w:p>
        </w:tc>
      </w:tr>
      <w:tr w:rsidR="00346EC2" w:rsidRPr="00215D48" w14:paraId="362CCAE4" w14:textId="77777777" w:rsidTr="007452E8">
        <w:trPr>
          <w:trHeight w:val="1916"/>
        </w:trPr>
        <w:tc>
          <w:tcPr>
            <w:tcW w:w="8720" w:type="dxa"/>
          </w:tcPr>
          <w:p w14:paraId="709C45C0" w14:textId="1FBA1450" w:rsidR="00346EC2" w:rsidRPr="00215D48" w:rsidRDefault="00346EC2" w:rsidP="007452E8">
            <w:pPr>
              <w:pStyle w:val="Subtitle"/>
              <w:ind w:left="0"/>
            </w:pPr>
            <w:r w:rsidRPr="00346EC2">
              <w:t xml:space="preserve">Sponsor: </w:t>
            </w:r>
            <w:r w:rsidR="00174EDB" w:rsidRPr="00174EDB">
              <w:t>GlaxoSmithKline Australia Pty Ltd</w:t>
            </w:r>
          </w:p>
        </w:tc>
      </w:tr>
      <w:tr w:rsidR="00F02AEC" w:rsidRPr="00215D48" w14:paraId="37F2AA1F" w14:textId="77777777" w:rsidTr="007452E8">
        <w:tc>
          <w:tcPr>
            <w:tcW w:w="8720" w:type="dxa"/>
          </w:tcPr>
          <w:p w14:paraId="1FDE8DCD" w14:textId="293B9E7D" w:rsidR="00F02AEC" w:rsidRPr="00215D48" w:rsidRDefault="00E06201" w:rsidP="007452E8">
            <w:pPr>
              <w:pStyle w:val="Date"/>
            </w:pPr>
            <w:r>
              <w:t>April</w:t>
            </w:r>
            <w:r w:rsidR="00F02AEC" w:rsidRPr="00215D48">
              <w:t xml:space="preserve"> </w:t>
            </w:r>
            <w:r w:rsidR="00174EDB">
              <w:t>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0FD5D2AF" w:rsidR="00346EC2" w:rsidRPr="001F6CBA" w:rsidRDefault="00346EC2" w:rsidP="00346EC2">
      <w:pPr>
        <w:pStyle w:val="NonTOCHeading20"/>
      </w:pPr>
      <w:r w:rsidRPr="001F6CBA">
        <w:lastRenderedPageBreak/>
        <w:t>About the Therapeutic Goods Administration (TGA)</w:t>
      </w:r>
      <w:fldSimple w:instr=" DOCVARIABLE vault_nd_325b13f9-e0e1-4eb7-a856-24f5fa1c0e9d \* MERGEFORMAT ">
        <w:r w:rsidR="00145B4A">
          <w:t xml:space="preserve"> </w:t>
        </w:r>
      </w:fldSimple>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40B6EB3" w:rsidR="00346EC2" w:rsidRDefault="00346EC2" w:rsidP="00346EC2">
      <w:pPr>
        <w:pStyle w:val="NonTOCHeading20"/>
      </w:pPr>
      <w:r>
        <w:t>About AusPARs</w:t>
      </w:r>
      <w:fldSimple w:instr=" DOCVARIABLE vault_nd_1a29c9b5-f3f1-4da7-bdef-5118ccd811ba \* MERGEFORMAT ">
        <w:r w:rsidR="00145B4A">
          <w:t xml:space="preserve"> </w:t>
        </w:r>
      </w:fldSimple>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6DDF279" w:rsidR="00F02AEC" w:rsidRPr="00E1198B" w:rsidRDefault="00F02AEC" w:rsidP="00FE087C">
      <w:pPr>
        <w:pStyle w:val="LegalSubheading"/>
        <w:spacing w:before="3600"/>
      </w:pPr>
      <w:r w:rsidRPr="00BA0DFC">
        <w:t>Copyright</w:t>
      </w:r>
      <w:fldSimple w:instr=" DOCVARIABLE vault_nd_fb0fb2f6-2db5-4dba-8059-63cea2d6ca7e \* MERGEFORMAT ">
        <w:r w:rsidR="00145B4A">
          <w:t xml:space="preserve"> </w:t>
        </w:r>
      </w:fldSimple>
    </w:p>
    <w:p w14:paraId="170A8A5D" w14:textId="70D16D24" w:rsidR="00175CD8" w:rsidRPr="00346EC2" w:rsidRDefault="00F02AEC" w:rsidP="00346EC2">
      <w:pPr>
        <w:pStyle w:val="LegalCopy"/>
        <w:rPr>
          <w:rFonts w:cs="Arial"/>
        </w:rPr>
      </w:pPr>
      <w:r w:rsidRPr="00215D48">
        <w:rPr>
          <w:rFonts w:cs="Arial"/>
        </w:rPr>
        <w:t>© Commonwealth of Australia 20</w:t>
      </w:r>
      <w:r>
        <w:rPr>
          <w:rFonts w:cs="Arial"/>
        </w:rPr>
        <w:t>2</w:t>
      </w:r>
      <w:r w:rsidR="0009023D">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65A3C0A0" w:rsidR="00F02AEC" w:rsidRPr="00215D48" w:rsidRDefault="00F02AEC" w:rsidP="007452E8">
          <w:pPr>
            <w:pStyle w:val="NonTOCheading2"/>
          </w:pPr>
          <w:r w:rsidRPr="00215D48">
            <w:t>Contents</w:t>
          </w:r>
          <w:fldSimple w:instr=" DOCVARIABLE vault_nd_9ed64449-8c65-4bbb-8137-42a992b5d6f5 \* MERGEFORMAT ">
            <w:r w:rsidR="00145B4A">
              <w:t xml:space="preserve"> </w:t>
            </w:r>
          </w:fldSimple>
        </w:p>
        <w:p w14:paraId="31589696" w14:textId="493ACD8E" w:rsidR="00EB5CF5"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7758016" w:history="1">
            <w:r w:rsidR="00EB5CF5" w:rsidRPr="000D63D8">
              <w:rPr>
                <w:rStyle w:val="Hyperlink"/>
                <w:noProof/>
              </w:rPr>
              <w:t>List of abbreviations</w:t>
            </w:r>
            <w:r w:rsidR="00EB5CF5">
              <w:rPr>
                <w:noProof/>
                <w:webHidden/>
              </w:rPr>
              <w:tab/>
            </w:r>
            <w:r w:rsidR="00EB5CF5">
              <w:rPr>
                <w:noProof/>
                <w:webHidden/>
              </w:rPr>
              <w:fldChar w:fldCharType="begin"/>
            </w:r>
            <w:r w:rsidR="00EB5CF5">
              <w:rPr>
                <w:noProof/>
                <w:webHidden/>
              </w:rPr>
              <w:instrText xml:space="preserve"> PAGEREF _Toc227758016 \h </w:instrText>
            </w:r>
            <w:r w:rsidR="00EB5CF5">
              <w:rPr>
                <w:noProof/>
                <w:webHidden/>
              </w:rPr>
            </w:r>
            <w:r w:rsidR="00EB5CF5">
              <w:rPr>
                <w:noProof/>
                <w:webHidden/>
              </w:rPr>
              <w:fldChar w:fldCharType="separate"/>
            </w:r>
            <w:r w:rsidR="00EB5CF5">
              <w:rPr>
                <w:noProof/>
                <w:webHidden/>
              </w:rPr>
              <w:t>4</w:t>
            </w:r>
            <w:r w:rsidR="00EB5CF5">
              <w:rPr>
                <w:noProof/>
                <w:webHidden/>
              </w:rPr>
              <w:fldChar w:fldCharType="end"/>
            </w:r>
          </w:hyperlink>
        </w:p>
        <w:p w14:paraId="2E95D4CE" w14:textId="63DBAE89" w:rsidR="00EB5CF5" w:rsidRDefault="00EB5CF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7758017" w:history="1">
            <w:r w:rsidRPr="000D63D8">
              <w:rPr>
                <w:rStyle w:val="Hyperlink"/>
                <w:noProof/>
              </w:rPr>
              <w:t>Product submission</w:t>
            </w:r>
            <w:r>
              <w:rPr>
                <w:noProof/>
                <w:webHidden/>
              </w:rPr>
              <w:tab/>
            </w:r>
            <w:r>
              <w:rPr>
                <w:noProof/>
                <w:webHidden/>
              </w:rPr>
              <w:fldChar w:fldCharType="begin"/>
            </w:r>
            <w:r>
              <w:rPr>
                <w:noProof/>
                <w:webHidden/>
              </w:rPr>
              <w:instrText xml:space="preserve"> PAGEREF _Toc227758017 \h </w:instrText>
            </w:r>
            <w:r>
              <w:rPr>
                <w:noProof/>
                <w:webHidden/>
              </w:rPr>
            </w:r>
            <w:r>
              <w:rPr>
                <w:noProof/>
                <w:webHidden/>
              </w:rPr>
              <w:fldChar w:fldCharType="separate"/>
            </w:r>
            <w:r>
              <w:rPr>
                <w:noProof/>
                <w:webHidden/>
              </w:rPr>
              <w:t>5</w:t>
            </w:r>
            <w:r>
              <w:rPr>
                <w:noProof/>
                <w:webHidden/>
              </w:rPr>
              <w:fldChar w:fldCharType="end"/>
            </w:r>
          </w:hyperlink>
        </w:p>
        <w:p w14:paraId="4511B448" w14:textId="5409486E" w:rsidR="00EB5CF5" w:rsidRDefault="00EB5C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8018" w:history="1">
            <w:r w:rsidRPr="000D63D8">
              <w:rPr>
                <w:rStyle w:val="Hyperlink"/>
                <w:noProof/>
                <w:lang w:eastAsia="en-AU"/>
              </w:rPr>
              <w:t>Submission details</w:t>
            </w:r>
            <w:r>
              <w:rPr>
                <w:noProof/>
                <w:webHidden/>
              </w:rPr>
              <w:tab/>
            </w:r>
            <w:r>
              <w:rPr>
                <w:noProof/>
                <w:webHidden/>
              </w:rPr>
              <w:fldChar w:fldCharType="begin"/>
            </w:r>
            <w:r>
              <w:rPr>
                <w:noProof/>
                <w:webHidden/>
              </w:rPr>
              <w:instrText xml:space="preserve"> PAGEREF _Toc227758018 \h </w:instrText>
            </w:r>
            <w:r>
              <w:rPr>
                <w:noProof/>
                <w:webHidden/>
              </w:rPr>
            </w:r>
            <w:r>
              <w:rPr>
                <w:noProof/>
                <w:webHidden/>
              </w:rPr>
              <w:fldChar w:fldCharType="separate"/>
            </w:r>
            <w:r>
              <w:rPr>
                <w:noProof/>
                <w:webHidden/>
              </w:rPr>
              <w:t>5</w:t>
            </w:r>
            <w:r>
              <w:rPr>
                <w:noProof/>
                <w:webHidden/>
              </w:rPr>
              <w:fldChar w:fldCharType="end"/>
            </w:r>
          </w:hyperlink>
        </w:p>
        <w:p w14:paraId="533E1901" w14:textId="5C58F95A" w:rsidR="00EB5CF5" w:rsidRDefault="00EB5C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8019" w:history="1">
            <w:r w:rsidRPr="000D63D8">
              <w:rPr>
                <w:rStyle w:val="Hyperlink"/>
                <w:noProof/>
              </w:rPr>
              <w:t>Product background</w:t>
            </w:r>
            <w:r>
              <w:rPr>
                <w:noProof/>
                <w:webHidden/>
              </w:rPr>
              <w:tab/>
            </w:r>
            <w:r>
              <w:rPr>
                <w:noProof/>
                <w:webHidden/>
              </w:rPr>
              <w:fldChar w:fldCharType="begin"/>
            </w:r>
            <w:r>
              <w:rPr>
                <w:noProof/>
                <w:webHidden/>
              </w:rPr>
              <w:instrText xml:space="preserve"> PAGEREF _Toc227758019 \h </w:instrText>
            </w:r>
            <w:r>
              <w:rPr>
                <w:noProof/>
                <w:webHidden/>
              </w:rPr>
            </w:r>
            <w:r>
              <w:rPr>
                <w:noProof/>
                <w:webHidden/>
              </w:rPr>
              <w:fldChar w:fldCharType="separate"/>
            </w:r>
            <w:r>
              <w:rPr>
                <w:noProof/>
                <w:webHidden/>
              </w:rPr>
              <w:t>6</w:t>
            </w:r>
            <w:r>
              <w:rPr>
                <w:noProof/>
                <w:webHidden/>
              </w:rPr>
              <w:fldChar w:fldCharType="end"/>
            </w:r>
          </w:hyperlink>
        </w:p>
        <w:p w14:paraId="105215F4" w14:textId="55FBE5E0"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20" w:history="1">
            <w:r w:rsidRPr="000D63D8">
              <w:rPr>
                <w:rStyle w:val="Hyperlink"/>
                <w:noProof/>
              </w:rPr>
              <w:t>Disease or condition</w:t>
            </w:r>
            <w:r>
              <w:rPr>
                <w:noProof/>
                <w:webHidden/>
              </w:rPr>
              <w:tab/>
            </w:r>
            <w:r>
              <w:rPr>
                <w:noProof/>
                <w:webHidden/>
              </w:rPr>
              <w:fldChar w:fldCharType="begin"/>
            </w:r>
            <w:r>
              <w:rPr>
                <w:noProof/>
                <w:webHidden/>
              </w:rPr>
              <w:instrText xml:space="preserve"> PAGEREF _Toc227758020 \h </w:instrText>
            </w:r>
            <w:r>
              <w:rPr>
                <w:noProof/>
                <w:webHidden/>
              </w:rPr>
            </w:r>
            <w:r>
              <w:rPr>
                <w:noProof/>
                <w:webHidden/>
              </w:rPr>
              <w:fldChar w:fldCharType="separate"/>
            </w:r>
            <w:r>
              <w:rPr>
                <w:noProof/>
                <w:webHidden/>
              </w:rPr>
              <w:t>6</w:t>
            </w:r>
            <w:r>
              <w:rPr>
                <w:noProof/>
                <w:webHidden/>
              </w:rPr>
              <w:fldChar w:fldCharType="end"/>
            </w:r>
          </w:hyperlink>
        </w:p>
        <w:p w14:paraId="3820FC45" w14:textId="338968B7"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21" w:history="1">
            <w:r w:rsidRPr="000D63D8">
              <w:rPr>
                <w:rStyle w:val="Hyperlink"/>
                <w:noProof/>
              </w:rPr>
              <w:t>Current treatment options</w:t>
            </w:r>
            <w:r>
              <w:rPr>
                <w:noProof/>
                <w:webHidden/>
              </w:rPr>
              <w:tab/>
            </w:r>
            <w:r>
              <w:rPr>
                <w:noProof/>
                <w:webHidden/>
              </w:rPr>
              <w:fldChar w:fldCharType="begin"/>
            </w:r>
            <w:r>
              <w:rPr>
                <w:noProof/>
                <w:webHidden/>
              </w:rPr>
              <w:instrText xml:space="preserve"> PAGEREF _Toc227758021 \h </w:instrText>
            </w:r>
            <w:r>
              <w:rPr>
                <w:noProof/>
                <w:webHidden/>
              </w:rPr>
            </w:r>
            <w:r>
              <w:rPr>
                <w:noProof/>
                <w:webHidden/>
              </w:rPr>
              <w:fldChar w:fldCharType="separate"/>
            </w:r>
            <w:r>
              <w:rPr>
                <w:noProof/>
                <w:webHidden/>
              </w:rPr>
              <w:t>7</w:t>
            </w:r>
            <w:r>
              <w:rPr>
                <w:noProof/>
                <w:webHidden/>
              </w:rPr>
              <w:fldChar w:fldCharType="end"/>
            </w:r>
          </w:hyperlink>
        </w:p>
        <w:p w14:paraId="647AB99B" w14:textId="72DA9C31"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22" w:history="1">
            <w:r w:rsidRPr="000D63D8">
              <w:rPr>
                <w:rStyle w:val="Hyperlink"/>
                <w:noProof/>
              </w:rPr>
              <w:t>Clinical rationale</w:t>
            </w:r>
            <w:r>
              <w:rPr>
                <w:noProof/>
                <w:webHidden/>
              </w:rPr>
              <w:tab/>
            </w:r>
            <w:r>
              <w:rPr>
                <w:noProof/>
                <w:webHidden/>
              </w:rPr>
              <w:fldChar w:fldCharType="begin"/>
            </w:r>
            <w:r>
              <w:rPr>
                <w:noProof/>
                <w:webHidden/>
              </w:rPr>
              <w:instrText xml:space="preserve"> PAGEREF _Toc227758022 \h </w:instrText>
            </w:r>
            <w:r>
              <w:rPr>
                <w:noProof/>
                <w:webHidden/>
              </w:rPr>
            </w:r>
            <w:r>
              <w:rPr>
                <w:noProof/>
                <w:webHidden/>
              </w:rPr>
              <w:fldChar w:fldCharType="separate"/>
            </w:r>
            <w:r>
              <w:rPr>
                <w:noProof/>
                <w:webHidden/>
              </w:rPr>
              <w:t>8</w:t>
            </w:r>
            <w:r>
              <w:rPr>
                <w:noProof/>
                <w:webHidden/>
              </w:rPr>
              <w:fldChar w:fldCharType="end"/>
            </w:r>
          </w:hyperlink>
        </w:p>
        <w:p w14:paraId="532F67A5" w14:textId="6CC49285" w:rsidR="00EB5CF5" w:rsidRDefault="00EB5C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8023" w:history="1">
            <w:r w:rsidRPr="000D63D8">
              <w:rPr>
                <w:rStyle w:val="Hyperlink"/>
                <w:noProof/>
              </w:rPr>
              <w:t>Regulatory status</w:t>
            </w:r>
            <w:r>
              <w:rPr>
                <w:noProof/>
                <w:webHidden/>
              </w:rPr>
              <w:tab/>
            </w:r>
            <w:r>
              <w:rPr>
                <w:noProof/>
                <w:webHidden/>
              </w:rPr>
              <w:fldChar w:fldCharType="begin"/>
            </w:r>
            <w:r>
              <w:rPr>
                <w:noProof/>
                <w:webHidden/>
              </w:rPr>
              <w:instrText xml:space="preserve"> PAGEREF _Toc227758023 \h </w:instrText>
            </w:r>
            <w:r>
              <w:rPr>
                <w:noProof/>
                <w:webHidden/>
              </w:rPr>
            </w:r>
            <w:r>
              <w:rPr>
                <w:noProof/>
                <w:webHidden/>
              </w:rPr>
              <w:fldChar w:fldCharType="separate"/>
            </w:r>
            <w:r>
              <w:rPr>
                <w:noProof/>
                <w:webHidden/>
              </w:rPr>
              <w:t>8</w:t>
            </w:r>
            <w:r>
              <w:rPr>
                <w:noProof/>
                <w:webHidden/>
              </w:rPr>
              <w:fldChar w:fldCharType="end"/>
            </w:r>
          </w:hyperlink>
        </w:p>
        <w:p w14:paraId="5CA7F3D7" w14:textId="4B55919D"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24" w:history="1">
            <w:r w:rsidRPr="000D63D8">
              <w:rPr>
                <w:rStyle w:val="Hyperlink"/>
                <w:noProof/>
              </w:rPr>
              <w:t>Australian regulatory status</w:t>
            </w:r>
            <w:r>
              <w:rPr>
                <w:noProof/>
                <w:webHidden/>
              </w:rPr>
              <w:tab/>
            </w:r>
            <w:r>
              <w:rPr>
                <w:noProof/>
                <w:webHidden/>
              </w:rPr>
              <w:fldChar w:fldCharType="begin"/>
            </w:r>
            <w:r>
              <w:rPr>
                <w:noProof/>
                <w:webHidden/>
              </w:rPr>
              <w:instrText xml:space="preserve"> PAGEREF _Toc227758024 \h </w:instrText>
            </w:r>
            <w:r>
              <w:rPr>
                <w:noProof/>
                <w:webHidden/>
              </w:rPr>
            </w:r>
            <w:r>
              <w:rPr>
                <w:noProof/>
                <w:webHidden/>
              </w:rPr>
              <w:fldChar w:fldCharType="separate"/>
            </w:r>
            <w:r>
              <w:rPr>
                <w:noProof/>
                <w:webHidden/>
              </w:rPr>
              <w:t>8</w:t>
            </w:r>
            <w:r>
              <w:rPr>
                <w:noProof/>
                <w:webHidden/>
              </w:rPr>
              <w:fldChar w:fldCharType="end"/>
            </w:r>
          </w:hyperlink>
        </w:p>
        <w:p w14:paraId="32426336" w14:textId="61D51A08"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25" w:history="1">
            <w:r w:rsidRPr="000D63D8">
              <w:rPr>
                <w:rStyle w:val="Hyperlink"/>
                <w:noProof/>
              </w:rPr>
              <w:t>International regulatory status</w:t>
            </w:r>
            <w:r>
              <w:rPr>
                <w:noProof/>
                <w:webHidden/>
              </w:rPr>
              <w:tab/>
            </w:r>
            <w:r>
              <w:rPr>
                <w:noProof/>
                <w:webHidden/>
              </w:rPr>
              <w:fldChar w:fldCharType="begin"/>
            </w:r>
            <w:r>
              <w:rPr>
                <w:noProof/>
                <w:webHidden/>
              </w:rPr>
              <w:instrText xml:space="preserve"> PAGEREF _Toc227758025 \h </w:instrText>
            </w:r>
            <w:r>
              <w:rPr>
                <w:noProof/>
                <w:webHidden/>
              </w:rPr>
            </w:r>
            <w:r>
              <w:rPr>
                <w:noProof/>
                <w:webHidden/>
              </w:rPr>
              <w:fldChar w:fldCharType="separate"/>
            </w:r>
            <w:r>
              <w:rPr>
                <w:noProof/>
                <w:webHidden/>
              </w:rPr>
              <w:t>8</w:t>
            </w:r>
            <w:r>
              <w:rPr>
                <w:noProof/>
                <w:webHidden/>
              </w:rPr>
              <w:fldChar w:fldCharType="end"/>
            </w:r>
          </w:hyperlink>
        </w:p>
        <w:p w14:paraId="37E4DBDE" w14:textId="13CAE64E" w:rsidR="00EB5CF5" w:rsidRDefault="00EB5CF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7758026" w:history="1">
            <w:r w:rsidRPr="000D63D8">
              <w:rPr>
                <w:rStyle w:val="Hyperlink"/>
                <w:noProof/>
              </w:rPr>
              <w:t>Registration timeline</w:t>
            </w:r>
            <w:r>
              <w:rPr>
                <w:noProof/>
                <w:webHidden/>
              </w:rPr>
              <w:tab/>
            </w:r>
            <w:r>
              <w:rPr>
                <w:noProof/>
                <w:webHidden/>
              </w:rPr>
              <w:fldChar w:fldCharType="begin"/>
            </w:r>
            <w:r>
              <w:rPr>
                <w:noProof/>
                <w:webHidden/>
              </w:rPr>
              <w:instrText xml:space="preserve"> PAGEREF _Toc227758026 \h </w:instrText>
            </w:r>
            <w:r>
              <w:rPr>
                <w:noProof/>
                <w:webHidden/>
              </w:rPr>
            </w:r>
            <w:r>
              <w:rPr>
                <w:noProof/>
                <w:webHidden/>
              </w:rPr>
              <w:fldChar w:fldCharType="separate"/>
            </w:r>
            <w:r>
              <w:rPr>
                <w:noProof/>
                <w:webHidden/>
              </w:rPr>
              <w:t>9</w:t>
            </w:r>
            <w:r>
              <w:rPr>
                <w:noProof/>
                <w:webHidden/>
              </w:rPr>
              <w:fldChar w:fldCharType="end"/>
            </w:r>
          </w:hyperlink>
        </w:p>
        <w:p w14:paraId="61D3B7E7" w14:textId="04A809C7" w:rsidR="00EB5CF5" w:rsidRDefault="00EB5CF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7758027" w:history="1">
            <w:r w:rsidRPr="000D63D8">
              <w:rPr>
                <w:rStyle w:val="Hyperlink"/>
                <w:noProof/>
              </w:rPr>
              <w:t>Assessment overview</w:t>
            </w:r>
            <w:r>
              <w:rPr>
                <w:noProof/>
                <w:webHidden/>
              </w:rPr>
              <w:tab/>
            </w:r>
            <w:r>
              <w:rPr>
                <w:noProof/>
                <w:webHidden/>
              </w:rPr>
              <w:fldChar w:fldCharType="begin"/>
            </w:r>
            <w:r>
              <w:rPr>
                <w:noProof/>
                <w:webHidden/>
              </w:rPr>
              <w:instrText xml:space="preserve"> PAGEREF _Toc227758027 \h </w:instrText>
            </w:r>
            <w:r>
              <w:rPr>
                <w:noProof/>
                <w:webHidden/>
              </w:rPr>
            </w:r>
            <w:r>
              <w:rPr>
                <w:noProof/>
                <w:webHidden/>
              </w:rPr>
              <w:fldChar w:fldCharType="separate"/>
            </w:r>
            <w:r>
              <w:rPr>
                <w:noProof/>
                <w:webHidden/>
              </w:rPr>
              <w:t>9</w:t>
            </w:r>
            <w:r>
              <w:rPr>
                <w:noProof/>
                <w:webHidden/>
              </w:rPr>
              <w:fldChar w:fldCharType="end"/>
            </w:r>
          </w:hyperlink>
        </w:p>
        <w:p w14:paraId="1242F41C" w14:textId="3714178F" w:rsidR="00EB5CF5" w:rsidRDefault="00EB5C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8028" w:history="1">
            <w:r w:rsidRPr="000D63D8">
              <w:rPr>
                <w:rStyle w:val="Hyperlink"/>
                <w:noProof/>
              </w:rPr>
              <w:t>Quality evaluation summary</w:t>
            </w:r>
            <w:r>
              <w:rPr>
                <w:noProof/>
                <w:webHidden/>
              </w:rPr>
              <w:tab/>
            </w:r>
            <w:r>
              <w:rPr>
                <w:noProof/>
                <w:webHidden/>
              </w:rPr>
              <w:fldChar w:fldCharType="begin"/>
            </w:r>
            <w:r>
              <w:rPr>
                <w:noProof/>
                <w:webHidden/>
              </w:rPr>
              <w:instrText xml:space="preserve"> PAGEREF _Toc227758028 \h </w:instrText>
            </w:r>
            <w:r>
              <w:rPr>
                <w:noProof/>
                <w:webHidden/>
              </w:rPr>
            </w:r>
            <w:r>
              <w:rPr>
                <w:noProof/>
                <w:webHidden/>
              </w:rPr>
              <w:fldChar w:fldCharType="separate"/>
            </w:r>
            <w:r>
              <w:rPr>
                <w:noProof/>
                <w:webHidden/>
              </w:rPr>
              <w:t>9</w:t>
            </w:r>
            <w:r>
              <w:rPr>
                <w:noProof/>
                <w:webHidden/>
              </w:rPr>
              <w:fldChar w:fldCharType="end"/>
            </w:r>
          </w:hyperlink>
        </w:p>
        <w:p w14:paraId="2D9B8BD2" w14:textId="47912C15" w:rsidR="00EB5CF5" w:rsidRDefault="00EB5C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8029" w:history="1">
            <w:r w:rsidRPr="000D63D8">
              <w:rPr>
                <w:rStyle w:val="Hyperlink"/>
                <w:noProof/>
              </w:rPr>
              <w:t>Nonclinical evaluation summary</w:t>
            </w:r>
            <w:r>
              <w:rPr>
                <w:noProof/>
                <w:webHidden/>
              </w:rPr>
              <w:tab/>
            </w:r>
            <w:r>
              <w:rPr>
                <w:noProof/>
                <w:webHidden/>
              </w:rPr>
              <w:fldChar w:fldCharType="begin"/>
            </w:r>
            <w:r>
              <w:rPr>
                <w:noProof/>
                <w:webHidden/>
              </w:rPr>
              <w:instrText xml:space="preserve"> PAGEREF _Toc227758029 \h </w:instrText>
            </w:r>
            <w:r>
              <w:rPr>
                <w:noProof/>
                <w:webHidden/>
              </w:rPr>
            </w:r>
            <w:r>
              <w:rPr>
                <w:noProof/>
                <w:webHidden/>
              </w:rPr>
              <w:fldChar w:fldCharType="separate"/>
            </w:r>
            <w:r>
              <w:rPr>
                <w:noProof/>
                <w:webHidden/>
              </w:rPr>
              <w:t>10</w:t>
            </w:r>
            <w:r>
              <w:rPr>
                <w:noProof/>
                <w:webHidden/>
              </w:rPr>
              <w:fldChar w:fldCharType="end"/>
            </w:r>
          </w:hyperlink>
        </w:p>
        <w:p w14:paraId="434FD33A" w14:textId="04C6BF2C" w:rsidR="00EB5CF5" w:rsidRDefault="00EB5C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8030" w:history="1">
            <w:r w:rsidRPr="000D63D8">
              <w:rPr>
                <w:rStyle w:val="Hyperlink"/>
                <w:noProof/>
              </w:rPr>
              <w:t>Clinical evaluation summary</w:t>
            </w:r>
            <w:r>
              <w:rPr>
                <w:noProof/>
                <w:webHidden/>
              </w:rPr>
              <w:tab/>
            </w:r>
            <w:r>
              <w:rPr>
                <w:noProof/>
                <w:webHidden/>
              </w:rPr>
              <w:fldChar w:fldCharType="begin"/>
            </w:r>
            <w:r>
              <w:rPr>
                <w:noProof/>
                <w:webHidden/>
              </w:rPr>
              <w:instrText xml:space="preserve"> PAGEREF _Toc227758030 \h </w:instrText>
            </w:r>
            <w:r>
              <w:rPr>
                <w:noProof/>
                <w:webHidden/>
              </w:rPr>
            </w:r>
            <w:r>
              <w:rPr>
                <w:noProof/>
                <w:webHidden/>
              </w:rPr>
              <w:fldChar w:fldCharType="separate"/>
            </w:r>
            <w:r>
              <w:rPr>
                <w:noProof/>
                <w:webHidden/>
              </w:rPr>
              <w:t>12</w:t>
            </w:r>
            <w:r>
              <w:rPr>
                <w:noProof/>
                <w:webHidden/>
              </w:rPr>
              <w:fldChar w:fldCharType="end"/>
            </w:r>
          </w:hyperlink>
        </w:p>
        <w:p w14:paraId="68672D09" w14:textId="49466291"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31" w:history="1">
            <w:r w:rsidRPr="000D63D8">
              <w:rPr>
                <w:rStyle w:val="Hyperlink"/>
                <w:noProof/>
              </w:rPr>
              <w:t>Pharmacology</w:t>
            </w:r>
            <w:r>
              <w:rPr>
                <w:noProof/>
                <w:webHidden/>
              </w:rPr>
              <w:tab/>
            </w:r>
            <w:r>
              <w:rPr>
                <w:noProof/>
                <w:webHidden/>
              </w:rPr>
              <w:fldChar w:fldCharType="begin"/>
            </w:r>
            <w:r>
              <w:rPr>
                <w:noProof/>
                <w:webHidden/>
              </w:rPr>
              <w:instrText xml:space="preserve"> PAGEREF _Toc227758031 \h </w:instrText>
            </w:r>
            <w:r>
              <w:rPr>
                <w:noProof/>
                <w:webHidden/>
              </w:rPr>
            </w:r>
            <w:r>
              <w:rPr>
                <w:noProof/>
                <w:webHidden/>
              </w:rPr>
              <w:fldChar w:fldCharType="separate"/>
            </w:r>
            <w:r>
              <w:rPr>
                <w:noProof/>
                <w:webHidden/>
              </w:rPr>
              <w:t>12</w:t>
            </w:r>
            <w:r>
              <w:rPr>
                <w:noProof/>
                <w:webHidden/>
              </w:rPr>
              <w:fldChar w:fldCharType="end"/>
            </w:r>
          </w:hyperlink>
        </w:p>
        <w:p w14:paraId="5937B1B9" w14:textId="3525B10C"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32" w:history="1">
            <w:r w:rsidRPr="000D63D8">
              <w:rPr>
                <w:rStyle w:val="Hyperlink"/>
                <w:noProof/>
              </w:rPr>
              <w:t>Efficacy</w:t>
            </w:r>
            <w:r>
              <w:rPr>
                <w:noProof/>
                <w:webHidden/>
              </w:rPr>
              <w:tab/>
            </w:r>
            <w:r>
              <w:rPr>
                <w:noProof/>
                <w:webHidden/>
              </w:rPr>
              <w:fldChar w:fldCharType="begin"/>
            </w:r>
            <w:r>
              <w:rPr>
                <w:noProof/>
                <w:webHidden/>
              </w:rPr>
              <w:instrText xml:space="preserve"> PAGEREF _Toc227758032 \h </w:instrText>
            </w:r>
            <w:r>
              <w:rPr>
                <w:noProof/>
                <w:webHidden/>
              </w:rPr>
            </w:r>
            <w:r>
              <w:rPr>
                <w:noProof/>
                <w:webHidden/>
              </w:rPr>
              <w:fldChar w:fldCharType="separate"/>
            </w:r>
            <w:r>
              <w:rPr>
                <w:noProof/>
                <w:webHidden/>
              </w:rPr>
              <w:t>13</w:t>
            </w:r>
            <w:r>
              <w:rPr>
                <w:noProof/>
                <w:webHidden/>
              </w:rPr>
              <w:fldChar w:fldCharType="end"/>
            </w:r>
          </w:hyperlink>
        </w:p>
        <w:p w14:paraId="48A9DEEC" w14:textId="3A49D1F3"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33" w:history="1">
            <w:r w:rsidRPr="000D63D8">
              <w:rPr>
                <w:rStyle w:val="Hyperlink"/>
                <w:noProof/>
              </w:rPr>
              <w:t>Safety</w:t>
            </w:r>
            <w:r>
              <w:rPr>
                <w:noProof/>
                <w:webHidden/>
              </w:rPr>
              <w:tab/>
            </w:r>
            <w:r>
              <w:rPr>
                <w:noProof/>
                <w:webHidden/>
              </w:rPr>
              <w:fldChar w:fldCharType="begin"/>
            </w:r>
            <w:r>
              <w:rPr>
                <w:noProof/>
                <w:webHidden/>
              </w:rPr>
              <w:instrText xml:space="preserve"> PAGEREF _Toc227758033 \h </w:instrText>
            </w:r>
            <w:r>
              <w:rPr>
                <w:noProof/>
                <w:webHidden/>
              </w:rPr>
            </w:r>
            <w:r>
              <w:rPr>
                <w:noProof/>
                <w:webHidden/>
              </w:rPr>
              <w:fldChar w:fldCharType="separate"/>
            </w:r>
            <w:r>
              <w:rPr>
                <w:noProof/>
                <w:webHidden/>
              </w:rPr>
              <w:t>33</w:t>
            </w:r>
            <w:r>
              <w:rPr>
                <w:noProof/>
                <w:webHidden/>
              </w:rPr>
              <w:fldChar w:fldCharType="end"/>
            </w:r>
          </w:hyperlink>
        </w:p>
        <w:p w14:paraId="37D9DFF9" w14:textId="7C432C3D" w:rsidR="00EB5CF5" w:rsidRDefault="00EB5C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8034" w:history="1">
            <w:r w:rsidRPr="000D63D8">
              <w:rPr>
                <w:rStyle w:val="Hyperlink"/>
                <w:noProof/>
                <w:lang w:eastAsia="en-AU"/>
              </w:rPr>
              <w:t>Risk management plan</w:t>
            </w:r>
            <w:r>
              <w:rPr>
                <w:noProof/>
                <w:webHidden/>
              </w:rPr>
              <w:tab/>
            </w:r>
            <w:r>
              <w:rPr>
                <w:noProof/>
                <w:webHidden/>
              </w:rPr>
              <w:fldChar w:fldCharType="begin"/>
            </w:r>
            <w:r>
              <w:rPr>
                <w:noProof/>
                <w:webHidden/>
              </w:rPr>
              <w:instrText xml:space="preserve"> PAGEREF _Toc227758034 \h </w:instrText>
            </w:r>
            <w:r>
              <w:rPr>
                <w:noProof/>
                <w:webHidden/>
              </w:rPr>
            </w:r>
            <w:r>
              <w:rPr>
                <w:noProof/>
                <w:webHidden/>
              </w:rPr>
              <w:fldChar w:fldCharType="separate"/>
            </w:r>
            <w:r>
              <w:rPr>
                <w:noProof/>
                <w:webHidden/>
              </w:rPr>
              <w:t>35</w:t>
            </w:r>
            <w:r>
              <w:rPr>
                <w:noProof/>
                <w:webHidden/>
              </w:rPr>
              <w:fldChar w:fldCharType="end"/>
            </w:r>
          </w:hyperlink>
        </w:p>
        <w:p w14:paraId="3C721DF0" w14:textId="34534897" w:rsidR="00EB5CF5" w:rsidRDefault="00EB5C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8035" w:history="1">
            <w:r w:rsidRPr="000D63D8">
              <w:rPr>
                <w:rStyle w:val="Hyperlink"/>
                <w:noProof/>
              </w:rPr>
              <w:t>Risk-benefit analysis</w:t>
            </w:r>
            <w:r>
              <w:rPr>
                <w:noProof/>
                <w:webHidden/>
              </w:rPr>
              <w:tab/>
            </w:r>
            <w:r>
              <w:rPr>
                <w:noProof/>
                <w:webHidden/>
              </w:rPr>
              <w:fldChar w:fldCharType="begin"/>
            </w:r>
            <w:r>
              <w:rPr>
                <w:noProof/>
                <w:webHidden/>
              </w:rPr>
              <w:instrText xml:space="preserve"> PAGEREF _Toc227758035 \h </w:instrText>
            </w:r>
            <w:r>
              <w:rPr>
                <w:noProof/>
                <w:webHidden/>
              </w:rPr>
            </w:r>
            <w:r>
              <w:rPr>
                <w:noProof/>
                <w:webHidden/>
              </w:rPr>
              <w:fldChar w:fldCharType="separate"/>
            </w:r>
            <w:r>
              <w:rPr>
                <w:noProof/>
                <w:webHidden/>
              </w:rPr>
              <w:t>36</w:t>
            </w:r>
            <w:r>
              <w:rPr>
                <w:noProof/>
                <w:webHidden/>
              </w:rPr>
              <w:fldChar w:fldCharType="end"/>
            </w:r>
          </w:hyperlink>
        </w:p>
        <w:p w14:paraId="00F348CC" w14:textId="02765213"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36" w:history="1">
            <w:r w:rsidRPr="000D63D8">
              <w:rPr>
                <w:rStyle w:val="Hyperlink"/>
                <w:noProof/>
              </w:rPr>
              <w:t>Efficacy</w:t>
            </w:r>
            <w:r>
              <w:rPr>
                <w:noProof/>
                <w:webHidden/>
              </w:rPr>
              <w:tab/>
            </w:r>
            <w:r>
              <w:rPr>
                <w:noProof/>
                <w:webHidden/>
              </w:rPr>
              <w:fldChar w:fldCharType="begin"/>
            </w:r>
            <w:r>
              <w:rPr>
                <w:noProof/>
                <w:webHidden/>
              </w:rPr>
              <w:instrText xml:space="preserve"> PAGEREF _Toc227758036 \h </w:instrText>
            </w:r>
            <w:r>
              <w:rPr>
                <w:noProof/>
                <w:webHidden/>
              </w:rPr>
            </w:r>
            <w:r>
              <w:rPr>
                <w:noProof/>
                <w:webHidden/>
              </w:rPr>
              <w:fldChar w:fldCharType="separate"/>
            </w:r>
            <w:r>
              <w:rPr>
                <w:noProof/>
                <w:webHidden/>
              </w:rPr>
              <w:t>36</w:t>
            </w:r>
            <w:r>
              <w:rPr>
                <w:noProof/>
                <w:webHidden/>
              </w:rPr>
              <w:fldChar w:fldCharType="end"/>
            </w:r>
          </w:hyperlink>
        </w:p>
        <w:p w14:paraId="103C6DF7" w14:textId="3816009A"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37" w:history="1">
            <w:r w:rsidRPr="000D63D8">
              <w:rPr>
                <w:rStyle w:val="Hyperlink"/>
                <w:noProof/>
              </w:rPr>
              <w:t>Safety</w:t>
            </w:r>
            <w:r>
              <w:rPr>
                <w:noProof/>
                <w:webHidden/>
              </w:rPr>
              <w:tab/>
            </w:r>
            <w:r>
              <w:rPr>
                <w:noProof/>
                <w:webHidden/>
              </w:rPr>
              <w:fldChar w:fldCharType="begin"/>
            </w:r>
            <w:r>
              <w:rPr>
                <w:noProof/>
                <w:webHidden/>
              </w:rPr>
              <w:instrText xml:space="preserve"> PAGEREF _Toc227758037 \h </w:instrText>
            </w:r>
            <w:r>
              <w:rPr>
                <w:noProof/>
                <w:webHidden/>
              </w:rPr>
            </w:r>
            <w:r>
              <w:rPr>
                <w:noProof/>
                <w:webHidden/>
              </w:rPr>
              <w:fldChar w:fldCharType="separate"/>
            </w:r>
            <w:r>
              <w:rPr>
                <w:noProof/>
                <w:webHidden/>
              </w:rPr>
              <w:t>37</w:t>
            </w:r>
            <w:r>
              <w:rPr>
                <w:noProof/>
                <w:webHidden/>
              </w:rPr>
              <w:fldChar w:fldCharType="end"/>
            </w:r>
          </w:hyperlink>
        </w:p>
        <w:p w14:paraId="79534484" w14:textId="102E11EA"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38" w:history="1">
            <w:r w:rsidRPr="000D63D8">
              <w:rPr>
                <w:rStyle w:val="Hyperlink"/>
                <w:noProof/>
              </w:rPr>
              <w:t>Conclusions</w:t>
            </w:r>
            <w:r>
              <w:rPr>
                <w:noProof/>
                <w:webHidden/>
              </w:rPr>
              <w:tab/>
            </w:r>
            <w:r>
              <w:rPr>
                <w:noProof/>
                <w:webHidden/>
              </w:rPr>
              <w:fldChar w:fldCharType="begin"/>
            </w:r>
            <w:r>
              <w:rPr>
                <w:noProof/>
                <w:webHidden/>
              </w:rPr>
              <w:instrText xml:space="preserve"> PAGEREF _Toc227758038 \h </w:instrText>
            </w:r>
            <w:r>
              <w:rPr>
                <w:noProof/>
                <w:webHidden/>
              </w:rPr>
            </w:r>
            <w:r>
              <w:rPr>
                <w:noProof/>
                <w:webHidden/>
              </w:rPr>
              <w:fldChar w:fldCharType="separate"/>
            </w:r>
            <w:r>
              <w:rPr>
                <w:noProof/>
                <w:webHidden/>
              </w:rPr>
              <w:t>38</w:t>
            </w:r>
            <w:r>
              <w:rPr>
                <w:noProof/>
                <w:webHidden/>
              </w:rPr>
              <w:fldChar w:fldCharType="end"/>
            </w:r>
          </w:hyperlink>
        </w:p>
        <w:p w14:paraId="0A78729B" w14:textId="7A917976" w:rsidR="00EB5CF5" w:rsidRDefault="00EB5CF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7758039" w:history="1">
            <w:r w:rsidRPr="000D63D8">
              <w:rPr>
                <w:rStyle w:val="Hyperlink"/>
                <w:noProof/>
              </w:rPr>
              <w:t>Assessment outcome</w:t>
            </w:r>
            <w:r>
              <w:rPr>
                <w:noProof/>
                <w:webHidden/>
              </w:rPr>
              <w:tab/>
            </w:r>
            <w:r>
              <w:rPr>
                <w:noProof/>
                <w:webHidden/>
              </w:rPr>
              <w:fldChar w:fldCharType="begin"/>
            </w:r>
            <w:r>
              <w:rPr>
                <w:noProof/>
                <w:webHidden/>
              </w:rPr>
              <w:instrText xml:space="preserve"> PAGEREF _Toc227758039 \h </w:instrText>
            </w:r>
            <w:r>
              <w:rPr>
                <w:noProof/>
                <w:webHidden/>
              </w:rPr>
            </w:r>
            <w:r>
              <w:rPr>
                <w:noProof/>
                <w:webHidden/>
              </w:rPr>
              <w:fldChar w:fldCharType="separate"/>
            </w:r>
            <w:r>
              <w:rPr>
                <w:noProof/>
                <w:webHidden/>
              </w:rPr>
              <w:t>39</w:t>
            </w:r>
            <w:r>
              <w:rPr>
                <w:noProof/>
                <w:webHidden/>
              </w:rPr>
              <w:fldChar w:fldCharType="end"/>
            </w:r>
          </w:hyperlink>
        </w:p>
        <w:p w14:paraId="49D15CBB" w14:textId="6DC76C2E"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40" w:history="1">
            <w:r w:rsidRPr="000D63D8">
              <w:rPr>
                <w:rStyle w:val="Hyperlink"/>
                <w:noProof/>
              </w:rPr>
              <w:t>Specific conditions of registration</w:t>
            </w:r>
            <w:r>
              <w:rPr>
                <w:noProof/>
                <w:webHidden/>
              </w:rPr>
              <w:tab/>
            </w:r>
            <w:r>
              <w:rPr>
                <w:noProof/>
                <w:webHidden/>
              </w:rPr>
              <w:fldChar w:fldCharType="begin"/>
            </w:r>
            <w:r>
              <w:rPr>
                <w:noProof/>
                <w:webHidden/>
              </w:rPr>
              <w:instrText xml:space="preserve"> PAGEREF _Toc227758040 \h </w:instrText>
            </w:r>
            <w:r>
              <w:rPr>
                <w:noProof/>
                <w:webHidden/>
              </w:rPr>
            </w:r>
            <w:r>
              <w:rPr>
                <w:noProof/>
                <w:webHidden/>
              </w:rPr>
              <w:fldChar w:fldCharType="separate"/>
            </w:r>
            <w:r>
              <w:rPr>
                <w:noProof/>
                <w:webHidden/>
              </w:rPr>
              <w:t>39</w:t>
            </w:r>
            <w:r>
              <w:rPr>
                <w:noProof/>
                <w:webHidden/>
              </w:rPr>
              <w:fldChar w:fldCharType="end"/>
            </w:r>
          </w:hyperlink>
        </w:p>
        <w:p w14:paraId="7FDF4327" w14:textId="658EA2F5" w:rsidR="00EB5CF5" w:rsidRDefault="00EB5C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8041" w:history="1">
            <w:r w:rsidRPr="000D63D8">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_Toc227758041 \h </w:instrText>
            </w:r>
            <w:r>
              <w:rPr>
                <w:noProof/>
                <w:webHidden/>
              </w:rPr>
            </w:r>
            <w:r>
              <w:rPr>
                <w:noProof/>
                <w:webHidden/>
              </w:rPr>
              <w:fldChar w:fldCharType="separate"/>
            </w:r>
            <w:r>
              <w:rPr>
                <w:noProof/>
                <w:webHidden/>
              </w:rPr>
              <w:t>40</w:t>
            </w:r>
            <w:r>
              <w:rPr>
                <w:noProof/>
                <w:webHidden/>
              </w:rPr>
              <w:fldChar w:fldCharType="end"/>
            </w:r>
          </w:hyperlink>
        </w:p>
        <w:p w14:paraId="77659F2D" w14:textId="33202B7A"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65C4F4A9" w:rsidR="00324B33" w:rsidRDefault="00324B33" w:rsidP="00324B33">
      <w:pPr>
        <w:pStyle w:val="Heading2"/>
      </w:pPr>
      <w:bookmarkStart w:id="0" w:name="_Toc98931917"/>
      <w:bookmarkStart w:id="1" w:name="_Toc103679287"/>
      <w:bookmarkStart w:id="2" w:name="_Toc227758016"/>
      <w:bookmarkStart w:id="3" w:name="_Toc323739589"/>
      <w:bookmarkStart w:id="4" w:name="_Toc356305216"/>
      <w:r>
        <w:lastRenderedPageBreak/>
        <w:t>List of abbreviations</w:t>
      </w:r>
      <w:bookmarkEnd w:id="0"/>
      <w:bookmarkEnd w:id="1"/>
      <w:bookmarkEnd w:id="2"/>
      <w:r w:rsidR="00145B4A">
        <w:fldChar w:fldCharType="begin"/>
      </w:r>
      <w:r w:rsidR="00145B4A">
        <w:instrText xml:space="preserve"> DOCVARIABLE vault_nd_b98a6b45-3ceb-4d0f-b607-63a64fd7f5a7 \* MERGEFORMAT </w:instrText>
      </w:r>
      <w:r w:rsidR="00145B4A">
        <w:fldChar w:fldCharType="separate"/>
      </w:r>
      <w:r w:rsidR="00145B4A">
        <w:t xml:space="preserve"> </w:t>
      </w:r>
      <w:r w:rsidR="00145B4A">
        <w:fldChar w:fldCharType="end"/>
      </w:r>
    </w:p>
    <w:tbl>
      <w:tblPr>
        <w:tblStyle w:val="TableTGAblue2023"/>
        <w:tblW w:w="5000" w:type="pct"/>
        <w:tblLook w:val="04A0" w:firstRow="1" w:lastRow="0" w:firstColumn="1" w:lastColumn="0" w:noHBand="0" w:noVBand="1"/>
      </w:tblPr>
      <w:tblGrid>
        <w:gridCol w:w="2305"/>
        <w:gridCol w:w="6755"/>
      </w:tblGrid>
      <w:tr w:rsidR="00A33381" w:rsidRPr="00A33381" w14:paraId="6FE7884F" w14:textId="77777777" w:rsidTr="00893CC2">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72" w:type="pct"/>
          </w:tcPr>
          <w:p w14:paraId="2F6B1E55" w14:textId="77777777" w:rsidR="00A33381" w:rsidRPr="00A33381" w:rsidRDefault="00A33381" w:rsidP="00893CC2">
            <w:pPr>
              <w:rPr>
                <w:szCs w:val="22"/>
              </w:rPr>
            </w:pPr>
            <w:r w:rsidRPr="00A33381">
              <w:rPr>
                <w:szCs w:val="22"/>
              </w:rPr>
              <w:t>Abbreviation</w:t>
            </w:r>
          </w:p>
        </w:tc>
        <w:tc>
          <w:tcPr>
            <w:tcW w:w="3728" w:type="pct"/>
          </w:tcPr>
          <w:p w14:paraId="3B776EEF" w14:textId="77777777" w:rsidR="00A33381" w:rsidRPr="00A33381" w:rsidRDefault="00A33381" w:rsidP="00893CC2">
            <w:pPr>
              <w:cnfStyle w:val="100000000000" w:firstRow="1" w:lastRow="0" w:firstColumn="0" w:lastColumn="0" w:oddVBand="0" w:evenVBand="0" w:oddHBand="0" w:evenHBand="0" w:firstRowFirstColumn="0" w:firstRowLastColumn="0" w:lastRowFirstColumn="0" w:lastRowLastColumn="0"/>
              <w:rPr>
                <w:szCs w:val="22"/>
              </w:rPr>
            </w:pPr>
            <w:r w:rsidRPr="00A33381">
              <w:rPr>
                <w:szCs w:val="22"/>
              </w:rPr>
              <w:t>Meaning</w:t>
            </w:r>
          </w:p>
        </w:tc>
      </w:tr>
      <w:tr w:rsidR="00A33381" w:rsidRPr="00A33381" w14:paraId="2F773CE5"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20653576" w14:textId="77777777" w:rsidR="00A33381" w:rsidRPr="00A33381" w:rsidRDefault="00A33381" w:rsidP="00893CC2">
            <w:pPr>
              <w:rPr>
                <w:szCs w:val="22"/>
              </w:rPr>
            </w:pPr>
            <w:r w:rsidRPr="00A33381">
              <w:rPr>
                <w:szCs w:val="22"/>
              </w:rPr>
              <w:t xml:space="preserve">AEs </w:t>
            </w:r>
          </w:p>
        </w:tc>
        <w:tc>
          <w:tcPr>
            <w:tcW w:w="3728" w:type="pct"/>
          </w:tcPr>
          <w:p w14:paraId="65C0C5F5"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 xml:space="preserve">Adverse event(s) </w:t>
            </w:r>
          </w:p>
        </w:tc>
      </w:tr>
      <w:tr w:rsidR="00A33381" w:rsidRPr="00A33381" w14:paraId="0196BE06"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0C67DE75" w14:textId="77777777" w:rsidR="00A33381" w:rsidRPr="00A33381" w:rsidRDefault="00A33381" w:rsidP="00893CC2">
            <w:pPr>
              <w:rPr>
                <w:szCs w:val="22"/>
              </w:rPr>
            </w:pPr>
            <w:r w:rsidRPr="00A33381">
              <w:rPr>
                <w:szCs w:val="22"/>
              </w:rPr>
              <w:t>ARTG</w:t>
            </w:r>
          </w:p>
        </w:tc>
        <w:tc>
          <w:tcPr>
            <w:tcW w:w="3728" w:type="pct"/>
          </w:tcPr>
          <w:p w14:paraId="07CDEA00"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Australian Register of Therapeutic Goods</w:t>
            </w:r>
          </w:p>
        </w:tc>
      </w:tr>
      <w:tr w:rsidR="00A33381" w:rsidRPr="00A33381" w14:paraId="5F6FD999"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0F048C41" w14:textId="77777777" w:rsidR="00A33381" w:rsidRPr="00A33381" w:rsidRDefault="00A33381" w:rsidP="00893CC2">
            <w:pPr>
              <w:rPr>
                <w:szCs w:val="22"/>
              </w:rPr>
            </w:pPr>
            <w:r w:rsidRPr="00A33381">
              <w:rPr>
                <w:szCs w:val="22"/>
              </w:rPr>
              <w:t>ASA</w:t>
            </w:r>
          </w:p>
        </w:tc>
        <w:tc>
          <w:tcPr>
            <w:tcW w:w="3728" w:type="pct"/>
          </w:tcPr>
          <w:p w14:paraId="3C854333"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Australia</w:t>
            </w:r>
            <w:r w:rsidRPr="00A33381">
              <w:rPr>
                <w:szCs w:val="22"/>
              </w:rPr>
              <w:noBreakHyphen/>
              <w:t>specific annex</w:t>
            </w:r>
          </w:p>
        </w:tc>
      </w:tr>
      <w:tr w:rsidR="00A33381" w:rsidRPr="00A33381" w14:paraId="19BC54F3"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60FBB179" w14:textId="77777777" w:rsidR="00A33381" w:rsidRPr="00A33381" w:rsidRDefault="00A33381" w:rsidP="00893CC2">
            <w:pPr>
              <w:rPr>
                <w:szCs w:val="22"/>
              </w:rPr>
            </w:pPr>
            <w:r w:rsidRPr="00A33381">
              <w:rPr>
                <w:szCs w:val="22"/>
              </w:rPr>
              <w:t>AUC</w:t>
            </w:r>
          </w:p>
        </w:tc>
        <w:tc>
          <w:tcPr>
            <w:tcW w:w="3728" w:type="pct"/>
          </w:tcPr>
          <w:p w14:paraId="32D46891"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Area under the concentration-time curve</w:t>
            </w:r>
          </w:p>
        </w:tc>
      </w:tr>
      <w:tr w:rsidR="00A33381" w:rsidRPr="00A33381" w14:paraId="22D285B3"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6913B2AF" w14:textId="77777777" w:rsidR="00A33381" w:rsidRPr="00A33381" w:rsidRDefault="00A33381" w:rsidP="00893CC2">
            <w:pPr>
              <w:rPr>
                <w:szCs w:val="22"/>
              </w:rPr>
            </w:pPr>
            <w:r w:rsidRPr="00A33381">
              <w:rPr>
                <w:szCs w:val="22"/>
              </w:rPr>
              <w:t>BCMA</w:t>
            </w:r>
          </w:p>
        </w:tc>
        <w:tc>
          <w:tcPr>
            <w:tcW w:w="3728" w:type="pct"/>
          </w:tcPr>
          <w:p w14:paraId="33BADD8F"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B-cell maturation antigen</w:t>
            </w:r>
          </w:p>
        </w:tc>
      </w:tr>
      <w:tr w:rsidR="00A33381" w:rsidRPr="00A33381" w14:paraId="6BC78189"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015FFA33" w14:textId="77777777" w:rsidR="00A33381" w:rsidRPr="00A33381" w:rsidRDefault="00A33381" w:rsidP="00893CC2">
            <w:pPr>
              <w:rPr>
                <w:szCs w:val="22"/>
              </w:rPr>
            </w:pPr>
            <w:proofErr w:type="spellStart"/>
            <w:r w:rsidRPr="00A33381">
              <w:rPr>
                <w:szCs w:val="22"/>
              </w:rPr>
              <w:t>BPd</w:t>
            </w:r>
            <w:proofErr w:type="spellEnd"/>
          </w:p>
        </w:tc>
        <w:tc>
          <w:tcPr>
            <w:tcW w:w="3728" w:type="pct"/>
          </w:tcPr>
          <w:p w14:paraId="5A0E25A8"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belantamab mafodotin, pomalidomide, and dexamethasone</w:t>
            </w:r>
          </w:p>
        </w:tc>
      </w:tr>
      <w:tr w:rsidR="00A33381" w:rsidRPr="00A33381" w14:paraId="190F7E63"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5FC15277" w14:textId="77777777" w:rsidR="00A33381" w:rsidRPr="00A33381" w:rsidRDefault="00A33381" w:rsidP="00893CC2">
            <w:pPr>
              <w:rPr>
                <w:szCs w:val="22"/>
              </w:rPr>
            </w:pPr>
            <w:proofErr w:type="spellStart"/>
            <w:r w:rsidRPr="00A33381">
              <w:rPr>
                <w:szCs w:val="22"/>
              </w:rPr>
              <w:t>BVd</w:t>
            </w:r>
            <w:proofErr w:type="spellEnd"/>
          </w:p>
        </w:tc>
        <w:tc>
          <w:tcPr>
            <w:tcW w:w="3728" w:type="pct"/>
          </w:tcPr>
          <w:p w14:paraId="16857613" w14:textId="2BFDC40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belantamab mafodotin</w:t>
            </w:r>
            <w:r>
              <w:rPr>
                <w:szCs w:val="22"/>
              </w:rPr>
              <w:t xml:space="preserve">, </w:t>
            </w:r>
            <w:r w:rsidRPr="00A33381">
              <w:rPr>
                <w:szCs w:val="22"/>
              </w:rPr>
              <w:t>bortezomib and dexamethasone</w:t>
            </w:r>
          </w:p>
        </w:tc>
      </w:tr>
      <w:tr w:rsidR="00A33381" w:rsidRPr="00A33381" w14:paraId="0920BDA4"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02705A62" w14:textId="77777777" w:rsidR="00A33381" w:rsidRPr="00A33381" w:rsidRDefault="00A33381" w:rsidP="00893CC2">
            <w:pPr>
              <w:rPr>
                <w:szCs w:val="22"/>
              </w:rPr>
            </w:pPr>
            <w:proofErr w:type="spellStart"/>
            <w:r w:rsidRPr="00A33381">
              <w:rPr>
                <w:szCs w:val="22"/>
              </w:rPr>
              <w:t>C</w:t>
            </w:r>
            <w:r w:rsidRPr="00A33381">
              <w:rPr>
                <w:szCs w:val="22"/>
                <w:vertAlign w:val="subscript"/>
              </w:rPr>
              <w:t>avg</w:t>
            </w:r>
            <w:proofErr w:type="spellEnd"/>
          </w:p>
        </w:tc>
        <w:tc>
          <w:tcPr>
            <w:tcW w:w="3728" w:type="pct"/>
          </w:tcPr>
          <w:p w14:paraId="2B4820D8"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Average concentration over a dosing interval</w:t>
            </w:r>
          </w:p>
        </w:tc>
      </w:tr>
      <w:tr w:rsidR="00A33381" w:rsidRPr="00A33381" w14:paraId="523DA164"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4817E56A" w14:textId="77777777" w:rsidR="00A33381" w:rsidRPr="00A33381" w:rsidRDefault="00A33381" w:rsidP="00893CC2">
            <w:pPr>
              <w:rPr>
                <w:szCs w:val="22"/>
              </w:rPr>
            </w:pPr>
            <w:r w:rsidRPr="00A33381">
              <w:rPr>
                <w:szCs w:val="22"/>
              </w:rPr>
              <w:t>CL</w:t>
            </w:r>
          </w:p>
        </w:tc>
        <w:tc>
          <w:tcPr>
            <w:tcW w:w="3728" w:type="pct"/>
          </w:tcPr>
          <w:p w14:paraId="57C8ED1F"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Clearance</w:t>
            </w:r>
          </w:p>
        </w:tc>
      </w:tr>
      <w:tr w:rsidR="00A33381" w:rsidRPr="00A33381" w14:paraId="3E9A5D40"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21655F15" w14:textId="77777777" w:rsidR="00A33381" w:rsidRPr="00A33381" w:rsidRDefault="00A33381" w:rsidP="00893CC2">
            <w:pPr>
              <w:rPr>
                <w:szCs w:val="22"/>
              </w:rPr>
            </w:pPr>
            <w:proofErr w:type="spellStart"/>
            <w:r w:rsidRPr="00A33381">
              <w:rPr>
                <w:szCs w:val="22"/>
              </w:rPr>
              <w:t>C</w:t>
            </w:r>
            <w:r w:rsidRPr="00A33381">
              <w:rPr>
                <w:szCs w:val="22"/>
                <w:vertAlign w:val="subscript"/>
              </w:rPr>
              <w:t>max</w:t>
            </w:r>
            <w:proofErr w:type="spellEnd"/>
          </w:p>
        </w:tc>
        <w:tc>
          <w:tcPr>
            <w:tcW w:w="3728" w:type="pct"/>
          </w:tcPr>
          <w:p w14:paraId="48FD75BB"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Maximum concentration</w:t>
            </w:r>
          </w:p>
        </w:tc>
      </w:tr>
      <w:tr w:rsidR="00A33381" w:rsidRPr="00A33381" w14:paraId="1AFB15F1"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42F843AE" w14:textId="77777777" w:rsidR="00A33381" w:rsidRPr="00A33381" w:rsidRDefault="00A33381" w:rsidP="00893CC2">
            <w:pPr>
              <w:rPr>
                <w:szCs w:val="22"/>
              </w:rPr>
            </w:pPr>
            <w:r w:rsidRPr="00A33381">
              <w:rPr>
                <w:szCs w:val="22"/>
              </w:rPr>
              <w:t>CMI</w:t>
            </w:r>
          </w:p>
        </w:tc>
        <w:tc>
          <w:tcPr>
            <w:tcW w:w="3728" w:type="pct"/>
          </w:tcPr>
          <w:p w14:paraId="49494579"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Consumer Medicines Information</w:t>
            </w:r>
          </w:p>
        </w:tc>
      </w:tr>
      <w:tr w:rsidR="00A33381" w:rsidRPr="00A33381" w14:paraId="2D961453"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2D857001" w14:textId="77777777" w:rsidR="00A33381" w:rsidRPr="00A33381" w:rsidRDefault="00A33381" w:rsidP="00893CC2">
            <w:pPr>
              <w:rPr>
                <w:szCs w:val="22"/>
              </w:rPr>
            </w:pPr>
            <w:proofErr w:type="spellStart"/>
            <w:r w:rsidRPr="00A33381">
              <w:rPr>
                <w:szCs w:val="22"/>
              </w:rPr>
              <w:t>cys-mcMMAF</w:t>
            </w:r>
            <w:proofErr w:type="spellEnd"/>
          </w:p>
        </w:tc>
        <w:tc>
          <w:tcPr>
            <w:tcW w:w="3728" w:type="pct"/>
          </w:tcPr>
          <w:p w14:paraId="7326ABB4"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Cysteine monomethyl auristatin F</w:t>
            </w:r>
          </w:p>
        </w:tc>
      </w:tr>
      <w:tr w:rsidR="00A33381" w:rsidRPr="00A33381" w14:paraId="03296EF2"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71967869" w14:textId="77777777" w:rsidR="00A33381" w:rsidRPr="00A33381" w:rsidRDefault="00A33381" w:rsidP="00893CC2">
            <w:pPr>
              <w:rPr>
                <w:szCs w:val="22"/>
              </w:rPr>
            </w:pPr>
            <w:proofErr w:type="spellStart"/>
            <w:r w:rsidRPr="00A33381">
              <w:rPr>
                <w:szCs w:val="22"/>
              </w:rPr>
              <w:t>DVd</w:t>
            </w:r>
            <w:proofErr w:type="spellEnd"/>
          </w:p>
        </w:tc>
        <w:tc>
          <w:tcPr>
            <w:tcW w:w="3728" w:type="pct"/>
          </w:tcPr>
          <w:p w14:paraId="34964031" w14:textId="181D14F1" w:rsidR="00A33381" w:rsidRPr="00A33381" w:rsidRDefault="001456CC"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D</w:t>
            </w:r>
            <w:r w:rsidR="00A33381" w:rsidRPr="00A33381">
              <w:rPr>
                <w:szCs w:val="22"/>
              </w:rPr>
              <w:t>aratumumab</w:t>
            </w:r>
            <w:r>
              <w:rPr>
                <w:szCs w:val="22"/>
              </w:rPr>
              <w:t>,</w:t>
            </w:r>
            <w:r w:rsidR="00A33381" w:rsidRPr="00A33381">
              <w:rPr>
                <w:szCs w:val="22"/>
              </w:rPr>
              <w:t xml:space="preserve"> bortezomib and dexamethasone</w:t>
            </w:r>
          </w:p>
        </w:tc>
      </w:tr>
      <w:tr w:rsidR="00A33381" w:rsidRPr="00A33381" w14:paraId="2A356382"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6791F6E7" w14:textId="77777777" w:rsidR="00A33381" w:rsidRPr="00A33381" w:rsidRDefault="00A33381" w:rsidP="00893CC2">
            <w:pPr>
              <w:rPr>
                <w:szCs w:val="22"/>
              </w:rPr>
            </w:pPr>
            <w:proofErr w:type="spellStart"/>
            <w:r w:rsidRPr="00A33381">
              <w:rPr>
                <w:szCs w:val="22"/>
                <w:lang w:val="en-NZ"/>
              </w:rPr>
              <w:t>DoR</w:t>
            </w:r>
            <w:proofErr w:type="spellEnd"/>
          </w:p>
        </w:tc>
        <w:tc>
          <w:tcPr>
            <w:tcW w:w="3728" w:type="pct"/>
          </w:tcPr>
          <w:p w14:paraId="65B9F693" w14:textId="438293EF" w:rsidR="00A33381" w:rsidRPr="00A33381" w:rsidRDefault="001456CC" w:rsidP="00893CC2">
            <w:pPr>
              <w:cnfStyle w:val="000000000000" w:firstRow="0" w:lastRow="0" w:firstColumn="0" w:lastColumn="0" w:oddVBand="0" w:evenVBand="0" w:oddHBand="0" w:evenHBand="0" w:firstRowFirstColumn="0" w:firstRowLastColumn="0" w:lastRowFirstColumn="0" w:lastRowLastColumn="0"/>
              <w:rPr>
                <w:szCs w:val="22"/>
              </w:rPr>
            </w:pPr>
            <w:r>
              <w:rPr>
                <w:szCs w:val="22"/>
                <w:lang w:val="en-NZ"/>
              </w:rPr>
              <w:t>D</w:t>
            </w:r>
            <w:r w:rsidR="00A33381" w:rsidRPr="00A33381">
              <w:rPr>
                <w:szCs w:val="22"/>
                <w:lang w:val="en-NZ"/>
              </w:rPr>
              <w:t>uration of response (</w:t>
            </w:r>
            <w:proofErr w:type="spellStart"/>
            <w:r w:rsidR="00A33381" w:rsidRPr="00A33381">
              <w:rPr>
                <w:szCs w:val="22"/>
                <w:lang w:val="en-NZ"/>
              </w:rPr>
              <w:t>DoR</w:t>
            </w:r>
            <w:proofErr w:type="spellEnd"/>
            <w:r w:rsidR="00A33381" w:rsidRPr="00A33381">
              <w:rPr>
                <w:szCs w:val="22"/>
                <w:lang w:val="en-NZ"/>
              </w:rPr>
              <w:t>)</w:t>
            </w:r>
          </w:p>
        </w:tc>
      </w:tr>
      <w:tr w:rsidR="00A33381" w:rsidRPr="00A33381" w14:paraId="070189F4"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5D37409A" w14:textId="77777777" w:rsidR="00A33381" w:rsidRPr="00A33381" w:rsidRDefault="00A33381" w:rsidP="00893CC2">
            <w:pPr>
              <w:rPr>
                <w:szCs w:val="22"/>
              </w:rPr>
            </w:pPr>
            <w:r w:rsidRPr="00A33381">
              <w:rPr>
                <w:szCs w:val="22"/>
                <w:lang w:val="en-NZ"/>
              </w:rPr>
              <w:t>E-R</w:t>
            </w:r>
          </w:p>
        </w:tc>
        <w:tc>
          <w:tcPr>
            <w:tcW w:w="3728" w:type="pct"/>
          </w:tcPr>
          <w:p w14:paraId="2BB62DA3"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lang w:val="en-NZ"/>
              </w:rPr>
              <w:t>Exposure-Response</w:t>
            </w:r>
          </w:p>
        </w:tc>
      </w:tr>
      <w:tr w:rsidR="00A33381" w:rsidRPr="00A33381" w14:paraId="04D9E010"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611610E8" w14:textId="77777777" w:rsidR="00A33381" w:rsidRPr="00A33381" w:rsidRDefault="00A33381" w:rsidP="00893CC2">
            <w:pPr>
              <w:rPr>
                <w:szCs w:val="22"/>
                <w:lang w:val="en-NZ"/>
              </w:rPr>
            </w:pPr>
            <w:r w:rsidRPr="00A33381">
              <w:rPr>
                <w:szCs w:val="22"/>
                <w:lang w:val="en-NZ"/>
              </w:rPr>
              <w:t>ITT</w:t>
            </w:r>
          </w:p>
        </w:tc>
        <w:tc>
          <w:tcPr>
            <w:tcW w:w="3728" w:type="pct"/>
          </w:tcPr>
          <w:p w14:paraId="2693881F"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lang w:val="en-NZ"/>
              </w:rPr>
            </w:pPr>
            <w:r w:rsidRPr="00A33381">
              <w:rPr>
                <w:szCs w:val="22"/>
                <w:lang w:val="en-NZ"/>
              </w:rPr>
              <w:t>Intention-to-Treat</w:t>
            </w:r>
          </w:p>
        </w:tc>
      </w:tr>
      <w:tr w:rsidR="00A33381" w:rsidRPr="00A33381" w14:paraId="27639C0D"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35756E46" w14:textId="77777777" w:rsidR="00A33381" w:rsidRPr="00A33381" w:rsidRDefault="00A33381" w:rsidP="00893CC2">
            <w:pPr>
              <w:rPr>
                <w:szCs w:val="22"/>
                <w:lang w:val="en-NZ"/>
              </w:rPr>
            </w:pPr>
            <w:r w:rsidRPr="00A33381">
              <w:rPr>
                <w:szCs w:val="22"/>
                <w:lang w:val="en-NZ"/>
              </w:rPr>
              <w:t>MRD</w:t>
            </w:r>
          </w:p>
        </w:tc>
        <w:tc>
          <w:tcPr>
            <w:tcW w:w="3728" w:type="pct"/>
          </w:tcPr>
          <w:p w14:paraId="75145090"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lang w:val="en-NZ"/>
              </w:rPr>
            </w:pPr>
            <w:r w:rsidRPr="00A33381">
              <w:rPr>
                <w:szCs w:val="22"/>
                <w:lang w:val="en-NZ"/>
              </w:rPr>
              <w:t>Minimal residual disease</w:t>
            </w:r>
          </w:p>
        </w:tc>
      </w:tr>
      <w:tr w:rsidR="00A33381" w:rsidRPr="00A33381" w14:paraId="244FFF0D"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33665C64" w14:textId="77777777" w:rsidR="00A33381" w:rsidRPr="00A33381" w:rsidRDefault="00A33381" w:rsidP="00893CC2">
            <w:pPr>
              <w:rPr>
                <w:szCs w:val="22"/>
              </w:rPr>
            </w:pPr>
            <w:r w:rsidRPr="00A33381">
              <w:rPr>
                <w:szCs w:val="22"/>
              </w:rPr>
              <w:t>MM</w:t>
            </w:r>
          </w:p>
        </w:tc>
        <w:tc>
          <w:tcPr>
            <w:tcW w:w="3728" w:type="pct"/>
          </w:tcPr>
          <w:p w14:paraId="78F32E9C"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Multiple myeloma</w:t>
            </w:r>
          </w:p>
        </w:tc>
      </w:tr>
      <w:tr w:rsidR="00A33381" w:rsidRPr="00A33381" w14:paraId="4DB77763"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2BF84A40" w14:textId="77777777" w:rsidR="00A33381" w:rsidRPr="00A33381" w:rsidRDefault="00A33381" w:rsidP="00893CC2">
            <w:pPr>
              <w:rPr>
                <w:szCs w:val="22"/>
              </w:rPr>
            </w:pPr>
            <w:r w:rsidRPr="00A33381">
              <w:rPr>
                <w:szCs w:val="22"/>
              </w:rPr>
              <w:t>PFS</w:t>
            </w:r>
          </w:p>
        </w:tc>
        <w:tc>
          <w:tcPr>
            <w:tcW w:w="3728" w:type="pct"/>
          </w:tcPr>
          <w:p w14:paraId="6F453963"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Progression free survival</w:t>
            </w:r>
          </w:p>
        </w:tc>
      </w:tr>
      <w:tr w:rsidR="00A33381" w:rsidRPr="00A33381" w14:paraId="7F813FCC"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126BE483" w14:textId="77777777" w:rsidR="00A33381" w:rsidRPr="00A33381" w:rsidRDefault="00A33381" w:rsidP="00893CC2">
            <w:pPr>
              <w:rPr>
                <w:szCs w:val="22"/>
              </w:rPr>
            </w:pPr>
            <w:r w:rsidRPr="00A33381">
              <w:rPr>
                <w:szCs w:val="22"/>
              </w:rPr>
              <w:t>PI</w:t>
            </w:r>
          </w:p>
        </w:tc>
        <w:tc>
          <w:tcPr>
            <w:tcW w:w="3728" w:type="pct"/>
          </w:tcPr>
          <w:p w14:paraId="502A3D5F"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Product Information</w:t>
            </w:r>
          </w:p>
        </w:tc>
      </w:tr>
      <w:tr w:rsidR="00A33381" w:rsidRPr="00A33381" w14:paraId="5029A993"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1C797098" w14:textId="77777777" w:rsidR="00A33381" w:rsidRPr="00A33381" w:rsidRDefault="00A33381" w:rsidP="00893CC2">
            <w:pPr>
              <w:rPr>
                <w:szCs w:val="22"/>
              </w:rPr>
            </w:pPr>
            <w:r w:rsidRPr="00A33381">
              <w:rPr>
                <w:szCs w:val="22"/>
              </w:rPr>
              <w:t>PSUR</w:t>
            </w:r>
          </w:p>
        </w:tc>
        <w:tc>
          <w:tcPr>
            <w:tcW w:w="3728" w:type="pct"/>
          </w:tcPr>
          <w:p w14:paraId="79E137E1"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Periodic safety update report</w:t>
            </w:r>
          </w:p>
        </w:tc>
      </w:tr>
      <w:tr w:rsidR="00A33381" w:rsidRPr="00A33381" w14:paraId="03B6ACBF"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695B4989" w14:textId="77777777" w:rsidR="00A33381" w:rsidRPr="00A33381" w:rsidRDefault="00A33381" w:rsidP="00893CC2">
            <w:pPr>
              <w:rPr>
                <w:szCs w:val="22"/>
              </w:rPr>
            </w:pPr>
            <w:r w:rsidRPr="00A33381">
              <w:rPr>
                <w:szCs w:val="22"/>
              </w:rPr>
              <w:t>Q3W</w:t>
            </w:r>
          </w:p>
        </w:tc>
        <w:tc>
          <w:tcPr>
            <w:tcW w:w="3728" w:type="pct"/>
          </w:tcPr>
          <w:p w14:paraId="6E210481"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Every 3 weeks</w:t>
            </w:r>
          </w:p>
        </w:tc>
      </w:tr>
      <w:tr w:rsidR="00A33381" w:rsidRPr="00A33381" w14:paraId="4A6F6E2D"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120DD3D0" w14:textId="77777777" w:rsidR="00A33381" w:rsidRPr="00A33381" w:rsidRDefault="00A33381" w:rsidP="00893CC2">
            <w:pPr>
              <w:rPr>
                <w:szCs w:val="22"/>
              </w:rPr>
            </w:pPr>
            <w:r w:rsidRPr="00A33381">
              <w:rPr>
                <w:szCs w:val="22"/>
              </w:rPr>
              <w:t>RMP</w:t>
            </w:r>
          </w:p>
        </w:tc>
        <w:tc>
          <w:tcPr>
            <w:tcW w:w="3728" w:type="pct"/>
          </w:tcPr>
          <w:p w14:paraId="37837D6C"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Risk management plan</w:t>
            </w:r>
          </w:p>
        </w:tc>
      </w:tr>
      <w:tr w:rsidR="00A33381" w:rsidRPr="00A33381" w14:paraId="19A2036E"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2FE29B4D" w14:textId="77777777" w:rsidR="00A33381" w:rsidRPr="00A33381" w:rsidRDefault="00A33381" w:rsidP="00893CC2">
            <w:pPr>
              <w:rPr>
                <w:szCs w:val="22"/>
              </w:rPr>
            </w:pPr>
            <w:r w:rsidRPr="00A33381">
              <w:rPr>
                <w:szCs w:val="22"/>
              </w:rPr>
              <w:t>R-ISS</w:t>
            </w:r>
          </w:p>
        </w:tc>
        <w:tc>
          <w:tcPr>
            <w:tcW w:w="3728" w:type="pct"/>
          </w:tcPr>
          <w:p w14:paraId="236CA27B"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Revised- International Staging System</w:t>
            </w:r>
          </w:p>
        </w:tc>
      </w:tr>
      <w:tr w:rsidR="00A33381" w:rsidRPr="00A33381" w14:paraId="650C9438"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776A5605" w14:textId="77777777" w:rsidR="00A33381" w:rsidRPr="00A33381" w:rsidRDefault="00A33381" w:rsidP="00893CC2">
            <w:pPr>
              <w:rPr>
                <w:szCs w:val="22"/>
              </w:rPr>
            </w:pPr>
            <w:r w:rsidRPr="00A33381">
              <w:rPr>
                <w:szCs w:val="22"/>
              </w:rPr>
              <w:t xml:space="preserve">RRMM  </w:t>
            </w:r>
          </w:p>
        </w:tc>
        <w:tc>
          <w:tcPr>
            <w:tcW w:w="3728" w:type="pct"/>
          </w:tcPr>
          <w:p w14:paraId="4572ED76"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Relapsed/Refractory Multiple Myeloma</w:t>
            </w:r>
          </w:p>
        </w:tc>
      </w:tr>
      <w:tr w:rsidR="00A33381" w:rsidRPr="00A33381" w14:paraId="204867A4"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2E9F05B5" w14:textId="77777777" w:rsidR="00A33381" w:rsidRPr="00A33381" w:rsidRDefault="00A33381" w:rsidP="00893CC2">
            <w:pPr>
              <w:rPr>
                <w:szCs w:val="22"/>
              </w:rPr>
            </w:pPr>
            <w:r w:rsidRPr="00A33381">
              <w:rPr>
                <w:szCs w:val="22"/>
              </w:rPr>
              <w:t>SAE</w:t>
            </w:r>
          </w:p>
        </w:tc>
        <w:tc>
          <w:tcPr>
            <w:tcW w:w="3728" w:type="pct"/>
          </w:tcPr>
          <w:p w14:paraId="25AAB0AB" w14:textId="12FB452F" w:rsidR="00A33381" w:rsidRPr="00A33381" w:rsidRDefault="001456CC" w:rsidP="00893CC2">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00A33381" w:rsidRPr="00A33381">
              <w:rPr>
                <w:szCs w:val="22"/>
              </w:rPr>
              <w:t>erious adverse event(s)</w:t>
            </w:r>
          </w:p>
        </w:tc>
      </w:tr>
      <w:tr w:rsidR="00A33381" w:rsidRPr="00A33381" w14:paraId="01E3C720"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14BCB80D" w14:textId="77777777" w:rsidR="00A33381" w:rsidRPr="00A33381" w:rsidRDefault="00A33381" w:rsidP="00893CC2">
            <w:pPr>
              <w:rPr>
                <w:szCs w:val="22"/>
              </w:rPr>
            </w:pPr>
            <w:r w:rsidRPr="00A33381">
              <w:rPr>
                <w:szCs w:val="22"/>
              </w:rPr>
              <w:t>TGA</w:t>
            </w:r>
          </w:p>
        </w:tc>
        <w:tc>
          <w:tcPr>
            <w:tcW w:w="3728" w:type="pct"/>
          </w:tcPr>
          <w:p w14:paraId="26ED8A6A"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Therapeutic Goods Administration</w:t>
            </w:r>
          </w:p>
        </w:tc>
      </w:tr>
      <w:tr w:rsidR="00A33381" w:rsidRPr="00A33381" w14:paraId="5648137C"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1A5AB619" w14:textId="77777777" w:rsidR="00A33381" w:rsidRPr="00A33381" w:rsidRDefault="00A33381" w:rsidP="00893CC2">
            <w:pPr>
              <w:rPr>
                <w:szCs w:val="22"/>
              </w:rPr>
            </w:pPr>
            <w:proofErr w:type="spellStart"/>
            <w:r w:rsidRPr="00A33381">
              <w:rPr>
                <w:szCs w:val="22"/>
              </w:rPr>
              <w:t>T</w:t>
            </w:r>
            <w:r w:rsidRPr="00A33381">
              <w:rPr>
                <w:szCs w:val="22"/>
                <w:vertAlign w:val="subscript"/>
              </w:rPr>
              <w:t>max</w:t>
            </w:r>
            <w:proofErr w:type="spellEnd"/>
          </w:p>
        </w:tc>
        <w:tc>
          <w:tcPr>
            <w:tcW w:w="3728" w:type="pct"/>
          </w:tcPr>
          <w:p w14:paraId="25089BA7"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Time to maximum drug concentration</w:t>
            </w:r>
          </w:p>
        </w:tc>
      </w:tr>
      <w:tr w:rsidR="00A33381" w:rsidRPr="00A33381" w14:paraId="595C8D4E"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26205045" w14:textId="77777777" w:rsidR="00A33381" w:rsidRPr="00A33381" w:rsidRDefault="00A33381" w:rsidP="00893CC2">
            <w:pPr>
              <w:rPr>
                <w:szCs w:val="22"/>
              </w:rPr>
            </w:pPr>
            <w:r w:rsidRPr="00A33381">
              <w:rPr>
                <w:szCs w:val="22"/>
              </w:rPr>
              <w:t>V1</w:t>
            </w:r>
          </w:p>
        </w:tc>
        <w:tc>
          <w:tcPr>
            <w:tcW w:w="3728" w:type="pct"/>
          </w:tcPr>
          <w:p w14:paraId="40B420D6"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Volume of Distribution of the Central Compartment</w:t>
            </w:r>
          </w:p>
        </w:tc>
      </w:tr>
      <w:tr w:rsidR="00A33381" w:rsidRPr="00A33381" w14:paraId="35B2922D" w14:textId="77777777" w:rsidTr="00893CC2">
        <w:trPr>
          <w:trHeight w:val="386"/>
        </w:trPr>
        <w:tc>
          <w:tcPr>
            <w:cnfStyle w:val="001000000000" w:firstRow="0" w:lastRow="0" w:firstColumn="1" w:lastColumn="0" w:oddVBand="0" w:evenVBand="0" w:oddHBand="0" w:evenHBand="0" w:firstRowFirstColumn="0" w:firstRowLastColumn="0" w:lastRowFirstColumn="0" w:lastRowLastColumn="0"/>
            <w:tcW w:w="1272" w:type="pct"/>
          </w:tcPr>
          <w:p w14:paraId="4EA5C1D3" w14:textId="77777777" w:rsidR="00A33381" w:rsidRPr="00A33381" w:rsidRDefault="00A33381" w:rsidP="00893CC2">
            <w:pPr>
              <w:rPr>
                <w:szCs w:val="22"/>
              </w:rPr>
            </w:pPr>
            <w:r w:rsidRPr="00A33381">
              <w:rPr>
                <w:szCs w:val="22"/>
              </w:rPr>
              <w:t>V2</w:t>
            </w:r>
          </w:p>
        </w:tc>
        <w:tc>
          <w:tcPr>
            <w:tcW w:w="3728" w:type="pct"/>
          </w:tcPr>
          <w:p w14:paraId="4809A959" w14:textId="77777777" w:rsidR="00A33381" w:rsidRPr="00A33381" w:rsidRDefault="00A33381" w:rsidP="00893CC2">
            <w:pPr>
              <w:cnfStyle w:val="000000000000" w:firstRow="0" w:lastRow="0" w:firstColumn="0" w:lastColumn="0" w:oddVBand="0" w:evenVBand="0" w:oddHBand="0" w:evenHBand="0" w:firstRowFirstColumn="0" w:firstRowLastColumn="0" w:lastRowFirstColumn="0" w:lastRowLastColumn="0"/>
              <w:rPr>
                <w:szCs w:val="22"/>
              </w:rPr>
            </w:pPr>
            <w:r w:rsidRPr="00A33381">
              <w:rPr>
                <w:szCs w:val="22"/>
              </w:rPr>
              <w:t>Volume of Distribution of the Peripheral Compartment</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49DE7D67" w:rsidR="00324B33" w:rsidRDefault="00324B33" w:rsidP="00324B33">
      <w:pPr>
        <w:pStyle w:val="Heading2"/>
      </w:pPr>
      <w:bookmarkStart w:id="5" w:name="_Toc103679288"/>
      <w:bookmarkStart w:id="6" w:name="_Toc227758017"/>
      <w:r>
        <w:lastRenderedPageBreak/>
        <w:t>Product submission</w:t>
      </w:r>
      <w:bookmarkEnd w:id="5"/>
      <w:bookmarkEnd w:id="6"/>
      <w:r w:rsidR="00145B4A">
        <w:fldChar w:fldCharType="begin"/>
      </w:r>
      <w:r w:rsidR="00145B4A">
        <w:instrText xml:space="preserve"> DOCVARIABLE vault_nd_1a81412d-d2d3-4b0c-bbd9-0cfcb8dbcd17 \* MERGEFORMAT </w:instrText>
      </w:r>
      <w:r w:rsidR="00145B4A">
        <w:fldChar w:fldCharType="separate"/>
      </w:r>
      <w:r w:rsidR="00145B4A">
        <w:t xml:space="preserve"> </w:t>
      </w:r>
      <w:r w:rsidR="00145B4A">
        <w:fldChar w:fldCharType="end"/>
      </w:r>
    </w:p>
    <w:p w14:paraId="21D559DF" w14:textId="7CEBB6C7" w:rsidR="00324B33" w:rsidRDefault="00324B33" w:rsidP="00324B33">
      <w:pPr>
        <w:pStyle w:val="Heading3"/>
        <w:rPr>
          <w:lang w:eastAsia="en-AU"/>
        </w:rPr>
      </w:pPr>
      <w:bookmarkStart w:id="7" w:name="_Toc247691502"/>
      <w:bookmarkStart w:id="8" w:name="_Toc314842483"/>
      <w:bookmarkStart w:id="9" w:name="_Toc103679289"/>
      <w:bookmarkStart w:id="10" w:name="_Toc227758018"/>
      <w:r>
        <w:rPr>
          <w:lang w:eastAsia="en-AU"/>
        </w:rPr>
        <w:t>Submission details</w:t>
      </w:r>
      <w:bookmarkEnd w:id="7"/>
      <w:bookmarkEnd w:id="8"/>
      <w:bookmarkEnd w:id="9"/>
      <w:bookmarkEnd w:id="10"/>
      <w:r w:rsidR="00145B4A">
        <w:rPr>
          <w:lang w:eastAsia="en-AU"/>
        </w:rPr>
        <w:fldChar w:fldCharType="begin"/>
      </w:r>
      <w:r w:rsidR="00145B4A">
        <w:rPr>
          <w:lang w:eastAsia="en-AU"/>
        </w:rPr>
        <w:instrText xml:space="preserve"> DOCVARIABLE vault_nd_5d3e851e-36d5-401b-bff3-22ac15eec841 \* MERGEFORMAT </w:instrText>
      </w:r>
      <w:r w:rsidR="00145B4A">
        <w:rPr>
          <w:lang w:eastAsia="en-AU"/>
        </w:rPr>
        <w:fldChar w:fldCharType="separate"/>
      </w:r>
      <w:r w:rsidR="00145B4A">
        <w:rPr>
          <w:lang w:eastAsia="en-AU"/>
        </w:rPr>
        <w:t xml:space="preserve"> </w:t>
      </w:r>
      <w:r w:rsidR="00145B4A">
        <w:rPr>
          <w:lang w:eastAsia="en-AU"/>
        </w:rPr>
        <w:fldChar w:fldCharType="end"/>
      </w:r>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13728BD6" w:rsidR="00324B33" w:rsidRPr="00BD5DBD" w:rsidRDefault="00324B33" w:rsidP="007452E8">
            <w:pPr>
              <w:rPr>
                <w:i/>
                <w:szCs w:val="22"/>
              </w:rPr>
            </w:pPr>
            <w:r w:rsidRPr="00BD5DBD">
              <w:rPr>
                <w:i/>
                <w:szCs w:val="22"/>
              </w:rPr>
              <w:t>Type of submission:</w:t>
            </w:r>
          </w:p>
        </w:tc>
        <w:tc>
          <w:tcPr>
            <w:tcW w:w="3423" w:type="pct"/>
          </w:tcPr>
          <w:p w14:paraId="4F07C303" w14:textId="1DBF5BF7" w:rsidR="00324B33" w:rsidRPr="00BD5DBD" w:rsidRDefault="00324B33" w:rsidP="007452E8">
            <w:pPr>
              <w:rPr>
                <w:szCs w:val="22"/>
              </w:rPr>
            </w:pPr>
            <w:r w:rsidRPr="00BD5DBD">
              <w:rPr>
                <w:szCs w:val="22"/>
              </w:rPr>
              <w:t>New chemical entit</w:t>
            </w:r>
            <w:r w:rsidR="00DF2331">
              <w:rPr>
                <w:szCs w:val="22"/>
              </w:rPr>
              <w:t>y</w:t>
            </w:r>
          </w:p>
        </w:tc>
      </w:tr>
      <w:tr w:rsidR="00324B33" w:rsidRPr="00BD5DBD" w14:paraId="13482B61" w14:textId="77777777" w:rsidTr="00F865A7">
        <w:tc>
          <w:tcPr>
            <w:tcW w:w="1577" w:type="pct"/>
          </w:tcPr>
          <w:p w14:paraId="2C427FCF" w14:textId="2A68756F" w:rsidR="00324B33" w:rsidRPr="00BD5DBD" w:rsidRDefault="00324B33" w:rsidP="007452E8">
            <w:pPr>
              <w:rPr>
                <w:i/>
                <w:szCs w:val="22"/>
              </w:rPr>
            </w:pPr>
            <w:r w:rsidRPr="00BD5DBD">
              <w:rPr>
                <w:i/>
                <w:szCs w:val="22"/>
              </w:rPr>
              <w:t>Product names:</w:t>
            </w:r>
          </w:p>
        </w:tc>
        <w:tc>
          <w:tcPr>
            <w:tcW w:w="3423" w:type="pct"/>
          </w:tcPr>
          <w:p w14:paraId="0E2DEF76" w14:textId="6A8E3961" w:rsidR="00324B33" w:rsidRPr="00BD5DBD" w:rsidRDefault="00A0536E" w:rsidP="007452E8">
            <w:pPr>
              <w:rPr>
                <w:szCs w:val="22"/>
              </w:rPr>
            </w:pPr>
            <w:r>
              <w:rPr>
                <w:szCs w:val="22"/>
              </w:rPr>
              <w:t>Blenrep</w:t>
            </w:r>
          </w:p>
        </w:tc>
      </w:tr>
      <w:tr w:rsidR="00324B33" w:rsidRPr="00BD5DBD" w14:paraId="01255B5B" w14:textId="77777777" w:rsidTr="00F865A7">
        <w:tc>
          <w:tcPr>
            <w:tcW w:w="1577" w:type="pct"/>
          </w:tcPr>
          <w:p w14:paraId="52B4F3D7" w14:textId="3F7DAA91" w:rsidR="00324B33" w:rsidRPr="00BD5DBD" w:rsidRDefault="00324B33" w:rsidP="007452E8">
            <w:pPr>
              <w:rPr>
                <w:i/>
                <w:szCs w:val="22"/>
              </w:rPr>
            </w:pPr>
            <w:r w:rsidRPr="00BD5DBD">
              <w:rPr>
                <w:i/>
                <w:szCs w:val="22"/>
              </w:rPr>
              <w:t>Active ingredient:</w:t>
            </w:r>
          </w:p>
        </w:tc>
        <w:tc>
          <w:tcPr>
            <w:tcW w:w="3423" w:type="pct"/>
          </w:tcPr>
          <w:p w14:paraId="02FB6383" w14:textId="2C682A9E" w:rsidR="00324B33" w:rsidRPr="00BD5DBD" w:rsidRDefault="008029F4" w:rsidP="007452E8">
            <w:pPr>
              <w:rPr>
                <w:szCs w:val="22"/>
              </w:rPr>
            </w:pPr>
            <w:r w:rsidRPr="008029F4">
              <w:rPr>
                <w:szCs w:val="22"/>
              </w:rPr>
              <w:t>belantamab mafodotin</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7936941F"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2076912D" w:rsidR="00AE1947" w:rsidRPr="00BD5DBD" w:rsidRDefault="004E00EE" w:rsidP="00893CC2">
            <w:pPr>
              <w:rPr>
                <w:szCs w:val="22"/>
              </w:rPr>
            </w:pPr>
            <w:r w:rsidRPr="004E00EE">
              <w:rPr>
                <w:szCs w:val="22"/>
              </w:rPr>
              <w:t>12 November 2025</w:t>
            </w:r>
          </w:p>
        </w:tc>
      </w:tr>
      <w:tr w:rsidR="004A20BC" w:rsidRPr="00BD5DBD" w14:paraId="1BD35D08" w14:textId="77777777" w:rsidTr="00F865A7">
        <w:tc>
          <w:tcPr>
            <w:tcW w:w="1577" w:type="pct"/>
          </w:tcPr>
          <w:p w14:paraId="33570637" w14:textId="296FA222" w:rsidR="004A20BC" w:rsidRPr="00BD5DBD" w:rsidRDefault="004A20BC" w:rsidP="007F1E37">
            <w:pPr>
              <w:rPr>
                <w:i/>
                <w:szCs w:val="22"/>
              </w:rPr>
            </w:pPr>
            <w:r w:rsidRPr="004A20BC">
              <w:rPr>
                <w:i/>
                <w:szCs w:val="22"/>
              </w:rPr>
              <w:t>Approved therapeutic use for the current submission:</w:t>
            </w:r>
          </w:p>
        </w:tc>
        <w:tc>
          <w:tcPr>
            <w:tcW w:w="3423" w:type="pct"/>
          </w:tcPr>
          <w:p w14:paraId="50AF7C81" w14:textId="02D97E63" w:rsidR="00DE7098" w:rsidRDefault="00A0536E" w:rsidP="00DE7098">
            <w:pPr>
              <w:rPr>
                <w:szCs w:val="22"/>
              </w:rPr>
            </w:pPr>
            <w:r>
              <w:rPr>
                <w:szCs w:val="22"/>
              </w:rPr>
              <w:t>Blenrep</w:t>
            </w:r>
            <w:r w:rsidR="00DE7098" w:rsidRPr="00DE7098">
              <w:rPr>
                <w:szCs w:val="22"/>
              </w:rPr>
              <w:t xml:space="preserve"> is indicated for the treatment of adults with relapsed or refractory multiple myeloma:</w:t>
            </w:r>
          </w:p>
          <w:p w14:paraId="0943A2C8" w14:textId="2A56EDAD" w:rsidR="00DE7098" w:rsidRPr="00DE7098" w:rsidRDefault="00DE7098" w:rsidP="00DE7098">
            <w:pPr>
              <w:pStyle w:val="ListBullet"/>
            </w:pPr>
            <w:r w:rsidRPr="00DE7098">
              <w:t>in combination with bortezomib and dexamethasone in patients who have received at least one prior therapy; and</w:t>
            </w:r>
          </w:p>
          <w:p w14:paraId="2C96449F" w14:textId="734B291D" w:rsidR="004A20BC" w:rsidRPr="00BD5DBD" w:rsidRDefault="00DE7098" w:rsidP="00DE7098">
            <w:pPr>
              <w:pStyle w:val="ListBullet"/>
            </w:pPr>
            <w:r w:rsidRPr="00DE7098">
              <w:t>in combination with pomalidomide and dexamethasone in patients who have received at least one prior therapy including lenalidomide</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75F3BFA6" w14:textId="58F13C9C" w:rsidR="00324B33" w:rsidRDefault="009F48F6" w:rsidP="007452E8">
            <w:pPr>
              <w:rPr>
                <w:szCs w:val="22"/>
              </w:rPr>
            </w:pPr>
            <w:r>
              <w:rPr>
                <w:szCs w:val="22"/>
              </w:rPr>
              <w:t xml:space="preserve">17 </w:t>
            </w:r>
            <w:r w:rsidRPr="009F48F6">
              <w:rPr>
                <w:szCs w:val="22"/>
              </w:rPr>
              <w:t>November 2025</w:t>
            </w:r>
            <w:r w:rsidR="001D78BA">
              <w:rPr>
                <w:szCs w:val="22"/>
              </w:rPr>
              <w:t xml:space="preserve"> </w:t>
            </w:r>
            <w:r w:rsidR="009E2F44">
              <w:rPr>
                <w:szCs w:val="22"/>
              </w:rPr>
              <w:t xml:space="preserve">- </w:t>
            </w:r>
            <w:r w:rsidR="00A0536E">
              <w:rPr>
                <w:szCs w:val="22"/>
              </w:rPr>
              <w:t>Blenrep</w:t>
            </w:r>
            <w:r w:rsidR="001D78BA" w:rsidRPr="001D78BA">
              <w:rPr>
                <w:szCs w:val="22"/>
              </w:rPr>
              <w:t xml:space="preserve"> belantamab mafodotin 100 mg powder for injection vial (464325)</w:t>
            </w:r>
          </w:p>
          <w:p w14:paraId="28B270E9" w14:textId="09F8A882" w:rsidR="009F48F6" w:rsidRPr="00BD5DBD" w:rsidRDefault="009F48F6" w:rsidP="007452E8">
            <w:pPr>
              <w:rPr>
                <w:szCs w:val="22"/>
              </w:rPr>
            </w:pPr>
            <w:r w:rsidRPr="009F48F6">
              <w:rPr>
                <w:szCs w:val="22"/>
              </w:rPr>
              <w:t>18 November 2025 -</w:t>
            </w:r>
            <w:r w:rsidR="00A0536E">
              <w:rPr>
                <w:szCs w:val="22"/>
              </w:rPr>
              <w:t>Blenrep</w:t>
            </w:r>
            <w:r w:rsidRPr="009F48F6">
              <w:rPr>
                <w:szCs w:val="22"/>
              </w:rPr>
              <w:t xml:space="preserve"> belantamab mafodotin 70 mg powder for injection vial (464326)</w:t>
            </w:r>
          </w:p>
        </w:tc>
      </w:tr>
      <w:tr w:rsidR="00324B33" w:rsidRPr="00BD5DBD" w14:paraId="547E08D7" w14:textId="77777777" w:rsidTr="00F865A7">
        <w:tc>
          <w:tcPr>
            <w:tcW w:w="1577" w:type="pct"/>
          </w:tcPr>
          <w:p w14:paraId="5030EF30" w14:textId="6D7D5037" w:rsidR="00324B33" w:rsidRPr="00BD5DBD" w:rsidRDefault="00324B33" w:rsidP="007452E8">
            <w:pPr>
              <w:rPr>
                <w:i/>
                <w:szCs w:val="22"/>
              </w:rPr>
            </w:pPr>
            <w:r w:rsidRPr="00BD5DBD">
              <w:rPr>
                <w:i/>
                <w:szCs w:val="22"/>
              </w:rPr>
              <w:t>ARTG number</w:t>
            </w:r>
            <w:r w:rsidR="001D78BA">
              <w:rPr>
                <w:i/>
                <w:szCs w:val="22"/>
              </w:rPr>
              <w:t>s</w:t>
            </w:r>
            <w:r w:rsidRPr="00BD5DBD">
              <w:rPr>
                <w:i/>
                <w:szCs w:val="22"/>
              </w:rPr>
              <w:t>:</w:t>
            </w:r>
          </w:p>
        </w:tc>
        <w:tc>
          <w:tcPr>
            <w:tcW w:w="3423" w:type="pct"/>
          </w:tcPr>
          <w:p w14:paraId="25299A97" w14:textId="7CF628CD" w:rsidR="00324B33" w:rsidRDefault="00A0536E" w:rsidP="007452E8">
            <w:pPr>
              <w:rPr>
                <w:szCs w:val="22"/>
              </w:rPr>
            </w:pPr>
            <w:r>
              <w:rPr>
                <w:szCs w:val="22"/>
              </w:rPr>
              <w:t>Blenrep</w:t>
            </w:r>
            <w:r w:rsidR="00425B23" w:rsidRPr="00425B23">
              <w:rPr>
                <w:szCs w:val="22"/>
              </w:rPr>
              <w:t xml:space="preserve"> belantamab mafodotin 100 mg powder for injection vial (</w:t>
            </w:r>
            <w:hyperlink r:id="rId20" w:history="1">
              <w:r w:rsidR="00425B23" w:rsidRPr="00425B23">
                <w:rPr>
                  <w:rStyle w:val="Hyperlink"/>
                  <w:szCs w:val="22"/>
                </w:rPr>
                <w:t>464325</w:t>
              </w:r>
            </w:hyperlink>
            <w:r w:rsidR="00425B23" w:rsidRPr="00425B23">
              <w:rPr>
                <w:szCs w:val="22"/>
              </w:rPr>
              <w:t>)</w:t>
            </w:r>
          </w:p>
          <w:p w14:paraId="0054E912" w14:textId="26D88D99" w:rsidR="00425B23" w:rsidRPr="00BD5DBD" w:rsidRDefault="00A0536E" w:rsidP="009D7CBA">
            <w:pPr>
              <w:rPr>
                <w:szCs w:val="22"/>
              </w:rPr>
            </w:pPr>
            <w:r>
              <w:rPr>
                <w:szCs w:val="22"/>
              </w:rPr>
              <w:t>Blenrep</w:t>
            </w:r>
            <w:r w:rsidR="009D7CBA" w:rsidRPr="009D7CBA">
              <w:rPr>
                <w:szCs w:val="22"/>
              </w:rPr>
              <w:t xml:space="preserve"> belantamab mafodotin 70 mg powder for injection vial (</w:t>
            </w:r>
            <w:hyperlink r:id="rId21" w:history="1">
              <w:r w:rsidR="009D7CBA" w:rsidRPr="009D7CBA">
                <w:rPr>
                  <w:rStyle w:val="Hyperlink"/>
                  <w:szCs w:val="22"/>
                </w:rPr>
                <w:t>464326</w:t>
              </w:r>
            </w:hyperlink>
            <w:r w:rsidR="009D7CBA" w:rsidRPr="009D7CBA">
              <w:rPr>
                <w:szCs w:val="22"/>
              </w:rPr>
              <w:t>)</w:t>
            </w:r>
          </w:p>
        </w:tc>
      </w:tr>
      <w:tr w:rsidR="00324B33" w:rsidRPr="00BD5DBD" w14:paraId="7618393F" w14:textId="77777777" w:rsidTr="00F865A7">
        <w:tc>
          <w:tcPr>
            <w:tcW w:w="1577" w:type="pct"/>
          </w:tcPr>
          <w:p w14:paraId="02260DE2" w14:textId="193007BD" w:rsidR="00324B33" w:rsidRPr="00BD5DBD" w:rsidRDefault="00324B33" w:rsidP="007E4FF8">
            <w:pPr>
              <w:rPr>
                <w:i/>
                <w:szCs w:val="22"/>
              </w:rPr>
            </w:pPr>
            <w:r w:rsidRPr="00BD5DBD">
              <w:rPr>
                <w:rFonts w:ascii="Wingdings 3" w:hAnsi="Wingdings 3"/>
                <w:szCs w:val="22"/>
                <w:lang w:eastAsia="en-AU"/>
              </w:rPr>
              <w:t></w:t>
            </w:r>
            <w:hyperlink r:id="rId22" w:history="1">
              <w:r w:rsidRPr="00BD5DBD">
                <w:rPr>
                  <w:rStyle w:val="Hyperlink"/>
                  <w:i/>
                  <w:szCs w:val="22"/>
                </w:rPr>
                <w:t>Black Triangle Scheme</w:t>
              </w:r>
            </w:hyperlink>
          </w:p>
        </w:tc>
        <w:tc>
          <w:tcPr>
            <w:tcW w:w="3423" w:type="pct"/>
          </w:tcPr>
          <w:p w14:paraId="6FF3C6A2" w14:textId="200FC3E5"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04B33CC3" w:rsidR="00324B33" w:rsidRPr="00BD5DBD" w:rsidRDefault="003908CD" w:rsidP="003908CD">
            <w:pPr>
              <w:rPr>
                <w:szCs w:val="22"/>
              </w:rPr>
            </w:pPr>
            <w:r w:rsidRPr="003908CD">
              <w:rPr>
                <w:szCs w:val="22"/>
              </w:rPr>
              <w:t>GlaxoSmithKline Australia Pty Ltd Level 4, 436 Johnston Street,</w:t>
            </w:r>
            <w:r>
              <w:rPr>
                <w:szCs w:val="22"/>
              </w:rPr>
              <w:t xml:space="preserve"> </w:t>
            </w:r>
            <w:r w:rsidRPr="003908CD">
              <w:rPr>
                <w:szCs w:val="22"/>
              </w:rPr>
              <w:t>Abbotsford, Victoria, 3067</w:t>
            </w:r>
          </w:p>
        </w:tc>
      </w:tr>
      <w:tr w:rsidR="00324B33" w:rsidRPr="00BD5DBD" w14:paraId="5322B989" w14:textId="77777777" w:rsidTr="00F865A7">
        <w:tc>
          <w:tcPr>
            <w:tcW w:w="1577" w:type="pct"/>
          </w:tcPr>
          <w:p w14:paraId="24F217E3" w14:textId="4AF09732" w:rsidR="00324B33" w:rsidRPr="00BD5DBD" w:rsidRDefault="00324B33" w:rsidP="007452E8">
            <w:pPr>
              <w:rPr>
                <w:i/>
                <w:szCs w:val="22"/>
              </w:rPr>
            </w:pPr>
            <w:r w:rsidRPr="00BD5DBD">
              <w:rPr>
                <w:i/>
                <w:szCs w:val="22"/>
              </w:rPr>
              <w:t>Dose form:</w:t>
            </w:r>
          </w:p>
        </w:tc>
        <w:tc>
          <w:tcPr>
            <w:tcW w:w="3423" w:type="pct"/>
          </w:tcPr>
          <w:p w14:paraId="768B254C" w14:textId="73BC7770" w:rsidR="00324B33" w:rsidRPr="00BD5DBD" w:rsidRDefault="009B1416" w:rsidP="007452E8">
            <w:pPr>
              <w:rPr>
                <w:szCs w:val="22"/>
              </w:rPr>
            </w:pPr>
            <w:r w:rsidRPr="009B1416">
              <w:rPr>
                <w:szCs w:val="22"/>
              </w:rPr>
              <w:t>Powder for injection</w:t>
            </w:r>
          </w:p>
        </w:tc>
      </w:tr>
      <w:tr w:rsidR="00324B33" w:rsidRPr="00BD5DBD" w14:paraId="115243E6" w14:textId="77777777" w:rsidTr="00F865A7">
        <w:tc>
          <w:tcPr>
            <w:tcW w:w="1577" w:type="pct"/>
          </w:tcPr>
          <w:p w14:paraId="7634B062" w14:textId="0AE54404" w:rsidR="00324B33" w:rsidRPr="00BD5DBD" w:rsidRDefault="00324B33" w:rsidP="007452E8">
            <w:pPr>
              <w:rPr>
                <w:i/>
                <w:szCs w:val="22"/>
              </w:rPr>
            </w:pPr>
            <w:r w:rsidRPr="00BD5DBD">
              <w:rPr>
                <w:i/>
                <w:szCs w:val="22"/>
              </w:rPr>
              <w:t>Strength:</w:t>
            </w:r>
          </w:p>
        </w:tc>
        <w:tc>
          <w:tcPr>
            <w:tcW w:w="3423" w:type="pct"/>
          </w:tcPr>
          <w:p w14:paraId="512C18B4" w14:textId="77777777" w:rsidR="00E02144" w:rsidRPr="00E02144" w:rsidRDefault="00E02144" w:rsidP="00E02144">
            <w:pPr>
              <w:rPr>
                <w:szCs w:val="22"/>
              </w:rPr>
            </w:pPr>
            <w:r w:rsidRPr="00E02144">
              <w:rPr>
                <w:szCs w:val="22"/>
              </w:rPr>
              <w:t>Each vial contains 70 mg or 100 mg of belantamab mafodotin.</w:t>
            </w:r>
          </w:p>
          <w:p w14:paraId="5E5F83DB" w14:textId="53E8CCE2" w:rsidR="00324B33" w:rsidRPr="00BD5DBD" w:rsidRDefault="00E02144" w:rsidP="00E02144">
            <w:pPr>
              <w:rPr>
                <w:szCs w:val="22"/>
              </w:rPr>
            </w:pPr>
            <w:r w:rsidRPr="00E02144">
              <w:rPr>
                <w:szCs w:val="22"/>
              </w:rPr>
              <w:t>After reconstitution, the solution contains 50 mg per mL belantamab mafodotin</w:t>
            </w:r>
            <w:r>
              <w:rPr>
                <w:szCs w:val="22"/>
              </w:rPr>
              <w:t xml:space="preserve">. </w:t>
            </w:r>
          </w:p>
        </w:tc>
      </w:tr>
      <w:tr w:rsidR="00324B33" w:rsidRPr="00BD5DBD" w14:paraId="34B07BA6" w14:textId="77777777" w:rsidTr="00F865A7">
        <w:tc>
          <w:tcPr>
            <w:tcW w:w="1577" w:type="pct"/>
          </w:tcPr>
          <w:p w14:paraId="1C039224" w14:textId="186F01AE" w:rsidR="00324B33" w:rsidRPr="00BD5DBD" w:rsidRDefault="00324B33" w:rsidP="007452E8">
            <w:pPr>
              <w:rPr>
                <w:i/>
                <w:szCs w:val="22"/>
              </w:rPr>
            </w:pPr>
            <w:r w:rsidRPr="00BD5DBD">
              <w:rPr>
                <w:i/>
                <w:szCs w:val="22"/>
              </w:rPr>
              <w:t>Container:</w:t>
            </w:r>
          </w:p>
        </w:tc>
        <w:tc>
          <w:tcPr>
            <w:tcW w:w="3423" w:type="pct"/>
          </w:tcPr>
          <w:p w14:paraId="500A42C6" w14:textId="442E6879" w:rsidR="00324B33" w:rsidRPr="00BD5DBD" w:rsidRDefault="00985549" w:rsidP="007452E8">
            <w:pPr>
              <w:rPr>
                <w:szCs w:val="22"/>
              </w:rPr>
            </w:pPr>
            <w:r w:rsidRPr="00985549">
              <w:rPr>
                <w:szCs w:val="22"/>
              </w:rPr>
              <w:t xml:space="preserve">Sterile lyophilised powder in a type I glass vial with </w:t>
            </w:r>
            <w:proofErr w:type="spellStart"/>
            <w:r w:rsidRPr="00985549">
              <w:rPr>
                <w:szCs w:val="22"/>
              </w:rPr>
              <w:t>bromobutyl</w:t>
            </w:r>
            <w:proofErr w:type="spellEnd"/>
            <w:r w:rsidRPr="00985549">
              <w:rPr>
                <w:szCs w:val="22"/>
              </w:rPr>
              <w:t xml:space="preserve"> rubber stopper and an aluminium </w:t>
            </w:r>
            <w:proofErr w:type="spellStart"/>
            <w:r w:rsidRPr="00985549">
              <w:rPr>
                <w:szCs w:val="22"/>
              </w:rPr>
              <w:t>overseal</w:t>
            </w:r>
            <w:proofErr w:type="spellEnd"/>
            <w:r w:rsidRPr="00985549">
              <w:rPr>
                <w:szCs w:val="22"/>
              </w:rPr>
              <w:t xml:space="preserve"> with a plastic removable cap.</w:t>
            </w:r>
          </w:p>
        </w:tc>
      </w:tr>
      <w:tr w:rsidR="00324B33" w:rsidRPr="00BD5DBD" w14:paraId="5AFDEED3" w14:textId="77777777" w:rsidTr="00F865A7">
        <w:tc>
          <w:tcPr>
            <w:tcW w:w="1577" w:type="pct"/>
          </w:tcPr>
          <w:p w14:paraId="03884BD1" w14:textId="635F1C90" w:rsidR="00324B33" w:rsidRPr="00BD5DBD" w:rsidRDefault="00324B33" w:rsidP="007452E8">
            <w:pPr>
              <w:rPr>
                <w:i/>
                <w:szCs w:val="22"/>
              </w:rPr>
            </w:pPr>
            <w:r w:rsidRPr="00BD5DBD">
              <w:rPr>
                <w:i/>
                <w:szCs w:val="22"/>
              </w:rPr>
              <w:t>Route of administration:</w:t>
            </w:r>
          </w:p>
        </w:tc>
        <w:tc>
          <w:tcPr>
            <w:tcW w:w="3423" w:type="pct"/>
          </w:tcPr>
          <w:p w14:paraId="1ED1357E" w14:textId="4E3E70B1" w:rsidR="00324B33" w:rsidRPr="00BD5DBD" w:rsidRDefault="006D26C7" w:rsidP="007452E8">
            <w:pPr>
              <w:rPr>
                <w:szCs w:val="22"/>
              </w:rPr>
            </w:pPr>
            <w:r>
              <w:rPr>
                <w:szCs w:val="22"/>
              </w:rPr>
              <w:t>I</w:t>
            </w:r>
            <w:r w:rsidRPr="006D26C7">
              <w:rPr>
                <w:szCs w:val="22"/>
              </w:rPr>
              <w:t>ntravenous infusion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3D0B2D5C" w14:textId="56BC1C9B" w:rsidR="00324B33" w:rsidRPr="00BD5DBD" w:rsidRDefault="00324B33" w:rsidP="007452E8">
            <w:pPr>
              <w:rPr>
                <w:szCs w:val="22"/>
              </w:rPr>
            </w:pPr>
            <w:r w:rsidRPr="00BD5DBD">
              <w:rPr>
                <w:szCs w:val="22"/>
              </w:rPr>
              <w:t>For information regarding dosage, 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35E401AF" w14:textId="77777777" w:rsidR="007E4FF8" w:rsidRPr="007E4FF8" w:rsidRDefault="007E4FF8" w:rsidP="007E4FF8">
            <w:pPr>
              <w:rPr>
                <w:b/>
                <w:bCs/>
              </w:rPr>
            </w:pPr>
            <w:r w:rsidRPr="007E4FF8">
              <w:rPr>
                <w:b/>
                <w:bCs/>
              </w:rPr>
              <w:t>Category D</w:t>
            </w:r>
          </w:p>
          <w:p w14:paraId="07217151" w14:textId="77777777" w:rsidR="007E4FF8" w:rsidRPr="007E4FF8" w:rsidRDefault="007E4FF8" w:rsidP="007E4FF8">
            <w:r w:rsidRPr="007E4FF8">
              <w:t xml:space="preserve">Drugs which have caused, are suspected to have caused or may be expected to cause, an increased incidence of human fetal malformations or irreversible damage. These drugs may also </w:t>
            </w:r>
            <w:r w:rsidRPr="007E4FF8">
              <w:lastRenderedPageBreak/>
              <w:t>have adverse pharmacological effects. Accompanying texts should be consulted for further details.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3"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4"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4D76D5D4" w:rsidR="00324B33" w:rsidRDefault="00324B33" w:rsidP="00324B33">
      <w:pPr>
        <w:pStyle w:val="Heading3"/>
      </w:pPr>
      <w:bookmarkStart w:id="11" w:name="_Toc247691503"/>
      <w:bookmarkStart w:id="12" w:name="_Toc314842484"/>
      <w:bookmarkStart w:id="13" w:name="_Toc103679290"/>
      <w:bookmarkStart w:id="14" w:name="_Toc227758019"/>
      <w:r>
        <w:lastRenderedPageBreak/>
        <w:t>Product background</w:t>
      </w:r>
      <w:bookmarkEnd w:id="11"/>
      <w:bookmarkEnd w:id="12"/>
      <w:bookmarkEnd w:id="13"/>
      <w:bookmarkEnd w:id="14"/>
      <w:r w:rsidR="00145B4A">
        <w:fldChar w:fldCharType="begin"/>
      </w:r>
      <w:r w:rsidR="00145B4A">
        <w:instrText xml:space="preserve"> DOCVARIABLE vault_nd_eec45b9e-bb50-44a5-a4ad-9aa8347dbc03 \* MERGEFORMAT </w:instrText>
      </w:r>
      <w:r w:rsidR="00145B4A">
        <w:fldChar w:fldCharType="separate"/>
      </w:r>
      <w:r w:rsidR="00145B4A">
        <w:t xml:space="preserve"> </w:t>
      </w:r>
      <w:r w:rsidR="00145B4A">
        <w:fldChar w:fldCharType="end"/>
      </w:r>
    </w:p>
    <w:p w14:paraId="59BF31D1" w14:textId="07C2705C" w:rsidR="001500A8" w:rsidRDefault="00324B33" w:rsidP="00065839">
      <w:r w:rsidRPr="00065839">
        <w:t xml:space="preserve">This AusPAR describes the submission by </w:t>
      </w:r>
      <w:r w:rsidR="009470D7" w:rsidRPr="009470D7">
        <w:t>GlaxoSmithKline Australia Pty Ltd</w:t>
      </w:r>
      <w:r w:rsidRPr="00065839">
        <w:t xml:space="preserve"> (the sponsor) to register </w:t>
      </w:r>
      <w:r w:rsidR="00A0536E">
        <w:t>Blenrep</w:t>
      </w:r>
      <w:r w:rsidR="009470D7" w:rsidRPr="009470D7">
        <w:t xml:space="preserve"> </w:t>
      </w:r>
      <w:r w:rsidR="009470D7">
        <w:t>(b</w:t>
      </w:r>
      <w:r w:rsidR="009470D7" w:rsidRPr="009470D7">
        <w:t>elantamab mafodotin</w:t>
      </w:r>
      <w:r w:rsidRPr="00065839">
        <w:t>) for the following proposed indication:</w:t>
      </w:r>
      <w:r w:rsidR="00D63760" w:rsidRPr="00065839">
        <w:rPr>
          <w:vertAlign w:val="superscript"/>
        </w:rPr>
        <w:footnoteReference w:id="1"/>
      </w:r>
    </w:p>
    <w:p w14:paraId="3765028B" w14:textId="57A6B959" w:rsidR="00385564" w:rsidRDefault="00A0536E" w:rsidP="00385564">
      <w:pPr>
        <w:pStyle w:val="Indication"/>
      </w:pPr>
      <w:r>
        <w:t>Blenrep</w:t>
      </w:r>
      <w:r w:rsidR="00385564">
        <w:t xml:space="preserve"> is indicated for the treatment of adults with multiple myeloma:</w:t>
      </w:r>
    </w:p>
    <w:p w14:paraId="11245BE0" w14:textId="5B3138EA" w:rsidR="00385564" w:rsidRDefault="00385564" w:rsidP="00385564">
      <w:pPr>
        <w:pStyle w:val="Indication"/>
      </w:pPr>
      <w:r>
        <w:t>-in combination with bortezomib and dexamethasone in patients who have received at least one prior therapy; and</w:t>
      </w:r>
    </w:p>
    <w:p w14:paraId="08FFBD13" w14:textId="0A61591B" w:rsidR="009470D7" w:rsidRPr="00065839" w:rsidRDefault="00385564" w:rsidP="00385564">
      <w:pPr>
        <w:pStyle w:val="Indication"/>
      </w:pPr>
      <w:r>
        <w:t>-in combination with pomalidomide and dexamethasone in patients who have received at least one prior therapy including lenalidomide.</w:t>
      </w:r>
    </w:p>
    <w:p w14:paraId="1E63A2AE" w14:textId="3AF6D67A" w:rsidR="00CB6813" w:rsidRDefault="00005DFC" w:rsidP="00CB6813">
      <w:pPr>
        <w:pStyle w:val="Heading4"/>
      </w:pPr>
      <w:bookmarkStart w:id="15" w:name="_Toc227758020"/>
      <w:bookmarkStart w:id="16" w:name="_Toc314842485"/>
      <w:bookmarkStart w:id="17" w:name="_Toc247691504"/>
      <w:r>
        <w:t>D</w:t>
      </w:r>
      <w:r w:rsidR="00CB6813" w:rsidRPr="00C12D65">
        <w:t>isease</w:t>
      </w:r>
      <w:r w:rsidR="006428C5">
        <w:t xml:space="preserve"> or condition</w:t>
      </w:r>
      <w:bookmarkEnd w:id="15"/>
      <w:r w:rsidR="00145B4A">
        <w:fldChar w:fldCharType="begin"/>
      </w:r>
      <w:r w:rsidR="00145B4A">
        <w:instrText xml:space="preserve"> DOCVARIABLE vault_nd_91f4a4f9-e94f-4d69-9066-c4516f387685 \* MERGEFORMAT </w:instrText>
      </w:r>
      <w:r w:rsidR="00145B4A">
        <w:fldChar w:fldCharType="separate"/>
      </w:r>
      <w:r w:rsidR="00145B4A">
        <w:t xml:space="preserve"> </w:t>
      </w:r>
      <w:r w:rsidR="00145B4A">
        <w:fldChar w:fldCharType="end"/>
      </w:r>
    </w:p>
    <w:p w14:paraId="7840E0D6" w14:textId="244F980C" w:rsidR="00F50F6E" w:rsidRPr="00F50F6E" w:rsidRDefault="00F50F6E" w:rsidP="00F50F6E">
      <w:r w:rsidRPr="00F50F6E">
        <w:t>Multiple myeloma (MM) is a neoplastic disorder of plasma cells</w:t>
      </w:r>
      <w:r w:rsidR="00786C5F">
        <w:t>.</w:t>
      </w:r>
      <w:r w:rsidR="00786C5F">
        <w:rPr>
          <w:rStyle w:val="FootnoteReference"/>
        </w:rPr>
        <w:footnoteReference w:id="2"/>
      </w:r>
      <w:r w:rsidR="00786C5F">
        <w:t xml:space="preserve"> </w:t>
      </w:r>
      <w:r w:rsidRPr="00F50F6E">
        <w:t xml:space="preserve">Plasma cells are differentiated B-lymphocyte white blood cells that have been activated by antigenic stimulation and </w:t>
      </w:r>
      <w:proofErr w:type="gramStart"/>
      <w:r w:rsidRPr="00F50F6E">
        <w:t>are capable of secreting</w:t>
      </w:r>
      <w:proofErr w:type="gramEnd"/>
      <w:r w:rsidRPr="00F50F6E">
        <w:t xml:space="preserve"> immunoglobulins (antibodies).</w:t>
      </w:r>
      <w:r w:rsidR="00587413">
        <w:rPr>
          <w:rStyle w:val="FootnoteReference"/>
        </w:rPr>
        <w:footnoteReference w:id="3"/>
      </w:r>
      <w:r w:rsidRPr="00F50F6E">
        <w:t xml:space="preserve"> In MM there is an abnormal proliferation of a clone of plasma cells resulting in overproduction of monoclonal immunoglobulins</w:t>
      </w:r>
      <w:r w:rsidR="00073830">
        <w:t xml:space="preserve">. </w:t>
      </w:r>
      <w:r w:rsidRPr="00F50F6E">
        <w:t>This can lead to clinical manifestations including hypercalcaemia, renal dysfunction, anaemia, bone pain and bone lytic lesions</w:t>
      </w:r>
      <w:r w:rsidR="00073830">
        <w:t xml:space="preserve">. </w:t>
      </w:r>
      <w:r w:rsidRPr="00F50F6E">
        <w:t xml:space="preserve">Factors contributing to the causation include alterations and translocations in promoter genes, especially </w:t>
      </w:r>
      <w:r w:rsidR="00587413">
        <w:t>c</w:t>
      </w:r>
      <w:r w:rsidRPr="00F50F6E">
        <w:t>hromosome 14, and oncogenes, including NRAS, KRAS and BRAF</w:t>
      </w:r>
      <w:r w:rsidR="00073830">
        <w:t xml:space="preserve">. </w:t>
      </w:r>
    </w:p>
    <w:p w14:paraId="6BFE5CAA" w14:textId="77777777" w:rsidR="00F50F6E" w:rsidRPr="00F50F6E" w:rsidRDefault="00F50F6E" w:rsidP="00F50F6E">
      <w:r w:rsidRPr="00F50F6E">
        <w:t>Other factors, which are also implicated in other types of neoplasia, include obesity, alcohol consumption, and environmental exposures, including insecticides, organic solvents, agent orange and radiation.</w:t>
      </w:r>
    </w:p>
    <w:p w14:paraId="1835C764" w14:textId="568062D8" w:rsidR="00F50F6E" w:rsidRPr="00F50F6E" w:rsidRDefault="00F50F6E" w:rsidP="00F50F6E">
      <w:r w:rsidRPr="00F50F6E">
        <w:t>In 2024, MM was the second most frequently diagnosed blood cancer in Australia.</w:t>
      </w:r>
      <w:bookmarkStart w:id="18" w:name="_Ref224221311"/>
      <w:r w:rsidR="00A8596C">
        <w:rPr>
          <w:rStyle w:val="FootnoteReference"/>
        </w:rPr>
        <w:footnoteReference w:id="4"/>
      </w:r>
      <w:bookmarkEnd w:id="18"/>
      <w:r w:rsidRPr="00F50F6E">
        <w:t xml:space="preserve">  The annual incidence of MM in Australia, age standardised to the 2024 population, is around 9.5/100,000 persons, with a higher incidence in males, around 12/100,000 males, compared to females at around 7/100,000 females. The annual incidence increases with age: 30/100,000 persons aged 65 to 74 years, 50/100,000 persons aged 75 to 84 years and 50/100,000 persons aged ≥85 </w:t>
      </w:r>
      <w:r w:rsidRPr="00F50F6E">
        <w:lastRenderedPageBreak/>
        <w:t>years</w:t>
      </w:r>
      <w:r w:rsidR="00073830">
        <w:t xml:space="preserve">. </w:t>
      </w:r>
      <w:r w:rsidRPr="00F50F6E">
        <w:t>In 2018, it was estimated that there were 1700 prevalent cases of MM in Australia.</w:t>
      </w:r>
      <w:bookmarkStart w:id="19" w:name="_Ref224221326"/>
      <w:r w:rsidR="009B2D98">
        <w:rPr>
          <w:rStyle w:val="FootnoteReference"/>
        </w:rPr>
        <w:footnoteReference w:id="5"/>
      </w:r>
      <w:bookmarkEnd w:id="19"/>
      <w:r w:rsidRPr="00F50F6E">
        <w:t xml:space="preserve">  On average, over the years 2005 to 2019, in Australia the 5 year survival following initial diagnosis of MM was 53.1%.</w:t>
      </w:r>
      <w:r w:rsidR="009B2D98">
        <w:fldChar w:fldCharType="begin"/>
      </w:r>
      <w:r w:rsidR="009B2D98">
        <w:instrText xml:space="preserve"> NOTEREF _Ref224221311 \f \h </w:instrText>
      </w:r>
      <w:r w:rsidR="009B2D98">
        <w:fldChar w:fldCharType="separate"/>
      </w:r>
      <w:r w:rsidR="009B2D98" w:rsidRPr="009B2D98">
        <w:rPr>
          <w:rStyle w:val="FootnoteReference"/>
        </w:rPr>
        <w:t>4</w:t>
      </w:r>
      <w:r w:rsidR="009B2D98">
        <w:fldChar w:fldCharType="end"/>
      </w:r>
    </w:p>
    <w:p w14:paraId="622F14E1" w14:textId="0C49C1F1" w:rsidR="00F50F6E" w:rsidRPr="00F50F6E" w:rsidRDefault="00F50F6E" w:rsidP="00F50F6E">
      <w:r w:rsidRPr="00F50F6E">
        <w:t>This compares to an incidence in the US of 7/100,000/year.</w:t>
      </w:r>
      <w:r w:rsidR="009B2D98">
        <w:fldChar w:fldCharType="begin"/>
      </w:r>
      <w:r w:rsidR="009B2D98">
        <w:instrText xml:space="preserve"> NOTEREF _Ref224221326 \f \h </w:instrText>
      </w:r>
      <w:r w:rsidR="009B2D98">
        <w:fldChar w:fldCharType="separate"/>
      </w:r>
      <w:r w:rsidR="009B2D98" w:rsidRPr="009B2D98">
        <w:rPr>
          <w:rStyle w:val="FootnoteReference"/>
        </w:rPr>
        <w:t>5</w:t>
      </w:r>
      <w:r w:rsidR="009B2D98">
        <w:fldChar w:fldCharType="end"/>
      </w:r>
      <w:r w:rsidRPr="00F50F6E">
        <w:t xml:space="preserve">  In the US, MM is more than twice as common in African Americans</w:t>
      </w:r>
      <w:r w:rsidR="00073830">
        <w:t xml:space="preserve">. </w:t>
      </w:r>
      <w:r w:rsidRPr="00F50F6E">
        <w:t>The global age-standardised incidence of MM is 2.1/100,000 males and 1.4/100,000 females</w:t>
      </w:r>
      <w:r w:rsidR="00073830">
        <w:t xml:space="preserve">. </w:t>
      </w:r>
      <w:r w:rsidRPr="00F50F6E">
        <w:t>The age-standardised mortality is 1.3/100,000 males and 0.9/100,000 females.</w:t>
      </w:r>
    </w:p>
    <w:p w14:paraId="4340D581" w14:textId="1FCDEC4C" w:rsidR="00F50F6E" w:rsidRPr="00F50F6E" w:rsidRDefault="00F50F6E" w:rsidP="00F50F6E">
      <w:r w:rsidRPr="00F50F6E">
        <w:t>The diagnosis of MM is based on c</w:t>
      </w:r>
      <w:proofErr w:type="spellStart"/>
      <w:r w:rsidRPr="00F50F6E">
        <w:rPr>
          <w:lang w:val="en-NZ"/>
        </w:rPr>
        <w:t>lonal</w:t>
      </w:r>
      <w:proofErr w:type="spellEnd"/>
      <w:r w:rsidRPr="00F50F6E">
        <w:rPr>
          <w:lang w:val="en-NZ"/>
        </w:rPr>
        <w:t xml:space="preserve"> bone marrow plasma cells more than 10% or biopsy-proven bony or extramedullary plasmacytoma; and at least one of: clinical manifestations (hypercalcaemia, renal insufficiency, anaemia and/or bone lesions), clonal bone marrow plasma cell percentage 60% or more, serum free light chains ratio of 100 or more, and/or more than one focal lesion on MRI studies</w:t>
      </w:r>
      <w:r w:rsidRPr="00F50F6E">
        <w:t>.</w:t>
      </w:r>
    </w:p>
    <w:p w14:paraId="294B8092" w14:textId="2C2E45DC" w:rsidR="00F50F6E" w:rsidRPr="00F50F6E" w:rsidRDefault="00F50F6E" w:rsidP="00F50F6E">
      <w:r w:rsidRPr="00F50F6E">
        <w:t xml:space="preserve">The </w:t>
      </w:r>
      <w:r w:rsidR="00FD2904">
        <w:t>Revised-</w:t>
      </w:r>
      <w:r w:rsidR="00FD2904" w:rsidRPr="00FD2904">
        <w:t xml:space="preserve"> International Staging System </w:t>
      </w:r>
      <w:r w:rsidR="00FD2904">
        <w:t>(</w:t>
      </w:r>
      <w:r w:rsidRPr="00F50F6E">
        <w:t>R-ISS</w:t>
      </w:r>
      <w:r w:rsidR="00FD2904">
        <w:t>)</w:t>
      </w:r>
      <w:r w:rsidRPr="00F50F6E">
        <w:t xml:space="preserve"> for MM has three stages:</w:t>
      </w:r>
    </w:p>
    <w:p w14:paraId="50901830" w14:textId="51EDA2F5" w:rsidR="00F50F6E" w:rsidRPr="00F50F6E" w:rsidRDefault="00F50F6E" w:rsidP="009B2D98">
      <w:pPr>
        <w:pStyle w:val="ListBullet"/>
        <w:rPr>
          <w:lang w:val="en-NZ"/>
        </w:rPr>
      </w:pPr>
      <w:r w:rsidRPr="00F50F6E">
        <w:t xml:space="preserve">Stage 1: </w:t>
      </w:r>
      <w:r w:rsidRPr="00F50F6E">
        <w:rPr>
          <w:lang w:val="en-NZ"/>
        </w:rPr>
        <w:t xml:space="preserve">serum beta-2-microglobulin (B2M) is less than 3.5 mg/L; albumin level is 3.5 g/dL or more; </w:t>
      </w:r>
      <w:r w:rsidR="00A33381">
        <w:rPr>
          <w:lang w:val="en-NZ"/>
        </w:rPr>
        <w:t>lactate dehydrogenase</w:t>
      </w:r>
      <w:r w:rsidRPr="00F50F6E">
        <w:rPr>
          <w:lang w:val="en-NZ"/>
        </w:rPr>
        <w:t xml:space="preserve"> levels are normal; and cytogenetics are considered not high risk</w:t>
      </w:r>
      <w:r w:rsidR="00073830">
        <w:rPr>
          <w:lang w:val="en-NZ"/>
        </w:rPr>
        <w:t xml:space="preserve">. </w:t>
      </w:r>
    </w:p>
    <w:p w14:paraId="42FCB74A" w14:textId="77777777" w:rsidR="00F50F6E" w:rsidRPr="00F50F6E" w:rsidRDefault="00F50F6E" w:rsidP="009B2D98">
      <w:pPr>
        <w:pStyle w:val="ListBullet"/>
        <w:rPr>
          <w:lang w:val="en-NZ"/>
        </w:rPr>
      </w:pPr>
      <w:r w:rsidRPr="00F50F6E">
        <w:rPr>
          <w:lang w:val="en-NZ"/>
        </w:rPr>
        <w:t>Stage 2: results higher than stage 1 but lower than stage 3</w:t>
      </w:r>
    </w:p>
    <w:p w14:paraId="74106127" w14:textId="632764F7" w:rsidR="00F50F6E" w:rsidRPr="00F50F6E" w:rsidRDefault="00F50F6E" w:rsidP="009B2D98">
      <w:pPr>
        <w:pStyle w:val="ListBullet"/>
        <w:rPr>
          <w:lang w:val="en-NZ"/>
        </w:rPr>
      </w:pPr>
      <w:r w:rsidRPr="00F50F6E">
        <w:rPr>
          <w:lang w:val="en-NZ"/>
        </w:rPr>
        <w:t xml:space="preserve">Stage 3: B2M is 5.5 mg/L or more, either </w:t>
      </w:r>
      <w:r w:rsidR="00A33381" w:rsidRPr="00A33381">
        <w:rPr>
          <w:lang w:val="en-NZ"/>
        </w:rPr>
        <w:t xml:space="preserve">lactate dehydrogenase </w:t>
      </w:r>
      <w:r w:rsidRPr="00F50F6E">
        <w:rPr>
          <w:lang w:val="en-NZ"/>
        </w:rPr>
        <w:t xml:space="preserve">levels are </w:t>
      </w:r>
      <w:proofErr w:type="gramStart"/>
      <w:r w:rsidRPr="00F50F6E">
        <w:rPr>
          <w:lang w:val="en-NZ"/>
        </w:rPr>
        <w:t>high</w:t>
      </w:r>
      <w:proofErr w:type="gramEnd"/>
      <w:r w:rsidRPr="00F50F6E">
        <w:rPr>
          <w:lang w:val="en-NZ"/>
        </w:rPr>
        <w:t xml:space="preserve"> or genetic test results are considered high risk</w:t>
      </w:r>
    </w:p>
    <w:p w14:paraId="336C1C1D" w14:textId="7B15A29E" w:rsidR="00F50F6E" w:rsidRPr="00F50F6E" w:rsidRDefault="00BF530A" w:rsidP="00F50F6E">
      <w:r>
        <w:t>Overall survival</w:t>
      </w:r>
      <w:r w:rsidR="00F50F6E" w:rsidRPr="00F50F6E">
        <w:t xml:space="preserve"> </w:t>
      </w:r>
      <w:r w:rsidR="004F63B7">
        <w:t xml:space="preserve">(OS) </w:t>
      </w:r>
      <w:r w:rsidR="00F50F6E" w:rsidRPr="00F50F6E">
        <w:t>at five years was 82% for Stage 1, 62% for Stage 2 and 40% for Stage 3</w:t>
      </w:r>
      <w:r w:rsidR="00073830">
        <w:t xml:space="preserve">. </w:t>
      </w:r>
      <w:r w:rsidR="00162A68">
        <w:t>progression free survival (</w:t>
      </w:r>
      <w:r w:rsidR="00F50F6E" w:rsidRPr="00F50F6E">
        <w:t>PFS</w:t>
      </w:r>
      <w:r w:rsidR="00162A68">
        <w:t>)</w:t>
      </w:r>
      <w:r w:rsidR="00F50F6E" w:rsidRPr="00F50F6E">
        <w:t xml:space="preserve"> at five years was 55% for Stage 1, 36% for Stage 2 and 24% for Stage 3.</w:t>
      </w:r>
    </w:p>
    <w:p w14:paraId="255E083A" w14:textId="28F808F0" w:rsidR="00CB6813" w:rsidRDefault="00CB6813" w:rsidP="00CB6813">
      <w:pPr>
        <w:pStyle w:val="Heading4"/>
      </w:pPr>
      <w:bookmarkStart w:id="20" w:name="_Toc227758021"/>
      <w:r>
        <w:t>Current treatment options</w:t>
      </w:r>
      <w:bookmarkEnd w:id="20"/>
      <w:r w:rsidR="00145B4A">
        <w:fldChar w:fldCharType="begin"/>
      </w:r>
      <w:r w:rsidR="00145B4A">
        <w:instrText xml:space="preserve"> DOCVARIABLE vault_nd_3a314fa7-574c-44a4-8c0d-633f8cac9873 \* MERGEFORMAT </w:instrText>
      </w:r>
      <w:r w:rsidR="00145B4A">
        <w:fldChar w:fldCharType="separate"/>
      </w:r>
      <w:r w:rsidR="00145B4A">
        <w:t xml:space="preserve"> </w:t>
      </w:r>
      <w:r w:rsidR="00145B4A">
        <w:fldChar w:fldCharType="end"/>
      </w:r>
    </w:p>
    <w:p w14:paraId="6F799E19" w14:textId="331FB6FB" w:rsidR="000E2F39" w:rsidRDefault="000E2F39" w:rsidP="000E2F39">
      <w:r w:rsidRPr="000E2F39">
        <w:t>The current Australian treatment recommendations are to monitor monoclonal gammopathy of uncertain significance (MGUS) and asymptomatic MM.</w:t>
      </w:r>
      <w:bookmarkStart w:id="21" w:name="_Ref224553820"/>
      <w:r w:rsidR="0054100F">
        <w:rPr>
          <w:rStyle w:val="FootnoteReference"/>
        </w:rPr>
        <w:footnoteReference w:id="6"/>
      </w:r>
      <w:bookmarkEnd w:id="21"/>
      <w:r w:rsidRPr="000E2F39">
        <w:t xml:space="preserve">  This should be with 3 to 12 monthly visits and laboratory investigations, depending upon the level of risk for progression.</w:t>
      </w:r>
    </w:p>
    <w:p w14:paraId="56DF50DF" w14:textId="644AAA39" w:rsidR="00985BB1" w:rsidRDefault="00985BB1" w:rsidP="00985BB1">
      <w:r>
        <w:t>Patients &lt;65 year requiring treatment would be offered autologous stem cell transplant (ASCT), after a pre-treatment induction with lenalidomide-dexamethasone or bortezomib-lenalidomide-dexamethasone (</w:t>
      </w:r>
      <w:proofErr w:type="spellStart"/>
      <w:r>
        <w:t>VRd</w:t>
      </w:r>
      <w:proofErr w:type="spellEnd"/>
      <w:r>
        <w:t>).</w:t>
      </w:r>
      <w:r w:rsidR="00BC5DDC">
        <w:fldChar w:fldCharType="begin"/>
      </w:r>
      <w:r w:rsidR="00BC5DDC">
        <w:instrText xml:space="preserve"> NOTEREF _Ref224553820 \f \h </w:instrText>
      </w:r>
      <w:r w:rsidR="00BC5DDC">
        <w:fldChar w:fldCharType="separate"/>
      </w:r>
      <w:r w:rsidR="00BC5DDC" w:rsidRPr="00BC5DDC">
        <w:rPr>
          <w:rStyle w:val="FootnoteReference"/>
        </w:rPr>
        <w:t>6</w:t>
      </w:r>
      <w:r w:rsidR="00BC5DDC">
        <w:fldChar w:fldCharType="end"/>
      </w:r>
      <w:r>
        <w:t xml:space="preserve">  Generally, patients up to the age of 70 may be offered ASCT depending on age, comorbidity, frailty and disability</w:t>
      </w:r>
      <w:r w:rsidR="00073830">
        <w:t xml:space="preserve">. </w:t>
      </w:r>
      <w:r>
        <w:t>Tandem ASCT may be considered in high-risk patients.</w:t>
      </w:r>
    </w:p>
    <w:p w14:paraId="502E5C31" w14:textId="577845A3" w:rsidR="00985BB1" w:rsidRDefault="00985BB1" w:rsidP="00985BB1">
      <w:r>
        <w:t xml:space="preserve">Patients who are ineligible for ASCT can be offered induction therapy with triplet combinations (e.g. immunomodulatory drug [IMID] + PI + dexamethasone, </w:t>
      </w:r>
      <w:proofErr w:type="spellStart"/>
      <w:r>
        <w:t>VRd</w:t>
      </w:r>
      <w:proofErr w:type="spellEnd"/>
      <w:r>
        <w:t xml:space="preserve"> (bortezomib, lenalidomide and dexamethasone), combination PI + chemotherapy + corticosteroids [</w:t>
      </w:r>
      <w:proofErr w:type="spellStart"/>
      <w:r>
        <w:t>VCd</w:t>
      </w:r>
      <w:proofErr w:type="spellEnd"/>
      <w:r>
        <w:t>: bortezomib cyclophosphamide dexamethasone; VMP: bortezomib, melphalan, prednisolone; PAD: bortezomib, anthracycline, dexamethasone]) or doublet combination (lenalidomide and dexamethasone)</w:t>
      </w:r>
      <w:r w:rsidR="00073830">
        <w:t xml:space="preserve">. </w:t>
      </w:r>
      <w:r>
        <w:t>Induction therapy would be followed by maintenance therapy with lenalidomide.</w:t>
      </w:r>
    </w:p>
    <w:p w14:paraId="2437C1A7" w14:textId="1C88DA14" w:rsidR="00985BB1" w:rsidRPr="000E2F39" w:rsidRDefault="00985BB1" w:rsidP="00985BB1">
      <w:r>
        <w:t>For relapsed or refractory MM</w:t>
      </w:r>
      <w:r w:rsidR="00FA0C07">
        <w:t xml:space="preserve"> (RRMM)</w:t>
      </w:r>
      <w:r>
        <w:t xml:space="preserve">, the MSAG Myeloma Clinical Practice guideline states: “In Australia, the main treatment options for </w:t>
      </w:r>
      <w:r w:rsidR="00FA0C07" w:rsidRPr="00FA0C07">
        <w:t xml:space="preserve">RRMM), </w:t>
      </w:r>
      <w:r>
        <w:t xml:space="preserve">are combinations incorporating </w:t>
      </w:r>
      <w:proofErr w:type="spellStart"/>
      <w:r>
        <w:t>IMiDs</w:t>
      </w:r>
      <w:proofErr w:type="spellEnd"/>
      <w:r>
        <w:t xml:space="preserve"> </w:t>
      </w:r>
      <w:r>
        <w:lastRenderedPageBreak/>
        <w:t xml:space="preserve">(thalidomide, lenalidomide and pomalidomide), PI (bortezomib and carfilzomib), anti-CD38 </w:t>
      </w:r>
      <w:proofErr w:type="spellStart"/>
      <w:r>
        <w:t>mAb</w:t>
      </w:r>
      <w:proofErr w:type="spellEnd"/>
      <w:r>
        <w:t xml:space="preserve"> (daratumumab), alkylating agents, anthracyclines, and corticosteroids, with selected patients undergoing HDT with ASCT. These various agents can be used in various combinations within PBS restrictions (please refer to www.pbs.gov.au), and in different sequences. No best sequence has been defined”.</w:t>
      </w:r>
      <w:r w:rsidR="00BE3B5D">
        <w:fldChar w:fldCharType="begin"/>
      </w:r>
      <w:r w:rsidR="00BE3B5D">
        <w:instrText xml:space="preserve"> NOTEREF _Ref224553820 \f \h </w:instrText>
      </w:r>
      <w:r w:rsidR="00BE3B5D">
        <w:fldChar w:fldCharType="separate"/>
      </w:r>
      <w:r w:rsidR="00BE3B5D" w:rsidRPr="00BE3B5D">
        <w:rPr>
          <w:rStyle w:val="FootnoteReference"/>
        </w:rPr>
        <w:t>6</w:t>
      </w:r>
      <w:r w:rsidR="00BE3B5D">
        <w:fldChar w:fldCharType="end"/>
      </w:r>
    </w:p>
    <w:p w14:paraId="37C47E09" w14:textId="1F45D572" w:rsidR="00CB6813" w:rsidRDefault="00CB6813" w:rsidP="00CB6813">
      <w:pPr>
        <w:pStyle w:val="Heading4"/>
      </w:pPr>
      <w:bookmarkStart w:id="22" w:name="_Toc227758022"/>
      <w:r>
        <w:t>C</w:t>
      </w:r>
      <w:r w:rsidRPr="00DE1344">
        <w:t>linical rational</w:t>
      </w:r>
      <w:r w:rsidR="0025785B">
        <w:t>e</w:t>
      </w:r>
      <w:bookmarkEnd w:id="22"/>
      <w:r w:rsidR="00145B4A">
        <w:fldChar w:fldCharType="begin"/>
      </w:r>
      <w:r w:rsidR="00145B4A">
        <w:instrText xml:space="preserve"> DOCVARIABLE vault_nd_cee1da8d-d07f-4c3c-88fc-d2a0efd41b0d \* MERGEFORMAT </w:instrText>
      </w:r>
      <w:r w:rsidR="00145B4A">
        <w:fldChar w:fldCharType="separate"/>
      </w:r>
      <w:r w:rsidR="00145B4A">
        <w:t xml:space="preserve"> </w:t>
      </w:r>
      <w:r w:rsidR="00145B4A">
        <w:fldChar w:fldCharType="end"/>
      </w:r>
    </w:p>
    <w:p w14:paraId="49448145" w14:textId="568F90D6" w:rsidR="00823C41" w:rsidRDefault="00823C41" w:rsidP="00823C41">
      <w:r>
        <w:t xml:space="preserve">B-cell maturation antigen (BCMA; also referred to as </w:t>
      </w:r>
      <w:proofErr w:type="spellStart"/>
      <w:r>
        <w:t>tumor</w:t>
      </w:r>
      <w:proofErr w:type="spellEnd"/>
      <w:r>
        <w:t xml:space="preserve"> necrosis factor receptor superfamily member 17) is a cell-surface receptor expressed on normal and malignant, late-stage B cells.</w:t>
      </w:r>
      <w:r w:rsidR="00956DD7">
        <w:rPr>
          <w:rStyle w:val="FootnoteReference"/>
        </w:rPr>
        <w:footnoteReference w:id="7"/>
      </w:r>
      <w:r>
        <w:t xml:space="preserve"> Upon binding to its natural ligands</w:t>
      </w:r>
      <w:r w:rsidR="001E0A98">
        <w:t xml:space="preserve"> (</w:t>
      </w:r>
      <w:r>
        <w:t xml:space="preserve">A Proliferation-Inducing Ligand </w:t>
      </w:r>
      <w:r w:rsidR="00F82B89">
        <w:t>[</w:t>
      </w:r>
      <w:r w:rsidR="00335364" w:rsidRPr="00335364">
        <w:t>APRIL</w:t>
      </w:r>
      <w:r w:rsidR="00335364">
        <w:t xml:space="preserve"> </w:t>
      </w:r>
      <w:r w:rsidR="00335364" w:rsidRPr="00335364">
        <w:t>or TNFSF13</w:t>
      </w:r>
      <w:r w:rsidR="00F82B89">
        <w:t>]</w:t>
      </w:r>
      <w:r w:rsidR="00335364">
        <w:t xml:space="preserve"> </w:t>
      </w:r>
      <w:r>
        <w:t xml:space="preserve">and </w:t>
      </w:r>
      <w:r w:rsidR="00890429" w:rsidRPr="00890429">
        <w:t xml:space="preserve">B-cell-activating factor </w:t>
      </w:r>
      <w:r w:rsidR="00F82B89">
        <w:t>[</w:t>
      </w:r>
      <w:r w:rsidR="00890429" w:rsidRPr="00890429">
        <w:t>BAFF</w:t>
      </w:r>
      <w:r w:rsidR="002E1ABA">
        <w:t xml:space="preserve"> </w:t>
      </w:r>
      <w:r w:rsidR="00890429" w:rsidRPr="00890429">
        <w:t>or TNFSF13B</w:t>
      </w:r>
      <w:r w:rsidR="00F82B89">
        <w:t>]</w:t>
      </w:r>
      <w:r w:rsidR="001E0A98">
        <w:t>)</w:t>
      </w:r>
      <w:r w:rsidR="00890429" w:rsidRPr="00890429">
        <w:t xml:space="preserve">, </w:t>
      </w:r>
      <w:r>
        <w:t xml:space="preserve">BCMA promotes the survival of bone marrow plasma cells. BCMA is widely expressed on malignant plasma cells in MM and to a lesser degree in other B-cell malignancies; thus, the restricted expression profile of BCMA makes it </w:t>
      </w:r>
      <w:r w:rsidR="002248A6">
        <w:t xml:space="preserve">a </w:t>
      </w:r>
      <w:r>
        <w:t xml:space="preserve">therapeutic target </w:t>
      </w:r>
      <w:r w:rsidR="003771CC">
        <w:t xml:space="preserve">for MM </w:t>
      </w:r>
      <w:r>
        <w:t xml:space="preserve">with </w:t>
      </w:r>
      <w:r w:rsidR="0040341D">
        <w:t>less</w:t>
      </w:r>
      <w:r>
        <w:t xml:space="preserve"> potential for off-target effects.</w:t>
      </w:r>
    </w:p>
    <w:p w14:paraId="085B4D4D" w14:textId="0AF2913D" w:rsidR="0091418A" w:rsidRPr="00EF141D" w:rsidRDefault="00EF141D" w:rsidP="0091418A">
      <w:r>
        <w:t xml:space="preserve">Belantamab mafodotin is an </w:t>
      </w:r>
      <w:r w:rsidR="00B47686">
        <w:t>a</w:t>
      </w:r>
      <w:r w:rsidR="00B47686" w:rsidRPr="00B47686">
        <w:t xml:space="preserve">ntibody-drug conjugate </w:t>
      </w:r>
      <w:r w:rsidR="00B47686">
        <w:t>(</w:t>
      </w:r>
      <w:r>
        <w:t>ADC</w:t>
      </w:r>
      <w:r w:rsidR="00B47686">
        <w:t>)</w:t>
      </w:r>
      <w:r>
        <w:t xml:space="preserve"> comprised of an </w:t>
      </w:r>
      <w:proofErr w:type="spellStart"/>
      <w:r>
        <w:t>afucosylated</w:t>
      </w:r>
      <w:proofErr w:type="spellEnd"/>
      <w:r>
        <w:t>, humanized IgG1 that</w:t>
      </w:r>
      <w:r w:rsidR="00823C41">
        <w:t xml:space="preserve"> </w:t>
      </w:r>
      <w:r>
        <w:t>binds specifically to BCMA and competes with a proliferation-inducing ligand and B cell</w:t>
      </w:r>
      <w:r w:rsidR="00823C41">
        <w:t xml:space="preserve"> </w:t>
      </w:r>
      <w:r>
        <w:t>activating factor.</w:t>
      </w:r>
      <w:bookmarkStart w:id="23" w:name="_Ref224559651"/>
      <w:r w:rsidR="00956DD7">
        <w:rPr>
          <w:rStyle w:val="FootnoteReference"/>
        </w:rPr>
        <w:footnoteReference w:id="8"/>
      </w:r>
      <w:bookmarkEnd w:id="23"/>
      <w:r>
        <w:t xml:space="preserve"> The BCMA-targeted </w:t>
      </w:r>
      <w:proofErr w:type="spellStart"/>
      <w:r>
        <w:t>mAb</w:t>
      </w:r>
      <w:proofErr w:type="spellEnd"/>
      <w:r>
        <w:t xml:space="preserve"> is conjugated via a protease</w:t>
      </w:r>
      <w:r w:rsidR="00823C41">
        <w:t xml:space="preserve"> </w:t>
      </w:r>
      <w:r>
        <w:t xml:space="preserve">resistant </w:t>
      </w:r>
      <w:proofErr w:type="spellStart"/>
      <w:r w:rsidR="005B62B2">
        <w:t>m</w:t>
      </w:r>
      <w:r>
        <w:t>aleimidocaproyl</w:t>
      </w:r>
      <w:proofErr w:type="spellEnd"/>
      <w:r>
        <w:t xml:space="preserve"> linker to a cytotoxic, microtubule-disrupting agent, </w:t>
      </w:r>
      <w:r w:rsidR="007F7AE2" w:rsidRPr="007F7AE2">
        <w:t xml:space="preserve">monomethyl auristatin F </w:t>
      </w:r>
      <w:r w:rsidR="007F7AE2">
        <w:t>(</w:t>
      </w:r>
      <w:r>
        <w:t>MMAF</w:t>
      </w:r>
      <w:r w:rsidR="007F7AE2">
        <w:t>).</w:t>
      </w:r>
      <w:r w:rsidR="00823C41">
        <w:t xml:space="preserve"> </w:t>
      </w:r>
      <w:r w:rsidR="0091418A">
        <w:t>Belantamab mafodotin binds to BCMA and kills MM cells via a multi-modal mechanism</w:t>
      </w:r>
      <w:r w:rsidR="00823C41">
        <w:t xml:space="preserve"> </w:t>
      </w:r>
      <w:r w:rsidR="0091418A">
        <w:t xml:space="preserve">including delivery of </w:t>
      </w:r>
      <w:proofErr w:type="spellStart"/>
      <w:r w:rsidR="0091418A">
        <w:t>cys-mcMMAF</w:t>
      </w:r>
      <w:proofErr w:type="spellEnd"/>
      <w:r w:rsidR="0091418A">
        <w:t xml:space="preserve"> to BCMA-expressing MM cells, thereby inducing</w:t>
      </w:r>
      <w:r w:rsidR="00823C41">
        <w:t xml:space="preserve"> </w:t>
      </w:r>
      <w:r w:rsidR="0091418A">
        <w:t xml:space="preserve">apoptosis, enhancing antibody-dependent cellular cytotoxicity </w:t>
      </w:r>
      <w:r w:rsidR="00F4418C">
        <w:t xml:space="preserve">(ADCC) </w:t>
      </w:r>
      <w:r w:rsidR="0091418A">
        <w:t>and antibody dependent</w:t>
      </w:r>
      <w:r w:rsidR="00823C41">
        <w:t xml:space="preserve"> </w:t>
      </w:r>
      <w:r w:rsidR="0091418A">
        <w:t xml:space="preserve">cellular phagocytosis, and inducing release of markers characteristic of </w:t>
      </w:r>
      <w:r w:rsidR="007A444C">
        <w:t>i</w:t>
      </w:r>
      <w:r w:rsidR="007A444C" w:rsidRPr="007A444C">
        <w:t>mmunogenic cell dea</w:t>
      </w:r>
      <w:r w:rsidR="007A444C">
        <w:t>th</w:t>
      </w:r>
      <w:r w:rsidR="0091418A">
        <w:t>.</w:t>
      </w:r>
      <w:r w:rsidR="0008661C">
        <w:fldChar w:fldCharType="begin"/>
      </w:r>
      <w:r w:rsidR="0008661C">
        <w:instrText xml:space="preserve"> NOTEREF _Ref224559651 \f \h </w:instrText>
      </w:r>
      <w:r w:rsidR="0008661C">
        <w:fldChar w:fldCharType="separate"/>
      </w:r>
      <w:r w:rsidR="0008661C" w:rsidRPr="0008661C">
        <w:rPr>
          <w:rStyle w:val="FootnoteReference"/>
        </w:rPr>
        <w:t>8</w:t>
      </w:r>
      <w:r w:rsidR="0008661C">
        <w:fldChar w:fldCharType="end"/>
      </w:r>
      <w:r w:rsidR="0008661C" w:rsidRPr="0008661C">
        <w:rPr>
          <w:vertAlign w:val="superscript"/>
        </w:rPr>
        <w:t>,</w:t>
      </w:r>
      <w:r w:rsidR="0008661C">
        <w:rPr>
          <w:rStyle w:val="FootnoteReference"/>
        </w:rPr>
        <w:footnoteReference w:id="9"/>
      </w:r>
    </w:p>
    <w:p w14:paraId="0D615854" w14:textId="331B7CD1" w:rsidR="00324B33" w:rsidRPr="003F31A2" w:rsidRDefault="00324B33" w:rsidP="00324B33">
      <w:pPr>
        <w:pStyle w:val="Heading3"/>
      </w:pPr>
      <w:bookmarkStart w:id="24" w:name="_Toc103679291"/>
      <w:bookmarkStart w:id="25" w:name="_Toc227758023"/>
      <w:r>
        <w:t>Regulatory status</w:t>
      </w:r>
      <w:bookmarkEnd w:id="16"/>
      <w:bookmarkEnd w:id="17"/>
      <w:bookmarkEnd w:id="24"/>
      <w:bookmarkEnd w:id="25"/>
      <w:r w:rsidR="00145B4A">
        <w:fldChar w:fldCharType="begin"/>
      </w:r>
      <w:r w:rsidR="00145B4A">
        <w:instrText xml:space="preserve"> DOCVARIABLE vault_nd_fe3be041-8122-4123-8d82-003bf60cfa16 \* MERGEFORMAT </w:instrText>
      </w:r>
      <w:r w:rsidR="00145B4A">
        <w:fldChar w:fldCharType="separate"/>
      </w:r>
      <w:r w:rsidR="00145B4A">
        <w:t xml:space="preserve"> </w:t>
      </w:r>
      <w:r w:rsidR="00145B4A">
        <w:fldChar w:fldCharType="end"/>
      </w:r>
    </w:p>
    <w:p w14:paraId="72C889D6" w14:textId="05B8D8C8" w:rsidR="0017005C" w:rsidRPr="00BD5DBD" w:rsidRDefault="0017005C" w:rsidP="00741AB9">
      <w:pPr>
        <w:pStyle w:val="Heading4"/>
      </w:pPr>
      <w:bookmarkStart w:id="26" w:name="_Toc227758024"/>
      <w:r w:rsidRPr="00BD5DBD">
        <w:t>Australian regulatory</w:t>
      </w:r>
      <w:r>
        <w:t xml:space="preserve"> sta</w:t>
      </w:r>
      <w:r w:rsidR="0025785B">
        <w:t>t</w:t>
      </w:r>
      <w:r>
        <w:t>us</w:t>
      </w:r>
      <w:bookmarkEnd w:id="26"/>
      <w:r w:rsidR="00145B4A">
        <w:fldChar w:fldCharType="begin"/>
      </w:r>
      <w:r w:rsidR="00145B4A">
        <w:instrText xml:space="preserve"> DOCVARIABLE vault_nd_64eecd8d-4c8c-4406-8ce5-56b41e2f9888 \* MERGEFORMAT </w:instrText>
      </w:r>
      <w:r w:rsidR="00145B4A">
        <w:fldChar w:fldCharType="separate"/>
      </w:r>
      <w:r w:rsidR="00145B4A">
        <w:t xml:space="preserve"> </w:t>
      </w:r>
      <w:r w:rsidR="00145B4A">
        <w:fldChar w:fldCharType="end"/>
      </w:r>
    </w:p>
    <w:p w14:paraId="6A8633FA" w14:textId="79E335FF"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226A7A06" w:rsidR="0017005C" w:rsidRDefault="00131B1B" w:rsidP="0017005C">
      <w:pPr>
        <w:pStyle w:val="Heading4"/>
      </w:pPr>
      <w:bookmarkStart w:id="27" w:name="_Toc227758025"/>
      <w:r>
        <w:t xml:space="preserve">International </w:t>
      </w:r>
      <w:r w:rsidR="0017005C" w:rsidRPr="00BD5DBD">
        <w:t>regulatory</w:t>
      </w:r>
      <w:r w:rsidR="0017005C">
        <w:t xml:space="preserve"> status</w:t>
      </w:r>
      <w:bookmarkEnd w:id="27"/>
      <w:r w:rsidR="00145B4A">
        <w:fldChar w:fldCharType="begin"/>
      </w:r>
      <w:r w:rsidR="00145B4A">
        <w:instrText xml:space="preserve"> DOCVARIABLE vault_nd_36bd4d53-ed89-408a-be6d-2e88fa3fedac \* MERGEFORMAT </w:instrText>
      </w:r>
      <w:r w:rsidR="00145B4A">
        <w:fldChar w:fldCharType="separate"/>
      </w:r>
      <w:r w:rsidR="00145B4A">
        <w:t xml:space="preserve"> </w:t>
      </w:r>
      <w:r w:rsidR="00145B4A">
        <w:fldChar w:fldCharType="end"/>
      </w:r>
    </w:p>
    <w:p w14:paraId="7FDF4A0B" w14:textId="17FFB150" w:rsidR="008F4A62" w:rsidRDefault="008F4A62" w:rsidP="008F4A62">
      <w:pPr>
        <w:rPr>
          <w:szCs w:val="22"/>
        </w:rPr>
      </w:pPr>
      <w:r w:rsidRPr="00486C12">
        <w:rPr>
          <w:szCs w:val="22"/>
        </w:rPr>
        <w:t>At the time the TGA considered this submission</w:t>
      </w:r>
      <w:r w:rsidRPr="00BD5DBD">
        <w:rPr>
          <w:szCs w:val="22"/>
        </w:rPr>
        <w:t xml:space="preserve">, a similar submission had been </w:t>
      </w:r>
      <w:r>
        <w:rPr>
          <w:szCs w:val="22"/>
        </w:rPr>
        <w:t>considered by other regulatory agencies</w:t>
      </w:r>
      <w:r w:rsidR="008B4AF0">
        <w:rPr>
          <w:szCs w:val="22"/>
        </w:rPr>
        <w:t xml:space="preserve">. Table </w:t>
      </w:r>
      <w:r w:rsidR="00B91921">
        <w:rPr>
          <w:szCs w:val="22"/>
        </w:rPr>
        <w:t>1</w:t>
      </w:r>
      <w:r w:rsidR="008B4AF0">
        <w:rPr>
          <w:szCs w:val="22"/>
        </w:rPr>
        <w:t xml:space="preserve"> is </w:t>
      </w:r>
      <w:r w:rsidR="00486C12">
        <w:rPr>
          <w:szCs w:val="22"/>
        </w:rPr>
        <w:t xml:space="preserve">a </w:t>
      </w:r>
      <w:r w:rsidR="008B4AF0" w:rsidRPr="008B4AF0">
        <w:rPr>
          <w:szCs w:val="22"/>
        </w:rPr>
        <w:t>summary of the</w:t>
      </w:r>
      <w:r w:rsidR="00B91921">
        <w:rPr>
          <w:szCs w:val="22"/>
        </w:rPr>
        <w:t xml:space="preserve"> </w:t>
      </w:r>
      <w:r w:rsidR="008B4AF0" w:rsidRPr="008B4AF0">
        <w:rPr>
          <w:szCs w:val="22"/>
        </w:rPr>
        <w:t>status of similar regulatory applications as of August 2025.</w:t>
      </w:r>
    </w:p>
    <w:p w14:paraId="546E0EB9" w14:textId="77777777" w:rsidR="00EB5CF5" w:rsidRDefault="00EB5CF5">
      <w:pPr>
        <w:rPr>
          <w:rFonts w:eastAsia="Cambria" w:cs="Times New Roman"/>
          <w:b/>
          <w:szCs w:val="22"/>
        </w:rPr>
      </w:pPr>
      <w:r>
        <w:br w:type="page"/>
      </w:r>
    </w:p>
    <w:p w14:paraId="76859478" w14:textId="0F58958D" w:rsidR="00E21FFD" w:rsidRDefault="00D51EB2" w:rsidP="00D51EB2">
      <w:pPr>
        <w:pStyle w:val="TableTitle"/>
      </w:pPr>
      <w:r>
        <w:lastRenderedPageBreak/>
        <w:t xml:space="preserve">Table 1. </w:t>
      </w:r>
      <w:r w:rsidRPr="00D51EB2">
        <w:t>International regulatory status at the time the TGA considered this submission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1. International regulatory status at the time the TGA considered this submission"/>
      </w:tblPr>
      <w:tblGrid>
        <w:gridCol w:w="1156"/>
        <w:gridCol w:w="1572"/>
        <w:gridCol w:w="1792"/>
        <w:gridCol w:w="2269"/>
        <w:gridCol w:w="2271"/>
      </w:tblGrid>
      <w:tr w:rsidR="00AB427D" w:rsidRPr="007A46C4" w14:paraId="46E45CE4" w14:textId="77777777" w:rsidTr="0077598E">
        <w:trPr>
          <w:tblHeader/>
        </w:trPr>
        <w:tc>
          <w:tcPr>
            <w:tcW w:w="0" w:type="auto"/>
            <w:shd w:val="clear" w:color="auto" w:fill="DEEAF6"/>
            <w:vAlign w:val="center"/>
            <w:hideMark/>
          </w:tcPr>
          <w:p w14:paraId="15DBA008" w14:textId="77777777" w:rsidR="00AB427D" w:rsidRPr="007A46C4" w:rsidRDefault="00AB427D" w:rsidP="00D808C2">
            <w:pPr>
              <w:spacing w:after="0" w:line="240" w:lineRule="auto"/>
              <w:rPr>
                <w:rFonts w:eastAsia="Times New Roman" w:cs="Times New Roman"/>
                <w:b/>
                <w:bCs/>
                <w:color w:val="263287"/>
                <w:szCs w:val="22"/>
                <w:lang w:eastAsia="en-AU"/>
              </w:rPr>
            </w:pPr>
            <w:r w:rsidRPr="007A46C4">
              <w:rPr>
                <w:rFonts w:eastAsia="Times New Roman" w:cs="Times New Roman"/>
                <w:b/>
                <w:bCs/>
                <w:color w:val="263287"/>
                <w:szCs w:val="22"/>
                <w:lang w:eastAsia="en-AU"/>
              </w:rPr>
              <w:t>Country</w:t>
            </w:r>
          </w:p>
        </w:tc>
        <w:tc>
          <w:tcPr>
            <w:tcW w:w="0" w:type="auto"/>
            <w:shd w:val="clear" w:color="auto" w:fill="DEEAF6"/>
            <w:vAlign w:val="center"/>
            <w:hideMark/>
          </w:tcPr>
          <w:p w14:paraId="25971093" w14:textId="77777777" w:rsidR="00AB427D" w:rsidRPr="007A46C4" w:rsidRDefault="00AB427D" w:rsidP="00D808C2">
            <w:pPr>
              <w:spacing w:after="0" w:line="240" w:lineRule="auto"/>
              <w:rPr>
                <w:rFonts w:eastAsia="Times New Roman" w:cs="Times New Roman"/>
                <w:b/>
                <w:bCs/>
                <w:color w:val="263287"/>
                <w:szCs w:val="22"/>
                <w:lang w:eastAsia="en-AU"/>
              </w:rPr>
            </w:pPr>
            <w:r w:rsidRPr="007A46C4">
              <w:rPr>
                <w:rFonts w:eastAsia="Times New Roman" w:cs="Times New Roman"/>
                <w:b/>
                <w:bCs/>
                <w:color w:val="263287"/>
                <w:szCs w:val="22"/>
                <w:lang w:eastAsia="en-AU"/>
              </w:rPr>
              <w:t>Strength</w:t>
            </w:r>
          </w:p>
        </w:tc>
        <w:tc>
          <w:tcPr>
            <w:tcW w:w="0" w:type="auto"/>
            <w:shd w:val="clear" w:color="auto" w:fill="DEEAF6"/>
            <w:vAlign w:val="center"/>
            <w:hideMark/>
          </w:tcPr>
          <w:p w14:paraId="2F639DB0" w14:textId="77777777" w:rsidR="00AB427D" w:rsidRPr="007A46C4" w:rsidRDefault="00AB427D" w:rsidP="00D808C2">
            <w:pPr>
              <w:spacing w:after="0" w:line="240" w:lineRule="auto"/>
              <w:rPr>
                <w:rFonts w:eastAsia="Times New Roman" w:cs="Times New Roman"/>
                <w:b/>
                <w:bCs/>
                <w:color w:val="263287"/>
                <w:szCs w:val="22"/>
                <w:lang w:eastAsia="en-AU"/>
              </w:rPr>
            </w:pPr>
            <w:r w:rsidRPr="007A46C4">
              <w:rPr>
                <w:rFonts w:eastAsia="Times New Roman" w:cs="Times New Roman"/>
                <w:b/>
                <w:bCs/>
                <w:color w:val="263287"/>
                <w:szCs w:val="22"/>
                <w:lang w:eastAsia="en-AU"/>
              </w:rPr>
              <w:t>Submission date</w:t>
            </w:r>
          </w:p>
        </w:tc>
        <w:tc>
          <w:tcPr>
            <w:tcW w:w="0" w:type="auto"/>
            <w:shd w:val="clear" w:color="auto" w:fill="DEEAF6"/>
            <w:vAlign w:val="center"/>
            <w:hideMark/>
          </w:tcPr>
          <w:p w14:paraId="1BA52AF4" w14:textId="77777777" w:rsidR="00AB427D" w:rsidRPr="007A46C4" w:rsidRDefault="00AB427D" w:rsidP="00D808C2">
            <w:pPr>
              <w:spacing w:after="0" w:line="240" w:lineRule="auto"/>
              <w:rPr>
                <w:rFonts w:eastAsia="Times New Roman" w:cs="Times New Roman"/>
                <w:b/>
                <w:bCs/>
                <w:color w:val="263287"/>
                <w:szCs w:val="22"/>
                <w:lang w:eastAsia="en-AU"/>
              </w:rPr>
            </w:pPr>
            <w:r w:rsidRPr="007A46C4">
              <w:rPr>
                <w:rFonts w:eastAsia="Times New Roman" w:cs="Times New Roman"/>
                <w:b/>
                <w:bCs/>
                <w:color w:val="263287"/>
                <w:szCs w:val="22"/>
                <w:lang w:eastAsia="en-AU"/>
              </w:rPr>
              <w:t>Supporting Study</w:t>
            </w:r>
          </w:p>
        </w:tc>
        <w:tc>
          <w:tcPr>
            <w:tcW w:w="0" w:type="auto"/>
            <w:shd w:val="clear" w:color="auto" w:fill="DEEAF6"/>
            <w:vAlign w:val="center"/>
            <w:hideMark/>
          </w:tcPr>
          <w:p w14:paraId="2A6D8718" w14:textId="77777777" w:rsidR="00AB427D" w:rsidRPr="007A46C4" w:rsidRDefault="00AB427D" w:rsidP="00D808C2">
            <w:pPr>
              <w:spacing w:after="0" w:line="240" w:lineRule="auto"/>
              <w:rPr>
                <w:rFonts w:eastAsia="Times New Roman" w:cs="Times New Roman"/>
                <w:b/>
                <w:bCs/>
                <w:color w:val="263287"/>
                <w:szCs w:val="22"/>
                <w:lang w:eastAsia="en-AU"/>
              </w:rPr>
            </w:pPr>
            <w:r w:rsidRPr="007A46C4">
              <w:rPr>
                <w:rFonts w:eastAsia="Times New Roman" w:cs="Times New Roman"/>
                <w:b/>
                <w:bCs/>
                <w:color w:val="263287"/>
                <w:szCs w:val="22"/>
                <w:lang w:eastAsia="en-AU"/>
              </w:rPr>
              <w:t>Approval date</w:t>
            </w:r>
          </w:p>
        </w:tc>
      </w:tr>
      <w:tr w:rsidR="00AB427D" w:rsidRPr="007A46C4" w14:paraId="4E1B37DE" w14:textId="77777777" w:rsidTr="008423F7">
        <w:tc>
          <w:tcPr>
            <w:tcW w:w="0" w:type="auto"/>
            <w:vAlign w:val="center"/>
            <w:hideMark/>
          </w:tcPr>
          <w:p w14:paraId="41CC6102"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EU</w:t>
            </w:r>
          </w:p>
        </w:tc>
        <w:tc>
          <w:tcPr>
            <w:tcW w:w="0" w:type="auto"/>
            <w:vAlign w:val="center"/>
            <w:hideMark/>
          </w:tcPr>
          <w:p w14:paraId="58B25CD2"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70mg and 100mg</w:t>
            </w:r>
          </w:p>
        </w:tc>
        <w:tc>
          <w:tcPr>
            <w:tcW w:w="0" w:type="auto"/>
            <w:vAlign w:val="center"/>
            <w:hideMark/>
          </w:tcPr>
          <w:p w14:paraId="4D9FCEFD"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28 June 2024</w:t>
            </w:r>
          </w:p>
        </w:tc>
        <w:tc>
          <w:tcPr>
            <w:tcW w:w="0" w:type="auto"/>
            <w:vAlign w:val="center"/>
            <w:hideMark/>
          </w:tcPr>
          <w:p w14:paraId="06D48C91"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DREAMM-7 / DREAMM-8</w:t>
            </w:r>
          </w:p>
        </w:tc>
        <w:tc>
          <w:tcPr>
            <w:tcW w:w="0" w:type="auto"/>
            <w:vAlign w:val="center"/>
            <w:hideMark/>
          </w:tcPr>
          <w:p w14:paraId="2321432F"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Approved – 23 July 2025</w:t>
            </w:r>
          </w:p>
        </w:tc>
      </w:tr>
      <w:tr w:rsidR="00AB427D" w:rsidRPr="007A46C4" w14:paraId="0F5B79C2" w14:textId="77777777" w:rsidTr="008423F7">
        <w:tc>
          <w:tcPr>
            <w:tcW w:w="0" w:type="auto"/>
            <w:vAlign w:val="center"/>
            <w:hideMark/>
          </w:tcPr>
          <w:p w14:paraId="053B18AB"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UK</w:t>
            </w:r>
          </w:p>
        </w:tc>
        <w:tc>
          <w:tcPr>
            <w:tcW w:w="0" w:type="auto"/>
            <w:vAlign w:val="center"/>
            <w:hideMark/>
          </w:tcPr>
          <w:p w14:paraId="472E0381"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70mg and 100mg</w:t>
            </w:r>
          </w:p>
        </w:tc>
        <w:tc>
          <w:tcPr>
            <w:tcW w:w="0" w:type="auto"/>
            <w:vAlign w:val="center"/>
            <w:hideMark/>
          </w:tcPr>
          <w:p w14:paraId="4B494C38"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26 July 2024</w:t>
            </w:r>
          </w:p>
        </w:tc>
        <w:tc>
          <w:tcPr>
            <w:tcW w:w="0" w:type="auto"/>
            <w:vAlign w:val="center"/>
            <w:hideMark/>
          </w:tcPr>
          <w:p w14:paraId="55FDF0CF"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DREAMM-7 / DREAMM-8</w:t>
            </w:r>
          </w:p>
        </w:tc>
        <w:tc>
          <w:tcPr>
            <w:tcW w:w="0" w:type="auto"/>
            <w:vAlign w:val="center"/>
            <w:hideMark/>
          </w:tcPr>
          <w:p w14:paraId="0A0C27B1"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Approved – 17 April 2025</w:t>
            </w:r>
          </w:p>
        </w:tc>
      </w:tr>
      <w:tr w:rsidR="00FF301D" w:rsidRPr="007A46C4" w14:paraId="7BB6BAEC" w14:textId="77777777" w:rsidTr="008423F7">
        <w:tc>
          <w:tcPr>
            <w:tcW w:w="0" w:type="auto"/>
            <w:vMerge w:val="restart"/>
            <w:vAlign w:val="center"/>
            <w:hideMark/>
          </w:tcPr>
          <w:p w14:paraId="435AD3C1" w14:textId="5705328B" w:rsidR="00FF301D" w:rsidRPr="007A46C4" w:rsidRDefault="00FF301D" w:rsidP="00FF301D">
            <w:pPr>
              <w:spacing w:after="0" w:line="240" w:lineRule="auto"/>
              <w:rPr>
                <w:rFonts w:eastAsia="Times New Roman" w:cs="Times New Roman"/>
                <w:szCs w:val="22"/>
                <w:lang w:eastAsia="en-AU"/>
              </w:rPr>
            </w:pPr>
            <w:r w:rsidRPr="007A46C4">
              <w:rPr>
                <w:rFonts w:eastAsia="Times New Roman" w:cs="Times New Roman"/>
                <w:szCs w:val="22"/>
                <w:lang w:eastAsia="en-AU"/>
              </w:rPr>
              <w:t>Canada</w:t>
            </w:r>
          </w:p>
        </w:tc>
        <w:tc>
          <w:tcPr>
            <w:tcW w:w="0" w:type="auto"/>
            <w:vMerge w:val="restart"/>
            <w:vAlign w:val="center"/>
            <w:hideMark/>
          </w:tcPr>
          <w:p w14:paraId="0E7A6982" w14:textId="66074CDF" w:rsidR="00FF301D" w:rsidRPr="007A46C4" w:rsidRDefault="00FF301D" w:rsidP="00FF301D">
            <w:pPr>
              <w:spacing w:after="0" w:line="240" w:lineRule="auto"/>
              <w:rPr>
                <w:rFonts w:eastAsia="Times New Roman" w:cs="Times New Roman"/>
                <w:szCs w:val="22"/>
                <w:lang w:eastAsia="en-AU"/>
              </w:rPr>
            </w:pPr>
            <w:r w:rsidRPr="007A46C4">
              <w:rPr>
                <w:rFonts w:eastAsia="Times New Roman" w:cs="Times New Roman"/>
                <w:szCs w:val="22"/>
                <w:lang w:eastAsia="en-AU"/>
              </w:rPr>
              <w:t>70mg and 100mg</w:t>
            </w:r>
          </w:p>
        </w:tc>
        <w:tc>
          <w:tcPr>
            <w:tcW w:w="0" w:type="auto"/>
            <w:vAlign w:val="center"/>
            <w:hideMark/>
          </w:tcPr>
          <w:p w14:paraId="092E6444" w14:textId="77777777" w:rsidR="00FF301D" w:rsidRPr="007A46C4" w:rsidRDefault="00FF301D" w:rsidP="00AB427D">
            <w:pPr>
              <w:spacing w:after="0" w:line="240" w:lineRule="auto"/>
              <w:rPr>
                <w:rFonts w:eastAsia="Times New Roman" w:cs="Times New Roman"/>
                <w:szCs w:val="22"/>
                <w:lang w:eastAsia="en-AU"/>
              </w:rPr>
            </w:pPr>
            <w:r w:rsidRPr="007A46C4">
              <w:rPr>
                <w:rFonts w:eastAsia="Times New Roman" w:cs="Times New Roman"/>
                <w:szCs w:val="22"/>
                <w:lang w:eastAsia="en-AU"/>
              </w:rPr>
              <w:t>25 July 2024</w:t>
            </w:r>
          </w:p>
        </w:tc>
        <w:tc>
          <w:tcPr>
            <w:tcW w:w="0" w:type="auto"/>
            <w:vAlign w:val="center"/>
            <w:hideMark/>
          </w:tcPr>
          <w:p w14:paraId="53C9357B" w14:textId="77777777" w:rsidR="00FF301D" w:rsidRPr="007A46C4" w:rsidRDefault="00FF301D" w:rsidP="00AB427D">
            <w:pPr>
              <w:spacing w:after="0" w:line="240" w:lineRule="auto"/>
              <w:rPr>
                <w:rFonts w:eastAsia="Times New Roman" w:cs="Times New Roman"/>
                <w:szCs w:val="22"/>
                <w:lang w:eastAsia="en-AU"/>
              </w:rPr>
            </w:pPr>
            <w:r w:rsidRPr="007A46C4">
              <w:rPr>
                <w:rFonts w:eastAsia="Times New Roman" w:cs="Times New Roman"/>
                <w:szCs w:val="22"/>
                <w:lang w:eastAsia="en-AU"/>
              </w:rPr>
              <w:t>DREAMM-7</w:t>
            </w:r>
          </w:p>
        </w:tc>
        <w:tc>
          <w:tcPr>
            <w:tcW w:w="0" w:type="auto"/>
            <w:vMerge w:val="restart"/>
            <w:vAlign w:val="center"/>
            <w:hideMark/>
          </w:tcPr>
          <w:p w14:paraId="69159309" w14:textId="05564997" w:rsidR="00FF301D" w:rsidRPr="007A46C4" w:rsidRDefault="00FF301D" w:rsidP="00AB427D">
            <w:pPr>
              <w:spacing w:after="0" w:line="240" w:lineRule="auto"/>
              <w:rPr>
                <w:rFonts w:eastAsia="Times New Roman" w:cs="Times New Roman"/>
                <w:szCs w:val="22"/>
                <w:lang w:eastAsia="en-AU"/>
              </w:rPr>
            </w:pPr>
            <w:r w:rsidRPr="007A46C4">
              <w:rPr>
                <w:rFonts w:eastAsia="Times New Roman" w:cs="Times New Roman"/>
                <w:szCs w:val="22"/>
                <w:lang w:eastAsia="en-AU"/>
              </w:rPr>
              <w:t>Approved – 21 July 2025</w:t>
            </w:r>
          </w:p>
        </w:tc>
      </w:tr>
      <w:tr w:rsidR="00FF301D" w:rsidRPr="007A46C4" w14:paraId="70786C69" w14:textId="77777777" w:rsidTr="008423F7">
        <w:tc>
          <w:tcPr>
            <w:tcW w:w="0" w:type="auto"/>
            <w:vMerge/>
            <w:vAlign w:val="center"/>
            <w:hideMark/>
          </w:tcPr>
          <w:p w14:paraId="2C2DFD33" w14:textId="65C7CF20" w:rsidR="00FF301D" w:rsidRPr="007A46C4" w:rsidRDefault="00FF301D" w:rsidP="00AB427D">
            <w:pPr>
              <w:spacing w:after="0" w:line="240" w:lineRule="auto"/>
              <w:rPr>
                <w:rFonts w:eastAsia="Times New Roman" w:cs="Times New Roman"/>
                <w:szCs w:val="22"/>
                <w:lang w:eastAsia="en-AU"/>
              </w:rPr>
            </w:pPr>
          </w:p>
        </w:tc>
        <w:tc>
          <w:tcPr>
            <w:tcW w:w="0" w:type="auto"/>
            <w:vMerge/>
            <w:vAlign w:val="center"/>
            <w:hideMark/>
          </w:tcPr>
          <w:p w14:paraId="7B5764F7" w14:textId="3096B5D9" w:rsidR="00FF301D" w:rsidRPr="007A46C4" w:rsidRDefault="00FF301D" w:rsidP="00AB427D">
            <w:pPr>
              <w:spacing w:after="0" w:line="240" w:lineRule="auto"/>
              <w:rPr>
                <w:rFonts w:eastAsia="Times New Roman" w:cs="Times New Roman"/>
                <w:szCs w:val="22"/>
                <w:lang w:eastAsia="en-AU"/>
              </w:rPr>
            </w:pPr>
          </w:p>
        </w:tc>
        <w:tc>
          <w:tcPr>
            <w:tcW w:w="0" w:type="auto"/>
            <w:vAlign w:val="center"/>
            <w:hideMark/>
          </w:tcPr>
          <w:p w14:paraId="62C956F5" w14:textId="77777777" w:rsidR="00FF301D" w:rsidRPr="007A46C4" w:rsidRDefault="00FF301D" w:rsidP="00AB427D">
            <w:pPr>
              <w:spacing w:after="0" w:line="240" w:lineRule="auto"/>
              <w:rPr>
                <w:rFonts w:eastAsia="Times New Roman" w:cs="Times New Roman"/>
                <w:szCs w:val="22"/>
                <w:lang w:eastAsia="en-AU"/>
              </w:rPr>
            </w:pPr>
            <w:r w:rsidRPr="007A46C4">
              <w:rPr>
                <w:rFonts w:eastAsia="Times New Roman" w:cs="Times New Roman"/>
                <w:szCs w:val="22"/>
                <w:lang w:eastAsia="en-AU"/>
              </w:rPr>
              <w:t>26 July 2024</w:t>
            </w:r>
          </w:p>
        </w:tc>
        <w:tc>
          <w:tcPr>
            <w:tcW w:w="0" w:type="auto"/>
            <w:vAlign w:val="center"/>
            <w:hideMark/>
          </w:tcPr>
          <w:p w14:paraId="6119DF53" w14:textId="77777777" w:rsidR="00FF301D" w:rsidRPr="007A46C4" w:rsidRDefault="00FF301D" w:rsidP="00AB427D">
            <w:pPr>
              <w:spacing w:after="0" w:line="240" w:lineRule="auto"/>
              <w:rPr>
                <w:rFonts w:eastAsia="Times New Roman" w:cs="Times New Roman"/>
                <w:szCs w:val="22"/>
                <w:lang w:eastAsia="en-AU"/>
              </w:rPr>
            </w:pPr>
            <w:r w:rsidRPr="007A46C4">
              <w:rPr>
                <w:rFonts w:eastAsia="Times New Roman" w:cs="Times New Roman"/>
                <w:szCs w:val="22"/>
                <w:lang w:eastAsia="en-AU"/>
              </w:rPr>
              <w:t>DREAMM-8</w:t>
            </w:r>
          </w:p>
        </w:tc>
        <w:tc>
          <w:tcPr>
            <w:tcW w:w="0" w:type="auto"/>
            <w:vMerge/>
            <w:vAlign w:val="center"/>
            <w:hideMark/>
          </w:tcPr>
          <w:p w14:paraId="389969B1" w14:textId="00805051" w:rsidR="00FF301D" w:rsidRPr="007A46C4" w:rsidRDefault="00FF301D" w:rsidP="00AB427D">
            <w:pPr>
              <w:spacing w:after="0" w:line="240" w:lineRule="auto"/>
              <w:rPr>
                <w:rFonts w:eastAsia="Times New Roman" w:cs="Times New Roman"/>
                <w:szCs w:val="22"/>
                <w:lang w:eastAsia="en-AU"/>
              </w:rPr>
            </w:pPr>
          </w:p>
        </w:tc>
      </w:tr>
      <w:tr w:rsidR="00D808C2" w:rsidRPr="007A46C4" w14:paraId="4A2C0E29" w14:textId="77777777" w:rsidTr="008423F7">
        <w:tc>
          <w:tcPr>
            <w:tcW w:w="0" w:type="auto"/>
            <w:vMerge w:val="restart"/>
            <w:vAlign w:val="center"/>
            <w:hideMark/>
          </w:tcPr>
          <w:p w14:paraId="5986D9FA" w14:textId="77777777" w:rsidR="00D808C2" w:rsidRPr="007A46C4" w:rsidRDefault="00D808C2" w:rsidP="00AB427D">
            <w:pPr>
              <w:spacing w:after="0" w:line="240" w:lineRule="auto"/>
              <w:rPr>
                <w:rFonts w:eastAsia="Times New Roman" w:cs="Times New Roman"/>
                <w:szCs w:val="22"/>
                <w:lang w:eastAsia="en-AU"/>
              </w:rPr>
            </w:pPr>
            <w:r w:rsidRPr="007A46C4">
              <w:rPr>
                <w:rFonts w:eastAsia="Times New Roman" w:cs="Times New Roman"/>
                <w:szCs w:val="22"/>
                <w:lang w:eastAsia="en-AU"/>
              </w:rPr>
              <w:t>Switzerland</w:t>
            </w:r>
          </w:p>
          <w:p w14:paraId="56E3F26D" w14:textId="53D58FC6" w:rsidR="00D808C2" w:rsidRPr="007A46C4" w:rsidRDefault="00D808C2" w:rsidP="00AB427D">
            <w:pPr>
              <w:spacing w:after="0" w:line="240" w:lineRule="auto"/>
              <w:rPr>
                <w:rFonts w:eastAsia="Times New Roman" w:cs="Times New Roman"/>
                <w:szCs w:val="22"/>
                <w:lang w:eastAsia="en-AU"/>
              </w:rPr>
            </w:pPr>
          </w:p>
        </w:tc>
        <w:tc>
          <w:tcPr>
            <w:tcW w:w="0" w:type="auto"/>
            <w:vMerge w:val="restart"/>
            <w:vAlign w:val="center"/>
            <w:hideMark/>
          </w:tcPr>
          <w:p w14:paraId="01D82A3A" w14:textId="2D9382B4" w:rsidR="00D808C2" w:rsidRPr="007A46C4" w:rsidRDefault="00D808C2" w:rsidP="00D808C2">
            <w:pPr>
              <w:spacing w:after="0" w:line="240" w:lineRule="auto"/>
              <w:rPr>
                <w:rFonts w:eastAsia="Times New Roman" w:cs="Times New Roman"/>
                <w:szCs w:val="22"/>
                <w:lang w:eastAsia="en-AU"/>
              </w:rPr>
            </w:pPr>
            <w:r w:rsidRPr="007A46C4">
              <w:rPr>
                <w:rFonts w:eastAsia="Times New Roman" w:cs="Times New Roman"/>
                <w:szCs w:val="22"/>
                <w:lang w:eastAsia="en-AU"/>
              </w:rPr>
              <w:t>70mg and 100mg</w:t>
            </w:r>
          </w:p>
        </w:tc>
        <w:tc>
          <w:tcPr>
            <w:tcW w:w="0" w:type="auto"/>
            <w:vAlign w:val="center"/>
            <w:hideMark/>
          </w:tcPr>
          <w:p w14:paraId="5CD89264" w14:textId="77777777" w:rsidR="00D808C2" w:rsidRPr="007A46C4" w:rsidRDefault="00D808C2" w:rsidP="00AB427D">
            <w:pPr>
              <w:spacing w:after="0" w:line="240" w:lineRule="auto"/>
              <w:rPr>
                <w:rFonts w:eastAsia="Times New Roman" w:cs="Times New Roman"/>
                <w:szCs w:val="22"/>
                <w:lang w:eastAsia="en-AU"/>
              </w:rPr>
            </w:pPr>
            <w:r w:rsidRPr="007A46C4">
              <w:rPr>
                <w:rFonts w:eastAsia="Times New Roman" w:cs="Times New Roman"/>
                <w:szCs w:val="22"/>
                <w:lang w:eastAsia="en-AU"/>
              </w:rPr>
              <w:t>22 August 2024</w:t>
            </w:r>
          </w:p>
        </w:tc>
        <w:tc>
          <w:tcPr>
            <w:tcW w:w="0" w:type="auto"/>
            <w:vAlign w:val="center"/>
            <w:hideMark/>
          </w:tcPr>
          <w:p w14:paraId="7B74DD52" w14:textId="77777777" w:rsidR="00D808C2" w:rsidRPr="007A46C4" w:rsidRDefault="00D808C2" w:rsidP="00AB427D">
            <w:pPr>
              <w:spacing w:after="0" w:line="240" w:lineRule="auto"/>
              <w:rPr>
                <w:rFonts w:eastAsia="Times New Roman" w:cs="Times New Roman"/>
                <w:szCs w:val="22"/>
                <w:lang w:eastAsia="en-AU"/>
              </w:rPr>
            </w:pPr>
            <w:r w:rsidRPr="007A46C4">
              <w:rPr>
                <w:rFonts w:eastAsia="Times New Roman" w:cs="Times New Roman"/>
                <w:szCs w:val="22"/>
                <w:lang w:eastAsia="en-AU"/>
              </w:rPr>
              <w:t>DREAMM-7</w:t>
            </w:r>
          </w:p>
        </w:tc>
        <w:tc>
          <w:tcPr>
            <w:tcW w:w="0" w:type="auto"/>
            <w:vAlign w:val="center"/>
            <w:hideMark/>
          </w:tcPr>
          <w:p w14:paraId="4D5B7F36" w14:textId="77777777" w:rsidR="00D808C2" w:rsidRPr="007A46C4" w:rsidRDefault="00D808C2" w:rsidP="00AB427D">
            <w:pPr>
              <w:spacing w:after="0" w:line="240" w:lineRule="auto"/>
              <w:rPr>
                <w:rFonts w:eastAsia="Times New Roman" w:cs="Times New Roman"/>
                <w:szCs w:val="22"/>
                <w:lang w:eastAsia="en-AU"/>
              </w:rPr>
            </w:pPr>
            <w:r w:rsidRPr="007A46C4">
              <w:rPr>
                <w:rFonts w:eastAsia="Times New Roman" w:cs="Times New Roman"/>
                <w:szCs w:val="22"/>
                <w:lang w:eastAsia="en-AU"/>
              </w:rPr>
              <w:t>Under Review</w:t>
            </w:r>
          </w:p>
        </w:tc>
      </w:tr>
      <w:tr w:rsidR="00D808C2" w:rsidRPr="007A46C4" w14:paraId="34BCEAA5" w14:textId="77777777" w:rsidTr="008423F7">
        <w:tc>
          <w:tcPr>
            <w:tcW w:w="0" w:type="auto"/>
            <w:vMerge/>
            <w:vAlign w:val="center"/>
            <w:hideMark/>
          </w:tcPr>
          <w:p w14:paraId="1728290B" w14:textId="7FD0C996" w:rsidR="00D808C2" w:rsidRPr="007A46C4" w:rsidRDefault="00D808C2" w:rsidP="00AB427D">
            <w:pPr>
              <w:spacing w:after="0" w:line="240" w:lineRule="auto"/>
              <w:rPr>
                <w:rFonts w:eastAsia="Times New Roman" w:cs="Times New Roman"/>
                <w:szCs w:val="22"/>
                <w:lang w:eastAsia="en-AU"/>
              </w:rPr>
            </w:pPr>
          </w:p>
        </w:tc>
        <w:tc>
          <w:tcPr>
            <w:tcW w:w="0" w:type="auto"/>
            <w:vMerge/>
            <w:vAlign w:val="center"/>
            <w:hideMark/>
          </w:tcPr>
          <w:p w14:paraId="7ABB3EEB" w14:textId="6830F27C" w:rsidR="00D808C2" w:rsidRPr="007A46C4" w:rsidRDefault="00D808C2" w:rsidP="00AB427D">
            <w:pPr>
              <w:spacing w:after="0" w:line="240" w:lineRule="auto"/>
              <w:rPr>
                <w:rFonts w:eastAsia="Times New Roman" w:cs="Times New Roman"/>
                <w:szCs w:val="22"/>
                <w:lang w:eastAsia="en-AU"/>
              </w:rPr>
            </w:pPr>
          </w:p>
        </w:tc>
        <w:tc>
          <w:tcPr>
            <w:tcW w:w="0" w:type="auto"/>
            <w:vAlign w:val="center"/>
            <w:hideMark/>
          </w:tcPr>
          <w:p w14:paraId="7C69B8D9" w14:textId="77777777" w:rsidR="00D808C2" w:rsidRPr="007A46C4" w:rsidRDefault="00D808C2" w:rsidP="00AB427D">
            <w:pPr>
              <w:spacing w:after="0" w:line="240" w:lineRule="auto"/>
              <w:rPr>
                <w:rFonts w:eastAsia="Times New Roman" w:cs="Times New Roman"/>
                <w:szCs w:val="22"/>
                <w:lang w:eastAsia="en-AU"/>
              </w:rPr>
            </w:pPr>
            <w:r w:rsidRPr="007A46C4">
              <w:rPr>
                <w:rFonts w:eastAsia="Times New Roman" w:cs="Times New Roman"/>
                <w:szCs w:val="22"/>
                <w:lang w:eastAsia="en-AU"/>
              </w:rPr>
              <w:t>22 August 2024</w:t>
            </w:r>
          </w:p>
        </w:tc>
        <w:tc>
          <w:tcPr>
            <w:tcW w:w="0" w:type="auto"/>
            <w:vAlign w:val="center"/>
            <w:hideMark/>
          </w:tcPr>
          <w:p w14:paraId="7EE56A38" w14:textId="77777777" w:rsidR="00D808C2" w:rsidRPr="007A46C4" w:rsidRDefault="00D808C2" w:rsidP="00AB427D">
            <w:pPr>
              <w:spacing w:after="0" w:line="240" w:lineRule="auto"/>
              <w:rPr>
                <w:rFonts w:eastAsia="Times New Roman" w:cs="Times New Roman"/>
                <w:szCs w:val="22"/>
                <w:lang w:eastAsia="en-AU"/>
              </w:rPr>
            </w:pPr>
            <w:r w:rsidRPr="007A46C4">
              <w:rPr>
                <w:rFonts w:eastAsia="Times New Roman" w:cs="Times New Roman"/>
                <w:szCs w:val="22"/>
                <w:lang w:eastAsia="en-AU"/>
              </w:rPr>
              <w:t>DREAMM-8</w:t>
            </w:r>
          </w:p>
        </w:tc>
        <w:tc>
          <w:tcPr>
            <w:tcW w:w="0" w:type="auto"/>
            <w:vAlign w:val="center"/>
            <w:hideMark/>
          </w:tcPr>
          <w:p w14:paraId="4228DD41" w14:textId="77777777" w:rsidR="00D808C2" w:rsidRPr="007A46C4" w:rsidRDefault="00D808C2" w:rsidP="00AB427D">
            <w:pPr>
              <w:spacing w:after="0" w:line="240" w:lineRule="auto"/>
              <w:rPr>
                <w:rFonts w:eastAsia="Times New Roman" w:cs="Times New Roman"/>
                <w:szCs w:val="22"/>
                <w:lang w:eastAsia="en-AU"/>
              </w:rPr>
            </w:pPr>
            <w:r w:rsidRPr="007A46C4">
              <w:rPr>
                <w:rFonts w:eastAsia="Times New Roman" w:cs="Times New Roman"/>
                <w:szCs w:val="22"/>
                <w:lang w:eastAsia="en-AU"/>
              </w:rPr>
              <w:t>Approved – 19 June 2025</w:t>
            </w:r>
          </w:p>
        </w:tc>
      </w:tr>
      <w:tr w:rsidR="00AB427D" w:rsidRPr="007A46C4" w14:paraId="37ED4895" w14:textId="77777777" w:rsidTr="008423F7">
        <w:tc>
          <w:tcPr>
            <w:tcW w:w="0" w:type="auto"/>
            <w:vAlign w:val="center"/>
            <w:hideMark/>
          </w:tcPr>
          <w:p w14:paraId="4E828239"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Turkey</w:t>
            </w:r>
          </w:p>
        </w:tc>
        <w:tc>
          <w:tcPr>
            <w:tcW w:w="0" w:type="auto"/>
            <w:vAlign w:val="center"/>
            <w:hideMark/>
          </w:tcPr>
          <w:p w14:paraId="7FCAAD14"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70mg and 100mg</w:t>
            </w:r>
          </w:p>
        </w:tc>
        <w:tc>
          <w:tcPr>
            <w:tcW w:w="0" w:type="auto"/>
            <w:vAlign w:val="center"/>
            <w:hideMark/>
          </w:tcPr>
          <w:p w14:paraId="1D5ED972"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27 August 2024</w:t>
            </w:r>
          </w:p>
        </w:tc>
        <w:tc>
          <w:tcPr>
            <w:tcW w:w="0" w:type="auto"/>
            <w:vAlign w:val="center"/>
            <w:hideMark/>
          </w:tcPr>
          <w:p w14:paraId="5AC8A395"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DREAMM-7 / DREAMM-8</w:t>
            </w:r>
          </w:p>
        </w:tc>
        <w:tc>
          <w:tcPr>
            <w:tcW w:w="0" w:type="auto"/>
            <w:vAlign w:val="center"/>
            <w:hideMark/>
          </w:tcPr>
          <w:p w14:paraId="5E387BAB"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Under Review</w:t>
            </w:r>
          </w:p>
        </w:tc>
      </w:tr>
      <w:tr w:rsidR="008B7087" w:rsidRPr="007A46C4" w14:paraId="63D65D1A" w14:textId="77777777" w:rsidTr="008423F7">
        <w:tc>
          <w:tcPr>
            <w:tcW w:w="0" w:type="auto"/>
            <w:vMerge w:val="restart"/>
            <w:vAlign w:val="center"/>
            <w:hideMark/>
          </w:tcPr>
          <w:p w14:paraId="089707E8" w14:textId="77777777" w:rsidR="008B7087" w:rsidRPr="007A46C4" w:rsidRDefault="008B7087" w:rsidP="00AB427D">
            <w:pPr>
              <w:spacing w:after="0" w:line="240" w:lineRule="auto"/>
              <w:rPr>
                <w:rFonts w:eastAsia="Times New Roman" w:cs="Times New Roman"/>
                <w:szCs w:val="22"/>
                <w:lang w:eastAsia="en-AU"/>
              </w:rPr>
            </w:pPr>
            <w:r w:rsidRPr="007A46C4">
              <w:rPr>
                <w:rFonts w:eastAsia="Times New Roman" w:cs="Times New Roman"/>
                <w:szCs w:val="22"/>
                <w:lang w:eastAsia="en-AU"/>
              </w:rPr>
              <w:t>Japan</w:t>
            </w:r>
          </w:p>
          <w:p w14:paraId="25064077" w14:textId="251716FD" w:rsidR="008B7087" w:rsidRPr="007A46C4" w:rsidRDefault="008B7087" w:rsidP="00AB427D">
            <w:pPr>
              <w:spacing w:after="0" w:line="240" w:lineRule="auto"/>
              <w:rPr>
                <w:rFonts w:eastAsia="Times New Roman" w:cs="Times New Roman"/>
                <w:szCs w:val="22"/>
                <w:lang w:eastAsia="en-AU"/>
              </w:rPr>
            </w:pPr>
            <w:r w:rsidRPr="007A46C4">
              <w:rPr>
                <w:rFonts w:eastAsia="Times New Roman" w:cs="Times New Roman"/>
                <w:szCs w:val="22"/>
                <w:lang w:eastAsia="en-AU"/>
              </w:rPr>
              <w:t>Japan</w:t>
            </w:r>
          </w:p>
        </w:tc>
        <w:tc>
          <w:tcPr>
            <w:tcW w:w="0" w:type="auto"/>
            <w:vAlign w:val="center"/>
            <w:hideMark/>
          </w:tcPr>
          <w:p w14:paraId="7BE3E1E1" w14:textId="77777777" w:rsidR="008B7087" w:rsidRPr="007A46C4" w:rsidRDefault="008B7087" w:rsidP="00AB427D">
            <w:pPr>
              <w:spacing w:after="0" w:line="240" w:lineRule="auto"/>
              <w:rPr>
                <w:rFonts w:eastAsia="Times New Roman" w:cs="Times New Roman"/>
                <w:szCs w:val="22"/>
                <w:lang w:eastAsia="en-AU"/>
              </w:rPr>
            </w:pPr>
            <w:r w:rsidRPr="007A46C4">
              <w:rPr>
                <w:rFonts w:eastAsia="Times New Roman" w:cs="Times New Roman"/>
                <w:szCs w:val="22"/>
                <w:lang w:eastAsia="en-AU"/>
              </w:rPr>
              <w:t>70mg</w:t>
            </w:r>
          </w:p>
        </w:tc>
        <w:tc>
          <w:tcPr>
            <w:tcW w:w="0" w:type="auto"/>
            <w:vAlign w:val="center"/>
            <w:hideMark/>
          </w:tcPr>
          <w:p w14:paraId="705D6DF8" w14:textId="77777777" w:rsidR="008B7087" w:rsidRPr="007A46C4" w:rsidRDefault="008B7087" w:rsidP="00AB427D">
            <w:pPr>
              <w:spacing w:after="0" w:line="240" w:lineRule="auto"/>
              <w:rPr>
                <w:rFonts w:eastAsia="Times New Roman" w:cs="Times New Roman"/>
                <w:szCs w:val="22"/>
                <w:lang w:eastAsia="en-AU"/>
              </w:rPr>
            </w:pPr>
            <w:r w:rsidRPr="007A46C4">
              <w:rPr>
                <w:rFonts w:eastAsia="Times New Roman" w:cs="Times New Roman"/>
                <w:szCs w:val="22"/>
                <w:lang w:eastAsia="en-AU"/>
              </w:rPr>
              <w:t>28 February 2025</w:t>
            </w:r>
          </w:p>
        </w:tc>
        <w:tc>
          <w:tcPr>
            <w:tcW w:w="0" w:type="auto"/>
            <w:vAlign w:val="center"/>
            <w:hideMark/>
          </w:tcPr>
          <w:p w14:paraId="4B50BF66" w14:textId="77777777" w:rsidR="008B7087" w:rsidRPr="007A46C4" w:rsidRDefault="008B7087" w:rsidP="00AB427D">
            <w:pPr>
              <w:spacing w:after="0" w:line="240" w:lineRule="auto"/>
              <w:rPr>
                <w:rFonts w:eastAsia="Times New Roman" w:cs="Times New Roman"/>
                <w:szCs w:val="22"/>
                <w:lang w:eastAsia="en-AU"/>
              </w:rPr>
            </w:pPr>
            <w:r w:rsidRPr="007A46C4">
              <w:rPr>
                <w:rFonts w:eastAsia="Times New Roman" w:cs="Times New Roman"/>
                <w:szCs w:val="22"/>
                <w:lang w:eastAsia="en-AU"/>
              </w:rPr>
              <w:t>DREAMM-7 / DREAMM-8</w:t>
            </w:r>
          </w:p>
        </w:tc>
        <w:tc>
          <w:tcPr>
            <w:tcW w:w="0" w:type="auto"/>
            <w:vAlign w:val="center"/>
            <w:hideMark/>
          </w:tcPr>
          <w:p w14:paraId="73CB9314" w14:textId="77777777" w:rsidR="008B7087" w:rsidRPr="007A46C4" w:rsidRDefault="008B7087" w:rsidP="00AB427D">
            <w:pPr>
              <w:spacing w:after="0" w:line="240" w:lineRule="auto"/>
              <w:rPr>
                <w:rFonts w:eastAsia="Times New Roman" w:cs="Times New Roman"/>
                <w:szCs w:val="22"/>
                <w:lang w:eastAsia="en-AU"/>
              </w:rPr>
            </w:pPr>
            <w:r w:rsidRPr="007A46C4">
              <w:rPr>
                <w:rFonts w:eastAsia="Times New Roman" w:cs="Times New Roman"/>
                <w:szCs w:val="22"/>
                <w:lang w:eastAsia="en-AU"/>
              </w:rPr>
              <w:t>Under Review</w:t>
            </w:r>
          </w:p>
        </w:tc>
      </w:tr>
      <w:tr w:rsidR="008B7087" w:rsidRPr="007A46C4" w14:paraId="614DA65C" w14:textId="77777777" w:rsidTr="008423F7">
        <w:tc>
          <w:tcPr>
            <w:tcW w:w="0" w:type="auto"/>
            <w:vMerge/>
            <w:vAlign w:val="center"/>
            <w:hideMark/>
          </w:tcPr>
          <w:p w14:paraId="31BE8B95" w14:textId="706380D6" w:rsidR="008B7087" w:rsidRPr="007A46C4" w:rsidRDefault="008B7087" w:rsidP="00AB427D">
            <w:pPr>
              <w:spacing w:after="0" w:line="240" w:lineRule="auto"/>
              <w:rPr>
                <w:rFonts w:eastAsia="Times New Roman" w:cs="Times New Roman"/>
                <w:szCs w:val="22"/>
                <w:lang w:eastAsia="en-AU"/>
              </w:rPr>
            </w:pPr>
          </w:p>
        </w:tc>
        <w:tc>
          <w:tcPr>
            <w:tcW w:w="0" w:type="auto"/>
            <w:vAlign w:val="center"/>
            <w:hideMark/>
          </w:tcPr>
          <w:p w14:paraId="75FDA480" w14:textId="77777777" w:rsidR="008B7087" w:rsidRPr="007A46C4" w:rsidRDefault="008B7087" w:rsidP="00AB427D">
            <w:pPr>
              <w:spacing w:after="0" w:line="240" w:lineRule="auto"/>
              <w:rPr>
                <w:rFonts w:eastAsia="Times New Roman" w:cs="Times New Roman"/>
                <w:szCs w:val="22"/>
                <w:lang w:eastAsia="en-AU"/>
              </w:rPr>
            </w:pPr>
            <w:r w:rsidRPr="007A46C4">
              <w:rPr>
                <w:rFonts w:eastAsia="Times New Roman" w:cs="Times New Roman"/>
                <w:szCs w:val="22"/>
                <w:lang w:eastAsia="en-AU"/>
              </w:rPr>
              <w:t>100 mg</w:t>
            </w:r>
          </w:p>
        </w:tc>
        <w:tc>
          <w:tcPr>
            <w:tcW w:w="0" w:type="auto"/>
            <w:vAlign w:val="center"/>
            <w:hideMark/>
          </w:tcPr>
          <w:p w14:paraId="1E9CA662" w14:textId="77777777" w:rsidR="008B7087" w:rsidRPr="007A46C4" w:rsidRDefault="008B7087" w:rsidP="00AB427D">
            <w:pPr>
              <w:spacing w:after="0" w:line="240" w:lineRule="auto"/>
              <w:rPr>
                <w:rFonts w:eastAsia="Times New Roman" w:cs="Times New Roman"/>
                <w:szCs w:val="22"/>
                <w:lang w:eastAsia="en-AU"/>
              </w:rPr>
            </w:pPr>
            <w:r w:rsidRPr="007A46C4">
              <w:rPr>
                <w:rFonts w:eastAsia="Times New Roman" w:cs="Times New Roman"/>
                <w:szCs w:val="22"/>
                <w:lang w:eastAsia="en-AU"/>
              </w:rPr>
              <w:t>13 September 2024</w:t>
            </w:r>
          </w:p>
        </w:tc>
        <w:tc>
          <w:tcPr>
            <w:tcW w:w="0" w:type="auto"/>
            <w:vAlign w:val="center"/>
            <w:hideMark/>
          </w:tcPr>
          <w:p w14:paraId="7AA7B605" w14:textId="77777777" w:rsidR="008B7087" w:rsidRPr="007A46C4" w:rsidRDefault="008B7087" w:rsidP="00AB427D">
            <w:pPr>
              <w:spacing w:after="0" w:line="240" w:lineRule="auto"/>
              <w:rPr>
                <w:rFonts w:eastAsia="Times New Roman" w:cs="Times New Roman"/>
                <w:szCs w:val="22"/>
                <w:lang w:eastAsia="en-AU"/>
              </w:rPr>
            </w:pPr>
            <w:r w:rsidRPr="007A46C4">
              <w:rPr>
                <w:rFonts w:eastAsia="Times New Roman" w:cs="Times New Roman"/>
                <w:szCs w:val="22"/>
                <w:lang w:eastAsia="en-AU"/>
              </w:rPr>
              <w:t>DREAMM-7 / DREAMM-8</w:t>
            </w:r>
          </w:p>
        </w:tc>
        <w:tc>
          <w:tcPr>
            <w:tcW w:w="0" w:type="auto"/>
            <w:vAlign w:val="center"/>
            <w:hideMark/>
          </w:tcPr>
          <w:p w14:paraId="0EFED568" w14:textId="77777777" w:rsidR="008B7087" w:rsidRPr="007A46C4" w:rsidRDefault="008B7087" w:rsidP="00AB427D">
            <w:pPr>
              <w:spacing w:after="0" w:line="240" w:lineRule="auto"/>
              <w:rPr>
                <w:rFonts w:eastAsia="Times New Roman" w:cs="Times New Roman"/>
                <w:szCs w:val="22"/>
                <w:lang w:eastAsia="en-AU"/>
              </w:rPr>
            </w:pPr>
            <w:r w:rsidRPr="007A46C4">
              <w:rPr>
                <w:rFonts w:eastAsia="Times New Roman" w:cs="Times New Roman"/>
                <w:szCs w:val="22"/>
                <w:lang w:eastAsia="en-AU"/>
              </w:rPr>
              <w:t>Approved – 19 May 2025</w:t>
            </w:r>
          </w:p>
        </w:tc>
      </w:tr>
      <w:tr w:rsidR="00AB427D" w:rsidRPr="007A46C4" w14:paraId="4463FAC1" w14:textId="77777777" w:rsidTr="008423F7">
        <w:tc>
          <w:tcPr>
            <w:tcW w:w="0" w:type="auto"/>
            <w:vAlign w:val="center"/>
            <w:hideMark/>
          </w:tcPr>
          <w:p w14:paraId="7AF3FE5F"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US</w:t>
            </w:r>
          </w:p>
        </w:tc>
        <w:tc>
          <w:tcPr>
            <w:tcW w:w="0" w:type="auto"/>
            <w:vAlign w:val="center"/>
            <w:hideMark/>
          </w:tcPr>
          <w:p w14:paraId="7D727260"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70mg</w:t>
            </w:r>
          </w:p>
        </w:tc>
        <w:tc>
          <w:tcPr>
            <w:tcW w:w="0" w:type="auto"/>
            <w:vAlign w:val="center"/>
            <w:hideMark/>
          </w:tcPr>
          <w:p w14:paraId="2A9AD46C"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21 September 2024</w:t>
            </w:r>
          </w:p>
        </w:tc>
        <w:tc>
          <w:tcPr>
            <w:tcW w:w="0" w:type="auto"/>
            <w:vAlign w:val="center"/>
            <w:hideMark/>
          </w:tcPr>
          <w:p w14:paraId="10D3FD57"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DREAMM-7 / DREAMM-8</w:t>
            </w:r>
          </w:p>
        </w:tc>
        <w:tc>
          <w:tcPr>
            <w:tcW w:w="0" w:type="auto"/>
            <w:vAlign w:val="center"/>
            <w:hideMark/>
          </w:tcPr>
          <w:p w14:paraId="2FAABEBC" w14:textId="77777777" w:rsidR="00AB427D" w:rsidRPr="007A46C4" w:rsidRDefault="00AB427D" w:rsidP="00AB427D">
            <w:pPr>
              <w:spacing w:after="0" w:line="240" w:lineRule="auto"/>
              <w:rPr>
                <w:rFonts w:eastAsia="Times New Roman" w:cs="Times New Roman"/>
                <w:szCs w:val="22"/>
                <w:lang w:eastAsia="en-AU"/>
              </w:rPr>
            </w:pPr>
            <w:r w:rsidRPr="007A46C4">
              <w:rPr>
                <w:rFonts w:eastAsia="Times New Roman" w:cs="Times New Roman"/>
                <w:szCs w:val="22"/>
                <w:lang w:eastAsia="en-AU"/>
              </w:rPr>
              <w:t>Under Review</w:t>
            </w:r>
          </w:p>
        </w:tc>
      </w:tr>
    </w:tbl>
    <w:p w14:paraId="6D92589C" w14:textId="40F27396" w:rsidR="00324B33" w:rsidRDefault="00324B33" w:rsidP="00324B33">
      <w:pPr>
        <w:pStyle w:val="Heading2"/>
      </w:pPr>
      <w:bookmarkStart w:id="28" w:name="_Toc504480011"/>
      <w:bookmarkStart w:id="29" w:name="_Toc103679293"/>
      <w:bookmarkStart w:id="30" w:name="_Toc227758026"/>
      <w:r>
        <w:t>Registration timeline</w:t>
      </w:r>
      <w:bookmarkEnd w:id="28"/>
      <w:bookmarkEnd w:id="29"/>
      <w:bookmarkEnd w:id="30"/>
      <w:r w:rsidR="00145B4A">
        <w:fldChar w:fldCharType="begin"/>
      </w:r>
      <w:r w:rsidR="00145B4A">
        <w:instrText xml:space="preserve"> DOCVARIABLE vault_nd_6e4bfed3-d469-4741-abc7-a48b2d9737b3 \* MERGEFORMAT </w:instrText>
      </w:r>
      <w:r w:rsidR="00145B4A">
        <w:fldChar w:fldCharType="separate"/>
      </w:r>
      <w:r w:rsidR="00145B4A">
        <w:t xml:space="preserve"> </w:t>
      </w:r>
      <w:r w:rsidR="00145B4A">
        <w:fldChar w:fldCharType="end"/>
      </w:r>
    </w:p>
    <w:p w14:paraId="225E3D87" w14:textId="64A5112B" w:rsidR="00324B33" w:rsidRPr="00BD5DBD" w:rsidRDefault="00236F91" w:rsidP="00324B33">
      <w:pPr>
        <w:rPr>
          <w:szCs w:val="22"/>
        </w:rPr>
      </w:pPr>
      <w:r>
        <w:rPr>
          <w:szCs w:val="22"/>
        </w:rPr>
        <w:t xml:space="preserve">Table </w:t>
      </w:r>
      <w:r w:rsidR="00D51EB2">
        <w:rPr>
          <w:szCs w:val="22"/>
        </w:rPr>
        <w:t>2</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5" w:history="1">
        <w:r w:rsidRPr="00BD5DBD">
          <w:rPr>
            <w:rStyle w:val="Hyperlink"/>
            <w:szCs w:val="22"/>
          </w:rPr>
          <w:t>standard prescription medicines registration process</w:t>
        </w:r>
      </w:hyperlink>
      <w:r w:rsidRPr="00BD5DBD">
        <w:rPr>
          <w:szCs w:val="22"/>
        </w:rPr>
        <w:t>.</w:t>
      </w:r>
    </w:p>
    <w:p w14:paraId="44628C5F" w14:textId="4B3C8774" w:rsidR="00324B33" w:rsidRDefault="00324B33" w:rsidP="002C1232">
      <w:pPr>
        <w:pStyle w:val="TableTitle"/>
      </w:pPr>
      <w:r w:rsidRPr="002C1232">
        <w:t xml:space="preserve">Table </w:t>
      </w:r>
      <w:r w:rsidR="00D51EB2">
        <w:t>2</w:t>
      </w:r>
      <w:r w:rsidR="00AE407F">
        <w:t xml:space="preserve">. </w:t>
      </w:r>
      <w:r w:rsidRPr="002C1232">
        <w:t xml:space="preserve">Timeline for </w:t>
      </w:r>
      <w:r w:rsidR="00A0536E">
        <w:t>Blenrep</w:t>
      </w:r>
      <w:r w:rsidR="0092609E" w:rsidRPr="0092609E">
        <w:t xml:space="preserve"> </w:t>
      </w:r>
      <w:r w:rsidR="0092609E">
        <w:t>(</w:t>
      </w:r>
      <w:r w:rsidR="0092609E" w:rsidRPr="0092609E">
        <w:t>belantamab mafodotin</w:t>
      </w:r>
      <w:r w:rsidR="0092609E">
        <w:t>)</w:t>
      </w:r>
      <w:r w:rsidR="006E6059">
        <w:t>, s</w:t>
      </w:r>
      <w:r w:rsidRPr="002C1232">
        <w:t xml:space="preserve">ubmission </w:t>
      </w:r>
      <w:r w:rsidR="0092609E" w:rsidRPr="0092609E">
        <w:t>PM-2024-04725-1-4</w:t>
      </w:r>
    </w:p>
    <w:tbl>
      <w:tblPr>
        <w:tblStyle w:val="TableTGAblue2023"/>
        <w:tblW w:w="8642" w:type="dxa"/>
        <w:tblLook w:val="04A0" w:firstRow="1" w:lastRow="0" w:firstColumn="1" w:lastColumn="0" w:noHBand="0" w:noVBand="1"/>
        <w:tblDescription w:val="Table 2. Timeline for Blenrep (belantamab mafodotin), submission PM-2024-04725-1-4"/>
      </w:tblPr>
      <w:tblGrid>
        <w:gridCol w:w="5665"/>
        <w:gridCol w:w="2977"/>
      </w:tblGrid>
      <w:tr w:rsidR="00324B33" w:rsidRPr="00FA0C07"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FA0C07" w:rsidRDefault="00324B33" w:rsidP="00324B33">
            <w:pPr>
              <w:rPr>
                <w:szCs w:val="22"/>
              </w:rPr>
            </w:pPr>
            <w:r w:rsidRPr="00FA0C07">
              <w:rPr>
                <w:szCs w:val="22"/>
              </w:rPr>
              <w:t>Description</w:t>
            </w:r>
          </w:p>
        </w:tc>
        <w:tc>
          <w:tcPr>
            <w:tcW w:w="2977" w:type="dxa"/>
          </w:tcPr>
          <w:p w14:paraId="79AFDC4B" w14:textId="05792035" w:rsidR="00324B33" w:rsidRPr="00FA0C07"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FA0C07">
              <w:rPr>
                <w:szCs w:val="22"/>
              </w:rPr>
              <w:t>Date</w:t>
            </w:r>
          </w:p>
        </w:tc>
      </w:tr>
      <w:tr w:rsidR="00324B33" w:rsidRPr="00FA0C07"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4D46D246" w:rsidR="00324B33" w:rsidRPr="00FA0C07" w:rsidRDefault="00324B33" w:rsidP="00E679D1">
            <w:pPr>
              <w:rPr>
                <w:szCs w:val="22"/>
              </w:rPr>
            </w:pPr>
            <w:r w:rsidRPr="00FA0C07">
              <w:rPr>
                <w:szCs w:val="22"/>
              </w:rPr>
              <w:t>Submission dossier accepted evaluation commenced</w:t>
            </w:r>
          </w:p>
        </w:tc>
        <w:tc>
          <w:tcPr>
            <w:tcW w:w="2977" w:type="dxa"/>
          </w:tcPr>
          <w:p w14:paraId="2963D9D8" w14:textId="079FA446" w:rsidR="00324B33" w:rsidRPr="00FA0C07" w:rsidRDefault="003D0A3F" w:rsidP="00324B33">
            <w:pPr>
              <w:cnfStyle w:val="000000000000" w:firstRow="0" w:lastRow="0" w:firstColumn="0" w:lastColumn="0" w:oddVBand="0" w:evenVBand="0" w:oddHBand="0" w:evenHBand="0" w:firstRowFirstColumn="0" w:firstRowLastColumn="0" w:lastRowFirstColumn="0" w:lastRowLastColumn="0"/>
              <w:rPr>
                <w:szCs w:val="22"/>
              </w:rPr>
            </w:pPr>
            <w:r w:rsidRPr="00FA0C07">
              <w:rPr>
                <w:szCs w:val="22"/>
              </w:rPr>
              <w:t>2 January 2025</w:t>
            </w:r>
          </w:p>
        </w:tc>
      </w:tr>
      <w:tr w:rsidR="00803926" w:rsidRPr="00FA0C07"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0BB67609" w:rsidR="00803926" w:rsidRPr="00FA0C07" w:rsidDel="00C62B1C" w:rsidRDefault="00803926" w:rsidP="00E679D1">
            <w:pPr>
              <w:rPr>
                <w:szCs w:val="22"/>
              </w:rPr>
            </w:pPr>
            <w:r w:rsidRPr="00FA0C07">
              <w:rPr>
                <w:szCs w:val="22"/>
              </w:rPr>
              <w:t>Evaluation completed</w:t>
            </w:r>
          </w:p>
        </w:tc>
        <w:tc>
          <w:tcPr>
            <w:tcW w:w="2977" w:type="dxa"/>
          </w:tcPr>
          <w:p w14:paraId="2E0BD403" w14:textId="66CE5FE8" w:rsidR="00803926" w:rsidRPr="00FA0C07" w:rsidRDefault="00F148DC" w:rsidP="00324B33">
            <w:pPr>
              <w:cnfStyle w:val="000000000000" w:firstRow="0" w:lastRow="0" w:firstColumn="0" w:lastColumn="0" w:oddVBand="0" w:evenVBand="0" w:oddHBand="0" w:evenHBand="0" w:firstRowFirstColumn="0" w:firstRowLastColumn="0" w:lastRowFirstColumn="0" w:lastRowLastColumn="0"/>
              <w:rPr>
                <w:szCs w:val="22"/>
              </w:rPr>
            </w:pPr>
            <w:r w:rsidRPr="00FA0C07">
              <w:rPr>
                <w:szCs w:val="22"/>
              </w:rPr>
              <w:t>12 September 2025</w:t>
            </w:r>
          </w:p>
        </w:tc>
      </w:tr>
      <w:tr w:rsidR="00324B33" w:rsidRPr="00FA0C07"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FA0C07" w:rsidRDefault="00324B33" w:rsidP="00E679D1">
            <w:pPr>
              <w:rPr>
                <w:szCs w:val="22"/>
              </w:rPr>
            </w:pPr>
            <w:r w:rsidRPr="00FA0C07">
              <w:rPr>
                <w:szCs w:val="22"/>
              </w:rPr>
              <w:t>Registration decision (Outcome)</w:t>
            </w:r>
          </w:p>
        </w:tc>
        <w:tc>
          <w:tcPr>
            <w:tcW w:w="2977" w:type="dxa"/>
          </w:tcPr>
          <w:p w14:paraId="62987ABD" w14:textId="188B045D" w:rsidR="00324B33" w:rsidRPr="00FA0C07" w:rsidRDefault="00D52BF0" w:rsidP="00324B33">
            <w:pPr>
              <w:cnfStyle w:val="000000000000" w:firstRow="0" w:lastRow="0" w:firstColumn="0" w:lastColumn="0" w:oddVBand="0" w:evenVBand="0" w:oddHBand="0" w:evenHBand="0" w:firstRowFirstColumn="0" w:firstRowLastColumn="0" w:lastRowFirstColumn="0" w:lastRowLastColumn="0"/>
              <w:rPr>
                <w:szCs w:val="22"/>
              </w:rPr>
            </w:pPr>
            <w:r w:rsidRPr="00FA0C07">
              <w:rPr>
                <w:szCs w:val="22"/>
              </w:rPr>
              <w:t>12 November 2025</w:t>
            </w:r>
          </w:p>
        </w:tc>
      </w:tr>
      <w:tr w:rsidR="00324B33" w:rsidRPr="00FA0C07"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186F3E94" w:rsidR="00324B33" w:rsidRPr="00FA0C07" w:rsidRDefault="0013132F" w:rsidP="007311B9">
            <w:pPr>
              <w:ind w:left="0"/>
              <w:rPr>
                <w:szCs w:val="22"/>
              </w:rPr>
            </w:pPr>
            <w:r w:rsidRPr="00FA0C07">
              <w:rPr>
                <w:szCs w:val="22"/>
              </w:rPr>
              <w:t xml:space="preserve"> </w:t>
            </w:r>
            <w:r w:rsidR="00C96D3F" w:rsidRPr="00FA0C07">
              <w:rPr>
                <w:szCs w:val="22"/>
              </w:rPr>
              <w:t xml:space="preserve"> </w:t>
            </w:r>
            <w:r w:rsidR="00C00844" w:rsidRPr="00FA0C07">
              <w:rPr>
                <w:szCs w:val="22"/>
              </w:rPr>
              <w:t>R</w:t>
            </w:r>
            <w:r w:rsidRPr="00FA0C07">
              <w:rPr>
                <w:szCs w:val="22"/>
              </w:rPr>
              <w:t xml:space="preserve">egistration </w:t>
            </w:r>
            <w:r w:rsidR="005C4B46" w:rsidRPr="00FA0C07">
              <w:rPr>
                <w:szCs w:val="22"/>
              </w:rPr>
              <w:t xml:space="preserve">in </w:t>
            </w:r>
            <w:r w:rsidRPr="00FA0C07">
              <w:rPr>
                <w:szCs w:val="22"/>
              </w:rPr>
              <w:t>the ARTG completed</w:t>
            </w:r>
          </w:p>
        </w:tc>
        <w:tc>
          <w:tcPr>
            <w:tcW w:w="2977" w:type="dxa"/>
          </w:tcPr>
          <w:p w14:paraId="5A8923FD" w14:textId="1E164498" w:rsidR="00324B33" w:rsidRPr="00FA0C07" w:rsidRDefault="00D52BF0" w:rsidP="00324B33">
            <w:pPr>
              <w:cnfStyle w:val="000000000000" w:firstRow="0" w:lastRow="0" w:firstColumn="0" w:lastColumn="0" w:oddVBand="0" w:evenVBand="0" w:oddHBand="0" w:evenHBand="0" w:firstRowFirstColumn="0" w:firstRowLastColumn="0" w:lastRowFirstColumn="0" w:lastRowLastColumn="0"/>
              <w:rPr>
                <w:szCs w:val="22"/>
              </w:rPr>
            </w:pPr>
            <w:r w:rsidRPr="00FA0C07">
              <w:rPr>
                <w:szCs w:val="22"/>
              </w:rPr>
              <w:t>17, 18 November 2025</w:t>
            </w:r>
          </w:p>
        </w:tc>
      </w:tr>
      <w:tr w:rsidR="00324B33" w:rsidRPr="00FA0C07"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FA0C07" w:rsidRDefault="00324B33" w:rsidP="00E679D1">
            <w:pPr>
              <w:rPr>
                <w:szCs w:val="22"/>
              </w:rPr>
            </w:pPr>
            <w:r w:rsidRPr="00FA0C07">
              <w:rPr>
                <w:szCs w:val="22"/>
              </w:rPr>
              <w:t>Number of working days from submission dossier acceptance to registration decision*</w:t>
            </w:r>
          </w:p>
        </w:tc>
        <w:tc>
          <w:tcPr>
            <w:tcW w:w="2977" w:type="dxa"/>
          </w:tcPr>
          <w:p w14:paraId="5BAF9FA1" w14:textId="5EF4C58A" w:rsidR="00324B33" w:rsidRPr="00FA0C07" w:rsidRDefault="00665B3F" w:rsidP="00324B33">
            <w:pPr>
              <w:cnfStyle w:val="000000000000" w:firstRow="0" w:lastRow="0" w:firstColumn="0" w:lastColumn="0" w:oddVBand="0" w:evenVBand="0" w:oddHBand="0" w:evenHBand="0" w:firstRowFirstColumn="0" w:firstRowLastColumn="0" w:lastRowFirstColumn="0" w:lastRowLastColumn="0"/>
              <w:rPr>
                <w:szCs w:val="22"/>
              </w:rPr>
            </w:pPr>
            <w:r w:rsidRPr="00FA0C07">
              <w:rPr>
                <w:szCs w:val="22"/>
              </w:rPr>
              <w:t>168</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6B67F7C9" w:rsidR="00C22214" w:rsidRPr="00792A32" w:rsidRDefault="00083763" w:rsidP="00C22214">
      <w:pPr>
        <w:pStyle w:val="Heading2"/>
      </w:pPr>
      <w:bookmarkStart w:id="31" w:name="_Toc196046504"/>
      <w:bookmarkStart w:id="32" w:name="_Toc247691527"/>
      <w:bookmarkStart w:id="33" w:name="_Toc314842510"/>
      <w:bookmarkStart w:id="34" w:name="_Toc103679294"/>
      <w:bookmarkStart w:id="35" w:name="_Toc227758027"/>
      <w:r>
        <w:t xml:space="preserve">Assessment </w:t>
      </w:r>
      <w:r w:rsidR="00C22214" w:rsidRPr="00006FAB">
        <w:t>overview</w:t>
      </w:r>
      <w:bookmarkEnd w:id="31"/>
      <w:bookmarkEnd w:id="32"/>
      <w:bookmarkEnd w:id="33"/>
      <w:bookmarkEnd w:id="34"/>
      <w:bookmarkEnd w:id="35"/>
      <w:r w:rsidR="00145B4A">
        <w:fldChar w:fldCharType="begin"/>
      </w:r>
      <w:r w:rsidR="00145B4A">
        <w:instrText xml:space="preserve"> DOCVARIABLE vault_nd_59c714fa-03e0-4b97-b89f-1d5e6257671c \* MERGEFORMAT </w:instrText>
      </w:r>
      <w:r w:rsidR="00145B4A">
        <w:fldChar w:fldCharType="separate"/>
      </w:r>
      <w:r w:rsidR="00145B4A">
        <w:t xml:space="preserve"> </w:t>
      </w:r>
      <w:r w:rsidR="00145B4A">
        <w:fldChar w:fldCharType="end"/>
      </w:r>
    </w:p>
    <w:p w14:paraId="37F5A1C0" w14:textId="19A172A7" w:rsidR="00C22214" w:rsidRDefault="00095C6A" w:rsidP="00C22214">
      <w:pPr>
        <w:pStyle w:val="Heading3"/>
      </w:pPr>
      <w:bookmarkStart w:id="36" w:name="_Toc247691528"/>
      <w:bookmarkStart w:id="37" w:name="_Toc314842511"/>
      <w:bookmarkStart w:id="38" w:name="_Toc103679295"/>
      <w:bookmarkStart w:id="39" w:name="_Toc227758028"/>
      <w:r>
        <w:t>Q</w:t>
      </w:r>
      <w:r w:rsidR="00C22214">
        <w:t>uality</w:t>
      </w:r>
      <w:bookmarkEnd w:id="36"/>
      <w:bookmarkEnd w:id="37"/>
      <w:bookmarkEnd w:id="38"/>
      <w:r w:rsidR="007E6443">
        <w:t xml:space="preserve"> evaluation</w:t>
      </w:r>
      <w:r>
        <w:t xml:space="preserve"> summary</w:t>
      </w:r>
      <w:bookmarkEnd w:id="39"/>
      <w:r w:rsidR="00145B4A">
        <w:fldChar w:fldCharType="begin"/>
      </w:r>
      <w:r w:rsidR="00145B4A">
        <w:instrText xml:space="preserve"> DOCVARIABLE vault_nd_f5b91137-e7b4-4dfa-b387-79fd99e25e67 \* MERGEFORMAT </w:instrText>
      </w:r>
      <w:r w:rsidR="00145B4A">
        <w:fldChar w:fldCharType="separate"/>
      </w:r>
      <w:r w:rsidR="00145B4A">
        <w:t xml:space="preserve"> </w:t>
      </w:r>
      <w:r w:rsidR="00145B4A">
        <w:fldChar w:fldCharType="end"/>
      </w:r>
    </w:p>
    <w:p w14:paraId="62D9A596" w14:textId="47DF6763" w:rsidR="00ED1B30" w:rsidRDefault="00A0536E" w:rsidP="00ED1B30">
      <w:r>
        <w:t>Blenrep</w:t>
      </w:r>
      <w:r w:rsidR="00ED1B30">
        <w:t xml:space="preserve"> is a first in class ADC</w:t>
      </w:r>
      <w:r w:rsidR="00D5480C">
        <w:t xml:space="preserve"> </w:t>
      </w:r>
      <w:r w:rsidR="00ED1B30">
        <w:t xml:space="preserve">targeting </w:t>
      </w:r>
      <w:r w:rsidR="001D770A">
        <w:t xml:space="preserve">that </w:t>
      </w:r>
      <w:r w:rsidR="00ED1B30">
        <w:t xml:space="preserve">consists of an </w:t>
      </w:r>
      <w:proofErr w:type="spellStart"/>
      <w:r w:rsidR="00ED1B30">
        <w:t>afucosylated</w:t>
      </w:r>
      <w:proofErr w:type="spellEnd"/>
      <w:r w:rsidR="00ED1B30">
        <w:t>, humanised IgG1 monoclonal antibody conjugated to the cytotoxic payload monomethyl auristatin F (MMAF) via a protease resistant linker</w:t>
      </w:r>
      <w:r w:rsidR="001D770A">
        <w:t xml:space="preserve">. </w:t>
      </w:r>
    </w:p>
    <w:p w14:paraId="52B26433" w14:textId="5C920378" w:rsidR="00ED1B30" w:rsidRDefault="00ED1B30" w:rsidP="00ED1B30">
      <w:r>
        <w:t xml:space="preserve">The active substance, belantamab mafodotin, is produced using recombinant DNA technology in a CHO cell line. Manufacture involves controlled cell culture expansion, harvest, clarification, and </w:t>
      </w:r>
      <w:r>
        <w:lastRenderedPageBreak/>
        <w:t xml:space="preserve">a purification process incorporating multiple chromatography steps, viral inactivation and clearance, ultrafiltration/diafiltration, and final filtration. Conjugation of the antibody to the drug linker occurs at interchain cysteine residues, resulting in a target drug to antibody ratio of approximately four. The manufacturing process is well described, with critical process parameters identified and validated. </w:t>
      </w:r>
      <w:r w:rsidR="002E1C5F" w:rsidRPr="002E1C5F">
        <w:t xml:space="preserve">Good Manufacturing Practice </w:t>
      </w:r>
      <w:r>
        <w:t>compliance for all manufacturing and testing sites has been demonstrated.</w:t>
      </w:r>
    </w:p>
    <w:p w14:paraId="20BAEA45" w14:textId="069CD9A2" w:rsidR="00ED1B30" w:rsidRDefault="00ED1B30" w:rsidP="00ED1B30">
      <w:r>
        <w:t>The finished product is a sterile, lyophilised powder formulated with sodium citrate dihydrate, citric acid monohydrate, trehalose dihydrate, disodium edetate (EDTA), and polysorbate 80. Water for Injection is used for reconstitution. All excipients are established pharmaceutical ingredients and comply with relevant Ph. Eur., USP NF, and JP standards, with no novel excipients included. The formulation used for commercial supply is the same as that used in pivotal Phase III clinical trials.</w:t>
      </w:r>
    </w:p>
    <w:p w14:paraId="3DBA2891" w14:textId="468D43AC" w:rsidR="00ED1B30" w:rsidRDefault="00A0536E" w:rsidP="00ED1B30">
      <w:r>
        <w:t>Blenrep</w:t>
      </w:r>
      <w:r w:rsidR="00ED1B30">
        <w:t xml:space="preserve"> is presented in Type I clear glass vials with fluorinated </w:t>
      </w:r>
      <w:proofErr w:type="spellStart"/>
      <w:r w:rsidR="00ED1B30">
        <w:t>bromobutyl</w:t>
      </w:r>
      <w:proofErr w:type="spellEnd"/>
      <w:r w:rsidR="00ED1B30">
        <w:t xml:space="preserve"> rubber stoppers and aluminium </w:t>
      </w:r>
      <w:proofErr w:type="spellStart"/>
      <w:r w:rsidR="00ED1B30">
        <w:t>overseals</w:t>
      </w:r>
      <w:proofErr w:type="spellEnd"/>
      <w:r w:rsidR="00ED1B30">
        <w:t xml:space="preserve">. Container closure systems were assessed through compatibility, extractables and </w:t>
      </w:r>
      <w:proofErr w:type="spellStart"/>
      <w:r w:rsidR="00ED1B30">
        <w:t>leachables</w:t>
      </w:r>
      <w:proofErr w:type="spellEnd"/>
      <w:r w:rsidR="00ED1B30">
        <w:t>, and stability studies, with no safety concerns identified. The container is considered suitable for its intended use.</w:t>
      </w:r>
    </w:p>
    <w:p w14:paraId="29B311CD" w14:textId="77777777" w:rsidR="00ED1B30" w:rsidRDefault="00ED1B30" w:rsidP="00ED1B30">
      <w:r>
        <w:t>Comprehensive specifications are established for both the drug substance and drug product, covering appearance, identity, purity, potency, quantity, general tests, impurities, and contaminants. Analytical methods are appropriately validated, and many assays are shared between drug substance and finished product testing. Biological activity is confirmed using cell based and binding assays, ensuring consistent clinical performance. Batch analysis data demonstrate manufacturing consistency.</w:t>
      </w:r>
    </w:p>
    <w:p w14:paraId="55BEB81E" w14:textId="77777777" w:rsidR="00ED1B30" w:rsidRDefault="00ED1B30" w:rsidP="00ED1B30">
      <w:r>
        <w:t>Extensive stability data were generated under real time and stressed conditions. Based on these data, the recommended shelf life for the drug substance is 24 months when stored at ≤ –35°C, protected from light. The drug product has a recommended shelf life of 24 months when stored at 2–8°C. In use stability data support storage of the reconstituted solution for up to four hours at room temperature or under refrigeration, and the diluted infusion solution for up to 24 hours refrigerated, with up to six hours at room temperature including infusion time. Allowable temperature excursions include up to five freeze–thaw cycles and up to 15 days at temperatures ≤30°C. Storage instructions are consistent across the labels, Product Information, Consumer Medicines Information, and ARTG entries.</w:t>
      </w:r>
    </w:p>
    <w:p w14:paraId="10AA3E27" w14:textId="77777777" w:rsidR="00ED1B30" w:rsidRDefault="00ED1B30" w:rsidP="00ED1B30">
      <w:r>
        <w:t>All relevant secondary quality evaluations, including microbiology (sterility), endotoxin, viral safety, adventitious agents, and container safety, were completed and identified no outstanding issues. The quality aspects of the drug linker (SGD 1269) were also assessed and found acceptable from a pharmaceutical chemistry perspective.</w:t>
      </w:r>
    </w:p>
    <w:p w14:paraId="1BF7BA98" w14:textId="5FFFDFCC" w:rsidR="009064CD" w:rsidRPr="009064CD" w:rsidRDefault="00ED1B30" w:rsidP="00ED1B30">
      <w:r>
        <w:t xml:space="preserve">Overall, the chemical, pharmaceutical, and biological quality of </w:t>
      </w:r>
      <w:r w:rsidR="00A0536E">
        <w:t>Blenrep</w:t>
      </w:r>
      <w:r>
        <w:t xml:space="preserve"> is acceptable. Manufacturing processes, controls, specifications, and stability data demonstrate consistent product quality and compliance with Therapeutic Goods legislation, relevant standards, and regulatory guidelines. From a quality perspective, there are no objections to registration.</w:t>
      </w:r>
    </w:p>
    <w:p w14:paraId="2BE90AAE" w14:textId="3CC3E220" w:rsidR="00C22214" w:rsidRDefault="00C22214" w:rsidP="00C22214">
      <w:pPr>
        <w:pStyle w:val="Heading3"/>
      </w:pPr>
      <w:bookmarkStart w:id="40" w:name="_Toc314842512"/>
      <w:bookmarkStart w:id="41" w:name="_Toc103679296"/>
      <w:bookmarkStart w:id="42" w:name="_Toc227758029"/>
      <w:r>
        <w:t>Nonclinical</w:t>
      </w:r>
      <w:bookmarkEnd w:id="40"/>
      <w:bookmarkEnd w:id="41"/>
      <w:r w:rsidR="007E6443">
        <w:t xml:space="preserve"> evaluation</w:t>
      </w:r>
      <w:r w:rsidR="00095C6A">
        <w:t xml:space="preserve"> summary</w:t>
      </w:r>
      <w:bookmarkEnd w:id="42"/>
      <w:r w:rsidR="00145B4A">
        <w:fldChar w:fldCharType="begin"/>
      </w:r>
      <w:r w:rsidR="00145B4A">
        <w:instrText xml:space="preserve"> DOCVARIABLE vault_nd_cf710ce2-26eb-4272-bec0-3d9a1e47a2dc \* MERGEFORMAT </w:instrText>
      </w:r>
      <w:r w:rsidR="00145B4A">
        <w:fldChar w:fldCharType="separate"/>
      </w:r>
      <w:r w:rsidR="00145B4A">
        <w:t xml:space="preserve"> </w:t>
      </w:r>
      <w:r w:rsidR="00145B4A">
        <w:fldChar w:fldCharType="end"/>
      </w:r>
    </w:p>
    <w:p w14:paraId="5160D763" w14:textId="7E2855D0" w:rsidR="00197EAA" w:rsidRPr="00197EAA" w:rsidRDefault="00197EAA" w:rsidP="005C53B3">
      <w:r w:rsidRPr="00197EAA">
        <w:t xml:space="preserve">The submitted </w:t>
      </w:r>
      <w:r w:rsidR="005C53B3">
        <w:t>nonclinical</w:t>
      </w:r>
      <w:r w:rsidRPr="00197EAA">
        <w:t xml:space="preserve"> dossier was in accordance with the relevant ICH guideline for the nonclinical assessment of anticancer pharmaceuticals (ICH S9)</w:t>
      </w:r>
      <w:r w:rsidR="005C53B3">
        <w:rPr>
          <w:rStyle w:val="FootnoteReference"/>
        </w:rPr>
        <w:footnoteReference w:id="10"/>
      </w:r>
      <w:r w:rsidRPr="00197EAA">
        <w:t xml:space="preserve"> and biological medicines (ICH </w:t>
      </w:r>
      <w:r w:rsidRPr="00197EAA">
        <w:lastRenderedPageBreak/>
        <w:t>S6).</w:t>
      </w:r>
      <w:r w:rsidR="005C53B3">
        <w:rPr>
          <w:rStyle w:val="FootnoteReference"/>
        </w:rPr>
        <w:footnoteReference w:id="11"/>
      </w:r>
      <w:r w:rsidRPr="00197EAA">
        <w:t xml:space="preserve"> The overall quality of the nonclinical dossier was high. All pivotal safety-related studies were </w:t>
      </w:r>
      <w:r w:rsidR="009855CF" w:rsidRPr="009855CF">
        <w:t xml:space="preserve">Good Laboratory Practice </w:t>
      </w:r>
      <w:r w:rsidRPr="00197EAA">
        <w:t xml:space="preserve">compliant. </w:t>
      </w:r>
    </w:p>
    <w:p w14:paraId="0B33DFA3" w14:textId="09B2907A" w:rsidR="00197EAA" w:rsidRPr="00197EAA" w:rsidRDefault="00197EAA" w:rsidP="005C53B3">
      <w:r w:rsidRPr="00197EAA">
        <w:rPr>
          <w:i/>
          <w:iCs/>
        </w:rPr>
        <w:t>In vitro</w:t>
      </w:r>
      <w:r w:rsidRPr="00197EAA">
        <w:t xml:space="preserve">, belantamab mafodotin and unconjugated belantamab bound human BCMA with similar nanomolar affinity. BCMA-bound ADC is internalised by an MM cell and subject to lysosomal degradation, where drug linker </w:t>
      </w:r>
      <w:proofErr w:type="spellStart"/>
      <w:r w:rsidRPr="00197EAA">
        <w:t>maleimidocaproyl</w:t>
      </w:r>
      <w:proofErr w:type="spellEnd"/>
      <w:r w:rsidRPr="00197EAA">
        <w:t xml:space="preserve"> (mc) </w:t>
      </w:r>
      <w:r w:rsidR="009F1857">
        <w:t>m</w:t>
      </w:r>
      <w:r w:rsidR="009F1857" w:rsidRPr="009F1857">
        <w:t>onomethyl auristatin F</w:t>
      </w:r>
      <w:r w:rsidR="009F1857">
        <w:t xml:space="preserve"> </w:t>
      </w:r>
      <w:r w:rsidRPr="00197EAA">
        <w:t xml:space="preserve">can inhibit tubulin polymerisation. Belantamab mafodotin inhibited cell growth by inducing G2/M cell cycle arrest and apoptosis. Fc-mediated ADCC and antibody-dependent cell-mediated phagocytosis (ADCP) also contributes to the anti-tumour activity of belantamab mafodotin. In mouse models of various MM cell line xenografts, belantamab mafodotin had a durable anti-tumour response and improved survival at clinically relevant doses. Macrophage infiltration and phagocytosis likely contributed to anti-tumour effects. Overall, pharmacology data are supportive of the proposed clinical use. </w:t>
      </w:r>
    </w:p>
    <w:p w14:paraId="60172E8E" w14:textId="77777777" w:rsidR="00197EAA" w:rsidRPr="00197EAA" w:rsidRDefault="00197EAA" w:rsidP="00F4418C">
      <w:r w:rsidRPr="00197EAA">
        <w:t xml:space="preserve">Tissue cross reactivity studies with belantamab mafodotin did not identify any clinically relevant cross-reactivity with human tissue targets. An </w:t>
      </w:r>
      <w:r w:rsidRPr="00197EAA">
        <w:rPr>
          <w:i/>
          <w:iCs/>
        </w:rPr>
        <w:t xml:space="preserve">in vitro </w:t>
      </w:r>
      <w:r w:rsidRPr="00197EAA">
        <w:t xml:space="preserve">study found that in the presence of a human IgG, belantamab evoked agonist activity against BCMA, suggesting that belantamab crosslinked with anti-drug antibodies may also elicit BCMA agonism. As an IgG1 immunoglobulin, belantamab binds to </w:t>
      </w:r>
      <w:proofErr w:type="spellStart"/>
      <w:r w:rsidRPr="00197EAA">
        <w:t>Fcγ</w:t>
      </w:r>
      <w:proofErr w:type="spellEnd"/>
      <w:r w:rsidRPr="00197EAA">
        <w:t xml:space="preserve"> receptors </w:t>
      </w:r>
      <w:proofErr w:type="spellStart"/>
      <w:r w:rsidRPr="00197EAA">
        <w:t>FcγR</w:t>
      </w:r>
      <w:proofErr w:type="spellEnd"/>
      <w:r w:rsidRPr="00197EAA">
        <w:t xml:space="preserve"> I, </w:t>
      </w:r>
      <w:proofErr w:type="spellStart"/>
      <w:r w:rsidRPr="00197EAA">
        <w:t>FcγRIIIaV</w:t>
      </w:r>
      <w:proofErr w:type="spellEnd"/>
      <w:r w:rsidRPr="00197EAA">
        <w:t xml:space="preserve">, </w:t>
      </w:r>
      <w:proofErr w:type="spellStart"/>
      <w:r w:rsidRPr="00197EAA">
        <w:t>FcγRIIIaF</w:t>
      </w:r>
      <w:proofErr w:type="spellEnd"/>
      <w:r w:rsidRPr="00197EAA">
        <w:t xml:space="preserve"> and </w:t>
      </w:r>
      <w:proofErr w:type="spellStart"/>
      <w:r w:rsidRPr="00197EAA">
        <w:t>FcRn</w:t>
      </w:r>
      <w:proofErr w:type="spellEnd"/>
      <w:r w:rsidRPr="00197EAA">
        <w:t xml:space="preserve">, indicating that belantamab mafodotin may also produce Fc-mediated effector functions, such as ADCC and CDC. </w:t>
      </w:r>
    </w:p>
    <w:p w14:paraId="7461DC38" w14:textId="236A64E0" w:rsidR="00197EAA" w:rsidRPr="00197EAA" w:rsidRDefault="00197EAA" w:rsidP="00F4418C">
      <w:r w:rsidRPr="00197EAA">
        <w:t xml:space="preserve">Safety pharmacology assessments on the cardiovascular and respiratory systems do not predict clinically significant organ system hazards with belantamab mafodotin or </w:t>
      </w:r>
      <w:r w:rsidR="006F2ED0" w:rsidRPr="006F2ED0">
        <w:t>cysteine monomethyl auristatin F</w:t>
      </w:r>
      <w:r w:rsidR="006F2ED0">
        <w:t xml:space="preserve"> (</w:t>
      </w:r>
      <w:proofErr w:type="spellStart"/>
      <w:r w:rsidRPr="00197EAA">
        <w:t>cys-mcMMAF</w:t>
      </w:r>
      <w:proofErr w:type="spellEnd"/>
      <w:r w:rsidR="006F2ED0">
        <w:t>)</w:t>
      </w:r>
      <w:r w:rsidRPr="00197EAA">
        <w:t xml:space="preserve">. Whilst formal assessments on the CNS were not conducted, clinical monitoring of animals in toxicity studies did not identify any treatment-related changes to CNS functions. </w:t>
      </w:r>
    </w:p>
    <w:p w14:paraId="694A39FE" w14:textId="77777777" w:rsidR="00197EAA" w:rsidRPr="00197EAA" w:rsidRDefault="00197EAA" w:rsidP="00F4418C">
      <w:r w:rsidRPr="00197EAA">
        <w:t xml:space="preserve">Belantamab mafodotin, administered as an intravenous infusion, is 100% bioavailable. Systemic exposures were dose proportional. Plasma protein binding of </w:t>
      </w:r>
      <w:proofErr w:type="spellStart"/>
      <w:r w:rsidRPr="00197EAA">
        <w:t>cys-mcMMAF</w:t>
      </w:r>
      <w:proofErr w:type="spellEnd"/>
      <w:r w:rsidRPr="00197EAA">
        <w:t xml:space="preserve"> was low to moderate in all animal species and humans. Belantamab mafodotin tissue distribution was observed in the liver, kidneys and eyes (although not in the cornea). CNS penetration was very limited. Metabolism of </w:t>
      </w:r>
      <w:proofErr w:type="spellStart"/>
      <w:r w:rsidRPr="00197EAA">
        <w:t>cys-mcMMAF</w:t>
      </w:r>
      <w:proofErr w:type="spellEnd"/>
      <w:r w:rsidRPr="00197EAA">
        <w:t xml:space="preserve"> is low and occurs mostly through non-enzymatic reactions. The faecal route is the main route of excretion of </w:t>
      </w:r>
      <w:proofErr w:type="spellStart"/>
      <w:r w:rsidRPr="00197EAA">
        <w:t>cys-mcMMAF</w:t>
      </w:r>
      <w:proofErr w:type="spellEnd"/>
      <w:r w:rsidRPr="00197EAA">
        <w:t xml:space="preserve"> in rats, monkeys and humans. </w:t>
      </w:r>
    </w:p>
    <w:p w14:paraId="5F9FA39B" w14:textId="77777777" w:rsidR="00197EAA" w:rsidRPr="00197EAA" w:rsidRDefault="00197EAA" w:rsidP="00F4418C">
      <w:r w:rsidRPr="00197EAA">
        <w:t xml:space="preserve">Based on </w:t>
      </w:r>
      <w:r w:rsidRPr="00197EAA">
        <w:rPr>
          <w:i/>
          <w:iCs/>
        </w:rPr>
        <w:t xml:space="preserve">in vitro </w:t>
      </w:r>
      <w:r w:rsidRPr="00197EAA">
        <w:t xml:space="preserve">studies with </w:t>
      </w:r>
      <w:proofErr w:type="spellStart"/>
      <w:r w:rsidRPr="00197EAA">
        <w:t>cys-mcMMAF</w:t>
      </w:r>
      <w:proofErr w:type="spellEnd"/>
      <w:r w:rsidRPr="00197EAA">
        <w:t xml:space="preserve">, clinically relevant pharmacokinetic interactions with belantamab mafodotin are considered unlikely. </w:t>
      </w:r>
    </w:p>
    <w:p w14:paraId="0A546573" w14:textId="77777777" w:rsidR="00197EAA" w:rsidRPr="00197EAA" w:rsidRDefault="00197EAA" w:rsidP="00F4418C">
      <w:r w:rsidRPr="00197EAA">
        <w:t xml:space="preserve">Belantamab mafodotin exhibited a low to moderate order of acute toxicity via the intravenous route in rats and monkeys. </w:t>
      </w:r>
    </w:p>
    <w:p w14:paraId="25F6B777" w14:textId="47E684CF" w:rsidR="005C53B3" w:rsidRPr="005C53B3" w:rsidRDefault="00197EAA" w:rsidP="00F4418C">
      <w:r w:rsidRPr="00197EAA">
        <w:t xml:space="preserve">Repeat-dose toxicity studies were conducted in rats and cynomolgus monkeys with belantamab mafodotin (up to 13 weeks), unconjugated antibody (monkeys only, up to 13 weeks) and </w:t>
      </w:r>
      <w:r w:rsidR="00F4418C">
        <w:br/>
      </w:r>
      <w:proofErr w:type="spellStart"/>
      <w:r w:rsidRPr="00197EAA">
        <w:t>cys-</w:t>
      </w:r>
      <w:r w:rsidR="005C53B3" w:rsidRPr="005C53B3">
        <w:t>mcMMAF</w:t>
      </w:r>
      <w:proofErr w:type="spellEnd"/>
      <w:r w:rsidR="005C53B3" w:rsidRPr="005C53B3">
        <w:t xml:space="preserve"> (5 days). Acceptable multiples of clinical exposures (as AUC) to belantamab mafodotin and cytotoxic payload </w:t>
      </w:r>
      <w:proofErr w:type="spellStart"/>
      <w:r w:rsidR="005C53B3" w:rsidRPr="005C53B3">
        <w:t>cys-mcMMAF</w:t>
      </w:r>
      <w:proofErr w:type="spellEnd"/>
      <w:r w:rsidR="005C53B3" w:rsidRPr="005C53B3">
        <w:t xml:space="preserve"> were achieved in toxicity studies. </w:t>
      </w:r>
    </w:p>
    <w:p w14:paraId="04E927FA" w14:textId="77777777" w:rsidR="005C53B3" w:rsidRPr="005C53B3" w:rsidRDefault="005C53B3" w:rsidP="00F4418C">
      <w:r w:rsidRPr="005C53B3">
        <w:t xml:space="preserve">Target organs for toxicity were the kidney (tubular degeneration, urothelial single cell necrosis), lung (increased presence of alveolar macrophages and inflammatory cell infiltrates), haematopoietic system (reduced cellularity in bone marrow, reductions in red cell parameters and lower levels of immunoglobulins in monkeys), lymphoid organs (reduced cellularity in spleen and thymus, lymphoid necrosis), liver (Kupffer cell hypertrophy/hyperplasia, hepatocellular necrosis, neutrophilic infiltrates), eyes/corneas (bilateral single cell necrosis in corneal epithelium, corneal haze) and male reproductive organs (moderate to severe atrophy </w:t>
      </w:r>
      <w:r w:rsidRPr="005C53B3">
        <w:lastRenderedPageBreak/>
        <w:t xml:space="preserve">and degeneration of seminiferous tubules, </w:t>
      </w:r>
      <w:proofErr w:type="spellStart"/>
      <w:r w:rsidRPr="005C53B3">
        <w:t>hypospermia</w:t>
      </w:r>
      <w:proofErr w:type="spellEnd"/>
      <w:r w:rsidRPr="005C53B3">
        <w:t xml:space="preserve">/aspermia). Corresponding toxicities were minimal or absent in animals dosed with </w:t>
      </w:r>
      <w:proofErr w:type="spellStart"/>
      <w:r w:rsidRPr="005C53B3">
        <w:t>cys-mcMMAF</w:t>
      </w:r>
      <w:proofErr w:type="spellEnd"/>
      <w:r w:rsidRPr="005C53B3">
        <w:t xml:space="preserve"> due to its low cell permeability. </w:t>
      </w:r>
    </w:p>
    <w:p w14:paraId="7FAF49D4" w14:textId="77777777" w:rsidR="005C53B3" w:rsidRPr="005C53B3" w:rsidRDefault="005C53B3" w:rsidP="00F4418C">
      <w:r w:rsidRPr="005C53B3">
        <w:t xml:space="preserve">In GLP studies, </w:t>
      </w:r>
      <w:proofErr w:type="spellStart"/>
      <w:r w:rsidRPr="005C53B3">
        <w:t>cys-mcMMAF</w:t>
      </w:r>
      <w:proofErr w:type="spellEnd"/>
      <w:r w:rsidRPr="005C53B3">
        <w:t xml:space="preserve"> was not mutagenic in the bacterial mutation assay or forward mutation assay in mouse lymphoma cells, nor was there </w:t>
      </w:r>
      <w:r w:rsidRPr="005C53B3">
        <w:rPr>
          <w:i/>
          <w:iCs/>
        </w:rPr>
        <w:t xml:space="preserve">in vivo </w:t>
      </w:r>
      <w:r w:rsidRPr="005C53B3">
        <w:t xml:space="preserve">evidence of </w:t>
      </w:r>
      <w:proofErr w:type="spellStart"/>
      <w:r w:rsidRPr="005C53B3">
        <w:t>clastogenicity</w:t>
      </w:r>
      <w:proofErr w:type="spellEnd"/>
      <w:r w:rsidRPr="005C53B3">
        <w:t xml:space="preserve"> in the rat micronucleus test. Belantamab mafodotin however returned positive findings of </w:t>
      </w:r>
      <w:proofErr w:type="spellStart"/>
      <w:r w:rsidRPr="005C53B3">
        <w:t>clastogenicity</w:t>
      </w:r>
      <w:proofErr w:type="spellEnd"/>
      <w:r w:rsidRPr="005C53B3">
        <w:t xml:space="preserve"> in a non-GLP </w:t>
      </w:r>
      <w:r w:rsidRPr="005C53B3">
        <w:rPr>
          <w:i/>
          <w:iCs/>
        </w:rPr>
        <w:t xml:space="preserve">in vitro </w:t>
      </w:r>
      <w:r w:rsidRPr="005C53B3">
        <w:t xml:space="preserve">chromosomal aberration assay. As a microtubule inhibitor, </w:t>
      </w:r>
      <w:proofErr w:type="spellStart"/>
      <w:r w:rsidRPr="005C53B3">
        <w:t>cys-mcMMAF</w:t>
      </w:r>
      <w:proofErr w:type="spellEnd"/>
      <w:r w:rsidRPr="005C53B3">
        <w:t xml:space="preserve"> is expected to be genotoxic (aneugen). The lack of genotoxic findings with </w:t>
      </w:r>
      <w:proofErr w:type="spellStart"/>
      <w:r w:rsidRPr="005C53B3">
        <w:t>cys-mcMMAF</w:t>
      </w:r>
      <w:proofErr w:type="spellEnd"/>
      <w:r w:rsidRPr="005C53B3">
        <w:t xml:space="preserve"> is explained by low cell permeability limiting intracellular access to microtubules. </w:t>
      </w:r>
    </w:p>
    <w:p w14:paraId="02B04A12" w14:textId="3C198DBF" w:rsidR="005C53B3" w:rsidRPr="005C53B3" w:rsidRDefault="005C53B3" w:rsidP="00F4418C">
      <w:r w:rsidRPr="005C53B3">
        <w:t xml:space="preserve">Reproductive and developmental toxicity studies on belantamab mafodotin were not conducted. Effects on fertility are expected based on the mechanism of actions of cytotoxic payload, </w:t>
      </w:r>
      <w:proofErr w:type="spellStart"/>
      <w:r w:rsidR="00AB1104">
        <w:t>cys-</w:t>
      </w:r>
      <w:r w:rsidRPr="005C53B3">
        <w:t>mcMMAF</w:t>
      </w:r>
      <w:proofErr w:type="spellEnd"/>
      <w:r w:rsidRPr="005C53B3">
        <w:t xml:space="preserve">, which targets rapidly dividing cells and evidence of </w:t>
      </w:r>
      <w:proofErr w:type="spellStart"/>
      <w:r w:rsidRPr="005C53B3">
        <w:t>aneugenic</w:t>
      </w:r>
      <w:proofErr w:type="spellEnd"/>
      <w:r w:rsidRPr="005C53B3">
        <w:t xml:space="preserve"> effects. Non-reversible findings in reproductive organs (testicular atrophy, tubular degeneration, aspermia in males and </w:t>
      </w:r>
      <w:r w:rsidR="00731EFA" w:rsidRPr="005C53B3">
        <w:t>luteinised</w:t>
      </w:r>
      <w:r w:rsidRPr="005C53B3">
        <w:t xml:space="preserve"> non-ovulatory follicles in females) were observed in rats and monkeys from repeat dose toxicity studies. Belantamab mafodotin is also expected to be embryotoxic if taken during pregnancy. </w:t>
      </w:r>
    </w:p>
    <w:p w14:paraId="7436DC84" w14:textId="05693397" w:rsidR="005C53B3" w:rsidRDefault="008B18BF" w:rsidP="008B18BF">
      <w:pPr>
        <w:pStyle w:val="Default"/>
        <w:rPr>
          <w:sz w:val="22"/>
          <w:szCs w:val="22"/>
        </w:rPr>
      </w:pPr>
      <w:r>
        <w:rPr>
          <w:sz w:val="22"/>
          <w:szCs w:val="22"/>
        </w:rPr>
        <w:t>T</w:t>
      </w:r>
      <w:r w:rsidR="005C53B3">
        <w:rPr>
          <w:sz w:val="22"/>
          <w:szCs w:val="22"/>
        </w:rPr>
        <w:t>here are no objections on nonclinical grounds to registration of belantamab mafodotin for the proposed indications</w:t>
      </w:r>
      <w:r>
        <w:rPr>
          <w:sz w:val="22"/>
          <w:szCs w:val="22"/>
        </w:rPr>
        <w:t>.</w:t>
      </w:r>
    </w:p>
    <w:p w14:paraId="35B580A5" w14:textId="23D7A254" w:rsidR="00C22214" w:rsidRDefault="00C22214" w:rsidP="008804CF">
      <w:pPr>
        <w:pStyle w:val="Heading3"/>
      </w:pPr>
      <w:bookmarkStart w:id="43" w:name="_Toc247691530"/>
      <w:bookmarkStart w:id="44" w:name="_Toc314842513"/>
      <w:bookmarkStart w:id="45" w:name="_Toc103679297"/>
      <w:bookmarkStart w:id="46" w:name="_Toc227758030"/>
      <w:r>
        <w:t>Clinical</w:t>
      </w:r>
      <w:bookmarkEnd w:id="43"/>
      <w:bookmarkEnd w:id="44"/>
      <w:bookmarkEnd w:id="45"/>
      <w:r w:rsidR="00095C6A">
        <w:t xml:space="preserve"> evaluation summary</w:t>
      </w:r>
      <w:bookmarkEnd w:id="46"/>
      <w:r w:rsidR="00145B4A">
        <w:fldChar w:fldCharType="begin"/>
      </w:r>
      <w:r w:rsidR="00145B4A">
        <w:instrText xml:space="preserve"> DOCVARIABLE vault_nd_5903a5db-9788-41eb-ae24-aea621a01f1e \* MERGEFORMAT </w:instrText>
      </w:r>
      <w:r w:rsidR="00145B4A">
        <w:fldChar w:fldCharType="separate"/>
      </w:r>
      <w:r w:rsidR="00145B4A">
        <w:t xml:space="preserve"> </w:t>
      </w:r>
      <w:r w:rsidR="00145B4A">
        <w:fldChar w:fldCharType="end"/>
      </w:r>
    </w:p>
    <w:p w14:paraId="30361876" w14:textId="38AAD235" w:rsidR="00620132" w:rsidRPr="00620132" w:rsidRDefault="00620132" w:rsidP="002E1C5F">
      <w:pPr>
        <w:pStyle w:val="Heading4"/>
        <w:rPr>
          <w:i/>
        </w:rPr>
      </w:pPr>
      <w:bookmarkStart w:id="47" w:name="_Toc227758031"/>
      <w:r w:rsidRPr="00620132">
        <w:t>Pharmacology</w:t>
      </w:r>
      <w:bookmarkEnd w:id="47"/>
      <w:r w:rsidR="00145B4A">
        <w:rPr>
          <w:i/>
        </w:rPr>
        <w:fldChar w:fldCharType="begin"/>
      </w:r>
      <w:r w:rsidR="00145B4A">
        <w:rPr>
          <w:i/>
        </w:rPr>
        <w:instrText xml:space="preserve"> DOCVARIABLE vault_nd_44a3a051-3eb0-4568-9ef6-9142bbcf5e31 \* MERGEFORMAT </w:instrText>
      </w:r>
      <w:r w:rsidR="00145B4A">
        <w:rPr>
          <w:i/>
        </w:rPr>
        <w:fldChar w:fldCharType="separate"/>
      </w:r>
      <w:r w:rsidR="00145B4A">
        <w:rPr>
          <w:i/>
        </w:rPr>
        <w:t xml:space="preserve"> </w:t>
      </w:r>
      <w:r w:rsidR="00145B4A">
        <w:rPr>
          <w:i/>
        </w:rPr>
        <w:fldChar w:fldCharType="end"/>
      </w:r>
    </w:p>
    <w:p w14:paraId="26553159" w14:textId="77777777" w:rsidR="00620132" w:rsidRPr="00620132" w:rsidRDefault="00620132" w:rsidP="00620132">
      <w:r w:rsidRPr="00620132">
        <w:t>There were two clinical pharmacology studies that provide PK data:</w:t>
      </w:r>
    </w:p>
    <w:p w14:paraId="2D52EBF0" w14:textId="77777777" w:rsidR="00620132" w:rsidRPr="00620132" w:rsidRDefault="00620132" w:rsidP="002E1C5F">
      <w:pPr>
        <w:pStyle w:val="ListBullet"/>
      </w:pPr>
      <w:r w:rsidRPr="00620132">
        <w:t xml:space="preserve">Study BMA117159 (DREAMM-1) </w:t>
      </w:r>
    </w:p>
    <w:p w14:paraId="61323066" w14:textId="77777777" w:rsidR="00620132" w:rsidRPr="00620132" w:rsidRDefault="00620132" w:rsidP="002E1C5F">
      <w:pPr>
        <w:pStyle w:val="ListBullet"/>
      </w:pPr>
      <w:r w:rsidRPr="00620132">
        <w:t xml:space="preserve">Study 209626 (DREAMM-12) </w:t>
      </w:r>
    </w:p>
    <w:p w14:paraId="5D77AD91" w14:textId="77777777" w:rsidR="00620132" w:rsidRPr="00620132" w:rsidRDefault="00620132" w:rsidP="00620132">
      <w:r w:rsidRPr="00620132">
        <w:t>There were also the following population PK analyses:</w:t>
      </w:r>
    </w:p>
    <w:p w14:paraId="534A7ED3" w14:textId="3BA0D5EE" w:rsidR="00620132" w:rsidRPr="00620132" w:rsidRDefault="00620132" w:rsidP="002E1C5F">
      <w:pPr>
        <w:pStyle w:val="ListBullet"/>
      </w:pPr>
      <w:r w:rsidRPr="00620132">
        <w:t>Population PK and exposure-response analyses of the effect of belantamab mafodotin (GSK2857916) in subjects with</w:t>
      </w:r>
      <w:r w:rsidR="00FA0C07">
        <w:t xml:space="preserve"> </w:t>
      </w:r>
      <w:r w:rsidR="00A617A4">
        <w:t>RRMM</w:t>
      </w:r>
      <w:r w:rsidR="00FA0C07">
        <w:t xml:space="preserve"> (</w:t>
      </w:r>
      <w:r w:rsidRPr="00620132">
        <w:t>Study 205678 and BMA117159) (</w:t>
      </w:r>
      <w:proofErr w:type="spellStart"/>
      <w:r w:rsidRPr="00620132">
        <w:t>PopPK</w:t>
      </w:r>
      <w:proofErr w:type="spellEnd"/>
      <w:r w:rsidRPr="00620132">
        <w:t xml:space="preserve"> D</w:t>
      </w:r>
      <w:proofErr w:type="gramStart"/>
      <w:r w:rsidRPr="00620132">
        <w:t>1,D</w:t>
      </w:r>
      <w:proofErr w:type="gramEnd"/>
      <w:r w:rsidRPr="00620132">
        <w:t>2)</w:t>
      </w:r>
    </w:p>
    <w:p w14:paraId="6BF034C0" w14:textId="77777777" w:rsidR="00620132" w:rsidRPr="00620132" w:rsidRDefault="00620132" w:rsidP="002E1C5F">
      <w:pPr>
        <w:pStyle w:val="ListBullet"/>
      </w:pPr>
      <w:r w:rsidRPr="00620132">
        <w:t>GSKP-PMX-GSK2857916-3241 (</w:t>
      </w:r>
      <w:proofErr w:type="spellStart"/>
      <w:r w:rsidRPr="00620132">
        <w:t>PopPK</w:t>
      </w:r>
      <w:proofErr w:type="spellEnd"/>
      <w:r w:rsidRPr="00620132">
        <w:t xml:space="preserve"> D2, D3)</w:t>
      </w:r>
    </w:p>
    <w:p w14:paraId="31EC48F0" w14:textId="466E9BC9" w:rsidR="00E9686E" w:rsidRPr="00E9686E" w:rsidRDefault="00620132" w:rsidP="00E9686E">
      <w:r w:rsidRPr="00620132">
        <w:t>Pharmacokinetics</w:t>
      </w:r>
      <w:fldSimple w:instr=" DOCVARIABLE vault_nd_93a51abe-bca8-4397-8033-ccc065654a17 \* MERGEFORMAT ">
        <w:r w:rsidR="00145B4A">
          <w:t xml:space="preserve"> </w:t>
        </w:r>
      </w:fldSimple>
      <w:r w:rsidR="00E9686E" w:rsidRPr="00E9686E">
        <w:t xml:space="preserve">The </w:t>
      </w:r>
      <w:r w:rsidR="006A4487">
        <w:t>population pharmacokinetics (</w:t>
      </w:r>
      <w:proofErr w:type="spellStart"/>
      <w:r w:rsidR="00E9686E" w:rsidRPr="00E9686E">
        <w:t>PopPK</w:t>
      </w:r>
      <w:proofErr w:type="spellEnd"/>
      <w:r w:rsidR="006A4487">
        <w:t>)</w:t>
      </w:r>
      <w:r w:rsidR="00E9686E" w:rsidRPr="00E9686E">
        <w:t xml:space="preserve"> model supported dose-proportionality for both ADC and </w:t>
      </w:r>
      <w:proofErr w:type="spellStart"/>
      <w:r w:rsidR="00E9686E" w:rsidRPr="00E9686E">
        <w:t>cys-mcMMAF</w:t>
      </w:r>
      <w:proofErr w:type="spellEnd"/>
      <w:r w:rsidR="00073830">
        <w:t xml:space="preserve">. </w:t>
      </w:r>
      <w:r w:rsidR="00E9686E" w:rsidRPr="00E9686E">
        <w:t xml:space="preserve">Dose proportionality for </w:t>
      </w:r>
      <w:proofErr w:type="spellStart"/>
      <w:r w:rsidR="00E9686E" w:rsidRPr="00E9686E">
        <w:rPr>
          <w:lang w:val="en-NZ"/>
        </w:rPr>
        <w:t>C</w:t>
      </w:r>
      <w:r w:rsidR="00E9686E" w:rsidRPr="00E9686E">
        <w:rPr>
          <w:vertAlign w:val="subscript"/>
          <w:lang w:val="en-NZ"/>
        </w:rPr>
        <w:t>max</w:t>
      </w:r>
      <w:proofErr w:type="spellEnd"/>
      <w:r w:rsidR="00E9686E" w:rsidRPr="00E9686E">
        <w:t xml:space="preserve"> is also supported in DREAMM-</w:t>
      </w:r>
      <w:proofErr w:type="gramStart"/>
      <w:r w:rsidR="00E9686E" w:rsidRPr="00E9686E">
        <w:t>1.</w:t>
      </w:r>
      <w:r w:rsidR="00E9686E" w:rsidRPr="00E9686E">
        <w:rPr>
          <w:i/>
          <w:iCs/>
          <w:lang w:val="en-NZ"/>
        </w:rPr>
        <w:t>In</w:t>
      </w:r>
      <w:proofErr w:type="gramEnd"/>
      <w:r w:rsidR="00E9686E" w:rsidRPr="00E9686E">
        <w:rPr>
          <w:i/>
          <w:iCs/>
          <w:lang w:val="en-NZ"/>
        </w:rPr>
        <w:t xml:space="preserve"> vitro, </w:t>
      </w:r>
      <w:proofErr w:type="spellStart"/>
      <w:r w:rsidR="00E9686E" w:rsidRPr="00E9686E">
        <w:rPr>
          <w:lang w:val="en-NZ"/>
        </w:rPr>
        <w:t>cys-mcMMAF</w:t>
      </w:r>
      <w:proofErr w:type="spellEnd"/>
      <w:r w:rsidR="00E9686E" w:rsidRPr="00E9686E">
        <w:rPr>
          <w:lang w:val="en-NZ"/>
        </w:rPr>
        <w:t xml:space="preserve"> exhibited low protein binding (70% </w:t>
      </w:r>
      <w:r w:rsidR="00435378">
        <w:rPr>
          <w:lang w:val="en-NZ"/>
        </w:rPr>
        <w:t xml:space="preserve">unbound </w:t>
      </w:r>
      <w:r w:rsidR="00E9686E" w:rsidRPr="00E9686E">
        <w:rPr>
          <w:lang w:val="en-NZ"/>
        </w:rPr>
        <w:t>at a concentration of 5 ng/mL) in human plasma in a concentration-dependent manner.</w:t>
      </w:r>
    </w:p>
    <w:p w14:paraId="50B6EA1D" w14:textId="77777777" w:rsidR="00E9686E" w:rsidRPr="00E9686E" w:rsidRDefault="00E9686E" w:rsidP="00E9686E">
      <w:pPr>
        <w:rPr>
          <w:lang w:val="en-NZ"/>
        </w:rPr>
      </w:pPr>
      <w:r w:rsidRPr="00E9686E">
        <w:rPr>
          <w:lang w:val="en-NZ"/>
        </w:rPr>
        <w:t>The monoclonal antibody portion of belantamab mafodotin is expected to undergo proteolysis to small peptides and individual amino acids by ubiquitous proteolytic enzymes.</w:t>
      </w:r>
    </w:p>
    <w:p w14:paraId="494003FC" w14:textId="4B0BE11A" w:rsidR="00E9686E" w:rsidRPr="00E9686E" w:rsidRDefault="00E9686E" w:rsidP="00E9686E">
      <w:r w:rsidRPr="00E9686E">
        <w:rPr>
          <w:lang w:val="en-NZ"/>
        </w:rPr>
        <w:t>Cys-</w:t>
      </w:r>
      <w:proofErr w:type="spellStart"/>
      <w:r w:rsidRPr="00E9686E">
        <w:rPr>
          <w:lang w:val="en-NZ"/>
        </w:rPr>
        <w:t>mcMMAF</w:t>
      </w:r>
      <w:proofErr w:type="spellEnd"/>
      <w:r w:rsidRPr="00E9686E">
        <w:rPr>
          <w:lang w:val="en-NZ"/>
        </w:rPr>
        <w:t xml:space="preserve"> had limited metabolic clearance in human hepatic S9 fraction incubation </w:t>
      </w:r>
      <w:proofErr w:type="gramStart"/>
      <w:r w:rsidRPr="00E9686E">
        <w:rPr>
          <w:lang w:val="en-NZ"/>
        </w:rPr>
        <w:t>studies.</w:t>
      </w:r>
      <w:r w:rsidRPr="00E9686E">
        <w:t>No</w:t>
      </w:r>
      <w:proofErr w:type="gramEnd"/>
      <w:r w:rsidRPr="00E9686E">
        <w:t xml:space="preserve"> formal drug interaction studies have been performed with belantamab mafodotin.</w:t>
      </w:r>
    </w:p>
    <w:p w14:paraId="37E5B91B" w14:textId="77777777" w:rsidR="00E9686E" w:rsidRPr="00E9686E" w:rsidRDefault="00E9686E" w:rsidP="00E9686E">
      <w:r w:rsidRPr="00E9686E">
        <w:rPr>
          <w:i/>
          <w:iCs/>
        </w:rPr>
        <w:t>In vitro</w:t>
      </w:r>
      <w:r w:rsidRPr="00E9686E">
        <w:t xml:space="preserve"> studies demonstrated that </w:t>
      </w:r>
      <w:proofErr w:type="spellStart"/>
      <w:r w:rsidRPr="00E9686E">
        <w:t>cys-mcMMAF</w:t>
      </w:r>
      <w:proofErr w:type="spellEnd"/>
      <w:r w:rsidRPr="00E9686E">
        <w:t xml:space="preserve"> is not an inhibitor, an inducer, or a sensitive substrate of cytochrome P450 enzymes, but is a substrate of organic anion transporting polypeptide (OATP)1B1 and OATP1B3, multidrug resistance-associated protein (MRP)1, MRP2, MRP3, bile salt export pump (BSEP), and a possible substrate of P-glycoprotein (</w:t>
      </w:r>
      <w:proofErr w:type="spellStart"/>
      <w:r w:rsidRPr="00E9686E">
        <w:t>Pgp</w:t>
      </w:r>
      <w:proofErr w:type="spellEnd"/>
      <w:r w:rsidRPr="00E9686E">
        <w:t>).</w:t>
      </w:r>
    </w:p>
    <w:p w14:paraId="02FB237E" w14:textId="6124BBFA" w:rsidR="00E9686E" w:rsidRPr="00E9686E" w:rsidRDefault="00E9686E" w:rsidP="006A4487">
      <w:pPr>
        <w:pStyle w:val="Heading5"/>
      </w:pPr>
      <w:r w:rsidRPr="00E9686E">
        <w:lastRenderedPageBreak/>
        <w:t xml:space="preserve">Population </w:t>
      </w:r>
      <w:r w:rsidR="006A4487" w:rsidRPr="006A4487">
        <w:t xml:space="preserve">pharmacokinetics </w:t>
      </w:r>
      <w:r w:rsidRPr="00E9686E">
        <w:t>data (</w:t>
      </w:r>
      <w:proofErr w:type="spellStart"/>
      <w:r w:rsidRPr="00E9686E">
        <w:t>popPK</w:t>
      </w:r>
      <w:proofErr w:type="spellEnd"/>
      <w:r w:rsidRPr="00E9686E">
        <w:t>)</w:t>
      </w:r>
      <w:fldSimple w:instr=" DOCVARIABLE vault_nd_c25cd487-e95f-4a5e-9a8f-926bbb6bc077 \* MERGEFORMAT ">
        <w:r w:rsidR="00145B4A">
          <w:t xml:space="preserve"> </w:t>
        </w:r>
      </w:fldSimple>
    </w:p>
    <w:p w14:paraId="778D54B7" w14:textId="5AF31496" w:rsidR="00E9686E" w:rsidRPr="00E9686E" w:rsidRDefault="00E9686E" w:rsidP="00E9686E">
      <w:r w:rsidRPr="00E9686E">
        <w:t xml:space="preserve">The </w:t>
      </w:r>
      <w:proofErr w:type="spellStart"/>
      <w:r w:rsidRPr="00E9686E">
        <w:t>popPK</w:t>
      </w:r>
      <w:proofErr w:type="spellEnd"/>
      <w:r w:rsidRPr="00E9686E">
        <w:t xml:space="preserve"> analyses were conducted in the target population. The models have adequately described the concentration data </w:t>
      </w:r>
      <w:r w:rsidR="0022668B">
        <w:t xml:space="preserve">to </w:t>
      </w:r>
      <w:r w:rsidRPr="00E9686E">
        <w:t>evaluate the effects of covariates on PK and to provide exposure measures for exposure-response analyses.</w:t>
      </w:r>
    </w:p>
    <w:p w14:paraId="7361973F" w14:textId="1C1C8096" w:rsidR="00E9686E" w:rsidRPr="00E9686E" w:rsidRDefault="00E9686E" w:rsidP="00360D6D">
      <w:pPr>
        <w:pStyle w:val="Heading5"/>
      </w:pPr>
      <w:r w:rsidRPr="00E9686E">
        <w:t>Pharmacodynamics (PD)</w:t>
      </w:r>
      <w:fldSimple w:instr=" DOCVARIABLE vault_nd_ccf6466d-19af-4ddf-bc53-68c65ca29b04 \* MERGEFORMAT ">
        <w:r w:rsidR="00145B4A">
          <w:t xml:space="preserve"> </w:t>
        </w:r>
      </w:fldSimple>
    </w:p>
    <w:p w14:paraId="2221DE40" w14:textId="4E4ADC14" w:rsidR="00702FAD" w:rsidRPr="00702FAD" w:rsidRDefault="00702FAD" w:rsidP="00913304">
      <w:r w:rsidRPr="00702FAD">
        <w:rPr>
          <w:lang w:val="en-NZ"/>
        </w:rPr>
        <w:t xml:space="preserve">In the </w:t>
      </w:r>
      <w:r w:rsidR="000D166C" w:rsidRPr="000D166C">
        <w:rPr>
          <w:lang w:val="en-NZ"/>
        </w:rPr>
        <w:t xml:space="preserve">Exposure-Response </w:t>
      </w:r>
      <w:r w:rsidR="000D166C">
        <w:rPr>
          <w:lang w:val="en-NZ"/>
        </w:rPr>
        <w:t>(</w:t>
      </w:r>
      <w:r w:rsidRPr="00702FAD">
        <w:rPr>
          <w:lang w:val="en-NZ"/>
        </w:rPr>
        <w:t>E-R</w:t>
      </w:r>
      <w:r w:rsidR="000D166C">
        <w:rPr>
          <w:lang w:val="en-NZ"/>
        </w:rPr>
        <w:t>)</w:t>
      </w:r>
      <w:r w:rsidRPr="00702FAD">
        <w:rPr>
          <w:lang w:val="en-NZ"/>
        </w:rPr>
        <w:t xml:space="preserve"> analysis from </w:t>
      </w:r>
      <w:proofErr w:type="spellStart"/>
      <w:r w:rsidRPr="00702FAD">
        <w:rPr>
          <w:lang w:val="en-NZ"/>
        </w:rPr>
        <w:t>PopPK</w:t>
      </w:r>
      <w:proofErr w:type="spellEnd"/>
      <w:r w:rsidRPr="00702FAD">
        <w:rPr>
          <w:lang w:val="en-NZ"/>
        </w:rPr>
        <w:t xml:space="preserve"> D1, D2 a higher level of response tended to be observed with increased quartile of ADC</w:t>
      </w:r>
      <w:r w:rsidR="00073830">
        <w:rPr>
          <w:lang w:val="en-NZ"/>
        </w:rPr>
        <w:t xml:space="preserve">. </w:t>
      </w:r>
      <w:r w:rsidRPr="00702FAD">
        <w:rPr>
          <w:lang w:val="en-NZ"/>
        </w:rPr>
        <w:t>A dose-response relationship could be described from the data</w:t>
      </w:r>
      <w:r w:rsidR="00073830">
        <w:rPr>
          <w:lang w:val="en-NZ"/>
        </w:rPr>
        <w:t xml:space="preserve">. </w:t>
      </w:r>
    </w:p>
    <w:p w14:paraId="08580B8E" w14:textId="159E6984" w:rsidR="00702FAD" w:rsidRPr="00702FAD" w:rsidRDefault="00702FAD" w:rsidP="00702FAD">
      <w:r w:rsidRPr="00702FAD">
        <w:t>E-R analysis D6,</w:t>
      </w:r>
      <w:r w:rsidR="004E43AA">
        <w:t xml:space="preserve"> </w:t>
      </w:r>
      <w:r w:rsidRPr="00702FAD">
        <w:t>D7 and E-R analysis D8 confirmed the relationship between exposure and effect.</w:t>
      </w:r>
    </w:p>
    <w:p w14:paraId="42D7F5C5" w14:textId="1125D670" w:rsidR="00702FAD" w:rsidRPr="00702FAD" w:rsidRDefault="00702FAD" w:rsidP="00913304">
      <w:r w:rsidRPr="00702FAD">
        <w:rPr>
          <w:lang w:val="en-NZ"/>
        </w:rPr>
        <w:t xml:space="preserve">In the E-R analysis from </w:t>
      </w:r>
      <w:proofErr w:type="spellStart"/>
      <w:r w:rsidRPr="00702FAD">
        <w:rPr>
          <w:lang w:val="en-NZ"/>
        </w:rPr>
        <w:t>PopPK</w:t>
      </w:r>
      <w:proofErr w:type="spellEnd"/>
      <w:r w:rsidRPr="00702FAD">
        <w:rPr>
          <w:lang w:val="en-NZ"/>
        </w:rPr>
        <w:t xml:space="preserve"> D</w:t>
      </w:r>
      <w:proofErr w:type="gramStart"/>
      <w:r w:rsidRPr="00702FAD">
        <w:rPr>
          <w:lang w:val="en-NZ"/>
        </w:rPr>
        <w:t>1,D</w:t>
      </w:r>
      <w:proofErr w:type="gramEnd"/>
      <w:r w:rsidRPr="00702FAD">
        <w:rPr>
          <w:lang w:val="en-NZ"/>
        </w:rPr>
        <w:t>2 t</w:t>
      </w:r>
      <w:r w:rsidRPr="00702FAD">
        <w:t>here was greater risk of corneal event with higher ADC exposure</w:t>
      </w:r>
      <w:r w:rsidR="00073830">
        <w:t xml:space="preserve">. </w:t>
      </w:r>
      <w:r w:rsidRPr="00702FAD">
        <w:t>The severity of corneal event also increased with ADC trough concentration</w:t>
      </w:r>
      <w:r w:rsidR="00073830">
        <w:t xml:space="preserve">. </w:t>
      </w:r>
    </w:p>
    <w:p w14:paraId="71FC67D2" w14:textId="77777777" w:rsidR="00702FAD" w:rsidRPr="00702FAD" w:rsidRDefault="00702FAD" w:rsidP="00702FAD">
      <w:r w:rsidRPr="00702FAD">
        <w:t>E-R analysis D</w:t>
      </w:r>
      <w:proofErr w:type="gramStart"/>
      <w:r w:rsidRPr="00702FAD">
        <w:t>6,D</w:t>
      </w:r>
      <w:proofErr w:type="gramEnd"/>
      <w:r w:rsidRPr="00702FAD">
        <w:t>7 and E-R analysis D8 confirmed the relationship between exposure and ocular toxicity.</w:t>
      </w:r>
    </w:p>
    <w:p w14:paraId="7B27DAA6" w14:textId="49230350" w:rsidR="00702FAD" w:rsidRPr="00702FAD" w:rsidRDefault="00702FAD" w:rsidP="00702FAD">
      <w:r w:rsidRPr="00702FAD">
        <w:t xml:space="preserve">In </w:t>
      </w:r>
      <w:proofErr w:type="spellStart"/>
      <w:r w:rsidRPr="00702FAD">
        <w:t>PopPK</w:t>
      </w:r>
      <w:proofErr w:type="spellEnd"/>
      <w:r w:rsidRPr="00702FAD">
        <w:t xml:space="preserve"> D</w:t>
      </w:r>
      <w:proofErr w:type="gramStart"/>
      <w:r w:rsidRPr="00702FAD">
        <w:t>2,D</w:t>
      </w:r>
      <w:proofErr w:type="gramEnd"/>
      <w:r w:rsidRPr="00702FAD">
        <w:t xml:space="preserve">3 the exposure response plots for </w:t>
      </w:r>
      <w:proofErr w:type="spellStart"/>
      <w:r w:rsidRPr="00702FAD">
        <w:t>C</w:t>
      </w:r>
      <w:r w:rsidRPr="00702FAD">
        <w:rPr>
          <w:vertAlign w:val="subscript"/>
        </w:rPr>
        <w:t>av</w:t>
      </w:r>
      <w:r w:rsidR="00444779">
        <w:rPr>
          <w:vertAlign w:val="subscript"/>
        </w:rPr>
        <w:t>g</w:t>
      </w:r>
      <w:proofErr w:type="spellEnd"/>
      <w:r w:rsidRPr="00702FAD">
        <w:t xml:space="preserve"> indicate that the concentration effect relationships for response, and increased risk of corneal events and decreased BCVA overlap</w:t>
      </w:r>
      <w:r w:rsidR="00073830">
        <w:t xml:space="preserve">. </w:t>
      </w:r>
      <w:r w:rsidRPr="00702FAD">
        <w:t>The relationship is such that the effectiveness of belantamab mafodotin in monotherapy is limited by the risk of significant visual loss.</w:t>
      </w:r>
    </w:p>
    <w:p w14:paraId="39A56EE6" w14:textId="72FE7316" w:rsidR="00702FAD" w:rsidRPr="00702FAD" w:rsidRDefault="00702FAD" w:rsidP="004E43AA">
      <w:pPr>
        <w:pStyle w:val="Heading4"/>
      </w:pPr>
      <w:bookmarkStart w:id="48" w:name="_Toc227758032"/>
      <w:r w:rsidRPr="00702FAD">
        <w:t>Efficacy</w:t>
      </w:r>
      <w:bookmarkEnd w:id="48"/>
      <w:r w:rsidR="00145B4A">
        <w:fldChar w:fldCharType="begin"/>
      </w:r>
      <w:r w:rsidR="00145B4A">
        <w:instrText xml:space="preserve"> DOCVARIABLE vault_nd_00f10ced-5413-4ac8-a51a-1938430c7e4c \* MERGEFORMAT </w:instrText>
      </w:r>
      <w:r w:rsidR="00145B4A">
        <w:fldChar w:fldCharType="separate"/>
      </w:r>
      <w:r w:rsidR="00145B4A">
        <w:t xml:space="preserve"> </w:t>
      </w:r>
      <w:r w:rsidR="00145B4A">
        <w:fldChar w:fldCharType="end"/>
      </w:r>
    </w:p>
    <w:p w14:paraId="1A9C2F1F" w14:textId="745E227B" w:rsidR="00702FAD" w:rsidRPr="00702FAD" w:rsidRDefault="00702FAD" w:rsidP="00702FAD">
      <w:r w:rsidRPr="00702FAD">
        <w:t xml:space="preserve">Study DREAMM-1, Study DREAMM-2 and Study DREAMM-6 identified 2.5 mg/kg q3w as the </w:t>
      </w:r>
      <w:r w:rsidR="002C42C3">
        <w:t xml:space="preserve">starting </w:t>
      </w:r>
      <w:r w:rsidRPr="00702FAD">
        <w:t xml:space="preserve">dosing </w:t>
      </w:r>
      <w:r w:rsidR="005245B2">
        <w:t>schedule</w:t>
      </w:r>
      <w:r w:rsidR="00073830">
        <w:t xml:space="preserve">. </w:t>
      </w:r>
      <w:r w:rsidRPr="00702FAD">
        <w:t>Further post-hoc analyses demonstrated a relationship between ADC exposure and both efficacy and safety</w:t>
      </w:r>
      <w:r w:rsidR="00073830">
        <w:t xml:space="preserve">. </w:t>
      </w:r>
      <w:r w:rsidRPr="00702FAD">
        <w:t xml:space="preserve">This means that increased efficacy is traded off against increased ocular toxicity. </w:t>
      </w:r>
    </w:p>
    <w:p w14:paraId="74C86943" w14:textId="77777777" w:rsidR="00702FAD" w:rsidRPr="00702FAD" w:rsidRDefault="00702FAD" w:rsidP="00702FAD">
      <w:r w:rsidRPr="00702FAD">
        <w:t>There were five studies that provided evaluable efficacy data.</w:t>
      </w:r>
    </w:p>
    <w:p w14:paraId="477B279A" w14:textId="77777777" w:rsidR="00702FAD" w:rsidRPr="00702FAD" w:rsidRDefault="00702FAD" w:rsidP="00702FAD">
      <w:r w:rsidRPr="00702FAD">
        <w:t>There were two pivotal studies:</w:t>
      </w:r>
    </w:p>
    <w:p w14:paraId="5AAB06F3" w14:textId="77777777" w:rsidR="00702FAD" w:rsidRPr="00702FAD" w:rsidRDefault="00702FAD" w:rsidP="002E2666">
      <w:pPr>
        <w:pStyle w:val="ListBullet"/>
      </w:pPr>
      <w:r w:rsidRPr="00702FAD">
        <w:t xml:space="preserve">Study 207503 (DREAMM-7) </w:t>
      </w:r>
    </w:p>
    <w:p w14:paraId="6E368778" w14:textId="77777777" w:rsidR="00702FAD" w:rsidRPr="00702FAD" w:rsidRDefault="00702FAD" w:rsidP="002E2666">
      <w:pPr>
        <w:pStyle w:val="ListBullet"/>
      </w:pPr>
      <w:r w:rsidRPr="00702FAD">
        <w:t xml:space="preserve">Study 207499 (DREAMM-8) </w:t>
      </w:r>
    </w:p>
    <w:p w14:paraId="3CF7F5B7" w14:textId="77777777" w:rsidR="00702FAD" w:rsidRPr="00702FAD" w:rsidRDefault="00702FAD" w:rsidP="00702FAD">
      <w:r w:rsidRPr="00702FAD">
        <w:t>There were three supportive studies:</w:t>
      </w:r>
    </w:p>
    <w:p w14:paraId="0F9A2F59" w14:textId="77777777" w:rsidR="00702FAD" w:rsidRPr="00702FAD" w:rsidRDefault="00702FAD" w:rsidP="002E2666">
      <w:pPr>
        <w:pStyle w:val="ListBullet"/>
      </w:pPr>
      <w:r w:rsidRPr="00702FAD">
        <w:t xml:space="preserve">Study 207495 (DREAMM-3) </w:t>
      </w:r>
    </w:p>
    <w:p w14:paraId="29170FD9" w14:textId="77777777" w:rsidR="00702FAD" w:rsidRPr="00702FAD" w:rsidRDefault="00702FAD" w:rsidP="002E2666">
      <w:pPr>
        <w:pStyle w:val="ListBullet"/>
      </w:pPr>
      <w:r w:rsidRPr="00702FAD">
        <w:t xml:space="preserve">Study 205678 (DREAMM-2) </w:t>
      </w:r>
    </w:p>
    <w:p w14:paraId="74C7B93E" w14:textId="77777777" w:rsidR="00702FAD" w:rsidRDefault="00702FAD" w:rsidP="002E2666">
      <w:pPr>
        <w:pStyle w:val="ListBullet"/>
      </w:pPr>
      <w:r w:rsidRPr="00702FAD">
        <w:t>Study 207497 (DREAMM-6)</w:t>
      </w:r>
    </w:p>
    <w:p w14:paraId="17DBBDB1" w14:textId="77AC1ADB" w:rsidR="007554C4" w:rsidRPr="007554C4" w:rsidRDefault="007554C4" w:rsidP="002E2666">
      <w:pPr>
        <w:pStyle w:val="Heading5"/>
      </w:pPr>
      <w:bookmarkStart w:id="49" w:name="_Ref243301615"/>
      <w:bookmarkStart w:id="50" w:name="_Ref271040927"/>
      <w:bookmarkStart w:id="51" w:name="_Ref271040932"/>
      <w:bookmarkStart w:id="52" w:name="_Toc272414653"/>
      <w:bookmarkStart w:id="53" w:name="_Toc290888501"/>
      <w:bookmarkStart w:id="54" w:name="_Toc416353717"/>
      <w:r w:rsidRPr="007554C4">
        <w:t xml:space="preserve">Study </w:t>
      </w:r>
      <w:bookmarkEnd w:id="49"/>
      <w:r w:rsidRPr="007554C4">
        <w:t>207503 (DREAMM-7)</w:t>
      </w:r>
      <w:bookmarkEnd w:id="50"/>
      <w:bookmarkEnd w:id="51"/>
      <w:bookmarkEnd w:id="52"/>
      <w:bookmarkEnd w:id="53"/>
      <w:bookmarkEnd w:id="54"/>
      <w:r w:rsidR="00145B4A">
        <w:fldChar w:fldCharType="begin"/>
      </w:r>
      <w:r w:rsidR="00145B4A">
        <w:instrText xml:space="preserve"> DOCVARIABLE vault_nd_623b8c67-7626-475e-a1d6-8dd8ca6f0b67 \* MERGEFORMAT </w:instrText>
      </w:r>
      <w:r w:rsidR="00145B4A">
        <w:fldChar w:fldCharType="separate"/>
      </w:r>
      <w:r w:rsidR="00145B4A">
        <w:t xml:space="preserve"> </w:t>
      </w:r>
      <w:r w:rsidR="00145B4A">
        <w:fldChar w:fldCharType="end"/>
      </w:r>
    </w:p>
    <w:p w14:paraId="6408DF1A" w14:textId="6383008F" w:rsidR="007554C4" w:rsidRPr="007554C4" w:rsidRDefault="007554C4" w:rsidP="007554C4">
      <w:r w:rsidRPr="007554C4">
        <w:t>DREAMM-7 was a Phase III, open-label, randomised, comparator-controlled trial of belantamab mafodotin combined with bortezomib and dexamethasone (</w:t>
      </w:r>
      <w:proofErr w:type="spellStart"/>
      <w:r w:rsidRPr="007554C4">
        <w:t>BVd</w:t>
      </w:r>
      <w:proofErr w:type="spellEnd"/>
      <w:r w:rsidRPr="007554C4">
        <w:t>) compared with daratumumab bortezomib and dexamethasone (</w:t>
      </w:r>
      <w:proofErr w:type="spellStart"/>
      <w:r w:rsidRPr="007554C4">
        <w:t>DVd</w:t>
      </w:r>
      <w:proofErr w:type="spellEnd"/>
      <w:r w:rsidRPr="007554C4">
        <w:t xml:space="preserve">) in participants with </w:t>
      </w:r>
      <w:r w:rsidR="00FA0C07">
        <w:t xml:space="preserve">RRMM </w:t>
      </w:r>
      <w:r w:rsidR="00B648FD">
        <w:t>(Figure 1)</w:t>
      </w:r>
      <w:r w:rsidR="00073830">
        <w:t xml:space="preserve">. </w:t>
      </w:r>
      <w:r w:rsidRPr="007554C4">
        <w:t>The study commenced on 21</w:t>
      </w:r>
      <w:r w:rsidRPr="007554C4">
        <w:rPr>
          <w:vertAlign w:val="superscript"/>
        </w:rPr>
        <w:t>st</w:t>
      </w:r>
      <w:r w:rsidRPr="007554C4">
        <w:t xml:space="preserve"> May 2020 and is ongoing, with a database lock for the submitted report in the dossier of 6</w:t>
      </w:r>
      <w:r w:rsidRPr="007554C4">
        <w:rPr>
          <w:vertAlign w:val="superscript"/>
        </w:rPr>
        <w:t>th</w:t>
      </w:r>
      <w:r w:rsidRPr="007554C4">
        <w:t xml:space="preserve"> November 2023</w:t>
      </w:r>
      <w:r w:rsidR="00073830">
        <w:t xml:space="preserve">. </w:t>
      </w:r>
      <w:r w:rsidRPr="007554C4">
        <w:t>The study was conducted at 142 centres in 20 countries (</w:t>
      </w:r>
      <w:r w:rsidRPr="007554C4">
        <w:rPr>
          <w:lang w:val="en-NZ"/>
        </w:rPr>
        <w:t>Australia, Belgium, Brazil, Canada, China, Czechia, France, Germany, Greece, Israel, Italy, Japan, Netherlands, New Zealand, Poland, Republic of Korea, Russian Federation, Spain, United Kingdom, and the United States)</w:t>
      </w:r>
      <w:r w:rsidRPr="007554C4">
        <w:t xml:space="preserve">. </w:t>
      </w:r>
    </w:p>
    <w:p w14:paraId="4363E44D" w14:textId="219981EC" w:rsidR="007554C4" w:rsidRPr="00B648FD" w:rsidRDefault="007554C4" w:rsidP="007554C4">
      <w:r w:rsidRPr="00B648FD">
        <w:lastRenderedPageBreak/>
        <w:t>The inclusion criteria included</w:t>
      </w:r>
      <w:r w:rsidR="00B648FD">
        <w:t xml:space="preserve">: </w:t>
      </w:r>
    </w:p>
    <w:p w14:paraId="15722129" w14:textId="077B87C3" w:rsidR="00B648FD" w:rsidRDefault="007554C4" w:rsidP="00B648FD">
      <w:pPr>
        <w:pStyle w:val="ListBullet"/>
        <w:rPr>
          <w:lang w:val="en-NZ"/>
        </w:rPr>
      </w:pPr>
      <w:r w:rsidRPr="007554C4">
        <w:rPr>
          <w:lang w:val="en-NZ"/>
        </w:rPr>
        <w:t xml:space="preserve">Male or female, 18 years or older. </w:t>
      </w:r>
    </w:p>
    <w:p w14:paraId="6C4832F1" w14:textId="71909AA6" w:rsidR="00B648FD" w:rsidRDefault="007554C4" w:rsidP="00B648FD">
      <w:pPr>
        <w:pStyle w:val="ListBullet"/>
        <w:rPr>
          <w:lang w:val="en-NZ"/>
        </w:rPr>
      </w:pPr>
      <w:r w:rsidRPr="007554C4">
        <w:rPr>
          <w:lang w:val="en-NZ"/>
        </w:rPr>
        <w:t>Confirmed diagnosis of MM as defined by the</w:t>
      </w:r>
      <w:r w:rsidR="0057391C">
        <w:rPr>
          <w:lang w:val="en-NZ"/>
        </w:rPr>
        <w:t xml:space="preserve"> </w:t>
      </w:r>
      <w:r w:rsidR="0057391C" w:rsidRPr="0057391C">
        <w:rPr>
          <w:lang w:val="en-NZ"/>
        </w:rPr>
        <w:t>International Myeloma Working Group</w:t>
      </w:r>
      <w:r w:rsidRPr="007554C4">
        <w:rPr>
          <w:lang w:val="en-NZ"/>
        </w:rPr>
        <w:t xml:space="preserve"> criteria. </w:t>
      </w:r>
    </w:p>
    <w:p w14:paraId="2D85DEB4" w14:textId="77777777" w:rsidR="00B648FD" w:rsidRDefault="007554C4" w:rsidP="00B648FD">
      <w:pPr>
        <w:pStyle w:val="ListBullet"/>
        <w:rPr>
          <w:lang w:val="en-NZ"/>
        </w:rPr>
      </w:pPr>
      <w:r w:rsidRPr="007554C4">
        <w:rPr>
          <w:lang w:val="en-NZ"/>
        </w:rPr>
        <w:t xml:space="preserve">Previously treated with at least one prior line of MM therapy and must have documented disease progression during or after their most recent therapy. </w:t>
      </w:r>
    </w:p>
    <w:p w14:paraId="6A3A417A" w14:textId="01E79D30" w:rsidR="007554C4" w:rsidRPr="007554C4" w:rsidRDefault="007554C4" w:rsidP="00B648FD">
      <w:pPr>
        <w:pStyle w:val="ListBullet"/>
        <w:rPr>
          <w:lang w:val="en-NZ"/>
        </w:rPr>
      </w:pPr>
      <w:r w:rsidRPr="007554C4">
        <w:rPr>
          <w:lang w:val="en-NZ"/>
        </w:rPr>
        <w:t>Eastern Cooperative Oncology Group (ECOG) performance status of 0 to 2.</w:t>
      </w:r>
    </w:p>
    <w:p w14:paraId="57EEC78D" w14:textId="0FD8F66A" w:rsidR="007554C4" w:rsidRPr="00B648FD" w:rsidRDefault="007554C4" w:rsidP="007554C4">
      <w:r w:rsidRPr="00B648FD">
        <w:t>The exclusion criteria included:</w:t>
      </w:r>
    </w:p>
    <w:p w14:paraId="25649A90" w14:textId="2B420D9B" w:rsidR="00B648FD" w:rsidRDefault="007554C4" w:rsidP="00B648FD">
      <w:pPr>
        <w:pStyle w:val="ListBullet"/>
        <w:rPr>
          <w:lang w:val="en-NZ"/>
        </w:rPr>
      </w:pPr>
      <w:r w:rsidRPr="007554C4">
        <w:rPr>
          <w:lang w:val="en-NZ"/>
        </w:rPr>
        <w:t xml:space="preserve">Intolerant to daratumumab. </w:t>
      </w:r>
    </w:p>
    <w:p w14:paraId="1A2A4EC2" w14:textId="517C8784" w:rsidR="00B648FD" w:rsidRDefault="007554C4" w:rsidP="00B648FD">
      <w:pPr>
        <w:pStyle w:val="ListBullet"/>
        <w:rPr>
          <w:lang w:val="en-NZ"/>
        </w:rPr>
      </w:pPr>
      <w:r w:rsidRPr="007554C4">
        <w:rPr>
          <w:lang w:val="en-NZ"/>
        </w:rPr>
        <w:t xml:space="preserve">Refractory to daratumumab or any other anti-CD38 therapy. </w:t>
      </w:r>
    </w:p>
    <w:p w14:paraId="02A7EB63" w14:textId="77777777" w:rsidR="00B648FD" w:rsidRDefault="007554C4" w:rsidP="00B648FD">
      <w:pPr>
        <w:pStyle w:val="ListBullet"/>
        <w:rPr>
          <w:lang w:val="en-NZ"/>
        </w:rPr>
      </w:pPr>
      <w:r w:rsidRPr="007554C4">
        <w:rPr>
          <w:lang w:val="en-NZ"/>
        </w:rPr>
        <w:t xml:space="preserve">Intolerant to bortezomib, or refractory to bortezomib. </w:t>
      </w:r>
    </w:p>
    <w:p w14:paraId="5298A8FB" w14:textId="77777777" w:rsidR="00B648FD" w:rsidRDefault="007554C4" w:rsidP="00B648FD">
      <w:pPr>
        <w:pStyle w:val="ListBullet"/>
        <w:rPr>
          <w:lang w:val="en-NZ"/>
        </w:rPr>
      </w:pPr>
      <w:r w:rsidRPr="007554C4">
        <w:rPr>
          <w:lang w:val="en-NZ"/>
        </w:rPr>
        <w:t xml:space="preserve">Ongoing Grade 2 or higher peripheral neuropathy or neuropathic pain. </w:t>
      </w:r>
    </w:p>
    <w:p w14:paraId="5BCDB4BC" w14:textId="0851D8D9" w:rsidR="009A7459" w:rsidRPr="003716D8" w:rsidRDefault="007554C4" w:rsidP="00893CC2">
      <w:pPr>
        <w:pStyle w:val="ListBullet"/>
        <w:rPr>
          <w:b/>
          <w:bCs/>
        </w:rPr>
      </w:pPr>
      <w:r w:rsidRPr="003716D8">
        <w:rPr>
          <w:lang w:val="en-NZ"/>
        </w:rPr>
        <w:t>Prior treatment with anti-BCMA therapy.</w:t>
      </w:r>
    </w:p>
    <w:p w14:paraId="632EDCDC" w14:textId="3BF5B280" w:rsidR="007554C4" w:rsidRDefault="00B648FD" w:rsidP="00073830">
      <w:pPr>
        <w:pStyle w:val="FigureTitle"/>
      </w:pPr>
      <w:r>
        <w:t xml:space="preserve">Figure 1. </w:t>
      </w:r>
      <w:r w:rsidR="007554C4" w:rsidRPr="007554C4">
        <w:t xml:space="preserve">Schematic of Study </w:t>
      </w:r>
      <w:r w:rsidR="0057391C" w:rsidRPr="0057391C">
        <w:t>DREAMM-7</w:t>
      </w:r>
      <w:r w:rsidR="0057391C">
        <w:t xml:space="preserve"> </w:t>
      </w:r>
      <w:r w:rsidR="007554C4" w:rsidRPr="007554C4">
        <w:t xml:space="preserve">Design </w:t>
      </w:r>
    </w:p>
    <w:p w14:paraId="08C0B4D1" w14:textId="595A94B4" w:rsidR="000A0F3F" w:rsidRDefault="000A0F3F" w:rsidP="007554C4">
      <w:pPr>
        <w:rPr>
          <w:b/>
          <w:bCs/>
        </w:rPr>
      </w:pPr>
      <w:r w:rsidRPr="000A0F3F">
        <w:rPr>
          <w:b/>
          <w:bCs/>
          <w:noProof/>
        </w:rPr>
        <w:drawing>
          <wp:inline distT="0" distB="0" distL="0" distR="0" wp14:anchorId="030790B7" wp14:editId="05F842F8">
            <wp:extent cx="5759450" cy="3284220"/>
            <wp:effectExtent l="0" t="0" r="0" b="0"/>
            <wp:docPr id="192239923" name="Picture 1" descr="Figure 1. Schematic of Study DREAMM-7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9923" name="Picture 1" descr="Figure 1. Schematic of Study DREAMM-7 Design "/>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759450" cy="3284220"/>
                    </a:xfrm>
                    <a:prstGeom prst="rect">
                      <a:avLst/>
                    </a:prstGeom>
                  </pic:spPr>
                </pic:pic>
              </a:graphicData>
            </a:graphic>
          </wp:inline>
        </w:drawing>
      </w:r>
    </w:p>
    <w:p w14:paraId="0D2E4318" w14:textId="2226203E" w:rsidR="006B6513" w:rsidRPr="00A80BAA" w:rsidRDefault="006B6513" w:rsidP="006D2BDD">
      <w:pPr>
        <w:pStyle w:val="FigureDescription"/>
        <w:spacing w:line="240" w:lineRule="auto"/>
        <w:contextualSpacing/>
        <w:rPr>
          <w:lang w:val="pt-BR"/>
        </w:rPr>
      </w:pPr>
      <w:r>
        <w:t xml:space="preserve">a. Stratification: Prior lines of treatment (1 vs. 2/3 vs. </w:t>
      </w:r>
      <w:r w:rsidRPr="00A80BAA">
        <w:rPr>
          <w:lang w:val="pt-BR"/>
        </w:rPr>
        <w:t>≥4), R-ISS I vs. R-ISS II/III, Prior bortezomib (yes vs. no).</w:t>
      </w:r>
    </w:p>
    <w:p w14:paraId="0C5968D2" w14:textId="2A58BCCE" w:rsidR="00690C0A" w:rsidRDefault="006B6513" w:rsidP="006D2BDD">
      <w:pPr>
        <w:pStyle w:val="FigureDescription"/>
        <w:spacing w:line="240" w:lineRule="auto"/>
        <w:contextualSpacing/>
      </w:pPr>
      <w:r>
        <w:t>b. Reduce starting dose of dexamethasone to 10 mg for participants older than 75 years of age, who had a body mass index of &lt;18.5 kg/m</w:t>
      </w:r>
      <w:r w:rsidRPr="00B47F56">
        <w:rPr>
          <w:vertAlign w:val="superscript"/>
        </w:rPr>
        <w:t>2</w:t>
      </w:r>
      <w:r>
        <w:t xml:space="preserve">, who had previous unacceptable side effects associated with glucocorticoid therapy, or who were unable to tolerate the starting dose. </w:t>
      </w:r>
    </w:p>
    <w:p w14:paraId="20DF69A7" w14:textId="114B1E0E" w:rsidR="00BE717C" w:rsidRPr="0057391C" w:rsidRDefault="00BE717C" w:rsidP="0057391C">
      <w:r w:rsidRPr="0057391C">
        <w:t xml:space="preserve">The primary efficacy outcome measure was PFS, defined as the time from date of randomisation until the earliest date of documented disease progression or death from any cause. </w:t>
      </w:r>
    </w:p>
    <w:p w14:paraId="35E4DDF2" w14:textId="77777777" w:rsidR="00BE717C" w:rsidRPr="0057391C" w:rsidRDefault="00BE717C" w:rsidP="0057391C">
      <w:r w:rsidRPr="0057391C">
        <w:t>The key secondary efficacy outcome measures were:</w:t>
      </w:r>
    </w:p>
    <w:p w14:paraId="42CECEE9" w14:textId="2E28694A" w:rsidR="00453715" w:rsidRPr="00453715" w:rsidRDefault="00BE717C" w:rsidP="00A073D3">
      <w:pPr>
        <w:pStyle w:val="ListBullet"/>
        <w:rPr>
          <w:lang w:val="en-NZ"/>
        </w:rPr>
      </w:pPr>
      <w:r w:rsidRPr="00BE717C">
        <w:rPr>
          <w:lang w:val="en-NZ"/>
        </w:rPr>
        <w:t>Overall survival (OS), defined as the time from the date of randomization until the date of death due to any cause</w:t>
      </w:r>
      <w:r w:rsidR="00453715" w:rsidRPr="00453715">
        <w:rPr>
          <w:szCs w:val="22"/>
          <w:lang w:val="en-NZ"/>
        </w:rPr>
        <w:t xml:space="preserve"> </w:t>
      </w:r>
      <w:r w:rsidR="0057391C">
        <w:rPr>
          <w:szCs w:val="22"/>
          <w:lang w:val="en-NZ"/>
        </w:rPr>
        <w:t>d</w:t>
      </w:r>
      <w:r w:rsidR="00453715" w:rsidRPr="00453715">
        <w:rPr>
          <w:lang w:val="en-NZ"/>
        </w:rPr>
        <w:t>uration of response (</w:t>
      </w:r>
      <w:proofErr w:type="spellStart"/>
      <w:r w:rsidR="00453715" w:rsidRPr="00453715">
        <w:rPr>
          <w:lang w:val="en-NZ"/>
        </w:rPr>
        <w:t>DoR</w:t>
      </w:r>
      <w:proofErr w:type="spellEnd"/>
      <w:r w:rsidR="00453715" w:rsidRPr="00453715">
        <w:rPr>
          <w:lang w:val="en-NZ"/>
        </w:rPr>
        <w:t>), defined as the time from first documented evidence of PR or better until PD or death due to any cause</w:t>
      </w:r>
    </w:p>
    <w:p w14:paraId="12E4AAD2" w14:textId="77777777" w:rsidR="00453715" w:rsidRPr="00453715" w:rsidRDefault="00453715" w:rsidP="00A073D3">
      <w:pPr>
        <w:pStyle w:val="ListBullet"/>
      </w:pPr>
      <w:r w:rsidRPr="00453715">
        <w:rPr>
          <w:lang w:val="en-NZ"/>
        </w:rPr>
        <w:t>Minimal residual disease (MRD) negativity rate, defined as the percentage of participants who are MRD negative by next-generation sequencing (NGS)</w:t>
      </w:r>
    </w:p>
    <w:p w14:paraId="6979FC86" w14:textId="3004C436" w:rsidR="00453715" w:rsidRPr="00453715" w:rsidRDefault="00453715" w:rsidP="0057391C">
      <w:r w:rsidRPr="0057391C">
        <w:lastRenderedPageBreak/>
        <w:t xml:space="preserve">The safety outcome measures were </w:t>
      </w:r>
      <w:r w:rsidR="00C4348C">
        <w:t>adverse events (</w:t>
      </w:r>
      <w:r w:rsidRPr="0057391C">
        <w:t>AEs</w:t>
      </w:r>
      <w:r w:rsidR="00C4348C">
        <w:t>)</w:t>
      </w:r>
      <w:r w:rsidRPr="0057391C">
        <w:t>, laboratory parameters and ocular findings on</w:t>
      </w:r>
      <w:r w:rsidRPr="00453715">
        <w:t xml:space="preserve"> ophthalmic examination.</w:t>
      </w:r>
    </w:p>
    <w:p w14:paraId="07D99067" w14:textId="6EF516AD" w:rsidR="00453715" w:rsidRPr="00453715" w:rsidRDefault="00453715" w:rsidP="0057391C">
      <w:r w:rsidRPr="00453715">
        <w:t xml:space="preserve">Randomisation was by centralised </w:t>
      </w:r>
      <w:r w:rsidR="006D2BDD" w:rsidRPr="006D2BDD">
        <w:t xml:space="preserve">Interactive Response Technology </w:t>
      </w:r>
      <w:r w:rsidRPr="00453715">
        <w:t>in the ratio 1:1. There was no blinding.</w:t>
      </w:r>
    </w:p>
    <w:p w14:paraId="40856C3A" w14:textId="6826097B" w:rsidR="00453715" w:rsidRPr="00453715" w:rsidRDefault="00453715" w:rsidP="0057391C">
      <w:r w:rsidRPr="00453715">
        <w:t>Time to event outcome measures were analysed using Cox proportional hazards models</w:t>
      </w:r>
      <w:r w:rsidR="00073830">
        <w:t xml:space="preserve">. </w:t>
      </w:r>
      <w:r w:rsidRPr="00453715">
        <w:t xml:space="preserve">Median (95% CI) time to event were summarised using the </w:t>
      </w:r>
      <w:r w:rsidRPr="00453715">
        <w:rPr>
          <w:lang w:val="en-NZ"/>
        </w:rPr>
        <w:t>Brookmeyer Crowley method.</w:t>
      </w:r>
      <w:r w:rsidRPr="00453715">
        <w:t xml:space="preserve"> Multiplicity was addressed with a multiple testing strategy</w:t>
      </w:r>
      <w:r w:rsidR="003716D8">
        <w:t xml:space="preserve"> (Figure 2)</w:t>
      </w:r>
      <w:r w:rsidRPr="00453715">
        <w:t>.</w:t>
      </w:r>
    </w:p>
    <w:p w14:paraId="7DAAE9FC" w14:textId="0F972095" w:rsidR="00BE717C" w:rsidRDefault="00453715" w:rsidP="006D2BDD">
      <w:pPr>
        <w:pStyle w:val="FigureTitle"/>
      </w:pPr>
      <w:r w:rsidRPr="00453715">
        <w:t>Figure</w:t>
      </w:r>
      <w:r w:rsidR="003716D8">
        <w:t xml:space="preserve"> 2</w:t>
      </w:r>
      <w:r w:rsidRPr="00453715">
        <w:t xml:space="preserve">: </w:t>
      </w:r>
      <w:r w:rsidR="006D2BDD" w:rsidRPr="006D2BDD">
        <w:t>DREAMM-7</w:t>
      </w:r>
      <w:r w:rsidR="006D2BDD">
        <w:t xml:space="preserve"> </w:t>
      </w:r>
      <w:r w:rsidRPr="00453715">
        <w:t xml:space="preserve">Multiple Testing Strategy </w:t>
      </w:r>
    </w:p>
    <w:p w14:paraId="61726EAC" w14:textId="10AFC58E" w:rsidR="001049DB" w:rsidRDefault="001049DB" w:rsidP="00073830">
      <w:r w:rsidRPr="001049DB">
        <w:rPr>
          <w:noProof/>
        </w:rPr>
        <w:drawing>
          <wp:inline distT="0" distB="0" distL="0" distR="0" wp14:anchorId="423A91AE" wp14:editId="481A88C5">
            <wp:extent cx="5759450" cy="2522855"/>
            <wp:effectExtent l="0" t="0" r="0" b="0"/>
            <wp:docPr id="1905038137" name="Picture 1" descr="Figure 2: DREAMM-7 Multiple Testing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38137" name="Picture 1" descr="Figure 2: DREAMM-7 Multiple Testing Strategy "/>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759450" cy="2522855"/>
                    </a:xfrm>
                    <a:prstGeom prst="rect">
                      <a:avLst/>
                    </a:prstGeom>
                  </pic:spPr>
                </pic:pic>
              </a:graphicData>
            </a:graphic>
          </wp:inline>
        </w:drawing>
      </w:r>
    </w:p>
    <w:p w14:paraId="76A51673" w14:textId="2839552D" w:rsidR="00561142" w:rsidRPr="00073830" w:rsidRDefault="00561142" w:rsidP="00073830">
      <w:pPr>
        <w:pStyle w:val="FigureDescription"/>
      </w:pPr>
      <w:proofErr w:type="gramStart"/>
      <w:r w:rsidRPr="00073830">
        <w:t>H</w:t>
      </w:r>
      <w:r w:rsidR="0044266D" w:rsidRPr="00073830">
        <w:t>i</w:t>
      </w:r>
      <w:proofErr w:type="gramEnd"/>
      <w:r w:rsidRPr="00073830">
        <w:t xml:space="preserve"> denotes the 1-sided null hypothesis for the primary and key secondary endpoints, where </w:t>
      </w:r>
      <w:proofErr w:type="spellStart"/>
      <w:r w:rsidRPr="00073830">
        <w:t>i</w:t>
      </w:r>
      <w:proofErr w:type="spellEnd"/>
      <w:r w:rsidRPr="00073830">
        <w:t xml:space="preserve">=1,2,3,4 denotes the index indicating PFS, OS, </w:t>
      </w:r>
      <w:proofErr w:type="spellStart"/>
      <w:r w:rsidRPr="00073830">
        <w:t>DoR</w:t>
      </w:r>
      <w:proofErr w:type="spellEnd"/>
      <w:r w:rsidRPr="00073830">
        <w:t>, and MRD negativity rate, respectively. Upon successful rejection of the hypothesis and regardless of the timing of rejection, the full alpha allocated to testing the hypothesis can be propagated. Arrows indicate the direction and proportion of alpha re-allocation. H1 was to be tested at the 1-sided 2.5% significance level.</w:t>
      </w:r>
    </w:p>
    <w:p w14:paraId="7A4312D6" w14:textId="41864A7A" w:rsidR="00561142" w:rsidRPr="00073830" w:rsidRDefault="00561142" w:rsidP="00073830">
      <w:pPr>
        <w:pStyle w:val="FigureDescription"/>
      </w:pPr>
      <w:r w:rsidRPr="00073830">
        <w:t xml:space="preserve">All other hypotheses had an initial alpha of 0% assigned. The number of rectangular boxes indicates the number of planned analyses with alpha allocation for a given hypothesis, with text indicating the corresponding endpoint and timepoint of data extraction to be tested. Alpha was to be adjusted to account for multiple testing of an endpoint across timepoints using the Lan </w:t>
      </w:r>
      <w:proofErr w:type="spellStart"/>
      <w:r w:rsidRPr="00073830">
        <w:t>DeMets</w:t>
      </w:r>
      <w:proofErr w:type="spellEnd"/>
      <w:r w:rsidRPr="00073830">
        <w:t xml:space="preserve"> approach that approximates the O'Brien and Fleming</w:t>
      </w:r>
      <w:r w:rsidR="00EB7D8B" w:rsidRPr="00073830">
        <w:t xml:space="preserve"> </w:t>
      </w:r>
      <w:r w:rsidRPr="00073830">
        <w:t>spending function. The efficacy boundaries were to be adjusted based on the observed number of events at the time of analysis.</w:t>
      </w:r>
    </w:p>
    <w:p w14:paraId="26D25CDE" w14:textId="4BF8DA39" w:rsidR="002D5A5C" w:rsidRDefault="002D5A5C">
      <w:pPr>
        <w:rPr>
          <w:b/>
        </w:rPr>
      </w:pPr>
    </w:p>
    <w:p w14:paraId="618ECD21" w14:textId="5AAE314A" w:rsidR="00865338" w:rsidRDefault="00865338" w:rsidP="00956014">
      <w:pPr>
        <w:pStyle w:val="FigureTitle"/>
      </w:pPr>
      <w:r w:rsidRPr="00865338">
        <w:lastRenderedPageBreak/>
        <w:t>Figure</w:t>
      </w:r>
      <w:r w:rsidR="003716D8">
        <w:t xml:space="preserve"> 3</w:t>
      </w:r>
      <w:r w:rsidRPr="00865338">
        <w:t>: Participant Disposition (DREAMM-7)</w:t>
      </w:r>
    </w:p>
    <w:p w14:paraId="0020BBE8" w14:textId="77777777" w:rsidR="00073830" w:rsidRDefault="00956014" w:rsidP="00073830">
      <w:r>
        <w:rPr>
          <w:noProof/>
        </w:rPr>
        <w:drawing>
          <wp:inline distT="0" distB="0" distL="0" distR="0" wp14:anchorId="3ACE2C3F" wp14:editId="1B101EAD">
            <wp:extent cx="5311472" cy="4037434"/>
            <wp:effectExtent l="0" t="0" r="3810" b="1270"/>
            <wp:docPr id="995892482" name="Picture 1" descr="Figure 3: Participant Disposition (DREAM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92482" name="Picture 1" descr="Figure 3: Participant Disposition (DREAMM-7)"/>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b="16214"/>
                    <a:stretch>
                      <a:fillRect/>
                    </a:stretch>
                  </pic:blipFill>
                  <pic:spPr bwMode="auto">
                    <a:xfrm>
                      <a:off x="0" y="0"/>
                      <a:ext cx="5325510" cy="4048105"/>
                    </a:xfrm>
                    <a:prstGeom prst="rect">
                      <a:avLst/>
                    </a:prstGeom>
                    <a:ln>
                      <a:noFill/>
                    </a:ln>
                    <a:extLst>
                      <a:ext uri="{53640926-AAD7-44D8-BBD7-CCE9431645EC}">
                        <a14:shadowObscured xmlns:a14="http://schemas.microsoft.com/office/drawing/2010/main"/>
                      </a:ext>
                    </a:extLst>
                  </pic:spPr>
                </pic:pic>
              </a:graphicData>
            </a:graphic>
          </wp:inline>
        </w:drawing>
      </w:r>
    </w:p>
    <w:p w14:paraId="1C11BDEE" w14:textId="3C3609BF" w:rsidR="0044266D" w:rsidRDefault="0044266D" w:rsidP="00073830">
      <w:pPr>
        <w:pStyle w:val="FigureDescription"/>
      </w:pPr>
      <w:r>
        <w:t>a. Participants could have more than 1 reason for screen failure, so percentage might sum to more than 100%.</w:t>
      </w:r>
    </w:p>
    <w:p w14:paraId="6FB0244E" w14:textId="77777777" w:rsidR="0044266D" w:rsidRDefault="0044266D" w:rsidP="00073830">
      <w:pPr>
        <w:pStyle w:val="FigureDescription"/>
      </w:pPr>
      <w:r>
        <w:t>Note 1: Participants could have only 1 primary reason for withdrawal.</w:t>
      </w:r>
    </w:p>
    <w:p w14:paraId="3E60B420" w14:textId="536DC42A" w:rsidR="00956014" w:rsidRDefault="0044266D" w:rsidP="00073830">
      <w:pPr>
        <w:pStyle w:val="FigureDescription"/>
      </w:pPr>
      <w:r>
        <w:t>Note 2: There were 2 participants who were randomized, not treated, re-screened, and re-randomized.</w:t>
      </w:r>
    </w:p>
    <w:p w14:paraId="21D3E6E6" w14:textId="21CD6B3D" w:rsidR="00311939" w:rsidRPr="00311939" w:rsidRDefault="00311939" w:rsidP="005A46C7">
      <w:r w:rsidRPr="00311939">
        <w:t>There were 272 (55%) males and 222 (45%) females</w:t>
      </w:r>
      <w:r w:rsidR="00073830">
        <w:t xml:space="preserve">. </w:t>
      </w:r>
      <w:r w:rsidRPr="00311939">
        <w:t>The median (range) age was 64.5 (32 to 89) years; 180 (36%) participants were aged 65 to &lt;75 years and 67 (14%) were aged ≥75 years</w:t>
      </w:r>
      <w:r w:rsidR="00073830">
        <w:t xml:space="preserve">. </w:t>
      </w:r>
      <w:r w:rsidRPr="00311939">
        <w:t xml:space="preserve">There were 409 (83%) White participants and 61 (12%) Asian. </w:t>
      </w:r>
    </w:p>
    <w:p w14:paraId="594DC611" w14:textId="7CB2759C" w:rsidR="00311939" w:rsidRPr="00311939" w:rsidRDefault="00311939" w:rsidP="005A46C7">
      <w:r w:rsidRPr="00311939">
        <w:t>Disease characteristics were similar for the two treatment groups</w:t>
      </w:r>
      <w:r w:rsidR="00073830">
        <w:t xml:space="preserve">. </w:t>
      </w:r>
      <w:r w:rsidRPr="00311939">
        <w:t xml:space="preserve">There were 268 (54%) relapsed participants and 211 (43%) </w:t>
      </w:r>
      <w:proofErr w:type="gramStart"/>
      <w:r w:rsidRPr="00311939">
        <w:t>refractory</w:t>
      </w:r>
      <w:proofErr w:type="gramEnd"/>
      <w:r w:rsidR="00073830">
        <w:t xml:space="preserve">. </w:t>
      </w:r>
      <w:r w:rsidRPr="00311939">
        <w:t>The median (range) lines of prior therapy were 1 (1 to 7)</w:t>
      </w:r>
      <w:r w:rsidR="00073830">
        <w:t xml:space="preserve">. </w:t>
      </w:r>
      <w:r w:rsidRPr="00311939">
        <w:t>There were 337 (68%) participants with prior stem cell transplant</w:t>
      </w:r>
      <w:r w:rsidR="00073830">
        <w:t xml:space="preserve">. </w:t>
      </w:r>
      <w:r w:rsidRPr="00311939">
        <w:t>There were 83 (17%) participants with high-risk cytogenetic abnormalities</w:t>
      </w:r>
      <w:r w:rsidR="00073830">
        <w:t xml:space="preserve">. </w:t>
      </w:r>
    </w:p>
    <w:p w14:paraId="17B46314" w14:textId="507A87AD" w:rsidR="00311939" w:rsidRPr="00311939" w:rsidRDefault="00311939" w:rsidP="005A46C7">
      <w:r w:rsidRPr="00311939">
        <w:t>Prior antimyeloma treatment was similar for the two treatment groups</w:t>
      </w:r>
      <w:r w:rsidR="00073830">
        <w:t xml:space="preserve">. </w:t>
      </w:r>
      <w:r w:rsidRPr="00311939">
        <w:t>There were 40% of participants who were refractory to immunomodulatory agents.</w:t>
      </w:r>
    </w:p>
    <w:p w14:paraId="7E49B521" w14:textId="1A602904" w:rsidR="00311939" w:rsidRPr="00311939" w:rsidRDefault="00311939" w:rsidP="005A46C7">
      <w:r w:rsidRPr="00311939">
        <w:t>T</w:t>
      </w:r>
      <w:r w:rsidRPr="00311939">
        <w:rPr>
          <w:lang w:val="en-NZ"/>
        </w:rPr>
        <w:t xml:space="preserve">here was a higher use of blood products in the </w:t>
      </w:r>
      <w:proofErr w:type="spellStart"/>
      <w:r w:rsidRPr="00311939">
        <w:rPr>
          <w:lang w:val="en-NZ"/>
        </w:rPr>
        <w:t>BVd</w:t>
      </w:r>
      <w:proofErr w:type="spellEnd"/>
      <w:r w:rsidRPr="00311939">
        <w:rPr>
          <w:lang w:val="en-NZ"/>
        </w:rPr>
        <w:t xml:space="preserve"> group, 68 (28%) participants, compared with the </w:t>
      </w:r>
      <w:proofErr w:type="spellStart"/>
      <w:r w:rsidRPr="00311939">
        <w:rPr>
          <w:lang w:val="en-NZ"/>
        </w:rPr>
        <w:t>DVd</w:t>
      </w:r>
      <w:proofErr w:type="spellEnd"/>
      <w:r w:rsidRPr="00311939">
        <w:rPr>
          <w:lang w:val="en-NZ"/>
        </w:rPr>
        <w:t xml:space="preserve"> group, 41 participants (16%)</w:t>
      </w:r>
      <w:r w:rsidR="00073830">
        <w:rPr>
          <w:lang w:val="en-NZ"/>
        </w:rPr>
        <w:t xml:space="preserve">. </w:t>
      </w:r>
      <w:r w:rsidRPr="00311939">
        <w:rPr>
          <w:lang w:val="en-NZ"/>
        </w:rPr>
        <w:t xml:space="preserve">There were 45 (19%) participants in the </w:t>
      </w:r>
      <w:proofErr w:type="spellStart"/>
      <w:r w:rsidRPr="00311939">
        <w:rPr>
          <w:lang w:val="en-NZ"/>
        </w:rPr>
        <w:t>BVd</w:t>
      </w:r>
      <w:proofErr w:type="spellEnd"/>
      <w:r w:rsidRPr="00311939">
        <w:rPr>
          <w:lang w:val="en-NZ"/>
        </w:rPr>
        <w:t xml:space="preserve"> group and 22 (9%) in the </w:t>
      </w:r>
      <w:proofErr w:type="spellStart"/>
      <w:r w:rsidRPr="00311939">
        <w:rPr>
          <w:lang w:val="en-NZ"/>
        </w:rPr>
        <w:t>DVd</w:t>
      </w:r>
      <w:proofErr w:type="spellEnd"/>
      <w:r w:rsidRPr="00311939">
        <w:rPr>
          <w:lang w:val="en-NZ"/>
        </w:rPr>
        <w:t xml:space="preserve"> who received platelet transfusions.</w:t>
      </w:r>
    </w:p>
    <w:p w14:paraId="6CB69C09" w14:textId="5DF7706C" w:rsidR="00311939" w:rsidRPr="00311939" w:rsidRDefault="00311939" w:rsidP="005A46C7">
      <w:pPr>
        <w:pStyle w:val="Heading6"/>
      </w:pPr>
      <w:r w:rsidRPr="00311939">
        <w:t>Results for the primary efficacy outcome</w:t>
      </w:r>
      <w:fldSimple w:instr=" DOCVARIABLE vault_nd_24c15363-bd48-40b1-9df5-9f407856c0ac \* MERGEFORMAT ">
        <w:r w:rsidR="00145B4A">
          <w:t xml:space="preserve"> </w:t>
        </w:r>
      </w:fldSimple>
    </w:p>
    <w:p w14:paraId="348CF896" w14:textId="7BEBCF47" w:rsidR="00311939" w:rsidRPr="00311939" w:rsidRDefault="00311939" w:rsidP="00986C1C">
      <w:r w:rsidRPr="00311939">
        <w:t xml:space="preserve">For PFS, </w:t>
      </w:r>
      <w:proofErr w:type="spellStart"/>
      <w:r w:rsidRPr="00311939">
        <w:t>BVd</w:t>
      </w:r>
      <w:proofErr w:type="spellEnd"/>
      <w:r w:rsidRPr="00311939">
        <w:t xml:space="preserve"> was superior to </w:t>
      </w:r>
      <w:proofErr w:type="spellStart"/>
      <w:r w:rsidRPr="00311939">
        <w:t>DVd</w:t>
      </w:r>
      <w:proofErr w:type="spellEnd"/>
      <w:r w:rsidR="00073830">
        <w:t xml:space="preserve">. </w:t>
      </w:r>
      <w:r w:rsidRPr="00311939">
        <w:t xml:space="preserve">Progression or death were recorded for 91 (37%) participants in the </w:t>
      </w:r>
      <w:proofErr w:type="spellStart"/>
      <w:r w:rsidRPr="00311939">
        <w:t>BVd</w:t>
      </w:r>
      <w:proofErr w:type="spellEnd"/>
      <w:r w:rsidRPr="00311939">
        <w:t xml:space="preserve"> group and 158 (63%) in the </w:t>
      </w:r>
      <w:proofErr w:type="spellStart"/>
      <w:r w:rsidRPr="00311939">
        <w:t>DVd</w:t>
      </w:r>
      <w:proofErr w:type="spellEnd"/>
      <w:r w:rsidR="00073830">
        <w:t xml:space="preserve">. </w:t>
      </w:r>
      <w:r w:rsidRPr="00311939">
        <w:t xml:space="preserve">Median (95% CI) PFS was 36.6 (28.4 to NC) months for </w:t>
      </w:r>
      <w:proofErr w:type="spellStart"/>
      <w:r w:rsidRPr="00311939">
        <w:t>BVd</w:t>
      </w:r>
      <w:proofErr w:type="spellEnd"/>
      <w:r w:rsidRPr="00311939">
        <w:t xml:space="preserve"> and 13.4 (11.1 to 17.5) months for </w:t>
      </w:r>
      <w:proofErr w:type="spellStart"/>
      <w:r w:rsidRPr="00311939">
        <w:t>DVd</w:t>
      </w:r>
      <w:proofErr w:type="spellEnd"/>
      <w:r w:rsidR="00073830">
        <w:t xml:space="preserve">. </w:t>
      </w:r>
      <w:r w:rsidRPr="00311939">
        <w:t xml:space="preserve">The HR (95% CI) </w:t>
      </w:r>
      <w:proofErr w:type="spellStart"/>
      <w:r w:rsidRPr="00311939">
        <w:t>BVd</w:t>
      </w:r>
      <w:proofErr w:type="spellEnd"/>
      <w:r w:rsidRPr="00311939">
        <w:t>/</w:t>
      </w:r>
      <w:proofErr w:type="spellStart"/>
      <w:r w:rsidRPr="00311939">
        <w:t>DVd</w:t>
      </w:r>
      <w:proofErr w:type="spellEnd"/>
      <w:r w:rsidRPr="00311939">
        <w:t xml:space="preserve"> for PFS was 0.41 (0.31 to 0.53), p &lt;0.00001.</w:t>
      </w:r>
    </w:p>
    <w:p w14:paraId="691B4CEA" w14:textId="75C4C46A" w:rsidR="00EE0D27" w:rsidRDefault="00311939" w:rsidP="001F35CC">
      <w:pPr>
        <w:pStyle w:val="TableTitle"/>
      </w:pPr>
      <w:r w:rsidRPr="00311939">
        <w:rPr>
          <w:bCs/>
          <w:lang w:val="en-NZ"/>
        </w:rPr>
        <w:lastRenderedPageBreak/>
        <w:t>Table</w:t>
      </w:r>
      <w:r w:rsidR="003716D8">
        <w:rPr>
          <w:bCs/>
          <w:lang w:val="en-NZ"/>
        </w:rPr>
        <w:t xml:space="preserve"> 3</w:t>
      </w:r>
      <w:r w:rsidRPr="00311939">
        <w:rPr>
          <w:bCs/>
          <w:lang w:val="en-NZ"/>
        </w:rPr>
        <w:t>: Progression-</w:t>
      </w:r>
      <w:r w:rsidR="000A0915">
        <w:rPr>
          <w:bCs/>
          <w:lang w:val="en-NZ"/>
        </w:rPr>
        <w:t>f</w:t>
      </w:r>
      <w:r w:rsidRPr="00311939">
        <w:rPr>
          <w:bCs/>
          <w:lang w:val="en-NZ"/>
        </w:rPr>
        <w:t xml:space="preserve">ree </w:t>
      </w:r>
      <w:r w:rsidR="000A0915">
        <w:rPr>
          <w:bCs/>
          <w:lang w:val="en-NZ"/>
        </w:rPr>
        <w:t>s</w:t>
      </w:r>
      <w:r w:rsidRPr="00311939">
        <w:rPr>
          <w:bCs/>
          <w:lang w:val="en-NZ"/>
        </w:rPr>
        <w:t xml:space="preserve">urvival </w:t>
      </w:r>
      <w:r w:rsidR="000A0915">
        <w:rPr>
          <w:bCs/>
          <w:lang w:val="en-NZ"/>
        </w:rPr>
        <w:t>b</w:t>
      </w:r>
      <w:r w:rsidRPr="00311939">
        <w:rPr>
          <w:bCs/>
          <w:lang w:val="en-NZ"/>
        </w:rPr>
        <w:t>ased</w:t>
      </w:r>
      <w:r w:rsidRPr="00311939">
        <w:rPr>
          <w:lang w:val="en-NZ"/>
        </w:rPr>
        <w:t xml:space="preserve"> on </w:t>
      </w:r>
      <w:r w:rsidR="000A0915">
        <w:rPr>
          <w:lang w:val="en-NZ"/>
        </w:rPr>
        <w:t>I</w:t>
      </w:r>
      <w:r w:rsidRPr="00311939">
        <w:rPr>
          <w:lang w:val="en-NZ"/>
        </w:rPr>
        <w:t>ndependent</w:t>
      </w:r>
      <w:r w:rsidRPr="00311939">
        <w:t xml:space="preserve"> </w:t>
      </w:r>
      <w:r w:rsidRPr="00311939">
        <w:rPr>
          <w:lang w:val="en-NZ"/>
        </w:rPr>
        <w:t>Reviewer-Assessed Response (</w:t>
      </w:r>
      <w:r w:rsidR="000A0915" w:rsidRPr="000A0915">
        <w:rPr>
          <w:lang w:val="en-NZ"/>
        </w:rPr>
        <w:t xml:space="preserve">Intention-to-Treat </w:t>
      </w:r>
      <w:r w:rsidR="00630174">
        <w:rPr>
          <w:lang w:val="en-NZ"/>
        </w:rPr>
        <w:t>[</w:t>
      </w:r>
      <w:r w:rsidR="000A0915" w:rsidRPr="000A0915">
        <w:rPr>
          <w:lang w:val="en-NZ"/>
        </w:rPr>
        <w:t>ITT</w:t>
      </w:r>
      <w:r w:rsidR="00630174">
        <w:rPr>
          <w:lang w:val="en-NZ"/>
        </w:rPr>
        <w:t xml:space="preserve">] </w:t>
      </w:r>
      <w:r w:rsidRPr="00311939">
        <w:rPr>
          <w:lang w:val="en-NZ"/>
        </w:rPr>
        <w:t>Population)</w:t>
      </w:r>
      <w:r w:rsidRPr="00311939">
        <w:t xml:space="preserve"> </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3: Progression-free survival based on Independent Reviewer-Assessed Response (Intention-to-Treat [ITT] Population)"/>
      </w:tblPr>
      <w:tblGrid>
        <w:gridCol w:w="5425"/>
        <w:gridCol w:w="1374"/>
        <w:gridCol w:w="1418"/>
      </w:tblGrid>
      <w:tr w:rsidR="00355B68" w:rsidRPr="003F7444" w14:paraId="76E3299C" w14:textId="77777777" w:rsidTr="003F7444">
        <w:trPr>
          <w:tblHeader/>
        </w:trPr>
        <w:tc>
          <w:tcPr>
            <w:tcW w:w="5425" w:type="dxa"/>
            <w:shd w:val="clear" w:color="auto" w:fill="DEEAF6"/>
            <w:vAlign w:val="center"/>
            <w:hideMark/>
          </w:tcPr>
          <w:p w14:paraId="2D9FDDBA" w14:textId="77777777" w:rsidR="000D488B" w:rsidRPr="003F7444" w:rsidRDefault="000D488B" w:rsidP="003F7444">
            <w:pPr>
              <w:spacing w:after="0" w:line="240" w:lineRule="auto"/>
              <w:contextualSpacing/>
              <w:rPr>
                <w:rFonts w:eastAsia="Times New Roman" w:cs="Segoe UI"/>
                <w:szCs w:val="22"/>
                <w:lang w:eastAsia="en-AU"/>
              </w:rPr>
            </w:pPr>
          </w:p>
        </w:tc>
        <w:tc>
          <w:tcPr>
            <w:tcW w:w="1374" w:type="dxa"/>
            <w:shd w:val="clear" w:color="auto" w:fill="DEEAF6"/>
            <w:vAlign w:val="center"/>
            <w:hideMark/>
          </w:tcPr>
          <w:p w14:paraId="21672A2B" w14:textId="77777777" w:rsidR="00960007" w:rsidRPr="003F7444" w:rsidRDefault="000D488B" w:rsidP="003F7444">
            <w:pPr>
              <w:spacing w:after="0" w:line="240" w:lineRule="auto"/>
              <w:contextualSpacing/>
              <w:rPr>
                <w:rFonts w:eastAsia="Times New Roman" w:cs="Times New Roman"/>
                <w:b/>
                <w:bCs/>
                <w:color w:val="263287"/>
                <w:szCs w:val="22"/>
                <w:lang w:eastAsia="en-AU"/>
              </w:rPr>
            </w:pPr>
            <w:proofErr w:type="spellStart"/>
            <w:r w:rsidRPr="003F7444">
              <w:rPr>
                <w:rFonts w:eastAsia="Times New Roman" w:cs="Times New Roman"/>
                <w:b/>
                <w:bCs/>
                <w:color w:val="263287"/>
                <w:szCs w:val="22"/>
                <w:lang w:eastAsia="en-AU"/>
              </w:rPr>
              <w:t>BVd</w:t>
            </w:r>
            <w:proofErr w:type="spellEnd"/>
            <w:r w:rsidRPr="003F7444">
              <w:rPr>
                <w:rFonts w:eastAsia="Times New Roman" w:cs="Times New Roman"/>
                <w:b/>
                <w:bCs/>
                <w:color w:val="263287"/>
                <w:szCs w:val="22"/>
                <w:lang w:eastAsia="en-AU"/>
              </w:rPr>
              <w:t xml:space="preserve"> </w:t>
            </w:r>
          </w:p>
          <w:p w14:paraId="6909E4BC" w14:textId="00B45680" w:rsidR="000D488B" w:rsidRPr="003F7444" w:rsidRDefault="000D488B" w:rsidP="003F7444">
            <w:pPr>
              <w:spacing w:after="0" w:line="240" w:lineRule="auto"/>
              <w:contextualSpacing/>
              <w:rPr>
                <w:rFonts w:eastAsia="Times New Roman" w:cs="Times New Roman"/>
                <w:b/>
                <w:bCs/>
                <w:color w:val="263287"/>
                <w:szCs w:val="22"/>
                <w:lang w:eastAsia="en-AU"/>
              </w:rPr>
            </w:pPr>
            <w:r w:rsidRPr="003F7444">
              <w:rPr>
                <w:rFonts w:eastAsia="Times New Roman" w:cs="Times New Roman"/>
                <w:b/>
                <w:bCs/>
                <w:color w:val="263287"/>
                <w:szCs w:val="22"/>
                <w:lang w:eastAsia="en-AU"/>
              </w:rPr>
              <w:t>(N=243)</w:t>
            </w:r>
          </w:p>
        </w:tc>
        <w:tc>
          <w:tcPr>
            <w:tcW w:w="1418" w:type="dxa"/>
            <w:shd w:val="clear" w:color="auto" w:fill="DEEAF6"/>
            <w:vAlign w:val="center"/>
            <w:hideMark/>
          </w:tcPr>
          <w:p w14:paraId="055686CC" w14:textId="77777777" w:rsidR="00960007" w:rsidRPr="003F7444" w:rsidRDefault="000D488B" w:rsidP="003F7444">
            <w:pPr>
              <w:spacing w:after="0" w:line="240" w:lineRule="auto"/>
              <w:contextualSpacing/>
              <w:rPr>
                <w:rFonts w:eastAsia="Times New Roman" w:cs="Times New Roman"/>
                <w:b/>
                <w:bCs/>
                <w:color w:val="263287"/>
                <w:szCs w:val="22"/>
                <w:lang w:eastAsia="en-AU"/>
              </w:rPr>
            </w:pPr>
            <w:proofErr w:type="spellStart"/>
            <w:r w:rsidRPr="003F7444">
              <w:rPr>
                <w:rFonts w:eastAsia="Times New Roman" w:cs="Times New Roman"/>
                <w:b/>
                <w:bCs/>
                <w:color w:val="263287"/>
                <w:szCs w:val="22"/>
                <w:lang w:eastAsia="en-AU"/>
              </w:rPr>
              <w:t>DVd</w:t>
            </w:r>
            <w:proofErr w:type="spellEnd"/>
            <w:r w:rsidRPr="003F7444">
              <w:rPr>
                <w:rFonts w:eastAsia="Times New Roman" w:cs="Times New Roman"/>
                <w:b/>
                <w:bCs/>
                <w:color w:val="263287"/>
                <w:szCs w:val="22"/>
                <w:lang w:eastAsia="en-AU"/>
              </w:rPr>
              <w:t xml:space="preserve"> </w:t>
            </w:r>
          </w:p>
          <w:p w14:paraId="3B98FB08" w14:textId="0DC979E9" w:rsidR="000D488B" w:rsidRPr="003F7444" w:rsidRDefault="000D488B" w:rsidP="003F7444">
            <w:pPr>
              <w:spacing w:after="0" w:line="240" w:lineRule="auto"/>
              <w:contextualSpacing/>
              <w:rPr>
                <w:rFonts w:eastAsia="Times New Roman" w:cs="Times New Roman"/>
                <w:b/>
                <w:bCs/>
                <w:color w:val="263287"/>
                <w:szCs w:val="22"/>
                <w:lang w:eastAsia="en-AU"/>
              </w:rPr>
            </w:pPr>
            <w:r w:rsidRPr="003F7444">
              <w:rPr>
                <w:rFonts w:eastAsia="Times New Roman" w:cs="Times New Roman"/>
                <w:b/>
                <w:bCs/>
                <w:color w:val="263287"/>
                <w:szCs w:val="22"/>
                <w:lang w:eastAsia="en-AU"/>
              </w:rPr>
              <w:t>(N=251)</w:t>
            </w:r>
          </w:p>
        </w:tc>
      </w:tr>
      <w:tr w:rsidR="00355B68" w:rsidRPr="003F7444" w14:paraId="18365757" w14:textId="77777777" w:rsidTr="003F7444">
        <w:trPr>
          <w:trHeight w:val="107"/>
        </w:trPr>
        <w:tc>
          <w:tcPr>
            <w:tcW w:w="8217" w:type="dxa"/>
            <w:gridSpan w:val="3"/>
            <w:vAlign w:val="center"/>
            <w:hideMark/>
          </w:tcPr>
          <w:p w14:paraId="4393CD43" w14:textId="1A8A5AFF" w:rsidR="00355B68" w:rsidRPr="003F7444" w:rsidRDefault="00355B68" w:rsidP="002D70A0">
            <w:pPr>
              <w:spacing w:after="0" w:line="240" w:lineRule="auto"/>
              <w:contextualSpacing/>
              <w:rPr>
                <w:rFonts w:eastAsia="Times New Roman" w:cs="Times New Roman"/>
                <w:szCs w:val="22"/>
                <w:lang w:eastAsia="en-AU"/>
              </w:rPr>
            </w:pPr>
            <w:r w:rsidRPr="003F7444">
              <w:rPr>
                <w:rFonts w:eastAsia="Times New Roman" w:cs="Times New Roman"/>
                <w:b/>
                <w:bCs/>
                <w:szCs w:val="22"/>
                <w:lang w:eastAsia="en-AU"/>
              </w:rPr>
              <w:t>Number of participants, n (%)</w:t>
            </w:r>
          </w:p>
        </w:tc>
      </w:tr>
      <w:tr w:rsidR="00355B68" w:rsidRPr="003F7444" w14:paraId="448E337F" w14:textId="77777777" w:rsidTr="003F7444">
        <w:tc>
          <w:tcPr>
            <w:tcW w:w="5425" w:type="dxa"/>
            <w:vAlign w:val="center"/>
            <w:hideMark/>
          </w:tcPr>
          <w:p w14:paraId="77C154EE" w14:textId="77777777" w:rsidR="000D488B" w:rsidRPr="003F7444" w:rsidRDefault="000D488B"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Progressed or died (event)</w:t>
            </w:r>
          </w:p>
        </w:tc>
        <w:tc>
          <w:tcPr>
            <w:tcW w:w="1374" w:type="dxa"/>
            <w:vAlign w:val="center"/>
            <w:hideMark/>
          </w:tcPr>
          <w:p w14:paraId="4EE434BB"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91 (37%)</w:t>
            </w:r>
          </w:p>
        </w:tc>
        <w:tc>
          <w:tcPr>
            <w:tcW w:w="1418" w:type="dxa"/>
            <w:vAlign w:val="center"/>
            <w:hideMark/>
          </w:tcPr>
          <w:p w14:paraId="23C7D6F5"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158 (63%)</w:t>
            </w:r>
          </w:p>
        </w:tc>
      </w:tr>
      <w:tr w:rsidR="00355B68" w:rsidRPr="003F7444" w14:paraId="6DE8835B" w14:textId="77777777" w:rsidTr="003F7444">
        <w:tc>
          <w:tcPr>
            <w:tcW w:w="5425" w:type="dxa"/>
            <w:vAlign w:val="center"/>
            <w:hideMark/>
          </w:tcPr>
          <w:p w14:paraId="1E5A5559" w14:textId="77777777" w:rsidR="000D488B" w:rsidRPr="003F7444" w:rsidRDefault="000D488B"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Censored, follow</w:t>
            </w:r>
            <w:r w:rsidRPr="003F7444">
              <w:rPr>
                <w:rFonts w:eastAsia="Times New Roman" w:cs="Times New Roman"/>
                <w:szCs w:val="22"/>
                <w:lang w:eastAsia="en-AU"/>
              </w:rPr>
              <w:noBreakHyphen/>
              <w:t>up ended</w:t>
            </w:r>
          </w:p>
        </w:tc>
        <w:tc>
          <w:tcPr>
            <w:tcW w:w="1374" w:type="dxa"/>
            <w:vAlign w:val="center"/>
            <w:hideMark/>
          </w:tcPr>
          <w:p w14:paraId="0A88F261"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44 (18%)</w:t>
            </w:r>
          </w:p>
        </w:tc>
        <w:tc>
          <w:tcPr>
            <w:tcW w:w="1418" w:type="dxa"/>
            <w:vAlign w:val="center"/>
            <w:hideMark/>
          </w:tcPr>
          <w:p w14:paraId="42C72BCF"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41 (16%)</w:t>
            </w:r>
          </w:p>
        </w:tc>
      </w:tr>
      <w:tr w:rsidR="00355B68" w:rsidRPr="003F7444" w14:paraId="60FB5FF3" w14:textId="77777777" w:rsidTr="003F7444">
        <w:tc>
          <w:tcPr>
            <w:tcW w:w="5425" w:type="dxa"/>
            <w:vAlign w:val="center"/>
            <w:hideMark/>
          </w:tcPr>
          <w:p w14:paraId="0C042E20" w14:textId="77777777" w:rsidR="000D488B" w:rsidRPr="003F7444" w:rsidRDefault="000D488B"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Censored, follow</w:t>
            </w:r>
            <w:r w:rsidRPr="003F7444">
              <w:rPr>
                <w:rFonts w:eastAsia="Times New Roman" w:cs="Times New Roman"/>
                <w:szCs w:val="22"/>
                <w:lang w:eastAsia="en-AU"/>
              </w:rPr>
              <w:noBreakHyphen/>
              <w:t>up ongoing</w:t>
            </w:r>
          </w:p>
        </w:tc>
        <w:tc>
          <w:tcPr>
            <w:tcW w:w="1374" w:type="dxa"/>
            <w:vAlign w:val="center"/>
            <w:hideMark/>
          </w:tcPr>
          <w:p w14:paraId="176A430A"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108 (44%)</w:t>
            </w:r>
          </w:p>
        </w:tc>
        <w:tc>
          <w:tcPr>
            <w:tcW w:w="1418" w:type="dxa"/>
            <w:vAlign w:val="center"/>
            <w:hideMark/>
          </w:tcPr>
          <w:p w14:paraId="629AA010"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52 (21%)</w:t>
            </w:r>
          </w:p>
        </w:tc>
      </w:tr>
      <w:tr w:rsidR="00355B68" w:rsidRPr="003F7444" w14:paraId="7BECF483" w14:textId="77777777" w:rsidTr="003F7444">
        <w:tc>
          <w:tcPr>
            <w:tcW w:w="8217" w:type="dxa"/>
            <w:gridSpan w:val="3"/>
            <w:vAlign w:val="center"/>
            <w:hideMark/>
          </w:tcPr>
          <w:p w14:paraId="55A6D2AC" w14:textId="78CF502E" w:rsidR="00355B68" w:rsidRPr="003F7444" w:rsidRDefault="00355B68" w:rsidP="002D70A0">
            <w:pPr>
              <w:spacing w:after="0" w:line="240" w:lineRule="auto"/>
              <w:contextualSpacing/>
              <w:rPr>
                <w:rFonts w:eastAsia="Times New Roman" w:cs="Times New Roman"/>
                <w:szCs w:val="22"/>
                <w:lang w:eastAsia="en-AU"/>
              </w:rPr>
            </w:pPr>
            <w:r w:rsidRPr="003F7444">
              <w:rPr>
                <w:rFonts w:eastAsia="Times New Roman" w:cs="Times New Roman"/>
                <w:b/>
                <w:bCs/>
                <w:szCs w:val="22"/>
                <w:lang w:eastAsia="en-AU"/>
              </w:rPr>
              <w:t>Event summary, n (%)</w:t>
            </w:r>
          </w:p>
        </w:tc>
      </w:tr>
      <w:tr w:rsidR="00355B68" w:rsidRPr="003F7444" w14:paraId="3CE63F6D" w14:textId="77777777" w:rsidTr="003F7444">
        <w:tc>
          <w:tcPr>
            <w:tcW w:w="5425" w:type="dxa"/>
            <w:vAlign w:val="center"/>
            <w:hideMark/>
          </w:tcPr>
          <w:p w14:paraId="4C6D323C" w14:textId="77777777" w:rsidR="000D488B" w:rsidRPr="003F7444" w:rsidRDefault="000D488B"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Disease progression</w:t>
            </w:r>
          </w:p>
        </w:tc>
        <w:tc>
          <w:tcPr>
            <w:tcW w:w="1374" w:type="dxa"/>
            <w:vAlign w:val="center"/>
            <w:hideMark/>
          </w:tcPr>
          <w:p w14:paraId="142D1053"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67 (28%)</w:t>
            </w:r>
          </w:p>
        </w:tc>
        <w:tc>
          <w:tcPr>
            <w:tcW w:w="1418" w:type="dxa"/>
            <w:vAlign w:val="center"/>
            <w:hideMark/>
          </w:tcPr>
          <w:p w14:paraId="1FD8028B"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139 (55%)</w:t>
            </w:r>
          </w:p>
        </w:tc>
      </w:tr>
      <w:tr w:rsidR="00355B68" w:rsidRPr="003F7444" w14:paraId="2F1EBF70" w14:textId="77777777" w:rsidTr="003F7444">
        <w:tc>
          <w:tcPr>
            <w:tcW w:w="5425" w:type="dxa"/>
            <w:vAlign w:val="center"/>
            <w:hideMark/>
          </w:tcPr>
          <w:p w14:paraId="681C0386" w14:textId="77777777" w:rsidR="000D488B" w:rsidRPr="003F7444" w:rsidRDefault="000D488B"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Death</w:t>
            </w:r>
          </w:p>
        </w:tc>
        <w:tc>
          <w:tcPr>
            <w:tcW w:w="1374" w:type="dxa"/>
            <w:vAlign w:val="center"/>
            <w:hideMark/>
          </w:tcPr>
          <w:p w14:paraId="15C01E19"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24 (10%)</w:t>
            </w:r>
          </w:p>
        </w:tc>
        <w:tc>
          <w:tcPr>
            <w:tcW w:w="1418" w:type="dxa"/>
            <w:vAlign w:val="center"/>
            <w:hideMark/>
          </w:tcPr>
          <w:p w14:paraId="064F6693"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19 (8%)</w:t>
            </w:r>
          </w:p>
        </w:tc>
      </w:tr>
      <w:tr w:rsidR="00960007" w:rsidRPr="003F7444" w14:paraId="5CBED4E5" w14:textId="77777777" w:rsidTr="003F7444">
        <w:tc>
          <w:tcPr>
            <w:tcW w:w="5425" w:type="dxa"/>
            <w:vAlign w:val="center"/>
            <w:hideMark/>
          </w:tcPr>
          <w:p w14:paraId="49A301B4" w14:textId="77777777" w:rsidR="00960007" w:rsidRPr="003F7444" w:rsidRDefault="00960007" w:rsidP="002D70A0">
            <w:pPr>
              <w:spacing w:after="0" w:line="240" w:lineRule="auto"/>
              <w:contextualSpacing/>
              <w:rPr>
                <w:rFonts w:eastAsia="Times New Roman" w:cs="Times New Roman"/>
                <w:szCs w:val="22"/>
                <w:lang w:eastAsia="en-AU"/>
              </w:rPr>
            </w:pPr>
            <w:r w:rsidRPr="003F7444">
              <w:rPr>
                <w:rFonts w:eastAsia="Times New Roman" w:cs="Times New Roman"/>
                <w:b/>
                <w:bCs/>
                <w:szCs w:val="22"/>
                <w:lang w:eastAsia="en-AU"/>
              </w:rPr>
              <w:t>Estimates for time variable (months)ᵃ</w:t>
            </w:r>
          </w:p>
        </w:tc>
        <w:tc>
          <w:tcPr>
            <w:tcW w:w="2792" w:type="dxa"/>
            <w:gridSpan w:val="2"/>
            <w:vAlign w:val="center"/>
            <w:hideMark/>
          </w:tcPr>
          <w:p w14:paraId="4C9A7672" w14:textId="77777777" w:rsidR="00960007" w:rsidRPr="003F7444" w:rsidRDefault="00960007" w:rsidP="002D70A0">
            <w:pPr>
              <w:spacing w:after="0" w:line="240" w:lineRule="auto"/>
              <w:contextualSpacing/>
              <w:rPr>
                <w:rFonts w:eastAsia="Times New Roman" w:cs="Times New Roman"/>
                <w:szCs w:val="22"/>
                <w:lang w:eastAsia="en-AU"/>
              </w:rPr>
            </w:pPr>
          </w:p>
        </w:tc>
      </w:tr>
      <w:tr w:rsidR="00355B68" w:rsidRPr="003F7444" w14:paraId="2164D767" w14:textId="77777777" w:rsidTr="003F7444">
        <w:tc>
          <w:tcPr>
            <w:tcW w:w="5425" w:type="dxa"/>
            <w:vAlign w:val="center"/>
            <w:hideMark/>
          </w:tcPr>
          <w:p w14:paraId="1FFA3B19" w14:textId="77777777" w:rsidR="000D488B" w:rsidRPr="003F7444" w:rsidRDefault="000D488B"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1st Quartile</w:t>
            </w:r>
          </w:p>
        </w:tc>
        <w:tc>
          <w:tcPr>
            <w:tcW w:w="1374" w:type="dxa"/>
            <w:vAlign w:val="center"/>
            <w:hideMark/>
          </w:tcPr>
          <w:p w14:paraId="5DB9E2C1"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14.5</w:t>
            </w:r>
          </w:p>
        </w:tc>
        <w:tc>
          <w:tcPr>
            <w:tcW w:w="1418" w:type="dxa"/>
            <w:vAlign w:val="center"/>
            <w:hideMark/>
          </w:tcPr>
          <w:p w14:paraId="3F3CFA8D"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6.4</w:t>
            </w:r>
          </w:p>
        </w:tc>
      </w:tr>
      <w:tr w:rsidR="00355B68" w:rsidRPr="003F7444" w14:paraId="2ED541AF" w14:textId="77777777" w:rsidTr="003F7444">
        <w:tc>
          <w:tcPr>
            <w:tcW w:w="5425" w:type="dxa"/>
            <w:vAlign w:val="center"/>
            <w:hideMark/>
          </w:tcPr>
          <w:p w14:paraId="34A85EA3" w14:textId="77777777" w:rsidR="000D488B" w:rsidRPr="003F7444" w:rsidRDefault="000D488B" w:rsidP="004153E1">
            <w:pPr>
              <w:spacing w:after="0" w:line="240" w:lineRule="auto"/>
              <w:ind w:left="540"/>
              <w:contextualSpacing/>
              <w:rPr>
                <w:rFonts w:eastAsia="Times New Roman" w:cs="Times New Roman"/>
                <w:szCs w:val="22"/>
                <w:lang w:eastAsia="en-AU"/>
              </w:rPr>
            </w:pPr>
            <w:r w:rsidRPr="003F7444">
              <w:rPr>
                <w:rFonts w:eastAsia="Times New Roman" w:cs="Times New Roman"/>
                <w:szCs w:val="22"/>
                <w:lang w:eastAsia="en-AU"/>
              </w:rPr>
              <w:t>95% CI</w:t>
            </w:r>
          </w:p>
        </w:tc>
        <w:tc>
          <w:tcPr>
            <w:tcW w:w="1374" w:type="dxa"/>
            <w:vAlign w:val="center"/>
            <w:hideMark/>
          </w:tcPr>
          <w:p w14:paraId="3A437359"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(9.5, 17.5)</w:t>
            </w:r>
          </w:p>
        </w:tc>
        <w:tc>
          <w:tcPr>
            <w:tcW w:w="1418" w:type="dxa"/>
            <w:vAlign w:val="center"/>
            <w:hideMark/>
          </w:tcPr>
          <w:p w14:paraId="48ACF8E5"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(4.9, 7.0)</w:t>
            </w:r>
          </w:p>
        </w:tc>
      </w:tr>
      <w:tr w:rsidR="00355B68" w:rsidRPr="003F7444" w14:paraId="58191BBC" w14:textId="77777777" w:rsidTr="003F7444">
        <w:tc>
          <w:tcPr>
            <w:tcW w:w="5425" w:type="dxa"/>
            <w:vAlign w:val="center"/>
            <w:hideMark/>
          </w:tcPr>
          <w:p w14:paraId="46459DE8" w14:textId="77777777" w:rsidR="000D488B" w:rsidRPr="003F7444" w:rsidRDefault="000D488B"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Median</w:t>
            </w:r>
          </w:p>
        </w:tc>
        <w:tc>
          <w:tcPr>
            <w:tcW w:w="1374" w:type="dxa"/>
            <w:vAlign w:val="center"/>
            <w:hideMark/>
          </w:tcPr>
          <w:p w14:paraId="77C7A41F"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36.6</w:t>
            </w:r>
          </w:p>
        </w:tc>
        <w:tc>
          <w:tcPr>
            <w:tcW w:w="1418" w:type="dxa"/>
            <w:vAlign w:val="center"/>
            <w:hideMark/>
          </w:tcPr>
          <w:p w14:paraId="40F0271B"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13.4</w:t>
            </w:r>
          </w:p>
        </w:tc>
      </w:tr>
      <w:tr w:rsidR="00355B68" w:rsidRPr="003F7444" w14:paraId="6F3A32D4" w14:textId="77777777" w:rsidTr="003F7444">
        <w:tc>
          <w:tcPr>
            <w:tcW w:w="5425" w:type="dxa"/>
            <w:vAlign w:val="center"/>
            <w:hideMark/>
          </w:tcPr>
          <w:p w14:paraId="5649EED6" w14:textId="77777777" w:rsidR="000D488B" w:rsidRPr="003F7444" w:rsidRDefault="000D488B" w:rsidP="004153E1">
            <w:pPr>
              <w:spacing w:after="0" w:line="240" w:lineRule="auto"/>
              <w:ind w:left="540"/>
              <w:contextualSpacing/>
              <w:rPr>
                <w:rFonts w:eastAsia="Times New Roman" w:cs="Times New Roman"/>
                <w:szCs w:val="22"/>
                <w:lang w:eastAsia="en-AU"/>
              </w:rPr>
            </w:pPr>
            <w:r w:rsidRPr="003F7444">
              <w:rPr>
                <w:rFonts w:eastAsia="Times New Roman" w:cs="Times New Roman"/>
                <w:szCs w:val="22"/>
                <w:lang w:eastAsia="en-AU"/>
              </w:rPr>
              <w:t>95% CI</w:t>
            </w:r>
          </w:p>
        </w:tc>
        <w:tc>
          <w:tcPr>
            <w:tcW w:w="1374" w:type="dxa"/>
            <w:vAlign w:val="center"/>
            <w:hideMark/>
          </w:tcPr>
          <w:p w14:paraId="6D5C6507"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(28.4, -)</w:t>
            </w:r>
          </w:p>
        </w:tc>
        <w:tc>
          <w:tcPr>
            <w:tcW w:w="1418" w:type="dxa"/>
            <w:vAlign w:val="center"/>
            <w:hideMark/>
          </w:tcPr>
          <w:p w14:paraId="0C9C9CDB"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(11.1, 17.5)</w:t>
            </w:r>
          </w:p>
        </w:tc>
      </w:tr>
      <w:tr w:rsidR="00355B68" w:rsidRPr="003F7444" w14:paraId="51D1FAAF" w14:textId="77777777" w:rsidTr="003F7444">
        <w:tc>
          <w:tcPr>
            <w:tcW w:w="5425" w:type="dxa"/>
            <w:vAlign w:val="center"/>
            <w:hideMark/>
          </w:tcPr>
          <w:p w14:paraId="26BCF4D7" w14:textId="77777777" w:rsidR="000D488B" w:rsidRPr="003F7444" w:rsidRDefault="000D488B"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3rd Quartile</w:t>
            </w:r>
          </w:p>
        </w:tc>
        <w:tc>
          <w:tcPr>
            <w:tcW w:w="1374" w:type="dxa"/>
            <w:vAlign w:val="center"/>
            <w:hideMark/>
          </w:tcPr>
          <w:p w14:paraId="3A099F77"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w:t>
            </w:r>
          </w:p>
        </w:tc>
        <w:tc>
          <w:tcPr>
            <w:tcW w:w="1418" w:type="dxa"/>
            <w:vAlign w:val="center"/>
            <w:hideMark/>
          </w:tcPr>
          <w:p w14:paraId="1E377D63"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33.1</w:t>
            </w:r>
          </w:p>
        </w:tc>
      </w:tr>
      <w:tr w:rsidR="00355B68" w:rsidRPr="003F7444" w14:paraId="5D061E69" w14:textId="77777777" w:rsidTr="003F7444">
        <w:tc>
          <w:tcPr>
            <w:tcW w:w="5425" w:type="dxa"/>
            <w:vAlign w:val="center"/>
            <w:hideMark/>
          </w:tcPr>
          <w:p w14:paraId="7F8ADC7E" w14:textId="77777777" w:rsidR="000D488B" w:rsidRPr="003F7444" w:rsidRDefault="000D488B" w:rsidP="004153E1">
            <w:pPr>
              <w:spacing w:after="0" w:line="240" w:lineRule="auto"/>
              <w:ind w:left="540"/>
              <w:contextualSpacing/>
              <w:rPr>
                <w:rFonts w:eastAsia="Times New Roman" w:cs="Times New Roman"/>
                <w:szCs w:val="22"/>
                <w:lang w:eastAsia="en-AU"/>
              </w:rPr>
            </w:pPr>
            <w:r w:rsidRPr="003F7444">
              <w:rPr>
                <w:rFonts w:eastAsia="Times New Roman" w:cs="Times New Roman"/>
                <w:szCs w:val="22"/>
                <w:lang w:eastAsia="en-AU"/>
              </w:rPr>
              <w:t>95% CI</w:t>
            </w:r>
          </w:p>
        </w:tc>
        <w:tc>
          <w:tcPr>
            <w:tcW w:w="1374" w:type="dxa"/>
            <w:vAlign w:val="center"/>
            <w:hideMark/>
          </w:tcPr>
          <w:p w14:paraId="0D39D493"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 –)</w:t>
            </w:r>
          </w:p>
        </w:tc>
        <w:tc>
          <w:tcPr>
            <w:tcW w:w="1418" w:type="dxa"/>
            <w:vAlign w:val="center"/>
            <w:hideMark/>
          </w:tcPr>
          <w:p w14:paraId="7E9CB62F"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(26.3, –)</w:t>
            </w:r>
          </w:p>
        </w:tc>
      </w:tr>
      <w:tr w:rsidR="00355B68" w:rsidRPr="003F7444" w14:paraId="46D63690" w14:textId="77777777" w:rsidTr="003F7444">
        <w:tc>
          <w:tcPr>
            <w:tcW w:w="8217" w:type="dxa"/>
            <w:gridSpan w:val="3"/>
            <w:vAlign w:val="center"/>
            <w:hideMark/>
          </w:tcPr>
          <w:p w14:paraId="4F63E85E" w14:textId="17631745" w:rsidR="00355B68" w:rsidRPr="003F7444" w:rsidRDefault="00355B68" w:rsidP="002D70A0">
            <w:pPr>
              <w:spacing w:after="0" w:line="240" w:lineRule="auto"/>
              <w:contextualSpacing/>
              <w:rPr>
                <w:rFonts w:eastAsia="Times New Roman" w:cs="Times New Roman"/>
                <w:szCs w:val="22"/>
                <w:lang w:eastAsia="en-AU"/>
              </w:rPr>
            </w:pPr>
            <w:r w:rsidRPr="003F7444">
              <w:rPr>
                <w:rFonts w:eastAsia="Times New Roman" w:cs="Times New Roman"/>
                <w:b/>
                <w:bCs/>
                <w:szCs w:val="22"/>
                <w:lang w:eastAsia="en-AU"/>
              </w:rPr>
              <w:t>Hazard ratioᵇ</w:t>
            </w:r>
          </w:p>
        </w:tc>
      </w:tr>
      <w:tr w:rsidR="00355B68" w:rsidRPr="003F7444" w14:paraId="5DEED33C" w14:textId="77777777" w:rsidTr="003F7444">
        <w:tc>
          <w:tcPr>
            <w:tcW w:w="5425" w:type="dxa"/>
            <w:vAlign w:val="center"/>
            <w:hideMark/>
          </w:tcPr>
          <w:p w14:paraId="22F8190B" w14:textId="77777777" w:rsidR="000D488B" w:rsidRPr="003F7444" w:rsidRDefault="000D488B"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Number of participants in the model</w:t>
            </w:r>
          </w:p>
        </w:tc>
        <w:tc>
          <w:tcPr>
            <w:tcW w:w="1374" w:type="dxa"/>
            <w:vAlign w:val="center"/>
            <w:hideMark/>
          </w:tcPr>
          <w:p w14:paraId="22E56F99"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243</w:t>
            </w:r>
          </w:p>
        </w:tc>
        <w:tc>
          <w:tcPr>
            <w:tcW w:w="1418" w:type="dxa"/>
            <w:vAlign w:val="center"/>
            <w:hideMark/>
          </w:tcPr>
          <w:p w14:paraId="56F707B0"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251</w:t>
            </w:r>
          </w:p>
        </w:tc>
      </w:tr>
      <w:tr w:rsidR="002D70A0" w:rsidRPr="003F7444" w14:paraId="05116462" w14:textId="77777777" w:rsidTr="003F7444">
        <w:tc>
          <w:tcPr>
            <w:tcW w:w="5425" w:type="dxa"/>
            <w:vAlign w:val="center"/>
            <w:hideMark/>
          </w:tcPr>
          <w:p w14:paraId="2E2A9F02" w14:textId="77777777" w:rsidR="002D70A0" w:rsidRPr="003F7444" w:rsidRDefault="002D70A0"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Estimate</w:t>
            </w:r>
          </w:p>
        </w:tc>
        <w:tc>
          <w:tcPr>
            <w:tcW w:w="2792" w:type="dxa"/>
            <w:gridSpan w:val="2"/>
            <w:vAlign w:val="center"/>
            <w:hideMark/>
          </w:tcPr>
          <w:p w14:paraId="3620029F" w14:textId="50F8D8E8" w:rsidR="002D70A0" w:rsidRPr="003F7444" w:rsidRDefault="002D70A0"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0.41</w:t>
            </w:r>
          </w:p>
        </w:tc>
      </w:tr>
      <w:tr w:rsidR="002D70A0" w:rsidRPr="003F7444" w14:paraId="5774ACA2" w14:textId="77777777" w:rsidTr="003F7444">
        <w:tc>
          <w:tcPr>
            <w:tcW w:w="5425" w:type="dxa"/>
            <w:vAlign w:val="center"/>
            <w:hideMark/>
          </w:tcPr>
          <w:p w14:paraId="0744B62F" w14:textId="77777777" w:rsidR="002D70A0" w:rsidRPr="003F7444" w:rsidRDefault="002D70A0" w:rsidP="004153E1">
            <w:pPr>
              <w:spacing w:after="0" w:line="240" w:lineRule="auto"/>
              <w:ind w:left="540"/>
              <w:contextualSpacing/>
              <w:rPr>
                <w:rFonts w:eastAsia="Times New Roman" w:cs="Times New Roman"/>
                <w:szCs w:val="22"/>
                <w:lang w:eastAsia="en-AU"/>
              </w:rPr>
            </w:pPr>
            <w:r w:rsidRPr="003F7444">
              <w:rPr>
                <w:rFonts w:eastAsia="Times New Roman" w:cs="Times New Roman"/>
                <w:szCs w:val="22"/>
                <w:lang w:eastAsia="en-AU"/>
              </w:rPr>
              <w:t>95% CI</w:t>
            </w:r>
          </w:p>
        </w:tc>
        <w:tc>
          <w:tcPr>
            <w:tcW w:w="2792" w:type="dxa"/>
            <w:gridSpan w:val="2"/>
            <w:vAlign w:val="center"/>
            <w:hideMark/>
          </w:tcPr>
          <w:p w14:paraId="169118E4" w14:textId="1BA0CCF1" w:rsidR="002D70A0" w:rsidRPr="003F7444" w:rsidRDefault="002D70A0"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(0.31, 0.53)</w:t>
            </w:r>
          </w:p>
        </w:tc>
      </w:tr>
      <w:tr w:rsidR="00FC5ACE" w:rsidRPr="003F7444" w14:paraId="66F71A56" w14:textId="77777777" w:rsidTr="003F7444">
        <w:tc>
          <w:tcPr>
            <w:tcW w:w="8217" w:type="dxa"/>
            <w:gridSpan w:val="3"/>
            <w:vAlign w:val="center"/>
            <w:hideMark/>
          </w:tcPr>
          <w:p w14:paraId="0200778D" w14:textId="31100AD3" w:rsidR="00FC5ACE" w:rsidRPr="003F7444" w:rsidRDefault="00FC5ACE" w:rsidP="002D70A0">
            <w:pPr>
              <w:spacing w:after="0" w:line="240" w:lineRule="auto"/>
              <w:contextualSpacing/>
              <w:rPr>
                <w:rFonts w:eastAsia="Times New Roman" w:cs="Times New Roman"/>
                <w:szCs w:val="22"/>
                <w:lang w:eastAsia="en-AU"/>
              </w:rPr>
            </w:pPr>
            <w:r w:rsidRPr="003F7444">
              <w:rPr>
                <w:rFonts w:eastAsia="Times New Roman" w:cs="Times New Roman"/>
                <w:b/>
                <w:bCs/>
                <w:szCs w:val="22"/>
                <w:lang w:eastAsia="en-AU"/>
              </w:rPr>
              <w:t>Stratified log</w:t>
            </w:r>
            <w:r w:rsidRPr="003F7444">
              <w:rPr>
                <w:rFonts w:eastAsia="Times New Roman" w:cs="Times New Roman"/>
                <w:b/>
                <w:bCs/>
                <w:szCs w:val="22"/>
                <w:lang w:eastAsia="en-AU"/>
              </w:rPr>
              <w:noBreakHyphen/>
              <w:t>rankᶜ</w:t>
            </w:r>
          </w:p>
        </w:tc>
      </w:tr>
      <w:tr w:rsidR="00FC5ACE" w:rsidRPr="003F7444" w14:paraId="1AE197BE" w14:textId="77777777" w:rsidTr="003F7444">
        <w:tc>
          <w:tcPr>
            <w:tcW w:w="5425" w:type="dxa"/>
            <w:vAlign w:val="center"/>
            <w:hideMark/>
          </w:tcPr>
          <w:p w14:paraId="30BA4557" w14:textId="77777777" w:rsidR="00FC5ACE" w:rsidRPr="003F7444" w:rsidRDefault="00FC5ACE"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P</w:t>
            </w:r>
            <w:r w:rsidRPr="003F7444">
              <w:rPr>
                <w:rFonts w:eastAsia="Times New Roman" w:cs="Times New Roman"/>
                <w:szCs w:val="22"/>
                <w:lang w:eastAsia="en-AU"/>
              </w:rPr>
              <w:noBreakHyphen/>
              <w:t>value</w:t>
            </w:r>
          </w:p>
        </w:tc>
        <w:tc>
          <w:tcPr>
            <w:tcW w:w="2792" w:type="dxa"/>
            <w:gridSpan w:val="2"/>
            <w:vAlign w:val="center"/>
            <w:hideMark/>
          </w:tcPr>
          <w:p w14:paraId="09945731" w14:textId="6B3BC079" w:rsidR="00FC5ACE" w:rsidRPr="003F7444" w:rsidRDefault="00FC5ACE"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&lt;0.00001</w:t>
            </w:r>
          </w:p>
        </w:tc>
      </w:tr>
      <w:tr w:rsidR="00355B68" w:rsidRPr="003F7444" w14:paraId="6AF06A13" w14:textId="77777777" w:rsidTr="003F7444">
        <w:tc>
          <w:tcPr>
            <w:tcW w:w="8217" w:type="dxa"/>
            <w:gridSpan w:val="3"/>
            <w:vAlign w:val="center"/>
            <w:hideMark/>
          </w:tcPr>
          <w:p w14:paraId="072D2BA7" w14:textId="79F560DB" w:rsidR="00355B68" w:rsidRPr="003F7444" w:rsidRDefault="00355B68" w:rsidP="002D70A0">
            <w:pPr>
              <w:spacing w:after="0" w:line="240" w:lineRule="auto"/>
              <w:contextualSpacing/>
              <w:rPr>
                <w:rFonts w:eastAsia="Times New Roman" w:cs="Times New Roman"/>
                <w:szCs w:val="22"/>
                <w:lang w:eastAsia="en-AU"/>
              </w:rPr>
            </w:pPr>
            <w:r w:rsidRPr="003F7444">
              <w:rPr>
                <w:rFonts w:eastAsia="Times New Roman" w:cs="Times New Roman"/>
                <w:b/>
                <w:bCs/>
                <w:szCs w:val="22"/>
                <w:lang w:eastAsia="en-AU"/>
              </w:rPr>
              <w:t>Progression</w:t>
            </w:r>
            <w:r w:rsidRPr="003F7444">
              <w:rPr>
                <w:rFonts w:eastAsia="Times New Roman" w:cs="Times New Roman"/>
                <w:b/>
                <w:bCs/>
                <w:szCs w:val="22"/>
                <w:lang w:eastAsia="en-AU"/>
              </w:rPr>
              <w:noBreakHyphen/>
              <w:t>free survival rate</w:t>
            </w:r>
          </w:p>
        </w:tc>
      </w:tr>
      <w:tr w:rsidR="00355B68" w:rsidRPr="003F7444" w14:paraId="2B891A4D" w14:textId="77777777" w:rsidTr="003F7444">
        <w:tc>
          <w:tcPr>
            <w:tcW w:w="5425" w:type="dxa"/>
            <w:vAlign w:val="center"/>
            <w:hideMark/>
          </w:tcPr>
          <w:p w14:paraId="242254E3" w14:textId="77777777" w:rsidR="000D488B" w:rsidRPr="003F7444" w:rsidRDefault="000D488B"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6 months</w:t>
            </w:r>
          </w:p>
        </w:tc>
        <w:tc>
          <w:tcPr>
            <w:tcW w:w="1374" w:type="dxa"/>
            <w:vAlign w:val="center"/>
            <w:hideMark/>
          </w:tcPr>
          <w:p w14:paraId="541F5737"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0.88</w:t>
            </w:r>
          </w:p>
        </w:tc>
        <w:tc>
          <w:tcPr>
            <w:tcW w:w="1418" w:type="dxa"/>
            <w:vAlign w:val="center"/>
            <w:hideMark/>
          </w:tcPr>
          <w:p w14:paraId="5161AF26"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0.77</w:t>
            </w:r>
          </w:p>
        </w:tc>
      </w:tr>
      <w:tr w:rsidR="00355B68" w:rsidRPr="003F7444" w14:paraId="7549EB00" w14:textId="77777777" w:rsidTr="003F7444">
        <w:tc>
          <w:tcPr>
            <w:tcW w:w="5425" w:type="dxa"/>
            <w:vAlign w:val="center"/>
            <w:hideMark/>
          </w:tcPr>
          <w:p w14:paraId="45C2B91D" w14:textId="77777777" w:rsidR="000D488B" w:rsidRPr="003F7444" w:rsidRDefault="000D488B" w:rsidP="004153E1">
            <w:pPr>
              <w:spacing w:after="0" w:line="240" w:lineRule="auto"/>
              <w:ind w:left="540"/>
              <w:contextualSpacing/>
              <w:rPr>
                <w:rFonts w:eastAsia="Times New Roman" w:cs="Times New Roman"/>
                <w:szCs w:val="22"/>
                <w:lang w:eastAsia="en-AU"/>
              </w:rPr>
            </w:pPr>
            <w:r w:rsidRPr="003F7444">
              <w:rPr>
                <w:rFonts w:eastAsia="Times New Roman" w:cs="Times New Roman"/>
                <w:szCs w:val="22"/>
                <w:lang w:eastAsia="en-AU"/>
              </w:rPr>
              <w:t>95% CI</w:t>
            </w:r>
          </w:p>
        </w:tc>
        <w:tc>
          <w:tcPr>
            <w:tcW w:w="1374" w:type="dxa"/>
            <w:vAlign w:val="center"/>
            <w:hideMark/>
          </w:tcPr>
          <w:p w14:paraId="5A446FC4"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(0.83, 0.91)</w:t>
            </w:r>
          </w:p>
        </w:tc>
        <w:tc>
          <w:tcPr>
            <w:tcW w:w="1418" w:type="dxa"/>
            <w:vAlign w:val="center"/>
            <w:hideMark/>
          </w:tcPr>
          <w:p w14:paraId="0E809111"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(0.71, 0.82)</w:t>
            </w:r>
          </w:p>
        </w:tc>
      </w:tr>
      <w:tr w:rsidR="00355B68" w:rsidRPr="003F7444" w14:paraId="1E7331EC" w14:textId="77777777" w:rsidTr="003F7444">
        <w:tc>
          <w:tcPr>
            <w:tcW w:w="5425" w:type="dxa"/>
            <w:vAlign w:val="center"/>
            <w:hideMark/>
          </w:tcPr>
          <w:p w14:paraId="2FC95730" w14:textId="77777777" w:rsidR="000D488B" w:rsidRPr="003F7444" w:rsidRDefault="000D488B"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12 months</w:t>
            </w:r>
          </w:p>
        </w:tc>
        <w:tc>
          <w:tcPr>
            <w:tcW w:w="1374" w:type="dxa"/>
            <w:vAlign w:val="center"/>
            <w:hideMark/>
          </w:tcPr>
          <w:p w14:paraId="5A228D66"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0.78</w:t>
            </w:r>
          </w:p>
        </w:tc>
        <w:tc>
          <w:tcPr>
            <w:tcW w:w="1418" w:type="dxa"/>
            <w:vAlign w:val="center"/>
            <w:hideMark/>
          </w:tcPr>
          <w:p w14:paraId="7A976E66"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0.53</w:t>
            </w:r>
          </w:p>
        </w:tc>
      </w:tr>
      <w:tr w:rsidR="00355B68" w:rsidRPr="003F7444" w14:paraId="7B951219" w14:textId="77777777" w:rsidTr="003F7444">
        <w:tc>
          <w:tcPr>
            <w:tcW w:w="5425" w:type="dxa"/>
            <w:vAlign w:val="center"/>
            <w:hideMark/>
          </w:tcPr>
          <w:p w14:paraId="444EEFBE" w14:textId="77777777" w:rsidR="000D488B" w:rsidRPr="003F7444" w:rsidRDefault="000D488B" w:rsidP="004153E1">
            <w:pPr>
              <w:spacing w:after="0" w:line="240" w:lineRule="auto"/>
              <w:ind w:left="540"/>
              <w:contextualSpacing/>
              <w:rPr>
                <w:rFonts w:eastAsia="Times New Roman" w:cs="Times New Roman"/>
                <w:szCs w:val="22"/>
                <w:lang w:eastAsia="en-AU"/>
              </w:rPr>
            </w:pPr>
            <w:r w:rsidRPr="003F7444">
              <w:rPr>
                <w:rFonts w:eastAsia="Times New Roman" w:cs="Times New Roman"/>
                <w:szCs w:val="22"/>
                <w:lang w:eastAsia="en-AU"/>
              </w:rPr>
              <w:t>95% CI</w:t>
            </w:r>
          </w:p>
        </w:tc>
        <w:tc>
          <w:tcPr>
            <w:tcW w:w="1374" w:type="dxa"/>
            <w:vAlign w:val="center"/>
            <w:hideMark/>
          </w:tcPr>
          <w:p w14:paraId="23503107"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(0.72, 0.83)</w:t>
            </w:r>
          </w:p>
        </w:tc>
        <w:tc>
          <w:tcPr>
            <w:tcW w:w="1418" w:type="dxa"/>
            <w:vAlign w:val="center"/>
            <w:hideMark/>
          </w:tcPr>
          <w:p w14:paraId="5675ADB0"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(0.47, 0.60)</w:t>
            </w:r>
          </w:p>
        </w:tc>
      </w:tr>
      <w:tr w:rsidR="00355B68" w:rsidRPr="003F7444" w14:paraId="16958BBC" w14:textId="77777777" w:rsidTr="003F7444">
        <w:tc>
          <w:tcPr>
            <w:tcW w:w="5425" w:type="dxa"/>
            <w:vAlign w:val="center"/>
            <w:hideMark/>
          </w:tcPr>
          <w:p w14:paraId="20E44F22" w14:textId="77777777" w:rsidR="000D488B" w:rsidRPr="003F7444" w:rsidRDefault="000D488B" w:rsidP="004153E1">
            <w:pPr>
              <w:spacing w:after="0" w:line="240" w:lineRule="auto"/>
              <w:ind w:left="257"/>
              <w:contextualSpacing/>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18 months</w:t>
            </w:r>
          </w:p>
        </w:tc>
        <w:tc>
          <w:tcPr>
            <w:tcW w:w="1374" w:type="dxa"/>
            <w:vAlign w:val="center"/>
            <w:hideMark/>
          </w:tcPr>
          <w:p w14:paraId="71BC7D2D"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0.69</w:t>
            </w:r>
          </w:p>
        </w:tc>
        <w:tc>
          <w:tcPr>
            <w:tcW w:w="1418" w:type="dxa"/>
            <w:vAlign w:val="center"/>
            <w:hideMark/>
          </w:tcPr>
          <w:p w14:paraId="671B1F88"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0.43</w:t>
            </w:r>
          </w:p>
        </w:tc>
      </w:tr>
      <w:tr w:rsidR="00355B68" w:rsidRPr="003F7444" w14:paraId="2EA33E8E" w14:textId="77777777" w:rsidTr="003F7444">
        <w:tc>
          <w:tcPr>
            <w:tcW w:w="5425" w:type="dxa"/>
            <w:vAlign w:val="center"/>
            <w:hideMark/>
          </w:tcPr>
          <w:p w14:paraId="021E7149" w14:textId="77777777" w:rsidR="000D488B" w:rsidRPr="003F7444" w:rsidRDefault="000D488B" w:rsidP="004153E1">
            <w:pPr>
              <w:spacing w:after="0" w:line="240" w:lineRule="auto"/>
              <w:ind w:left="540"/>
              <w:contextualSpacing/>
              <w:rPr>
                <w:rFonts w:eastAsia="Times New Roman" w:cs="Times New Roman"/>
                <w:szCs w:val="22"/>
                <w:lang w:eastAsia="en-AU"/>
              </w:rPr>
            </w:pPr>
            <w:r w:rsidRPr="003F7444">
              <w:rPr>
                <w:rFonts w:eastAsia="Times New Roman" w:cs="Times New Roman"/>
                <w:szCs w:val="22"/>
                <w:lang w:eastAsia="en-AU"/>
              </w:rPr>
              <w:t>95% CI</w:t>
            </w:r>
          </w:p>
        </w:tc>
        <w:tc>
          <w:tcPr>
            <w:tcW w:w="1374" w:type="dxa"/>
            <w:vAlign w:val="center"/>
            <w:hideMark/>
          </w:tcPr>
          <w:p w14:paraId="64ECA3A8"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(0.62, 0.75)</w:t>
            </w:r>
          </w:p>
        </w:tc>
        <w:tc>
          <w:tcPr>
            <w:tcW w:w="1418" w:type="dxa"/>
            <w:vAlign w:val="center"/>
            <w:hideMark/>
          </w:tcPr>
          <w:p w14:paraId="654F4F54" w14:textId="77777777" w:rsidR="000D488B" w:rsidRPr="003F7444" w:rsidRDefault="000D488B" w:rsidP="002D70A0">
            <w:pPr>
              <w:spacing w:after="0" w:line="240" w:lineRule="auto"/>
              <w:contextualSpacing/>
              <w:rPr>
                <w:rFonts w:eastAsia="Times New Roman" w:cs="Times New Roman"/>
                <w:szCs w:val="22"/>
                <w:lang w:eastAsia="en-AU"/>
              </w:rPr>
            </w:pPr>
            <w:r w:rsidRPr="003F7444">
              <w:rPr>
                <w:rFonts w:eastAsia="Times New Roman" w:cs="Times New Roman"/>
                <w:szCs w:val="22"/>
                <w:lang w:eastAsia="en-AU"/>
              </w:rPr>
              <w:t>(0.36, 0.49)</w:t>
            </w:r>
          </w:p>
        </w:tc>
      </w:tr>
    </w:tbl>
    <w:p w14:paraId="77311DF3" w14:textId="77777777" w:rsidR="00D908D8" w:rsidRPr="00D908D8" w:rsidRDefault="00D908D8" w:rsidP="00073830">
      <w:pPr>
        <w:pStyle w:val="TableDescription"/>
      </w:pPr>
      <w:r w:rsidRPr="00D908D8">
        <w:t>a. CIs were estimated using the Brookmeyer Crowley method.</w:t>
      </w:r>
    </w:p>
    <w:p w14:paraId="46E77CF7" w14:textId="1997F996" w:rsidR="00D908D8" w:rsidRPr="00D908D8" w:rsidRDefault="00D908D8" w:rsidP="00073830">
      <w:pPr>
        <w:pStyle w:val="TableDescription"/>
      </w:pPr>
      <w:r w:rsidRPr="00D908D8">
        <w:t>b. Hazard ratios were estimated using a Cox Proportional Hazards model stratified by the number of lines of prior</w:t>
      </w:r>
      <w:r>
        <w:t xml:space="preserve"> </w:t>
      </w:r>
      <w:r w:rsidRPr="00D908D8">
        <w:t>therapy (1 vs. 2/3 vs. ≥4), prior bortezomib (no, yes) and R-ISS at screening (I vs. II/III), with a covariate of</w:t>
      </w:r>
      <w:r>
        <w:t xml:space="preserve"> </w:t>
      </w:r>
      <w:r w:rsidRPr="00D908D8">
        <w:t>treatment.</w:t>
      </w:r>
    </w:p>
    <w:p w14:paraId="39B1ED51" w14:textId="77777777" w:rsidR="00D908D8" w:rsidRPr="00D908D8" w:rsidRDefault="00D908D8" w:rsidP="00073830">
      <w:pPr>
        <w:pStyle w:val="TableDescription"/>
      </w:pPr>
      <w:r w:rsidRPr="00D908D8">
        <w:t>c. P-value from 1-sided stratified log-rank test.</w:t>
      </w:r>
    </w:p>
    <w:p w14:paraId="58548A93" w14:textId="7D37A860" w:rsidR="00DE5E7B" w:rsidRDefault="00D908D8" w:rsidP="00073830">
      <w:pPr>
        <w:pStyle w:val="TableDescription"/>
      </w:pPr>
      <w:r w:rsidRPr="00D908D8">
        <w:t>Note: There were 2 participants in the ITT Population who were randomized, not treated, re-screened, and</w:t>
      </w:r>
      <w:r>
        <w:t xml:space="preserve"> </w:t>
      </w:r>
      <w:r w:rsidRPr="00D908D8">
        <w:t>re-randomized. They were counted as 4 unique participants in this table.</w:t>
      </w:r>
    </w:p>
    <w:p w14:paraId="02B6F55D" w14:textId="55ECC000" w:rsidR="00820843" w:rsidRDefault="00820843" w:rsidP="00820843">
      <w:r>
        <w:t>Significant benefit for PFS was apparent within 3 months of commencing treatment and persisted throughout the treatment period</w:t>
      </w:r>
      <w:r w:rsidR="003716D8">
        <w:t xml:space="preserve"> (Figure 4)</w:t>
      </w:r>
      <w:r>
        <w:t>.</w:t>
      </w:r>
    </w:p>
    <w:p w14:paraId="2F54408F" w14:textId="5DED628C" w:rsidR="00C22214" w:rsidRDefault="00820843" w:rsidP="00A57573">
      <w:pPr>
        <w:pStyle w:val="FigureTitle"/>
      </w:pPr>
      <w:r>
        <w:lastRenderedPageBreak/>
        <w:t>Figure</w:t>
      </w:r>
      <w:r w:rsidR="003716D8">
        <w:t xml:space="preserve"> 4</w:t>
      </w:r>
      <w:r>
        <w:t xml:space="preserve">: Kaplan Meier </w:t>
      </w:r>
      <w:r w:rsidR="00310316">
        <w:t>c</w:t>
      </w:r>
      <w:r>
        <w:t xml:space="preserve">urves of </w:t>
      </w:r>
      <w:r w:rsidR="00310316">
        <w:t>PFS</w:t>
      </w:r>
      <w:r>
        <w:t xml:space="preserve"> </w:t>
      </w:r>
      <w:r w:rsidR="00310316">
        <w:t>b</w:t>
      </w:r>
      <w:r>
        <w:t xml:space="preserve">ased on Independent Reviewer-Assessed Response (ITT Population) </w:t>
      </w:r>
      <w:bookmarkStart w:id="55" w:name="_Toc314842514"/>
      <w:r w:rsidR="00310316">
        <w:t>r</w:t>
      </w:r>
      <w:r w:rsidR="00C22214" w:rsidRPr="007B6132">
        <w:t>ecommendation</w:t>
      </w:r>
      <w:r w:rsidR="008C49C6">
        <w:t xml:space="preserve"> following the clinical evaluation</w:t>
      </w:r>
    </w:p>
    <w:p w14:paraId="0CEDF73E" w14:textId="20009B21" w:rsidR="006F2601" w:rsidRDefault="006F2601" w:rsidP="00073830">
      <w:r w:rsidRPr="006F2601">
        <w:rPr>
          <w:noProof/>
        </w:rPr>
        <w:drawing>
          <wp:inline distT="0" distB="0" distL="0" distR="0" wp14:anchorId="524BF36A" wp14:editId="287B060C">
            <wp:extent cx="4365266" cy="2507020"/>
            <wp:effectExtent l="0" t="0" r="0" b="7620"/>
            <wp:docPr id="1857959279" name="Picture 1" descr="Figure 4: Kaplan Meier curves of PFS based on Independent Reviewer-Assessed Response (ITT Population) recommendation following the clinic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59279" name="Picture 1" descr="Figure 4: Kaplan Meier curves of PFS based on Independent Reviewer-Assessed Response (ITT Population) recommendation following the clinical evaluation"/>
                    <pic:cNvPicPr/>
                  </pic:nvPicPr>
                  <pic:blipFill>
                    <a:blip r:embed="rId32"/>
                    <a:stretch>
                      <a:fillRect/>
                    </a:stretch>
                  </pic:blipFill>
                  <pic:spPr>
                    <a:xfrm>
                      <a:off x="0" y="0"/>
                      <a:ext cx="4380203" cy="2515598"/>
                    </a:xfrm>
                    <a:prstGeom prst="rect">
                      <a:avLst/>
                    </a:prstGeom>
                  </pic:spPr>
                </pic:pic>
              </a:graphicData>
            </a:graphic>
          </wp:inline>
        </w:drawing>
      </w:r>
    </w:p>
    <w:p w14:paraId="080D542E" w14:textId="04DC549C" w:rsidR="00A57573" w:rsidRPr="00073830" w:rsidRDefault="005D2E68" w:rsidP="00073830">
      <w:pPr>
        <w:pStyle w:val="FigureDescription"/>
      </w:pPr>
      <w:r w:rsidRPr="00073830">
        <w:t>Note: There were 2 participants in the ITT Population who were randomized, not treated, re-screened, and re-randomized. They were counted as 4 unique participants in this figure.</w:t>
      </w:r>
    </w:p>
    <w:p w14:paraId="38BD0DFF" w14:textId="40D5F220" w:rsidR="002B260A" w:rsidRDefault="002B260A" w:rsidP="002B260A">
      <w:r>
        <w:t>There were no apparent subgroup effects</w:t>
      </w:r>
      <w:r w:rsidR="007A46C4">
        <w:t xml:space="preserve"> (Figure 5)</w:t>
      </w:r>
      <w:r>
        <w:t>.</w:t>
      </w:r>
    </w:p>
    <w:p w14:paraId="3E97DB31" w14:textId="1E0F7363" w:rsidR="005D2E68" w:rsidRDefault="002B260A" w:rsidP="00D10AC8">
      <w:pPr>
        <w:pStyle w:val="FigureTitle"/>
      </w:pPr>
      <w:r>
        <w:t>Figure</w:t>
      </w:r>
      <w:r w:rsidR="003716D8">
        <w:t xml:space="preserve"> 5</w:t>
      </w:r>
      <w:r>
        <w:t>: Forest Plot – Progression-Free Survival Based on Independent Reviewer-Assessed Response (ITT Population)</w:t>
      </w:r>
    </w:p>
    <w:p w14:paraId="2F4AF357" w14:textId="11402FFF" w:rsidR="00D10AC8" w:rsidRDefault="00D10AC8" w:rsidP="002B260A">
      <w:r w:rsidRPr="00D10AC8">
        <w:rPr>
          <w:noProof/>
        </w:rPr>
        <w:drawing>
          <wp:inline distT="0" distB="0" distL="0" distR="0" wp14:anchorId="667DFCF6" wp14:editId="43A4A0FC">
            <wp:extent cx="5152446" cy="4741159"/>
            <wp:effectExtent l="0" t="0" r="0" b="2540"/>
            <wp:docPr id="1476679751" name="Picture 1" descr="Figure 5: Forest Plot – Progression-Free Survival Based on Independent Reviewer-Assessed Respons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79751" name="Picture 1" descr="Figure 5: Forest Plot – Progression-Free Survival Based on Independent Reviewer-Assessed Response (ITT Population)"/>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167787" cy="4755276"/>
                    </a:xfrm>
                    <a:prstGeom prst="rect">
                      <a:avLst/>
                    </a:prstGeom>
                  </pic:spPr>
                </pic:pic>
              </a:graphicData>
            </a:graphic>
          </wp:inline>
        </w:drawing>
      </w:r>
    </w:p>
    <w:p w14:paraId="34630417" w14:textId="01D9F26A" w:rsidR="000274B5" w:rsidRPr="000274B5" w:rsidRDefault="000274B5" w:rsidP="000274B5">
      <w:pPr>
        <w:pStyle w:val="FigureDescription"/>
        <w:spacing w:line="240" w:lineRule="auto"/>
        <w:contextualSpacing/>
      </w:pPr>
      <w:r w:rsidRPr="000274B5">
        <w:lastRenderedPageBreak/>
        <w:t>[1] HRs for subgroups were only plotted if number of events ≥20 in total across both treatments. HRs for subgroups</w:t>
      </w:r>
      <w:r>
        <w:t xml:space="preserve"> </w:t>
      </w:r>
      <w:r w:rsidRPr="000274B5">
        <w:t>were estimated using Cox Proportional Hazard models, without adjustment for stratification variables.</w:t>
      </w:r>
    </w:p>
    <w:p w14:paraId="134A8C38" w14:textId="06C94BA8" w:rsidR="000274B5" w:rsidRPr="000274B5" w:rsidRDefault="000274B5" w:rsidP="000274B5">
      <w:pPr>
        <w:pStyle w:val="FigureDescription"/>
        <w:spacing w:line="240" w:lineRule="auto"/>
        <w:contextualSpacing/>
      </w:pPr>
      <w:r w:rsidRPr="000274B5">
        <w:t>[2] Stratified by the number of lines of prior therapy (1 vs. 2/3 vs. ≥4), prior bortezomib (no, yes), and R-ISS at</w:t>
      </w:r>
      <w:r>
        <w:t xml:space="preserve"> </w:t>
      </w:r>
      <w:r w:rsidRPr="000274B5">
        <w:t>screening (I vs. II/III) according to IVRS strata with a covariate of treatment.</w:t>
      </w:r>
    </w:p>
    <w:p w14:paraId="3606D241" w14:textId="111CF1E1" w:rsidR="000274B5" w:rsidRPr="000274B5" w:rsidRDefault="000274B5" w:rsidP="000274B5">
      <w:pPr>
        <w:pStyle w:val="FigureDescription"/>
        <w:spacing w:line="240" w:lineRule="auto"/>
        <w:contextualSpacing/>
      </w:pPr>
      <w:r w:rsidRPr="000274B5">
        <w:t xml:space="preserve">[3] A participant was considered as high risk if the participant had any of the following cytogenetics: </w:t>
      </w:r>
      <w:proofErr w:type="gramStart"/>
      <w:r w:rsidRPr="000274B5">
        <w:t>t(</w:t>
      </w:r>
      <w:proofErr w:type="gramEnd"/>
      <w:r w:rsidRPr="000274B5">
        <w:t xml:space="preserve">4;14), </w:t>
      </w:r>
      <w:proofErr w:type="gramStart"/>
      <w:r w:rsidRPr="000274B5">
        <w:t>t(</w:t>
      </w:r>
      <w:proofErr w:type="gramEnd"/>
      <w:r w:rsidRPr="000274B5">
        <w:t>14;16),</w:t>
      </w:r>
      <w:r>
        <w:t xml:space="preserve"> </w:t>
      </w:r>
      <w:r w:rsidRPr="000274B5">
        <w:t>or 17p13del.</w:t>
      </w:r>
    </w:p>
    <w:p w14:paraId="6F7DECAC" w14:textId="0452F6DF" w:rsidR="000274B5" w:rsidRPr="000274B5" w:rsidRDefault="000274B5" w:rsidP="000274B5">
      <w:pPr>
        <w:pStyle w:val="FigureDescription"/>
        <w:spacing w:line="240" w:lineRule="auto"/>
        <w:contextualSpacing/>
      </w:pPr>
      <w:r w:rsidRPr="000274B5">
        <w:t>[4] A participant was considered standard risk if the participant had negative results for all high-risk abnormalities:</w:t>
      </w:r>
      <w:r>
        <w:t xml:space="preserve"> </w:t>
      </w:r>
      <w:proofErr w:type="gramStart"/>
      <w:r w:rsidRPr="000274B5">
        <w:t>t(</w:t>
      </w:r>
      <w:proofErr w:type="gramEnd"/>
      <w:r w:rsidRPr="000274B5">
        <w:t xml:space="preserve">4;14), </w:t>
      </w:r>
      <w:proofErr w:type="gramStart"/>
      <w:r w:rsidRPr="000274B5">
        <w:t>t(</w:t>
      </w:r>
      <w:proofErr w:type="gramEnd"/>
      <w:r w:rsidRPr="000274B5">
        <w:t>14;16), or 17p13del.</w:t>
      </w:r>
    </w:p>
    <w:p w14:paraId="1240BED1" w14:textId="70763FB7" w:rsidR="000274B5" w:rsidRDefault="000274B5" w:rsidP="000274B5">
      <w:pPr>
        <w:pStyle w:val="FigureDescription"/>
        <w:spacing w:line="240" w:lineRule="auto"/>
        <w:contextualSpacing/>
      </w:pPr>
      <w:r w:rsidRPr="000274B5">
        <w:t>Note: There were 2 participants in the ITT Population who were randomized, not treated, re-screened, and</w:t>
      </w:r>
      <w:r>
        <w:t xml:space="preserve"> </w:t>
      </w:r>
      <w:r w:rsidRPr="000274B5">
        <w:t>re-randomized. They were counted as 4 unique participants in this figure.</w:t>
      </w:r>
    </w:p>
    <w:p w14:paraId="1A6663E6" w14:textId="470E27C0" w:rsidR="007B34AB" w:rsidRDefault="007B34AB" w:rsidP="007B34AB">
      <w:r>
        <w:t xml:space="preserve">The investigator assessments of </w:t>
      </w:r>
      <w:r w:rsidR="0044266D">
        <w:t>progressive disease</w:t>
      </w:r>
      <w:r>
        <w:t xml:space="preserve"> were in concordance with the </w:t>
      </w:r>
      <w:r w:rsidR="00395B7C" w:rsidRPr="00395B7C">
        <w:t>Independent Review Committee</w:t>
      </w:r>
      <w:r w:rsidR="00395B7C">
        <w:t xml:space="preserve"> (</w:t>
      </w:r>
      <w:r>
        <w:t>IRC</w:t>
      </w:r>
      <w:r w:rsidR="00395B7C">
        <w:t>)</w:t>
      </w:r>
      <w:r>
        <w:t xml:space="preserve"> assessments</w:t>
      </w:r>
      <w:r w:rsidR="00073830">
        <w:t xml:space="preserve">. </w:t>
      </w:r>
      <w:r>
        <w:t xml:space="preserve">The sensitivity analyses </w:t>
      </w:r>
      <w:proofErr w:type="gramStart"/>
      <w:r>
        <w:t>were in agreement</w:t>
      </w:r>
      <w:proofErr w:type="gramEnd"/>
      <w:r>
        <w:t xml:space="preserve"> with the primary analysis.</w:t>
      </w:r>
    </w:p>
    <w:p w14:paraId="65133D3A" w14:textId="31743D65" w:rsidR="007B34AB" w:rsidRDefault="007B34AB" w:rsidP="006810AA">
      <w:pPr>
        <w:pStyle w:val="Heading6"/>
      </w:pPr>
      <w:r>
        <w:t xml:space="preserve">Results for the </w:t>
      </w:r>
      <w:r w:rsidR="006810AA">
        <w:t>k</w:t>
      </w:r>
      <w:r>
        <w:t>ey secondary efficacy outcome measures</w:t>
      </w:r>
      <w:fldSimple w:instr=" DOCVARIABLE vault_nd_27ae8e7b-4bc9-49fb-8d74-dbb4c2ac3668 \* MERGEFORMAT ">
        <w:r w:rsidR="00145B4A">
          <w:t xml:space="preserve"> </w:t>
        </w:r>
      </w:fldSimple>
    </w:p>
    <w:p w14:paraId="2E20CFA2" w14:textId="7C1A3C27" w:rsidR="007B34AB" w:rsidRDefault="007B34AB" w:rsidP="007B34AB">
      <w:r>
        <w:t xml:space="preserve">Overall Survival: death was reported for 54 (22%) participants in the </w:t>
      </w:r>
      <w:proofErr w:type="spellStart"/>
      <w:r>
        <w:t>BVd</w:t>
      </w:r>
      <w:proofErr w:type="spellEnd"/>
      <w:r>
        <w:t xml:space="preserve"> group and 87 (35%) in the </w:t>
      </w:r>
      <w:proofErr w:type="spellStart"/>
      <w:proofErr w:type="gramStart"/>
      <w:r>
        <w:t>DVd</w:t>
      </w:r>
      <w:proofErr w:type="spellEnd"/>
      <w:r>
        <w:t xml:space="preserve"> .</w:t>
      </w:r>
      <w:proofErr w:type="gramEnd"/>
      <w:r>
        <w:t xml:space="preserve"> The </w:t>
      </w:r>
      <w:r w:rsidR="00986C1C">
        <w:t>hazard ratio</w:t>
      </w:r>
      <w:r>
        <w:t xml:space="preserve"> (95% CI) </w:t>
      </w:r>
      <w:proofErr w:type="spellStart"/>
      <w:r>
        <w:t>BVd</w:t>
      </w:r>
      <w:proofErr w:type="spellEnd"/>
      <w:r>
        <w:t>/</w:t>
      </w:r>
      <w:proofErr w:type="spellStart"/>
      <w:r>
        <w:t>DVd</w:t>
      </w:r>
      <w:proofErr w:type="spellEnd"/>
      <w:r>
        <w:t xml:space="preserve"> for death was 0.57 (0.40 to 0.80), p = 0.00049</w:t>
      </w:r>
      <w:r w:rsidR="00073830">
        <w:t xml:space="preserve">. </w:t>
      </w:r>
      <w:r>
        <w:t>The OS benefit was apparent by Month 12 and persisted to Month 40</w:t>
      </w:r>
      <w:r w:rsidR="003716D8">
        <w:t xml:space="preserve"> (Table 4 and Figure 6)</w:t>
      </w:r>
      <w:r>
        <w:t>.</w:t>
      </w:r>
    </w:p>
    <w:p w14:paraId="22AD9AB7" w14:textId="36E2902D" w:rsidR="007B34AB" w:rsidRDefault="007B34AB" w:rsidP="007B34AB">
      <w:pPr>
        <w:pStyle w:val="TableTitle"/>
      </w:pPr>
      <w:r>
        <w:t>Table</w:t>
      </w:r>
      <w:r w:rsidR="003716D8">
        <w:t xml:space="preserve"> 4</w:t>
      </w:r>
      <w:r>
        <w:t>: Summary of Overall Survival (ITT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top w:w="15" w:type="dxa"/>
          <w:left w:w="15" w:type="dxa"/>
          <w:bottom w:w="15" w:type="dxa"/>
          <w:right w:w="15" w:type="dxa"/>
        </w:tblCellMar>
        <w:tblLook w:val="04A0" w:firstRow="1" w:lastRow="0" w:firstColumn="1" w:lastColumn="0" w:noHBand="0" w:noVBand="1"/>
        <w:tblDescription w:val="Table 4: Summary of Overall Survival (ITT Population)"/>
      </w:tblPr>
      <w:tblGrid>
        <w:gridCol w:w="4245"/>
        <w:gridCol w:w="1586"/>
        <w:gridCol w:w="1847"/>
      </w:tblGrid>
      <w:tr w:rsidR="004E5E9B" w:rsidRPr="003F7444" w14:paraId="372D3015" w14:textId="77777777" w:rsidTr="009E475B">
        <w:trPr>
          <w:tblHeader/>
        </w:trPr>
        <w:tc>
          <w:tcPr>
            <w:tcW w:w="4245" w:type="dxa"/>
            <w:shd w:val="clear" w:color="auto" w:fill="DEEAF6"/>
            <w:vAlign w:val="center"/>
            <w:hideMark/>
          </w:tcPr>
          <w:p w14:paraId="6617486F" w14:textId="77777777" w:rsidR="004E5E9B" w:rsidRPr="003F7444" w:rsidRDefault="004E5E9B" w:rsidP="00893CC2">
            <w:pPr>
              <w:spacing w:after="0" w:line="240" w:lineRule="auto"/>
              <w:rPr>
                <w:rFonts w:eastAsia="Times New Roman" w:cs="Segoe UI"/>
                <w:color w:val="263287"/>
                <w:szCs w:val="22"/>
                <w:lang w:eastAsia="en-AU"/>
              </w:rPr>
            </w:pPr>
          </w:p>
        </w:tc>
        <w:tc>
          <w:tcPr>
            <w:tcW w:w="1586" w:type="dxa"/>
            <w:shd w:val="clear" w:color="auto" w:fill="DEEAF6"/>
            <w:vAlign w:val="center"/>
            <w:hideMark/>
          </w:tcPr>
          <w:p w14:paraId="2642BB51" w14:textId="77777777" w:rsidR="004E5E9B" w:rsidRPr="003F7444" w:rsidRDefault="004E5E9B" w:rsidP="00893CC2">
            <w:pPr>
              <w:spacing w:after="0" w:line="240" w:lineRule="auto"/>
              <w:jc w:val="center"/>
              <w:rPr>
                <w:rFonts w:eastAsia="Times New Roman" w:cs="Times New Roman"/>
                <w:b/>
                <w:bCs/>
                <w:color w:val="263287"/>
                <w:szCs w:val="22"/>
                <w:lang w:eastAsia="en-AU"/>
              </w:rPr>
            </w:pPr>
            <w:proofErr w:type="spellStart"/>
            <w:r w:rsidRPr="003F7444">
              <w:rPr>
                <w:rFonts w:eastAsia="Times New Roman" w:cs="Times New Roman"/>
                <w:b/>
                <w:bCs/>
                <w:color w:val="263287"/>
                <w:szCs w:val="22"/>
                <w:lang w:eastAsia="en-AU"/>
              </w:rPr>
              <w:t>BVd</w:t>
            </w:r>
            <w:proofErr w:type="spellEnd"/>
            <w:r w:rsidRPr="003F7444">
              <w:rPr>
                <w:rFonts w:eastAsia="Times New Roman" w:cs="Times New Roman"/>
                <w:b/>
                <w:bCs/>
                <w:color w:val="263287"/>
                <w:szCs w:val="22"/>
                <w:lang w:eastAsia="en-AU"/>
              </w:rPr>
              <w:t xml:space="preserve"> </w:t>
            </w:r>
          </w:p>
          <w:p w14:paraId="6918E8F7" w14:textId="77777777" w:rsidR="004E5E9B" w:rsidRPr="003F7444" w:rsidRDefault="004E5E9B" w:rsidP="00893CC2">
            <w:pPr>
              <w:spacing w:after="0" w:line="240" w:lineRule="auto"/>
              <w:jc w:val="center"/>
              <w:rPr>
                <w:rFonts w:eastAsia="Times New Roman" w:cs="Times New Roman"/>
                <w:b/>
                <w:bCs/>
                <w:color w:val="263287"/>
                <w:szCs w:val="22"/>
                <w:lang w:eastAsia="en-AU"/>
              </w:rPr>
            </w:pPr>
            <w:r w:rsidRPr="003F7444">
              <w:rPr>
                <w:rFonts w:eastAsia="Times New Roman" w:cs="Times New Roman"/>
                <w:b/>
                <w:bCs/>
                <w:color w:val="263287"/>
                <w:szCs w:val="22"/>
                <w:lang w:eastAsia="en-AU"/>
              </w:rPr>
              <w:t>(N=243)</w:t>
            </w:r>
          </w:p>
        </w:tc>
        <w:tc>
          <w:tcPr>
            <w:tcW w:w="1847" w:type="dxa"/>
            <w:shd w:val="clear" w:color="auto" w:fill="DEEAF6"/>
            <w:vAlign w:val="center"/>
            <w:hideMark/>
          </w:tcPr>
          <w:p w14:paraId="7BAE4410" w14:textId="77777777" w:rsidR="004E5E9B" w:rsidRPr="003F7444" w:rsidRDefault="004E5E9B" w:rsidP="00893CC2">
            <w:pPr>
              <w:spacing w:after="0" w:line="240" w:lineRule="auto"/>
              <w:jc w:val="center"/>
              <w:rPr>
                <w:rFonts w:eastAsia="Times New Roman" w:cs="Times New Roman"/>
                <w:b/>
                <w:bCs/>
                <w:color w:val="263287"/>
                <w:szCs w:val="22"/>
                <w:lang w:eastAsia="en-AU"/>
              </w:rPr>
            </w:pPr>
            <w:proofErr w:type="spellStart"/>
            <w:r w:rsidRPr="003F7444">
              <w:rPr>
                <w:rFonts w:eastAsia="Times New Roman" w:cs="Times New Roman"/>
                <w:b/>
                <w:bCs/>
                <w:color w:val="263287"/>
                <w:szCs w:val="22"/>
                <w:lang w:eastAsia="en-AU"/>
              </w:rPr>
              <w:t>DVd</w:t>
            </w:r>
            <w:proofErr w:type="spellEnd"/>
            <w:r w:rsidRPr="003F7444">
              <w:rPr>
                <w:rFonts w:eastAsia="Times New Roman" w:cs="Times New Roman"/>
                <w:b/>
                <w:bCs/>
                <w:color w:val="263287"/>
                <w:szCs w:val="22"/>
                <w:lang w:eastAsia="en-AU"/>
              </w:rPr>
              <w:t xml:space="preserve"> </w:t>
            </w:r>
          </w:p>
          <w:p w14:paraId="67760F13" w14:textId="77777777" w:rsidR="004E5E9B" w:rsidRPr="003F7444" w:rsidRDefault="004E5E9B" w:rsidP="00893CC2">
            <w:pPr>
              <w:spacing w:after="0" w:line="240" w:lineRule="auto"/>
              <w:jc w:val="center"/>
              <w:rPr>
                <w:rFonts w:eastAsia="Times New Roman" w:cs="Times New Roman"/>
                <w:b/>
                <w:bCs/>
                <w:color w:val="263287"/>
                <w:szCs w:val="22"/>
                <w:lang w:eastAsia="en-AU"/>
              </w:rPr>
            </w:pPr>
            <w:r w:rsidRPr="003F7444">
              <w:rPr>
                <w:rFonts w:eastAsia="Times New Roman" w:cs="Times New Roman"/>
                <w:b/>
                <w:bCs/>
                <w:color w:val="263287"/>
                <w:szCs w:val="22"/>
                <w:lang w:eastAsia="en-AU"/>
              </w:rPr>
              <w:t>(N=251)</w:t>
            </w:r>
          </w:p>
        </w:tc>
      </w:tr>
      <w:tr w:rsidR="004E5E9B" w:rsidRPr="003F7444" w14:paraId="4DDB89F7" w14:textId="77777777" w:rsidTr="0065120F">
        <w:tc>
          <w:tcPr>
            <w:tcW w:w="7678" w:type="dxa"/>
            <w:gridSpan w:val="3"/>
            <w:vAlign w:val="center"/>
            <w:hideMark/>
          </w:tcPr>
          <w:p w14:paraId="5B9A69D9"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b/>
                <w:bCs/>
                <w:szCs w:val="22"/>
                <w:lang w:eastAsia="en-AU"/>
              </w:rPr>
              <w:t>Number of participants, n (%)</w:t>
            </w:r>
          </w:p>
        </w:tc>
      </w:tr>
      <w:tr w:rsidR="004E5E9B" w:rsidRPr="003F7444" w14:paraId="1ACE8CFD" w14:textId="77777777" w:rsidTr="009E475B">
        <w:tc>
          <w:tcPr>
            <w:tcW w:w="4245" w:type="dxa"/>
            <w:vAlign w:val="center"/>
            <w:hideMark/>
          </w:tcPr>
          <w:p w14:paraId="7A48A44A"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Died (event)</w:t>
            </w:r>
          </w:p>
        </w:tc>
        <w:tc>
          <w:tcPr>
            <w:tcW w:w="1586" w:type="dxa"/>
            <w:vAlign w:val="center"/>
            <w:hideMark/>
          </w:tcPr>
          <w:p w14:paraId="4FD3A9BC"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54 (22%)</w:t>
            </w:r>
          </w:p>
        </w:tc>
        <w:tc>
          <w:tcPr>
            <w:tcW w:w="1847" w:type="dxa"/>
            <w:vAlign w:val="center"/>
            <w:hideMark/>
          </w:tcPr>
          <w:p w14:paraId="06237F12"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87 (35%)</w:t>
            </w:r>
          </w:p>
        </w:tc>
      </w:tr>
      <w:tr w:rsidR="004E5E9B" w:rsidRPr="003F7444" w14:paraId="7DDF6921" w14:textId="77777777" w:rsidTr="009E475B">
        <w:tc>
          <w:tcPr>
            <w:tcW w:w="4245" w:type="dxa"/>
            <w:vAlign w:val="center"/>
            <w:hideMark/>
          </w:tcPr>
          <w:p w14:paraId="01038946"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Censored, follow</w:t>
            </w:r>
            <w:r w:rsidRPr="003F7444">
              <w:rPr>
                <w:rFonts w:eastAsia="Times New Roman" w:cs="Times New Roman"/>
                <w:szCs w:val="22"/>
                <w:lang w:eastAsia="en-AU"/>
              </w:rPr>
              <w:noBreakHyphen/>
              <w:t>up ended</w:t>
            </w:r>
          </w:p>
        </w:tc>
        <w:tc>
          <w:tcPr>
            <w:tcW w:w="1586" w:type="dxa"/>
            <w:vAlign w:val="center"/>
            <w:hideMark/>
          </w:tcPr>
          <w:p w14:paraId="7FB60137"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20 (8%)</w:t>
            </w:r>
          </w:p>
        </w:tc>
        <w:tc>
          <w:tcPr>
            <w:tcW w:w="1847" w:type="dxa"/>
            <w:vAlign w:val="center"/>
            <w:hideMark/>
          </w:tcPr>
          <w:p w14:paraId="0459A36E"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28 (11%)</w:t>
            </w:r>
          </w:p>
        </w:tc>
      </w:tr>
      <w:tr w:rsidR="004E5E9B" w:rsidRPr="003F7444" w14:paraId="171BFD13" w14:textId="77777777" w:rsidTr="009E475B">
        <w:tc>
          <w:tcPr>
            <w:tcW w:w="4245" w:type="dxa"/>
            <w:vAlign w:val="center"/>
            <w:hideMark/>
          </w:tcPr>
          <w:p w14:paraId="7ED123B3" w14:textId="77777777" w:rsidR="004E5E9B" w:rsidRPr="003F7444" w:rsidRDefault="004E5E9B"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Alive date obtained</w:t>
            </w:r>
          </w:p>
        </w:tc>
        <w:tc>
          <w:tcPr>
            <w:tcW w:w="1586" w:type="dxa"/>
            <w:vAlign w:val="center"/>
            <w:hideMark/>
          </w:tcPr>
          <w:p w14:paraId="38538F07"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6 (2%)</w:t>
            </w:r>
          </w:p>
        </w:tc>
        <w:tc>
          <w:tcPr>
            <w:tcW w:w="1847" w:type="dxa"/>
            <w:vAlign w:val="center"/>
            <w:hideMark/>
          </w:tcPr>
          <w:p w14:paraId="78A2C2E6"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12 (5%)</w:t>
            </w:r>
          </w:p>
        </w:tc>
      </w:tr>
      <w:tr w:rsidR="004E5E9B" w:rsidRPr="003F7444" w14:paraId="75216534" w14:textId="77777777" w:rsidTr="009E475B">
        <w:tc>
          <w:tcPr>
            <w:tcW w:w="4245" w:type="dxa"/>
            <w:vAlign w:val="center"/>
            <w:hideMark/>
          </w:tcPr>
          <w:p w14:paraId="27C87DC6" w14:textId="77777777" w:rsidR="004E5E9B" w:rsidRPr="003F7444" w:rsidRDefault="004E5E9B"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No alive date obtained</w:t>
            </w:r>
          </w:p>
        </w:tc>
        <w:tc>
          <w:tcPr>
            <w:tcW w:w="1586" w:type="dxa"/>
            <w:vAlign w:val="center"/>
            <w:hideMark/>
          </w:tcPr>
          <w:p w14:paraId="518DCD6D"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14 (6%)</w:t>
            </w:r>
          </w:p>
        </w:tc>
        <w:tc>
          <w:tcPr>
            <w:tcW w:w="1847" w:type="dxa"/>
            <w:vAlign w:val="center"/>
            <w:hideMark/>
          </w:tcPr>
          <w:p w14:paraId="480EA6CA"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16 (6%)</w:t>
            </w:r>
          </w:p>
        </w:tc>
      </w:tr>
      <w:tr w:rsidR="004E5E9B" w:rsidRPr="003F7444" w14:paraId="783CCECA" w14:textId="77777777" w:rsidTr="009E475B">
        <w:tc>
          <w:tcPr>
            <w:tcW w:w="4245" w:type="dxa"/>
            <w:vAlign w:val="center"/>
            <w:hideMark/>
          </w:tcPr>
          <w:p w14:paraId="1D346338"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Censored, follow</w:t>
            </w:r>
            <w:r w:rsidRPr="003F7444">
              <w:rPr>
                <w:rFonts w:eastAsia="Times New Roman" w:cs="Times New Roman"/>
                <w:szCs w:val="22"/>
                <w:lang w:eastAsia="en-AU"/>
              </w:rPr>
              <w:noBreakHyphen/>
              <w:t>up ongoing</w:t>
            </w:r>
          </w:p>
        </w:tc>
        <w:tc>
          <w:tcPr>
            <w:tcW w:w="1586" w:type="dxa"/>
            <w:vAlign w:val="center"/>
            <w:hideMark/>
          </w:tcPr>
          <w:p w14:paraId="7DCF2166"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169 (70%)</w:t>
            </w:r>
          </w:p>
        </w:tc>
        <w:tc>
          <w:tcPr>
            <w:tcW w:w="1847" w:type="dxa"/>
            <w:vAlign w:val="center"/>
            <w:hideMark/>
          </w:tcPr>
          <w:p w14:paraId="0E413FE4"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136 (54%)</w:t>
            </w:r>
          </w:p>
        </w:tc>
      </w:tr>
      <w:tr w:rsidR="004E5E9B" w:rsidRPr="003F7444" w14:paraId="60F35D95" w14:textId="77777777" w:rsidTr="0065120F">
        <w:tc>
          <w:tcPr>
            <w:tcW w:w="7678" w:type="dxa"/>
            <w:gridSpan w:val="3"/>
            <w:vAlign w:val="center"/>
            <w:hideMark/>
          </w:tcPr>
          <w:p w14:paraId="4FD607BA"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b/>
                <w:bCs/>
                <w:szCs w:val="22"/>
                <w:lang w:eastAsia="en-AU"/>
              </w:rPr>
              <w:t>Event summary, n (%)</w:t>
            </w:r>
          </w:p>
        </w:tc>
      </w:tr>
      <w:tr w:rsidR="004E5E9B" w:rsidRPr="003F7444" w14:paraId="7432F345" w14:textId="77777777" w:rsidTr="009E475B">
        <w:tc>
          <w:tcPr>
            <w:tcW w:w="4245" w:type="dxa"/>
            <w:vAlign w:val="center"/>
            <w:hideMark/>
          </w:tcPr>
          <w:p w14:paraId="735A165C"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Death</w:t>
            </w:r>
          </w:p>
        </w:tc>
        <w:tc>
          <w:tcPr>
            <w:tcW w:w="1586" w:type="dxa"/>
            <w:vAlign w:val="center"/>
            <w:hideMark/>
          </w:tcPr>
          <w:p w14:paraId="6218C394"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54 (22%)</w:t>
            </w:r>
          </w:p>
        </w:tc>
        <w:tc>
          <w:tcPr>
            <w:tcW w:w="1847" w:type="dxa"/>
            <w:vAlign w:val="center"/>
            <w:hideMark/>
          </w:tcPr>
          <w:p w14:paraId="6B13DDDA"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87 (35%)</w:t>
            </w:r>
          </w:p>
        </w:tc>
      </w:tr>
      <w:tr w:rsidR="004E5E9B" w:rsidRPr="003F7444" w14:paraId="103F8AAE" w14:textId="77777777" w:rsidTr="0065120F">
        <w:tc>
          <w:tcPr>
            <w:tcW w:w="7678" w:type="dxa"/>
            <w:gridSpan w:val="3"/>
            <w:vAlign w:val="center"/>
            <w:hideMark/>
          </w:tcPr>
          <w:p w14:paraId="61ABA0AA"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b/>
                <w:bCs/>
                <w:szCs w:val="22"/>
                <w:lang w:eastAsia="en-AU"/>
              </w:rPr>
              <w:t>Estimates for time variable (months)ᵃ</w:t>
            </w:r>
          </w:p>
        </w:tc>
      </w:tr>
      <w:tr w:rsidR="004E5E9B" w:rsidRPr="003F7444" w14:paraId="7CCA3B20" w14:textId="77777777" w:rsidTr="009E475B">
        <w:tc>
          <w:tcPr>
            <w:tcW w:w="4245" w:type="dxa"/>
            <w:vAlign w:val="center"/>
            <w:hideMark/>
          </w:tcPr>
          <w:p w14:paraId="70B7DE6B"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1st quartile</w:t>
            </w:r>
          </w:p>
        </w:tc>
        <w:tc>
          <w:tcPr>
            <w:tcW w:w="1586" w:type="dxa"/>
            <w:vAlign w:val="center"/>
            <w:hideMark/>
          </w:tcPr>
          <w:p w14:paraId="58DCAB53"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33.9</w:t>
            </w:r>
          </w:p>
        </w:tc>
        <w:tc>
          <w:tcPr>
            <w:tcW w:w="1847" w:type="dxa"/>
            <w:vAlign w:val="center"/>
            <w:hideMark/>
          </w:tcPr>
          <w:p w14:paraId="24A5841E"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15.2</w:t>
            </w:r>
          </w:p>
        </w:tc>
      </w:tr>
      <w:tr w:rsidR="004E5E9B" w:rsidRPr="003F7444" w14:paraId="6D20960B" w14:textId="77777777" w:rsidTr="009E475B">
        <w:tc>
          <w:tcPr>
            <w:tcW w:w="4245" w:type="dxa"/>
            <w:vAlign w:val="center"/>
            <w:hideMark/>
          </w:tcPr>
          <w:p w14:paraId="754B3EB8" w14:textId="77777777" w:rsidR="004E5E9B" w:rsidRPr="003F7444" w:rsidRDefault="004E5E9B"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86" w:type="dxa"/>
            <w:vAlign w:val="center"/>
            <w:hideMark/>
          </w:tcPr>
          <w:p w14:paraId="62B22209"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(21.9, –)</w:t>
            </w:r>
          </w:p>
        </w:tc>
        <w:tc>
          <w:tcPr>
            <w:tcW w:w="1847" w:type="dxa"/>
            <w:vAlign w:val="center"/>
            <w:hideMark/>
          </w:tcPr>
          <w:p w14:paraId="66D0A396"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(12.3, 21.1)</w:t>
            </w:r>
          </w:p>
        </w:tc>
      </w:tr>
      <w:tr w:rsidR="004E5E9B" w:rsidRPr="003F7444" w14:paraId="7F33F9BF" w14:textId="77777777" w:rsidTr="009E475B">
        <w:tc>
          <w:tcPr>
            <w:tcW w:w="4245" w:type="dxa"/>
            <w:vAlign w:val="center"/>
            <w:hideMark/>
          </w:tcPr>
          <w:p w14:paraId="16291B0F"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Median</w:t>
            </w:r>
          </w:p>
        </w:tc>
        <w:tc>
          <w:tcPr>
            <w:tcW w:w="1586" w:type="dxa"/>
            <w:vAlign w:val="center"/>
            <w:hideMark/>
          </w:tcPr>
          <w:p w14:paraId="41FFDA0D"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w:t>
            </w:r>
          </w:p>
        </w:tc>
        <w:tc>
          <w:tcPr>
            <w:tcW w:w="1847" w:type="dxa"/>
            <w:vAlign w:val="center"/>
            <w:hideMark/>
          </w:tcPr>
          <w:p w14:paraId="0F5D0921"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w:t>
            </w:r>
          </w:p>
        </w:tc>
      </w:tr>
      <w:tr w:rsidR="004E5E9B" w:rsidRPr="003F7444" w14:paraId="34250DE8" w14:textId="77777777" w:rsidTr="009E475B">
        <w:tc>
          <w:tcPr>
            <w:tcW w:w="4245" w:type="dxa"/>
            <w:vAlign w:val="center"/>
            <w:hideMark/>
          </w:tcPr>
          <w:p w14:paraId="08010E86" w14:textId="77777777" w:rsidR="004E5E9B" w:rsidRPr="003F7444" w:rsidRDefault="004E5E9B"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86" w:type="dxa"/>
            <w:vAlign w:val="center"/>
            <w:hideMark/>
          </w:tcPr>
          <w:p w14:paraId="2B96E127"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 –)</w:t>
            </w:r>
          </w:p>
        </w:tc>
        <w:tc>
          <w:tcPr>
            <w:tcW w:w="1847" w:type="dxa"/>
            <w:vAlign w:val="center"/>
            <w:hideMark/>
          </w:tcPr>
          <w:p w14:paraId="56487107"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 –)</w:t>
            </w:r>
          </w:p>
        </w:tc>
      </w:tr>
      <w:tr w:rsidR="004E5E9B" w:rsidRPr="003F7444" w14:paraId="08154055" w14:textId="77777777" w:rsidTr="009E475B">
        <w:tc>
          <w:tcPr>
            <w:tcW w:w="4245" w:type="dxa"/>
            <w:vAlign w:val="center"/>
            <w:hideMark/>
          </w:tcPr>
          <w:p w14:paraId="0C935A7F"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3rd quartile</w:t>
            </w:r>
          </w:p>
        </w:tc>
        <w:tc>
          <w:tcPr>
            <w:tcW w:w="1586" w:type="dxa"/>
            <w:vAlign w:val="center"/>
            <w:hideMark/>
          </w:tcPr>
          <w:p w14:paraId="0C036C1E"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w:t>
            </w:r>
          </w:p>
        </w:tc>
        <w:tc>
          <w:tcPr>
            <w:tcW w:w="1847" w:type="dxa"/>
            <w:vAlign w:val="center"/>
            <w:hideMark/>
          </w:tcPr>
          <w:p w14:paraId="7A57744A"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w:t>
            </w:r>
          </w:p>
        </w:tc>
      </w:tr>
      <w:tr w:rsidR="004E5E9B" w:rsidRPr="003F7444" w14:paraId="157699B2" w14:textId="77777777" w:rsidTr="009E475B">
        <w:tc>
          <w:tcPr>
            <w:tcW w:w="4245" w:type="dxa"/>
            <w:vAlign w:val="center"/>
            <w:hideMark/>
          </w:tcPr>
          <w:p w14:paraId="3251C3B0" w14:textId="77777777" w:rsidR="004E5E9B" w:rsidRPr="003F7444" w:rsidRDefault="004E5E9B"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86" w:type="dxa"/>
            <w:vAlign w:val="center"/>
            <w:hideMark/>
          </w:tcPr>
          <w:p w14:paraId="05CD035E"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 –)</w:t>
            </w:r>
          </w:p>
        </w:tc>
        <w:tc>
          <w:tcPr>
            <w:tcW w:w="1847" w:type="dxa"/>
            <w:vAlign w:val="center"/>
            <w:hideMark/>
          </w:tcPr>
          <w:p w14:paraId="2506EB1E"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 –)</w:t>
            </w:r>
          </w:p>
        </w:tc>
      </w:tr>
      <w:tr w:rsidR="004E5E9B" w:rsidRPr="003F7444" w14:paraId="60687B1C" w14:textId="77777777" w:rsidTr="0065120F">
        <w:tc>
          <w:tcPr>
            <w:tcW w:w="7678" w:type="dxa"/>
            <w:gridSpan w:val="3"/>
            <w:vAlign w:val="center"/>
            <w:hideMark/>
          </w:tcPr>
          <w:p w14:paraId="01F2F332"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b/>
                <w:bCs/>
                <w:szCs w:val="22"/>
                <w:lang w:eastAsia="en-AU"/>
              </w:rPr>
              <w:t>Hazard ratioᵇ</w:t>
            </w:r>
          </w:p>
        </w:tc>
      </w:tr>
      <w:tr w:rsidR="004E5E9B" w:rsidRPr="003F7444" w14:paraId="3DD58833" w14:textId="77777777" w:rsidTr="009E475B">
        <w:tc>
          <w:tcPr>
            <w:tcW w:w="4245" w:type="dxa"/>
            <w:vAlign w:val="center"/>
            <w:hideMark/>
          </w:tcPr>
          <w:p w14:paraId="2347D8FD"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Number of participants in model</w:t>
            </w:r>
          </w:p>
        </w:tc>
        <w:tc>
          <w:tcPr>
            <w:tcW w:w="1586" w:type="dxa"/>
            <w:vAlign w:val="center"/>
            <w:hideMark/>
          </w:tcPr>
          <w:p w14:paraId="165C170A"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243</w:t>
            </w:r>
          </w:p>
        </w:tc>
        <w:tc>
          <w:tcPr>
            <w:tcW w:w="1847" w:type="dxa"/>
            <w:vAlign w:val="center"/>
            <w:hideMark/>
          </w:tcPr>
          <w:p w14:paraId="65EC85CA"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251</w:t>
            </w:r>
          </w:p>
        </w:tc>
      </w:tr>
      <w:tr w:rsidR="004E5E9B" w:rsidRPr="003F7444" w14:paraId="40691250" w14:textId="77777777" w:rsidTr="009E475B">
        <w:tc>
          <w:tcPr>
            <w:tcW w:w="4245" w:type="dxa"/>
            <w:vAlign w:val="center"/>
            <w:hideMark/>
          </w:tcPr>
          <w:p w14:paraId="43D6E2FF"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Estimate</w:t>
            </w:r>
          </w:p>
        </w:tc>
        <w:tc>
          <w:tcPr>
            <w:tcW w:w="1586" w:type="dxa"/>
            <w:vAlign w:val="center"/>
            <w:hideMark/>
          </w:tcPr>
          <w:p w14:paraId="25CF1BA4"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0.57</w:t>
            </w:r>
          </w:p>
        </w:tc>
        <w:tc>
          <w:tcPr>
            <w:tcW w:w="1847" w:type="dxa"/>
            <w:vAlign w:val="center"/>
            <w:hideMark/>
          </w:tcPr>
          <w:p w14:paraId="1564359A" w14:textId="77777777" w:rsidR="004E5E9B" w:rsidRPr="003F7444" w:rsidRDefault="004E5E9B" w:rsidP="00893CC2">
            <w:pPr>
              <w:spacing w:after="0" w:line="240" w:lineRule="auto"/>
              <w:rPr>
                <w:rFonts w:eastAsia="Times New Roman" w:cs="Times New Roman"/>
                <w:szCs w:val="22"/>
                <w:lang w:eastAsia="en-AU"/>
              </w:rPr>
            </w:pPr>
          </w:p>
        </w:tc>
      </w:tr>
      <w:tr w:rsidR="004E5E9B" w:rsidRPr="003F7444" w14:paraId="46E6AF94" w14:textId="77777777" w:rsidTr="009E475B">
        <w:tc>
          <w:tcPr>
            <w:tcW w:w="4245" w:type="dxa"/>
            <w:vAlign w:val="center"/>
            <w:hideMark/>
          </w:tcPr>
          <w:p w14:paraId="19F057D6" w14:textId="77777777" w:rsidR="004E5E9B" w:rsidRPr="003F7444" w:rsidRDefault="004E5E9B"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86" w:type="dxa"/>
            <w:vAlign w:val="center"/>
            <w:hideMark/>
          </w:tcPr>
          <w:p w14:paraId="34667F3D"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(0.40, 0.80)</w:t>
            </w:r>
          </w:p>
        </w:tc>
        <w:tc>
          <w:tcPr>
            <w:tcW w:w="1847" w:type="dxa"/>
            <w:vAlign w:val="center"/>
            <w:hideMark/>
          </w:tcPr>
          <w:p w14:paraId="5B2C2079" w14:textId="77777777" w:rsidR="004E5E9B" w:rsidRPr="003F7444" w:rsidRDefault="004E5E9B" w:rsidP="00893CC2">
            <w:pPr>
              <w:spacing w:after="0" w:line="240" w:lineRule="auto"/>
              <w:rPr>
                <w:rFonts w:eastAsia="Times New Roman" w:cs="Times New Roman"/>
                <w:szCs w:val="22"/>
                <w:lang w:eastAsia="en-AU"/>
              </w:rPr>
            </w:pPr>
          </w:p>
        </w:tc>
      </w:tr>
      <w:tr w:rsidR="004E5E9B" w:rsidRPr="003F7444" w14:paraId="33BBAF2F" w14:textId="77777777" w:rsidTr="0065120F">
        <w:tc>
          <w:tcPr>
            <w:tcW w:w="7678" w:type="dxa"/>
            <w:gridSpan w:val="3"/>
            <w:vAlign w:val="center"/>
            <w:hideMark/>
          </w:tcPr>
          <w:p w14:paraId="1AEA90A4"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b/>
                <w:bCs/>
                <w:szCs w:val="22"/>
                <w:lang w:eastAsia="en-AU"/>
              </w:rPr>
              <w:t>Stratified log</w:t>
            </w:r>
            <w:r w:rsidRPr="003F7444">
              <w:rPr>
                <w:rFonts w:eastAsia="Times New Roman" w:cs="Times New Roman"/>
                <w:b/>
                <w:bCs/>
                <w:szCs w:val="22"/>
                <w:lang w:eastAsia="en-AU"/>
              </w:rPr>
              <w:noBreakHyphen/>
              <w:t>rankᶜ</w:t>
            </w:r>
          </w:p>
        </w:tc>
      </w:tr>
      <w:tr w:rsidR="004E5E9B" w:rsidRPr="003F7444" w14:paraId="655027F1" w14:textId="77777777" w:rsidTr="009E475B">
        <w:tc>
          <w:tcPr>
            <w:tcW w:w="4245" w:type="dxa"/>
            <w:vAlign w:val="center"/>
            <w:hideMark/>
          </w:tcPr>
          <w:p w14:paraId="423C5C1D"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P</w:t>
            </w:r>
            <w:r w:rsidRPr="003F7444">
              <w:rPr>
                <w:rFonts w:eastAsia="Times New Roman" w:cs="Times New Roman"/>
                <w:szCs w:val="22"/>
                <w:lang w:eastAsia="en-AU"/>
              </w:rPr>
              <w:noBreakHyphen/>
              <w:t>value</w:t>
            </w:r>
          </w:p>
        </w:tc>
        <w:tc>
          <w:tcPr>
            <w:tcW w:w="1586" w:type="dxa"/>
            <w:vAlign w:val="center"/>
            <w:hideMark/>
          </w:tcPr>
          <w:p w14:paraId="20A6ADA9"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0.00049</w:t>
            </w:r>
          </w:p>
        </w:tc>
        <w:tc>
          <w:tcPr>
            <w:tcW w:w="1847" w:type="dxa"/>
            <w:vAlign w:val="center"/>
            <w:hideMark/>
          </w:tcPr>
          <w:p w14:paraId="3561002A" w14:textId="77777777" w:rsidR="004E5E9B" w:rsidRPr="003F7444" w:rsidRDefault="004E5E9B" w:rsidP="00893CC2">
            <w:pPr>
              <w:spacing w:after="0" w:line="240" w:lineRule="auto"/>
              <w:rPr>
                <w:rFonts w:eastAsia="Times New Roman" w:cs="Times New Roman"/>
                <w:szCs w:val="22"/>
                <w:lang w:eastAsia="en-AU"/>
              </w:rPr>
            </w:pPr>
          </w:p>
        </w:tc>
      </w:tr>
      <w:tr w:rsidR="004E5E9B" w:rsidRPr="003F7444" w14:paraId="163FDA5A" w14:textId="77777777" w:rsidTr="0065120F">
        <w:tc>
          <w:tcPr>
            <w:tcW w:w="7678" w:type="dxa"/>
            <w:gridSpan w:val="3"/>
            <w:vAlign w:val="center"/>
            <w:hideMark/>
          </w:tcPr>
          <w:p w14:paraId="4F193CD7"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b/>
                <w:bCs/>
                <w:szCs w:val="22"/>
                <w:lang w:eastAsia="en-AU"/>
              </w:rPr>
              <w:t>Overall survival rate</w:t>
            </w:r>
          </w:p>
        </w:tc>
      </w:tr>
      <w:tr w:rsidR="004E5E9B" w:rsidRPr="003F7444" w14:paraId="25DC7D8F" w14:textId="77777777" w:rsidTr="009E475B">
        <w:tc>
          <w:tcPr>
            <w:tcW w:w="4245" w:type="dxa"/>
            <w:vAlign w:val="center"/>
            <w:hideMark/>
          </w:tcPr>
          <w:p w14:paraId="2AA864CC"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6 months</w:t>
            </w:r>
          </w:p>
        </w:tc>
        <w:tc>
          <w:tcPr>
            <w:tcW w:w="1586" w:type="dxa"/>
            <w:vAlign w:val="center"/>
            <w:hideMark/>
          </w:tcPr>
          <w:p w14:paraId="192F9F22"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0.91</w:t>
            </w:r>
          </w:p>
        </w:tc>
        <w:tc>
          <w:tcPr>
            <w:tcW w:w="1847" w:type="dxa"/>
            <w:vAlign w:val="center"/>
            <w:hideMark/>
          </w:tcPr>
          <w:p w14:paraId="52F89798"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0.89</w:t>
            </w:r>
          </w:p>
        </w:tc>
      </w:tr>
      <w:tr w:rsidR="004E5E9B" w:rsidRPr="003F7444" w14:paraId="35307353" w14:textId="77777777" w:rsidTr="009E475B">
        <w:tc>
          <w:tcPr>
            <w:tcW w:w="4245" w:type="dxa"/>
            <w:vAlign w:val="center"/>
            <w:hideMark/>
          </w:tcPr>
          <w:p w14:paraId="16C99A8A" w14:textId="77777777" w:rsidR="004E5E9B" w:rsidRPr="003F7444" w:rsidRDefault="004E5E9B"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86" w:type="dxa"/>
            <w:vAlign w:val="center"/>
            <w:hideMark/>
          </w:tcPr>
          <w:p w14:paraId="4F3A4D77"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(0.87, 0.94)</w:t>
            </w:r>
          </w:p>
        </w:tc>
        <w:tc>
          <w:tcPr>
            <w:tcW w:w="1847" w:type="dxa"/>
            <w:vAlign w:val="center"/>
            <w:hideMark/>
          </w:tcPr>
          <w:p w14:paraId="0ABAA3F4"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(0.84, 0.92)</w:t>
            </w:r>
          </w:p>
        </w:tc>
      </w:tr>
      <w:tr w:rsidR="004E5E9B" w:rsidRPr="003F7444" w14:paraId="1FDA65D1" w14:textId="77777777" w:rsidTr="009E475B">
        <w:tc>
          <w:tcPr>
            <w:tcW w:w="4245" w:type="dxa"/>
            <w:vAlign w:val="center"/>
            <w:hideMark/>
          </w:tcPr>
          <w:p w14:paraId="1EC50D06"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12 months</w:t>
            </w:r>
          </w:p>
        </w:tc>
        <w:tc>
          <w:tcPr>
            <w:tcW w:w="1586" w:type="dxa"/>
            <w:vAlign w:val="center"/>
            <w:hideMark/>
          </w:tcPr>
          <w:p w14:paraId="089158CE"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0.87</w:t>
            </w:r>
          </w:p>
        </w:tc>
        <w:tc>
          <w:tcPr>
            <w:tcW w:w="1847" w:type="dxa"/>
            <w:vAlign w:val="center"/>
            <w:hideMark/>
          </w:tcPr>
          <w:p w14:paraId="4B087E19"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0.81</w:t>
            </w:r>
          </w:p>
        </w:tc>
      </w:tr>
      <w:tr w:rsidR="004E5E9B" w:rsidRPr="003F7444" w14:paraId="531A2751" w14:textId="77777777" w:rsidTr="009E475B">
        <w:tc>
          <w:tcPr>
            <w:tcW w:w="4245" w:type="dxa"/>
            <w:vAlign w:val="center"/>
            <w:hideMark/>
          </w:tcPr>
          <w:p w14:paraId="1880C983" w14:textId="77777777" w:rsidR="004E5E9B" w:rsidRPr="003F7444" w:rsidRDefault="004E5E9B"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86" w:type="dxa"/>
            <w:vAlign w:val="center"/>
            <w:hideMark/>
          </w:tcPr>
          <w:p w14:paraId="1FBF5E1D"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(0.81, 0.90)</w:t>
            </w:r>
          </w:p>
        </w:tc>
        <w:tc>
          <w:tcPr>
            <w:tcW w:w="1847" w:type="dxa"/>
            <w:vAlign w:val="center"/>
            <w:hideMark/>
          </w:tcPr>
          <w:p w14:paraId="0B8A48DE"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(0.75, 0.85)</w:t>
            </w:r>
          </w:p>
        </w:tc>
      </w:tr>
      <w:tr w:rsidR="004E5E9B" w:rsidRPr="003F7444" w14:paraId="0BE62C40" w14:textId="77777777" w:rsidTr="009E475B">
        <w:tc>
          <w:tcPr>
            <w:tcW w:w="4245" w:type="dxa"/>
            <w:vAlign w:val="center"/>
            <w:hideMark/>
          </w:tcPr>
          <w:p w14:paraId="2D6330E2" w14:textId="77777777" w:rsidR="004E5E9B" w:rsidRPr="003F7444" w:rsidRDefault="004E5E9B"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18 months</w:t>
            </w:r>
          </w:p>
        </w:tc>
        <w:tc>
          <w:tcPr>
            <w:tcW w:w="1586" w:type="dxa"/>
            <w:vAlign w:val="center"/>
            <w:hideMark/>
          </w:tcPr>
          <w:p w14:paraId="51571B80"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0.84</w:t>
            </w:r>
          </w:p>
        </w:tc>
        <w:tc>
          <w:tcPr>
            <w:tcW w:w="1847" w:type="dxa"/>
            <w:vAlign w:val="center"/>
            <w:hideMark/>
          </w:tcPr>
          <w:p w14:paraId="15C6EFB2"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0.73</w:t>
            </w:r>
          </w:p>
        </w:tc>
      </w:tr>
      <w:tr w:rsidR="004E5E9B" w:rsidRPr="003F7444" w14:paraId="6A8A2523" w14:textId="77777777" w:rsidTr="009E475B">
        <w:tc>
          <w:tcPr>
            <w:tcW w:w="4245" w:type="dxa"/>
            <w:vAlign w:val="center"/>
            <w:hideMark/>
          </w:tcPr>
          <w:p w14:paraId="183C49A7" w14:textId="77777777" w:rsidR="004E5E9B" w:rsidRPr="003F7444" w:rsidRDefault="004E5E9B"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86" w:type="dxa"/>
            <w:vAlign w:val="center"/>
            <w:hideMark/>
          </w:tcPr>
          <w:p w14:paraId="5BE23A32"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(0.79, 0.88)</w:t>
            </w:r>
          </w:p>
        </w:tc>
        <w:tc>
          <w:tcPr>
            <w:tcW w:w="1847" w:type="dxa"/>
            <w:vAlign w:val="center"/>
            <w:hideMark/>
          </w:tcPr>
          <w:p w14:paraId="10DF88A7" w14:textId="77777777" w:rsidR="004E5E9B" w:rsidRPr="003F7444" w:rsidRDefault="004E5E9B" w:rsidP="00893CC2">
            <w:pPr>
              <w:spacing w:after="0" w:line="240" w:lineRule="auto"/>
              <w:rPr>
                <w:rFonts w:eastAsia="Times New Roman" w:cs="Times New Roman"/>
                <w:szCs w:val="22"/>
                <w:lang w:eastAsia="en-AU"/>
              </w:rPr>
            </w:pPr>
            <w:r w:rsidRPr="003F7444">
              <w:rPr>
                <w:rFonts w:eastAsia="Times New Roman" w:cs="Times New Roman"/>
                <w:szCs w:val="22"/>
                <w:lang w:eastAsia="en-AU"/>
              </w:rPr>
              <w:t>(0.67, 0.78)</w:t>
            </w:r>
          </w:p>
        </w:tc>
      </w:tr>
    </w:tbl>
    <w:p w14:paraId="27BCB910" w14:textId="77777777" w:rsidR="009E475B" w:rsidRPr="009E475B" w:rsidRDefault="009E475B" w:rsidP="009E475B">
      <w:pPr>
        <w:pStyle w:val="TableDescription"/>
        <w:contextualSpacing/>
      </w:pPr>
      <w:r w:rsidRPr="009E475B">
        <w:lastRenderedPageBreak/>
        <w:t>a. CIs were estimated using the Brookmeyer Crowley method.</w:t>
      </w:r>
    </w:p>
    <w:p w14:paraId="7BB617D5" w14:textId="645DB77D" w:rsidR="009E475B" w:rsidRPr="009E475B" w:rsidRDefault="009E475B" w:rsidP="009E475B">
      <w:pPr>
        <w:pStyle w:val="TableDescription"/>
        <w:contextualSpacing/>
      </w:pPr>
      <w:r w:rsidRPr="009E475B">
        <w:t>b. Hazard ratios were estimated using a Cox Proportional Hazards model stratified by the number of lines of prior</w:t>
      </w:r>
      <w:r>
        <w:t xml:space="preserve"> </w:t>
      </w:r>
      <w:r w:rsidRPr="009E475B">
        <w:t>therapy (1 vs. 2/3 vs. ≥4), prior bortezomib (no, yes), and R-ISS at screening (I vs. II/III), with a covariate of</w:t>
      </w:r>
      <w:r>
        <w:t xml:space="preserve"> </w:t>
      </w:r>
      <w:r w:rsidRPr="009E475B">
        <w:t>treatment.</w:t>
      </w:r>
    </w:p>
    <w:p w14:paraId="13BD4C94" w14:textId="77777777" w:rsidR="009E475B" w:rsidRPr="009E475B" w:rsidRDefault="009E475B" w:rsidP="009E475B">
      <w:pPr>
        <w:pStyle w:val="TableDescription"/>
        <w:contextualSpacing/>
      </w:pPr>
      <w:r w:rsidRPr="009E475B">
        <w:t>c. P-value from 1-sided stratified log-rank test.</w:t>
      </w:r>
    </w:p>
    <w:p w14:paraId="172430C3" w14:textId="13C06BF8" w:rsidR="004E5E9B" w:rsidRDefault="009E475B" w:rsidP="009E475B">
      <w:pPr>
        <w:pStyle w:val="TableDescription"/>
        <w:contextualSpacing/>
      </w:pPr>
      <w:r w:rsidRPr="009E475B">
        <w:t>Note: There were 2 participants in the ITT Population who were randomized, not treated, re-screened, and</w:t>
      </w:r>
      <w:r>
        <w:t xml:space="preserve"> </w:t>
      </w:r>
      <w:r w:rsidRPr="009E475B">
        <w:t>re-randomized. They are counted as 4 unique participants in this table.</w:t>
      </w:r>
    </w:p>
    <w:p w14:paraId="36686679" w14:textId="4E61F8AF" w:rsidR="007B34AB" w:rsidRDefault="00076DC1" w:rsidP="00076DC1">
      <w:pPr>
        <w:pStyle w:val="FigureTitle"/>
      </w:pPr>
      <w:r w:rsidRPr="00076DC1">
        <w:t>Figure</w:t>
      </w:r>
      <w:r w:rsidR="003716D8">
        <w:t xml:space="preserve"> 6</w:t>
      </w:r>
      <w:r w:rsidRPr="00076DC1">
        <w:t>: Kaplan-Meier Curves of Overall Survival (ITT Population)</w:t>
      </w:r>
    </w:p>
    <w:p w14:paraId="76A6F09D" w14:textId="7DF42937" w:rsidR="006421AC" w:rsidRDefault="006421AC" w:rsidP="00073830">
      <w:r w:rsidRPr="006421AC">
        <w:rPr>
          <w:noProof/>
        </w:rPr>
        <w:drawing>
          <wp:inline distT="0" distB="0" distL="0" distR="0" wp14:anchorId="1ADE2CC7" wp14:editId="21D8D9AE">
            <wp:extent cx="4827557" cy="2862470"/>
            <wp:effectExtent l="0" t="0" r="0" b="0"/>
            <wp:docPr id="12877772" name="Picture 1" descr="Figure 6: Kaplan-Meier Curves of Overall Surviv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772" name="Picture 1" descr="Figure 6: Kaplan-Meier Curves of Overall Survival (ITT Population)"/>
                    <pic:cNvPicPr/>
                  </pic:nvPicPr>
                  <pic:blipFill>
                    <a:blip r:embed="rId35"/>
                    <a:stretch>
                      <a:fillRect/>
                    </a:stretch>
                  </pic:blipFill>
                  <pic:spPr>
                    <a:xfrm>
                      <a:off x="0" y="0"/>
                      <a:ext cx="4834048" cy="2866319"/>
                    </a:xfrm>
                    <a:prstGeom prst="rect">
                      <a:avLst/>
                    </a:prstGeom>
                  </pic:spPr>
                </pic:pic>
              </a:graphicData>
            </a:graphic>
          </wp:inline>
        </w:drawing>
      </w:r>
    </w:p>
    <w:p w14:paraId="3F31F7B8" w14:textId="23C2C19E" w:rsidR="000B14D2" w:rsidRDefault="000B14D2" w:rsidP="002E64CE">
      <w:pPr>
        <w:pStyle w:val="FigureDescription"/>
        <w:spacing w:line="240" w:lineRule="auto"/>
        <w:contextualSpacing/>
      </w:pPr>
      <w:r w:rsidRPr="000B14D2">
        <w:t>Note: There are 2 subjects in the ITT Population that were randomized, not treated, re-screened, and</w:t>
      </w:r>
      <w:r w:rsidR="002E64CE">
        <w:t xml:space="preserve"> </w:t>
      </w:r>
      <w:r w:rsidR="002E64CE" w:rsidRPr="002E64CE">
        <w:t>re-randomized. They are counted as 4 unique subjects in this output.</w:t>
      </w:r>
    </w:p>
    <w:p w14:paraId="73112CC0" w14:textId="77777777" w:rsidR="00324CF1" w:rsidRDefault="00324CF1" w:rsidP="00324CF1">
      <w:r>
        <w:t>The Sponsor provided an updated analysis for OS, with cut-off date of 7th October 2024.</w:t>
      </w:r>
    </w:p>
    <w:p w14:paraId="74EEB6DC" w14:textId="578D3911" w:rsidR="00324CF1" w:rsidRDefault="00324CF1" w:rsidP="00324CF1">
      <w:r>
        <w:t xml:space="preserve">OS: death was reported for 68 (28%) participants in the </w:t>
      </w:r>
      <w:proofErr w:type="spellStart"/>
      <w:r>
        <w:t>BVd</w:t>
      </w:r>
      <w:proofErr w:type="spellEnd"/>
      <w:r>
        <w:t xml:space="preserve"> group and 103 (41%) in the </w:t>
      </w:r>
      <w:proofErr w:type="spellStart"/>
      <w:r>
        <w:t>DVd</w:t>
      </w:r>
      <w:proofErr w:type="spellEnd"/>
      <w:r w:rsidR="00073830">
        <w:t xml:space="preserve">. </w:t>
      </w:r>
      <w:r>
        <w:t>Median survival time was not estimable for either treatment group</w:t>
      </w:r>
      <w:r w:rsidR="00073830">
        <w:t xml:space="preserve">. </w:t>
      </w:r>
      <w:r>
        <w:t xml:space="preserve">The </w:t>
      </w:r>
      <w:r w:rsidR="00986C1C">
        <w:t>hazard ratio (</w:t>
      </w:r>
      <w:r>
        <w:t>HR</w:t>
      </w:r>
      <w:r w:rsidR="00986C1C">
        <w:t xml:space="preserve">, </w:t>
      </w:r>
      <w:r>
        <w:t xml:space="preserve">95% CI) </w:t>
      </w:r>
      <w:proofErr w:type="spellStart"/>
      <w:r>
        <w:t>BVd</w:t>
      </w:r>
      <w:proofErr w:type="spellEnd"/>
      <w:r>
        <w:t>/</w:t>
      </w:r>
      <w:proofErr w:type="spellStart"/>
      <w:r>
        <w:t>DVd</w:t>
      </w:r>
      <w:proofErr w:type="spellEnd"/>
      <w:r>
        <w:t xml:space="preserve"> for death was 0.58 (0.43 to 0.79), p = 0.00023</w:t>
      </w:r>
      <w:r w:rsidR="00073830">
        <w:t xml:space="preserve">. </w:t>
      </w:r>
      <w:r>
        <w:t>The OS benefit was apparent by Month 12 and persisted to Month 52</w:t>
      </w:r>
      <w:r w:rsidR="003716D8">
        <w:t xml:space="preserve"> (Table 5 and Figure 7)</w:t>
      </w:r>
      <w:r>
        <w:t>.</w:t>
      </w:r>
    </w:p>
    <w:p w14:paraId="299C550E" w14:textId="22C20FF8" w:rsidR="00324CF1" w:rsidRDefault="00324CF1" w:rsidP="00324CF1">
      <w:pPr>
        <w:pStyle w:val="TableTitle"/>
      </w:pPr>
      <w:r>
        <w:t>Table</w:t>
      </w:r>
      <w:r w:rsidR="003716D8">
        <w:t xml:space="preserve"> 5</w:t>
      </w:r>
      <w:r>
        <w:t>: Summary of updated Overall Survival (ITT Population) DREAMM-7</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5: Summary of updated Overall Survival (ITT Population) DREAMM-7"/>
      </w:tblPr>
      <w:tblGrid>
        <w:gridCol w:w="4673"/>
        <w:gridCol w:w="1559"/>
        <w:gridCol w:w="1559"/>
        <w:gridCol w:w="6"/>
      </w:tblGrid>
      <w:tr w:rsidR="00804384" w:rsidRPr="003F7444" w14:paraId="58CE99FE" w14:textId="77777777" w:rsidTr="003F7444">
        <w:trPr>
          <w:gridAfter w:val="1"/>
          <w:wAfter w:w="6" w:type="dxa"/>
          <w:tblHeader/>
        </w:trPr>
        <w:tc>
          <w:tcPr>
            <w:tcW w:w="4673" w:type="dxa"/>
            <w:shd w:val="clear" w:color="auto" w:fill="DEEAF6"/>
            <w:vAlign w:val="center"/>
            <w:hideMark/>
          </w:tcPr>
          <w:p w14:paraId="5498B5AC" w14:textId="77777777" w:rsidR="00804384" w:rsidRPr="003F7444" w:rsidRDefault="00804384" w:rsidP="00893CC2">
            <w:pPr>
              <w:spacing w:after="0" w:line="240" w:lineRule="auto"/>
              <w:rPr>
                <w:rFonts w:eastAsia="Times New Roman" w:cs="Segoe UI"/>
                <w:color w:val="263287"/>
                <w:szCs w:val="22"/>
                <w:lang w:eastAsia="en-AU"/>
              </w:rPr>
            </w:pPr>
          </w:p>
        </w:tc>
        <w:tc>
          <w:tcPr>
            <w:tcW w:w="1559" w:type="dxa"/>
            <w:shd w:val="clear" w:color="auto" w:fill="DEEAF6"/>
            <w:vAlign w:val="center"/>
            <w:hideMark/>
          </w:tcPr>
          <w:p w14:paraId="36E57DE5" w14:textId="77777777" w:rsidR="00003545" w:rsidRPr="003F7444" w:rsidRDefault="00804384" w:rsidP="00893CC2">
            <w:pPr>
              <w:spacing w:after="0" w:line="240" w:lineRule="auto"/>
              <w:jc w:val="center"/>
              <w:rPr>
                <w:rFonts w:eastAsia="Times New Roman" w:cs="Times New Roman"/>
                <w:b/>
                <w:bCs/>
                <w:color w:val="263287"/>
                <w:szCs w:val="22"/>
                <w:lang w:eastAsia="en-AU"/>
              </w:rPr>
            </w:pPr>
            <w:proofErr w:type="spellStart"/>
            <w:r w:rsidRPr="003F7444">
              <w:rPr>
                <w:rFonts w:eastAsia="Times New Roman" w:cs="Times New Roman"/>
                <w:b/>
                <w:bCs/>
                <w:color w:val="263287"/>
                <w:szCs w:val="22"/>
                <w:lang w:eastAsia="en-AU"/>
              </w:rPr>
              <w:t>BVd</w:t>
            </w:r>
            <w:proofErr w:type="spellEnd"/>
            <w:r w:rsidRPr="003F7444">
              <w:rPr>
                <w:rFonts w:eastAsia="Times New Roman" w:cs="Times New Roman"/>
                <w:b/>
                <w:bCs/>
                <w:color w:val="263287"/>
                <w:szCs w:val="22"/>
                <w:lang w:eastAsia="en-AU"/>
              </w:rPr>
              <w:t xml:space="preserve"> </w:t>
            </w:r>
          </w:p>
          <w:p w14:paraId="017E5A82" w14:textId="63A4733B" w:rsidR="00804384" w:rsidRPr="003F7444" w:rsidRDefault="00804384" w:rsidP="00893CC2">
            <w:pPr>
              <w:spacing w:after="0" w:line="240" w:lineRule="auto"/>
              <w:jc w:val="center"/>
              <w:rPr>
                <w:rFonts w:eastAsia="Times New Roman" w:cs="Times New Roman"/>
                <w:b/>
                <w:bCs/>
                <w:color w:val="263287"/>
                <w:szCs w:val="22"/>
                <w:lang w:eastAsia="en-AU"/>
              </w:rPr>
            </w:pPr>
            <w:r w:rsidRPr="003F7444">
              <w:rPr>
                <w:rFonts w:eastAsia="Times New Roman" w:cs="Times New Roman"/>
                <w:b/>
                <w:bCs/>
                <w:color w:val="263287"/>
                <w:szCs w:val="22"/>
                <w:lang w:eastAsia="en-AU"/>
              </w:rPr>
              <w:t>(N=243)</w:t>
            </w:r>
          </w:p>
        </w:tc>
        <w:tc>
          <w:tcPr>
            <w:tcW w:w="1559" w:type="dxa"/>
            <w:shd w:val="clear" w:color="auto" w:fill="DEEAF6"/>
            <w:vAlign w:val="center"/>
            <w:hideMark/>
          </w:tcPr>
          <w:p w14:paraId="42A6AFA2" w14:textId="77777777" w:rsidR="00003545" w:rsidRPr="003F7444" w:rsidRDefault="00804384" w:rsidP="00893CC2">
            <w:pPr>
              <w:spacing w:after="0" w:line="240" w:lineRule="auto"/>
              <w:jc w:val="center"/>
              <w:rPr>
                <w:rFonts w:eastAsia="Times New Roman" w:cs="Times New Roman"/>
                <w:b/>
                <w:bCs/>
                <w:color w:val="263287"/>
                <w:szCs w:val="22"/>
                <w:lang w:eastAsia="en-AU"/>
              </w:rPr>
            </w:pPr>
            <w:proofErr w:type="spellStart"/>
            <w:r w:rsidRPr="003F7444">
              <w:rPr>
                <w:rFonts w:eastAsia="Times New Roman" w:cs="Times New Roman"/>
                <w:b/>
                <w:bCs/>
                <w:color w:val="263287"/>
                <w:szCs w:val="22"/>
                <w:lang w:eastAsia="en-AU"/>
              </w:rPr>
              <w:t>DVd</w:t>
            </w:r>
            <w:proofErr w:type="spellEnd"/>
            <w:r w:rsidRPr="003F7444">
              <w:rPr>
                <w:rFonts w:eastAsia="Times New Roman" w:cs="Times New Roman"/>
                <w:b/>
                <w:bCs/>
                <w:color w:val="263287"/>
                <w:szCs w:val="22"/>
                <w:lang w:eastAsia="en-AU"/>
              </w:rPr>
              <w:t xml:space="preserve"> </w:t>
            </w:r>
          </w:p>
          <w:p w14:paraId="6762EA97" w14:textId="1D1B7D68" w:rsidR="00804384" w:rsidRPr="003F7444" w:rsidRDefault="00804384" w:rsidP="00893CC2">
            <w:pPr>
              <w:spacing w:after="0" w:line="240" w:lineRule="auto"/>
              <w:jc w:val="center"/>
              <w:rPr>
                <w:rFonts w:eastAsia="Times New Roman" w:cs="Times New Roman"/>
                <w:b/>
                <w:bCs/>
                <w:color w:val="263287"/>
                <w:szCs w:val="22"/>
                <w:lang w:eastAsia="en-AU"/>
              </w:rPr>
            </w:pPr>
            <w:r w:rsidRPr="003F7444">
              <w:rPr>
                <w:rFonts w:eastAsia="Times New Roman" w:cs="Times New Roman"/>
                <w:b/>
                <w:bCs/>
                <w:color w:val="263287"/>
                <w:szCs w:val="22"/>
                <w:lang w:eastAsia="en-AU"/>
              </w:rPr>
              <w:t>(N=251)</w:t>
            </w:r>
          </w:p>
        </w:tc>
      </w:tr>
      <w:tr w:rsidR="00003545" w:rsidRPr="003F7444" w14:paraId="6C989A51" w14:textId="77777777" w:rsidTr="003F7444">
        <w:tc>
          <w:tcPr>
            <w:tcW w:w="7797" w:type="dxa"/>
            <w:gridSpan w:val="4"/>
            <w:vAlign w:val="center"/>
            <w:hideMark/>
          </w:tcPr>
          <w:p w14:paraId="73FA83A1" w14:textId="35332921" w:rsidR="00003545" w:rsidRPr="003F7444" w:rsidRDefault="00003545" w:rsidP="00893CC2">
            <w:pPr>
              <w:spacing w:after="0" w:line="240" w:lineRule="auto"/>
              <w:rPr>
                <w:rFonts w:eastAsia="Times New Roman" w:cs="Times New Roman"/>
                <w:szCs w:val="22"/>
                <w:lang w:eastAsia="en-AU"/>
              </w:rPr>
            </w:pPr>
            <w:r w:rsidRPr="003F7444">
              <w:rPr>
                <w:rFonts w:eastAsia="Times New Roman" w:cs="Times New Roman"/>
                <w:b/>
                <w:bCs/>
                <w:szCs w:val="22"/>
                <w:lang w:eastAsia="en-AU"/>
              </w:rPr>
              <w:t>Number of participants, n (%)</w:t>
            </w:r>
          </w:p>
        </w:tc>
      </w:tr>
      <w:tr w:rsidR="00804384" w:rsidRPr="003F7444" w14:paraId="6CD36ECC" w14:textId="77777777" w:rsidTr="003F7444">
        <w:trPr>
          <w:gridAfter w:val="1"/>
          <w:wAfter w:w="6" w:type="dxa"/>
        </w:trPr>
        <w:tc>
          <w:tcPr>
            <w:tcW w:w="4673" w:type="dxa"/>
            <w:vAlign w:val="center"/>
            <w:hideMark/>
          </w:tcPr>
          <w:p w14:paraId="356505BF"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Died (event)</w:t>
            </w:r>
          </w:p>
        </w:tc>
        <w:tc>
          <w:tcPr>
            <w:tcW w:w="1559" w:type="dxa"/>
            <w:vAlign w:val="center"/>
            <w:hideMark/>
          </w:tcPr>
          <w:p w14:paraId="7F9A2EA6"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68 (28)</w:t>
            </w:r>
          </w:p>
        </w:tc>
        <w:tc>
          <w:tcPr>
            <w:tcW w:w="1559" w:type="dxa"/>
            <w:vAlign w:val="center"/>
            <w:hideMark/>
          </w:tcPr>
          <w:p w14:paraId="58FC9455"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103 (41)</w:t>
            </w:r>
          </w:p>
        </w:tc>
      </w:tr>
      <w:tr w:rsidR="00804384" w:rsidRPr="003F7444" w14:paraId="424FB197" w14:textId="77777777" w:rsidTr="003F7444">
        <w:trPr>
          <w:gridAfter w:val="1"/>
          <w:wAfter w:w="6" w:type="dxa"/>
        </w:trPr>
        <w:tc>
          <w:tcPr>
            <w:tcW w:w="4673" w:type="dxa"/>
            <w:vAlign w:val="center"/>
            <w:hideMark/>
          </w:tcPr>
          <w:p w14:paraId="064E73DC"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Censored, follow</w:t>
            </w:r>
            <w:r w:rsidRPr="003F7444">
              <w:rPr>
                <w:rFonts w:eastAsia="Times New Roman" w:cs="Times New Roman"/>
                <w:szCs w:val="22"/>
                <w:lang w:eastAsia="en-AU"/>
              </w:rPr>
              <w:noBreakHyphen/>
              <w:t>up ended</w:t>
            </w:r>
          </w:p>
        </w:tc>
        <w:tc>
          <w:tcPr>
            <w:tcW w:w="1559" w:type="dxa"/>
            <w:vAlign w:val="center"/>
            <w:hideMark/>
          </w:tcPr>
          <w:p w14:paraId="0ABF7A32"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26 (11)</w:t>
            </w:r>
          </w:p>
        </w:tc>
        <w:tc>
          <w:tcPr>
            <w:tcW w:w="1559" w:type="dxa"/>
            <w:vAlign w:val="center"/>
            <w:hideMark/>
          </w:tcPr>
          <w:p w14:paraId="6EBF7746"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33 (13)</w:t>
            </w:r>
          </w:p>
        </w:tc>
      </w:tr>
      <w:tr w:rsidR="00804384" w:rsidRPr="003F7444" w14:paraId="0030747A" w14:textId="77777777" w:rsidTr="003F7444">
        <w:trPr>
          <w:gridAfter w:val="1"/>
          <w:wAfter w:w="6" w:type="dxa"/>
        </w:trPr>
        <w:tc>
          <w:tcPr>
            <w:tcW w:w="4673" w:type="dxa"/>
            <w:vAlign w:val="center"/>
            <w:hideMark/>
          </w:tcPr>
          <w:p w14:paraId="065CBCC2" w14:textId="77777777" w:rsidR="00804384" w:rsidRPr="003F7444" w:rsidRDefault="00804384"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Alive date obtained</w:t>
            </w:r>
          </w:p>
        </w:tc>
        <w:tc>
          <w:tcPr>
            <w:tcW w:w="1559" w:type="dxa"/>
            <w:vAlign w:val="center"/>
            <w:hideMark/>
          </w:tcPr>
          <w:p w14:paraId="2EC21C38"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12 (5)</w:t>
            </w:r>
          </w:p>
        </w:tc>
        <w:tc>
          <w:tcPr>
            <w:tcW w:w="1559" w:type="dxa"/>
            <w:vAlign w:val="center"/>
            <w:hideMark/>
          </w:tcPr>
          <w:p w14:paraId="67C15D98"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16 (6)</w:t>
            </w:r>
          </w:p>
        </w:tc>
      </w:tr>
      <w:tr w:rsidR="00804384" w:rsidRPr="003F7444" w14:paraId="0F63C568" w14:textId="77777777" w:rsidTr="003F7444">
        <w:trPr>
          <w:gridAfter w:val="1"/>
          <w:wAfter w:w="6" w:type="dxa"/>
        </w:trPr>
        <w:tc>
          <w:tcPr>
            <w:tcW w:w="4673" w:type="dxa"/>
            <w:vAlign w:val="center"/>
            <w:hideMark/>
          </w:tcPr>
          <w:p w14:paraId="5DF12125" w14:textId="77777777" w:rsidR="00804384" w:rsidRPr="003F7444" w:rsidRDefault="00804384"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No alive date obtained</w:t>
            </w:r>
          </w:p>
        </w:tc>
        <w:tc>
          <w:tcPr>
            <w:tcW w:w="1559" w:type="dxa"/>
            <w:vAlign w:val="center"/>
            <w:hideMark/>
          </w:tcPr>
          <w:p w14:paraId="06916475"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14 (6)</w:t>
            </w:r>
          </w:p>
        </w:tc>
        <w:tc>
          <w:tcPr>
            <w:tcW w:w="1559" w:type="dxa"/>
            <w:vAlign w:val="center"/>
            <w:hideMark/>
          </w:tcPr>
          <w:p w14:paraId="12C7A078"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17 (7)</w:t>
            </w:r>
          </w:p>
        </w:tc>
      </w:tr>
      <w:tr w:rsidR="00804384" w:rsidRPr="003F7444" w14:paraId="1D541F42" w14:textId="77777777" w:rsidTr="003F7444">
        <w:trPr>
          <w:gridAfter w:val="1"/>
          <w:wAfter w:w="6" w:type="dxa"/>
        </w:trPr>
        <w:tc>
          <w:tcPr>
            <w:tcW w:w="4673" w:type="dxa"/>
            <w:vAlign w:val="center"/>
            <w:hideMark/>
          </w:tcPr>
          <w:p w14:paraId="0198E7E6"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Censored, follow</w:t>
            </w:r>
            <w:r w:rsidRPr="003F7444">
              <w:rPr>
                <w:rFonts w:eastAsia="Times New Roman" w:cs="Times New Roman"/>
                <w:szCs w:val="22"/>
                <w:lang w:eastAsia="en-AU"/>
              </w:rPr>
              <w:noBreakHyphen/>
              <w:t>up ongoing</w:t>
            </w:r>
          </w:p>
        </w:tc>
        <w:tc>
          <w:tcPr>
            <w:tcW w:w="1559" w:type="dxa"/>
            <w:vAlign w:val="center"/>
            <w:hideMark/>
          </w:tcPr>
          <w:p w14:paraId="6205101C"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149 (61)</w:t>
            </w:r>
          </w:p>
        </w:tc>
        <w:tc>
          <w:tcPr>
            <w:tcW w:w="1559" w:type="dxa"/>
            <w:vAlign w:val="center"/>
            <w:hideMark/>
          </w:tcPr>
          <w:p w14:paraId="7747ECCB"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115 (46)</w:t>
            </w:r>
          </w:p>
        </w:tc>
      </w:tr>
      <w:tr w:rsidR="00003545" w:rsidRPr="003F7444" w14:paraId="30666A7C" w14:textId="77777777" w:rsidTr="003F7444">
        <w:tc>
          <w:tcPr>
            <w:tcW w:w="7797" w:type="dxa"/>
            <w:gridSpan w:val="4"/>
            <w:vAlign w:val="center"/>
            <w:hideMark/>
          </w:tcPr>
          <w:p w14:paraId="6902EDB7" w14:textId="0B112A81" w:rsidR="00003545" w:rsidRPr="003F7444" w:rsidRDefault="00003545" w:rsidP="00893CC2">
            <w:pPr>
              <w:spacing w:after="0" w:line="240" w:lineRule="auto"/>
              <w:rPr>
                <w:rFonts w:eastAsia="Times New Roman" w:cs="Times New Roman"/>
                <w:szCs w:val="22"/>
                <w:lang w:eastAsia="en-AU"/>
              </w:rPr>
            </w:pPr>
            <w:r w:rsidRPr="003F7444">
              <w:rPr>
                <w:rFonts w:eastAsia="Times New Roman" w:cs="Times New Roman"/>
                <w:b/>
                <w:bCs/>
                <w:szCs w:val="22"/>
                <w:lang w:eastAsia="en-AU"/>
              </w:rPr>
              <w:t>Event summary, n (%)</w:t>
            </w:r>
          </w:p>
        </w:tc>
      </w:tr>
      <w:tr w:rsidR="00804384" w:rsidRPr="003F7444" w14:paraId="731F789F" w14:textId="77777777" w:rsidTr="003F7444">
        <w:trPr>
          <w:gridAfter w:val="1"/>
          <w:wAfter w:w="6" w:type="dxa"/>
        </w:trPr>
        <w:tc>
          <w:tcPr>
            <w:tcW w:w="4673" w:type="dxa"/>
            <w:vAlign w:val="center"/>
            <w:hideMark/>
          </w:tcPr>
          <w:p w14:paraId="640FEB31"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Death</w:t>
            </w:r>
          </w:p>
        </w:tc>
        <w:tc>
          <w:tcPr>
            <w:tcW w:w="1559" w:type="dxa"/>
            <w:vAlign w:val="center"/>
            <w:hideMark/>
          </w:tcPr>
          <w:p w14:paraId="51BE8FF7"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68 (28)</w:t>
            </w:r>
          </w:p>
        </w:tc>
        <w:tc>
          <w:tcPr>
            <w:tcW w:w="1559" w:type="dxa"/>
            <w:vAlign w:val="center"/>
            <w:hideMark/>
          </w:tcPr>
          <w:p w14:paraId="16A5D66B"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103 (41)</w:t>
            </w:r>
          </w:p>
        </w:tc>
      </w:tr>
      <w:tr w:rsidR="00003545" w:rsidRPr="003F7444" w14:paraId="6CB410C2" w14:textId="77777777" w:rsidTr="003F7444">
        <w:tc>
          <w:tcPr>
            <w:tcW w:w="7797" w:type="dxa"/>
            <w:gridSpan w:val="4"/>
            <w:vAlign w:val="center"/>
            <w:hideMark/>
          </w:tcPr>
          <w:p w14:paraId="64E2D28B" w14:textId="2558647F" w:rsidR="00003545" w:rsidRPr="003F7444" w:rsidRDefault="00003545" w:rsidP="00893CC2">
            <w:pPr>
              <w:spacing w:after="0" w:line="240" w:lineRule="auto"/>
              <w:rPr>
                <w:rFonts w:eastAsia="Times New Roman" w:cs="Times New Roman"/>
                <w:szCs w:val="22"/>
                <w:lang w:eastAsia="en-AU"/>
              </w:rPr>
            </w:pPr>
            <w:r w:rsidRPr="003F7444">
              <w:rPr>
                <w:rFonts w:eastAsia="Times New Roman" w:cs="Times New Roman"/>
                <w:b/>
                <w:bCs/>
                <w:szCs w:val="22"/>
                <w:lang w:eastAsia="en-AU"/>
              </w:rPr>
              <w:t>Estimates for time variable (months)¹</w:t>
            </w:r>
          </w:p>
        </w:tc>
      </w:tr>
      <w:tr w:rsidR="00804384" w:rsidRPr="003F7444" w14:paraId="7EBEE959" w14:textId="77777777" w:rsidTr="003F7444">
        <w:trPr>
          <w:gridAfter w:val="1"/>
          <w:wAfter w:w="6" w:type="dxa"/>
        </w:trPr>
        <w:tc>
          <w:tcPr>
            <w:tcW w:w="4673" w:type="dxa"/>
            <w:vAlign w:val="center"/>
            <w:hideMark/>
          </w:tcPr>
          <w:p w14:paraId="52F3E2C1"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1st quartile</w:t>
            </w:r>
          </w:p>
        </w:tc>
        <w:tc>
          <w:tcPr>
            <w:tcW w:w="1559" w:type="dxa"/>
            <w:vAlign w:val="center"/>
            <w:hideMark/>
          </w:tcPr>
          <w:p w14:paraId="714EDEC0"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33.9</w:t>
            </w:r>
          </w:p>
        </w:tc>
        <w:tc>
          <w:tcPr>
            <w:tcW w:w="1559" w:type="dxa"/>
            <w:vAlign w:val="center"/>
            <w:hideMark/>
          </w:tcPr>
          <w:p w14:paraId="79C46761"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15.2</w:t>
            </w:r>
          </w:p>
        </w:tc>
      </w:tr>
      <w:tr w:rsidR="00804384" w:rsidRPr="003F7444" w14:paraId="69CC6D4D" w14:textId="77777777" w:rsidTr="003F7444">
        <w:trPr>
          <w:gridAfter w:val="1"/>
          <w:wAfter w:w="6" w:type="dxa"/>
        </w:trPr>
        <w:tc>
          <w:tcPr>
            <w:tcW w:w="4673" w:type="dxa"/>
            <w:vAlign w:val="center"/>
            <w:hideMark/>
          </w:tcPr>
          <w:p w14:paraId="7D0AF7EF" w14:textId="77777777" w:rsidR="00804384" w:rsidRPr="003F7444" w:rsidRDefault="00804384"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59" w:type="dxa"/>
            <w:vAlign w:val="center"/>
            <w:hideMark/>
          </w:tcPr>
          <w:p w14:paraId="28D68EBA"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(21.9, 44.5)</w:t>
            </w:r>
          </w:p>
        </w:tc>
        <w:tc>
          <w:tcPr>
            <w:tcW w:w="1559" w:type="dxa"/>
            <w:vAlign w:val="center"/>
            <w:hideMark/>
          </w:tcPr>
          <w:p w14:paraId="4A2E35A2"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(12.3, 21.1)</w:t>
            </w:r>
          </w:p>
        </w:tc>
      </w:tr>
      <w:tr w:rsidR="00804384" w:rsidRPr="003F7444" w14:paraId="6580AD65" w14:textId="77777777" w:rsidTr="003F7444">
        <w:trPr>
          <w:gridAfter w:val="1"/>
          <w:wAfter w:w="6" w:type="dxa"/>
        </w:trPr>
        <w:tc>
          <w:tcPr>
            <w:tcW w:w="4673" w:type="dxa"/>
            <w:vAlign w:val="center"/>
            <w:hideMark/>
          </w:tcPr>
          <w:p w14:paraId="628A20ED"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Median</w:t>
            </w:r>
          </w:p>
        </w:tc>
        <w:tc>
          <w:tcPr>
            <w:tcW w:w="1559" w:type="dxa"/>
            <w:vAlign w:val="center"/>
            <w:hideMark/>
          </w:tcPr>
          <w:p w14:paraId="681E0AE6"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w:t>
            </w:r>
          </w:p>
        </w:tc>
        <w:tc>
          <w:tcPr>
            <w:tcW w:w="1559" w:type="dxa"/>
            <w:vAlign w:val="center"/>
            <w:hideMark/>
          </w:tcPr>
          <w:p w14:paraId="6394FB7C"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w:t>
            </w:r>
          </w:p>
        </w:tc>
      </w:tr>
      <w:tr w:rsidR="00804384" w:rsidRPr="003F7444" w14:paraId="0FC9AF68" w14:textId="77777777" w:rsidTr="003F7444">
        <w:trPr>
          <w:gridAfter w:val="1"/>
          <w:wAfter w:w="6" w:type="dxa"/>
        </w:trPr>
        <w:tc>
          <w:tcPr>
            <w:tcW w:w="4673" w:type="dxa"/>
            <w:vAlign w:val="center"/>
            <w:hideMark/>
          </w:tcPr>
          <w:p w14:paraId="1488E45F" w14:textId="77777777" w:rsidR="00804384" w:rsidRPr="003F7444" w:rsidRDefault="00804384"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59" w:type="dxa"/>
            <w:vAlign w:val="center"/>
            <w:hideMark/>
          </w:tcPr>
          <w:p w14:paraId="62ADBA78"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 –)</w:t>
            </w:r>
          </w:p>
        </w:tc>
        <w:tc>
          <w:tcPr>
            <w:tcW w:w="1559" w:type="dxa"/>
            <w:vAlign w:val="center"/>
            <w:hideMark/>
          </w:tcPr>
          <w:p w14:paraId="3DD78302"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(41.0, –)</w:t>
            </w:r>
          </w:p>
        </w:tc>
      </w:tr>
      <w:tr w:rsidR="00804384" w:rsidRPr="003F7444" w14:paraId="5D2E6856" w14:textId="77777777" w:rsidTr="003F7444">
        <w:trPr>
          <w:gridAfter w:val="1"/>
          <w:wAfter w:w="6" w:type="dxa"/>
        </w:trPr>
        <w:tc>
          <w:tcPr>
            <w:tcW w:w="4673" w:type="dxa"/>
            <w:vAlign w:val="center"/>
            <w:hideMark/>
          </w:tcPr>
          <w:p w14:paraId="475AEDCA"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3rd quartile</w:t>
            </w:r>
          </w:p>
        </w:tc>
        <w:tc>
          <w:tcPr>
            <w:tcW w:w="1559" w:type="dxa"/>
            <w:vAlign w:val="center"/>
            <w:hideMark/>
          </w:tcPr>
          <w:p w14:paraId="06614364"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w:t>
            </w:r>
          </w:p>
        </w:tc>
        <w:tc>
          <w:tcPr>
            <w:tcW w:w="1559" w:type="dxa"/>
            <w:vAlign w:val="center"/>
            <w:hideMark/>
          </w:tcPr>
          <w:p w14:paraId="5C63011C"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w:t>
            </w:r>
          </w:p>
        </w:tc>
      </w:tr>
      <w:tr w:rsidR="00804384" w:rsidRPr="003F7444" w14:paraId="0DB0ACD4" w14:textId="77777777" w:rsidTr="003F7444">
        <w:trPr>
          <w:gridAfter w:val="1"/>
          <w:wAfter w:w="6" w:type="dxa"/>
        </w:trPr>
        <w:tc>
          <w:tcPr>
            <w:tcW w:w="4673" w:type="dxa"/>
            <w:vAlign w:val="center"/>
            <w:hideMark/>
          </w:tcPr>
          <w:p w14:paraId="58658AED" w14:textId="77777777" w:rsidR="00804384" w:rsidRPr="003F7444" w:rsidRDefault="00804384"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59" w:type="dxa"/>
            <w:vAlign w:val="center"/>
            <w:hideMark/>
          </w:tcPr>
          <w:p w14:paraId="4A8F7E37"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 –)</w:t>
            </w:r>
          </w:p>
        </w:tc>
        <w:tc>
          <w:tcPr>
            <w:tcW w:w="1559" w:type="dxa"/>
            <w:vAlign w:val="center"/>
            <w:hideMark/>
          </w:tcPr>
          <w:p w14:paraId="7DE9CED5"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 –)</w:t>
            </w:r>
          </w:p>
        </w:tc>
      </w:tr>
      <w:tr w:rsidR="00804384" w:rsidRPr="003F7444" w14:paraId="3B34E389" w14:textId="77777777" w:rsidTr="003F7444">
        <w:trPr>
          <w:gridAfter w:val="1"/>
          <w:wAfter w:w="6" w:type="dxa"/>
        </w:trPr>
        <w:tc>
          <w:tcPr>
            <w:tcW w:w="4673" w:type="dxa"/>
            <w:vAlign w:val="center"/>
            <w:hideMark/>
          </w:tcPr>
          <w:p w14:paraId="4DE306C6"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b/>
                <w:bCs/>
                <w:szCs w:val="22"/>
                <w:lang w:eastAsia="en-AU"/>
              </w:rPr>
              <w:lastRenderedPageBreak/>
              <w:t>Hazard ratio²</w:t>
            </w:r>
          </w:p>
        </w:tc>
        <w:tc>
          <w:tcPr>
            <w:tcW w:w="1559" w:type="dxa"/>
            <w:vAlign w:val="center"/>
            <w:hideMark/>
          </w:tcPr>
          <w:p w14:paraId="1987B7E4" w14:textId="77777777" w:rsidR="00804384" w:rsidRPr="003F7444" w:rsidRDefault="00804384" w:rsidP="00893CC2">
            <w:pPr>
              <w:spacing w:after="0" w:line="240" w:lineRule="auto"/>
              <w:rPr>
                <w:rFonts w:eastAsia="Times New Roman" w:cs="Times New Roman"/>
                <w:szCs w:val="22"/>
                <w:lang w:eastAsia="en-AU"/>
              </w:rPr>
            </w:pPr>
          </w:p>
        </w:tc>
        <w:tc>
          <w:tcPr>
            <w:tcW w:w="1559" w:type="dxa"/>
            <w:vAlign w:val="center"/>
            <w:hideMark/>
          </w:tcPr>
          <w:p w14:paraId="06A67721" w14:textId="77777777" w:rsidR="00804384" w:rsidRPr="003F7444" w:rsidRDefault="00804384" w:rsidP="00893CC2">
            <w:pPr>
              <w:spacing w:after="0" w:line="240" w:lineRule="auto"/>
              <w:rPr>
                <w:rFonts w:eastAsia="Times New Roman" w:cs="Times New Roman"/>
                <w:szCs w:val="22"/>
                <w:lang w:eastAsia="en-AU"/>
              </w:rPr>
            </w:pPr>
          </w:p>
        </w:tc>
      </w:tr>
      <w:tr w:rsidR="00804384" w:rsidRPr="003F7444" w14:paraId="3EF7AEB9" w14:textId="77777777" w:rsidTr="003F7444">
        <w:trPr>
          <w:gridAfter w:val="1"/>
          <w:wAfter w:w="6" w:type="dxa"/>
        </w:trPr>
        <w:tc>
          <w:tcPr>
            <w:tcW w:w="4673" w:type="dxa"/>
            <w:vAlign w:val="center"/>
            <w:hideMark/>
          </w:tcPr>
          <w:p w14:paraId="7709E199"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Number of participants in the model</w:t>
            </w:r>
          </w:p>
        </w:tc>
        <w:tc>
          <w:tcPr>
            <w:tcW w:w="1559" w:type="dxa"/>
            <w:vAlign w:val="center"/>
            <w:hideMark/>
          </w:tcPr>
          <w:p w14:paraId="51209AD3"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243</w:t>
            </w:r>
          </w:p>
        </w:tc>
        <w:tc>
          <w:tcPr>
            <w:tcW w:w="1559" w:type="dxa"/>
            <w:vAlign w:val="center"/>
            <w:hideMark/>
          </w:tcPr>
          <w:p w14:paraId="6AE06E63"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251</w:t>
            </w:r>
          </w:p>
        </w:tc>
      </w:tr>
      <w:tr w:rsidR="004A0C06" w:rsidRPr="003F7444" w14:paraId="38554B32" w14:textId="77777777" w:rsidTr="003F7444">
        <w:trPr>
          <w:gridAfter w:val="1"/>
          <w:wAfter w:w="6" w:type="dxa"/>
        </w:trPr>
        <w:tc>
          <w:tcPr>
            <w:tcW w:w="4673" w:type="dxa"/>
            <w:vAlign w:val="center"/>
            <w:hideMark/>
          </w:tcPr>
          <w:p w14:paraId="3EF6B245" w14:textId="77777777" w:rsidR="004A0C06" w:rsidRPr="003F7444" w:rsidRDefault="004A0C06"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Estimate</w:t>
            </w:r>
          </w:p>
        </w:tc>
        <w:tc>
          <w:tcPr>
            <w:tcW w:w="3118" w:type="dxa"/>
            <w:gridSpan w:val="2"/>
            <w:vAlign w:val="center"/>
            <w:hideMark/>
          </w:tcPr>
          <w:p w14:paraId="405C8489" w14:textId="4A4CB0EA" w:rsidR="004A0C06" w:rsidRPr="003F7444" w:rsidRDefault="004A0C06" w:rsidP="004A0C06">
            <w:pPr>
              <w:spacing w:after="0" w:line="240" w:lineRule="auto"/>
              <w:jc w:val="center"/>
              <w:rPr>
                <w:rFonts w:eastAsia="Times New Roman" w:cs="Times New Roman"/>
                <w:szCs w:val="22"/>
                <w:lang w:eastAsia="en-AU"/>
              </w:rPr>
            </w:pPr>
            <w:r w:rsidRPr="003F7444">
              <w:rPr>
                <w:rFonts w:eastAsia="Times New Roman" w:cs="Times New Roman"/>
                <w:szCs w:val="22"/>
                <w:lang w:eastAsia="en-AU"/>
              </w:rPr>
              <w:t>0.58</w:t>
            </w:r>
          </w:p>
        </w:tc>
      </w:tr>
      <w:tr w:rsidR="004A0C06" w:rsidRPr="003F7444" w14:paraId="7B9C06C3" w14:textId="77777777" w:rsidTr="003F7444">
        <w:trPr>
          <w:gridAfter w:val="1"/>
          <w:wAfter w:w="6" w:type="dxa"/>
        </w:trPr>
        <w:tc>
          <w:tcPr>
            <w:tcW w:w="4673" w:type="dxa"/>
            <w:vAlign w:val="center"/>
            <w:hideMark/>
          </w:tcPr>
          <w:p w14:paraId="3B328552" w14:textId="77777777" w:rsidR="004A0C06" w:rsidRPr="003F7444" w:rsidRDefault="004A0C06"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3118" w:type="dxa"/>
            <w:gridSpan w:val="2"/>
            <w:vAlign w:val="center"/>
            <w:hideMark/>
          </w:tcPr>
          <w:p w14:paraId="2FDE3B77" w14:textId="33DFB1DF" w:rsidR="004A0C06" w:rsidRPr="003F7444" w:rsidRDefault="004A0C06" w:rsidP="004A0C06">
            <w:pPr>
              <w:spacing w:after="0" w:line="240" w:lineRule="auto"/>
              <w:jc w:val="center"/>
              <w:rPr>
                <w:rFonts w:eastAsia="Times New Roman" w:cs="Times New Roman"/>
                <w:szCs w:val="22"/>
                <w:lang w:eastAsia="en-AU"/>
              </w:rPr>
            </w:pPr>
            <w:r w:rsidRPr="003F7444">
              <w:rPr>
                <w:rFonts w:eastAsia="Times New Roman" w:cs="Times New Roman"/>
                <w:szCs w:val="22"/>
                <w:lang w:eastAsia="en-AU"/>
              </w:rPr>
              <w:t>(0.43, 0.79)</w:t>
            </w:r>
          </w:p>
        </w:tc>
      </w:tr>
      <w:tr w:rsidR="00804384" w:rsidRPr="003F7444" w14:paraId="3702DFAD" w14:textId="77777777" w:rsidTr="003F7444">
        <w:tc>
          <w:tcPr>
            <w:tcW w:w="7797" w:type="dxa"/>
            <w:gridSpan w:val="4"/>
            <w:vAlign w:val="center"/>
            <w:hideMark/>
          </w:tcPr>
          <w:p w14:paraId="56DB52C3" w14:textId="4B638BBB"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b/>
                <w:bCs/>
                <w:szCs w:val="22"/>
                <w:lang w:eastAsia="en-AU"/>
              </w:rPr>
              <w:t>Stratified log</w:t>
            </w:r>
            <w:r w:rsidRPr="003F7444">
              <w:rPr>
                <w:rFonts w:eastAsia="Times New Roman" w:cs="Times New Roman"/>
                <w:b/>
                <w:bCs/>
                <w:szCs w:val="22"/>
                <w:lang w:eastAsia="en-AU"/>
              </w:rPr>
              <w:noBreakHyphen/>
              <w:t>rank³</w:t>
            </w:r>
          </w:p>
        </w:tc>
      </w:tr>
      <w:tr w:rsidR="002E3EFC" w:rsidRPr="003F7444" w14:paraId="76562182" w14:textId="77777777" w:rsidTr="003F7444">
        <w:trPr>
          <w:gridAfter w:val="1"/>
          <w:wAfter w:w="6" w:type="dxa"/>
        </w:trPr>
        <w:tc>
          <w:tcPr>
            <w:tcW w:w="4673" w:type="dxa"/>
            <w:vAlign w:val="center"/>
            <w:hideMark/>
          </w:tcPr>
          <w:p w14:paraId="044BCBB7" w14:textId="77777777" w:rsidR="002E3EFC" w:rsidRPr="003F7444" w:rsidRDefault="002E3EFC"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p</w:t>
            </w:r>
            <w:r w:rsidRPr="003F7444">
              <w:rPr>
                <w:rFonts w:eastAsia="Times New Roman" w:cs="Times New Roman"/>
                <w:szCs w:val="22"/>
                <w:lang w:eastAsia="en-AU"/>
              </w:rPr>
              <w:noBreakHyphen/>
              <w:t>value</w:t>
            </w:r>
          </w:p>
        </w:tc>
        <w:tc>
          <w:tcPr>
            <w:tcW w:w="3118" w:type="dxa"/>
            <w:gridSpan w:val="2"/>
            <w:vAlign w:val="center"/>
            <w:hideMark/>
          </w:tcPr>
          <w:p w14:paraId="34FA031C" w14:textId="705C8FAA" w:rsidR="002E3EFC" w:rsidRPr="003F7444" w:rsidRDefault="002E3EFC" w:rsidP="004A0C06">
            <w:pPr>
              <w:spacing w:after="0" w:line="240" w:lineRule="auto"/>
              <w:jc w:val="center"/>
              <w:rPr>
                <w:rFonts w:eastAsia="Times New Roman" w:cs="Times New Roman"/>
                <w:szCs w:val="22"/>
                <w:lang w:eastAsia="en-AU"/>
              </w:rPr>
            </w:pPr>
            <w:r w:rsidRPr="003F7444">
              <w:rPr>
                <w:rFonts w:eastAsia="Times New Roman" w:cs="Times New Roman"/>
                <w:szCs w:val="22"/>
                <w:lang w:eastAsia="en-AU"/>
              </w:rPr>
              <w:t>0.00023</w:t>
            </w:r>
          </w:p>
        </w:tc>
      </w:tr>
      <w:tr w:rsidR="00804384" w:rsidRPr="003F7444" w14:paraId="6699198C" w14:textId="77777777" w:rsidTr="003F7444">
        <w:tc>
          <w:tcPr>
            <w:tcW w:w="7797" w:type="dxa"/>
            <w:gridSpan w:val="4"/>
            <w:vAlign w:val="center"/>
            <w:hideMark/>
          </w:tcPr>
          <w:p w14:paraId="2EBEBE59" w14:textId="5D544638"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b/>
                <w:bCs/>
                <w:szCs w:val="22"/>
                <w:lang w:eastAsia="en-AU"/>
              </w:rPr>
              <w:t>Overall survival rate</w:t>
            </w:r>
          </w:p>
        </w:tc>
      </w:tr>
      <w:tr w:rsidR="00804384" w:rsidRPr="003F7444" w14:paraId="1FB3DDAA" w14:textId="77777777" w:rsidTr="003F7444">
        <w:trPr>
          <w:gridAfter w:val="1"/>
          <w:wAfter w:w="6" w:type="dxa"/>
        </w:trPr>
        <w:tc>
          <w:tcPr>
            <w:tcW w:w="4673" w:type="dxa"/>
            <w:vAlign w:val="center"/>
            <w:hideMark/>
          </w:tcPr>
          <w:p w14:paraId="1A75F910"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6 months</w:t>
            </w:r>
          </w:p>
        </w:tc>
        <w:tc>
          <w:tcPr>
            <w:tcW w:w="1559" w:type="dxa"/>
            <w:vAlign w:val="center"/>
            <w:hideMark/>
          </w:tcPr>
          <w:p w14:paraId="3AE08F30"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0.91</w:t>
            </w:r>
          </w:p>
        </w:tc>
        <w:tc>
          <w:tcPr>
            <w:tcW w:w="1559" w:type="dxa"/>
            <w:vAlign w:val="center"/>
            <w:hideMark/>
          </w:tcPr>
          <w:p w14:paraId="53E1FD00"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0.89</w:t>
            </w:r>
          </w:p>
        </w:tc>
      </w:tr>
      <w:tr w:rsidR="00804384" w:rsidRPr="003F7444" w14:paraId="08C80F54" w14:textId="77777777" w:rsidTr="003F7444">
        <w:trPr>
          <w:gridAfter w:val="1"/>
          <w:wAfter w:w="6" w:type="dxa"/>
        </w:trPr>
        <w:tc>
          <w:tcPr>
            <w:tcW w:w="4673" w:type="dxa"/>
            <w:vAlign w:val="center"/>
            <w:hideMark/>
          </w:tcPr>
          <w:p w14:paraId="524B957A" w14:textId="77777777" w:rsidR="00804384" w:rsidRPr="003F7444" w:rsidRDefault="00804384"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59" w:type="dxa"/>
            <w:vAlign w:val="center"/>
            <w:hideMark/>
          </w:tcPr>
          <w:p w14:paraId="38B2578A"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(0.87, 0.94)</w:t>
            </w:r>
          </w:p>
        </w:tc>
        <w:tc>
          <w:tcPr>
            <w:tcW w:w="1559" w:type="dxa"/>
            <w:vAlign w:val="center"/>
            <w:hideMark/>
          </w:tcPr>
          <w:p w14:paraId="2CD52A64"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(0.84, 0.92)</w:t>
            </w:r>
          </w:p>
        </w:tc>
      </w:tr>
      <w:tr w:rsidR="00804384" w:rsidRPr="003F7444" w14:paraId="6228F135" w14:textId="77777777" w:rsidTr="003F7444">
        <w:trPr>
          <w:gridAfter w:val="1"/>
          <w:wAfter w:w="6" w:type="dxa"/>
        </w:trPr>
        <w:tc>
          <w:tcPr>
            <w:tcW w:w="4673" w:type="dxa"/>
            <w:vAlign w:val="center"/>
            <w:hideMark/>
          </w:tcPr>
          <w:p w14:paraId="7E00CA8D"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12 months</w:t>
            </w:r>
          </w:p>
        </w:tc>
        <w:tc>
          <w:tcPr>
            <w:tcW w:w="1559" w:type="dxa"/>
            <w:vAlign w:val="center"/>
            <w:hideMark/>
          </w:tcPr>
          <w:p w14:paraId="7F677689"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0.87</w:t>
            </w:r>
          </w:p>
        </w:tc>
        <w:tc>
          <w:tcPr>
            <w:tcW w:w="1559" w:type="dxa"/>
            <w:vAlign w:val="center"/>
            <w:hideMark/>
          </w:tcPr>
          <w:p w14:paraId="3F3B5497"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0.81</w:t>
            </w:r>
          </w:p>
        </w:tc>
      </w:tr>
      <w:tr w:rsidR="00804384" w:rsidRPr="003F7444" w14:paraId="786E6D99" w14:textId="77777777" w:rsidTr="003F7444">
        <w:trPr>
          <w:gridAfter w:val="1"/>
          <w:wAfter w:w="6" w:type="dxa"/>
        </w:trPr>
        <w:tc>
          <w:tcPr>
            <w:tcW w:w="4673" w:type="dxa"/>
            <w:vAlign w:val="center"/>
            <w:hideMark/>
          </w:tcPr>
          <w:p w14:paraId="57BA5B9D" w14:textId="77777777" w:rsidR="00804384" w:rsidRPr="003F7444" w:rsidRDefault="00804384"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59" w:type="dxa"/>
            <w:vAlign w:val="center"/>
            <w:hideMark/>
          </w:tcPr>
          <w:p w14:paraId="23597C50"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(0.81, 0.90)</w:t>
            </w:r>
          </w:p>
        </w:tc>
        <w:tc>
          <w:tcPr>
            <w:tcW w:w="1559" w:type="dxa"/>
            <w:vAlign w:val="center"/>
            <w:hideMark/>
          </w:tcPr>
          <w:p w14:paraId="3B02E094"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(0.75, 0.85)</w:t>
            </w:r>
          </w:p>
        </w:tc>
      </w:tr>
      <w:tr w:rsidR="00804384" w:rsidRPr="003F7444" w14:paraId="15D6628B" w14:textId="77777777" w:rsidTr="003F7444">
        <w:trPr>
          <w:gridAfter w:val="1"/>
          <w:wAfter w:w="6" w:type="dxa"/>
        </w:trPr>
        <w:tc>
          <w:tcPr>
            <w:tcW w:w="4673" w:type="dxa"/>
            <w:vAlign w:val="center"/>
            <w:hideMark/>
          </w:tcPr>
          <w:p w14:paraId="3F6F6CA2"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18 months</w:t>
            </w:r>
          </w:p>
        </w:tc>
        <w:tc>
          <w:tcPr>
            <w:tcW w:w="1559" w:type="dxa"/>
            <w:vAlign w:val="center"/>
            <w:hideMark/>
          </w:tcPr>
          <w:p w14:paraId="30A76BFA"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0.84</w:t>
            </w:r>
          </w:p>
        </w:tc>
        <w:tc>
          <w:tcPr>
            <w:tcW w:w="1559" w:type="dxa"/>
            <w:vAlign w:val="center"/>
            <w:hideMark/>
          </w:tcPr>
          <w:p w14:paraId="21E62998"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0.73</w:t>
            </w:r>
          </w:p>
        </w:tc>
      </w:tr>
      <w:tr w:rsidR="00804384" w:rsidRPr="003F7444" w14:paraId="2FF90531" w14:textId="77777777" w:rsidTr="003F7444">
        <w:trPr>
          <w:gridAfter w:val="1"/>
          <w:wAfter w:w="6" w:type="dxa"/>
        </w:trPr>
        <w:tc>
          <w:tcPr>
            <w:tcW w:w="4673" w:type="dxa"/>
            <w:vAlign w:val="center"/>
            <w:hideMark/>
          </w:tcPr>
          <w:p w14:paraId="5C8F3C6C" w14:textId="77777777" w:rsidR="00804384" w:rsidRPr="003F7444" w:rsidRDefault="00804384"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59" w:type="dxa"/>
            <w:vAlign w:val="center"/>
            <w:hideMark/>
          </w:tcPr>
          <w:p w14:paraId="7E0DD179"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(0.79, 0.88)</w:t>
            </w:r>
          </w:p>
        </w:tc>
        <w:tc>
          <w:tcPr>
            <w:tcW w:w="1559" w:type="dxa"/>
            <w:vAlign w:val="center"/>
            <w:hideMark/>
          </w:tcPr>
          <w:p w14:paraId="732A11C7"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(0.67, 0.78)</w:t>
            </w:r>
          </w:p>
        </w:tc>
      </w:tr>
      <w:tr w:rsidR="00804384" w:rsidRPr="003F7444" w14:paraId="0BDAFE5F" w14:textId="77777777" w:rsidTr="003F7444">
        <w:trPr>
          <w:gridAfter w:val="1"/>
          <w:wAfter w:w="6" w:type="dxa"/>
        </w:trPr>
        <w:tc>
          <w:tcPr>
            <w:tcW w:w="4673" w:type="dxa"/>
            <w:vAlign w:val="center"/>
            <w:hideMark/>
          </w:tcPr>
          <w:p w14:paraId="7F48F30D"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24 months</w:t>
            </w:r>
          </w:p>
        </w:tc>
        <w:tc>
          <w:tcPr>
            <w:tcW w:w="1559" w:type="dxa"/>
            <w:vAlign w:val="center"/>
            <w:hideMark/>
          </w:tcPr>
          <w:p w14:paraId="2CA13A27"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0.79</w:t>
            </w:r>
          </w:p>
        </w:tc>
        <w:tc>
          <w:tcPr>
            <w:tcW w:w="1559" w:type="dxa"/>
            <w:vAlign w:val="center"/>
            <w:hideMark/>
          </w:tcPr>
          <w:p w14:paraId="4040AA88"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0.67</w:t>
            </w:r>
          </w:p>
        </w:tc>
      </w:tr>
      <w:tr w:rsidR="00804384" w:rsidRPr="003F7444" w14:paraId="7CCE06BD" w14:textId="77777777" w:rsidTr="003F7444">
        <w:trPr>
          <w:gridAfter w:val="1"/>
          <w:wAfter w:w="6" w:type="dxa"/>
        </w:trPr>
        <w:tc>
          <w:tcPr>
            <w:tcW w:w="4673" w:type="dxa"/>
            <w:vAlign w:val="center"/>
            <w:hideMark/>
          </w:tcPr>
          <w:p w14:paraId="6B5D499E" w14:textId="77777777" w:rsidR="00804384" w:rsidRPr="003F7444" w:rsidRDefault="00804384"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59" w:type="dxa"/>
            <w:vAlign w:val="center"/>
            <w:hideMark/>
          </w:tcPr>
          <w:p w14:paraId="74DE1AB2"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(0.73, 0.84)</w:t>
            </w:r>
          </w:p>
        </w:tc>
        <w:tc>
          <w:tcPr>
            <w:tcW w:w="1559" w:type="dxa"/>
            <w:vAlign w:val="center"/>
            <w:hideMark/>
          </w:tcPr>
          <w:p w14:paraId="07B318E0"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(0.61, 0.73)</w:t>
            </w:r>
          </w:p>
        </w:tc>
      </w:tr>
      <w:tr w:rsidR="00804384" w:rsidRPr="003F7444" w14:paraId="24F7532A" w14:textId="77777777" w:rsidTr="003F7444">
        <w:trPr>
          <w:gridAfter w:val="1"/>
          <w:wAfter w:w="6" w:type="dxa"/>
        </w:trPr>
        <w:tc>
          <w:tcPr>
            <w:tcW w:w="4673" w:type="dxa"/>
            <w:vAlign w:val="center"/>
            <w:hideMark/>
          </w:tcPr>
          <w:p w14:paraId="06E577CD" w14:textId="77777777" w:rsidR="00804384" w:rsidRPr="003F7444" w:rsidRDefault="00804384" w:rsidP="00B71595">
            <w:pPr>
              <w:spacing w:after="0" w:line="240" w:lineRule="auto"/>
              <w:ind w:left="257"/>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36 months</w:t>
            </w:r>
          </w:p>
        </w:tc>
        <w:tc>
          <w:tcPr>
            <w:tcW w:w="1559" w:type="dxa"/>
            <w:vAlign w:val="center"/>
            <w:hideMark/>
          </w:tcPr>
          <w:p w14:paraId="2C319FC2"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0.74</w:t>
            </w:r>
          </w:p>
        </w:tc>
        <w:tc>
          <w:tcPr>
            <w:tcW w:w="1559" w:type="dxa"/>
            <w:vAlign w:val="center"/>
            <w:hideMark/>
          </w:tcPr>
          <w:p w14:paraId="06CA965E"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0.60</w:t>
            </w:r>
          </w:p>
        </w:tc>
      </w:tr>
      <w:tr w:rsidR="00804384" w:rsidRPr="003F7444" w14:paraId="0CC8B727" w14:textId="77777777" w:rsidTr="003F7444">
        <w:trPr>
          <w:gridAfter w:val="1"/>
          <w:wAfter w:w="6" w:type="dxa"/>
        </w:trPr>
        <w:tc>
          <w:tcPr>
            <w:tcW w:w="4673" w:type="dxa"/>
            <w:vAlign w:val="center"/>
            <w:hideMark/>
          </w:tcPr>
          <w:p w14:paraId="3F3E42E2" w14:textId="77777777" w:rsidR="00804384" w:rsidRPr="003F7444" w:rsidRDefault="00804384" w:rsidP="00B71595">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1559" w:type="dxa"/>
            <w:vAlign w:val="center"/>
            <w:hideMark/>
          </w:tcPr>
          <w:p w14:paraId="52989CA9"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(0.68, 0.79)</w:t>
            </w:r>
          </w:p>
        </w:tc>
        <w:tc>
          <w:tcPr>
            <w:tcW w:w="1559" w:type="dxa"/>
            <w:vAlign w:val="center"/>
            <w:hideMark/>
          </w:tcPr>
          <w:p w14:paraId="43BEE0F4" w14:textId="77777777" w:rsidR="00804384" w:rsidRPr="003F7444" w:rsidRDefault="00804384" w:rsidP="00893CC2">
            <w:pPr>
              <w:spacing w:after="0" w:line="240" w:lineRule="auto"/>
              <w:rPr>
                <w:rFonts w:eastAsia="Times New Roman" w:cs="Times New Roman"/>
                <w:szCs w:val="22"/>
                <w:lang w:eastAsia="en-AU"/>
              </w:rPr>
            </w:pPr>
            <w:r w:rsidRPr="003F7444">
              <w:rPr>
                <w:rFonts w:eastAsia="Times New Roman" w:cs="Times New Roman"/>
                <w:szCs w:val="22"/>
                <w:lang w:eastAsia="en-AU"/>
              </w:rPr>
              <w:t>(0.54, 0.66)</w:t>
            </w:r>
          </w:p>
        </w:tc>
      </w:tr>
    </w:tbl>
    <w:p w14:paraId="4E0ACC17" w14:textId="07BB6ECA" w:rsidR="00AD3AB0" w:rsidRDefault="00AD3AB0" w:rsidP="00525DA6">
      <w:pPr>
        <w:pStyle w:val="TableDescription"/>
        <w:contextualSpacing/>
      </w:pPr>
      <w:r>
        <w:t>1. C</w:t>
      </w:r>
      <w:r w:rsidR="00525DA6">
        <w:t>I</w:t>
      </w:r>
      <w:r>
        <w:t>s were estimated using the Brookmeyer Crowley method.</w:t>
      </w:r>
    </w:p>
    <w:p w14:paraId="31C80044" w14:textId="46791FCF" w:rsidR="00AD3AB0" w:rsidRDefault="00AD3AB0" w:rsidP="00525DA6">
      <w:pPr>
        <w:pStyle w:val="TableDescription"/>
        <w:contextualSpacing/>
      </w:pPr>
      <w:r>
        <w:t>2. Hazard rates were estimated using a Cox Proportional Hazards model strati</w:t>
      </w:r>
      <w:r w:rsidR="00D35660">
        <w:t>f</w:t>
      </w:r>
      <w:r>
        <w:t>ied by the number of lines of prior</w:t>
      </w:r>
      <w:r w:rsidR="00D35660">
        <w:t xml:space="preserve"> </w:t>
      </w:r>
      <w:r>
        <w:t>therapy (1 vs. 2/3 vs. 24), p</w:t>
      </w:r>
      <w:r w:rsidR="00D35660">
        <w:t>rio</w:t>
      </w:r>
      <w:r>
        <w:t>r bortezomib (no, yes), and R-ISS at screening (I vs. I</w:t>
      </w:r>
      <w:r w:rsidR="002602A1">
        <w:t>I</w:t>
      </w:r>
      <w:r>
        <w:t>/</w:t>
      </w:r>
      <w:proofErr w:type="spellStart"/>
      <w:r w:rsidR="002602A1">
        <w:t>I</w:t>
      </w:r>
      <w:r>
        <w:t>Il</w:t>
      </w:r>
      <w:proofErr w:type="spellEnd"/>
      <w:r>
        <w:t>), with a cova</w:t>
      </w:r>
      <w:r w:rsidR="002602A1">
        <w:t>ri</w:t>
      </w:r>
      <w:r>
        <w:t>ate of</w:t>
      </w:r>
      <w:r w:rsidR="002602A1">
        <w:t xml:space="preserve"> </w:t>
      </w:r>
      <w:r>
        <w:t>treatment.</w:t>
      </w:r>
    </w:p>
    <w:p w14:paraId="1A01BF52" w14:textId="77777777" w:rsidR="00AD3AB0" w:rsidRDefault="00AD3AB0" w:rsidP="00525DA6">
      <w:pPr>
        <w:pStyle w:val="TableDescription"/>
        <w:contextualSpacing/>
      </w:pPr>
      <w:r>
        <w:t>3. p-value from 1-sided stratified log-rank test.</w:t>
      </w:r>
    </w:p>
    <w:p w14:paraId="31280EB5" w14:textId="5007DDA3" w:rsidR="00804384" w:rsidRDefault="00AD3AB0" w:rsidP="00525DA6">
      <w:pPr>
        <w:pStyle w:val="TableDescription"/>
        <w:contextualSpacing/>
      </w:pPr>
      <w:r>
        <w:t xml:space="preserve">Note: There were 2 participants in the ITT </w:t>
      </w:r>
      <w:r w:rsidR="00525DA6">
        <w:t>Population</w:t>
      </w:r>
      <w:r>
        <w:t xml:space="preserve"> who were randomized, not treated, re-screened, and</w:t>
      </w:r>
      <w:r w:rsidR="002602A1">
        <w:t xml:space="preserve"> re</w:t>
      </w:r>
      <w:r w:rsidR="00525DA6">
        <w:t xml:space="preserve">-randomized. </w:t>
      </w:r>
      <w:r>
        <w:t>They are counted as 4 unique p</w:t>
      </w:r>
      <w:r w:rsidR="00525DA6">
        <w:t>articipants</w:t>
      </w:r>
      <w:r>
        <w:t xml:space="preserve"> in this table.</w:t>
      </w:r>
    </w:p>
    <w:p w14:paraId="4332F5B1" w14:textId="3E63D473" w:rsidR="0087383A" w:rsidRDefault="00AD1D6B" w:rsidP="00AD1D6B">
      <w:pPr>
        <w:pStyle w:val="FigureTitle"/>
      </w:pPr>
      <w:r w:rsidRPr="00AD1D6B">
        <w:t>Figure</w:t>
      </w:r>
      <w:r w:rsidR="003716D8">
        <w:t xml:space="preserve"> 7</w:t>
      </w:r>
      <w:r w:rsidRPr="00AD1D6B">
        <w:t>: DREAMM-7: Graph of updated Kaplan-Meier Curves of Overall Survival (ITT Population)</w:t>
      </w:r>
    </w:p>
    <w:p w14:paraId="522EBF16" w14:textId="6581D1D4" w:rsidR="0087383A" w:rsidRDefault="0087383A" w:rsidP="00073830">
      <w:r w:rsidRPr="0087383A">
        <w:rPr>
          <w:noProof/>
        </w:rPr>
        <w:drawing>
          <wp:inline distT="0" distB="0" distL="0" distR="0" wp14:anchorId="405BB1C5" wp14:editId="06AC7685">
            <wp:extent cx="4827447" cy="2878372"/>
            <wp:effectExtent l="0" t="0" r="0" b="0"/>
            <wp:docPr id="1680032895" name="Picture 1" descr="Figure 7: DREAMM-7: Graph of updated Kaplan-Meier Curves of Overall Surviv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32895" name="Picture 1" descr="Figure 7: DREAMM-7: Graph of updated Kaplan-Meier Curves of Overall Survival (ITT Population)"/>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4831839" cy="2880991"/>
                    </a:xfrm>
                    <a:prstGeom prst="rect">
                      <a:avLst/>
                    </a:prstGeom>
                  </pic:spPr>
                </pic:pic>
              </a:graphicData>
            </a:graphic>
          </wp:inline>
        </w:drawing>
      </w:r>
    </w:p>
    <w:p w14:paraId="2713973B" w14:textId="14C7378E" w:rsidR="005152DD" w:rsidRDefault="005152DD" w:rsidP="005152DD">
      <w:pPr>
        <w:pStyle w:val="FigureDescription"/>
        <w:spacing w:line="240" w:lineRule="auto"/>
        <w:contextualSpacing/>
      </w:pPr>
      <w:r>
        <w:t>Note: There are 2 participants in the ITT Population that were randomized, not treated, re-screened, and rerandomized.</w:t>
      </w:r>
      <w:r w:rsidR="00375858">
        <w:t xml:space="preserve"> They are counted as 4 unique participants in this output.</w:t>
      </w:r>
    </w:p>
    <w:p w14:paraId="75782C9D" w14:textId="6E537032" w:rsidR="00686921" w:rsidRPr="00686921" w:rsidRDefault="00686921" w:rsidP="00542279">
      <w:pPr>
        <w:rPr>
          <w:lang w:val="en-NZ"/>
        </w:rPr>
      </w:pPr>
      <w:proofErr w:type="spellStart"/>
      <w:r w:rsidRPr="00686921">
        <w:t>DoR</w:t>
      </w:r>
      <w:proofErr w:type="spellEnd"/>
      <w:r w:rsidRPr="00686921">
        <w:rPr>
          <w:lang w:val="en-NZ"/>
        </w:rPr>
        <w:t xml:space="preserve">: mean (95% CI) </w:t>
      </w:r>
      <w:proofErr w:type="spellStart"/>
      <w:r w:rsidRPr="00686921">
        <w:rPr>
          <w:lang w:val="en-NZ"/>
        </w:rPr>
        <w:t>DoR</w:t>
      </w:r>
      <w:proofErr w:type="spellEnd"/>
      <w:r w:rsidRPr="00686921">
        <w:rPr>
          <w:lang w:val="en-NZ"/>
        </w:rPr>
        <w:t xml:space="preserve"> at 27.8 months was 19.0 (17.7 to 20.4) months for </w:t>
      </w:r>
      <w:proofErr w:type="spellStart"/>
      <w:r w:rsidRPr="00686921">
        <w:rPr>
          <w:lang w:val="en-NZ"/>
        </w:rPr>
        <w:t>BVd</w:t>
      </w:r>
      <w:proofErr w:type="spellEnd"/>
      <w:r w:rsidRPr="00686921">
        <w:rPr>
          <w:lang w:val="en-NZ"/>
        </w:rPr>
        <w:t xml:space="preserve"> and 13.2 (11.8 to 14.6) months for </w:t>
      </w:r>
      <w:proofErr w:type="spellStart"/>
      <w:r w:rsidRPr="00686921">
        <w:rPr>
          <w:lang w:val="en-NZ"/>
        </w:rPr>
        <w:t>DVd</w:t>
      </w:r>
      <w:proofErr w:type="spellEnd"/>
      <w:r w:rsidRPr="00686921">
        <w:rPr>
          <w:lang w:val="en-NZ"/>
        </w:rPr>
        <w:t xml:space="preserve">: estimated difference (95% CI) 5.9 (4.0 to 8.8) months; mean ratio (95% CI) </w:t>
      </w:r>
      <w:proofErr w:type="spellStart"/>
      <w:r w:rsidRPr="00686921">
        <w:rPr>
          <w:lang w:val="en-NZ"/>
        </w:rPr>
        <w:t>BVd</w:t>
      </w:r>
      <w:proofErr w:type="spellEnd"/>
      <w:r w:rsidRPr="00686921">
        <w:rPr>
          <w:lang w:val="en-NZ"/>
        </w:rPr>
        <w:t>/</w:t>
      </w:r>
      <w:proofErr w:type="spellStart"/>
      <w:r w:rsidRPr="00686921">
        <w:rPr>
          <w:lang w:val="en-NZ"/>
        </w:rPr>
        <w:t>DVd</w:t>
      </w:r>
      <w:proofErr w:type="spellEnd"/>
      <w:r w:rsidRPr="00686921">
        <w:rPr>
          <w:lang w:val="en-NZ"/>
        </w:rPr>
        <w:t xml:space="preserve"> 1.45 (1.28 to 1.64), p &lt;0.00001</w:t>
      </w:r>
      <w:r w:rsidR="00321F3C">
        <w:rPr>
          <w:lang w:val="en-NZ"/>
        </w:rPr>
        <w:t xml:space="preserve">, </w:t>
      </w:r>
      <w:r w:rsidR="002153B9">
        <w:rPr>
          <w:lang w:val="en-NZ"/>
        </w:rPr>
        <w:t xml:space="preserve">and demonstrating statistical </w:t>
      </w:r>
      <w:proofErr w:type="gramStart"/>
      <w:r w:rsidR="002153B9">
        <w:rPr>
          <w:lang w:val="en-NZ"/>
        </w:rPr>
        <w:t xml:space="preserve">significance </w:t>
      </w:r>
      <w:r w:rsidRPr="00686921">
        <w:rPr>
          <w:lang w:val="en-NZ"/>
        </w:rPr>
        <w:t>.</w:t>
      </w:r>
      <w:proofErr w:type="gramEnd"/>
    </w:p>
    <w:p w14:paraId="1E5476CD" w14:textId="424448AB" w:rsidR="00686921" w:rsidRPr="00686921" w:rsidRDefault="00686921" w:rsidP="00542279">
      <w:r w:rsidRPr="00686921">
        <w:rPr>
          <w:lang w:val="en-NZ"/>
        </w:rPr>
        <w:lastRenderedPageBreak/>
        <w:t xml:space="preserve">MRD negativity rate: MRD was determined for 60 (24.7%) participants for </w:t>
      </w:r>
      <w:proofErr w:type="spellStart"/>
      <w:r w:rsidRPr="00686921">
        <w:rPr>
          <w:lang w:val="en-NZ"/>
        </w:rPr>
        <w:t>BVd</w:t>
      </w:r>
      <w:proofErr w:type="spellEnd"/>
      <w:r w:rsidRPr="00686921">
        <w:rPr>
          <w:lang w:val="en-NZ"/>
        </w:rPr>
        <w:t xml:space="preserve"> and 24 (9.6%) for </w:t>
      </w:r>
      <w:proofErr w:type="spellStart"/>
      <w:r w:rsidRPr="00686921">
        <w:rPr>
          <w:lang w:val="en-NZ"/>
        </w:rPr>
        <w:t>DVd</w:t>
      </w:r>
      <w:proofErr w:type="spellEnd"/>
      <w:r w:rsidR="00073830">
        <w:rPr>
          <w:lang w:val="en-NZ"/>
        </w:rPr>
        <w:t xml:space="preserve">. </w:t>
      </w:r>
      <w:r w:rsidRPr="00686921">
        <w:rPr>
          <w:lang w:val="en-NZ"/>
        </w:rPr>
        <w:t xml:space="preserve">The MRD negativity rate (95% CI) was 24.7 (19.4 to 30.6) % for </w:t>
      </w:r>
      <w:proofErr w:type="spellStart"/>
      <w:r w:rsidRPr="00686921">
        <w:rPr>
          <w:lang w:val="en-NZ"/>
        </w:rPr>
        <w:t>BVd</w:t>
      </w:r>
      <w:proofErr w:type="spellEnd"/>
      <w:r w:rsidRPr="00686921">
        <w:rPr>
          <w:lang w:val="en-NZ"/>
        </w:rPr>
        <w:t xml:space="preserve"> and 9.6 (6.2 to 13.9) % for </w:t>
      </w:r>
      <w:proofErr w:type="spellStart"/>
      <w:r w:rsidRPr="00686921">
        <w:rPr>
          <w:lang w:val="en-NZ"/>
        </w:rPr>
        <w:t>DVd</w:t>
      </w:r>
      <w:proofErr w:type="spellEnd"/>
      <w:r w:rsidRPr="00686921">
        <w:rPr>
          <w:lang w:val="en-NZ"/>
        </w:rPr>
        <w:t>, p &lt;0.00001</w:t>
      </w:r>
      <w:r w:rsidR="00ED2D1D">
        <w:rPr>
          <w:lang w:val="en-NZ"/>
        </w:rPr>
        <w:t>, and considered statistically significant</w:t>
      </w:r>
      <w:r w:rsidRPr="00686921">
        <w:rPr>
          <w:lang w:val="en-NZ"/>
        </w:rPr>
        <w:t>.</w:t>
      </w:r>
    </w:p>
    <w:p w14:paraId="295E6260" w14:textId="4746D55C" w:rsidR="00686921" w:rsidRPr="00686921" w:rsidRDefault="00686921" w:rsidP="00542279">
      <w:pPr>
        <w:pStyle w:val="Heading6"/>
      </w:pPr>
      <w:r w:rsidRPr="00686921">
        <w:t>Results of the other efficacy outcomes</w:t>
      </w:r>
      <w:fldSimple w:instr=" DOCVARIABLE vault_nd_e43efa7f-fdbd-424b-9fc1-b9f5d23e1330 \* MERGEFORMAT ">
        <w:r w:rsidR="00145B4A">
          <w:t xml:space="preserve"> </w:t>
        </w:r>
      </w:fldSimple>
    </w:p>
    <w:p w14:paraId="24F0D6CA" w14:textId="4236D0BF" w:rsidR="00686921" w:rsidRPr="00686921" w:rsidRDefault="00686921" w:rsidP="00073830">
      <w:pPr>
        <w:pStyle w:val="ListBullet"/>
        <w:rPr>
          <w:lang w:val="en-NZ"/>
        </w:rPr>
      </w:pPr>
      <w:r w:rsidRPr="00686921">
        <w:rPr>
          <w:lang w:val="en-NZ"/>
        </w:rPr>
        <w:t xml:space="preserve">The </w:t>
      </w:r>
      <w:r w:rsidR="00B90EAC">
        <w:rPr>
          <w:lang w:val="en-NZ"/>
        </w:rPr>
        <w:t>c</w:t>
      </w:r>
      <w:r w:rsidR="00B90EAC" w:rsidRPr="00B90EAC">
        <w:rPr>
          <w:lang w:val="en-NZ"/>
        </w:rPr>
        <w:t>omplete response rate</w:t>
      </w:r>
      <w:r w:rsidR="00B90EAC">
        <w:rPr>
          <w:lang w:val="en-NZ"/>
        </w:rPr>
        <w:t xml:space="preserve"> (</w:t>
      </w:r>
      <w:r w:rsidRPr="00686921">
        <w:rPr>
          <w:lang w:val="en-NZ"/>
        </w:rPr>
        <w:t>CRR</w:t>
      </w:r>
      <w:r w:rsidR="00B90EAC">
        <w:rPr>
          <w:lang w:val="en-NZ"/>
        </w:rPr>
        <w:t xml:space="preserve">; </w:t>
      </w:r>
      <w:r w:rsidRPr="00686921">
        <w:rPr>
          <w:lang w:val="en-NZ"/>
        </w:rPr>
        <w:t xml:space="preserve">95% CI) was 34.6 (28.6 to 40.9) % for </w:t>
      </w:r>
      <w:proofErr w:type="spellStart"/>
      <w:r w:rsidRPr="00686921">
        <w:rPr>
          <w:lang w:val="en-NZ"/>
        </w:rPr>
        <w:t>BVd</w:t>
      </w:r>
      <w:proofErr w:type="spellEnd"/>
      <w:r w:rsidRPr="00686921">
        <w:rPr>
          <w:lang w:val="en-NZ"/>
        </w:rPr>
        <w:t xml:space="preserve"> and 17.1 (12.7 to 22.4) % for </w:t>
      </w:r>
      <w:proofErr w:type="spellStart"/>
      <w:r w:rsidRPr="00686921">
        <w:rPr>
          <w:lang w:val="en-NZ"/>
        </w:rPr>
        <w:t>DVd</w:t>
      </w:r>
      <w:proofErr w:type="spellEnd"/>
      <w:r w:rsidRPr="00686921">
        <w:rPr>
          <w:lang w:val="en-NZ"/>
        </w:rPr>
        <w:t xml:space="preserve">, difference (95% CI), </w:t>
      </w:r>
      <w:proofErr w:type="spellStart"/>
      <w:r w:rsidRPr="00686921">
        <w:rPr>
          <w:lang w:val="en-NZ"/>
        </w:rPr>
        <w:t>BVd-DVd</w:t>
      </w:r>
      <w:proofErr w:type="spellEnd"/>
      <w:r w:rsidRPr="00686921">
        <w:rPr>
          <w:lang w:val="en-NZ"/>
        </w:rPr>
        <w:t>, 17.4 (8.6 to 26.1) %.</w:t>
      </w:r>
    </w:p>
    <w:p w14:paraId="466CDC06" w14:textId="3605951A" w:rsidR="00686921" w:rsidRPr="00686921" w:rsidRDefault="00686921" w:rsidP="00073830">
      <w:pPr>
        <w:pStyle w:val="ListBullet"/>
        <w:rPr>
          <w:lang w:val="en-NZ"/>
        </w:rPr>
      </w:pPr>
      <w:r w:rsidRPr="00686921">
        <w:rPr>
          <w:lang w:val="en-NZ"/>
        </w:rPr>
        <w:t xml:space="preserve">The </w:t>
      </w:r>
      <w:r w:rsidR="00BC600F">
        <w:rPr>
          <w:lang w:val="en-NZ"/>
        </w:rPr>
        <w:t>o</w:t>
      </w:r>
      <w:r w:rsidR="00BC600F" w:rsidRPr="00BC600F">
        <w:rPr>
          <w:lang w:val="en-NZ"/>
        </w:rPr>
        <w:t>verall response rate</w:t>
      </w:r>
      <w:r w:rsidR="00BC600F">
        <w:rPr>
          <w:lang w:val="en-NZ"/>
        </w:rPr>
        <w:t xml:space="preserve"> (</w:t>
      </w:r>
      <w:r w:rsidRPr="00686921">
        <w:rPr>
          <w:lang w:val="en-NZ"/>
        </w:rPr>
        <w:t>ORR</w:t>
      </w:r>
      <w:r w:rsidR="00BC600F">
        <w:rPr>
          <w:lang w:val="en-NZ"/>
        </w:rPr>
        <w:t xml:space="preserve">; </w:t>
      </w:r>
      <w:r w:rsidRPr="00686921">
        <w:rPr>
          <w:lang w:val="en-NZ"/>
        </w:rPr>
        <w:t xml:space="preserve">95% CI) was 82.7 (77.4 to 87.3) % for </w:t>
      </w:r>
      <w:proofErr w:type="spellStart"/>
      <w:r w:rsidRPr="00686921">
        <w:rPr>
          <w:lang w:val="en-NZ"/>
        </w:rPr>
        <w:t>BVd</w:t>
      </w:r>
      <w:proofErr w:type="spellEnd"/>
      <w:r w:rsidRPr="00686921">
        <w:rPr>
          <w:lang w:val="en-NZ"/>
        </w:rPr>
        <w:t xml:space="preserve"> and 71.3 (65.3 to 76.8) % for </w:t>
      </w:r>
      <w:proofErr w:type="spellStart"/>
      <w:r w:rsidRPr="00686921">
        <w:rPr>
          <w:lang w:val="en-NZ"/>
        </w:rPr>
        <w:t>DVd</w:t>
      </w:r>
      <w:proofErr w:type="spellEnd"/>
      <w:r w:rsidRPr="00686921">
        <w:rPr>
          <w:lang w:val="en-NZ"/>
        </w:rPr>
        <w:t xml:space="preserve">, difference (95% CI), </w:t>
      </w:r>
      <w:proofErr w:type="spellStart"/>
      <w:r w:rsidRPr="00686921">
        <w:rPr>
          <w:lang w:val="en-NZ"/>
        </w:rPr>
        <w:t>BVd-DVd</w:t>
      </w:r>
      <w:proofErr w:type="spellEnd"/>
      <w:r w:rsidRPr="00686921">
        <w:rPr>
          <w:lang w:val="en-NZ"/>
        </w:rPr>
        <w:t>, 11.4 (2.6 to 20.1) %.</w:t>
      </w:r>
    </w:p>
    <w:p w14:paraId="5941A772" w14:textId="0AD1FB96" w:rsidR="00686921" w:rsidRPr="00686921" w:rsidRDefault="00686921" w:rsidP="00073830">
      <w:pPr>
        <w:pStyle w:val="ListBullet"/>
        <w:rPr>
          <w:lang w:val="en-NZ"/>
        </w:rPr>
      </w:pPr>
      <w:r w:rsidRPr="00686921">
        <w:rPr>
          <w:lang w:val="en-NZ"/>
        </w:rPr>
        <w:t xml:space="preserve">The </w:t>
      </w:r>
      <w:r w:rsidR="000E07C0">
        <w:rPr>
          <w:lang w:val="en-NZ"/>
        </w:rPr>
        <w:t>c</w:t>
      </w:r>
      <w:r w:rsidR="000E07C0" w:rsidRPr="000E07C0">
        <w:rPr>
          <w:lang w:val="en-NZ"/>
        </w:rPr>
        <w:t xml:space="preserve">linical benefit rate </w:t>
      </w:r>
      <w:r w:rsidR="000E07C0">
        <w:rPr>
          <w:lang w:val="en-NZ"/>
        </w:rPr>
        <w:t>(</w:t>
      </w:r>
      <w:r w:rsidRPr="00686921">
        <w:rPr>
          <w:lang w:val="en-NZ"/>
        </w:rPr>
        <w:t>CBR</w:t>
      </w:r>
      <w:r w:rsidR="000E07C0">
        <w:rPr>
          <w:lang w:val="en-NZ"/>
        </w:rPr>
        <w:t>;</w:t>
      </w:r>
      <w:r w:rsidRPr="00686921">
        <w:rPr>
          <w:lang w:val="en-NZ"/>
        </w:rPr>
        <w:t xml:space="preserve">95% CI) was 86.0 (81.0 to 90.1) % for </w:t>
      </w:r>
      <w:proofErr w:type="spellStart"/>
      <w:r w:rsidRPr="00686921">
        <w:rPr>
          <w:lang w:val="en-NZ"/>
        </w:rPr>
        <w:t>BVd</w:t>
      </w:r>
      <w:proofErr w:type="spellEnd"/>
      <w:r w:rsidRPr="00686921">
        <w:rPr>
          <w:lang w:val="en-NZ"/>
        </w:rPr>
        <w:t xml:space="preserve"> and 75.7 (69.9 to 80.9) % for </w:t>
      </w:r>
      <w:proofErr w:type="spellStart"/>
      <w:r w:rsidRPr="00686921">
        <w:rPr>
          <w:lang w:val="en-NZ"/>
        </w:rPr>
        <w:t>DVd</w:t>
      </w:r>
      <w:proofErr w:type="spellEnd"/>
      <w:r w:rsidRPr="00686921">
        <w:rPr>
          <w:lang w:val="en-NZ"/>
        </w:rPr>
        <w:t xml:space="preserve">, difference (95% CI), </w:t>
      </w:r>
      <w:proofErr w:type="spellStart"/>
      <w:r w:rsidRPr="00686921">
        <w:rPr>
          <w:lang w:val="en-NZ"/>
        </w:rPr>
        <w:t>BVd-DVd</w:t>
      </w:r>
      <w:proofErr w:type="spellEnd"/>
      <w:r w:rsidRPr="00686921">
        <w:rPr>
          <w:lang w:val="en-NZ"/>
        </w:rPr>
        <w:t>, 10.3 (1.4 to 19.1) %.</w:t>
      </w:r>
    </w:p>
    <w:p w14:paraId="46C1B561" w14:textId="4851EDF4" w:rsidR="00686921" w:rsidRPr="00686921" w:rsidRDefault="00686921" w:rsidP="00073830">
      <w:pPr>
        <w:pStyle w:val="ListBullet"/>
        <w:rPr>
          <w:lang w:val="en-NZ"/>
        </w:rPr>
      </w:pPr>
      <w:r w:rsidRPr="00686921">
        <w:rPr>
          <w:lang w:val="en-NZ"/>
        </w:rPr>
        <w:t xml:space="preserve">The median (range) </w:t>
      </w:r>
      <w:r w:rsidR="009C2C50">
        <w:rPr>
          <w:lang w:val="en-NZ"/>
        </w:rPr>
        <w:t>t</w:t>
      </w:r>
      <w:r w:rsidR="009C2C50" w:rsidRPr="009C2C50">
        <w:rPr>
          <w:lang w:val="en-NZ"/>
        </w:rPr>
        <w:t xml:space="preserve">ime to response </w:t>
      </w:r>
      <w:r w:rsidR="009C2C50">
        <w:rPr>
          <w:lang w:val="en-NZ"/>
        </w:rPr>
        <w:t>(</w:t>
      </w:r>
      <w:r w:rsidRPr="00686921">
        <w:rPr>
          <w:lang w:val="en-NZ"/>
        </w:rPr>
        <w:t>TTR</w:t>
      </w:r>
      <w:r w:rsidR="009C2C50">
        <w:rPr>
          <w:lang w:val="en-NZ"/>
        </w:rPr>
        <w:t>)</w:t>
      </w:r>
      <w:r w:rsidRPr="00686921">
        <w:rPr>
          <w:lang w:val="en-NZ"/>
        </w:rPr>
        <w:t xml:space="preserve"> was 1.41 (0.7 to 8.4) months for </w:t>
      </w:r>
      <w:proofErr w:type="spellStart"/>
      <w:r w:rsidRPr="00686921">
        <w:rPr>
          <w:lang w:val="en-NZ"/>
        </w:rPr>
        <w:t>BVd</w:t>
      </w:r>
      <w:proofErr w:type="spellEnd"/>
      <w:r w:rsidRPr="00686921">
        <w:rPr>
          <w:lang w:val="en-NZ"/>
        </w:rPr>
        <w:t xml:space="preserve"> and 0.85 (0.7 to 11.1) months for </w:t>
      </w:r>
      <w:proofErr w:type="spellStart"/>
      <w:r w:rsidRPr="00686921">
        <w:rPr>
          <w:lang w:val="en-NZ"/>
        </w:rPr>
        <w:t>DVd</w:t>
      </w:r>
      <w:proofErr w:type="spellEnd"/>
      <w:r w:rsidRPr="00686921">
        <w:rPr>
          <w:lang w:val="en-NZ"/>
        </w:rPr>
        <w:t>.</w:t>
      </w:r>
    </w:p>
    <w:p w14:paraId="10581279" w14:textId="01FFC87C" w:rsidR="00686921" w:rsidRPr="00686921" w:rsidRDefault="00686921" w:rsidP="00073830">
      <w:pPr>
        <w:pStyle w:val="ListBullet"/>
        <w:rPr>
          <w:lang w:val="en-NZ"/>
        </w:rPr>
      </w:pPr>
      <w:r w:rsidRPr="00686921">
        <w:rPr>
          <w:lang w:val="en-NZ"/>
        </w:rPr>
        <w:t xml:space="preserve">The median (95% CI) </w:t>
      </w:r>
      <w:r w:rsidR="005443F3">
        <w:rPr>
          <w:lang w:val="en-NZ"/>
        </w:rPr>
        <w:t>t</w:t>
      </w:r>
      <w:r w:rsidR="005443F3" w:rsidRPr="005443F3">
        <w:rPr>
          <w:lang w:val="en-NZ"/>
        </w:rPr>
        <w:t xml:space="preserve">ime to progression </w:t>
      </w:r>
      <w:r w:rsidR="005443F3">
        <w:rPr>
          <w:lang w:val="en-NZ"/>
        </w:rPr>
        <w:t>(</w:t>
      </w:r>
      <w:r w:rsidRPr="00686921">
        <w:rPr>
          <w:lang w:val="en-NZ"/>
        </w:rPr>
        <w:t>TTP</w:t>
      </w:r>
      <w:r w:rsidR="005443F3">
        <w:rPr>
          <w:lang w:val="en-NZ"/>
        </w:rPr>
        <w:t>)</w:t>
      </w:r>
      <w:r w:rsidRPr="00686921">
        <w:rPr>
          <w:lang w:val="en-NZ"/>
        </w:rPr>
        <w:t xml:space="preserve"> was 36.6 (33.2 to </w:t>
      </w:r>
      <w:r w:rsidR="000B04E4">
        <w:rPr>
          <w:lang w:val="en-NZ"/>
        </w:rPr>
        <w:t>n</w:t>
      </w:r>
      <w:r w:rsidR="000B04E4" w:rsidRPr="000B04E4">
        <w:rPr>
          <w:lang w:val="en-NZ"/>
        </w:rPr>
        <w:t xml:space="preserve">ot evaluable </w:t>
      </w:r>
      <w:r w:rsidR="000B04E4">
        <w:rPr>
          <w:lang w:val="en-NZ"/>
        </w:rPr>
        <w:t>[</w:t>
      </w:r>
      <w:r w:rsidRPr="00686921">
        <w:rPr>
          <w:lang w:val="en-NZ"/>
        </w:rPr>
        <w:t>NE</w:t>
      </w:r>
      <w:r w:rsidR="000B04E4">
        <w:rPr>
          <w:lang w:val="en-NZ"/>
        </w:rPr>
        <w:t>]</w:t>
      </w:r>
      <w:r w:rsidRPr="00686921">
        <w:rPr>
          <w:lang w:val="en-NZ"/>
        </w:rPr>
        <w:t xml:space="preserve">) months for </w:t>
      </w:r>
      <w:proofErr w:type="spellStart"/>
      <w:r w:rsidRPr="00686921">
        <w:rPr>
          <w:lang w:val="en-NZ"/>
        </w:rPr>
        <w:t>BVd</w:t>
      </w:r>
      <w:proofErr w:type="spellEnd"/>
      <w:r w:rsidRPr="00686921">
        <w:rPr>
          <w:lang w:val="en-NZ"/>
        </w:rPr>
        <w:t xml:space="preserve"> and 16.0 (12.5 to 19.4) months for </w:t>
      </w:r>
      <w:proofErr w:type="spellStart"/>
      <w:r w:rsidRPr="00686921">
        <w:rPr>
          <w:lang w:val="en-NZ"/>
        </w:rPr>
        <w:t>DVd</w:t>
      </w:r>
      <w:proofErr w:type="spellEnd"/>
      <w:r w:rsidRPr="00686921">
        <w:rPr>
          <w:lang w:val="en-NZ"/>
        </w:rPr>
        <w:t>; HR (95% CI) 0.32 (0.24 to 0.44).</w:t>
      </w:r>
    </w:p>
    <w:p w14:paraId="1DC96355" w14:textId="53F22E0D" w:rsidR="00686921" w:rsidRPr="00686921" w:rsidRDefault="00686921" w:rsidP="00073830">
      <w:pPr>
        <w:pStyle w:val="ListBullet"/>
      </w:pPr>
      <w:r w:rsidRPr="00686921">
        <w:rPr>
          <w:lang w:val="en-NZ"/>
        </w:rPr>
        <w:t xml:space="preserve">Median </w:t>
      </w:r>
      <w:r w:rsidR="005308EF">
        <w:rPr>
          <w:lang w:val="en-NZ"/>
        </w:rPr>
        <w:t>p</w:t>
      </w:r>
      <w:r w:rsidR="005308EF" w:rsidRPr="005308EF">
        <w:rPr>
          <w:lang w:val="en-NZ"/>
        </w:rPr>
        <w:t xml:space="preserve">rogression-free survival on subsequent line of therapy </w:t>
      </w:r>
      <w:r w:rsidR="005308EF">
        <w:rPr>
          <w:lang w:val="en-NZ"/>
        </w:rPr>
        <w:t>(</w:t>
      </w:r>
      <w:r w:rsidRPr="00686921">
        <w:rPr>
          <w:lang w:val="en-NZ"/>
        </w:rPr>
        <w:t>PFS2</w:t>
      </w:r>
      <w:r w:rsidR="005308EF">
        <w:rPr>
          <w:lang w:val="en-NZ"/>
        </w:rPr>
        <w:t>)</w:t>
      </w:r>
      <w:r w:rsidRPr="00686921">
        <w:rPr>
          <w:lang w:val="en-NZ"/>
        </w:rPr>
        <w:t xml:space="preserve"> was not estimable for </w:t>
      </w:r>
      <w:proofErr w:type="spellStart"/>
      <w:r w:rsidRPr="00686921">
        <w:rPr>
          <w:lang w:val="en-NZ"/>
        </w:rPr>
        <w:t>BVd</w:t>
      </w:r>
      <w:proofErr w:type="spellEnd"/>
      <w:r w:rsidR="00073830">
        <w:rPr>
          <w:lang w:val="en-NZ"/>
        </w:rPr>
        <w:t xml:space="preserve">. </w:t>
      </w:r>
      <w:r w:rsidRPr="00686921">
        <w:rPr>
          <w:lang w:val="en-NZ"/>
        </w:rPr>
        <w:t xml:space="preserve">The HR (95% CI) for PFS2, </w:t>
      </w:r>
      <w:proofErr w:type="spellStart"/>
      <w:r w:rsidRPr="00686921">
        <w:rPr>
          <w:lang w:val="en-NZ"/>
        </w:rPr>
        <w:t>BVd</w:t>
      </w:r>
      <w:proofErr w:type="spellEnd"/>
      <w:r w:rsidRPr="00686921">
        <w:rPr>
          <w:lang w:val="en-NZ"/>
        </w:rPr>
        <w:t>/</w:t>
      </w:r>
      <w:proofErr w:type="spellStart"/>
      <w:r w:rsidRPr="00686921">
        <w:rPr>
          <w:lang w:val="en-NZ"/>
        </w:rPr>
        <w:t>DVd</w:t>
      </w:r>
      <w:proofErr w:type="spellEnd"/>
      <w:r w:rsidRPr="00686921">
        <w:rPr>
          <w:lang w:val="en-NZ"/>
        </w:rPr>
        <w:t>, was 0.56 (0.41 to 0.76).</w:t>
      </w:r>
    </w:p>
    <w:p w14:paraId="45A81B50" w14:textId="5C6F8F08" w:rsidR="00686921" w:rsidRPr="00686921" w:rsidRDefault="00686921" w:rsidP="005308EF">
      <w:pPr>
        <w:pStyle w:val="Heading5"/>
      </w:pPr>
      <w:r w:rsidRPr="00686921">
        <w:t>Study 207499 (DREAMM-8)</w:t>
      </w:r>
      <w:fldSimple w:instr=" DOCVARIABLE vault_nd_bec658fb-9f33-4e1b-97a9-0e03de8057cb \* MERGEFORMAT ">
        <w:r w:rsidR="00145B4A">
          <w:t xml:space="preserve"> </w:t>
        </w:r>
      </w:fldSimple>
    </w:p>
    <w:p w14:paraId="5D2CA081" w14:textId="16DBD15B" w:rsidR="00686921" w:rsidRPr="00686921" w:rsidRDefault="00686921" w:rsidP="00686921">
      <w:r w:rsidRPr="00686921">
        <w:t>DREAMM-8 was a Phase 3, open-label, randomised efficacy and safety study of belantamab mafodotin in combination with pomalidomide and dexamethasone (B-Pd) compared to pomalidomide, bortezomib and dexamethasone (</w:t>
      </w:r>
      <w:proofErr w:type="spellStart"/>
      <w:r w:rsidRPr="00686921">
        <w:t>PVd</w:t>
      </w:r>
      <w:proofErr w:type="spellEnd"/>
      <w:r w:rsidRPr="00686921">
        <w:t>) in participants with RRMM</w:t>
      </w:r>
      <w:r w:rsidR="003716D8">
        <w:t xml:space="preserve"> (Figure 8)</w:t>
      </w:r>
      <w:r w:rsidR="00073830">
        <w:t xml:space="preserve">. </w:t>
      </w:r>
      <w:r w:rsidRPr="00686921">
        <w:t>The study commenced on 13</w:t>
      </w:r>
      <w:r w:rsidRPr="00686921">
        <w:rPr>
          <w:vertAlign w:val="superscript"/>
        </w:rPr>
        <w:t>th</w:t>
      </w:r>
      <w:r w:rsidRPr="00686921">
        <w:t xml:space="preserve"> October 2020 and is ongoing, with the database lock for the present report on 19</w:t>
      </w:r>
      <w:r w:rsidRPr="00686921">
        <w:rPr>
          <w:vertAlign w:val="superscript"/>
        </w:rPr>
        <w:t>th</w:t>
      </w:r>
      <w:r w:rsidRPr="00686921">
        <w:t xml:space="preserve"> February 2024</w:t>
      </w:r>
      <w:r w:rsidR="00073830">
        <w:t xml:space="preserve">. </w:t>
      </w:r>
      <w:r w:rsidRPr="00686921">
        <w:t>The study was conducted at 95 centres in 18 countries (</w:t>
      </w:r>
      <w:r w:rsidRPr="00686921">
        <w:rPr>
          <w:lang w:val="en-NZ"/>
        </w:rPr>
        <w:t xml:space="preserve">Australia, Brazil, Canada, China, Czechia, France, Germany, Greece, Israel, Italy, Japan, New Zealand, Poland, Republic of Korea, Russian Federation, Spain, </w:t>
      </w:r>
      <w:proofErr w:type="spellStart"/>
      <w:r w:rsidRPr="00686921">
        <w:rPr>
          <w:lang w:val="en-NZ"/>
        </w:rPr>
        <w:t>Turkiye</w:t>
      </w:r>
      <w:proofErr w:type="spellEnd"/>
      <w:r w:rsidRPr="00686921">
        <w:rPr>
          <w:lang w:val="en-NZ"/>
        </w:rPr>
        <w:t>, United Kingdom, United States)</w:t>
      </w:r>
      <w:r w:rsidRPr="00686921">
        <w:t xml:space="preserve">. </w:t>
      </w:r>
    </w:p>
    <w:p w14:paraId="141669E7" w14:textId="47F3159F" w:rsidR="00686921" w:rsidRDefault="003E4B2A" w:rsidP="003E4B2A">
      <w:pPr>
        <w:pStyle w:val="FigureTitle"/>
      </w:pPr>
      <w:r>
        <w:t>Figure</w:t>
      </w:r>
      <w:r w:rsidR="003716D8">
        <w:t xml:space="preserve"> 8</w:t>
      </w:r>
      <w:r>
        <w:t xml:space="preserve">. </w:t>
      </w:r>
      <w:r w:rsidR="00686921" w:rsidRPr="00686921">
        <w:t xml:space="preserve">Schematic of </w:t>
      </w:r>
      <w:r w:rsidR="005308EF" w:rsidRPr="005308EF">
        <w:t>DREAMM-8</w:t>
      </w:r>
      <w:r w:rsidR="005308EF">
        <w:t xml:space="preserve"> s</w:t>
      </w:r>
      <w:r w:rsidR="00686921" w:rsidRPr="00686921">
        <w:t xml:space="preserve">tudy </w:t>
      </w:r>
      <w:r w:rsidR="005308EF">
        <w:t>d</w:t>
      </w:r>
      <w:r w:rsidR="00686921" w:rsidRPr="00686921">
        <w:t>esign</w:t>
      </w:r>
    </w:p>
    <w:p w14:paraId="380D44D5" w14:textId="61FE9BBE" w:rsidR="003E4B2A" w:rsidRPr="00686921" w:rsidRDefault="003E4B2A" w:rsidP="00686921">
      <w:pPr>
        <w:rPr>
          <w:b/>
          <w:bCs/>
          <w:u w:val="single"/>
        </w:rPr>
      </w:pPr>
      <w:r w:rsidRPr="003E4B2A">
        <w:rPr>
          <w:b/>
          <w:bCs/>
          <w:noProof/>
          <w:u w:val="single"/>
        </w:rPr>
        <w:drawing>
          <wp:inline distT="0" distB="0" distL="0" distR="0" wp14:anchorId="7FA9BD95" wp14:editId="4AECBE43">
            <wp:extent cx="5705563" cy="3180522"/>
            <wp:effectExtent l="0" t="0" r="0" b="1270"/>
            <wp:docPr id="2116501144" name="Picture 1" descr="Figure 8. Schematic of DREAMM-8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01144" name="Picture 1" descr="Figure 8. Schematic of DREAMM-8 study design"/>
                    <pic:cNvPicPr/>
                  </pic:nvPicPr>
                  <pic:blipFill>
                    <a:blip r:embed="rId38"/>
                    <a:stretch>
                      <a:fillRect/>
                    </a:stretch>
                  </pic:blipFill>
                  <pic:spPr>
                    <a:xfrm>
                      <a:off x="0" y="0"/>
                      <a:ext cx="5783878" cy="3224178"/>
                    </a:xfrm>
                    <a:prstGeom prst="rect">
                      <a:avLst/>
                    </a:prstGeom>
                  </pic:spPr>
                </pic:pic>
              </a:graphicData>
            </a:graphic>
          </wp:inline>
        </w:drawing>
      </w:r>
    </w:p>
    <w:p w14:paraId="67985CAB" w14:textId="13A709FE" w:rsidR="004804FD" w:rsidRPr="004804FD" w:rsidRDefault="004804FD" w:rsidP="00073830">
      <w:pPr>
        <w:pStyle w:val="FigureDescription"/>
      </w:pPr>
      <w:r w:rsidRPr="004804FD">
        <w:lastRenderedPageBreak/>
        <w:t>* Stratification: Prior lines of treatment (1 vs. 2 / 3 vs. ≥4), prior bortezomib treatment (yes or no) and prior anti-CD38 treatment (yes or no). No more than 50% of participants with 2 or</w:t>
      </w:r>
      <w:r>
        <w:t xml:space="preserve"> </w:t>
      </w:r>
      <w:r w:rsidRPr="004804FD">
        <w:t>more prior lines of treatment were enrolled. It was anticipated that no more than 15% of participants with 4 or more prior lines of treatment would be enrolled. No cross-over was</w:t>
      </w:r>
      <w:r>
        <w:t xml:space="preserve"> </w:t>
      </w:r>
      <w:r w:rsidRPr="004804FD">
        <w:t>allowed. Prior to Protocol Amendment 1, stratification included ISS status (I vs. II/III) instead of anti-CD38 treatment.</w:t>
      </w:r>
    </w:p>
    <w:p w14:paraId="5B27E7C2" w14:textId="77777777" w:rsidR="004804FD" w:rsidRPr="004804FD" w:rsidRDefault="004804FD" w:rsidP="00073830">
      <w:pPr>
        <w:pStyle w:val="FigureDescription"/>
      </w:pPr>
      <w:r w:rsidRPr="004804FD">
        <w:t>† SC administration of bortezomib only.</w:t>
      </w:r>
    </w:p>
    <w:p w14:paraId="03FFC476" w14:textId="75C782F6" w:rsidR="00DD7D35" w:rsidRDefault="004804FD" w:rsidP="00073830">
      <w:pPr>
        <w:pStyle w:val="FigureDescription"/>
      </w:pPr>
      <w:r w:rsidRPr="004804FD">
        <w:t>‡ The dose level of dexamethasone was reduced by half if participant age &gt;75 years or had comorbidities or were intolerant to 40 mg dose in Arm A or 20 mg dose in Arm B,</w:t>
      </w:r>
      <w:r>
        <w:t xml:space="preserve"> </w:t>
      </w:r>
      <w:r w:rsidRPr="004804FD">
        <w:t>respectively.</w:t>
      </w:r>
    </w:p>
    <w:p w14:paraId="2DC10CE0" w14:textId="56DE0EA8" w:rsidR="00B01ED2" w:rsidRPr="00B01ED2" w:rsidRDefault="00B01ED2" w:rsidP="00B01ED2">
      <w:r w:rsidRPr="00B01ED2">
        <w:t xml:space="preserve">The inclusion criteria included: </w:t>
      </w:r>
    </w:p>
    <w:p w14:paraId="68778AF9" w14:textId="205AF4A7" w:rsidR="005308EF" w:rsidRDefault="00B01ED2" w:rsidP="005308EF">
      <w:pPr>
        <w:pStyle w:val="ListBullet"/>
      </w:pPr>
      <w:r w:rsidRPr="00B01ED2">
        <w:rPr>
          <w:lang w:val="en-NZ"/>
        </w:rPr>
        <w:t>Male or female, 18 years or older.</w:t>
      </w:r>
      <w:r w:rsidRPr="00B01ED2">
        <w:t xml:space="preserve"> </w:t>
      </w:r>
    </w:p>
    <w:p w14:paraId="2D925708" w14:textId="04F204DB" w:rsidR="005308EF" w:rsidRDefault="00B01ED2" w:rsidP="005308EF">
      <w:pPr>
        <w:pStyle w:val="ListBullet"/>
      </w:pPr>
      <w:r w:rsidRPr="00B01ED2">
        <w:t>H</w:t>
      </w:r>
      <w:proofErr w:type="spellStart"/>
      <w:r w:rsidRPr="00B01ED2">
        <w:rPr>
          <w:lang w:val="en-NZ"/>
        </w:rPr>
        <w:t>ave</w:t>
      </w:r>
      <w:proofErr w:type="spellEnd"/>
      <w:r w:rsidRPr="00B01ED2">
        <w:rPr>
          <w:lang w:val="en-NZ"/>
        </w:rPr>
        <w:t xml:space="preserve"> a confirmed diagnosis of MM as defined by the </w:t>
      </w:r>
      <w:r w:rsidR="00395B7C" w:rsidRPr="00395B7C">
        <w:rPr>
          <w:lang w:val="en-NZ"/>
        </w:rPr>
        <w:t>International Myeloma Working Group</w:t>
      </w:r>
      <w:r w:rsidRPr="00B01ED2">
        <w:t xml:space="preserve">. </w:t>
      </w:r>
    </w:p>
    <w:p w14:paraId="3B78B23F" w14:textId="2E6B9B06" w:rsidR="005308EF" w:rsidRDefault="00B01ED2" w:rsidP="005308EF">
      <w:pPr>
        <w:pStyle w:val="ListBullet"/>
      </w:pPr>
      <w:r w:rsidRPr="00B01ED2">
        <w:rPr>
          <w:lang w:val="en-NZ"/>
        </w:rPr>
        <w:t>ECOG performance status of 0 to 2.</w:t>
      </w:r>
      <w:r w:rsidRPr="00B01ED2">
        <w:t xml:space="preserve"> </w:t>
      </w:r>
    </w:p>
    <w:p w14:paraId="6217A93E" w14:textId="0951B9D0" w:rsidR="00B01ED2" w:rsidRPr="00B01ED2" w:rsidRDefault="00B01ED2" w:rsidP="005308EF">
      <w:pPr>
        <w:pStyle w:val="ListBullet"/>
        <w:rPr>
          <w:lang w:val="en-NZ"/>
        </w:rPr>
      </w:pPr>
      <w:r w:rsidRPr="00B01ED2">
        <w:rPr>
          <w:lang w:val="en-NZ"/>
        </w:rPr>
        <w:t>Have been previously treated with at least one prior line of MM therapy including a lenalidomide-containing regimen (lenalidomide must have been administered for at least 2 consecutive cycles) and must have documented disease progression during or after their most recent therapy</w:t>
      </w:r>
      <w:r w:rsidR="00073830">
        <w:rPr>
          <w:lang w:val="en-NZ"/>
        </w:rPr>
        <w:t xml:space="preserve">. </w:t>
      </w:r>
      <w:r w:rsidRPr="00B01ED2">
        <w:rPr>
          <w:lang w:val="en-NZ"/>
        </w:rPr>
        <w:t>Participants intolerant or refractory to bortezomib at 1.3 mg/m</w:t>
      </w:r>
      <w:r w:rsidRPr="00B01ED2">
        <w:rPr>
          <w:vertAlign w:val="superscript"/>
          <w:lang w:val="en-NZ"/>
        </w:rPr>
        <w:t>2</w:t>
      </w:r>
      <w:r w:rsidRPr="00B01ED2">
        <w:rPr>
          <w:lang w:val="en-NZ"/>
        </w:rPr>
        <w:t xml:space="preserve"> dose twice weekly dosing schedule are not eligible.</w:t>
      </w:r>
    </w:p>
    <w:p w14:paraId="40C48E62" w14:textId="62D60C92" w:rsidR="00B01ED2" w:rsidRPr="00B01ED2" w:rsidRDefault="00B01ED2" w:rsidP="00B01ED2">
      <w:r w:rsidRPr="00B01ED2">
        <w:t>The exclusion criteria included:</w:t>
      </w:r>
    </w:p>
    <w:p w14:paraId="25F7314D" w14:textId="2BEE68C3" w:rsidR="005308EF" w:rsidRDefault="00B01ED2" w:rsidP="00171213">
      <w:pPr>
        <w:pStyle w:val="ListBullet"/>
        <w:rPr>
          <w:lang w:val="en-NZ"/>
        </w:rPr>
      </w:pPr>
      <w:r w:rsidRPr="00B01ED2">
        <w:rPr>
          <w:lang w:val="en-NZ"/>
        </w:rPr>
        <w:t xml:space="preserve">Active plasma cell leukaemia at the time of </w:t>
      </w:r>
      <w:r w:rsidR="00395B7C">
        <w:rPr>
          <w:lang w:val="en-NZ"/>
        </w:rPr>
        <w:t>s</w:t>
      </w:r>
      <w:r w:rsidRPr="00B01ED2">
        <w:rPr>
          <w:lang w:val="en-NZ"/>
        </w:rPr>
        <w:t>creening</w:t>
      </w:r>
      <w:r w:rsidR="00073830">
        <w:rPr>
          <w:lang w:val="en-NZ"/>
        </w:rPr>
        <w:t xml:space="preserve">. </w:t>
      </w:r>
      <w:r w:rsidRPr="00B01ED2">
        <w:rPr>
          <w:lang w:val="en-NZ"/>
        </w:rPr>
        <w:t>Symptomatic amyloidosis, active POEMS syndrome (polyneuropathy, organomegaly, endocrinopathy, monoclonal plasma proliferative disorder, and skin changes)</w:t>
      </w:r>
    </w:p>
    <w:p w14:paraId="5A4F3658" w14:textId="04983CB8" w:rsidR="006E3F7F" w:rsidRDefault="00B01ED2" w:rsidP="00171213">
      <w:pPr>
        <w:pStyle w:val="ListBullet"/>
        <w:rPr>
          <w:lang w:val="en-NZ"/>
        </w:rPr>
      </w:pPr>
      <w:r w:rsidRPr="00B01ED2">
        <w:rPr>
          <w:lang w:val="en-NZ"/>
        </w:rPr>
        <w:t xml:space="preserve">Participants after prior allogeneic </w:t>
      </w:r>
      <w:r w:rsidR="00395B7C">
        <w:rPr>
          <w:lang w:val="en-NZ"/>
        </w:rPr>
        <w:t>stem cell transplant</w:t>
      </w:r>
      <w:r w:rsidRPr="00B01ED2">
        <w:rPr>
          <w:lang w:val="en-NZ"/>
        </w:rPr>
        <w:t xml:space="preserve">. </w:t>
      </w:r>
    </w:p>
    <w:p w14:paraId="4F971DCB" w14:textId="006B3839" w:rsidR="00B01ED2" w:rsidRPr="00B01ED2" w:rsidRDefault="00B01ED2" w:rsidP="00171213">
      <w:pPr>
        <w:pStyle w:val="ListBullet"/>
        <w:rPr>
          <w:lang w:val="en-NZ"/>
        </w:rPr>
      </w:pPr>
      <w:r w:rsidRPr="00B01ED2">
        <w:rPr>
          <w:lang w:val="en-NZ"/>
        </w:rPr>
        <w:t>Systemic anti-myeloma therapy (including chemotherapy and systemic steroids) or use of an investigational drug within 14 days or five half-lives (whichever is shorter) preceding the first dose of study drug; Prior treatment with an anti-MM monoclonal antibody drug within 30 days of receiving the first dose of study drugs.</w:t>
      </w:r>
    </w:p>
    <w:p w14:paraId="557CBC2A" w14:textId="735EC691" w:rsidR="00B01ED2" w:rsidRPr="00171213" w:rsidRDefault="00B01ED2" w:rsidP="00B01ED2">
      <w:r w:rsidRPr="00171213">
        <w:t>The key efficacy and safety outcome measures were the same as for DREAMM-7.</w:t>
      </w:r>
    </w:p>
    <w:p w14:paraId="23F3D692" w14:textId="0A196942" w:rsidR="0021036C" w:rsidRDefault="0021036C" w:rsidP="0021036C">
      <w:pPr>
        <w:pStyle w:val="FigureTitle"/>
      </w:pPr>
      <w:r>
        <w:t>Figure</w:t>
      </w:r>
      <w:r w:rsidR="003716D8">
        <w:t xml:space="preserve"> 9</w:t>
      </w:r>
      <w:r>
        <w:t xml:space="preserve">. </w:t>
      </w:r>
      <w:r w:rsidRPr="0021036C">
        <w:t>Multiple Testing Strategy: DREAMM-8</w:t>
      </w:r>
    </w:p>
    <w:p w14:paraId="4F87D9FF" w14:textId="34F16498" w:rsidR="0021036C" w:rsidRDefault="00A011A2" w:rsidP="00073830">
      <w:r w:rsidRPr="00A011A2">
        <w:rPr>
          <w:noProof/>
        </w:rPr>
        <w:drawing>
          <wp:inline distT="0" distB="0" distL="0" distR="0" wp14:anchorId="2BACF13D" wp14:editId="49788DA1">
            <wp:extent cx="4603806" cy="3038980"/>
            <wp:effectExtent l="0" t="0" r="6350" b="9525"/>
            <wp:docPr id="478955258" name="Picture 1" descr="Figure 9. Multiple Testing Strategy: DREAM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55258" name="Picture 1" descr="Figure 9. Multiple Testing Strategy: DREAMM-8"/>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r="5096"/>
                    <a:stretch>
                      <a:fillRect/>
                    </a:stretch>
                  </pic:blipFill>
                  <pic:spPr bwMode="auto">
                    <a:xfrm>
                      <a:off x="0" y="0"/>
                      <a:ext cx="4652634" cy="3071211"/>
                    </a:xfrm>
                    <a:prstGeom prst="rect">
                      <a:avLst/>
                    </a:prstGeom>
                    <a:ln>
                      <a:noFill/>
                    </a:ln>
                    <a:extLst>
                      <a:ext uri="{53640926-AAD7-44D8-BBD7-CCE9431645EC}">
                        <a14:shadowObscured xmlns:a14="http://schemas.microsoft.com/office/drawing/2010/main"/>
                      </a:ext>
                    </a:extLst>
                  </pic:spPr>
                </pic:pic>
              </a:graphicData>
            </a:graphic>
          </wp:inline>
        </w:drawing>
      </w:r>
    </w:p>
    <w:p w14:paraId="111AF238" w14:textId="033985A1" w:rsidR="004804FD" w:rsidRPr="00073830" w:rsidRDefault="00A63416" w:rsidP="00073830">
      <w:pPr>
        <w:pStyle w:val="FigureDescription"/>
      </w:pPr>
      <w:proofErr w:type="gramStart"/>
      <w:r w:rsidRPr="00073830">
        <w:lastRenderedPageBreak/>
        <w:t>H</w:t>
      </w:r>
      <w:r w:rsidR="0044266D" w:rsidRPr="00073830">
        <w:t>i</w:t>
      </w:r>
      <w:proofErr w:type="gramEnd"/>
      <w:r w:rsidRPr="00073830">
        <w:t xml:space="preserve"> denotes the 1-sided null hypothesis for the primary and key secondary endpoints, where </w:t>
      </w:r>
      <w:proofErr w:type="spellStart"/>
      <w:r w:rsidRPr="00073830">
        <w:t>i</w:t>
      </w:r>
      <w:proofErr w:type="spellEnd"/>
      <w:r w:rsidRPr="00073830">
        <w:t xml:space="preserve">=1, 2, 3 denotes the index indicating PFS, OS, and MRD negativity rate, respectively. Upon successful rejection of the hypothesis and regardless of the timing of rejection, the full alpha allocated to testing the hypothesis can be propagated. Arrows indicate the direction and proportion of alpha re-allocation. H1 was to be tested at the 1-sided 2.5% significance level. All other hypotheses had an initial alpha of 0% assigned. The number of rectangular boxes indicates the number of planned analyses with alpha allocation for a given hypothesis, with text indicating the corresponding endpoint and timepoint of data extraction to be tested. Alpha was to be adjusted to account for multiple testing of an endpoint across timepoints using the Lan </w:t>
      </w:r>
      <w:proofErr w:type="spellStart"/>
      <w:r w:rsidRPr="00073830">
        <w:t>DeMets</w:t>
      </w:r>
      <w:proofErr w:type="spellEnd"/>
      <w:r w:rsidRPr="00073830">
        <w:t xml:space="preserve"> approach that approximates the O’Brien and Fleming spending function. The efficacy boundaries were to be adjusted based on the observed number of events at the time of analysis.</w:t>
      </w:r>
    </w:p>
    <w:p w14:paraId="2524B768" w14:textId="64B4D3CF" w:rsidR="00877942" w:rsidRDefault="00395B7C" w:rsidP="00395B7C">
      <w:pPr>
        <w:pStyle w:val="FigureTitle"/>
      </w:pPr>
      <w:r>
        <w:t>Figure</w:t>
      </w:r>
      <w:r w:rsidR="003716D8">
        <w:t xml:space="preserve"> 10</w:t>
      </w:r>
      <w:r>
        <w:t>.</w:t>
      </w:r>
      <w:r w:rsidR="00986C1C" w:rsidRPr="00986C1C">
        <w:t xml:space="preserve"> DREAMM-8</w:t>
      </w:r>
      <w:r>
        <w:t xml:space="preserve"> </w:t>
      </w:r>
      <w:r w:rsidR="003C5E29" w:rsidRPr="00877942">
        <w:t>participant disposition</w:t>
      </w:r>
    </w:p>
    <w:p w14:paraId="743F3BDF" w14:textId="2A2077BA" w:rsidR="00877942" w:rsidRDefault="00156D91" w:rsidP="003C5E29">
      <w:r w:rsidRPr="00156D91">
        <w:rPr>
          <w:noProof/>
        </w:rPr>
        <w:drawing>
          <wp:inline distT="0" distB="0" distL="0" distR="0" wp14:anchorId="3A9DD23E" wp14:editId="79FE0985">
            <wp:extent cx="5759450" cy="4821555"/>
            <wp:effectExtent l="0" t="0" r="0" b="0"/>
            <wp:docPr id="1462686561" name="Picture 1" descr="Figure 10. DREAMM-8 Participa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86561" name="Picture 1" descr="Figure 10. DREAMM-8 Participant Disposition"/>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5759450" cy="4821555"/>
                    </a:xfrm>
                    <a:prstGeom prst="rect">
                      <a:avLst/>
                    </a:prstGeom>
                  </pic:spPr>
                </pic:pic>
              </a:graphicData>
            </a:graphic>
          </wp:inline>
        </w:drawing>
      </w:r>
    </w:p>
    <w:p w14:paraId="7CEDECBF" w14:textId="77777777" w:rsidR="003E0D13" w:rsidRPr="003C5E29" w:rsidRDefault="003E0D13" w:rsidP="003C5E29">
      <w:pPr>
        <w:pStyle w:val="FigureDescription"/>
      </w:pPr>
      <w:r w:rsidRPr="003C5E29">
        <w:t>a. Any study treatment component.</w:t>
      </w:r>
    </w:p>
    <w:p w14:paraId="47212F9D" w14:textId="4EA056B8" w:rsidR="003E0D13" w:rsidRPr="003C5E29" w:rsidRDefault="003E0D13" w:rsidP="003C5E29">
      <w:pPr>
        <w:pStyle w:val="FigureDescription"/>
      </w:pPr>
      <w:r w:rsidRPr="003C5E29">
        <w:t>Note 1: Participants could have only 1 primary reason for withdrawal</w:t>
      </w:r>
    </w:p>
    <w:p w14:paraId="553AACE0" w14:textId="3A9E140F" w:rsidR="001430B8" w:rsidRDefault="001430B8" w:rsidP="001430B8">
      <w:r>
        <w:t>There were 181 (60%) males and 121 (40%) females</w:t>
      </w:r>
      <w:r w:rsidR="00073830">
        <w:t xml:space="preserve">. </w:t>
      </w:r>
      <w:r>
        <w:t>The median (range) age was 67.0 (34 to 86) years; 131 (43%) participants were aged 65 to &lt;75 years and 54 (18%) were aged ≥75 years</w:t>
      </w:r>
      <w:r w:rsidR="00073830">
        <w:t xml:space="preserve">. </w:t>
      </w:r>
      <w:r>
        <w:t xml:space="preserve">There were 260 (86%) White participants and 37 (12%) Asian. </w:t>
      </w:r>
    </w:p>
    <w:p w14:paraId="4706F680" w14:textId="466A9199" w:rsidR="001430B8" w:rsidRDefault="001430B8" w:rsidP="001430B8">
      <w:r>
        <w:t>Disease characteristics were similar for the two treatment groups</w:t>
      </w:r>
      <w:r w:rsidR="00073830">
        <w:t xml:space="preserve">. </w:t>
      </w:r>
      <w:r>
        <w:t>The median (range) lines of prior therapy were 1 (1 to 9)</w:t>
      </w:r>
      <w:r w:rsidR="00073830">
        <w:t xml:space="preserve">. </w:t>
      </w:r>
      <w:r>
        <w:t>There were 181 (60%) participants with prior stem cell transplant</w:t>
      </w:r>
      <w:r w:rsidR="00073830">
        <w:t xml:space="preserve">. </w:t>
      </w:r>
      <w:r>
        <w:t>There were 99 (33%) participants with high-risk cytogenetic abnormalities</w:t>
      </w:r>
      <w:r w:rsidR="00073830">
        <w:t xml:space="preserve">. </w:t>
      </w:r>
    </w:p>
    <w:p w14:paraId="712B6044" w14:textId="6F2DC492" w:rsidR="001430B8" w:rsidRDefault="001430B8" w:rsidP="001430B8">
      <w:r>
        <w:t>Prior antimyeloma treatment was similar for the two treatment groups</w:t>
      </w:r>
      <w:r w:rsidR="00073830">
        <w:t xml:space="preserve">. </w:t>
      </w:r>
      <w:r>
        <w:t>There were 127 (82%) participants in the</w:t>
      </w:r>
      <w:r w:rsidR="003F7444">
        <w:t xml:space="preserve"> </w:t>
      </w:r>
      <w:r w:rsidR="003F7444" w:rsidRPr="003F7444">
        <w:t>belantamab mafodotin, pomalidomide, and dexamethasone</w:t>
      </w:r>
      <w:r>
        <w:t xml:space="preserve"> </w:t>
      </w:r>
      <w:r w:rsidR="003F7444">
        <w:t>(</w:t>
      </w:r>
      <w:proofErr w:type="spellStart"/>
      <w:r>
        <w:t>BPd</w:t>
      </w:r>
      <w:proofErr w:type="spellEnd"/>
      <w:r w:rsidR="003F7444">
        <w:t>)</w:t>
      </w:r>
      <w:r>
        <w:t xml:space="preserve"> group and 111 (76%) in the </w:t>
      </w:r>
      <w:proofErr w:type="spellStart"/>
      <w:r>
        <w:t>PVd</w:t>
      </w:r>
      <w:proofErr w:type="spellEnd"/>
      <w:r>
        <w:t xml:space="preserve"> refractory to immunomodulatory agents.</w:t>
      </w:r>
    </w:p>
    <w:p w14:paraId="281913C1" w14:textId="758E4003" w:rsidR="001430B8" w:rsidRDefault="001430B8" w:rsidP="001430B8">
      <w:r>
        <w:lastRenderedPageBreak/>
        <w:t xml:space="preserve">There was a higher use of blood products in the </w:t>
      </w:r>
      <w:proofErr w:type="spellStart"/>
      <w:r>
        <w:t>BPd</w:t>
      </w:r>
      <w:proofErr w:type="spellEnd"/>
      <w:r>
        <w:t xml:space="preserve"> group, 46 (30%) participants, compared with the </w:t>
      </w:r>
      <w:proofErr w:type="spellStart"/>
      <w:r>
        <w:t>PVd</w:t>
      </w:r>
      <w:proofErr w:type="spellEnd"/>
      <w:r>
        <w:t xml:space="preserve"> group, 37 participants (25%)</w:t>
      </w:r>
      <w:r w:rsidR="00073830">
        <w:t xml:space="preserve">. </w:t>
      </w:r>
      <w:r>
        <w:t xml:space="preserve">There was higher use of GCSF in the </w:t>
      </w:r>
      <w:proofErr w:type="spellStart"/>
      <w:r>
        <w:t>BPd</w:t>
      </w:r>
      <w:proofErr w:type="spellEnd"/>
      <w:r>
        <w:t xml:space="preserve"> group: 64 (41%) participants in the </w:t>
      </w:r>
      <w:proofErr w:type="spellStart"/>
      <w:r>
        <w:t>B</w:t>
      </w:r>
      <w:r w:rsidR="00581B26">
        <w:t>P</w:t>
      </w:r>
      <w:r>
        <w:t>d</w:t>
      </w:r>
      <w:proofErr w:type="spellEnd"/>
      <w:r>
        <w:t xml:space="preserve"> group and 44 (30%) in the </w:t>
      </w:r>
      <w:proofErr w:type="spellStart"/>
      <w:r>
        <w:t>PVd</w:t>
      </w:r>
      <w:proofErr w:type="spellEnd"/>
      <w:r>
        <w:t>.</w:t>
      </w:r>
    </w:p>
    <w:p w14:paraId="6517A11D" w14:textId="181D5768" w:rsidR="001430B8" w:rsidRPr="001430B8" w:rsidRDefault="001430B8" w:rsidP="00395B7C">
      <w:pPr>
        <w:pStyle w:val="Heading6"/>
      </w:pPr>
      <w:r w:rsidRPr="001430B8">
        <w:t>Results for the primary efficacy outcome</w:t>
      </w:r>
      <w:fldSimple w:instr=" DOCVARIABLE vault_nd_6ee7364b-af44-4bef-b40d-23a3971acbbb \* MERGEFORMAT ">
        <w:r w:rsidR="00145B4A">
          <w:t xml:space="preserve"> </w:t>
        </w:r>
      </w:fldSimple>
    </w:p>
    <w:p w14:paraId="568CB2BF" w14:textId="78C40E4B" w:rsidR="001430B8" w:rsidRDefault="001430B8" w:rsidP="001430B8">
      <w:r>
        <w:t xml:space="preserve">For PFS, </w:t>
      </w:r>
      <w:proofErr w:type="spellStart"/>
      <w:r>
        <w:t>BPd</w:t>
      </w:r>
      <w:proofErr w:type="spellEnd"/>
      <w:r>
        <w:t xml:space="preserve"> was superior to </w:t>
      </w:r>
      <w:proofErr w:type="spellStart"/>
      <w:r>
        <w:t>PVd</w:t>
      </w:r>
      <w:proofErr w:type="spellEnd"/>
      <w:r w:rsidR="00073830">
        <w:t xml:space="preserve">. </w:t>
      </w:r>
      <w:r>
        <w:t xml:space="preserve">Progression or death were recorded for 62 (40%) participants in the </w:t>
      </w:r>
      <w:proofErr w:type="spellStart"/>
      <w:r>
        <w:t>BPd</w:t>
      </w:r>
      <w:proofErr w:type="spellEnd"/>
      <w:r>
        <w:t xml:space="preserve"> group and 80 (54%) in the </w:t>
      </w:r>
      <w:proofErr w:type="spellStart"/>
      <w:r>
        <w:t>PVd</w:t>
      </w:r>
      <w:proofErr w:type="spellEnd"/>
      <w:r w:rsidR="00073830">
        <w:t xml:space="preserve">. </w:t>
      </w:r>
      <w:r>
        <w:t xml:space="preserve">Median (95% CI) PFS was not estimable </w:t>
      </w:r>
      <w:r w:rsidR="00E64A16">
        <w:t>(</w:t>
      </w:r>
      <w:r w:rsidR="00836466">
        <w:t xml:space="preserve">20.6 months to not estimable) </w:t>
      </w:r>
      <w:r>
        <w:t xml:space="preserve">for </w:t>
      </w:r>
      <w:proofErr w:type="spellStart"/>
      <w:r>
        <w:t>BPd</w:t>
      </w:r>
      <w:proofErr w:type="spellEnd"/>
      <w:r>
        <w:t xml:space="preserve"> and 12.7 (9.1 to 18.5) months for </w:t>
      </w:r>
      <w:proofErr w:type="spellStart"/>
      <w:r>
        <w:t>PVd</w:t>
      </w:r>
      <w:proofErr w:type="spellEnd"/>
      <w:r w:rsidR="00073830">
        <w:t xml:space="preserve">. </w:t>
      </w:r>
      <w:r>
        <w:t xml:space="preserve">The HR (95% CI) </w:t>
      </w:r>
      <w:proofErr w:type="spellStart"/>
      <w:r>
        <w:t>BPd</w:t>
      </w:r>
      <w:proofErr w:type="spellEnd"/>
      <w:r>
        <w:t>/</w:t>
      </w:r>
      <w:proofErr w:type="spellStart"/>
      <w:r>
        <w:t>PVd</w:t>
      </w:r>
      <w:proofErr w:type="spellEnd"/>
      <w:r>
        <w:t xml:space="preserve"> for PFS was 0.52 (0.37 to 0.73), p &lt;0.001</w:t>
      </w:r>
      <w:r w:rsidR="003716D8">
        <w:t xml:space="preserve"> (Table 6)</w:t>
      </w:r>
      <w:r>
        <w:t>.</w:t>
      </w:r>
    </w:p>
    <w:p w14:paraId="49CD5869" w14:textId="26F6FAC0" w:rsidR="001430B8" w:rsidRDefault="001430B8" w:rsidP="001430B8">
      <w:pPr>
        <w:pStyle w:val="TableTitle"/>
      </w:pPr>
      <w:r>
        <w:t>Table</w:t>
      </w:r>
      <w:r w:rsidR="003716D8">
        <w:t xml:space="preserve"> 6</w:t>
      </w:r>
      <w:r>
        <w:t xml:space="preserve">: Progression-Free Survival </w:t>
      </w:r>
      <w:r w:rsidR="00395B7C">
        <w:t>b</w:t>
      </w:r>
      <w:r>
        <w:t>ased on IRC-Assessed Response (ITT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6: Progression-Free Survival based on IRC-Assessed Response (ITT Population)"/>
      </w:tblPr>
      <w:tblGrid>
        <w:gridCol w:w="6635"/>
        <w:gridCol w:w="1214"/>
        <w:gridCol w:w="1211"/>
      </w:tblGrid>
      <w:tr w:rsidR="00430583" w:rsidRPr="003F7444" w14:paraId="3EA0AB99" w14:textId="77777777" w:rsidTr="00A354E8">
        <w:trPr>
          <w:tblHeader/>
        </w:trPr>
        <w:tc>
          <w:tcPr>
            <w:tcW w:w="0" w:type="auto"/>
            <w:shd w:val="clear" w:color="auto" w:fill="DEEAF6"/>
            <w:vAlign w:val="center"/>
            <w:hideMark/>
          </w:tcPr>
          <w:p w14:paraId="22500FC4" w14:textId="77777777" w:rsidR="00430583" w:rsidRPr="003F7444" w:rsidRDefault="00430583" w:rsidP="00943250">
            <w:pPr>
              <w:spacing w:after="0" w:line="240" w:lineRule="auto"/>
              <w:rPr>
                <w:rFonts w:eastAsia="Times New Roman" w:cs="Times New Roman"/>
                <w:b/>
                <w:bCs/>
                <w:color w:val="263287"/>
                <w:szCs w:val="22"/>
                <w:lang w:eastAsia="en-AU"/>
              </w:rPr>
            </w:pPr>
            <w:r w:rsidRPr="003F7444">
              <w:rPr>
                <w:rFonts w:eastAsia="Times New Roman" w:cs="Times New Roman"/>
                <w:b/>
                <w:bCs/>
                <w:color w:val="263287"/>
                <w:szCs w:val="22"/>
                <w:lang w:eastAsia="en-AU"/>
              </w:rPr>
              <w:t>Category</w:t>
            </w:r>
          </w:p>
        </w:tc>
        <w:tc>
          <w:tcPr>
            <w:tcW w:w="0" w:type="auto"/>
            <w:shd w:val="clear" w:color="auto" w:fill="DEEAF6"/>
            <w:vAlign w:val="center"/>
            <w:hideMark/>
          </w:tcPr>
          <w:p w14:paraId="7479A1B3" w14:textId="77777777" w:rsidR="00430583" w:rsidRPr="003F7444" w:rsidRDefault="00430583" w:rsidP="00943250">
            <w:pPr>
              <w:spacing w:after="0" w:line="240" w:lineRule="auto"/>
              <w:rPr>
                <w:rFonts w:eastAsia="Times New Roman" w:cs="Times New Roman"/>
                <w:b/>
                <w:bCs/>
                <w:color w:val="263287"/>
                <w:szCs w:val="22"/>
                <w:lang w:eastAsia="en-AU"/>
              </w:rPr>
            </w:pPr>
            <w:proofErr w:type="spellStart"/>
            <w:r w:rsidRPr="003F7444">
              <w:rPr>
                <w:rFonts w:eastAsia="Times New Roman" w:cs="Times New Roman"/>
                <w:b/>
                <w:bCs/>
                <w:color w:val="263287"/>
                <w:szCs w:val="22"/>
                <w:lang w:eastAsia="en-AU"/>
              </w:rPr>
              <w:t>BPd</w:t>
            </w:r>
            <w:proofErr w:type="spellEnd"/>
            <w:r w:rsidRPr="003F7444">
              <w:rPr>
                <w:rFonts w:eastAsia="Times New Roman" w:cs="Times New Roman"/>
                <w:b/>
                <w:bCs/>
                <w:color w:val="263287"/>
                <w:szCs w:val="22"/>
                <w:lang w:eastAsia="en-AU"/>
              </w:rPr>
              <w:t xml:space="preserve"> (N=155)</w:t>
            </w:r>
          </w:p>
        </w:tc>
        <w:tc>
          <w:tcPr>
            <w:tcW w:w="0" w:type="auto"/>
            <w:shd w:val="clear" w:color="auto" w:fill="DEEAF6"/>
            <w:vAlign w:val="center"/>
            <w:hideMark/>
          </w:tcPr>
          <w:p w14:paraId="793D4583" w14:textId="77777777" w:rsidR="00430583" w:rsidRPr="003F7444" w:rsidRDefault="00430583" w:rsidP="00943250">
            <w:pPr>
              <w:spacing w:after="0" w:line="240" w:lineRule="auto"/>
              <w:rPr>
                <w:rFonts w:eastAsia="Times New Roman" w:cs="Times New Roman"/>
                <w:b/>
                <w:bCs/>
                <w:color w:val="263287"/>
                <w:szCs w:val="22"/>
                <w:lang w:eastAsia="en-AU"/>
              </w:rPr>
            </w:pPr>
            <w:proofErr w:type="spellStart"/>
            <w:r w:rsidRPr="003F7444">
              <w:rPr>
                <w:rFonts w:eastAsia="Times New Roman" w:cs="Times New Roman"/>
                <w:b/>
                <w:bCs/>
                <w:color w:val="263287"/>
                <w:szCs w:val="22"/>
                <w:lang w:eastAsia="en-AU"/>
              </w:rPr>
              <w:t>PVd</w:t>
            </w:r>
            <w:proofErr w:type="spellEnd"/>
            <w:r w:rsidRPr="003F7444">
              <w:rPr>
                <w:rFonts w:eastAsia="Times New Roman" w:cs="Times New Roman"/>
                <w:b/>
                <w:bCs/>
                <w:color w:val="263287"/>
                <w:szCs w:val="22"/>
                <w:lang w:eastAsia="en-AU"/>
              </w:rPr>
              <w:t xml:space="preserve"> (N=147)</w:t>
            </w:r>
          </w:p>
        </w:tc>
      </w:tr>
      <w:tr w:rsidR="00430583" w:rsidRPr="003F7444" w14:paraId="37518035" w14:textId="77777777" w:rsidTr="00943250">
        <w:tc>
          <w:tcPr>
            <w:tcW w:w="0" w:type="auto"/>
            <w:gridSpan w:val="3"/>
            <w:vAlign w:val="center"/>
            <w:hideMark/>
          </w:tcPr>
          <w:p w14:paraId="2DF8A7FE" w14:textId="6F438720" w:rsidR="00430583" w:rsidRPr="003F7444" w:rsidRDefault="00430583" w:rsidP="00943250">
            <w:pPr>
              <w:spacing w:after="0" w:line="240" w:lineRule="auto"/>
              <w:rPr>
                <w:rFonts w:eastAsia="Times New Roman" w:cs="Times New Roman"/>
                <w:szCs w:val="22"/>
                <w:lang w:eastAsia="en-AU"/>
              </w:rPr>
            </w:pPr>
            <w:r w:rsidRPr="003F7444">
              <w:rPr>
                <w:rFonts w:eastAsia="Times New Roman" w:cs="Times New Roman"/>
                <w:b/>
                <w:bCs/>
                <w:szCs w:val="22"/>
                <w:lang w:eastAsia="en-AU"/>
              </w:rPr>
              <w:t>Number of participants, n (%)</w:t>
            </w:r>
          </w:p>
        </w:tc>
      </w:tr>
      <w:tr w:rsidR="00430583" w:rsidRPr="003F7444" w14:paraId="4DC2FE6C" w14:textId="77777777" w:rsidTr="00943250">
        <w:tc>
          <w:tcPr>
            <w:tcW w:w="0" w:type="auto"/>
            <w:vAlign w:val="center"/>
            <w:hideMark/>
          </w:tcPr>
          <w:p w14:paraId="4CB04F4A" w14:textId="77777777" w:rsidR="00430583" w:rsidRPr="003F7444" w:rsidRDefault="00430583" w:rsidP="00B60A6F">
            <w:pPr>
              <w:spacing w:after="0" w:line="240" w:lineRule="auto"/>
              <w:ind w:left="257"/>
              <w:rPr>
                <w:rFonts w:eastAsia="Times New Roman" w:cs="Times New Roman"/>
                <w:szCs w:val="22"/>
                <w:lang w:eastAsia="en-AU"/>
              </w:rPr>
            </w:pPr>
            <w:r w:rsidRPr="003F7444">
              <w:rPr>
                <w:rFonts w:eastAsia="Times New Roman" w:cs="Times New Roman"/>
                <w:szCs w:val="22"/>
                <w:lang w:eastAsia="en-AU"/>
              </w:rPr>
              <w:t>Progressed or died (event)</w:t>
            </w:r>
          </w:p>
        </w:tc>
        <w:tc>
          <w:tcPr>
            <w:tcW w:w="0" w:type="auto"/>
            <w:vAlign w:val="center"/>
            <w:hideMark/>
          </w:tcPr>
          <w:p w14:paraId="22DEA227"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62 (40%)</w:t>
            </w:r>
          </w:p>
        </w:tc>
        <w:tc>
          <w:tcPr>
            <w:tcW w:w="0" w:type="auto"/>
            <w:vAlign w:val="center"/>
            <w:hideMark/>
          </w:tcPr>
          <w:p w14:paraId="51FF6498"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80 (54%)</w:t>
            </w:r>
          </w:p>
        </w:tc>
      </w:tr>
      <w:tr w:rsidR="00430583" w:rsidRPr="003F7444" w14:paraId="5B009211" w14:textId="77777777" w:rsidTr="00943250">
        <w:tc>
          <w:tcPr>
            <w:tcW w:w="0" w:type="auto"/>
            <w:vAlign w:val="center"/>
            <w:hideMark/>
          </w:tcPr>
          <w:p w14:paraId="4CA761F4" w14:textId="77777777" w:rsidR="00430583" w:rsidRPr="003F7444" w:rsidRDefault="00430583" w:rsidP="00B60A6F">
            <w:pPr>
              <w:spacing w:after="0" w:line="240" w:lineRule="auto"/>
              <w:ind w:left="257"/>
              <w:rPr>
                <w:rFonts w:eastAsia="Times New Roman" w:cs="Times New Roman"/>
                <w:szCs w:val="22"/>
                <w:lang w:eastAsia="en-AU"/>
              </w:rPr>
            </w:pPr>
            <w:r w:rsidRPr="003F7444">
              <w:rPr>
                <w:rFonts w:eastAsia="Times New Roman" w:cs="Times New Roman"/>
                <w:szCs w:val="22"/>
                <w:lang w:eastAsia="en-AU"/>
              </w:rPr>
              <w:t>Censored, follow</w:t>
            </w:r>
            <w:r w:rsidRPr="003F7444">
              <w:rPr>
                <w:rFonts w:eastAsia="Times New Roman" w:cs="Times New Roman"/>
                <w:szCs w:val="22"/>
                <w:lang w:eastAsia="en-AU"/>
              </w:rPr>
              <w:noBreakHyphen/>
              <w:t>up ended</w:t>
            </w:r>
          </w:p>
        </w:tc>
        <w:tc>
          <w:tcPr>
            <w:tcW w:w="0" w:type="auto"/>
            <w:vAlign w:val="center"/>
            <w:hideMark/>
          </w:tcPr>
          <w:p w14:paraId="4C65BCFC"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25 (16%)</w:t>
            </w:r>
          </w:p>
        </w:tc>
        <w:tc>
          <w:tcPr>
            <w:tcW w:w="0" w:type="auto"/>
            <w:vAlign w:val="center"/>
            <w:hideMark/>
          </w:tcPr>
          <w:p w14:paraId="760FE63C"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34 (23%)</w:t>
            </w:r>
          </w:p>
        </w:tc>
      </w:tr>
      <w:tr w:rsidR="00430583" w:rsidRPr="003F7444" w14:paraId="3CFEBF96" w14:textId="77777777" w:rsidTr="00943250">
        <w:tc>
          <w:tcPr>
            <w:tcW w:w="0" w:type="auto"/>
            <w:vAlign w:val="center"/>
            <w:hideMark/>
          </w:tcPr>
          <w:p w14:paraId="3FF08332" w14:textId="77777777" w:rsidR="00430583" w:rsidRPr="003F7444" w:rsidRDefault="00430583" w:rsidP="00B60A6F">
            <w:pPr>
              <w:spacing w:after="0" w:line="240" w:lineRule="auto"/>
              <w:ind w:left="540"/>
              <w:rPr>
                <w:rFonts w:eastAsia="Times New Roman" w:cs="Times New Roman"/>
                <w:szCs w:val="22"/>
                <w:lang w:eastAsia="en-AU"/>
              </w:rPr>
            </w:pPr>
            <w:r w:rsidRPr="003F7444">
              <w:rPr>
                <w:rFonts w:eastAsia="Times New Roman" w:cs="Times New Roman"/>
                <w:szCs w:val="22"/>
                <w:lang w:eastAsia="en-AU"/>
              </w:rPr>
              <w:t>No adequate baseline assessments</w:t>
            </w:r>
          </w:p>
        </w:tc>
        <w:tc>
          <w:tcPr>
            <w:tcW w:w="0" w:type="auto"/>
            <w:vAlign w:val="center"/>
            <w:hideMark/>
          </w:tcPr>
          <w:p w14:paraId="08E5FA05"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1 (&lt;1%)</w:t>
            </w:r>
          </w:p>
        </w:tc>
        <w:tc>
          <w:tcPr>
            <w:tcW w:w="0" w:type="auto"/>
            <w:vAlign w:val="center"/>
            <w:hideMark/>
          </w:tcPr>
          <w:p w14:paraId="79B55805"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1 (&lt;1%)</w:t>
            </w:r>
          </w:p>
        </w:tc>
      </w:tr>
      <w:tr w:rsidR="00430583" w:rsidRPr="003F7444" w14:paraId="00E7860D" w14:textId="77777777" w:rsidTr="00943250">
        <w:tc>
          <w:tcPr>
            <w:tcW w:w="0" w:type="auto"/>
            <w:vAlign w:val="center"/>
            <w:hideMark/>
          </w:tcPr>
          <w:p w14:paraId="1408BC6E" w14:textId="77777777" w:rsidR="00430583" w:rsidRPr="003F7444" w:rsidRDefault="00430583" w:rsidP="00B60A6F">
            <w:pPr>
              <w:spacing w:after="0" w:line="240" w:lineRule="auto"/>
              <w:ind w:left="540"/>
              <w:rPr>
                <w:rFonts w:eastAsia="Times New Roman" w:cs="Times New Roman"/>
                <w:szCs w:val="22"/>
                <w:lang w:eastAsia="en-AU"/>
              </w:rPr>
            </w:pPr>
            <w:r w:rsidRPr="003F7444">
              <w:rPr>
                <w:rFonts w:eastAsia="Times New Roman" w:cs="Times New Roman"/>
                <w:szCs w:val="22"/>
                <w:lang w:eastAsia="en-AU"/>
              </w:rPr>
              <w:t>No adequate post</w:t>
            </w:r>
            <w:r w:rsidRPr="003F7444">
              <w:rPr>
                <w:rFonts w:eastAsia="Times New Roman" w:cs="Times New Roman"/>
                <w:szCs w:val="22"/>
                <w:lang w:eastAsia="en-AU"/>
              </w:rPr>
              <w:noBreakHyphen/>
              <w:t>baseline assessments: randomized, not dosed, withdrawn</w:t>
            </w:r>
          </w:p>
        </w:tc>
        <w:tc>
          <w:tcPr>
            <w:tcW w:w="0" w:type="auto"/>
            <w:vAlign w:val="center"/>
            <w:hideMark/>
          </w:tcPr>
          <w:p w14:paraId="2E3180C2"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4 (3%)</w:t>
            </w:r>
          </w:p>
        </w:tc>
        <w:tc>
          <w:tcPr>
            <w:tcW w:w="0" w:type="auto"/>
            <w:vAlign w:val="center"/>
            <w:hideMark/>
          </w:tcPr>
          <w:p w14:paraId="3C25602E"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1 (&lt;1%)</w:t>
            </w:r>
          </w:p>
        </w:tc>
      </w:tr>
      <w:tr w:rsidR="00430583" w:rsidRPr="003F7444" w14:paraId="689C2D5C" w14:textId="77777777" w:rsidTr="00943250">
        <w:tc>
          <w:tcPr>
            <w:tcW w:w="0" w:type="auto"/>
            <w:vAlign w:val="center"/>
            <w:hideMark/>
          </w:tcPr>
          <w:p w14:paraId="4D0E632F" w14:textId="77777777" w:rsidR="00430583" w:rsidRPr="003F7444" w:rsidRDefault="00430583" w:rsidP="00B60A6F">
            <w:pPr>
              <w:spacing w:after="0" w:line="240" w:lineRule="auto"/>
              <w:ind w:left="257"/>
              <w:rPr>
                <w:rFonts w:eastAsia="Times New Roman" w:cs="Times New Roman"/>
                <w:szCs w:val="22"/>
                <w:lang w:eastAsia="en-AU"/>
              </w:rPr>
            </w:pPr>
            <w:r w:rsidRPr="003F7444">
              <w:rPr>
                <w:rFonts w:eastAsia="Times New Roman" w:cs="Times New Roman"/>
                <w:szCs w:val="22"/>
                <w:lang w:eastAsia="en-AU"/>
              </w:rPr>
              <w:t>No adequate post</w:t>
            </w:r>
            <w:r w:rsidRPr="003F7444">
              <w:rPr>
                <w:rFonts w:eastAsia="Times New Roman" w:cs="Times New Roman"/>
                <w:szCs w:val="22"/>
                <w:lang w:eastAsia="en-AU"/>
              </w:rPr>
              <w:noBreakHyphen/>
              <w:t>baseline assessments before start of new anti</w:t>
            </w:r>
            <w:r w:rsidRPr="003F7444">
              <w:rPr>
                <w:rFonts w:eastAsia="Times New Roman" w:cs="Times New Roman"/>
                <w:szCs w:val="22"/>
                <w:lang w:eastAsia="en-AU"/>
              </w:rPr>
              <w:noBreakHyphen/>
              <w:t>myeloma therapy</w:t>
            </w:r>
          </w:p>
        </w:tc>
        <w:tc>
          <w:tcPr>
            <w:tcW w:w="0" w:type="auto"/>
            <w:vAlign w:val="center"/>
            <w:hideMark/>
          </w:tcPr>
          <w:p w14:paraId="3BFFE056"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w:t>
            </w:r>
          </w:p>
        </w:tc>
        <w:tc>
          <w:tcPr>
            <w:tcW w:w="0" w:type="auto"/>
            <w:vAlign w:val="center"/>
            <w:hideMark/>
          </w:tcPr>
          <w:p w14:paraId="624E1583"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2 (1%)</w:t>
            </w:r>
          </w:p>
        </w:tc>
      </w:tr>
      <w:tr w:rsidR="00430583" w:rsidRPr="003F7444" w14:paraId="45F5E80C" w14:textId="77777777" w:rsidTr="00943250">
        <w:tc>
          <w:tcPr>
            <w:tcW w:w="0" w:type="auto"/>
            <w:vAlign w:val="center"/>
            <w:hideMark/>
          </w:tcPr>
          <w:p w14:paraId="4A851C68" w14:textId="77777777" w:rsidR="00430583" w:rsidRPr="003F7444" w:rsidRDefault="00430583" w:rsidP="00B60A6F">
            <w:pPr>
              <w:spacing w:after="0" w:line="240" w:lineRule="auto"/>
              <w:ind w:left="257"/>
              <w:rPr>
                <w:rFonts w:eastAsia="Times New Roman" w:cs="Times New Roman"/>
                <w:szCs w:val="22"/>
                <w:lang w:eastAsia="en-AU"/>
              </w:rPr>
            </w:pPr>
            <w:r w:rsidRPr="003F7444">
              <w:rPr>
                <w:rFonts w:eastAsia="Times New Roman" w:cs="Times New Roman"/>
                <w:szCs w:val="22"/>
                <w:lang w:eastAsia="en-AU"/>
              </w:rPr>
              <w:t>No adequate post</w:t>
            </w:r>
            <w:r w:rsidRPr="003F7444">
              <w:rPr>
                <w:rFonts w:eastAsia="Times New Roman" w:cs="Times New Roman"/>
                <w:szCs w:val="22"/>
                <w:lang w:eastAsia="en-AU"/>
              </w:rPr>
              <w:noBreakHyphen/>
              <w:t>baseline assessments: other</w:t>
            </w:r>
          </w:p>
        </w:tc>
        <w:tc>
          <w:tcPr>
            <w:tcW w:w="0" w:type="auto"/>
            <w:vAlign w:val="center"/>
            <w:hideMark/>
          </w:tcPr>
          <w:p w14:paraId="6F9F9087"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w:t>
            </w:r>
          </w:p>
        </w:tc>
        <w:tc>
          <w:tcPr>
            <w:tcW w:w="0" w:type="auto"/>
            <w:vAlign w:val="center"/>
            <w:hideMark/>
          </w:tcPr>
          <w:p w14:paraId="57788793"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w:t>
            </w:r>
          </w:p>
        </w:tc>
      </w:tr>
      <w:tr w:rsidR="00430583" w:rsidRPr="003F7444" w14:paraId="33B802A7" w14:textId="77777777" w:rsidTr="00943250">
        <w:tc>
          <w:tcPr>
            <w:tcW w:w="0" w:type="auto"/>
            <w:vAlign w:val="center"/>
            <w:hideMark/>
          </w:tcPr>
          <w:p w14:paraId="05D3DF71" w14:textId="77777777" w:rsidR="00430583" w:rsidRPr="003F7444" w:rsidRDefault="00430583" w:rsidP="00B60A6F">
            <w:pPr>
              <w:spacing w:after="0" w:line="240" w:lineRule="auto"/>
              <w:ind w:left="540"/>
              <w:rPr>
                <w:rFonts w:eastAsia="Times New Roman" w:cs="Times New Roman"/>
                <w:szCs w:val="22"/>
                <w:lang w:eastAsia="en-AU"/>
              </w:rPr>
            </w:pPr>
            <w:r w:rsidRPr="003F7444">
              <w:rPr>
                <w:rFonts w:eastAsia="Times New Roman" w:cs="Times New Roman"/>
                <w:szCs w:val="22"/>
                <w:lang w:eastAsia="en-AU"/>
              </w:rPr>
              <w:t>With adequate post</w:t>
            </w:r>
            <w:r w:rsidRPr="003F7444">
              <w:rPr>
                <w:rFonts w:eastAsia="Times New Roman" w:cs="Times New Roman"/>
                <w:szCs w:val="22"/>
                <w:lang w:eastAsia="en-AU"/>
              </w:rPr>
              <w:noBreakHyphen/>
              <w:t>baseline assessment and new anti</w:t>
            </w:r>
            <w:r w:rsidRPr="003F7444">
              <w:rPr>
                <w:rFonts w:eastAsia="Times New Roman" w:cs="Times New Roman"/>
                <w:szCs w:val="22"/>
                <w:lang w:eastAsia="en-AU"/>
              </w:rPr>
              <w:noBreakHyphen/>
              <w:t>myeloma treatment started</w:t>
            </w:r>
          </w:p>
        </w:tc>
        <w:tc>
          <w:tcPr>
            <w:tcW w:w="0" w:type="auto"/>
            <w:vAlign w:val="center"/>
            <w:hideMark/>
          </w:tcPr>
          <w:p w14:paraId="2C2FA5AE"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7 (5%)</w:t>
            </w:r>
          </w:p>
        </w:tc>
        <w:tc>
          <w:tcPr>
            <w:tcW w:w="0" w:type="auto"/>
            <w:vAlign w:val="center"/>
            <w:hideMark/>
          </w:tcPr>
          <w:p w14:paraId="3AF3BD75"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17 (12%)</w:t>
            </w:r>
          </w:p>
        </w:tc>
      </w:tr>
      <w:tr w:rsidR="00430583" w:rsidRPr="003F7444" w14:paraId="3C4462BD" w14:textId="77777777" w:rsidTr="00943250">
        <w:tc>
          <w:tcPr>
            <w:tcW w:w="0" w:type="auto"/>
            <w:vAlign w:val="center"/>
            <w:hideMark/>
          </w:tcPr>
          <w:p w14:paraId="354A8FA5" w14:textId="77777777" w:rsidR="00430583" w:rsidRPr="003F7444" w:rsidRDefault="00430583" w:rsidP="00B60A6F">
            <w:pPr>
              <w:spacing w:after="0" w:line="240" w:lineRule="auto"/>
              <w:ind w:left="540"/>
              <w:rPr>
                <w:rFonts w:eastAsia="Times New Roman" w:cs="Times New Roman"/>
                <w:szCs w:val="22"/>
                <w:lang w:eastAsia="en-AU"/>
              </w:rPr>
            </w:pPr>
            <w:r w:rsidRPr="003F7444">
              <w:rPr>
                <w:rFonts w:eastAsia="Times New Roman" w:cs="Times New Roman"/>
                <w:szCs w:val="22"/>
                <w:lang w:eastAsia="en-AU"/>
              </w:rPr>
              <w:t>Progression after extended loss</w:t>
            </w:r>
            <w:r w:rsidRPr="003F7444">
              <w:rPr>
                <w:rFonts w:eastAsia="Times New Roman" w:cs="Times New Roman"/>
                <w:szCs w:val="22"/>
                <w:lang w:eastAsia="en-AU"/>
              </w:rPr>
              <w:noBreakHyphen/>
              <w:t>to</w:t>
            </w:r>
            <w:r w:rsidRPr="003F7444">
              <w:rPr>
                <w:rFonts w:eastAsia="Times New Roman" w:cs="Times New Roman"/>
                <w:szCs w:val="22"/>
                <w:lang w:eastAsia="en-AU"/>
              </w:rPr>
              <w:noBreakHyphen/>
              <w:t>follow</w:t>
            </w:r>
            <w:r w:rsidRPr="003F7444">
              <w:rPr>
                <w:rFonts w:eastAsia="Times New Roman" w:cs="Times New Roman"/>
                <w:szCs w:val="22"/>
                <w:lang w:eastAsia="en-AU"/>
              </w:rPr>
              <w:noBreakHyphen/>
              <w:t>up</w:t>
            </w:r>
          </w:p>
        </w:tc>
        <w:tc>
          <w:tcPr>
            <w:tcW w:w="0" w:type="auto"/>
            <w:vAlign w:val="center"/>
            <w:hideMark/>
          </w:tcPr>
          <w:p w14:paraId="087571A8"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2 (1%)</w:t>
            </w:r>
          </w:p>
        </w:tc>
        <w:tc>
          <w:tcPr>
            <w:tcW w:w="0" w:type="auto"/>
            <w:vAlign w:val="center"/>
            <w:hideMark/>
          </w:tcPr>
          <w:p w14:paraId="1C95DCCD"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3 (2%)</w:t>
            </w:r>
          </w:p>
        </w:tc>
      </w:tr>
      <w:tr w:rsidR="00430583" w:rsidRPr="003F7444" w14:paraId="4DDC0638" w14:textId="77777777" w:rsidTr="00943250">
        <w:tc>
          <w:tcPr>
            <w:tcW w:w="0" w:type="auto"/>
            <w:vAlign w:val="center"/>
            <w:hideMark/>
          </w:tcPr>
          <w:p w14:paraId="268CC454" w14:textId="77777777" w:rsidR="00430583" w:rsidRPr="003F7444" w:rsidRDefault="00430583" w:rsidP="00B60A6F">
            <w:pPr>
              <w:spacing w:after="0" w:line="240" w:lineRule="auto"/>
              <w:ind w:left="540"/>
              <w:rPr>
                <w:rFonts w:eastAsia="Times New Roman" w:cs="Times New Roman"/>
                <w:szCs w:val="22"/>
                <w:lang w:eastAsia="en-AU"/>
              </w:rPr>
            </w:pPr>
            <w:r w:rsidRPr="003F7444">
              <w:rPr>
                <w:rFonts w:eastAsia="Times New Roman" w:cs="Times New Roman"/>
                <w:szCs w:val="22"/>
                <w:lang w:eastAsia="en-AU"/>
              </w:rPr>
              <w:t>Death after extended loss</w:t>
            </w:r>
            <w:r w:rsidRPr="003F7444">
              <w:rPr>
                <w:rFonts w:eastAsia="Times New Roman" w:cs="Times New Roman"/>
                <w:szCs w:val="22"/>
                <w:lang w:eastAsia="en-AU"/>
              </w:rPr>
              <w:noBreakHyphen/>
              <w:t>to</w:t>
            </w:r>
            <w:r w:rsidRPr="003F7444">
              <w:rPr>
                <w:rFonts w:eastAsia="Times New Roman" w:cs="Times New Roman"/>
                <w:szCs w:val="22"/>
                <w:lang w:eastAsia="en-AU"/>
              </w:rPr>
              <w:noBreakHyphen/>
              <w:t>follow</w:t>
            </w:r>
            <w:r w:rsidRPr="003F7444">
              <w:rPr>
                <w:rFonts w:eastAsia="Times New Roman" w:cs="Times New Roman"/>
                <w:szCs w:val="22"/>
                <w:lang w:eastAsia="en-AU"/>
              </w:rPr>
              <w:noBreakHyphen/>
              <w:t>up</w:t>
            </w:r>
          </w:p>
        </w:tc>
        <w:tc>
          <w:tcPr>
            <w:tcW w:w="0" w:type="auto"/>
            <w:vAlign w:val="center"/>
            <w:hideMark/>
          </w:tcPr>
          <w:p w14:paraId="015491ED"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4 (3%)</w:t>
            </w:r>
          </w:p>
        </w:tc>
        <w:tc>
          <w:tcPr>
            <w:tcW w:w="0" w:type="auto"/>
            <w:vAlign w:val="center"/>
            <w:hideMark/>
          </w:tcPr>
          <w:p w14:paraId="246EE88C"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4 (3%)</w:t>
            </w:r>
          </w:p>
        </w:tc>
      </w:tr>
      <w:tr w:rsidR="00430583" w:rsidRPr="003F7444" w14:paraId="37164151" w14:textId="77777777" w:rsidTr="00943250">
        <w:tc>
          <w:tcPr>
            <w:tcW w:w="0" w:type="auto"/>
            <w:vAlign w:val="center"/>
            <w:hideMark/>
          </w:tcPr>
          <w:p w14:paraId="0CE78300" w14:textId="77777777" w:rsidR="00430583" w:rsidRPr="003F7444" w:rsidRDefault="00430583" w:rsidP="00B60A6F">
            <w:pPr>
              <w:spacing w:after="0" w:line="240" w:lineRule="auto"/>
              <w:ind w:left="540"/>
              <w:rPr>
                <w:rFonts w:eastAsia="Times New Roman" w:cs="Times New Roman"/>
                <w:szCs w:val="22"/>
                <w:lang w:eastAsia="en-AU"/>
              </w:rPr>
            </w:pPr>
            <w:r w:rsidRPr="003F7444">
              <w:rPr>
                <w:rFonts w:eastAsia="Times New Roman" w:cs="Times New Roman"/>
                <w:szCs w:val="22"/>
                <w:lang w:eastAsia="en-AU"/>
              </w:rPr>
              <w:t>Post</w:t>
            </w:r>
            <w:r w:rsidRPr="003F7444">
              <w:rPr>
                <w:rFonts w:eastAsia="Times New Roman" w:cs="Times New Roman"/>
                <w:szCs w:val="22"/>
                <w:lang w:eastAsia="en-AU"/>
              </w:rPr>
              <w:noBreakHyphen/>
              <w:t>baseline assessment but no progression (or death)</w:t>
            </w:r>
          </w:p>
        </w:tc>
        <w:tc>
          <w:tcPr>
            <w:tcW w:w="0" w:type="auto"/>
            <w:vAlign w:val="center"/>
            <w:hideMark/>
          </w:tcPr>
          <w:p w14:paraId="28996155"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7 (5%)</w:t>
            </w:r>
          </w:p>
        </w:tc>
        <w:tc>
          <w:tcPr>
            <w:tcW w:w="0" w:type="auto"/>
            <w:vAlign w:val="center"/>
            <w:hideMark/>
          </w:tcPr>
          <w:p w14:paraId="1F37B48D"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6 (4%)</w:t>
            </w:r>
          </w:p>
        </w:tc>
      </w:tr>
      <w:tr w:rsidR="00430583" w:rsidRPr="003F7444" w14:paraId="3C695D45" w14:textId="77777777" w:rsidTr="00943250">
        <w:tc>
          <w:tcPr>
            <w:tcW w:w="0" w:type="auto"/>
            <w:vAlign w:val="center"/>
            <w:hideMark/>
          </w:tcPr>
          <w:p w14:paraId="6BD48DD3" w14:textId="77777777" w:rsidR="00430583" w:rsidRPr="003F7444" w:rsidRDefault="00430583" w:rsidP="00B60A6F">
            <w:pPr>
              <w:spacing w:after="0" w:line="240" w:lineRule="auto"/>
              <w:ind w:left="257"/>
              <w:rPr>
                <w:rFonts w:eastAsia="Times New Roman" w:cs="Times New Roman"/>
                <w:szCs w:val="22"/>
                <w:lang w:eastAsia="en-AU"/>
              </w:rPr>
            </w:pPr>
            <w:r w:rsidRPr="003F7444">
              <w:rPr>
                <w:rFonts w:eastAsia="Times New Roman" w:cs="Times New Roman"/>
                <w:szCs w:val="22"/>
                <w:lang w:eastAsia="en-AU"/>
              </w:rPr>
              <w:t>Censored, follow</w:t>
            </w:r>
            <w:r w:rsidRPr="003F7444">
              <w:rPr>
                <w:rFonts w:eastAsia="Times New Roman" w:cs="Times New Roman"/>
                <w:szCs w:val="22"/>
                <w:lang w:eastAsia="en-AU"/>
              </w:rPr>
              <w:noBreakHyphen/>
              <w:t>up ongoing</w:t>
            </w:r>
          </w:p>
        </w:tc>
        <w:tc>
          <w:tcPr>
            <w:tcW w:w="0" w:type="auto"/>
            <w:vAlign w:val="center"/>
            <w:hideMark/>
          </w:tcPr>
          <w:p w14:paraId="5451C9D8"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68 (44%)</w:t>
            </w:r>
          </w:p>
        </w:tc>
        <w:tc>
          <w:tcPr>
            <w:tcW w:w="0" w:type="auto"/>
            <w:vAlign w:val="center"/>
            <w:hideMark/>
          </w:tcPr>
          <w:p w14:paraId="60B9366A"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33 (22%)</w:t>
            </w:r>
          </w:p>
        </w:tc>
      </w:tr>
      <w:tr w:rsidR="006477B8" w:rsidRPr="003F7444" w14:paraId="27D1AFD3" w14:textId="77777777" w:rsidTr="00943250">
        <w:tc>
          <w:tcPr>
            <w:tcW w:w="0" w:type="auto"/>
            <w:gridSpan w:val="3"/>
            <w:vAlign w:val="center"/>
            <w:hideMark/>
          </w:tcPr>
          <w:p w14:paraId="76CCBF3E" w14:textId="567FBE62" w:rsidR="006477B8" w:rsidRPr="003F7444" w:rsidRDefault="006477B8" w:rsidP="008E2C1C">
            <w:pPr>
              <w:spacing w:after="0" w:line="240" w:lineRule="auto"/>
              <w:rPr>
                <w:rFonts w:eastAsia="Times New Roman" w:cs="Times New Roman"/>
                <w:szCs w:val="22"/>
                <w:lang w:eastAsia="en-AU"/>
              </w:rPr>
            </w:pPr>
            <w:r w:rsidRPr="003F7444">
              <w:rPr>
                <w:rFonts w:eastAsia="Times New Roman" w:cs="Times New Roman"/>
                <w:b/>
                <w:bCs/>
                <w:szCs w:val="22"/>
                <w:lang w:eastAsia="en-AU"/>
              </w:rPr>
              <w:t>Event summary, n (%)</w:t>
            </w:r>
          </w:p>
        </w:tc>
      </w:tr>
      <w:tr w:rsidR="00430583" w:rsidRPr="003F7444" w14:paraId="408CD816" w14:textId="77777777" w:rsidTr="00943250">
        <w:tc>
          <w:tcPr>
            <w:tcW w:w="0" w:type="auto"/>
            <w:vAlign w:val="center"/>
            <w:hideMark/>
          </w:tcPr>
          <w:p w14:paraId="325306B2" w14:textId="77777777" w:rsidR="00430583" w:rsidRPr="003F7444" w:rsidRDefault="00430583" w:rsidP="00B60A6F">
            <w:pPr>
              <w:spacing w:after="0" w:line="240" w:lineRule="auto"/>
              <w:ind w:left="257"/>
              <w:rPr>
                <w:rFonts w:eastAsia="Times New Roman" w:cs="Times New Roman"/>
                <w:szCs w:val="22"/>
                <w:lang w:eastAsia="en-AU"/>
              </w:rPr>
            </w:pPr>
            <w:r w:rsidRPr="003F7444">
              <w:rPr>
                <w:rFonts w:eastAsia="Times New Roman" w:cs="Times New Roman"/>
                <w:szCs w:val="22"/>
                <w:lang w:eastAsia="en-AU"/>
              </w:rPr>
              <w:t>Disease progression</w:t>
            </w:r>
          </w:p>
        </w:tc>
        <w:tc>
          <w:tcPr>
            <w:tcW w:w="0" w:type="auto"/>
            <w:vAlign w:val="center"/>
            <w:hideMark/>
          </w:tcPr>
          <w:p w14:paraId="3634BAB9"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46 (30%)</w:t>
            </w:r>
          </w:p>
        </w:tc>
        <w:tc>
          <w:tcPr>
            <w:tcW w:w="0" w:type="auto"/>
            <w:vAlign w:val="center"/>
            <w:hideMark/>
          </w:tcPr>
          <w:p w14:paraId="1FEC1FCE"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66 (45%)</w:t>
            </w:r>
          </w:p>
        </w:tc>
      </w:tr>
      <w:tr w:rsidR="00430583" w:rsidRPr="003F7444" w14:paraId="44668568" w14:textId="77777777" w:rsidTr="00943250">
        <w:tc>
          <w:tcPr>
            <w:tcW w:w="0" w:type="auto"/>
            <w:vAlign w:val="center"/>
            <w:hideMark/>
          </w:tcPr>
          <w:p w14:paraId="764A8AF2" w14:textId="77777777" w:rsidR="00430583" w:rsidRPr="003F7444" w:rsidRDefault="00430583" w:rsidP="00B60A6F">
            <w:pPr>
              <w:spacing w:after="0" w:line="240" w:lineRule="auto"/>
              <w:ind w:left="257"/>
              <w:rPr>
                <w:rFonts w:eastAsia="Times New Roman" w:cs="Times New Roman"/>
                <w:szCs w:val="22"/>
                <w:lang w:eastAsia="en-AU"/>
              </w:rPr>
            </w:pPr>
            <w:r w:rsidRPr="003F7444">
              <w:rPr>
                <w:rFonts w:eastAsia="Times New Roman" w:cs="Times New Roman"/>
                <w:szCs w:val="22"/>
                <w:lang w:eastAsia="en-AU"/>
              </w:rPr>
              <w:t>Death</w:t>
            </w:r>
          </w:p>
        </w:tc>
        <w:tc>
          <w:tcPr>
            <w:tcW w:w="0" w:type="auto"/>
            <w:vAlign w:val="center"/>
            <w:hideMark/>
          </w:tcPr>
          <w:p w14:paraId="24C166A5"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16 (10%)</w:t>
            </w:r>
          </w:p>
        </w:tc>
        <w:tc>
          <w:tcPr>
            <w:tcW w:w="0" w:type="auto"/>
            <w:vAlign w:val="center"/>
            <w:hideMark/>
          </w:tcPr>
          <w:p w14:paraId="2A8B7DD1"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14 (10%)</w:t>
            </w:r>
          </w:p>
        </w:tc>
      </w:tr>
      <w:tr w:rsidR="006477B8" w:rsidRPr="003F7444" w14:paraId="49A22812" w14:textId="77777777" w:rsidTr="00943250">
        <w:tc>
          <w:tcPr>
            <w:tcW w:w="0" w:type="auto"/>
            <w:gridSpan w:val="3"/>
            <w:vAlign w:val="center"/>
            <w:hideMark/>
          </w:tcPr>
          <w:p w14:paraId="79D709DC" w14:textId="165BF875" w:rsidR="006477B8" w:rsidRPr="003F7444" w:rsidRDefault="006477B8" w:rsidP="008E2C1C">
            <w:pPr>
              <w:spacing w:after="0" w:line="240" w:lineRule="auto"/>
              <w:rPr>
                <w:rFonts w:eastAsia="Times New Roman" w:cs="Times New Roman"/>
                <w:szCs w:val="22"/>
                <w:lang w:eastAsia="en-AU"/>
              </w:rPr>
            </w:pPr>
            <w:r w:rsidRPr="003F7444">
              <w:rPr>
                <w:rFonts w:eastAsia="Times New Roman" w:cs="Times New Roman"/>
                <w:b/>
                <w:bCs/>
                <w:szCs w:val="22"/>
                <w:lang w:eastAsia="en-AU"/>
              </w:rPr>
              <w:t>Estimates for time variable (months)</w:t>
            </w:r>
            <w:r w:rsidR="005258CE" w:rsidRPr="005258CE">
              <w:rPr>
                <w:rFonts w:eastAsia="Times New Roman" w:cs="Times New Roman"/>
                <w:b/>
                <w:bCs/>
                <w:szCs w:val="22"/>
                <w:vertAlign w:val="superscript"/>
                <w:lang w:eastAsia="en-AU"/>
              </w:rPr>
              <w:t>a</w:t>
            </w:r>
          </w:p>
        </w:tc>
      </w:tr>
      <w:tr w:rsidR="00430583" w:rsidRPr="003F7444" w14:paraId="78720F47" w14:textId="77777777" w:rsidTr="00943250">
        <w:tc>
          <w:tcPr>
            <w:tcW w:w="0" w:type="auto"/>
            <w:vAlign w:val="center"/>
            <w:hideMark/>
          </w:tcPr>
          <w:p w14:paraId="6CE80AC9" w14:textId="77777777" w:rsidR="00430583" w:rsidRPr="003F7444" w:rsidRDefault="00430583" w:rsidP="00893CC2">
            <w:pPr>
              <w:spacing w:after="0" w:line="240" w:lineRule="auto"/>
              <w:rPr>
                <w:rFonts w:eastAsia="Times New Roman" w:cs="Times New Roman"/>
                <w:szCs w:val="22"/>
                <w:lang w:eastAsia="en-AU"/>
              </w:rPr>
            </w:pPr>
            <w:r w:rsidRPr="003F7444">
              <w:rPr>
                <w:rFonts w:eastAsia="Times New Roman" w:cs="Times New Roman"/>
                <w:szCs w:val="22"/>
                <w:lang w:eastAsia="en-AU"/>
              </w:rPr>
              <w:t>1st Quartile</w:t>
            </w:r>
          </w:p>
        </w:tc>
        <w:tc>
          <w:tcPr>
            <w:tcW w:w="0" w:type="auto"/>
            <w:vAlign w:val="center"/>
            <w:hideMark/>
          </w:tcPr>
          <w:p w14:paraId="1CF2AF77"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10.3</w:t>
            </w:r>
          </w:p>
        </w:tc>
        <w:tc>
          <w:tcPr>
            <w:tcW w:w="0" w:type="auto"/>
            <w:vAlign w:val="center"/>
            <w:hideMark/>
          </w:tcPr>
          <w:p w14:paraId="2542382E"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5.5</w:t>
            </w:r>
          </w:p>
        </w:tc>
      </w:tr>
      <w:tr w:rsidR="00430583" w:rsidRPr="003F7444" w14:paraId="180041E9" w14:textId="77777777" w:rsidTr="00943250">
        <w:tc>
          <w:tcPr>
            <w:tcW w:w="0" w:type="auto"/>
            <w:vAlign w:val="center"/>
            <w:hideMark/>
          </w:tcPr>
          <w:p w14:paraId="4AC11D70" w14:textId="77777777" w:rsidR="00430583" w:rsidRPr="003F7444" w:rsidRDefault="00430583" w:rsidP="00B60A6F">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0" w:type="auto"/>
            <w:vAlign w:val="center"/>
            <w:hideMark/>
          </w:tcPr>
          <w:p w14:paraId="6D933B42"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(5.6, 14.0)</w:t>
            </w:r>
          </w:p>
        </w:tc>
        <w:tc>
          <w:tcPr>
            <w:tcW w:w="0" w:type="auto"/>
            <w:vAlign w:val="center"/>
            <w:hideMark/>
          </w:tcPr>
          <w:p w14:paraId="4455508E"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(3.7, 6.5)</w:t>
            </w:r>
          </w:p>
        </w:tc>
      </w:tr>
      <w:tr w:rsidR="00430583" w:rsidRPr="003F7444" w14:paraId="1AB898DE" w14:textId="77777777" w:rsidTr="00943250">
        <w:tc>
          <w:tcPr>
            <w:tcW w:w="0" w:type="auto"/>
            <w:vAlign w:val="center"/>
            <w:hideMark/>
          </w:tcPr>
          <w:p w14:paraId="5CED57D1" w14:textId="77777777" w:rsidR="00430583" w:rsidRPr="003F7444" w:rsidRDefault="00430583" w:rsidP="00B60A6F">
            <w:pPr>
              <w:spacing w:after="0" w:line="240" w:lineRule="auto"/>
              <w:ind w:left="257"/>
              <w:rPr>
                <w:rFonts w:eastAsia="Times New Roman" w:cs="Times New Roman"/>
                <w:szCs w:val="22"/>
                <w:lang w:eastAsia="en-AU"/>
              </w:rPr>
            </w:pPr>
            <w:r w:rsidRPr="003F7444">
              <w:rPr>
                <w:rFonts w:eastAsia="Times New Roman" w:cs="Times New Roman"/>
                <w:szCs w:val="22"/>
                <w:lang w:eastAsia="en-AU"/>
              </w:rPr>
              <w:t>Median</w:t>
            </w:r>
          </w:p>
        </w:tc>
        <w:tc>
          <w:tcPr>
            <w:tcW w:w="0" w:type="auto"/>
            <w:vAlign w:val="center"/>
            <w:hideMark/>
          </w:tcPr>
          <w:p w14:paraId="184ED468"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w:t>
            </w:r>
          </w:p>
        </w:tc>
        <w:tc>
          <w:tcPr>
            <w:tcW w:w="0" w:type="auto"/>
            <w:vAlign w:val="center"/>
            <w:hideMark/>
          </w:tcPr>
          <w:p w14:paraId="23374757"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12.7</w:t>
            </w:r>
          </w:p>
        </w:tc>
      </w:tr>
      <w:tr w:rsidR="00430583" w:rsidRPr="003F7444" w14:paraId="01984D80" w14:textId="77777777" w:rsidTr="00943250">
        <w:tc>
          <w:tcPr>
            <w:tcW w:w="0" w:type="auto"/>
            <w:vAlign w:val="center"/>
            <w:hideMark/>
          </w:tcPr>
          <w:p w14:paraId="36CD4255" w14:textId="77777777" w:rsidR="00430583" w:rsidRPr="003F7444" w:rsidRDefault="00430583" w:rsidP="00B60A6F">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0" w:type="auto"/>
            <w:vAlign w:val="center"/>
            <w:hideMark/>
          </w:tcPr>
          <w:p w14:paraId="7B768DDE"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(20.6, –)</w:t>
            </w:r>
          </w:p>
        </w:tc>
        <w:tc>
          <w:tcPr>
            <w:tcW w:w="0" w:type="auto"/>
            <w:vAlign w:val="center"/>
            <w:hideMark/>
          </w:tcPr>
          <w:p w14:paraId="0E2D796F"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(9.1, 18.5)</w:t>
            </w:r>
          </w:p>
        </w:tc>
      </w:tr>
      <w:tr w:rsidR="00430583" w:rsidRPr="003F7444" w14:paraId="1C37F090" w14:textId="77777777" w:rsidTr="00943250">
        <w:tc>
          <w:tcPr>
            <w:tcW w:w="0" w:type="auto"/>
            <w:vAlign w:val="center"/>
            <w:hideMark/>
          </w:tcPr>
          <w:p w14:paraId="4AE1E77D" w14:textId="77777777" w:rsidR="00430583" w:rsidRPr="003F7444" w:rsidRDefault="00430583" w:rsidP="00893CC2">
            <w:pPr>
              <w:spacing w:after="0" w:line="240" w:lineRule="auto"/>
              <w:rPr>
                <w:rFonts w:eastAsia="Times New Roman" w:cs="Times New Roman"/>
                <w:szCs w:val="22"/>
                <w:lang w:eastAsia="en-AU"/>
              </w:rPr>
            </w:pPr>
            <w:r w:rsidRPr="003F7444">
              <w:rPr>
                <w:rFonts w:eastAsia="Times New Roman" w:cs="Times New Roman"/>
                <w:szCs w:val="22"/>
                <w:lang w:eastAsia="en-AU"/>
              </w:rPr>
              <w:t>3rd Quartile</w:t>
            </w:r>
          </w:p>
        </w:tc>
        <w:tc>
          <w:tcPr>
            <w:tcW w:w="0" w:type="auto"/>
            <w:vAlign w:val="center"/>
            <w:hideMark/>
          </w:tcPr>
          <w:p w14:paraId="577A84E5"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w:t>
            </w:r>
          </w:p>
        </w:tc>
        <w:tc>
          <w:tcPr>
            <w:tcW w:w="0" w:type="auto"/>
            <w:vAlign w:val="center"/>
            <w:hideMark/>
          </w:tcPr>
          <w:p w14:paraId="12492C5F"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w:t>
            </w:r>
          </w:p>
        </w:tc>
      </w:tr>
      <w:tr w:rsidR="00430583" w:rsidRPr="003F7444" w14:paraId="746214C1" w14:textId="77777777" w:rsidTr="00943250">
        <w:tc>
          <w:tcPr>
            <w:tcW w:w="0" w:type="auto"/>
            <w:vAlign w:val="center"/>
            <w:hideMark/>
          </w:tcPr>
          <w:p w14:paraId="291472B2" w14:textId="3D958D19" w:rsidR="00430583" w:rsidRPr="003F7444" w:rsidRDefault="00987985" w:rsidP="00B60A6F">
            <w:pPr>
              <w:spacing w:after="0" w:line="240" w:lineRule="auto"/>
              <w:ind w:left="540"/>
              <w:rPr>
                <w:rFonts w:eastAsia="Times New Roman" w:cs="Times New Roman"/>
                <w:szCs w:val="22"/>
                <w:lang w:eastAsia="en-AU"/>
              </w:rPr>
            </w:pPr>
            <w:r w:rsidRPr="00987985">
              <w:rPr>
                <w:rFonts w:eastAsia="Times New Roman" w:cs="Times New Roman"/>
                <w:szCs w:val="22"/>
                <w:lang w:eastAsia="en-AU"/>
              </w:rPr>
              <w:t>95% CI</w:t>
            </w:r>
          </w:p>
        </w:tc>
        <w:tc>
          <w:tcPr>
            <w:tcW w:w="0" w:type="auto"/>
            <w:vAlign w:val="center"/>
            <w:hideMark/>
          </w:tcPr>
          <w:p w14:paraId="1080DADA"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 –)</w:t>
            </w:r>
          </w:p>
        </w:tc>
        <w:tc>
          <w:tcPr>
            <w:tcW w:w="0" w:type="auto"/>
            <w:vAlign w:val="center"/>
            <w:hideMark/>
          </w:tcPr>
          <w:p w14:paraId="3A589BE9"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(20.3, –)</w:t>
            </w:r>
          </w:p>
        </w:tc>
      </w:tr>
      <w:tr w:rsidR="006477B8" w:rsidRPr="003F7444" w14:paraId="46B4B1F7" w14:textId="77777777" w:rsidTr="00943250">
        <w:tc>
          <w:tcPr>
            <w:tcW w:w="0" w:type="auto"/>
            <w:gridSpan w:val="3"/>
            <w:vAlign w:val="center"/>
            <w:hideMark/>
          </w:tcPr>
          <w:p w14:paraId="5298B06A" w14:textId="61575720" w:rsidR="006477B8" w:rsidRPr="003F7444" w:rsidRDefault="006477B8" w:rsidP="006477B8">
            <w:pPr>
              <w:spacing w:after="0" w:line="240" w:lineRule="auto"/>
              <w:rPr>
                <w:rFonts w:eastAsia="Times New Roman" w:cs="Times New Roman"/>
                <w:szCs w:val="22"/>
                <w:lang w:eastAsia="en-AU"/>
              </w:rPr>
            </w:pPr>
            <w:r w:rsidRPr="003F7444">
              <w:rPr>
                <w:rFonts w:eastAsia="Times New Roman" w:cs="Times New Roman"/>
                <w:b/>
                <w:bCs/>
                <w:szCs w:val="22"/>
                <w:lang w:eastAsia="en-AU"/>
              </w:rPr>
              <w:t xml:space="preserve">Hazard </w:t>
            </w:r>
            <w:proofErr w:type="spellStart"/>
            <w:r w:rsidRPr="003F7444">
              <w:rPr>
                <w:rFonts w:eastAsia="Times New Roman" w:cs="Times New Roman"/>
                <w:b/>
                <w:bCs/>
                <w:szCs w:val="22"/>
                <w:lang w:eastAsia="en-AU"/>
              </w:rPr>
              <w:t>ratio</w:t>
            </w:r>
            <w:r w:rsidR="005258CE" w:rsidRPr="005258CE">
              <w:rPr>
                <w:rFonts w:eastAsia="Times New Roman" w:cs="Times New Roman"/>
                <w:b/>
                <w:bCs/>
                <w:szCs w:val="22"/>
                <w:vertAlign w:val="superscript"/>
                <w:lang w:eastAsia="en-AU"/>
              </w:rPr>
              <w:t>b</w:t>
            </w:r>
            <w:proofErr w:type="spellEnd"/>
          </w:p>
        </w:tc>
      </w:tr>
      <w:tr w:rsidR="002976DC" w:rsidRPr="003F7444" w14:paraId="0BEBEB09" w14:textId="77777777" w:rsidTr="00943250">
        <w:tc>
          <w:tcPr>
            <w:tcW w:w="0" w:type="auto"/>
            <w:vAlign w:val="center"/>
            <w:hideMark/>
          </w:tcPr>
          <w:p w14:paraId="1D1C3A4F" w14:textId="19BAC843" w:rsidR="002976DC" w:rsidRPr="003F7444" w:rsidRDefault="002976DC" w:rsidP="009C2CCA">
            <w:pPr>
              <w:spacing w:after="0" w:line="240" w:lineRule="auto"/>
              <w:ind w:left="257"/>
              <w:rPr>
                <w:rFonts w:eastAsia="Times New Roman" w:cs="Times New Roman"/>
                <w:szCs w:val="22"/>
                <w:lang w:eastAsia="en-AU"/>
              </w:rPr>
            </w:pPr>
            <w:r w:rsidRPr="003F7444">
              <w:rPr>
                <w:rFonts w:eastAsia="Times New Roman" w:cs="Times New Roman"/>
                <w:szCs w:val="22"/>
                <w:lang w:eastAsia="en-AU"/>
              </w:rPr>
              <w:t>Estimate</w:t>
            </w:r>
            <w:r w:rsidR="00445CE6" w:rsidRPr="00445CE6">
              <w:rPr>
                <w:rFonts w:eastAsia="Times New Roman" w:cs="Times New Roman"/>
                <w:szCs w:val="22"/>
                <w:vertAlign w:val="superscript"/>
                <w:lang w:eastAsia="en-AU"/>
              </w:rPr>
              <w:t>d</w:t>
            </w:r>
          </w:p>
        </w:tc>
        <w:tc>
          <w:tcPr>
            <w:tcW w:w="0" w:type="auto"/>
            <w:gridSpan w:val="2"/>
            <w:vAlign w:val="center"/>
            <w:hideMark/>
          </w:tcPr>
          <w:p w14:paraId="0F10A08D" w14:textId="3C0AE39C" w:rsidR="002976DC" w:rsidRPr="003F7444" w:rsidRDefault="002976DC" w:rsidP="002976DC">
            <w:pPr>
              <w:spacing w:after="0" w:line="240" w:lineRule="auto"/>
              <w:jc w:val="center"/>
              <w:rPr>
                <w:rFonts w:eastAsia="Times New Roman" w:cs="Times New Roman"/>
                <w:szCs w:val="22"/>
                <w:lang w:eastAsia="en-AU"/>
              </w:rPr>
            </w:pPr>
            <w:r w:rsidRPr="003F7444">
              <w:rPr>
                <w:rFonts w:eastAsia="Times New Roman" w:cs="Times New Roman"/>
                <w:szCs w:val="22"/>
                <w:lang w:eastAsia="en-AU"/>
              </w:rPr>
              <w:t>0.52</w:t>
            </w:r>
          </w:p>
        </w:tc>
      </w:tr>
      <w:tr w:rsidR="00BA0E1D" w:rsidRPr="003F7444" w14:paraId="36E824AF" w14:textId="77777777" w:rsidTr="00943250">
        <w:tc>
          <w:tcPr>
            <w:tcW w:w="0" w:type="auto"/>
            <w:vAlign w:val="center"/>
          </w:tcPr>
          <w:p w14:paraId="44E6BF3F" w14:textId="5978663C" w:rsidR="00BA0E1D" w:rsidRPr="003F7444" w:rsidRDefault="00987985" w:rsidP="00987985">
            <w:pPr>
              <w:spacing w:after="0" w:line="240" w:lineRule="auto"/>
              <w:ind w:left="540"/>
              <w:rPr>
                <w:rFonts w:eastAsia="Times New Roman" w:cs="Times New Roman"/>
                <w:szCs w:val="22"/>
                <w:lang w:eastAsia="en-AU"/>
              </w:rPr>
            </w:pPr>
            <w:r w:rsidRPr="00987985">
              <w:rPr>
                <w:rFonts w:eastAsia="Times New Roman" w:cs="Times New Roman"/>
                <w:szCs w:val="22"/>
                <w:lang w:eastAsia="en-AU"/>
              </w:rPr>
              <w:t>95% CI</w:t>
            </w:r>
          </w:p>
        </w:tc>
        <w:tc>
          <w:tcPr>
            <w:tcW w:w="0" w:type="auto"/>
            <w:gridSpan w:val="2"/>
            <w:vAlign w:val="center"/>
          </w:tcPr>
          <w:p w14:paraId="6343B0F2" w14:textId="52F8C328" w:rsidR="00BA0E1D" w:rsidRPr="003F7444" w:rsidRDefault="00987985" w:rsidP="002976DC">
            <w:pPr>
              <w:spacing w:after="0" w:line="240" w:lineRule="auto"/>
              <w:jc w:val="center"/>
              <w:rPr>
                <w:rFonts w:eastAsia="Times New Roman" w:cs="Times New Roman"/>
                <w:szCs w:val="22"/>
                <w:lang w:eastAsia="en-AU"/>
              </w:rPr>
            </w:pPr>
            <w:r w:rsidRPr="00987985">
              <w:rPr>
                <w:rFonts w:eastAsia="Times New Roman" w:cs="Times New Roman"/>
                <w:szCs w:val="22"/>
                <w:lang w:eastAsia="en-AU"/>
              </w:rPr>
              <w:t>(0.37, 0.73)</w:t>
            </w:r>
          </w:p>
        </w:tc>
      </w:tr>
      <w:tr w:rsidR="006477B8" w:rsidRPr="003F7444" w14:paraId="4DA9002F" w14:textId="77777777" w:rsidTr="00943250">
        <w:tc>
          <w:tcPr>
            <w:tcW w:w="0" w:type="auto"/>
            <w:gridSpan w:val="3"/>
            <w:vAlign w:val="center"/>
            <w:hideMark/>
          </w:tcPr>
          <w:p w14:paraId="686D8C37" w14:textId="6615481C" w:rsidR="006477B8" w:rsidRPr="003F7444" w:rsidRDefault="006477B8" w:rsidP="002976DC">
            <w:pPr>
              <w:spacing w:after="0" w:line="240" w:lineRule="auto"/>
              <w:rPr>
                <w:rFonts w:eastAsia="Times New Roman" w:cs="Times New Roman"/>
                <w:szCs w:val="22"/>
                <w:lang w:eastAsia="en-AU"/>
              </w:rPr>
            </w:pPr>
            <w:r w:rsidRPr="003F7444">
              <w:rPr>
                <w:rFonts w:eastAsia="Times New Roman" w:cs="Times New Roman"/>
                <w:b/>
                <w:bCs/>
                <w:szCs w:val="22"/>
                <w:lang w:eastAsia="en-AU"/>
              </w:rPr>
              <w:t>Stratified log</w:t>
            </w:r>
            <w:r w:rsidRPr="003F7444">
              <w:rPr>
                <w:rFonts w:eastAsia="Times New Roman" w:cs="Times New Roman"/>
                <w:b/>
                <w:bCs/>
                <w:szCs w:val="22"/>
                <w:lang w:eastAsia="en-AU"/>
              </w:rPr>
              <w:noBreakHyphen/>
            </w:r>
            <w:proofErr w:type="spellStart"/>
            <w:r w:rsidRPr="003F7444">
              <w:rPr>
                <w:rFonts w:eastAsia="Times New Roman" w:cs="Times New Roman"/>
                <w:b/>
                <w:bCs/>
                <w:szCs w:val="22"/>
                <w:lang w:eastAsia="en-AU"/>
              </w:rPr>
              <w:t>rank</w:t>
            </w:r>
            <w:r w:rsidR="00445CE6" w:rsidRPr="00445CE6">
              <w:rPr>
                <w:rFonts w:eastAsia="Times New Roman" w:cs="Times New Roman"/>
                <w:b/>
                <w:bCs/>
                <w:szCs w:val="22"/>
                <w:vertAlign w:val="superscript"/>
                <w:lang w:eastAsia="en-AU"/>
              </w:rPr>
              <w:t>c</w:t>
            </w:r>
            <w:proofErr w:type="spellEnd"/>
          </w:p>
        </w:tc>
      </w:tr>
      <w:tr w:rsidR="002976DC" w:rsidRPr="003F7444" w14:paraId="5A47AB07" w14:textId="77777777" w:rsidTr="00943250">
        <w:tc>
          <w:tcPr>
            <w:tcW w:w="0" w:type="auto"/>
            <w:vAlign w:val="center"/>
            <w:hideMark/>
          </w:tcPr>
          <w:p w14:paraId="6778DB9F" w14:textId="0F7C2AE4" w:rsidR="002976DC" w:rsidRPr="003F7444" w:rsidRDefault="002976DC" w:rsidP="00A45BB0">
            <w:pPr>
              <w:spacing w:after="0" w:line="240" w:lineRule="auto"/>
              <w:ind w:left="257"/>
              <w:rPr>
                <w:rFonts w:eastAsia="Times New Roman" w:cs="Times New Roman"/>
                <w:szCs w:val="22"/>
                <w:lang w:eastAsia="en-AU"/>
              </w:rPr>
            </w:pPr>
            <w:r w:rsidRPr="003F7444">
              <w:rPr>
                <w:rFonts w:eastAsia="Times New Roman" w:cs="Times New Roman"/>
                <w:szCs w:val="22"/>
                <w:lang w:eastAsia="en-AU"/>
              </w:rPr>
              <w:t>P</w:t>
            </w:r>
            <w:r w:rsidRPr="003F7444">
              <w:rPr>
                <w:rFonts w:eastAsia="Times New Roman" w:cs="Times New Roman"/>
                <w:szCs w:val="22"/>
                <w:lang w:eastAsia="en-AU"/>
              </w:rPr>
              <w:noBreakHyphen/>
              <w:t>value</w:t>
            </w:r>
            <w:r w:rsidR="00445CE6" w:rsidRPr="00445CE6">
              <w:rPr>
                <w:rFonts w:eastAsia="Times New Roman" w:cs="Times New Roman"/>
                <w:szCs w:val="22"/>
                <w:vertAlign w:val="superscript"/>
                <w:lang w:eastAsia="en-AU"/>
              </w:rPr>
              <w:t>d</w:t>
            </w:r>
          </w:p>
        </w:tc>
        <w:tc>
          <w:tcPr>
            <w:tcW w:w="0" w:type="auto"/>
            <w:gridSpan w:val="2"/>
            <w:vAlign w:val="center"/>
            <w:hideMark/>
          </w:tcPr>
          <w:p w14:paraId="473BC028" w14:textId="04987273" w:rsidR="002976DC" w:rsidRPr="003F7444" w:rsidRDefault="002976DC" w:rsidP="00943250">
            <w:pPr>
              <w:spacing w:after="0" w:line="240" w:lineRule="auto"/>
              <w:jc w:val="center"/>
              <w:rPr>
                <w:rFonts w:eastAsia="Times New Roman" w:cs="Times New Roman"/>
                <w:szCs w:val="22"/>
                <w:lang w:eastAsia="en-AU"/>
              </w:rPr>
            </w:pPr>
            <w:r w:rsidRPr="003F7444">
              <w:rPr>
                <w:rFonts w:eastAsia="Times New Roman" w:cs="Times New Roman"/>
                <w:szCs w:val="22"/>
                <w:lang w:eastAsia="en-AU"/>
              </w:rPr>
              <w:t>&lt;0.001</w:t>
            </w:r>
          </w:p>
        </w:tc>
      </w:tr>
      <w:tr w:rsidR="002976DC" w:rsidRPr="003F7444" w14:paraId="38E76823" w14:textId="77777777" w:rsidTr="00943250">
        <w:tc>
          <w:tcPr>
            <w:tcW w:w="0" w:type="auto"/>
            <w:vAlign w:val="center"/>
            <w:hideMark/>
          </w:tcPr>
          <w:p w14:paraId="0A7905FC" w14:textId="52EE5D6B" w:rsidR="002976DC" w:rsidRPr="003F7444" w:rsidRDefault="002976DC" w:rsidP="00A45BB0">
            <w:pPr>
              <w:spacing w:after="0" w:line="240" w:lineRule="auto"/>
              <w:ind w:left="257"/>
              <w:rPr>
                <w:rFonts w:eastAsia="Times New Roman" w:cs="Times New Roman"/>
                <w:szCs w:val="22"/>
                <w:lang w:eastAsia="en-AU"/>
              </w:rPr>
            </w:pPr>
            <w:r w:rsidRPr="003F7444">
              <w:rPr>
                <w:rFonts w:eastAsia="Times New Roman" w:cs="Times New Roman"/>
                <w:szCs w:val="22"/>
                <w:lang w:eastAsia="en-AU"/>
              </w:rPr>
              <w:t>P</w:t>
            </w:r>
            <w:r w:rsidRPr="003F7444">
              <w:rPr>
                <w:rFonts w:eastAsia="Times New Roman" w:cs="Times New Roman"/>
                <w:szCs w:val="22"/>
                <w:lang w:eastAsia="en-AU"/>
              </w:rPr>
              <w:noBreakHyphen/>
            </w:r>
            <w:proofErr w:type="spellStart"/>
            <w:r w:rsidRPr="003F7444">
              <w:rPr>
                <w:rFonts w:eastAsia="Times New Roman" w:cs="Times New Roman"/>
                <w:szCs w:val="22"/>
                <w:lang w:eastAsia="en-AU"/>
              </w:rPr>
              <w:t>value</w:t>
            </w:r>
            <w:r w:rsidR="00BB2FBB" w:rsidRPr="00BB2FBB">
              <w:rPr>
                <w:rFonts w:eastAsia="Times New Roman" w:cs="Times New Roman"/>
                <w:szCs w:val="22"/>
                <w:vertAlign w:val="superscript"/>
                <w:lang w:eastAsia="en-AU"/>
              </w:rPr>
              <w:t>e</w:t>
            </w:r>
            <w:proofErr w:type="spellEnd"/>
          </w:p>
        </w:tc>
        <w:tc>
          <w:tcPr>
            <w:tcW w:w="0" w:type="auto"/>
            <w:gridSpan w:val="2"/>
            <w:vAlign w:val="center"/>
            <w:hideMark/>
          </w:tcPr>
          <w:p w14:paraId="48246FF2" w14:textId="1E0F28DE" w:rsidR="002976DC" w:rsidRPr="003F7444" w:rsidRDefault="002976DC" w:rsidP="00943250">
            <w:pPr>
              <w:spacing w:after="0" w:line="240" w:lineRule="auto"/>
              <w:jc w:val="center"/>
              <w:rPr>
                <w:rFonts w:eastAsia="Times New Roman" w:cs="Times New Roman"/>
                <w:szCs w:val="22"/>
                <w:lang w:eastAsia="en-AU"/>
              </w:rPr>
            </w:pPr>
            <w:r w:rsidRPr="003F7444">
              <w:rPr>
                <w:rFonts w:eastAsia="Times New Roman" w:cs="Times New Roman"/>
                <w:szCs w:val="22"/>
                <w:lang w:eastAsia="en-AU"/>
              </w:rPr>
              <w:t>&lt;0.001</w:t>
            </w:r>
          </w:p>
        </w:tc>
      </w:tr>
      <w:tr w:rsidR="002976DC" w:rsidRPr="003F7444" w14:paraId="4A0443D4" w14:textId="77777777" w:rsidTr="00943250">
        <w:tc>
          <w:tcPr>
            <w:tcW w:w="0" w:type="auto"/>
            <w:vAlign w:val="center"/>
            <w:hideMark/>
          </w:tcPr>
          <w:p w14:paraId="2092DCA9" w14:textId="3824E0BF" w:rsidR="002976DC" w:rsidRPr="003F7444" w:rsidRDefault="002976DC" w:rsidP="00A45BB0">
            <w:pPr>
              <w:spacing w:after="0" w:line="240" w:lineRule="auto"/>
              <w:ind w:left="257"/>
              <w:rPr>
                <w:rFonts w:eastAsia="Times New Roman" w:cs="Times New Roman"/>
                <w:szCs w:val="22"/>
                <w:lang w:eastAsia="en-AU"/>
              </w:rPr>
            </w:pPr>
            <w:r w:rsidRPr="003F7444">
              <w:rPr>
                <w:rFonts w:eastAsia="Times New Roman" w:cs="Times New Roman"/>
                <w:szCs w:val="22"/>
                <w:lang w:eastAsia="en-AU"/>
              </w:rPr>
              <w:t>P</w:t>
            </w:r>
            <w:r w:rsidRPr="003F7444">
              <w:rPr>
                <w:rFonts w:eastAsia="Times New Roman" w:cs="Times New Roman"/>
                <w:szCs w:val="22"/>
                <w:lang w:eastAsia="en-AU"/>
              </w:rPr>
              <w:noBreakHyphen/>
            </w:r>
            <w:proofErr w:type="spellStart"/>
            <w:r w:rsidRPr="003F7444">
              <w:rPr>
                <w:rFonts w:eastAsia="Times New Roman" w:cs="Times New Roman"/>
                <w:szCs w:val="22"/>
                <w:lang w:eastAsia="en-AU"/>
              </w:rPr>
              <w:t>value</w:t>
            </w:r>
            <w:r w:rsidR="00BB2FBB" w:rsidRPr="00BB2FBB">
              <w:rPr>
                <w:rFonts w:eastAsia="Times New Roman" w:cs="Times New Roman"/>
                <w:szCs w:val="22"/>
                <w:vertAlign w:val="superscript"/>
                <w:lang w:eastAsia="en-AU"/>
              </w:rPr>
              <w:t>g</w:t>
            </w:r>
            <w:proofErr w:type="spellEnd"/>
          </w:p>
        </w:tc>
        <w:tc>
          <w:tcPr>
            <w:tcW w:w="0" w:type="auto"/>
            <w:gridSpan w:val="2"/>
            <w:vAlign w:val="center"/>
            <w:hideMark/>
          </w:tcPr>
          <w:p w14:paraId="4294300D" w14:textId="5C799B87" w:rsidR="002976DC" w:rsidRPr="003F7444" w:rsidRDefault="002976DC" w:rsidP="00943250">
            <w:pPr>
              <w:spacing w:after="0" w:line="240" w:lineRule="auto"/>
              <w:jc w:val="center"/>
              <w:rPr>
                <w:rFonts w:eastAsia="Times New Roman" w:cs="Times New Roman"/>
                <w:szCs w:val="22"/>
                <w:lang w:eastAsia="en-AU"/>
              </w:rPr>
            </w:pPr>
            <w:r w:rsidRPr="003F7444">
              <w:rPr>
                <w:rFonts w:eastAsia="Times New Roman" w:cs="Times New Roman"/>
                <w:szCs w:val="22"/>
                <w:lang w:eastAsia="en-AU"/>
              </w:rPr>
              <w:t>&lt;0.001</w:t>
            </w:r>
          </w:p>
        </w:tc>
      </w:tr>
      <w:tr w:rsidR="00943250" w:rsidRPr="003F7444" w14:paraId="1F194B0E" w14:textId="77777777" w:rsidTr="00943250">
        <w:tc>
          <w:tcPr>
            <w:tcW w:w="0" w:type="auto"/>
            <w:gridSpan w:val="3"/>
            <w:vAlign w:val="center"/>
            <w:hideMark/>
          </w:tcPr>
          <w:p w14:paraId="022D4E16" w14:textId="6F883465" w:rsidR="00943250" w:rsidRPr="003F7444" w:rsidRDefault="00A123EA" w:rsidP="00943250">
            <w:pPr>
              <w:spacing w:after="0" w:line="240" w:lineRule="auto"/>
              <w:rPr>
                <w:rFonts w:eastAsia="Times New Roman" w:cs="Times New Roman"/>
                <w:szCs w:val="22"/>
                <w:lang w:eastAsia="en-AU"/>
              </w:rPr>
            </w:pPr>
            <w:r w:rsidRPr="00A123EA">
              <w:rPr>
                <w:rFonts w:eastAsia="Times New Roman" w:cs="Times New Roman"/>
                <w:b/>
                <w:bCs/>
                <w:szCs w:val="22"/>
                <w:lang w:eastAsia="en-AU"/>
              </w:rPr>
              <w:t>Progression-free survival rate</w:t>
            </w:r>
          </w:p>
        </w:tc>
      </w:tr>
      <w:tr w:rsidR="00430583" w:rsidRPr="003F7444" w14:paraId="058269D0" w14:textId="77777777" w:rsidTr="00943250">
        <w:tc>
          <w:tcPr>
            <w:tcW w:w="0" w:type="auto"/>
            <w:vAlign w:val="center"/>
            <w:hideMark/>
          </w:tcPr>
          <w:p w14:paraId="2861203F" w14:textId="77777777" w:rsidR="00430583" w:rsidRPr="003F7444" w:rsidRDefault="00430583" w:rsidP="00A45BB0">
            <w:pPr>
              <w:spacing w:after="0" w:line="240" w:lineRule="auto"/>
              <w:ind w:left="257"/>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6 months</w:t>
            </w:r>
          </w:p>
        </w:tc>
        <w:tc>
          <w:tcPr>
            <w:tcW w:w="0" w:type="auto"/>
            <w:vAlign w:val="center"/>
            <w:hideMark/>
          </w:tcPr>
          <w:p w14:paraId="311ED84B"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0.82</w:t>
            </w:r>
          </w:p>
        </w:tc>
        <w:tc>
          <w:tcPr>
            <w:tcW w:w="0" w:type="auto"/>
            <w:vAlign w:val="center"/>
            <w:hideMark/>
          </w:tcPr>
          <w:p w14:paraId="075C930F"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0.72</w:t>
            </w:r>
          </w:p>
        </w:tc>
      </w:tr>
      <w:tr w:rsidR="00430583" w:rsidRPr="003F7444" w14:paraId="7B434E5B" w14:textId="77777777" w:rsidTr="00943250">
        <w:tc>
          <w:tcPr>
            <w:tcW w:w="0" w:type="auto"/>
            <w:vAlign w:val="center"/>
            <w:hideMark/>
          </w:tcPr>
          <w:p w14:paraId="77220F59" w14:textId="77777777" w:rsidR="00430583" w:rsidRPr="003F7444" w:rsidRDefault="00430583" w:rsidP="00A45BB0">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0" w:type="auto"/>
            <w:vAlign w:val="center"/>
            <w:hideMark/>
          </w:tcPr>
          <w:p w14:paraId="70B3D1C6"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(0.75, 0.87)</w:t>
            </w:r>
          </w:p>
        </w:tc>
        <w:tc>
          <w:tcPr>
            <w:tcW w:w="0" w:type="auto"/>
            <w:vAlign w:val="center"/>
            <w:hideMark/>
          </w:tcPr>
          <w:p w14:paraId="3D83904A"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(0.64, 0.79)</w:t>
            </w:r>
          </w:p>
        </w:tc>
      </w:tr>
      <w:tr w:rsidR="00430583" w:rsidRPr="003F7444" w14:paraId="533FB1E4" w14:textId="77777777" w:rsidTr="00943250">
        <w:tc>
          <w:tcPr>
            <w:tcW w:w="0" w:type="auto"/>
            <w:vAlign w:val="center"/>
            <w:hideMark/>
          </w:tcPr>
          <w:p w14:paraId="6021F357" w14:textId="77777777" w:rsidR="00430583" w:rsidRPr="003F7444" w:rsidRDefault="00430583" w:rsidP="00A45BB0">
            <w:pPr>
              <w:spacing w:after="0" w:line="240" w:lineRule="auto"/>
              <w:ind w:left="257"/>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12 months</w:t>
            </w:r>
          </w:p>
        </w:tc>
        <w:tc>
          <w:tcPr>
            <w:tcW w:w="0" w:type="auto"/>
            <w:vAlign w:val="center"/>
            <w:hideMark/>
          </w:tcPr>
          <w:p w14:paraId="11813B3B"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0.71</w:t>
            </w:r>
          </w:p>
        </w:tc>
        <w:tc>
          <w:tcPr>
            <w:tcW w:w="0" w:type="auto"/>
            <w:vAlign w:val="center"/>
            <w:hideMark/>
          </w:tcPr>
          <w:p w14:paraId="25CA0C1E"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0.51</w:t>
            </w:r>
          </w:p>
        </w:tc>
      </w:tr>
      <w:tr w:rsidR="00430583" w:rsidRPr="003F7444" w14:paraId="6B4EEFF9" w14:textId="77777777" w:rsidTr="00943250">
        <w:tc>
          <w:tcPr>
            <w:tcW w:w="0" w:type="auto"/>
            <w:vAlign w:val="center"/>
            <w:hideMark/>
          </w:tcPr>
          <w:p w14:paraId="4D984D3F" w14:textId="77777777" w:rsidR="00430583" w:rsidRPr="003F7444" w:rsidRDefault="00430583" w:rsidP="00A45BB0">
            <w:pPr>
              <w:spacing w:after="0" w:line="240" w:lineRule="auto"/>
              <w:ind w:left="540"/>
              <w:rPr>
                <w:rFonts w:eastAsia="Times New Roman" w:cs="Times New Roman"/>
                <w:szCs w:val="22"/>
                <w:lang w:eastAsia="en-AU"/>
              </w:rPr>
            </w:pPr>
            <w:r w:rsidRPr="003F7444">
              <w:rPr>
                <w:rFonts w:eastAsia="Times New Roman" w:cs="Times New Roman"/>
                <w:szCs w:val="22"/>
                <w:lang w:eastAsia="en-AU"/>
              </w:rPr>
              <w:lastRenderedPageBreak/>
              <w:t>95% CI</w:t>
            </w:r>
          </w:p>
        </w:tc>
        <w:tc>
          <w:tcPr>
            <w:tcW w:w="0" w:type="auto"/>
            <w:vAlign w:val="center"/>
            <w:hideMark/>
          </w:tcPr>
          <w:p w14:paraId="66D8466C"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(0.63, 0.78)</w:t>
            </w:r>
          </w:p>
        </w:tc>
        <w:tc>
          <w:tcPr>
            <w:tcW w:w="0" w:type="auto"/>
            <w:vAlign w:val="center"/>
            <w:hideMark/>
          </w:tcPr>
          <w:p w14:paraId="12128397"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(0.42, 0.60)</w:t>
            </w:r>
          </w:p>
        </w:tc>
      </w:tr>
      <w:tr w:rsidR="00430583" w:rsidRPr="003F7444" w14:paraId="2485CAF9" w14:textId="77777777" w:rsidTr="00943250">
        <w:tc>
          <w:tcPr>
            <w:tcW w:w="0" w:type="auto"/>
            <w:vAlign w:val="center"/>
            <w:hideMark/>
          </w:tcPr>
          <w:p w14:paraId="4E592588" w14:textId="77777777" w:rsidR="00430583" w:rsidRPr="003F7444" w:rsidRDefault="00430583" w:rsidP="00A45BB0">
            <w:pPr>
              <w:spacing w:after="0" w:line="240" w:lineRule="auto"/>
              <w:ind w:left="257"/>
              <w:rPr>
                <w:rFonts w:eastAsia="Times New Roman" w:cs="Times New Roman"/>
                <w:szCs w:val="22"/>
                <w:lang w:eastAsia="en-AU"/>
              </w:rPr>
            </w:pPr>
            <w:r w:rsidRPr="003F7444">
              <w:rPr>
                <w:rFonts w:eastAsia="Times New Roman" w:cs="Times New Roman"/>
                <w:szCs w:val="22"/>
                <w:lang w:eastAsia="en-AU"/>
              </w:rPr>
              <w:t>Time</w:t>
            </w:r>
            <w:r w:rsidRPr="003F7444">
              <w:rPr>
                <w:rFonts w:eastAsia="Times New Roman" w:cs="Times New Roman"/>
                <w:szCs w:val="22"/>
                <w:lang w:eastAsia="en-AU"/>
              </w:rPr>
              <w:noBreakHyphen/>
              <w:t>to</w:t>
            </w:r>
            <w:r w:rsidRPr="003F7444">
              <w:rPr>
                <w:rFonts w:eastAsia="Times New Roman" w:cs="Times New Roman"/>
                <w:szCs w:val="22"/>
                <w:lang w:eastAsia="en-AU"/>
              </w:rPr>
              <w:noBreakHyphen/>
              <w:t>event endpoint at 18 months</w:t>
            </w:r>
          </w:p>
        </w:tc>
        <w:tc>
          <w:tcPr>
            <w:tcW w:w="0" w:type="auto"/>
            <w:vAlign w:val="center"/>
            <w:hideMark/>
          </w:tcPr>
          <w:p w14:paraId="4D01B8D5"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0.62</w:t>
            </w:r>
          </w:p>
        </w:tc>
        <w:tc>
          <w:tcPr>
            <w:tcW w:w="0" w:type="auto"/>
            <w:vAlign w:val="center"/>
            <w:hideMark/>
          </w:tcPr>
          <w:p w14:paraId="561CA8D5"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0.43</w:t>
            </w:r>
          </w:p>
        </w:tc>
      </w:tr>
      <w:tr w:rsidR="00430583" w:rsidRPr="003F7444" w14:paraId="0349245A" w14:textId="77777777" w:rsidTr="00943250">
        <w:tc>
          <w:tcPr>
            <w:tcW w:w="0" w:type="auto"/>
            <w:vAlign w:val="center"/>
            <w:hideMark/>
          </w:tcPr>
          <w:p w14:paraId="3BC872E5" w14:textId="77777777" w:rsidR="00430583" w:rsidRPr="003F7444" w:rsidRDefault="00430583" w:rsidP="00A45BB0">
            <w:pPr>
              <w:spacing w:after="0" w:line="240" w:lineRule="auto"/>
              <w:ind w:left="540"/>
              <w:rPr>
                <w:rFonts w:eastAsia="Times New Roman" w:cs="Times New Roman"/>
                <w:szCs w:val="22"/>
                <w:lang w:eastAsia="en-AU"/>
              </w:rPr>
            </w:pPr>
            <w:r w:rsidRPr="003F7444">
              <w:rPr>
                <w:rFonts w:eastAsia="Times New Roman" w:cs="Times New Roman"/>
                <w:szCs w:val="22"/>
                <w:lang w:eastAsia="en-AU"/>
              </w:rPr>
              <w:t>95% CI</w:t>
            </w:r>
          </w:p>
        </w:tc>
        <w:tc>
          <w:tcPr>
            <w:tcW w:w="0" w:type="auto"/>
            <w:vAlign w:val="center"/>
            <w:hideMark/>
          </w:tcPr>
          <w:p w14:paraId="13EC9D20"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(0.54, 0.70)</w:t>
            </w:r>
          </w:p>
        </w:tc>
        <w:tc>
          <w:tcPr>
            <w:tcW w:w="0" w:type="auto"/>
            <w:vAlign w:val="center"/>
            <w:hideMark/>
          </w:tcPr>
          <w:p w14:paraId="7754979C" w14:textId="77777777" w:rsidR="00430583" w:rsidRPr="003F7444" w:rsidRDefault="00430583" w:rsidP="008E2C1C">
            <w:pPr>
              <w:spacing w:after="0" w:line="240" w:lineRule="auto"/>
              <w:rPr>
                <w:rFonts w:eastAsia="Times New Roman" w:cs="Times New Roman"/>
                <w:szCs w:val="22"/>
                <w:lang w:eastAsia="en-AU"/>
              </w:rPr>
            </w:pPr>
            <w:r w:rsidRPr="003F7444">
              <w:rPr>
                <w:rFonts w:eastAsia="Times New Roman" w:cs="Times New Roman"/>
                <w:szCs w:val="22"/>
                <w:lang w:eastAsia="en-AU"/>
              </w:rPr>
              <w:t>(0.34, 0.52)</w:t>
            </w:r>
          </w:p>
        </w:tc>
      </w:tr>
    </w:tbl>
    <w:p w14:paraId="495127C7" w14:textId="77777777" w:rsidR="00D64EC8" w:rsidRPr="003C5E29" w:rsidRDefault="00D64EC8" w:rsidP="003C5E29">
      <w:pPr>
        <w:pStyle w:val="TableDescription"/>
      </w:pPr>
      <w:r w:rsidRPr="003C5E29">
        <w:t>a. CIs for time variables estimated using the Brookmeyer Crowley method.</w:t>
      </w:r>
    </w:p>
    <w:p w14:paraId="61CBD3A7" w14:textId="5863C96D" w:rsidR="001430B8" w:rsidRPr="003C5E29" w:rsidRDefault="00D64EC8" w:rsidP="003C5E29">
      <w:pPr>
        <w:pStyle w:val="TableDescription"/>
      </w:pPr>
      <w:r w:rsidRPr="003C5E29">
        <w:t>b. Hazard ratios were estimated using a Cox Proportional Hazards model with stratification factors and covariates according to the corresponding footnote.</w:t>
      </w:r>
    </w:p>
    <w:p w14:paraId="649A246A" w14:textId="77777777" w:rsidR="00A510D6" w:rsidRPr="003C5E29" w:rsidRDefault="00A510D6" w:rsidP="003C5E29">
      <w:pPr>
        <w:pStyle w:val="TableDescription"/>
      </w:pPr>
      <w:r w:rsidRPr="003C5E29">
        <w:t>c. P-values from 1-sided stratified log-rank test with stratification factors according to the corresponding footnote.</w:t>
      </w:r>
    </w:p>
    <w:p w14:paraId="0873F464" w14:textId="77777777" w:rsidR="00A510D6" w:rsidRPr="003C5E29" w:rsidRDefault="00A510D6" w:rsidP="003C5E29">
      <w:pPr>
        <w:pStyle w:val="TableDescription"/>
      </w:pPr>
      <w:r w:rsidRPr="003C5E29">
        <w:t>Nominal p-values are provided for sensitivity analyses.</w:t>
      </w:r>
    </w:p>
    <w:p w14:paraId="637359CC" w14:textId="77777777" w:rsidR="00A510D6" w:rsidRPr="003C5E29" w:rsidRDefault="00A510D6" w:rsidP="003C5E29">
      <w:pPr>
        <w:pStyle w:val="TableDescription"/>
      </w:pPr>
      <w:r w:rsidRPr="003C5E29">
        <w:t>d. Stratification factors: A and B assessed according to the IVRS strata; Covariate: Treatment.</w:t>
      </w:r>
    </w:p>
    <w:p w14:paraId="5B48CD29" w14:textId="77777777" w:rsidR="00A510D6" w:rsidRPr="003C5E29" w:rsidRDefault="00A510D6" w:rsidP="003C5E29">
      <w:pPr>
        <w:pStyle w:val="TableDescription"/>
      </w:pPr>
      <w:r w:rsidRPr="003C5E29">
        <w:t>e. Stratification factors based on pooling stratification in SAP using A, B, C, and D; Covariate: Treatment.</w:t>
      </w:r>
    </w:p>
    <w:p w14:paraId="2389DED9" w14:textId="5FBA4833" w:rsidR="00A510D6" w:rsidRPr="003C5E29" w:rsidRDefault="00A510D6" w:rsidP="003C5E29">
      <w:pPr>
        <w:pStyle w:val="TableDescription"/>
      </w:pPr>
      <w:r w:rsidRPr="003C5E29">
        <w:t>f. Stratification factors: A and B assessed according to the IVRS strata; Covariate: Treatment, C and D according to eCRF data.</w:t>
      </w:r>
    </w:p>
    <w:p w14:paraId="7B36E965" w14:textId="77777777" w:rsidR="00A510D6" w:rsidRPr="003C5E29" w:rsidRDefault="00A510D6" w:rsidP="003C5E29">
      <w:pPr>
        <w:pStyle w:val="TableDescription"/>
      </w:pPr>
      <w:r w:rsidRPr="003C5E29">
        <w:t>g. Stratification factors: A and B according to eCRF data; Covariate: Treatment.</w:t>
      </w:r>
    </w:p>
    <w:p w14:paraId="5A9154F0" w14:textId="04A4BB3C" w:rsidR="00A510D6" w:rsidRPr="003C5E29" w:rsidRDefault="00A510D6" w:rsidP="003C5E29">
      <w:pPr>
        <w:pStyle w:val="TableDescription"/>
      </w:pPr>
      <w:r w:rsidRPr="003C5E29">
        <w:t>Note: A: Number of lines of prior therapy; B: Prior bortezomib use; C: ISS status; D: Prior anti-CD38.</w:t>
      </w:r>
    </w:p>
    <w:p w14:paraId="522C64EE" w14:textId="01CC451F" w:rsidR="009C326E" w:rsidRDefault="009C326E" w:rsidP="009C326E">
      <w:r>
        <w:t>Significant benefit for PFS was apparent within 3 months of commencing treatment and persisted throughout the treatment period</w:t>
      </w:r>
      <w:r w:rsidR="003716D8">
        <w:t xml:space="preserve"> (Figure 11</w:t>
      </w:r>
      <w:proofErr w:type="gramStart"/>
      <w:r w:rsidR="003716D8">
        <w:t>)</w:t>
      </w:r>
      <w:r>
        <w:t xml:space="preserve"> .</w:t>
      </w:r>
      <w:proofErr w:type="gramEnd"/>
    </w:p>
    <w:p w14:paraId="4E8BB9E8" w14:textId="25CF111F" w:rsidR="00A510D6" w:rsidRDefault="009C326E" w:rsidP="000065F9">
      <w:pPr>
        <w:pStyle w:val="FigureTitle"/>
      </w:pPr>
      <w:r>
        <w:t>Figure</w:t>
      </w:r>
      <w:r w:rsidR="003716D8">
        <w:t xml:space="preserve"> 11</w:t>
      </w:r>
      <w:r>
        <w:t>: Kaplan-Meier Curves of Progression-Free Survival Based on IRC-Assessed Response (ITT Population)</w:t>
      </w:r>
    </w:p>
    <w:p w14:paraId="78415372" w14:textId="53807BB5" w:rsidR="00583AC1" w:rsidRDefault="00583AC1" w:rsidP="003C5E29">
      <w:r w:rsidRPr="00583AC1">
        <w:rPr>
          <w:noProof/>
        </w:rPr>
        <w:drawing>
          <wp:inline distT="0" distB="0" distL="0" distR="0" wp14:anchorId="0316A261" wp14:editId="2505198D">
            <wp:extent cx="5759450" cy="3766185"/>
            <wp:effectExtent l="0" t="0" r="0" b="5715"/>
            <wp:docPr id="413016536" name="Picture 1" descr="Figure 11: Kaplan-Meier Curves of Progression-Free Survival Based on IRC-Assessed Respons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16536" name="Picture 1" descr="Figure 11: Kaplan-Meier Curves of Progression-Free Survival Based on IRC-Assessed Response (ITT Population)"/>
                    <pic:cNvPicPr/>
                  </pic:nvPicPr>
                  <pic:blipFill>
                    <a:blip r:embed="rId43"/>
                    <a:stretch>
                      <a:fillRect/>
                    </a:stretch>
                  </pic:blipFill>
                  <pic:spPr>
                    <a:xfrm>
                      <a:off x="0" y="0"/>
                      <a:ext cx="5759450" cy="3766185"/>
                    </a:xfrm>
                    <a:prstGeom prst="rect">
                      <a:avLst/>
                    </a:prstGeom>
                  </pic:spPr>
                </pic:pic>
              </a:graphicData>
            </a:graphic>
          </wp:inline>
        </w:drawing>
      </w:r>
    </w:p>
    <w:p w14:paraId="1CB95C8F" w14:textId="75BD4C60" w:rsidR="003143BA" w:rsidRDefault="003143BA" w:rsidP="003143BA">
      <w:r>
        <w:t>There were no apparent subgroup effects</w:t>
      </w:r>
      <w:r w:rsidR="007A46C4">
        <w:t xml:space="preserve"> (Figure 12)</w:t>
      </w:r>
      <w:r>
        <w:t>.</w:t>
      </w:r>
    </w:p>
    <w:p w14:paraId="2AAF0F30" w14:textId="10C414E0" w:rsidR="003143BA" w:rsidRDefault="003143BA" w:rsidP="003143BA">
      <w:pPr>
        <w:pStyle w:val="FigureTitle"/>
      </w:pPr>
      <w:r>
        <w:lastRenderedPageBreak/>
        <w:t>Figure</w:t>
      </w:r>
      <w:r w:rsidR="003716D8">
        <w:t xml:space="preserve"> 12</w:t>
      </w:r>
      <w:r>
        <w:t>: Forest Plot – Progression-Free Survival Based on IRC-Assessed Response by Subgroup (ITT Population)</w:t>
      </w:r>
    </w:p>
    <w:p w14:paraId="7D3AC743" w14:textId="22504700" w:rsidR="00A3726C" w:rsidRDefault="00A3726C" w:rsidP="003C5E29">
      <w:r w:rsidRPr="00A3726C">
        <w:rPr>
          <w:noProof/>
        </w:rPr>
        <w:drawing>
          <wp:inline distT="0" distB="0" distL="0" distR="0" wp14:anchorId="7CC07D6C" wp14:editId="5DFB1FC4">
            <wp:extent cx="5383033" cy="4933755"/>
            <wp:effectExtent l="0" t="0" r="8255" b="635"/>
            <wp:docPr id="932247587" name="Picture 1" descr="Figure 12: Forest Plot – Progression-Free Survival Based on IRC-Assessed Response by Sub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47587" name="Picture 1" descr="Figure 12: Forest Plot – Progression-Free Survival Based on IRC-Assessed Response by Subgroup (ITT Population)"/>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5388390" cy="4938664"/>
                    </a:xfrm>
                    <a:prstGeom prst="rect">
                      <a:avLst/>
                    </a:prstGeom>
                  </pic:spPr>
                </pic:pic>
              </a:graphicData>
            </a:graphic>
          </wp:inline>
        </w:drawing>
      </w:r>
    </w:p>
    <w:p w14:paraId="3DF32708" w14:textId="74D9AD3E" w:rsidR="00A92F6F" w:rsidRPr="003C5E29" w:rsidRDefault="00A92F6F" w:rsidP="003C5E29">
      <w:pPr>
        <w:pStyle w:val="FigureDescription"/>
      </w:pPr>
      <w:r w:rsidRPr="003C5E29">
        <w:t>[1] HRs for subgroups were only plotted if number of events was ≥20 in total across both treatments. HRs for subgroups were estimated using Cox Proportional Hazard models, without adjustment for stratification variables.</w:t>
      </w:r>
    </w:p>
    <w:p w14:paraId="46A661B6" w14:textId="78545068" w:rsidR="00A92F6F" w:rsidRPr="003C5E29" w:rsidRDefault="00A92F6F" w:rsidP="003C5E29">
      <w:pPr>
        <w:pStyle w:val="FigureDescription"/>
      </w:pPr>
      <w:r w:rsidRPr="003C5E29">
        <w:t>[2] Stratified by the number of lines of prior therapy (1 vs. 2/3 vs. ≤4), prior bortezomib (no, yes), and according to IVRS strata with a covariate of treatment.</w:t>
      </w:r>
    </w:p>
    <w:p w14:paraId="1CE29A8E" w14:textId="1FC6B19C" w:rsidR="00A92F6F" w:rsidRPr="003C5E29" w:rsidRDefault="00A92F6F" w:rsidP="003C5E29">
      <w:pPr>
        <w:pStyle w:val="FigureDescription"/>
      </w:pPr>
      <w:r w:rsidRPr="003C5E29">
        <w:t xml:space="preserve">[3] A participant was considered as high risk if the participant had any of the following cytogenetics: </w:t>
      </w:r>
      <w:proofErr w:type="gramStart"/>
      <w:r w:rsidRPr="003C5E29">
        <w:t>t(</w:t>
      </w:r>
      <w:proofErr w:type="gramEnd"/>
      <w:r w:rsidRPr="003C5E29">
        <w:t xml:space="preserve">4;14), </w:t>
      </w:r>
      <w:proofErr w:type="gramStart"/>
      <w:r w:rsidRPr="003C5E29">
        <w:t>t(</w:t>
      </w:r>
      <w:proofErr w:type="gramEnd"/>
      <w:r w:rsidRPr="003C5E29">
        <w:t>14;16), or 17p13del.</w:t>
      </w:r>
    </w:p>
    <w:p w14:paraId="0625915F" w14:textId="617597D9" w:rsidR="00A3726C" w:rsidRPr="003C5E29" w:rsidRDefault="00A92F6F" w:rsidP="003C5E29">
      <w:pPr>
        <w:pStyle w:val="FigureDescription"/>
      </w:pPr>
      <w:r w:rsidRPr="003C5E29">
        <w:t xml:space="preserve">[4] A participant was considered standard risk if the participant had negative results for all high-risk abnormalities: </w:t>
      </w:r>
      <w:proofErr w:type="gramStart"/>
      <w:r w:rsidRPr="003C5E29">
        <w:t>t(</w:t>
      </w:r>
      <w:proofErr w:type="gramEnd"/>
      <w:r w:rsidRPr="003C5E29">
        <w:t xml:space="preserve">4;14), </w:t>
      </w:r>
      <w:proofErr w:type="gramStart"/>
      <w:r w:rsidRPr="003C5E29">
        <w:t>t(</w:t>
      </w:r>
      <w:proofErr w:type="gramEnd"/>
      <w:r w:rsidRPr="003C5E29">
        <w:t>14;16), and 17p13del.</w:t>
      </w:r>
    </w:p>
    <w:p w14:paraId="03D3EFB3" w14:textId="0E871138" w:rsidR="00B90FAD" w:rsidRPr="00B90FAD" w:rsidRDefault="00B90FAD" w:rsidP="00B90FAD">
      <w:r w:rsidRPr="00B90FAD">
        <w:t xml:space="preserve">The investigator assessments of </w:t>
      </w:r>
      <w:r w:rsidR="0044266D" w:rsidRPr="0044266D">
        <w:t xml:space="preserve">progressive disease </w:t>
      </w:r>
      <w:r w:rsidRPr="00B90FAD">
        <w:t>were in concordance with the IRC assessments</w:t>
      </w:r>
      <w:r w:rsidR="00073830">
        <w:t xml:space="preserve">. </w:t>
      </w:r>
      <w:r w:rsidRPr="00B90FAD">
        <w:t xml:space="preserve">The sensitivity analyses </w:t>
      </w:r>
      <w:proofErr w:type="gramStart"/>
      <w:r w:rsidRPr="00B90FAD">
        <w:t>were in agreement</w:t>
      </w:r>
      <w:proofErr w:type="gramEnd"/>
      <w:r w:rsidRPr="00B90FAD">
        <w:t xml:space="preserve"> with the primary analysis.</w:t>
      </w:r>
    </w:p>
    <w:p w14:paraId="749F61E4" w14:textId="784C05AC" w:rsidR="00B90FAD" w:rsidRPr="00B90FAD" w:rsidRDefault="00B90FAD" w:rsidP="00395B7C">
      <w:pPr>
        <w:pStyle w:val="Heading6"/>
      </w:pPr>
      <w:r w:rsidRPr="00B90FAD">
        <w:t>Results of the key secondary efficacy outcome measures</w:t>
      </w:r>
      <w:fldSimple w:instr=" DOCVARIABLE vault_nd_64f95f18-450c-4dea-8470-a6648618683d \* MERGEFORMAT ">
        <w:r w:rsidR="00145B4A">
          <w:t xml:space="preserve"> </w:t>
        </w:r>
      </w:fldSimple>
    </w:p>
    <w:p w14:paraId="217B6D0E" w14:textId="4754B61F" w:rsidR="00B90FAD" w:rsidRPr="00B90FAD" w:rsidRDefault="00B90FAD" w:rsidP="00B90FAD">
      <w:r w:rsidRPr="00B90FAD">
        <w:rPr>
          <w:lang w:val="en-NZ"/>
        </w:rPr>
        <w:t>OS: there was no significant difference in OS between the two treatment groups</w:t>
      </w:r>
      <w:r w:rsidR="00073830">
        <w:rPr>
          <w:lang w:val="en-NZ"/>
        </w:rPr>
        <w:t xml:space="preserve">. </w:t>
      </w:r>
      <w:r w:rsidRPr="00B90FAD">
        <w:rPr>
          <w:lang w:val="en-NZ"/>
        </w:rPr>
        <w:t xml:space="preserve">Death was reported for 49 (32%) participants in the </w:t>
      </w:r>
      <w:proofErr w:type="spellStart"/>
      <w:r w:rsidRPr="00B90FAD">
        <w:rPr>
          <w:lang w:val="en-NZ"/>
        </w:rPr>
        <w:t>BPd</w:t>
      </w:r>
      <w:proofErr w:type="spellEnd"/>
      <w:r w:rsidRPr="00B90FAD">
        <w:rPr>
          <w:lang w:val="en-NZ"/>
        </w:rPr>
        <w:t xml:space="preserve"> group and 56 (38%) in the </w:t>
      </w:r>
      <w:proofErr w:type="spellStart"/>
      <w:r w:rsidRPr="00B90FAD">
        <w:rPr>
          <w:lang w:val="en-NZ"/>
        </w:rPr>
        <w:t>PVd</w:t>
      </w:r>
      <w:proofErr w:type="spellEnd"/>
      <w:r w:rsidR="00073830">
        <w:rPr>
          <w:lang w:val="en-NZ"/>
        </w:rPr>
        <w:t xml:space="preserve">. </w:t>
      </w:r>
      <w:r w:rsidRPr="00B90FAD">
        <w:t xml:space="preserve">The HR (95% CI) </w:t>
      </w:r>
      <w:proofErr w:type="spellStart"/>
      <w:r w:rsidRPr="00B90FAD">
        <w:t>BPd</w:t>
      </w:r>
      <w:proofErr w:type="spellEnd"/>
      <w:r w:rsidRPr="00B90FAD">
        <w:t>/</w:t>
      </w:r>
      <w:proofErr w:type="spellStart"/>
      <w:r w:rsidRPr="00B90FAD">
        <w:t>PVd</w:t>
      </w:r>
      <w:proofErr w:type="spellEnd"/>
      <w:r w:rsidRPr="00B90FAD">
        <w:t xml:space="preserve"> for death was 0.77 (0.53 to 1.14), p = 0.095</w:t>
      </w:r>
      <w:r w:rsidR="00073830">
        <w:t xml:space="preserve">. </w:t>
      </w:r>
      <w:r w:rsidRPr="00B90FAD">
        <w:t xml:space="preserve">The survival curve suggests a benefit for </w:t>
      </w:r>
      <w:proofErr w:type="spellStart"/>
      <w:r w:rsidRPr="00B90FAD">
        <w:t>BPd</w:t>
      </w:r>
      <w:proofErr w:type="spellEnd"/>
      <w:r w:rsidRPr="00B90FAD">
        <w:t>, but this was not statistically significant</w:t>
      </w:r>
      <w:r w:rsidR="003716D8">
        <w:t xml:space="preserve"> (Table 7 and Figure 13)</w:t>
      </w:r>
      <w:r w:rsidRPr="00B90FAD">
        <w:t>.</w:t>
      </w:r>
    </w:p>
    <w:p w14:paraId="17136411" w14:textId="1A2AAD1C" w:rsidR="00B90FAD" w:rsidRDefault="00B90FAD" w:rsidP="00B90FAD">
      <w:pPr>
        <w:pStyle w:val="TableTitle"/>
      </w:pPr>
      <w:r w:rsidRPr="00B90FAD">
        <w:lastRenderedPageBreak/>
        <w:t>Table</w:t>
      </w:r>
      <w:r w:rsidR="003716D8">
        <w:t xml:space="preserve"> 7</w:t>
      </w:r>
      <w:r w:rsidRPr="00B90FAD">
        <w:t>: Summary of Overall Survival (ITT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7: Summary of Overall Survival (ITT Population)"/>
      </w:tblPr>
      <w:tblGrid>
        <w:gridCol w:w="5098"/>
        <w:gridCol w:w="1418"/>
        <w:gridCol w:w="1417"/>
      </w:tblGrid>
      <w:tr w:rsidR="000B5F8E" w:rsidRPr="003F7444" w14:paraId="193C44DB" w14:textId="77777777" w:rsidTr="003F7444">
        <w:trPr>
          <w:tblHeader/>
        </w:trPr>
        <w:tc>
          <w:tcPr>
            <w:tcW w:w="5098" w:type="dxa"/>
            <w:shd w:val="clear" w:color="auto" w:fill="DEEAF6"/>
            <w:vAlign w:val="center"/>
            <w:hideMark/>
          </w:tcPr>
          <w:p w14:paraId="7F9809CB" w14:textId="7BC7750D" w:rsidR="000B5F8E" w:rsidRPr="003F7444" w:rsidRDefault="000B5F8E" w:rsidP="000B5F8E">
            <w:pPr>
              <w:spacing w:before="120" w:line="240" w:lineRule="auto"/>
              <w:contextualSpacing/>
              <w:rPr>
                <w:b/>
                <w:bCs/>
                <w:color w:val="263287"/>
                <w:szCs w:val="22"/>
              </w:rPr>
            </w:pPr>
          </w:p>
        </w:tc>
        <w:tc>
          <w:tcPr>
            <w:tcW w:w="1418" w:type="dxa"/>
            <w:shd w:val="clear" w:color="auto" w:fill="DEEAF6"/>
            <w:vAlign w:val="center"/>
            <w:hideMark/>
          </w:tcPr>
          <w:p w14:paraId="151C4CB8" w14:textId="77777777" w:rsidR="00F62C72" w:rsidRPr="003F7444" w:rsidRDefault="000B5F8E" w:rsidP="000B5F8E">
            <w:pPr>
              <w:spacing w:before="120" w:line="240" w:lineRule="auto"/>
              <w:contextualSpacing/>
              <w:rPr>
                <w:b/>
                <w:bCs/>
                <w:color w:val="263287"/>
                <w:szCs w:val="22"/>
              </w:rPr>
            </w:pPr>
            <w:proofErr w:type="spellStart"/>
            <w:r w:rsidRPr="003F7444">
              <w:rPr>
                <w:b/>
                <w:bCs/>
                <w:color w:val="263287"/>
                <w:szCs w:val="22"/>
              </w:rPr>
              <w:t>BPd</w:t>
            </w:r>
            <w:proofErr w:type="spellEnd"/>
            <w:r w:rsidRPr="003F7444">
              <w:rPr>
                <w:b/>
                <w:bCs/>
                <w:color w:val="263287"/>
                <w:szCs w:val="22"/>
              </w:rPr>
              <w:t xml:space="preserve"> </w:t>
            </w:r>
          </w:p>
          <w:p w14:paraId="06BCB4D9" w14:textId="6D8EA9FD" w:rsidR="000B5F8E" w:rsidRPr="003F7444" w:rsidRDefault="000B5F8E" w:rsidP="000B5F8E">
            <w:pPr>
              <w:spacing w:before="120" w:line="240" w:lineRule="auto"/>
              <w:contextualSpacing/>
              <w:rPr>
                <w:b/>
                <w:bCs/>
                <w:color w:val="263287"/>
                <w:szCs w:val="22"/>
              </w:rPr>
            </w:pPr>
            <w:r w:rsidRPr="003F7444">
              <w:rPr>
                <w:b/>
                <w:bCs/>
                <w:color w:val="263287"/>
                <w:szCs w:val="22"/>
              </w:rPr>
              <w:t>(N=155)</w:t>
            </w:r>
          </w:p>
        </w:tc>
        <w:tc>
          <w:tcPr>
            <w:tcW w:w="1417" w:type="dxa"/>
            <w:shd w:val="clear" w:color="auto" w:fill="DEEAF6"/>
            <w:vAlign w:val="center"/>
            <w:hideMark/>
          </w:tcPr>
          <w:p w14:paraId="1E4FB704" w14:textId="77777777" w:rsidR="00F62C72" w:rsidRPr="003F7444" w:rsidRDefault="000B5F8E" w:rsidP="000B5F8E">
            <w:pPr>
              <w:spacing w:before="120" w:line="240" w:lineRule="auto"/>
              <w:contextualSpacing/>
              <w:rPr>
                <w:b/>
                <w:bCs/>
                <w:color w:val="263287"/>
                <w:szCs w:val="22"/>
              </w:rPr>
            </w:pPr>
            <w:proofErr w:type="spellStart"/>
            <w:r w:rsidRPr="003F7444">
              <w:rPr>
                <w:b/>
                <w:bCs/>
                <w:color w:val="263287"/>
                <w:szCs w:val="22"/>
              </w:rPr>
              <w:t>PVd</w:t>
            </w:r>
            <w:proofErr w:type="spellEnd"/>
            <w:r w:rsidRPr="003F7444">
              <w:rPr>
                <w:b/>
                <w:bCs/>
                <w:color w:val="263287"/>
                <w:szCs w:val="22"/>
              </w:rPr>
              <w:t xml:space="preserve"> </w:t>
            </w:r>
          </w:p>
          <w:p w14:paraId="1072A54D" w14:textId="79B7E16B" w:rsidR="000B5F8E" w:rsidRPr="003F7444" w:rsidRDefault="000B5F8E" w:rsidP="000B5F8E">
            <w:pPr>
              <w:spacing w:before="120" w:line="240" w:lineRule="auto"/>
              <w:contextualSpacing/>
              <w:rPr>
                <w:b/>
                <w:bCs/>
                <w:color w:val="263287"/>
                <w:szCs w:val="22"/>
              </w:rPr>
            </w:pPr>
            <w:r w:rsidRPr="003F7444">
              <w:rPr>
                <w:b/>
                <w:bCs/>
                <w:color w:val="263287"/>
                <w:szCs w:val="22"/>
              </w:rPr>
              <w:t>(N=147)</w:t>
            </w:r>
          </w:p>
        </w:tc>
      </w:tr>
      <w:tr w:rsidR="000B5F8E" w:rsidRPr="003F7444" w14:paraId="476A997A" w14:textId="77777777" w:rsidTr="003F7444">
        <w:tc>
          <w:tcPr>
            <w:tcW w:w="7933" w:type="dxa"/>
            <w:gridSpan w:val="3"/>
            <w:vAlign w:val="center"/>
            <w:hideMark/>
          </w:tcPr>
          <w:p w14:paraId="382A3CC8" w14:textId="77777777" w:rsidR="000B5F8E" w:rsidRPr="003F7444" w:rsidRDefault="000B5F8E" w:rsidP="000B5F8E">
            <w:pPr>
              <w:spacing w:before="120" w:line="240" w:lineRule="auto"/>
              <w:contextualSpacing/>
              <w:rPr>
                <w:szCs w:val="22"/>
              </w:rPr>
            </w:pPr>
            <w:r w:rsidRPr="003F7444">
              <w:rPr>
                <w:b/>
                <w:bCs/>
                <w:szCs w:val="22"/>
              </w:rPr>
              <w:t>Number of participants, n (%)</w:t>
            </w:r>
          </w:p>
        </w:tc>
      </w:tr>
      <w:tr w:rsidR="000B5F8E" w:rsidRPr="003F7444" w14:paraId="0F6C6FBD" w14:textId="77777777" w:rsidTr="003F7444">
        <w:tc>
          <w:tcPr>
            <w:tcW w:w="5098" w:type="dxa"/>
            <w:vAlign w:val="center"/>
            <w:hideMark/>
          </w:tcPr>
          <w:p w14:paraId="5F8EA879" w14:textId="77777777" w:rsidR="000B5F8E" w:rsidRPr="003F7444" w:rsidRDefault="000B5F8E" w:rsidP="00DC6912">
            <w:pPr>
              <w:spacing w:before="120" w:line="240" w:lineRule="auto"/>
              <w:ind w:left="257"/>
              <w:contextualSpacing/>
              <w:rPr>
                <w:szCs w:val="22"/>
              </w:rPr>
            </w:pPr>
            <w:r w:rsidRPr="003F7444">
              <w:rPr>
                <w:szCs w:val="22"/>
              </w:rPr>
              <w:t>Died (event)</w:t>
            </w:r>
          </w:p>
        </w:tc>
        <w:tc>
          <w:tcPr>
            <w:tcW w:w="1418" w:type="dxa"/>
            <w:vAlign w:val="center"/>
            <w:hideMark/>
          </w:tcPr>
          <w:p w14:paraId="7EE20AE9" w14:textId="77777777" w:rsidR="000B5F8E" w:rsidRPr="003F7444" w:rsidRDefault="000B5F8E" w:rsidP="000B5F8E">
            <w:pPr>
              <w:spacing w:before="120" w:line="240" w:lineRule="auto"/>
              <w:contextualSpacing/>
              <w:rPr>
                <w:szCs w:val="22"/>
              </w:rPr>
            </w:pPr>
            <w:r w:rsidRPr="003F7444">
              <w:rPr>
                <w:szCs w:val="22"/>
              </w:rPr>
              <w:t>49 (32%)</w:t>
            </w:r>
          </w:p>
        </w:tc>
        <w:tc>
          <w:tcPr>
            <w:tcW w:w="1417" w:type="dxa"/>
            <w:vAlign w:val="center"/>
            <w:hideMark/>
          </w:tcPr>
          <w:p w14:paraId="40C98E7F" w14:textId="77777777" w:rsidR="000B5F8E" w:rsidRPr="003F7444" w:rsidRDefault="000B5F8E" w:rsidP="000B5F8E">
            <w:pPr>
              <w:spacing w:before="120" w:line="240" w:lineRule="auto"/>
              <w:contextualSpacing/>
              <w:rPr>
                <w:szCs w:val="22"/>
              </w:rPr>
            </w:pPr>
            <w:r w:rsidRPr="003F7444">
              <w:rPr>
                <w:szCs w:val="22"/>
              </w:rPr>
              <w:t>56 (38%)</w:t>
            </w:r>
          </w:p>
        </w:tc>
      </w:tr>
      <w:tr w:rsidR="000B5F8E" w:rsidRPr="003F7444" w14:paraId="6F4B4D35" w14:textId="77777777" w:rsidTr="003F7444">
        <w:tc>
          <w:tcPr>
            <w:tcW w:w="5098" w:type="dxa"/>
            <w:vAlign w:val="center"/>
            <w:hideMark/>
          </w:tcPr>
          <w:p w14:paraId="4E0751B8" w14:textId="77777777" w:rsidR="000B5F8E" w:rsidRPr="003F7444" w:rsidRDefault="000B5F8E" w:rsidP="00DC6912">
            <w:pPr>
              <w:spacing w:before="120" w:line="240" w:lineRule="auto"/>
              <w:ind w:left="257"/>
              <w:contextualSpacing/>
              <w:rPr>
                <w:szCs w:val="22"/>
              </w:rPr>
            </w:pPr>
            <w:r w:rsidRPr="003F7444">
              <w:rPr>
                <w:szCs w:val="22"/>
              </w:rPr>
              <w:t>Censored, follow</w:t>
            </w:r>
            <w:r w:rsidRPr="003F7444">
              <w:rPr>
                <w:szCs w:val="22"/>
              </w:rPr>
              <w:noBreakHyphen/>
              <w:t>up ended</w:t>
            </w:r>
          </w:p>
        </w:tc>
        <w:tc>
          <w:tcPr>
            <w:tcW w:w="1418" w:type="dxa"/>
            <w:vAlign w:val="center"/>
            <w:hideMark/>
          </w:tcPr>
          <w:p w14:paraId="09D6D232" w14:textId="77777777" w:rsidR="000B5F8E" w:rsidRPr="003F7444" w:rsidRDefault="000B5F8E" w:rsidP="000B5F8E">
            <w:pPr>
              <w:spacing w:before="120" w:line="240" w:lineRule="auto"/>
              <w:contextualSpacing/>
              <w:rPr>
                <w:szCs w:val="22"/>
              </w:rPr>
            </w:pPr>
            <w:r w:rsidRPr="003F7444">
              <w:rPr>
                <w:szCs w:val="22"/>
              </w:rPr>
              <w:t>12 (8%)</w:t>
            </w:r>
          </w:p>
        </w:tc>
        <w:tc>
          <w:tcPr>
            <w:tcW w:w="1417" w:type="dxa"/>
            <w:vAlign w:val="center"/>
            <w:hideMark/>
          </w:tcPr>
          <w:p w14:paraId="114A6D2F" w14:textId="77777777" w:rsidR="000B5F8E" w:rsidRPr="003F7444" w:rsidRDefault="000B5F8E" w:rsidP="000B5F8E">
            <w:pPr>
              <w:spacing w:before="120" w:line="240" w:lineRule="auto"/>
              <w:contextualSpacing/>
              <w:rPr>
                <w:szCs w:val="22"/>
              </w:rPr>
            </w:pPr>
            <w:r w:rsidRPr="003F7444">
              <w:rPr>
                <w:szCs w:val="22"/>
              </w:rPr>
              <w:t>7 (5%)</w:t>
            </w:r>
          </w:p>
        </w:tc>
      </w:tr>
      <w:tr w:rsidR="000B5F8E" w:rsidRPr="003F7444" w14:paraId="2A7C6B0B" w14:textId="77777777" w:rsidTr="003F7444">
        <w:tc>
          <w:tcPr>
            <w:tcW w:w="5098" w:type="dxa"/>
            <w:vAlign w:val="center"/>
            <w:hideMark/>
          </w:tcPr>
          <w:p w14:paraId="36DDDFBE" w14:textId="77777777" w:rsidR="000B5F8E" w:rsidRPr="003F7444" w:rsidRDefault="000B5F8E" w:rsidP="00DC6912">
            <w:pPr>
              <w:spacing w:before="120" w:line="240" w:lineRule="auto"/>
              <w:ind w:left="257"/>
              <w:contextualSpacing/>
              <w:rPr>
                <w:szCs w:val="22"/>
              </w:rPr>
            </w:pPr>
            <w:r w:rsidRPr="003F7444">
              <w:rPr>
                <w:szCs w:val="22"/>
              </w:rPr>
              <w:t>Censored, follow</w:t>
            </w:r>
            <w:r w:rsidRPr="003F7444">
              <w:rPr>
                <w:szCs w:val="22"/>
              </w:rPr>
              <w:noBreakHyphen/>
              <w:t>up ongoing</w:t>
            </w:r>
          </w:p>
        </w:tc>
        <w:tc>
          <w:tcPr>
            <w:tcW w:w="1418" w:type="dxa"/>
            <w:vAlign w:val="center"/>
            <w:hideMark/>
          </w:tcPr>
          <w:p w14:paraId="78DD4EAB" w14:textId="77777777" w:rsidR="000B5F8E" w:rsidRPr="003F7444" w:rsidRDefault="000B5F8E" w:rsidP="000B5F8E">
            <w:pPr>
              <w:spacing w:before="120" w:line="240" w:lineRule="auto"/>
              <w:contextualSpacing/>
              <w:rPr>
                <w:szCs w:val="22"/>
              </w:rPr>
            </w:pPr>
            <w:r w:rsidRPr="003F7444">
              <w:rPr>
                <w:szCs w:val="22"/>
              </w:rPr>
              <w:t>94 (61%)</w:t>
            </w:r>
          </w:p>
        </w:tc>
        <w:tc>
          <w:tcPr>
            <w:tcW w:w="1417" w:type="dxa"/>
            <w:vAlign w:val="center"/>
            <w:hideMark/>
          </w:tcPr>
          <w:p w14:paraId="5D1FDD5F" w14:textId="77777777" w:rsidR="000B5F8E" w:rsidRPr="003F7444" w:rsidRDefault="000B5F8E" w:rsidP="000B5F8E">
            <w:pPr>
              <w:spacing w:before="120" w:line="240" w:lineRule="auto"/>
              <w:contextualSpacing/>
              <w:rPr>
                <w:szCs w:val="22"/>
              </w:rPr>
            </w:pPr>
            <w:r w:rsidRPr="003F7444">
              <w:rPr>
                <w:szCs w:val="22"/>
              </w:rPr>
              <w:t>84 (57%)</w:t>
            </w:r>
          </w:p>
        </w:tc>
      </w:tr>
      <w:tr w:rsidR="000B5F8E" w:rsidRPr="003F7444" w14:paraId="1CEF637C" w14:textId="77777777" w:rsidTr="003F7444">
        <w:tc>
          <w:tcPr>
            <w:tcW w:w="7933" w:type="dxa"/>
            <w:gridSpan w:val="3"/>
            <w:vAlign w:val="center"/>
            <w:hideMark/>
          </w:tcPr>
          <w:p w14:paraId="02233D32" w14:textId="77777777" w:rsidR="000B5F8E" w:rsidRPr="003F7444" w:rsidRDefault="000B5F8E" w:rsidP="000B5F8E">
            <w:pPr>
              <w:spacing w:before="120" w:line="240" w:lineRule="auto"/>
              <w:contextualSpacing/>
              <w:rPr>
                <w:szCs w:val="22"/>
              </w:rPr>
            </w:pPr>
            <w:r w:rsidRPr="003F7444">
              <w:rPr>
                <w:b/>
                <w:bCs/>
                <w:szCs w:val="22"/>
              </w:rPr>
              <w:t>Event summary, n (%)</w:t>
            </w:r>
          </w:p>
        </w:tc>
      </w:tr>
      <w:tr w:rsidR="000B5F8E" w:rsidRPr="003F7444" w14:paraId="60498CA3" w14:textId="77777777" w:rsidTr="003F7444">
        <w:tc>
          <w:tcPr>
            <w:tcW w:w="5098" w:type="dxa"/>
            <w:vAlign w:val="center"/>
            <w:hideMark/>
          </w:tcPr>
          <w:p w14:paraId="26C847FE" w14:textId="77777777" w:rsidR="000B5F8E" w:rsidRPr="003F7444" w:rsidRDefault="000B5F8E" w:rsidP="00DC6912">
            <w:pPr>
              <w:spacing w:before="120" w:line="240" w:lineRule="auto"/>
              <w:ind w:left="257"/>
              <w:contextualSpacing/>
              <w:rPr>
                <w:szCs w:val="22"/>
              </w:rPr>
            </w:pPr>
            <w:r w:rsidRPr="003F7444">
              <w:rPr>
                <w:szCs w:val="22"/>
              </w:rPr>
              <w:t>Death</w:t>
            </w:r>
          </w:p>
        </w:tc>
        <w:tc>
          <w:tcPr>
            <w:tcW w:w="1418" w:type="dxa"/>
            <w:vAlign w:val="center"/>
            <w:hideMark/>
          </w:tcPr>
          <w:p w14:paraId="6C7EB1BD" w14:textId="77777777" w:rsidR="000B5F8E" w:rsidRPr="003F7444" w:rsidRDefault="000B5F8E" w:rsidP="000B5F8E">
            <w:pPr>
              <w:spacing w:before="120" w:line="240" w:lineRule="auto"/>
              <w:contextualSpacing/>
              <w:rPr>
                <w:szCs w:val="22"/>
              </w:rPr>
            </w:pPr>
            <w:r w:rsidRPr="003F7444">
              <w:rPr>
                <w:szCs w:val="22"/>
              </w:rPr>
              <w:t>49 (32%)</w:t>
            </w:r>
          </w:p>
        </w:tc>
        <w:tc>
          <w:tcPr>
            <w:tcW w:w="1417" w:type="dxa"/>
            <w:vAlign w:val="center"/>
            <w:hideMark/>
          </w:tcPr>
          <w:p w14:paraId="53759107" w14:textId="77777777" w:rsidR="000B5F8E" w:rsidRPr="003F7444" w:rsidRDefault="000B5F8E" w:rsidP="000B5F8E">
            <w:pPr>
              <w:spacing w:before="120" w:line="240" w:lineRule="auto"/>
              <w:contextualSpacing/>
              <w:rPr>
                <w:szCs w:val="22"/>
              </w:rPr>
            </w:pPr>
            <w:r w:rsidRPr="003F7444">
              <w:rPr>
                <w:szCs w:val="22"/>
              </w:rPr>
              <w:t>56 (38%)</w:t>
            </w:r>
          </w:p>
        </w:tc>
      </w:tr>
      <w:tr w:rsidR="000B5F8E" w:rsidRPr="003F7444" w14:paraId="5CC564A8" w14:textId="77777777" w:rsidTr="003F7444">
        <w:tc>
          <w:tcPr>
            <w:tcW w:w="7933" w:type="dxa"/>
            <w:gridSpan w:val="3"/>
            <w:vAlign w:val="center"/>
            <w:hideMark/>
          </w:tcPr>
          <w:p w14:paraId="00A533EB" w14:textId="77777777" w:rsidR="000B5F8E" w:rsidRPr="003F7444" w:rsidRDefault="000B5F8E" w:rsidP="000B5F8E">
            <w:pPr>
              <w:spacing w:before="120" w:line="240" w:lineRule="auto"/>
              <w:contextualSpacing/>
              <w:rPr>
                <w:szCs w:val="22"/>
              </w:rPr>
            </w:pPr>
            <w:r w:rsidRPr="003F7444">
              <w:rPr>
                <w:b/>
                <w:bCs/>
                <w:szCs w:val="22"/>
              </w:rPr>
              <w:t>Estimates for time variable (months)ᵃ</w:t>
            </w:r>
          </w:p>
        </w:tc>
      </w:tr>
      <w:tr w:rsidR="000B5F8E" w:rsidRPr="003F7444" w14:paraId="2775C830" w14:textId="77777777" w:rsidTr="003F7444">
        <w:tc>
          <w:tcPr>
            <w:tcW w:w="5098" w:type="dxa"/>
            <w:vAlign w:val="center"/>
            <w:hideMark/>
          </w:tcPr>
          <w:p w14:paraId="1BB37A45" w14:textId="77777777" w:rsidR="000B5F8E" w:rsidRPr="003F7444" w:rsidRDefault="000B5F8E" w:rsidP="00DC6912">
            <w:pPr>
              <w:spacing w:before="120" w:line="240" w:lineRule="auto"/>
              <w:ind w:left="257"/>
              <w:contextualSpacing/>
              <w:rPr>
                <w:szCs w:val="22"/>
              </w:rPr>
            </w:pPr>
            <w:r w:rsidRPr="003F7444">
              <w:rPr>
                <w:szCs w:val="22"/>
              </w:rPr>
              <w:t>1st quartile</w:t>
            </w:r>
          </w:p>
        </w:tc>
        <w:tc>
          <w:tcPr>
            <w:tcW w:w="1418" w:type="dxa"/>
            <w:vAlign w:val="center"/>
            <w:hideMark/>
          </w:tcPr>
          <w:p w14:paraId="4F6663F6" w14:textId="77777777" w:rsidR="000B5F8E" w:rsidRPr="003F7444" w:rsidRDefault="000B5F8E" w:rsidP="000B5F8E">
            <w:pPr>
              <w:spacing w:before="120" w:line="240" w:lineRule="auto"/>
              <w:contextualSpacing/>
              <w:rPr>
                <w:szCs w:val="22"/>
              </w:rPr>
            </w:pPr>
            <w:r w:rsidRPr="003F7444">
              <w:rPr>
                <w:szCs w:val="22"/>
              </w:rPr>
              <w:t>19.0</w:t>
            </w:r>
          </w:p>
        </w:tc>
        <w:tc>
          <w:tcPr>
            <w:tcW w:w="1417" w:type="dxa"/>
            <w:vAlign w:val="center"/>
            <w:hideMark/>
          </w:tcPr>
          <w:p w14:paraId="2615A55E" w14:textId="77777777" w:rsidR="000B5F8E" w:rsidRPr="003F7444" w:rsidRDefault="000B5F8E" w:rsidP="000B5F8E">
            <w:pPr>
              <w:spacing w:before="120" w:line="240" w:lineRule="auto"/>
              <w:contextualSpacing/>
              <w:rPr>
                <w:szCs w:val="22"/>
              </w:rPr>
            </w:pPr>
            <w:r w:rsidRPr="003F7444">
              <w:rPr>
                <w:szCs w:val="22"/>
              </w:rPr>
              <w:t>12.7</w:t>
            </w:r>
          </w:p>
        </w:tc>
      </w:tr>
      <w:tr w:rsidR="000B5F8E" w:rsidRPr="003F7444" w14:paraId="094610DB" w14:textId="77777777" w:rsidTr="003F7444">
        <w:tc>
          <w:tcPr>
            <w:tcW w:w="5098" w:type="dxa"/>
            <w:vAlign w:val="center"/>
            <w:hideMark/>
          </w:tcPr>
          <w:p w14:paraId="6C8DA663" w14:textId="77777777" w:rsidR="000B5F8E" w:rsidRPr="003F7444" w:rsidRDefault="000B5F8E" w:rsidP="00DC6912">
            <w:pPr>
              <w:spacing w:before="120" w:line="240" w:lineRule="auto"/>
              <w:ind w:left="540"/>
              <w:contextualSpacing/>
              <w:rPr>
                <w:szCs w:val="22"/>
              </w:rPr>
            </w:pPr>
            <w:r w:rsidRPr="003F7444">
              <w:rPr>
                <w:szCs w:val="22"/>
              </w:rPr>
              <w:t>95% CI</w:t>
            </w:r>
          </w:p>
        </w:tc>
        <w:tc>
          <w:tcPr>
            <w:tcW w:w="1418" w:type="dxa"/>
            <w:vAlign w:val="center"/>
            <w:hideMark/>
          </w:tcPr>
          <w:p w14:paraId="113512B6" w14:textId="77777777" w:rsidR="000B5F8E" w:rsidRPr="003F7444" w:rsidRDefault="000B5F8E" w:rsidP="000B5F8E">
            <w:pPr>
              <w:spacing w:before="120" w:line="240" w:lineRule="auto"/>
              <w:contextualSpacing/>
              <w:rPr>
                <w:szCs w:val="22"/>
              </w:rPr>
            </w:pPr>
            <w:r w:rsidRPr="003F7444">
              <w:rPr>
                <w:szCs w:val="22"/>
              </w:rPr>
              <w:t>(12.2, 23.3)</w:t>
            </w:r>
          </w:p>
        </w:tc>
        <w:tc>
          <w:tcPr>
            <w:tcW w:w="1417" w:type="dxa"/>
            <w:vAlign w:val="center"/>
            <w:hideMark/>
          </w:tcPr>
          <w:p w14:paraId="3C1B9594" w14:textId="77777777" w:rsidR="000B5F8E" w:rsidRPr="003F7444" w:rsidRDefault="000B5F8E" w:rsidP="000B5F8E">
            <w:pPr>
              <w:spacing w:before="120" w:line="240" w:lineRule="auto"/>
              <w:contextualSpacing/>
              <w:rPr>
                <w:szCs w:val="22"/>
              </w:rPr>
            </w:pPr>
            <w:r w:rsidRPr="003F7444">
              <w:rPr>
                <w:szCs w:val="22"/>
              </w:rPr>
              <w:t>(8.0, 18.5)</w:t>
            </w:r>
          </w:p>
        </w:tc>
      </w:tr>
      <w:tr w:rsidR="000B5F8E" w:rsidRPr="003F7444" w14:paraId="20A72245" w14:textId="77777777" w:rsidTr="003F7444">
        <w:tc>
          <w:tcPr>
            <w:tcW w:w="5098" w:type="dxa"/>
            <w:vAlign w:val="center"/>
            <w:hideMark/>
          </w:tcPr>
          <w:p w14:paraId="60015CFA" w14:textId="77777777" w:rsidR="000B5F8E" w:rsidRPr="003F7444" w:rsidRDefault="000B5F8E" w:rsidP="00DC6912">
            <w:pPr>
              <w:spacing w:before="120" w:line="240" w:lineRule="auto"/>
              <w:ind w:left="257"/>
              <w:contextualSpacing/>
              <w:rPr>
                <w:szCs w:val="22"/>
              </w:rPr>
            </w:pPr>
            <w:r w:rsidRPr="003F7444">
              <w:rPr>
                <w:szCs w:val="22"/>
              </w:rPr>
              <w:t>Median</w:t>
            </w:r>
          </w:p>
        </w:tc>
        <w:tc>
          <w:tcPr>
            <w:tcW w:w="1418" w:type="dxa"/>
            <w:vAlign w:val="center"/>
            <w:hideMark/>
          </w:tcPr>
          <w:p w14:paraId="2F58BE3C" w14:textId="77777777" w:rsidR="000B5F8E" w:rsidRPr="003F7444" w:rsidRDefault="000B5F8E" w:rsidP="000B5F8E">
            <w:pPr>
              <w:spacing w:before="120" w:line="240" w:lineRule="auto"/>
              <w:contextualSpacing/>
              <w:rPr>
                <w:szCs w:val="22"/>
              </w:rPr>
            </w:pPr>
            <w:r w:rsidRPr="003F7444">
              <w:rPr>
                <w:szCs w:val="22"/>
              </w:rPr>
              <w:t>–</w:t>
            </w:r>
          </w:p>
        </w:tc>
        <w:tc>
          <w:tcPr>
            <w:tcW w:w="1417" w:type="dxa"/>
            <w:vAlign w:val="center"/>
            <w:hideMark/>
          </w:tcPr>
          <w:p w14:paraId="7A86CE59" w14:textId="77777777" w:rsidR="000B5F8E" w:rsidRPr="003F7444" w:rsidRDefault="000B5F8E" w:rsidP="000B5F8E">
            <w:pPr>
              <w:spacing w:before="120" w:line="240" w:lineRule="auto"/>
              <w:contextualSpacing/>
              <w:rPr>
                <w:szCs w:val="22"/>
              </w:rPr>
            </w:pPr>
            <w:r w:rsidRPr="003F7444">
              <w:rPr>
                <w:szCs w:val="22"/>
              </w:rPr>
              <w:t>–</w:t>
            </w:r>
          </w:p>
        </w:tc>
      </w:tr>
      <w:tr w:rsidR="000B5F8E" w:rsidRPr="003F7444" w14:paraId="33E02866" w14:textId="77777777" w:rsidTr="003F7444">
        <w:tc>
          <w:tcPr>
            <w:tcW w:w="5098" w:type="dxa"/>
            <w:vAlign w:val="center"/>
            <w:hideMark/>
          </w:tcPr>
          <w:p w14:paraId="46DA874F" w14:textId="77777777" w:rsidR="000B5F8E" w:rsidRPr="003F7444" w:rsidRDefault="000B5F8E" w:rsidP="00DC6912">
            <w:pPr>
              <w:spacing w:before="120" w:line="240" w:lineRule="auto"/>
              <w:ind w:left="540"/>
              <w:contextualSpacing/>
              <w:rPr>
                <w:szCs w:val="22"/>
              </w:rPr>
            </w:pPr>
            <w:r w:rsidRPr="003F7444">
              <w:rPr>
                <w:szCs w:val="22"/>
              </w:rPr>
              <w:t>95% CI</w:t>
            </w:r>
          </w:p>
        </w:tc>
        <w:tc>
          <w:tcPr>
            <w:tcW w:w="1418" w:type="dxa"/>
            <w:vAlign w:val="center"/>
            <w:hideMark/>
          </w:tcPr>
          <w:p w14:paraId="4885BE29" w14:textId="77777777" w:rsidR="000B5F8E" w:rsidRPr="003F7444" w:rsidRDefault="000B5F8E" w:rsidP="000B5F8E">
            <w:pPr>
              <w:spacing w:before="120" w:line="240" w:lineRule="auto"/>
              <w:contextualSpacing/>
              <w:rPr>
                <w:szCs w:val="22"/>
              </w:rPr>
            </w:pPr>
            <w:r w:rsidRPr="003F7444">
              <w:rPr>
                <w:szCs w:val="22"/>
              </w:rPr>
              <w:t>(33.0, –)</w:t>
            </w:r>
          </w:p>
        </w:tc>
        <w:tc>
          <w:tcPr>
            <w:tcW w:w="1417" w:type="dxa"/>
            <w:vAlign w:val="center"/>
            <w:hideMark/>
          </w:tcPr>
          <w:p w14:paraId="4DDD0A47" w14:textId="77777777" w:rsidR="000B5F8E" w:rsidRPr="003F7444" w:rsidRDefault="000B5F8E" w:rsidP="000B5F8E">
            <w:pPr>
              <w:spacing w:before="120" w:line="240" w:lineRule="auto"/>
              <w:contextualSpacing/>
              <w:rPr>
                <w:szCs w:val="22"/>
              </w:rPr>
            </w:pPr>
            <w:r w:rsidRPr="003F7444">
              <w:rPr>
                <w:szCs w:val="22"/>
              </w:rPr>
              <w:t>(25.2, –)</w:t>
            </w:r>
          </w:p>
        </w:tc>
      </w:tr>
      <w:tr w:rsidR="000B5F8E" w:rsidRPr="003F7444" w14:paraId="23CABE21" w14:textId="77777777" w:rsidTr="003F7444">
        <w:tc>
          <w:tcPr>
            <w:tcW w:w="5098" w:type="dxa"/>
            <w:vAlign w:val="center"/>
            <w:hideMark/>
          </w:tcPr>
          <w:p w14:paraId="397AAC65" w14:textId="77777777" w:rsidR="000B5F8E" w:rsidRPr="003F7444" w:rsidRDefault="000B5F8E" w:rsidP="00DC6912">
            <w:pPr>
              <w:spacing w:before="120" w:line="240" w:lineRule="auto"/>
              <w:ind w:left="257"/>
              <w:contextualSpacing/>
              <w:rPr>
                <w:szCs w:val="22"/>
              </w:rPr>
            </w:pPr>
            <w:r w:rsidRPr="003F7444">
              <w:rPr>
                <w:szCs w:val="22"/>
              </w:rPr>
              <w:t>3rd quartile</w:t>
            </w:r>
          </w:p>
        </w:tc>
        <w:tc>
          <w:tcPr>
            <w:tcW w:w="1418" w:type="dxa"/>
            <w:vAlign w:val="center"/>
            <w:hideMark/>
          </w:tcPr>
          <w:p w14:paraId="32346247" w14:textId="77777777" w:rsidR="000B5F8E" w:rsidRPr="003F7444" w:rsidRDefault="000B5F8E" w:rsidP="000B5F8E">
            <w:pPr>
              <w:spacing w:before="120" w:line="240" w:lineRule="auto"/>
              <w:contextualSpacing/>
              <w:rPr>
                <w:szCs w:val="22"/>
              </w:rPr>
            </w:pPr>
            <w:r w:rsidRPr="003F7444">
              <w:rPr>
                <w:szCs w:val="22"/>
              </w:rPr>
              <w:t>–</w:t>
            </w:r>
          </w:p>
        </w:tc>
        <w:tc>
          <w:tcPr>
            <w:tcW w:w="1417" w:type="dxa"/>
            <w:vAlign w:val="center"/>
            <w:hideMark/>
          </w:tcPr>
          <w:p w14:paraId="1EAB117D" w14:textId="77777777" w:rsidR="000B5F8E" w:rsidRPr="003F7444" w:rsidRDefault="000B5F8E" w:rsidP="000B5F8E">
            <w:pPr>
              <w:spacing w:before="120" w:line="240" w:lineRule="auto"/>
              <w:contextualSpacing/>
              <w:rPr>
                <w:szCs w:val="22"/>
              </w:rPr>
            </w:pPr>
            <w:r w:rsidRPr="003F7444">
              <w:rPr>
                <w:szCs w:val="22"/>
              </w:rPr>
              <w:t>–</w:t>
            </w:r>
          </w:p>
        </w:tc>
      </w:tr>
      <w:tr w:rsidR="000B5F8E" w:rsidRPr="003F7444" w14:paraId="68765FA7" w14:textId="77777777" w:rsidTr="003F7444">
        <w:tc>
          <w:tcPr>
            <w:tcW w:w="5098" w:type="dxa"/>
            <w:vAlign w:val="center"/>
            <w:hideMark/>
          </w:tcPr>
          <w:p w14:paraId="33ECCA09" w14:textId="77777777" w:rsidR="000B5F8E" w:rsidRPr="003F7444" w:rsidRDefault="000B5F8E" w:rsidP="00DC6912">
            <w:pPr>
              <w:spacing w:before="120" w:line="240" w:lineRule="auto"/>
              <w:ind w:left="540"/>
              <w:contextualSpacing/>
              <w:rPr>
                <w:szCs w:val="22"/>
              </w:rPr>
            </w:pPr>
            <w:r w:rsidRPr="003F7444">
              <w:rPr>
                <w:szCs w:val="22"/>
              </w:rPr>
              <w:t>95% CI</w:t>
            </w:r>
          </w:p>
        </w:tc>
        <w:tc>
          <w:tcPr>
            <w:tcW w:w="1418" w:type="dxa"/>
            <w:vAlign w:val="center"/>
            <w:hideMark/>
          </w:tcPr>
          <w:p w14:paraId="1E0F9124" w14:textId="77777777" w:rsidR="000B5F8E" w:rsidRPr="003F7444" w:rsidRDefault="000B5F8E" w:rsidP="000B5F8E">
            <w:pPr>
              <w:spacing w:before="120" w:line="240" w:lineRule="auto"/>
              <w:contextualSpacing/>
              <w:rPr>
                <w:szCs w:val="22"/>
              </w:rPr>
            </w:pPr>
            <w:r w:rsidRPr="003F7444">
              <w:rPr>
                <w:szCs w:val="22"/>
              </w:rPr>
              <w:t>(–, –)</w:t>
            </w:r>
          </w:p>
        </w:tc>
        <w:tc>
          <w:tcPr>
            <w:tcW w:w="1417" w:type="dxa"/>
            <w:vAlign w:val="center"/>
            <w:hideMark/>
          </w:tcPr>
          <w:p w14:paraId="563FCBB2" w14:textId="77777777" w:rsidR="000B5F8E" w:rsidRPr="003F7444" w:rsidRDefault="000B5F8E" w:rsidP="000B5F8E">
            <w:pPr>
              <w:spacing w:before="120" w:line="240" w:lineRule="auto"/>
              <w:contextualSpacing/>
              <w:rPr>
                <w:szCs w:val="22"/>
              </w:rPr>
            </w:pPr>
            <w:r w:rsidRPr="003F7444">
              <w:rPr>
                <w:szCs w:val="22"/>
              </w:rPr>
              <w:t>(–, –)</w:t>
            </w:r>
          </w:p>
        </w:tc>
      </w:tr>
      <w:tr w:rsidR="000B5F8E" w:rsidRPr="003F7444" w14:paraId="623EB800" w14:textId="77777777" w:rsidTr="003F7444">
        <w:tc>
          <w:tcPr>
            <w:tcW w:w="7933" w:type="dxa"/>
            <w:gridSpan w:val="3"/>
            <w:vAlign w:val="center"/>
            <w:hideMark/>
          </w:tcPr>
          <w:p w14:paraId="20406A67" w14:textId="77777777" w:rsidR="000B5F8E" w:rsidRPr="003F7444" w:rsidRDefault="000B5F8E" w:rsidP="000B5F8E">
            <w:pPr>
              <w:spacing w:before="120" w:line="240" w:lineRule="auto"/>
              <w:contextualSpacing/>
              <w:rPr>
                <w:szCs w:val="22"/>
              </w:rPr>
            </w:pPr>
            <w:r w:rsidRPr="003F7444">
              <w:rPr>
                <w:b/>
                <w:bCs/>
                <w:szCs w:val="22"/>
              </w:rPr>
              <w:t>Hazard ratioᵇ</w:t>
            </w:r>
          </w:p>
        </w:tc>
      </w:tr>
      <w:tr w:rsidR="00457B71" w:rsidRPr="003F7444" w14:paraId="2B2797C0" w14:textId="77777777" w:rsidTr="003F7444">
        <w:tc>
          <w:tcPr>
            <w:tcW w:w="5098" w:type="dxa"/>
            <w:vAlign w:val="center"/>
            <w:hideMark/>
          </w:tcPr>
          <w:p w14:paraId="1B25B5E3" w14:textId="3A84A5F5" w:rsidR="00457B71" w:rsidRPr="003F7444" w:rsidRDefault="00457B71" w:rsidP="0052791E">
            <w:pPr>
              <w:spacing w:before="120" w:line="240" w:lineRule="auto"/>
              <w:ind w:left="257"/>
              <w:contextualSpacing/>
              <w:rPr>
                <w:szCs w:val="22"/>
              </w:rPr>
            </w:pPr>
            <w:r w:rsidRPr="003F7444">
              <w:rPr>
                <w:szCs w:val="22"/>
              </w:rPr>
              <w:t>Estimated</w:t>
            </w:r>
            <w:r w:rsidR="00C777E0" w:rsidRPr="003F7444">
              <w:rPr>
                <w:szCs w:val="22"/>
              </w:rPr>
              <w:t>ᵈ</w:t>
            </w:r>
          </w:p>
        </w:tc>
        <w:tc>
          <w:tcPr>
            <w:tcW w:w="2835" w:type="dxa"/>
            <w:gridSpan w:val="2"/>
            <w:vAlign w:val="center"/>
            <w:hideMark/>
          </w:tcPr>
          <w:p w14:paraId="1FFC3FC8" w14:textId="52999C4B" w:rsidR="00457B71" w:rsidRPr="003F7444" w:rsidRDefault="00457B71" w:rsidP="00457B71">
            <w:pPr>
              <w:spacing w:before="120" w:line="240" w:lineRule="auto"/>
              <w:contextualSpacing/>
              <w:jc w:val="center"/>
              <w:rPr>
                <w:szCs w:val="22"/>
              </w:rPr>
            </w:pPr>
            <w:r w:rsidRPr="003F7444">
              <w:rPr>
                <w:szCs w:val="22"/>
              </w:rPr>
              <w:t>0.77</w:t>
            </w:r>
          </w:p>
        </w:tc>
      </w:tr>
      <w:tr w:rsidR="00EC3844" w:rsidRPr="003F7444" w14:paraId="2DC41337" w14:textId="77777777" w:rsidTr="003F7444">
        <w:tc>
          <w:tcPr>
            <w:tcW w:w="5098" w:type="dxa"/>
            <w:vAlign w:val="center"/>
          </w:tcPr>
          <w:p w14:paraId="76726DC9" w14:textId="1A5DAFB8" w:rsidR="00EC3844" w:rsidRPr="003F7444" w:rsidRDefault="00EC3844" w:rsidP="0052791E">
            <w:pPr>
              <w:spacing w:before="120" w:line="240" w:lineRule="auto"/>
              <w:ind w:left="257"/>
              <w:contextualSpacing/>
              <w:rPr>
                <w:szCs w:val="22"/>
              </w:rPr>
            </w:pPr>
            <w:r w:rsidRPr="00EC3844">
              <w:rPr>
                <w:szCs w:val="22"/>
              </w:rPr>
              <w:t>95% CI</w:t>
            </w:r>
          </w:p>
        </w:tc>
        <w:tc>
          <w:tcPr>
            <w:tcW w:w="2835" w:type="dxa"/>
            <w:gridSpan w:val="2"/>
            <w:vAlign w:val="center"/>
          </w:tcPr>
          <w:p w14:paraId="1EEAB8E6" w14:textId="4D9EF735" w:rsidR="00EC3844" w:rsidRPr="003F7444" w:rsidRDefault="00B32266" w:rsidP="00457B71">
            <w:pPr>
              <w:spacing w:before="120" w:line="240" w:lineRule="auto"/>
              <w:contextualSpacing/>
              <w:jc w:val="center"/>
              <w:rPr>
                <w:szCs w:val="22"/>
              </w:rPr>
            </w:pPr>
            <w:r w:rsidRPr="00B32266">
              <w:rPr>
                <w:szCs w:val="22"/>
              </w:rPr>
              <w:t>(0.53, 1.14)</w:t>
            </w:r>
          </w:p>
        </w:tc>
      </w:tr>
      <w:tr w:rsidR="000B5F8E" w:rsidRPr="003F7444" w14:paraId="75EB4B09" w14:textId="77777777" w:rsidTr="003F7444">
        <w:tc>
          <w:tcPr>
            <w:tcW w:w="7933" w:type="dxa"/>
            <w:gridSpan w:val="3"/>
            <w:vAlign w:val="center"/>
            <w:hideMark/>
          </w:tcPr>
          <w:p w14:paraId="5CC11263" w14:textId="77777777" w:rsidR="000B5F8E" w:rsidRPr="003F7444" w:rsidRDefault="000B5F8E" w:rsidP="000B5F8E">
            <w:pPr>
              <w:spacing w:before="120" w:line="240" w:lineRule="auto"/>
              <w:contextualSpacing/>
              <w:rPr>
                <w:szCs w:val="22"/>
              </w:rPr>
            </w:pPr>
            <w:r w:rsidRPr="003F7444">
              <w:rPr>
                <w:b/>
                <w:bCs/>
                <w:szCs w:val="22"/>
              </w:rPr>
              <w:t>Stratified log</w:t>
            </w:r>
            <w:r w:rsidRPr="003F7444">
              <w:rPr>
                <w:b/>
                <w:bCs/>
                <w:szCs w:val="22"/>
              </w:rPr>
              <w:noBreakHyphen/>
              <w:t>rankᶜ</w:t>
            </w:r>
          </w:p>
        </w:tc>
      </w:tr>
      <w:tr w:rsidR="00457B71" w:rsidRPr="003F7444" w14:paraId="6EE1E0BE" w14:textId="77777777" w:rsidTr="003F7444">
        <w:tc>
          <w:tcPr>
            <w:tcW w:w="5098" w:type="dxa"/>
            <w:vAlign w:val="center"/>
            <w:hideMark/>
          </w:tcPr>
          <w:p w14:paraId="5EAA87C3" w14:textId="77777777" w:rsidR="00457B71" w:rsidRPr="003F7444" w:rsidRDefault="00457B71" w:rsidP="0052791E">
            <w:pPr>
              <w:spacing w:before="120" w:line="240" w:lineRule="auto"/>
              <w:ind w:left="257"/>
              <w:contextualSpacing/>
              <w:rPr>
                <w:szCs w:val="22"/>
              </w:rPr>
            </w:pPr>
            <w:r w:rsidRPr="003F7444">
              <w:rPr>
                <w:szCs w:val="22"/>
              </w:rPr>
              <w:t>P</w:t>
            </w:r>
            <w:r w:rsidRPr="003F7444">
              <w:rPr>
                <w:szCs w:val="22"/>
              </w:rPr>
              <w:noBreakHyphen/>
              <w:t>valueᵈ</w:t>
            </w:r>
          </w:p>
        </w:tc>
        <w:tc>
          <w:tcPr>
            <w:tcW w:w="2835" w:type="dxa"/>
            <w:gridSpan w:val="2"/>
            <w:vAlign w:val="center"/>
            <w:hideMark/>
          </w:tcPr>
          <w:p w14:paraId="2C485B43" w14:textId="3EC34693" w:rsidR="00457B71" w:rsidRPr="003F7444" w:rsidRDefault="00457B71" w:rsidP="00457B71">
            <w:pPr>
              <w:spacing w:before="120" w:line="240" w:lineRule="auto"/>
              <w:contextualSpacing/>
              <w:jc w:val="center"/>
              <w:rPr>
                <w:szCs w:val="22"/>
              </w:rPr>
            </w:pPr>
            <w:r w:rsidRPr="003F7444">
              <w:rPr>
                <w:szCs w:val="22"/>
              </w:rPr>
              <w:t>0.095</w:t>
            </w:r>
          </w:p>
        </w:tc>
      </w:tr>
      <w:tr w:rsidR="000B5F8E" w:rsidRPr="003F7444" w14:paraId="4E7161B0" w14:textId="77777777" w:rsidTr="003F7444">
        <w:tc>
          <w:tcPr>
            <w:tcW w:w="7933" w:type="dxa"/>
            <w:gridSpan w:val="3"/>
            <w:vAlign w:val="center"/>
            <w:hideMark/>
          </w:tcPr>
          <w:p w14:paraId="581F93AE" w14:textId="77777777" w:rsidR="000B5F8E" w:rsidRPr="003F7444" w:rsidRDefault="000B5F8E" w:rsidP="000B5F8E">
            <w:pPr>
              <w:spacing w:before="120" w:line="240" w:lineRule="auto"/>
              <w:contextualSpacing/>
              <w:rPr>
                <w:szCs w:val="22"/>
              </w:rPr>
            </w:pPr>
            <w:r w:rsidRPr="003F7444">
              <w:rPr>
                <w:b/>
                <w:bCs/>
                <w:szCs w:val="22"/>
              </w:rPr>
              <w:t>OS rate</w:t>
            </w:r>
          </w:p>
        </w:tc>
      </w:tr>
      <w:tr w:rsidR="000B5F8E" w:rsidRPr="003F7444" w14:paraId="3A27256A" w14:textId="77777777" w:rsidTr="003F7444">
        <w:tc>
          <w:tcPr>
            <w:tcW w:w="5098" w:type="dxa"/>
            <w:vAlign w:val="center"/>
            <w:hideMark/>
          </w:tcPr>
          <w:p w14:paraId="6EBD70DB" w14:textId="77777777" w:rsidR="000B5F8E" w:rsidRPr="003F7444" w:rsidRDefault="000B5F8E" w:rsidP="0052791E">
            <w:pPr>
              <w:spacing w:before="120" w:line="240" w:lineRule="auto"/>
              <w:ind w:left="257"/>
              <w:contextualSpacing/>
              <w:rPr>
                <w:szCs w:val="22"/>
              </w:rPr>
            </w:pPr>
            <w:r w:rsidRPr="003F7444">
              <w:rPr>
                <w:szCs w:val="22"/>
              </w:rPr>
              <w:t>Time</w:t>
            </w:r>
            <w:r w:rsidRPr="003F7444">
              <w:rPr>
                <w:szCs w:val="22"/>
              </w:rPr>
              <w:noBreakHyphen/>
              <w:t>to</w:t>
            </w:r>
            <w:r w:rsidRPr="003F7444">
              <w:rPr>
                <w:szCs w:val="22"/>
              </w:rPr>
              <w:noBreakHyphen/>
              <w:t>event endpoint at 6 months</w:t>
            </w:r>
          </w:p>
        </w:tc>
        <w:tc>
          <w:tcPr>
            <w:tcW w:w="1418" w:type="dxa"/>
            <w:vAlign w:val="center"/>
            <w:hideMark/>
          </w:tcPr>
          <w:p w14:paraId="749F6C2E" w14:textId="77777777" w:rsidR="000B5F8E" w:rsidRPr="003F7444" w:rsidRDefault="000B5F8E" w:rsidP="000B5F8E">
            <w:pPr>
              <w:spacing w:before="120" w:line="240" w:lineRule="auto"/>
              <w:contextualSpacing/>
              <w:rPr>
                <w:szCs w:val="22"/>
              </w:rPr>
            </w:pPr>
            <w:r w:rsidRPr="003F7444">
              <w:rPr>
                <w:szCs w:val="22"/>
              </w:rPr>
              <w:t>0.93</w:t>
            </w:r>
          </w:p>
        </w:tc>
        <w:tc>
          <w:tcPr>
            <w:tcW w:w="1417" w:type="dxa"/>
            <w:vAlign w:val="center"/>
            <w:hideMark/>
          </w:tcPr>
          <w:p w14:paraId="23060CD6" w14:textId="77777777" w:rsidR="000B5F8E" w:rsidRPr="003F7444" w:rsidRDefault="000B5F8E" w:rsidP="000B5F8E">
            <w:pPr>
              <w:spacing w:before="120" w:line="240" w:lineRule="auto"/>
              <w:contextualSpacing/>
              <w:rPr>
                <w:szCs w:val="22"/>
              </w:rPr>
            </w:pPr>
            <w:r w:rsidRPr="003F7444">
              <w:rPr>
                <w:szCs w:val="22"/>
              </w:rPr>
              <w:t>0.88</w:t>
            </w:r>
          </w:p>
        </w:tc>
      </w:tr>
      <w:tr w:rsidR="000B5F8E" w:rsidRPr="003F7444" w14:paraId="4ED31214" w14:textId="77777777" w:rsidTr="003F7444">
        <w:tc>
          <w:tcPr>
            <w:tcW w:w="5098" w:type="dxa"/>
            <w:vAlign w:val="center"/>
            <w:hideMark/>
          </w:tcPr>
          <w:p w14:paraId="0AD32BC7" w14:textId="77777777" w:rsidR="000B5F8E" w:rsidRPr="003F7444" w:rsidRDefault="000B5F8E" w:rsidP="0052791E">
            <w:pPr>
              <w:spacing w:before="120" w:line="240" w:lineRule="auto"/>
              <w:ind w:left="540"/>
              <w:contextualSpacing/>
              <w:rPr>
                <w:szCs w:val="22"/>
              </w:rPr>
            </w:pPr>
            <w:r w:rsidRPr="003F7444">
              <w:rPr>
                <w:szCs w:val="22"/>
              </w:rPr>
              <w:t>95% CI</w:t>
            </w:r>
          </w:p>
        </w:tc>
        <w:tc>
          <w:tcPr>
            <w:tcW w:w="1418" w:type="dxa"/>
            <w:vAlign w:val="center"/>
            <w:hideMark/>
          </w:tcPr>
          <w:p w14:paraId="624323B8" w14:textId="77777777" w:rsidR="000B5F8E" w:rsidRPr="003F7444" w:rsidRDefault="000B5F8E" w:rsidP="000B5F8E">
            <w:pPr>
              <w:spacing w:before="120" w:line="240" w:lineRule="auto"/>
              <w:contextualSpacing/>
              <w:rPr>
                <w:szCs w:val="22"/>
              </w:rPr>
            </w:pPr>
            <w:r w:rsidRPr="003F7444">
              <w:rPr>
                <w:szCs w:val="22"/>
              </w:rPr>
              <w:t>(0.88, 0.96)</w:t>
            </w:r>
          </w:p>
        </w:tc>
        <w:tc>
          <w:tcPr>
            <w:tcW w:w="1417" w:type="dxa"/>
            <w:vAlign w:val="center"/>
            <w:hideMark/>
          </w:tcPr>
          <w:p w14:paraId="44BE2D0D" w14:textId="77777777" w:rsidR="000B5F8E" w:rsidRPr="003F7444" w:rsidRDefault="000B5F8E" w:rsidP="000B5F8E">
            <w:pPr>
              <w:spacing w:before="120" w:line="240" w:lineRule="auto"/>
              <w:contextualSpacing/>
              <w:rPr>
                <w:szCs w:val="22"/>
              </w:rPr>
            </w:pPr>
            <w:r w:rsidRPr="003F7444">
              <w:rPr>
                <w:szCs w:val="22"/>
              </w:rPr>
              <w:t>(0.81, 0.92)</w:t>
            </w:r>
          </w:p>
        </w:tc>
      </w:tr>
      <w:tr w:rsidR="000B5F8E" w:rsidRPr="003F7444" w14:paraId="2D782D53" w14:textId="77777777" w:rsidTr="003F7444">
        <w:tc>
          <w:tcPr>
            <w:tcW w:w="5098" w:type="dxa"/>
            <w:vAlign w:val="center"/>
            <w:hideMark/>
          </w:tcPr>
          <w:p w14:paraId="1269789D" w14:textId="77777777" w:rsidR="000B5F8E" w:rsidRPr="003F7444" w:rsidRDefault="000B5F8E" w:rsidP="0052791E">
            <w:pPr>
              <w:spacing w:before="120" w:line="240" w:lineRule="auto"/>
              <w:ind w:left="257"/>
              <w:contextualSpacing/>
              <w:rPr>
                <w:szCs w:val="22"/>
              </w:rPr>
            </w:pPr>
            <w:r w:rsidRPr="003F7444">
              <w:rPr>
                <w:szCs w:val="22"/>
              </w:rPr>
              <w:t>Time</w:t>
            </w:r>
            <w:r w:rsidRPr="003F7444">
              <w:rPr>
                <w:szCs w:val="22"/>
              </w:rPr>
              <w:noBreakHyphen/>
              <w:t>to</w:t>
            </w:r>
            <w:r w:rsidRPr="003F7444">
              <w:rPr>
                <w:szCs w:val="22"/>
              </w:rPr>
              <w:noBreakHyphen/>
              <w:t>event endpoint at 12 months</w:t>
            </w:r>
          </w:p>
        </w:tc>
        <w:tc>
          <w:tcPr>
            <w:tcW w:w="1418" w:type="dxa"/>
            <w:vAlign w:val="center"/>
            <w:hideMark/>
          </w:tcPr>
          <w:p w14:paraId="7344CF5C" w14:textId="77777777" w:rsidR="000B5F8E" w:rsidRPr="003F7444" w:rsidRDefault="000B5F8E" w:rsidP="000B5F8E">
            <w:pPr>
              <w:spacing w:before="120" w:line="240" w:lineRule="auto"/>
              <w:contextualSpacing/>
              <w:rPr>
                <w:szCs w:val="22"/>
              </w:rPr>
            </w:pPr>
            <w:r w:rsidRPr="003F7444">
              <w:rPr>
                <w:szCs w:val="22"/>
              </w:rPr>
              <w:t>0.83</w:t>
            </w:r>
          </w:p>
        </w:tc>
        <w:tc>
          <w:tcPr>
            <w:tcW w:w="1417" w:type="dxa"/>
            <w:vAlign w:val="center"/>
            <w:hideMark/>
          </w:tcPr>
          <w:p w14:paraId="31D402B2" w14:textId="77777777" w:rsidR="000B5F8E" w:rsidRPr="003F7444" w:rsidRDefault="000B5F8E" w:rsidP="000B5F8E">
            <w:pPr>
              <w:spacing w:before="120" w:line="240" w:lineRule="auto"/>
              <w:contextualSpacing/>
              <w:rPr>
                <w:szCs w:val="22"/>
              </w:rPr>
            </w:pPr>
            <w:r w:rsidRPr="003F7444">
              <w:rPr>
                <w:szCs w:val="22"/>
              </w:rPr>
              <w:t>0.76</w:t>
            </w:r>
          </w:p>
        </w:tc>
      </w:tr>
      <w:tr w:rsidR="000B5F8E" w:rsidRPr="003F7444" w14:paraId="6940606B" w14:textId="77777777" w:rsidTr="003F7444">
        <w:tc>
          <w:tcPr>
            <w:tcW w:w="5098" w:type="dxa"/>
            <w:vAlign w:val="center"/>
            <w:hideMark/>
          </w:tcPr>
          <w:p w14:paraId="766F87A4" w14:textId="77777777" w:rsidR="000B5F8E" w:rsidRPr="003F7444" w:rsidRDefault="000B5F8E" w:rsidP="0052791E">
            <w:pPr>
              <w:spacing w:before="120" w:line="240" w:lineRule="auto"/>
              <w:ind w:left="540"/>
              <w:contextualSpacing/>
              <w:rPr>
                <w:szCs w:val="22"/>
              </w:rPr>
            </w:pPr>
            <w:r w:rsidRPr="003F7444">
              <w:rPr>
                <w:szCs w:val="22"/>
              </w:rPr>
              <w:t>95% CI</w:t>
            </w:r>
          </w:p>
        </w:tc>
        <w:tc>
          <w:tcPr>
            <w:tcW w:w="1418" w:type="dxa"/>
            <w:vAlign w:val="center"/>
            <w:hideMark/>
          </w:tcPr>
          <w:p w14:paraId="2FB38B27" w14:textId="77777777" w:rsidR="000B5F8E" w:rsidRPr="003F7444" w:rsidRDefault="000B5F8E" w:rsidP="000B5F8E">
            <w:pPr>
              <w:spacing w:before="120" w:line="240" w:lineRule="auto"/>
              <w:contextualSpacing/>
              <w:rPr>
                <w:szCs w:val="22"/>
              </w:rPr>
            </w:pPr>
            <w:r w:rsidRPr="003F7444">
              <w:rPr>
                <w:szCs w:val="22"/>
              </w:rPr>
              <w:t>(0.76, 0.88)</w:t>
            </w:r>
          </w:p>
        </w:tc>
        <w:tc>
          <w:tcPr>
            <w:tcW w:w="1417" w:type="dxa"/>
            <w:vAlign w:val="center"/>
            <w:hideMark/>
          </w:tcPr>
          <w:p w14:paraId="15EE124A" w14:textId="77777777" w:rsidR="000B5F8E" w:rsidRPr="003F7444" w:rsidRDefault="000B5F8E" w:rsidP="000B5F8E">
            <w:pPr>
              <w:spacing w:before="120" w:line="240" w:lineRule="auto"/>
              <w:contextualSpacing/>
              <w:rPr>
                <w:szCs w:val="22"/>
              </w:rPr>
            </w:pPr>
            <w:r w:rsidRPr="003F7444">
              <w:rPr>
                <w:szCs w:val="22"/>
              </w:rPr>
              <w:t>(0.68, 0.82)</w:t>
            </w:r>
          </w:p>
        </w:tc>
      </w:tr>
      <w:tr w:rsidR="000B5F8E" w:rsidRPr="003F7444" w14:paraId="7471A436" w14:textId="77777777" w:rsidTr="003F7444">
        <w:tc>
          <w:tcPr>
            <w:tcW w:w="5098" w:type="dxa"/>
            <w:vAlign w:val="center"/>
            <w:hideMark/>
          </w:tcPr>
          <w:p w14:paraId="65BFEA45" w14:textId="77777777" w:rsidR="000B5F8E" w:rsidRPr="003F7444" w:rsidRDefault="000B5F8E" w:rsidP="0052791E">
            <w:pPr>
              <w:spacing w:before="120" w:line="240" w:lineRule="auto"/>
              <w:ind w:left="257"/>
              <w:contextualSpacing/>
              <w:rPr>
                <w:szCs w:val="22"/>
              </w:rPr>
            </w:pPr>
            <w:r w:rsidRPr="003F7444">
              <w:rPr>
                <w:szCs w:val="22"/>
              </w:rPr>
              <w:t>Time</w:t>
            </w:r>
            <w:r w:rsidRPr="003F7444">
              <w:rPr>
                <w:szCs w:val="22"/>
              </w:rPr>
              <w:noBreakHyphen/>
              <w:t>to</w:t>
            </w:r>
            <w:r w:rsidRPr="003F7444">
              <w:rPr>
                <w:szCs w:val="22"/>
              </w:rPr>
              <w:noBreakHyphen/>
              <w:t>event endpoint at 18 months</w:t>
            </w:r>
          </w:p>
        </w:tc>
        <w:tc>
          <w:tcPr>
            <w:tcW w:w="1418" w:type="dxa"/>
            <w:vAlign w:val="center"/>
            <w:hideMark/>
          </w:tcPr>
          <w:p w14:paraId="0E8B4D82" w14:textId="77777777" w:rsidR="000B5F8E" w:rsidRPr="003F7444" w:rsidRDefault="000B5F8E" w:rsidP="000B5F8E">
            <w:pPr>
              <w:spacing w:before="120" w:line="240" w:lineRule="auto"/>
              <w:contextualSpacing/>
              <w:rPr>
                <w:szCs w:val="22"/>
              </w:rPr>
            </w:pPr>
            <w:r w:rsidRPr="003F7444">
              <w:rPr>
                <w:szCs w:val="22"/>
              </w:rPr>
              <w:t>0.76</w:t>
            </w:r>
          </w:p>
        </w:tc>
        <w:tc>
          <w:tcPr>
            <w:tcW w:w="1417" w:type="dxa"/>
            <w:vAlign w:val="center"/>
            <w:hideMark/>
          </w:tcPr>
          <w:p w14:paraId="1129320C" w14:textId="77777777" w:rsidR="000B5F8E" w:rsidRPr="003F7444" w:rsidRDefault="000B5F8E" w:rsidP="000B5F8E">
            <w:pPr>
              <w:spacing w:before="120" w:line="240" w:lineRule="auto"/>
              <w:contextualSpacing/>
              <w:rPr>
                <w:szCs w:val="22"/>
              </w:rPr>
            </w:pPr>
            <w:r w:rsidRPr="003F7444">
              <w:rPr>
                <w:szCs w:val="22"/>
              </w:rPr>
              <w:t>0.69</w:t>
            </w:r>
          </w:p>
        </w:tc>
      </w:tr>
      <w:tr w:rsidR="000B5F8E" w:rsidRPr="003F7444" w14:paraId="1F5C61A1" w14:textId="77777777" w:rsidTr="003F7444">
        <w:tc>
          <w:tcPr>
            <w:tcW w:w="5098" w:type="dxa"/>
            <w:vAlign w:val="center"/>
            <w:hideMark/>
          </w:tcPr>
          <w:p w14:paraId="46B5B21D" w14:textId="77777777" w:rsidR="000B5F8E" w:rsidRPr="003F7444" w:rsidRDefault="000B5F8E" w:rsidP="0052791E">
            <w:pPr>
              <w:spacing w:before="120" w:line="240" w:lineRule="auto"/>
              <w:ind w:left="540"/>
              <w:contextualSpacing/>
              <w:rPr>
                <w:szCs w:val="22"/>
              </w:rPr>
            </w:pPr>
            <w:r w:rsidRPr="003F7444">
              <w:rPr>
                <w:szCs w:val="22"/>
              </w:rPr>
              <w:t>95% CI</w:t>
            </w:r>
          </w:p>
        </w:tc>
        <w:tc>
          <w:tcPr>
            <w:tcW w:w="1418" w:type="dxa"/>
            <w:vAlign w:val="center"/>
            <w:hideMark/>
          </w:tcPr>
          <w:p w14:paraId="437EDE2C" w14:textId="77777777" w:rsidR="000B5F8E" w:rsidRPr="003F7444" w:rsidRDefault="000B5F8E" w:rsidP="000B5F8E">
            <w:pPr>
              <w:spacing w:before="120" w:line="240" w:lineRule="auto"/>
              <w:contextualSpacing/>
              <w:rPr>
                <w:szCs w:val="22"/>
              </w:rPr>
            </w:pPr>
            <w:r w:rsidRPr="003F7444">
              <w:rPr>
                <w:szCs w:val="22"/>
              </w:rPr>
              <w:t>(0.69, 0.82)</w:t>
            </w:r>
          </w:p>
        </w:tc>
        <w:tc>
          <w:tcPr>
            <w:tcW w:w="1417" w:type="dxa"/>
            <w:vAlign w:val="center"/>
            <w:hideMark/>
          </w:tcPr>
          <w:p w14:paraId="751E1D71" w14:textId="77777777" w:rsidR="000B5F8E" w:rsidRPr="003F7444" w:rsidRDefault="000B5F8E" w:rsidP="000B5F8E">
            <w:pPr>
              <w:spacing w:before="120" w:line="240" w:lineRule="auto"/>
              <w:contextualSpacing/>
              <w:rPr>
                <w:szCs w:val="22"/>
              </w:rPr>
            </w:pPr>
            <w:r w:rsidRPr="003F7444">
              <w:rPr>
                <w:szCs w:val="22"/>
              </w:rPr>
              <w:t>(0.61, 0.76)</w:t>
            </w:r>
          </w:p>
        </w:tc>
      </w:tr>
    </w:tbl>
    <w:p w14:paraId="6E3DA0D4" w14:textId="77777777" w:rsidR="00B61312" w:rsidRPr="00B61312" w:rsidRDefault="00B61312" w:rsidP="00B61312">
      <w:pPr>
        <w:pStyle w:val="TableDescription"/>
        <w:contextualSpacing/>
      </w:pPr>
      <w:r w:rsidRPr="00B61312">
        <w:t>a. CIs for time variables estimated using the Brookmeyer Crowley method.</w:t>
      </w:r>
    </w:p>
    <w:p w14:paraId="4D4FCF7D" w14:textId="77777777" w:rsidR="00B61312" w:rsidRPr="00B61312" w:rsidRDefault="00B61312" w:rsidP="00B61312">
      <w:pPr>
        <w:pStyle w:val="TableDescription"/>
        <w:contextualSpacing/>
      </w:pPr>
      <w:r w:rsidRPr="00B61312">
        <w:t>b. Hazard ratios were estimated using a Cox Proportional Hazards model according to the corresponding footnotes.</w:t>
      </w:r>
    </w:p>
    <w:p w14:paraId="09D7CC99" w14:textId="77777777" w:rsidR="00B61312" w:rsidRPr="00B61312" w:rsidRDefault="00B61312" w:rsidP="00B61312">
      <w:pPr>
        <w:pStyle w:val="TableDescription"/>
        <w:contextualSpacing/>
      </w:pPr>
      <w:r w:rsidRPr="00B61312">
        <w:t>c. P-Value from 1-sided stratified log-rank test according to the corresponding footnotes.</w:t>
      </w:r>
    </w:p>
    <w:p w14:paraId="02CC04C9" w14:textId="7781AF7E" w:rsidR="00B61312" w:rsidRDefault="00B61312" w:rsidP="00B61312">
      <w:pPr>
        <w:pStyle w:val="TableDescription"/>
        <w:contextualSpacing/>
      </w:pPr>
      <w:r w:rsidRPr="00B61312">
        <w:t>d. Stratification factors: Number of lines of prior therapy (1 vs. 2/3 vs. ≥4) and prior bortezomib use (yes or no)</w:t>
      </w:r>
      <w:r>
        <w:t xml:space="preserve"> </w:t>
      </w:r>
      <w:r w:rsidRPr="00B61312">
        <w:t>assessed according to IVRS strata; Covariate: Treatment.</w:t>
      </w:r>
    </w:p>
    <w:p w14:paraId="20E4E4AA" w14:textId="5D40D838" w:rsidR="00B90FAD" w:rsidRDefault="00B90FAD" w:rsidP="00B61312">
      <w:pPr>
        <w:pStyle w:val="TableDescription"/>
        <w:contextualSpacing/>
      </w:pPr>
    </w:p>
    <w:p w14:paraId="0EDC86F4" w14:textId="5A2138F7" w:rsidR="00B61312" w:rsidRDefault="00356400" w:rsidP="00986C1C">
      <w:pPr>
        <w:pStyle w:val="FigureTitle"/>
      </w:pPr>
      <w:r w:rsidRPr="00356400">
        <w:lastRenderedPageBreak/>
        <w:t>Figure</w:t>
      </w:r>
      <w:r w:rsidR="003716D8">
        <w:t xml:space="preserve"> 13</w:t>
      </w:r>
      <w:r w:rsidRPr="00356400">
        <w:t>: Kaplan-Meier Curves of Overall Survival (ITT Population)</w:t>
      </w:r>
    </w:p>
    <w:p w14:paraId="3E2E1113" w14:textId="775326A1" w:rsidR="00B61312" w:rsidRPr="00B90FAD" w:rsidRDefault="005A2AC0" w:rsidP="003C5E29">
      <w:r w:rsidRPr="005A2AC0">
        <w:rPr>
          <w:noProof/>
        </w:rPr>
        <w:drawing>
          <wp:inline distT="0" distB="0" distL="0" distR="0" wp14:anchorId="4BFDF86E" wp14:editId="2138C447">
            <wp:extent cx="5194494" cy="3347499"/>
            <wp:effectExtent l="0" t="0" r="6350" b="5715"/>
            <wp:docPr id="1735935395" name="Picture 1" descr="Figure 13: Kaplan-Meier Curves of Overall Surviv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35395" name="Picture 1" descr="Figure 13: Kaplan-Meier Curves of Overall Survival (ITT Population)"/>
                    <pic:cNvPicPr/>
                  </pic:nvPicPr>
                  <pic:blipFill>
                    <a:blip r:embed="rId46"/>
                    <a:stretch>
                      <a:fillRect/>
                    </a:stretch>
                  </pic:blipFill>
                  <pic:spPr>
                    <a:xfrm>
                      <a:off x="0" y="0"/>
                      <a:ext cx="5200779" cy="3351550"/>
                    </a:xfrm>
                    <a:prstGeom prst="rect">
                      <a:avLst/>
                    </a:prstGeom>
                  </pic:spPr>
                </pic:pic>
              </a:graphicData>
            </a:graphic>
          </wp:inline>
        </w:drawing>
      </w:r>
    </w:p>
    <w:p w14:paraId="0E4A5351" w14:textId="77777777" w:rsidR="009904B0" w:rsidRPr="009904B0" w:rsidRDefault="009904B0" w:rsidP="006C6273">
      <w:pPr>
        <w:pStyle w:val="ListBullet"/>
        <w:rPr>
          <w:lang w:val="en-NZ"/>
        </w:rPr>
      </w:pPr>
      <w:proofErr w:type="spellStart"/>
      <w:r w:rsidRPr="009904B0">
        <w:rPr>
          <w:lang w:val="en-NZ"/>
        </w:rPr>
        <w:t>DoR</w:t>
      </w:r>
      <w:proofErr w:type="spellEnd"/>
      <w:r w:rsidRPr="009904B0">
        <w:rPr>
          <w:lang w:val="en-NZ"/>
        </w:rPr>
        <w:t xml:space="preserve">: estimated mean (95% CI) </w:t>
      </w:r>
      <w:proofErr w:type="spellStart"/>
      <w:r w:rsidRPr="009904B0">
        <w:rPr>
          <w:lang w:val="en-NZ"/>
        </w:rPr>
        <w:t>DoR</w:t>
      </w:r>
      <w:proofErr w:type="spellEnd"/>
      <w:r w:rsidRPr="009904B0">
        <w:rPr>
          <w:lang w:val="en-NZ"/>
        </w:rPr>
        <w:t xml:space="preserve"> at 28.8 months was 17.5 (15.7 to 19.3) months for </w:t>
      </w:r>
      <w:proofErr w:type="spellStart"/>
      <w:r w:rsidRPr="009904B0">
        <w:rPr>
          <w:lang w:val="en-NZ"/>
        </w:rPr>
        <w:t>BPd</w:t>
      </w:r>
      <w:proofErr w:type="spellEnd"/>
      <w:r w:rsidRPr="009904B0">
        <w:rPr>
          <w:lang w:val="en-NZ"/>
        </w:rPr>
        <w:t xml:space="preserve"> and 12.7 (10.7 to 14.7) months for </w:t>
      </w:r>
      <w:proofErr w:type="spellStart"/>
      <w:r w:rsidRPr="009904B0">
        <w:rPr>
          <w:lang w:val="en-NZ"/>
        </w:rPr>
        <w:t>PVd</w:t>
      </w:r>
      <w:proofErr w:type="spellEnd"/>
      <w:r w:rsidRPr="009904B0">
        <w:rPr>
          <w:lang w:val="en-NZ"/>
        </w:rPr>
        <w:t xml:space="preserve">: estimated difference (95% CI) 4.8 (2.1 to 7.5) months; mean ratio (95% CI) </w:t>
      </w:r>
      <w:proofErr w:type="spellStart"/>
      <w:r w:rsidRPr="009904B0">
        <w:rPr>
          <w:lang w:val="en-NZ"/>
        </w:rPr>
        <w:t>BPd</w:t>
      </w:r>
      <w:proofErr w:type="spellEnd"/>
      <w:r w:rsidRPr="009904B0">
        <w:rPr>
          <w:lang w:val="en-NZ"/>
        </w:rPr>
        <w:t>/</w:t>
      </w:r>
      <w:proofErr w:type="spellStart"/>
      <w:r w:rsidRPr="009904B0">
        <w:rPr>
          <w:lang w:val="en-NZ"/>
        </w:rPr>
        <w:t>PVd</w:t>
      </w:r>
      <w:proofErr w:type="spellEnd"/>
      <w:r w:rsidRPr="009904B0">
        <w:rPr>
          <w:lang w:val="en-NZ"/>
        </w:rPr>
        <w:t xml:space="preserve"> 1.38 (1.14 to 1.66), p &lt;0.001.</w:t>
      </w:r>
    </w:p>
    <w:p w14:paraId="546AFDC0" w14:textId="5D38565C" w:rsidR="009904B0" w:rsidRPr="009904B0" w:rsidRDefault="009904B0" w:rsidP="006C6273">
      <w:pPr>
        <w:pStyle w:val="ListBullet"/>
      </w:pPr>
      <w:r w:rsidRPr="009904B0">
        <w:rPr>
          <w:lang w:val="en-NZ"/>
        </w:rPr>
        <w:t xml:space="preserve">MRD negativity rate: MRD was determined for 37 (23.9%) participants for </w:t>
      </w:r>
      <w:proofErr w:type="spellStart"/>
      <w:r w:rsidRPr="009904B0">
        <w:rPr>
          <w:lang w:val="en-NZ"/>
        </w:rPr>
        <w:t>BPd</w:t>
      </w:r>
      <w:proofErr w:type="spellEnd"/>
      <w:r w:rsidRPr="009904B0">
        <w:rPr>
          <w:lang w:val="en-NZ"/>
        </w:rPr>
        <w:t xml:space="preserve"> and seven (4.8%) for </w:t>
      </w:r>
      <w:proofErr w:type="spellStart"/>
      <w:r w:rsidRPr="009904B0">
        <w:rPr>
          <w:lang w:val="en-NZ"/>
        </w:rPr>
        <w:t>PVd</w:t>
      </w:r>
      <w:proofErr w:type="spellEnd"/>
      <w:r w:rsidR="00073830">
        <w:rPr>
          <w:lang w:val="en-NZ"/>
        </w:rPr>
        <w:t xml:space="preserve">. </w:t>
      </w:r>
      <w:r w:rsidRPr="009904B0">
        <w:rPr>
          <w:lang w:val="en-NZ"/>
        </w:rPr>
        <w:t xml:space="preserve">The MRD negativity rate (95% CI) was 23.9 (17.4 to 31.4) % for </w:t>
      </w:r>
      <w:proofErr w:type="spellStart"/>
      <w:r w:rsidRPr="009904B0">
        <w:rPr>
          <w:lang w:val="en-NZ"/>
        </w:rPr>
        <w:t>BPd</w:t>
      </w:r>
      <w:proofErr w:type="spellEnd"/>
      <w:r w:rsidRPr="009904B0">
        <w:rPr>
          <w:lang w:val="en-NZ"/>
        </w:rPr>
        <w:t xml:space="preserve"> and 4.8 (1.9 to 9.6) % for </w:t>
      </w:r>
      <w:proofErr w:type="spellStart"/>
      <w:r w:rsidRPr="009904B0">
        <w:rPr>
          <w:lang w:val="en-NZ"/>
        </w:rPr>
        <w:t>PVd</w:t>
      </w:r>
      <w:proofErr w:type="spellEnd"/>
      <w:r w:rsidRPr="009904B0">
        <w:rPr>
          <w:lang w:val="en-NZ"/>
        </w:rPr>
        <w:t>, p &lt;0.001.</w:t>
      </w:r>
    </w:p>
    <w:p w14:paraId="279598DA" w14:textId="77777777" w:rsidR="009904B0" w:rsidRPr="009904B0" w:rsidRDefault="009904B0" w:rsidP="009904B0">
      <w:r w:rsidRPr="009904B0">
        <w:t>For the other efficacy outcomes:</w:t>
      </w:r>
    </w:p>
    <w:p w14:paraId="31159E77" w14:textId="585601BA" w:rsidR="009904B0" w:rsidRPr="009904B0" w:rsidRDefault="009904B0" w:rsidP="006C6273">
      <w:pPr>
        <w:pStyle w:val="ListBullet"/>
        <w:rPr>
          <w:lang w:val="en-NZ"/>
        </w:rPr>
      </w:pPr>
      <w:r w:rsidRPr="009904B0">
        <w:rPr>
          <w:lang w:val="en-NZ"/>
        </w:rPr>
        <w:t xml:space="preserve">The </w:t>
      </w:r>
      <w:r w:rsidR="0099518C">
        <w:rPr>
          <w:lang w:val="en-NZ"/>
        </w:rPr>
        <w:t>c</w:t>
      </w:r>
      <w:r w:rsidR="0099518C" w:rsidRPr="0099518C">
        <w:rPr>
          <w:lang w:val="en-NZ"/>
        </w:rPr>
        <w:t>omplete response rate</w:t>
      </w:r>
      <w:r w:rsidR="0099518C">
        <w:rPr>
          <w:lang w:val="en-NZ"/>
        </w:rPr>
        <w:t xml:space="preserve"> (</w:t>
      </w:r>
      <w:r w:rsidRPr="009904B0">
        <w:rPr>
          <w:lang w:val="en-NZ"/>
        </w:rPr>
        <w:t>CRR</w:t>
      </w:r>
      <w:r w:rsidR="0099518C">
        <w:rPr>
          <w:lang w:val="en-NZ"/>
        </w:rPr>
        <w:t>;</w:t>
      </w:r>
      <w:r w:rsidRPr="009904B0">
        <w:rPr>
          <w:lang w:val="en-NZ"/>
        </w:rPr>
        <w:t xml:space="preserve">95% CI) was 40 (32.2 to 48.2) % for </w:t>
      </w:r>
      <w:proofErr w:type="spellStart"/>
      <w:r w:rsidRPr="009904B0">
        <w:rPr>
          <w:lang w:val="en-NZ"/>
        </w:rPr>
        <w:t>BPd</w:t>
      </w:r>
      <w:proofErr w:type="spellEnd"/>
      <w:r w:rsidRPr="009904B0">
        <w:rPr>
          <w:lang w:val="en-NZ"/>
        </w:rPr>
        <w:t xml:space="preserve"> and 16 (10.7 to 23.3) % for </w:t>
      </w:r>
      <w:proofErr w:type="spellStart"/>
      <w:r w:rsidRPr="009904B0">
        <w:rPr>
          <w:lang w:val="en-NZ"/>
        </w:rPr>
        <w:t>PVd</w:t>
      </w:r>
      <w:proofErr w:type="spellEnd"/>
      <w:r w:rsidRPr="009904B0">
        <w:rPr>
          <w:lang w:val="en-NZ"/>
        </w:rPr>
        <w:t xml:space="preserve">, difference (95% CI), </w:t>
      </w:r>
      <w:proofErr w:type="spellStart"/>
      <w:r w:rsidRPr="009904B0">
        <w:rPr>
          <w:lang w:val="en-NZ"/>
        </w:rPr>
        <w:t>BPd-</w:t>
      </w:r>
      <w:r w:rsidR="00A87929">
        <w:rPr>
          <w:lang w:val="en-NZ"/>
        </w:rPr>
        <w:t>PV</w:t>
      </w:r>
      <w:r w:rsidRPr="009904B0">
        <w:rPr>
          <w:lang w:val="en-NZ"/>
        </w:rPr>
        <w:t>d</w:t>
      </w:r>
      <w:proofErr w:type="spellEnd"/>
      <w:r w:rsidRPr="009904B0">
        <w:rPr>
          <w:lang w:val="en-NZ"/>
        </w:rPr>
        <w:t>, 24 (12.5 to 34.4) %.</w:t>
      </w:r>
    </w:p>
    <w:p w14:paraId="256D08B5" w14:textId="1600E54A" w:rsidR="009904B0" w:rsidRPr="009904B0" w:rsidRDefault="009904B0" w:rsidP="006C6273">
      <w:pPr>
        <w:pStyle w:val="ListBullet"/>
        <w:rPr>
          <w:lang w:val="en-NZ"/>
        </w:rPr>
      </w:pPr>
      <w:r w:rsidRPr="009904B0">
        <w:rPr>
          <w:lang w:val="en-NZ"/>
        </w:rPr>
        <w:t xml:space="preserve">The </w:t>
      </w:r>
      <w:r w:rsidR="006C6273">
        <w:rPr>
          <w:lang w:val="en-NZ"/>
        </w:rPr>
        <w:t>ORR (</w:t>
      </w:r>
      <w:r w:rsidRPr="009904B0">
        <w:rPr>
          <w:lang w:val="en-NZ"/>
        </w:rPr>
        <w:t xml:space="preserve">95% CI) was 77 (70.0 to 83.7) % for </w:t>
      </w:r>
      <w:proofErr w:type="spellStart"/>
      <w:r w:rsidRPr="009904B0">
        <w:rPr>
          <w:lang w:val="en-NZ"/>
        </w:rPr>
        <w:t>BPd</w:t>
      </w:r>
      <w:proofErr w:type="spellEnd"/>
      <w:r w:rsidRPr="009904B0">
        <w:rPr>
          <w:lang w:val="en-NZ"/>
        </w:rPr>
        <w:t xml:space="preserve"> and 72 (64.1 to 79.2) % for </w:t>
      </w:r>
      <w:proofErr w:type="spellStart"/>
      <w:r w:rsidRPr="009904B0">
        <w:rPr>
          <w:lang w:val="en-NZ"/>
        </w:rPr>
        <w:t>PVd</w:t>
      </w:r>
      <w:proofErr w:type="spellEnd"/>
      <w:r w:rsidRPr="009904B0">
        <w:rPr>
          <w:lang w:val="en-NZ"/>
        </w:rPr>
        <w:t xml:space="preserve">, difference (95% CI), </w:t>
      </w:r>
      <w:proofErr w:type="spellStart"/>
      <w:r w:rsidRPr="009904B0">
        <w:rPr>
          <w:lang w:val="en-NZ"/>
        </w:rPr>
        <w:t>BPd-PVd</w:t>
      </w:r>
      <w:proofErr w:type="spellEnd"/>
      <w:r w:rsidRPr="009904B0">
        <w:rPr>
          <w:lang w:val="en-NZ"/>
        </w:rPr>
        <w:t>, 5 (-6.0 to 16.5) %.</w:t>
      </w:r>
    </w:p>
    <w:p w14:paraId="62F3DA8C" w14:textId="2FDC754A" w:rsidR="009904B0" w:rsidRPr="009904B0" w:rsidRDefault="009904B0" w:rsidP="006C6273">
      <w:pPr>
        <w:pStyle w:val="ListBullet"/>
        <w:rPr>
          <w:lang w:val="en-NZ"/>
        </w:rPr>
      </w:pPr>
      <w:r w:rsidRPr="009904B0">
        <w:rPr>
          <w:lang w:val="en-NZ"/>
        </w:rPr>
        <w:t xml:space="preserve">The </w:t>
      </w:r>
      <w:r w:rsidR="006C6273" w:rsidRPr="006C6273">
        <w:rPr>
          <w:lang w:val="en-NZ"/>
        </w:rPr>
        <w:t xml:space="preserve">Very good partial response </w:t>
      </w:r>
      <w:r w:rsidR="006C6273">
        <w:rPr>
          <w:lang w:val="en-NZ"/>
        </w:rPr>
        <w:t>(</w:t>
      </w:r>
      <w:r w:rsidRPr="009904B0">
        <w:rPr>
          <w:lang w:val="en-NZ"/>
        </w:rPr>
        <w:t>VGPR</w:t>
      </w:r>
      <w:r w:rsidR="006C6273">
        <w:rPr>
          <w:lang w:val="en-NZ"/>
        </w:rPr>
        <w:t>)</w:t>
      </w:r>
      <w:r w:rsidRPr="009904B0">
        <w:rPr>
          <w:lang w:val="en-NZ"/>
        </w:rPr>
        <w:t xml:space="preserve">+rate (95% CI) was 64 (55.8 to 71.4) % for </w:t>
      </w:r>
      <w:proofErr w:type="spellStart"/>
      <w:r w:rsidRPr="009904B0">
        <w:rPr>
          <w:lang w:val="en-NZ"/>
        </w:rPr>
        <w:t>BPd</w:t>
      </w:r>
      <w:proofErr w:type="spellEnd"/>
      <w:r w:rsidRPr="009904B0">
        <w:rPr>
          <w:lang w:val="en-NZ"/>
        </w:rPr>
        <w:t xml:space="preserve"> and 38 (30.2 to 46.5) % for </w:t>
      </w:r>
      <w:proofErr w:type="spellStart"/>
      <w:r w:rsidRPr="009904B0">
        <w:rPr>
          <w:lang w:val="en-NZ"/>
        </w:rPr>
        <w:t>PVd</w:t>
      </w:r>
      <w:proofErr w:type="spellEnd"/>
      <w:r w:rsidRPr="009904B0">
        <w:rPr>
          <w:lang w:val="en-NZ"/>
        </w:rPr>
        <w:t xml:space="preserve">, difference (95% CI), </w:t>
      </w:r>
      <w:proofErr w:type="spellStart"/>
      <w:r w:rsidRPr="009904B0">
        <w:rPr>
          <w:lang w:val="en-NZ"/>
        </w:rPr>
        <w:t>BPd-PVd</w:t>
      </w:r>
      <w:proofErr w:type="spellEnd"/>
      <w:r w:rsidRPr="009904B0">
        <w:rPr>
          <w:lang w:val="en-NZ"/>
        </w:rPr>
        <w:t>, 26 (14.6 to 36.5) %.</w:t>
      </w:r>
    </w:p>
    <w:p w14:paraId="4014220C" w14:textId="678F118F" w:rsidR="009904B0" w:rsidRPr="009904B0" w:rsidRDefault="009904B0" w:rsidP="006C6273">
      <w:pPr>
        <w:pStyle w:val="ListBullet"/>
        <w:rPr>
          <w:lang w:val="en-NZ"/>
        </w:rPr>
      </w:pPr>
      <w:r w:rsidRPr="009904B0">
        <w:rPr>
          <w:lang w:val="en-NZ"/>
        </w:rPr>
        <w:t xml:space="preserve">The median (range) </w:t>
      </w:r>
      <w:r w:rsidR="006C6273">
        <w:rPr>
          <w:lang w:val="en-NZ"/>
        </w:rPr>
        <w:t>t</w:t>
      </w:r>
      <w:r w:rsidR="006C6273" w:rsidRPr="006C6273">
        <w:rPr>
          <w:lang w:val="en-NZ"/>
        </w:rPr>
        <w:t xml:space="preserve">ime to best response </w:t>
      </w:r>
      <w:r w:rsidR="006C6273">
        <w:rPr>
          <w:lang w:val="en-NZ"/>
        </w:rPr>
        <w:t>(</w:t>
      </w:r>
      <w:r w:rsidRPr="009904B0">
        <w:rPr>
          <w:lang w:val="en-NZ"/>
        </w:rPr>
        <w:t>TTBR</w:t>
      </w:r>
      <w:r w:rsidR="006C6273">
        <w:rPr>
          <w:lang w:val="en-NZ"/>
        </w:rPr>
        <w:t>)</w:t>
      </w:r>
      <w:r w:rsidRPr="009904B0">
        <w:rPr>
          <w:lang w:val="en-NZ"/>
        </w:rPr>
        <w:t xml:space="preserve"> was 5.59 (0.9 to 26.1) months for </w:t>
      </w:r>
      <w:proofErr w:type="spellStart"/>
      <w:r w:rsidRPr="009904B0">
        <w:rPr>
          <w:lang w:val="en-NZ"/>
        </w:rPr>
        <w:t>BPd</w:t>
      </w:r>
      <w:proofErr w:type="spellEnd"/>
      <w:r w:rsidRPr="009904B0">
        <w:rPr>
          <w:lang w:val="en-NZ"/>
        </w:rPr>
        <w:t xml:space="preserve"> and 2.50 (0.7 to 25.7) months for </w:t>
      </w:r>
      <w:proofErr w:type="spellStart"/>
      <w:r w:rsidRPr="009904B0">
        <w:rPr>
          <w:lang w:val="en-NZ"/>
        </w:rPr>
        <w:t>PVd</w:t>
      </w:r>
      <w:proofErr w:type="spellEnd"/>
      <w:r w:rsidRPr="009904B0">
        <w:rPr>
          <w:lang w:val="en-NZ"/>
        </w:rPr>
        <w:t>.</w:t>
      </w:r>
    </w:p>
    <w:p w14:paraId="5F6B037E" w14:textId="77777777" w:rsidR="009904B0" w:rsidRPr="009904B0" w:rsidRDefault="009904B0" w:rsidP="006C6273">
      <w:pPr>
        <w:pStyle w:val="ListBullet"/>
        <w:rPr>
          <w:lang w:val="en-NZ"/>
        </w:rPr>
      </w:pPr>
      <w:r w:rsidRPr="009904B0">
        <w:rPr>
          <w:lang w:val="en-NZ"/>
        </w:rPr>
        <w:t xml:space="preserve">The median (range) TTR was 1.07 (0.9 to 9.3) months for </w:t>
      </w:r>
      <w:proofErr w:type="spellStart"/>
      <w:r w:rsidRPr="009904B0">
        <w:rPr>
          <w:lang w:val="en-NZ"/>
        </w:rPr>
        <w:t>BPd</w:t>
      </w:r>
      <w:proofErr w:type="spellEnd"/>
      <w:r w:rsidRPr="009904B0">
        <w:rPr>
          <w:lang w:val="en-NZ"/>
        </w:rPr>
        <w:t xml:space="preserve"> and 1.05 (0.7 to 11.2) months for </w:t>
      </w:r>
      <w:proofErr w:type="spellStart"/>
      <w:r w:rsidRPr="009904B0">
        <w:rPr>
          <w:lang w:val="en-NZ"/>
        </w:rPr>
        <w:t>PVd</w:t>
      </w:r>
      <w:proofErr w:type="spellEnd"/>
      <w:r w:rsidRPr="009904B0">
        <w:rPr>
          <w:lang w:val="en-NZ"/>
        </w:rPr>
        <w:t>.</w:t>
      </w:r>
    </w:p>
    <w:p w14:paraId="2771F083" w14:textId="4E7AD3E0" w:rsidR="009904B0" w:rsidRPr="009904B0" w:rsidRDefault="009904B0" w:rsidP="006C6273">
      <w:pPr>
        <w:pStyle w:val="ListBullet"/>
        <w:rPr>
          <w:lang w:val="en-NZ"/>
        </w:rPr>
      </w:pPr>
      <w:r w:rsidRPr="009904B0">
        <w:rPr>
          <w:lang w:val="en-NZ"/>
        </w:rPr>
        <w:t xml:space="preserve">The median (95% CI) TTP was not </w:t>
      </w:r>
      <w:r w:rsidR="00A80E0F">
        <w:rPr>
          <w:lang w:val="en-NZ"/>
        </w:rPr>
        <w:t>estimable</w:t>
      </w:r>
      <w:r w:rsidR="00A80E0F" w:rsidRPr="009904B0">
        <w:rPr>
          <w:lang w:val="en-NZ"/>
        </w:rPr>
        <w:t xml:space="preserve"> </w:t>
      </w:r>
      <w:r w:rsidRPr="009904B0">
        <w:rPr>
          <w:lang w:val="en-NZ"/>
        </w:rPr>
        <w:t xml:space="preserve">for </w:t>
      </w:r>
      <w:proofErr w:type="spellStart"/>
      <w:r w:rsidRPr="009904B0">
        <w:rPr>
          <w:lang w:val="en-NZ"/>
        </w:rPr>
        <w:t>BPd</w:t>
      </w:r>
      <w:proofErr w:type="spellEnd"/>
      <w:r w:rsidRPr="009904B0">
        <w:rPr>
          <w:lang w:val="en-NZ"/>
        </w:rPr>
        <w:t xml:space="preserve"> </w:t>
      </w:r>
      <w:r w:rsidR="00A80E0F">
        <w:rPr>
          <w:lang w:val="en-NZ"/>
        </w:rPr>
        <w:t xml:space="preserve">(25.8 months to not estimable) </w:t>
      </w:r>
      <w:r w:rsidRPr="009904B0">
        <w:rPr>
          <w:lang w:val="en-NZ"/>
        </w:rPr>
        <w:t xml:space="preserve">and 17.1 (9.3 to 19.8) months for </w:t>
      </w:r>
      <w:proofErr w:type="spellStart"/>
      <w:r w:rsidRPr="009904B0">
        <w:rPr>
          <w:lang w:val="en-NZ"/>
        </w:rPr>
        <w:t>PVd</w:t>
      </w:r>
      <w:proofErr w:type="spellEnd"/>
      <w:r w:rsidRPr="009904B0">
        <w:rPr>
          <w:lang w:val="en-NZ"/>
        </w:rPr>
        <w:t>.</w:t>
      </w:r>
    </w:p>
    <w:p w14:paraId="59248F1B" w14:textId="5D5BBA3B" w:rsidR="009904B0" w:rsidRPr="009904B0" w:rsidRDefault="009904B0" w:rsidP="006C6273">
      <w:pPr>
        <w:pStyle w:val="ListBullet"/>
      </w:pPr>
      <w:r w:rsidRPr="009904B0">
        <w:rPr>
          <w:lang w:val="en-NZ"/>
        </w:rPr>
        <w:t xml:space="preserve">Median PFS2 was not estimable for </w:t>
      </w:r>
      <w:proofErr w:type="spellStart"/>
      <w:r w:rsidRPr="009904B0">
        <w:rPr>
          <w:lang w:val="en-NZ"/>
        </w:rPr>
        <w:t>B</w:t>
      </w:r>
      <w:r w:rsidR="009229A3">
        <w:rPr>
          <w:lang w:val="en-NZ"/>
        </w:rPr>
        <w:t>P</w:t>
      </w:r>
      <w:r w:rsidRPr="009904B0">
        <w:rPr>
          <w:lang w:val="en-NZ"/>
        </w:rPr>
        <w:t>d</w:t>
      </w:r>
      <w:proofErr w:type="spellEnd"/>
      <w:r w:rsidR="00073830">
        <w:rPr>
          <w:lang w:val="en-NZ"/>
        </w:rPr>
        <w:t xml:space="preserve">. </w:t>
      </w:r>
      <w:r w:rsidRPr="009904B0">
        <w:rPr>
          <w:lang w:val="en-NZ"/>
        </w:rPr>
        <w:t xml:space="preserve">The HR (95% CI) PFS2, </w:t>
      </w:r>
      <w:proofErr w:type="spellStart"/>
      <w:r w:rsidRPr="009904B0">
        <w:rPr>
          <w:lang w:val="en-NZ"/>
        </w:rPr>
        <w:t>B</w:t>
      </w:r>
      <w:r w:rsidR="009229A3">
        <w:rPr>
          <w:lang w:val="en-NZ"/>
        </w:rPr>
        <w:t>P</w:t>
      </w:r>
      <w:r w:rsidRPr="009904B0">
        <w:rPr>
          <w:lang w:val="en-NZ"/>
        </w:rPr>
        <w:t>d</w:t>
      </w:r>
      <w:proofErr w:type="spellEnd"/>
      <w:r w:rsidRPr="009904B0">
        <w:rPr>
          <w:lang w:val="en-NZ"/>
        </w:rPr>
        <w:t>/</w:t>
      </w:r>
      <w:proofErr w:type="spellStart"/>
      <w:r w:rsidR="00B32266">
        <w:rPr>
          <w:lang w:val="en-NZ"/>
        </w:rPr>
        <w:t>P</w:t>
      </w:r>
      <w:r w:rsidRPr="009904B0">
        <w:rPr>
          <w:lang w:val="en-NZ"/>
        </w:rPr>
        <w:t>Vd</w:t>
      </w:r>
      <w:proofErr w:type="spellEnd"/>
      <w:r w:rsidRPr="009904B0">
        <w:rPr>
          <w:lang w:val="en-NZ"/>
        </w:rPr>
        <w:t>, was 0.61 (0.43 to 0.86).</w:t>
      </w:r>
    </w:p>
    <w:p w14:paraId="6A92DD84" w14:textId="513F5DB1" w:rsidR="009904B0" w:rsidRPr="009904B0" w:rsidRDefault="009904B0" w:rsidP="006C6273">
      <w:pPr>
        <w:pStyle w:val="Heading5"/>
      </w:pPr>
      <w:r w:rsidRPr="009904B0">
        <w:lastRenderedPageBreak/>
        <w:t>Other efficacy studies</w:t>
      </w:r>
      <w:fldSimple w:instr=" DOCVARIABLE vault_nd_618d622b-ea9e-4a05-8fba-e1955962cc13 \* MERGEFORMAT ">
        <w:r w:rsidR="00145B4A">
          <w:t xml:space="preserve"> </w:t>
        </w:r>
      </w:fldSimple>
    </w:p>
    <w:p w14:paraId="1F490193" w14:textId="447D488F" w:rsidR="009904B0" w:rsidRPr="009904B0" w:rsidRDefault="009904B0" w:rsidP="006C6273">
      <w:pPr>
        <w:pStyle w:val="Heading6"/>
      </w:pPr>
      <w:bookmarkStart w:id="56" w:name="_Study_207495_(DREAMM-3)"/>
      <w:bookmarkStart w:id="57" w:name="_Toc290888504"/>
      <w:bookmarkStart w:id="58" w:name="_Toc416353720"/>
      <w:bookmarkEnd w:id="56"/>
      <w:r w:rsidRPr="009904B0">
        <w:t>Study</w:t>
      </w:r>
      <w:bookmarkEnd w:id="57"/>
      <w:r w:rsidRPr="009904B0">
        <w:t xml:space="preserve"> 207495</w:t>
      </w:r>
      <w:bookmarkEnd w:id="58"/>
      <w:r w:rsidRPr="009904B0">
        <w:t xml:space="preserve"> (DREAMM-3)</w:t>
      </w:r>
      <w:fldSimple w:instr=" DOCVARIABLE vault_nd_049d3a62-3071-4665-8e0d-c7c5dfc729f6 \* MERGEFORMAT ">
        <w:r w:rsidR="00145B4A">
          <w:t xml:space="preserve"> </w:t>
        </w:r>
      </w:fldSimple>
    </w:p>
    <w:p w14:paraId="01BAFF82" w14:textId="471F8F89" w:rsidR="00561E75" w:rsidRPr="00561E75" w:rsidRDefault="009904B0" w:rsidP="00561E75">
      <w:r w:rsidRPr="009904B0">
        <w:t>DREAMM-3 was a Phase III, open-label, randomised efficacy and safety study of single agent belantamab mafodotin compared to pomalidomide plus low dose dexamethasone (Pom/Dex) in participants with RRMM</w:t>
      </w:r>
      <w:r w:rsidR="00073830">
        <w:t xml:space="preserve">. </w:t>
      </w:r>
      <w:r w:rsidRPr="009904B0">
        <w:t>The study was conducted at 108 centres in 18 countries from April 2020 to September 2022</w:t>
      </w:r>
      <w:r w:rsidR="00073830">
        <w:t xml:space="preserve">. </w:t>
      </w:r>
      <w:r w:rsidRPr="009904B0">
        <w:t xml:space="preserve">The dose of belantamab mafodotin was </w:t>
      </w:r>
      <w:r w:rsidRPr="009904B0">
        <w:rPr>
          <w:lang w:val="en-NZ"/>
        </w:rPr>
        <w:t>2.5 mg/kg on Day 1 of each</w:t>
      </w:r>
      <w:r w:rsidR="00561E75">
        <w:rPr>
          <w:lang w:val="en-NZ"/>
        </w:rPr>
        <w:t xml:space="preserve"> </w:t>
      </w:r>
      <w:r w:rsidR="00561E75" w:rsidRPr="00561E75">
        <w:rPr>
          <w:lang w:val="en-NZ"/>
        </w:rPr>
        <w:t>21-day cycle (q3w)</w:t>
      </w:r>
      <w:r w:rsidR="00073830">
        <w:rPr>
          <w:lang w:val="en-NZ"/>
        </w:rPr>
        <w:t xml:space="preserve">. </w:t>
      </w:r>
      <w:r w:rsidR="00561E75" w:rsidRPr="00561E75">
        <w:rPr>
          <w:lang w:val="en-NZ"/>
        </w:rPr>
        <w:t xml:space="preserve">The study included 325 participants: 218 treated with belantamab mafodotin and 107 with </w:t>
      </w:r>
      <w:r w:rsidR="00561E75" w:rsidRPr="00561E75">
        <w:t>Pom/Dex</w:t>
      </w:r>
      <w:r w:rsidR="00073830">
        <w:t xml:space="preserve">. </w:t>
      </w:r>
      <w:r w:rsidR="00561E75" w:rsidRPr="00561E75">
        <w:t>There were 184 (57%) males and 141 (43%) females, with a median (range) age of 68.0 (38 to 90) years</w:t>
      </w:r>
      <w:r w:rsidR="00073830">
        <w:t xml:space="preserve">. </w:t>
      </w:r>
      <w:r w:rsidR="00561E75" w:rsidRPr="00561E75">
        <w:t>Belantamab mafodotin was not demonstrated to be superior to Pom/Dex</w:t>
      </w:r>
      <w:r w:rsidR="00073830">
        <w:t xml:space="preserve">. </w:t>
      </w:r>
      <w:r w:rsidR="00561E75" w:rsidRPr="00561E75">
        <w:t>The HR (95%) CI for PFS was 1.03 (0.72 to 1.47) and for OS was 1.14 (0.77 to 1.68).</w:t>
      </w:r>
    </w:p>
    <w:p w14:paraId="7DE8C496" w14:textId="11235FEB" w:rsidR="00561E75" w:rsidRPr="00561E75" w:rsidRDefault="00561E75" w:rsidP="006C6273">
      <w:pPr>
        <w:pStyle w:val="Heading6"/>
      </w:pPr>
      <w:bookmarkStart w:id="59" w:name="_Study_205678_(DREAMM-2)"/>
      <w:bookmarkEnd w:id="59"/>
      <w:r w:rsidRPr="00561E75">
        <w:t>Study 205678 (DREAMM-2)</w:t>
      </w:r>
      <w:fldSimple w:instr=" DOCVARIABLE vault_nd_4cd5a629-c02c-4f9e-9dac-c131ca899553 \* MERGEFORMAT ">
        <w:r w:rsidR="00145B4A">
          <w:t xml:space="preserve"> </w:t>
        </w:r>
      </w:fldSimple>
    </w:p>
    <w:p w14:paraId="65CAAEB2" w14:textId="4F3D0AB4" w:rsidR="00561E75" w:rsidRPr="00561E75" w:rsidRDefault="00561E75" w:rsidP="00561E75">
      <w:pPr>
        <w:rPr>
          <w:lang w:val="en-NZ"/>
        </w:rPr>
      </w:pPr>
      <w:bookmarkStart w:id="60" w:name="_Toc290888506"/>
      <w:bookmarkStart w:id="61" w:name="_Toc416353722"/>
      <w:r w:rsidRPr="00561E75">
        <w:t xml:space="preserve">DREAMM-2 was a Phase II, open-label, randomised, two dose </w:t>
      </w:r>
      <w:proofErr w:type="gramStart"/>
      <w:r w:rsidRPr="00561E75">
        <w:t>level ,</w:t>
      </w:r>
      <w:proofErr w:type="gramEnd"/>
      <w:r w:rsidRPr="00561E75">
        <w:t xml:space="preserve"> two arm study of efficacy and safety of belantamab mafodotin who had three or m</w:t>
      </w:r>
      <w:r w:rsidRPr="00561E75">
        <w:rPr>
          <w:lang w:val="en-NZ"/>
        </w:rPr>
        <w:t>ore prior lines of treatment, were refractory to a proteasome inhibitor and an immunomodulatory agent and have failed an anti-CD38 antibody</w:t>
      </w:r>
      <w:r w:rsidR="00073830">
        <w:rPr>
          <w:lang w:val="en-NZ"/>
        </w:rPr>
        <w:t xml:space="preserve">. </w:t>
      </w:r>
      <w:r w:rsidRPr="00561E75">
        <w:rPr>
          <w:lang w:val="en-NZ"/>
        </w:rPr>
        <w:t>The study was conducted at 58 centres in eight countries from June 2018 to March 2022</w:t>
      </w:r>
      <w:r w:rsidR="00073830">
        <w:rPr>
          <w:lang w:val="en-NZ"/>
        </w:rPr>
        <w:t xml:space="preserve">. </w:t>
      </w:r>
      <w:r w:rsidRPr="00561E75">
        <w:rPr>
          <w:lang w:val="en-NZ"/>
        </w:rPr>
        <w:t>Belantamab mafodotin was administered IV as monotherapy at two dose levels:</w:t>
      </w:r>
    </w:p>
    <w:p w14:paraId="2B9CCB57" w14:textId="77777777" w:rsidR="00561E75" w:rsidRPr="00561E75" w:rsidRDefault="00561E75" w:rsidP="006C6273">
      <w:pPr>
        <w:pStyle w:val="Numberbullet0"/>
      </w:pPr>
      <w:r w:rsidRPr="00561E75">
        <w:t>2.5 mg/kg q3w</w:t>
      </w:r>
    </w:p>
    <w:p w14:paraId="393198EE" w14:textId="77777777" w:rsidR="00561E75" w:rsidRPr="00561E75" w:rsidRDefault="00561E75" w:rsidP="006C6273">
      <w:pPr>
        <w:pStyle w:val="Numberbullet0"/>
      </w:pPr>
      <w:r w:rsidRPr="00561E75">
        <w:t>3.4 mg/kg q3w</w:t>
      </w:r>
    </w:p>
    <w:p w14:paraId="3EC4B183" w14:textId="7A401038" w:rsidR="00561E75" w:rsidRPr="00561E75" w:rsidRDefault="00561E75" w:rsidP="00561E75">
      <w:r w:rsidRPr="00561E75">
        <w:t>The study included 196 participants: 97 treated with 2.5 mg/kg and 99 treated with 3.4 mg/kg</w:t>
      </w:r>
      <w:r w:rsidR="00073830">
        <w:t xml:space="preserve">. </w:t>
      </w:r>
      <w:r w:rsidRPr="00561E75">
        <w:t>There was also an independent cohort of 25 participants treated with a lyophilized presentation of belantamab mafodotin at 2.4 mg/kg</w:t>
      </w:r>
      <w:r w:rsidR="00073830">
        <w:t xml:space="preserve">. </w:t>
      </w:r>
      <w:r w:rsidRPr="00561E75">
        <w:t xml:space="preserve">In the main cohort, there were 107 (55%) </w:t>
      </w:r>
      <w:proofErr w:type="gramStart"/>
      <w:r w:rsidRPr="00561E75">
        <w:t>males</w:t>
      </w:r>
      <w:proofErr w:type="gramEnd"/>
      <w:r w:rsidRPr="00561E75">
        <w:t xml:space="preserve"> and the age range was 34 to 85 years.</w:t>
      </w:r>
    </w:p>
    <w:p w14:paraId="1ADABA45" w14:textId="7182BB31" w:rsidR="00561E75" w:rsidRPr="00561E75" w:rsidRDefault="00561E75" w:rsidP="00561E75">
      <w:r w:rsidRPr="00561E75">
        <w:t>There was no significant difference in ORR between the treatment groups: ORR (95% CI) 32 (21.7 to 43.6) % for 2.5 mg/kg and 35 (24.8 to 47.0) % for 3.4 mg/kg</w:t>
      </w:r>
      <w:r w:rsidR="00073830">
        <w:t xml:space="preserve">. </w:t>
      </w:r>
      <w:r w:rsidRPr="00561E75">
        <w:t>There was no significant difference in CBR between the treatment groups: CBR (95% CI) 36 (26.6 to 46.5) % for 2.5 mg/kg and 40 (30.7 to 50.7) % for 3.4 mg/kg</w:t>
      </w:r>
      <w:r w:rsidR="00073830">
        <w:t xml:space="preserve">. </w:t>
      </w:r>
      <w:r w:rsidRPr="00561E75">
        <w:rPr>
          <w:lang w:val="en-NZ"/>
        </w:rPr>
        <w:t>The median OS was 15.3 months in the 2.5 mg/kg group and 14.0 months in the 3.4 mg/kg.</w:t>
      </w:r>
    </w:p>
    <w:p w14:paraId="5428AE13" w14:textId="7DC272C1" w:rsidR="00561E75" w:rsidRPr="00561E75" w:rsidRDefault="00561E75" w:rsidP="006C6273">
      <w:pPr>
        <w:pStyle w:val="Heading6"/>
      </w:pPr>
      <w:bookmarkStart w:id="62" w:name="_Study_207497_(DREAMM-6)"/>
      <w:bookmarkEnd w:id="62"/>
      <w:r w:rsidRPr="00561E75">
        <w:t xml:space="preserve">Study </w:t>
      </w:r>
      <w:bookmarkEnd w:id="60"/>
      <w:r w:rsidRPr="00561E75">
        <w:t>207497</w:t>
      </w:r>
      <w:bookmarkEnd w:id="61"/>
      <w:r w:rsidRPr="00561E75">
        <w:t xml:space="preserve"> (DREAMM-6)</w:t>
      </w:r>
      <w:fldSimple w:instr=" DOCVARIABLE vault_nd_8c9983fd-72a8-431f-b3e0-93ded520feb2 \* MERGEFORMAT ">
        <w:r w:rsidR="00145B4A">
          <w:t xml:space="preserve"> </w:t>
        </w:r>
      </w:fldSimple>
    </w:p>
    <w:p w14:paraId="37AAF3E8" w14:textId="36FA9DD9" w:rsidR="00561E75" w:rsidRPr="00561E75" w:rsidRDefault="00561E75" w:rsidP="00561E75">
      <w:r w:rsidRPr="00561E75">
        <w:t>DREAMM-6 was a Phase I/II, open label, dose-escalation and expansion study of belantamab mafodotin in combination with either lenalidomide plus dexamethasone (Arm A) or bortezomib plus dexamethasone (Arm B) in patients with RRMM</w:t>
      </w:r>
      <w:r w:rsidR="00073830">
        <w:t xml:space="preserve">. </w:t>
      </w:r>
      <w:r w:rsidRPr="00561E75">
        <w:t>The study was conducted at 26 centres in five countries</w:t>
      </w:r>
      <w:r w:rsidR="00073830">
        <w:t xml:space="preserve">. </w:t>
      </w:r>
      <w:r w:rsidRPr="00561E75">
        <w:t>The study commenced on 18</w:t>
      </w:r>
      <w:r w:rsidRPr="00561E75">
        <w:rPr>
          <w:vertAlign w:val="superscript"/>
        </w:rPr>
        <w:t>th</w:t>
      </w:r>
      <w:r w:rsidRPr="00561E75">
        <w:t xml:space="preserve"> October 2018, and the data cut-off for the dossier was 28</w:t>
      </w:r>
      <w:r w:rsidRPr="00561E75">
        <w:rPr>
          <w:vertAlign w:val="superscript"/>
        </w:rPr>
        <w:t>th</w:t>
      </w:r>
      <w:r w:rsidRPr="00561E75">
        <w:t xml:space="preserve"> February 2023</w:t>
      </w:r>
      <w:r w:rsidR="00073830">
        <w:t xml:space="preserve">. </w:t>
      </w:r>
      <w:r w:rsidRPr="00561E75">
        <w:t>The highest dose level assessed in Arm A was 2.5 mg/kg, and in Arm B was 3.4 mg/kg. Arm A included 45 participants: 35 (78%) males, ten (22%) females, with an age range of 36 to 80 years</w:t>
      </w:r>
      <w:r w:rsidR="00073830">
        <w:t xml:space="preserve">. </w:t>
      </w:r>
      <w:r w:rsidRPr="00561E75">
        <w:t>ORR (95% CI) was 69 (41.3 to 89.0) %</w:t>
      </w:r>
      <w:r w:rsidR="00073830">
        <w:t xml:space="preserve">. </w:t>
      </w:r>
      <w:r w:rsidRPr="00561E75">
        <w:t>CRR (95% CI) was 44 (19.8 to 70.1) %</w:t>
      </w:r>
      <w:r w:rsidR="00073830">
        <w:t xml:space="preserve">. </w:t>
      </w:r>
      <w:r w:rsidRPr="00561E75">
        <w:t>CBR (95% CI) was 69 (41.3 to 89.0) %</w:t>
      </w:r>
      <w:r w:rsidR="00073830">
        <w:t xml:space="preserve">. </w:t>
      </w:r>
    </w:p>
    <w:p w14:paraId="345BDF6D" w14:textId="0686CE3A" w:rsidR="00561E75" w:rsidRPr="00561E75" w:rsidRDefault="00561E75" w:rsidP="00561E75">
      <w:r w:rsidRPr="00561E75">
        <w:t>Arm B included 107 participants: 69 (64%) males, 38 (36%) females, with an age range of 32 to 83 years</w:t>
      </w:r>
      <w:r w:rsidR="00073830">
        <w:t xml:space="preserve">. </w:t>
      </w:r>
      <w:r w:rsidRPr="00561E75">
        <w:t>Response rates appeared to be optimal at the 2.5 mg/kg dose level, with no greater response at the 3.4 mg/kg level.</w:t>
      </w:r>
    </w:p>
    <w:p w14:paraId="439731C3" w14:textId="62238D37" w:rsidR="00561E75" w:rsidRPr="00561E75" w:rsidRDefault="00561E75" w:rsidP="00561E75">
      <w:r w:rsidRPr="00561E75">
        <w:t>The supportive studies provide limited evidence of efficacy</w:t>
      </w:r>
      <w:r w:rsidR="00073830">
        <w:t xml:space="preserve">. </w:t>
      </w:r>
      <w:r w:rsidRPr="00561E75">
        <w:t xml:space="preserve">The primary analysis of the Phase 3 DREAMM-3 study did not meet its primary endpoint for investigator-assessed </w:t>
      </w:r>
      <w:proofErr w:type="gramStart"/>
      <w:r w:rsidRPr="00561E75">
        <w:t>PFS.</w:t>
      </w:r>
      <w:r w:rsidR="00073830">
        <w:t>.</w:t>
      </w:r>
      <w:proofErr w:type="gramEnd"/>
      <w:r w:rsidR="00073830">
        <w:t xml:space="preserve"> </w:t>
      </w:r>
      <w:r w:rsidRPr="00561E75">
        <w:t>DREAMM-2 and DREAMM-6 are supportive of the 2.4 mg dose level, over the 3.4 mg/kg dose level</w:t>
      </w:r>
      <w:r w:rsidR="00073830">
        <w:t xml:space="preserve">. </w:t>
      </w:r>
    </w:p>
    <w:p w14:paraId="1A5CE587" w14:textId="5190281F" w:rsidR="00561E75" w:rsidRPr="00561E75" w:rsidRDefault="00561E75" w:rsidP="006C6273">
      <w:pPr>
        <w:pStyle w:val="Heading4"/>
      </w:pPr>
      <w:bookmarkStart w:id="63" w:name="_Toc227758033"/>
      <w:r w:rsidRPr="00561E75">
        <w:lastRenderedPageBreak/>
        <w:t>Safety</w:t>
      </w:r>
      <w:bookmarkEnd w:id="63"/>
      <w:r w:rsidR="00145B4A">
        <w:fldChar w:fldCharType="begin"/>
      </w:r>
      <w:r w:rsidR="00145B4A">
        <w:instrText xml:space="preserve"> DOCVARIABLE vault_nd_b51db724-b2c5-4619-9515-e286521fe976 \* MERGEFORMAT </w:instrText>
      </w:r>
      <w:r w:rsidR="00145B4A">
        <w:fldChar w:fldCharType="separate"/>
      </w:r>
      <w:r w:rsidR="00145B4A">
        <w:t xml:space="preserve"> </w:t>
      </w:r>
      <w:r w:rsidR="00145B4A">
        <w:fldChar w:fldCharType="end"/>
      </w:r>
    </w:p>
    <w:p w14:paraId="78DE1DCB" w14:textId="00A539A4" w:rsidR="00561E75" w:rsidRPr="00561E75" w:rsidRDefault="00561E75" w:rsidP="00561E75">
      <w:r w:rsidRPr="00561E75">
        <w:t>The Summary of Clinical Safety and the tabulated Integrated Summary of Safety presented the safety data by study, and not as a pooled analysis</w:t>
      </w:r>
      <w:r w:rsidR="00073830">
        <w:t xml:space="preserve">. </w:t>
      </w:r>
      <w:r w:rsidRPr="00561E75">
        <w:t>This can be justified because of the different drug combinations used</w:t>
      </w:r>
      <w:r w:rsidR="00073830">
        <w:t xml:space="preserve">. </w:t>
      </w:r>
      <w:r w:rsidRPr="00561E75">
        <w:t>The safety data from the individual studies are discussed below.</w:t>
      </w:r>
    </w:p>
    <w:p w14:paraId="7C29E5F6" w14:textId="77777777" w:rsidR="00561E75" w:rsidRPr="00561E75" w:rsidRDefault="00561E75" w:rsidP="00561E75">
      <w:r w:rsidRPr="00561E75">
        <w:t>The safety profile of belantamab mafodotin is dominated by the risk of ocular adverse events, which were common, of long duration and leading to disability in up to 25% of cases.</w:t>
      </w:r>
    </w:p>
    <w:p w14:paraId="35217318" w14:textId="7F182D9F" w:rsidR="00780905" w:rsidRPr="00780905" w:rsidRDefault="00561E75" w:rsidP="00780905">
      <w:r w:rsidRPr="00561E75">
        <w:t xml:space="preserve">Almost </w:t>
      </w:r>
      <w:proofErr w:type="gramStart"/>
      <w:r w:rsidRPr="00561E75">
        <w:t>all of</w:t>
      </w:r>
      <w:proofErr w:type="gramEnd"/>
      <w:r w:rsidRPr="00561E75">
        <w:t xml:space="preserve"> the participants in the clinical trials reported adverse events</w:t>
      </w:r>
      <w:r w:rsidR="00073830">
        <w:t xml:space="preserve">. </w:t>
      </w:r>
      <w:r w:rsidRPr="00561E75">
        <w:t xml:space="preserve">In DREAMM-7 AEs were reported in 242 (100%) participants in the </w:t>
      </w:r>
      <w:proofErr w:type="spellStart"/>
      <w:r w:rsidRPr="00561E75">
        <w:t>BVd</w:t>
      </w:r>
      <w:proofErr w:type="spellEnd"/>
      <w:r w:rsidRPr="00561E75">
        <w:t xml:space="preserve"> group and 246 (100%) in the </w:t>
      </w:r>
      <w:proofErr w:type="spellStart"/>
      <w:r w:rsidRPr="00561E75">
        <w:t>DVd</w:t>
      </w:r>
      <w:proofErr w:type="spellEnd"/>
      <w:r w:rsidRPr="00561E75">
        <w:t xml:space="preserve"> group</w:t>
      </w:r>
      <w:r w:rsidR="00073830">
        <w:t xml:space="preserve">. </w:t>
      </w:r>
      <w:r w:rsidRPr="00561E75">
        <w:t xml:space="preserve">In DREAMM-8 AEs were reported in 149 (99.3%) participants in the </w:t>
      </w:r>
      <w:proofErr w:type="spellStart"/>
      <w:r w:rsidRPr="00561E75">
        <w:t>BPd</w:t>
      </w:r>
      <w:proofErr w:type="spellEnd"/>
      <w:r w:rsidRPr="00561E75">
        <w:t xml:space="preserve"> group and 139 (96%) in the </w:t>
      </w:r>
      <w:proofErr w:type="spellStart"/>
      <w:r w:rsidRPr="00561E75">
        <w:t>PVd</w:t>
      </w:r>
      <w:proofErr w:type="spellEnd"/>
      <w:r w:rsidR="00073830">
        <w:t xml:space="preserve">. </w:t>
      </w:r>
      <w:r w:rsidRPr="00561E75">
        <w:t xml:space="preserve">In DREAMM-7 in the </w:t>
      </w:r>
      <w:proofErr w:type="spellStart"/>
      <w:r w:rsidRPr="00561E75">
        <w:t>BVd</w:t>
      </w:r>
      <w:proofErr w:type="spellEnd"/>
      <w:r w:rsidRPr="00561E75">
        <w:t xml:space="preserve"> group, dry eye was reported in 51% participants, photophobia in 47%, eye irritation in 43% and foreign body sensation in the eye in 44%</w:t>
      </w:r>
      <w:r w:rsidR="00073830">
        <w:t xml:space="preserve">. </w:t>
      </w:r>
      <w:r w:rsidRPr="00561E75">
        <w:t>In</w:t>
      </w:r>
      <w:r w:rsidR="00780905" w:rsidRPr="00780905">
        <w:rPr>
          <w:rFonts w:eastAsia="Cambria" w:cs="Times New Roman"/>
          <w:szCs w:val="22"/>
        </w:rPr>
        <w:t xml:space="preserve"> </w:t>
      </w:r>
      <w:r w:rsidR="00780905" w:rsidRPr="00780905">
        <w:t>DREAMM-8</w:t>
      </w:r>
      <w:r w:rsidR="00B50689">
        <w:t xml:space="preserve"> in the </w:t>
      </w:r>
      <w:proofErr w:type="spellStart"/>
      <w:r w:rsidR="00B50689">
        <w:t>BPd</w:t>
      </w:r>
      <w:proofErr w:type="spellEnd"/>
      <w:r w:rsidR="00B50689">
        <w:t xml:space="preserve"> group,</w:t>
      </w:r>
      <w:r w:rsidR="00780905" w:rsidRPr="00780905">
        <w:t xml:space="preserve"> vision blurred was reported in in 79% participants, dry eye in 61%, foreign body sensation in the eyes in 61%, eye irritation in 50%, and photophobia in 44%</w:t>
      </w:r>
      <w:r w:rsidR="00073830">
        <w:t xml:space="preserve">. </w:t>
      </w:r>
    </w:p>
    <w:p w14:paraId="5F493B3E" w14:textId="1F22EB33" w:rsidR="00780905" w:rsidRPr="00780905" w:rsidRDefault="00780905" w:rsidP="00780905">
      <w:r w:rsidRPr="00780905">
        <w:t>The profile of AEs also differed between the treatment combinations</w:t>
      </w:r>
      <w:r w:rsidR="00073830">
        <w:t xml:space="preserve">. </w:t>
      </w:r>
      <w:r w:rsidRPr="00780905">
        <w:t xml:space="preserve">In DREAMM-7 the most frequently reported AE was thrombocytopenia in 69% participants in the </w:t>
      </w:r>
      <w:proofErr w:type="spellStart"/>
      <w:r w:rsidRPr="00780905">
        <w:t>BVd</w:t>
      </w:r>
      <w:proofErr w:type="spellEnd"/>
      <w:r w:rsidRPr="00780905">
        <w:t xml:space="preserve"> group and 50% in the </w:t>
      </w:r>
      <w:proofErr w:type="spellStart"/>
      <w:r w:rsidRPr="00780905">
        <w:t>DVd</w:t>
      </w:r>
      <w:proofErr w:type="spellEnd"/>
      <w:r w:rsidRPr="00780905">
        <w:t xml:space="preserve">, whereas in DREAMM-8 thrombocytopenia was reported in 36% participants in the </w:t>
      </w:r>
      <w:proofErr w:type="spellStart"/>
      <w:r w:rsidRPr="00780905">
        <w:t>BPd</w:t>
      </w:r>
      <w:proofErr w:type="spellEnd"/>
      <w:r w:rsidRPr="00780905">
        <w:t xml:space="preserve"> group and 30% in the </w:t>
      </w:r>
      <w:proofErr w:type="spellStart"/>
      <w:r w:rsidRPr="00780905">
        <w:t>PVd</w:t>
      </w:r>
      <w:proofErr w:type="spellEnd"/>
      <w:r w:rsidR="00073830">
        <w:t xml:space="preserve">. </w:t>
      </w:r>
      <w:r w:rsidRPr="00780905">
        <w:t xml:space="preserve">In DREAMM-8 infections were more frequent in the </w:t>
      </w:r>
      <w:proofErr w:type="spellStart"/>
      <w:r w:rsidRPr="00780905">
        <w:t>BPd</w:t>
      </w:r>
      <w:proofErr w:type="spellEnd"/>
      <w:r w:rsidRPr="00780905">
        <w:t xml:space="preserve"> group: 82% participants compared with 68% in the </w:t>
      </w:r>
      <w:proofErr w:type="spellStart"/>
      <w:r w:rsidRPr="00780905">
        <w:t>PVd</w:t>
      </w:r>
      <w:proofErr w:type="spellEnd"/>
      <w:r w:rsidR="00073830">
        <w:t xml:space="preserve">. </w:t>
      </w:r>
      <w:r w:rsidRPr="00780905">
        <w:t xml:space="preserve">Infective pneumonia was more frequent in the </w:t>
      </w:r>
      <w:proofErr w:type="spellStart"/>
      <w:r w:rsidRPr="00780905">
        <w:t>BPd</w:t>
      </w:r>
      <w:proofErr w:type="spellEnd"/>
      <w:r w:rsidRPr="00780905">
        <w:t xml:space="preserve"> group: 38% participants compared with 17% in the </w:t>
      </w:r>
      <w:proofErr w:type="spellStart"/>
      <w:r w:rsidRPr="00780905">
        <w:t>PVd</w:t>
      </w:r>
      <w:proofErr w:type="spellEnd"/>
      <w:r w:rsidRPr="00780905">
        <w:t>.</w:t>
      </w:r>
    </w:p>
    <w:p w14:paraId="1772A1B7" w14:textId="0A63D9BF" w:rsidR="00780905" w:rsidRPr="00780905" w:rsidRDefault="00780905" w:rsidP="00780905">
      <w:r w:rsidRPr="00780905">
        <w:t xml:space="preserve">The profile of treatment related AEs was </w:t>
      </w:r>
      <w:proofErr w:type="gramStart"/>
      <w:r w:rsidRPr="00780905">
        <w:t>similar to</w:t>
      </w:r>
      <w:proofErr w:type="gramEnd"/>
      <w:r w:rsidRPr="00780905">
        <w:t xml:space="preserve"> that of overall AEs</w:t>
      </w:r>
      <w:r w:rsidR="00073830">
        <w:t xml:space="preserve">. </w:t>
      </w:r>
      <w:r w:rsidRPr="00780905">
        <w:t>However, in DREAMM-2 there was an increased risk with increasing dose: 88% participants in the 2.5 mg/kg group and 95% in the 3.4 mg/kg.</w:t>
      </w:r>
    </w:p>
    <w:p w14:paraId="23B29FBB" w14:textId="77777777" w:rsidR="00780905" w:rsidRPr="00780905" w:rsidRDefault="00780905" w:rsidP="00780905">
      <w:r w:rsidRPr="00780905">
        <w:t>In both pivotal studies, death rates were lower in the belantamab mafodotin regimens, and SAEs leading to death occurred at similar rates.</w:t>
      </w:r>
    </w:p>
    <w:p w14:paraId="16A68FE5" w14:textId="7DAFC10B" w:rsidR="00780905" w:rsidRPr="00780905" w:rsidRDefault="00780905" w:rsidP="00780905">
      <w:r w:rsidRPr="00780905">
        <w:t xml:space="preserve">In DREAMM-7 overall death was reported for 50 (21%) participants in the </w:t>
      </w:r>
      <w:proofErr w:type="spellStart"/>
      <w:r w:rsidRPr="00780905">
        <w:t>BVd</w:t>
      </w:r>
      <w:proofErr w:type="spellEnd"/>
      <w:r w:rsidRPr="00780905">
        <w:t xml:space="preserve"> group and 77 (31%) in the </w:t>
      </w:r>
      <w:proofErr w:type="spellStart"/>
      <w:r w:rsidRPr="00780905">
        <w:t>DVd</w:t>
      </w:r>
      <w:proofErr w:type="spellEnd"/>
      <w:r w:rsidR="00073830">
        <w:t xml:space="preserve">. </w:t>
      </w:r>
      <w:r w:rsidRPr="00780905">
        <w:t>Fatal</w:t>
      </w:r>
      <w:r w:rsidR="00EC7232">
        <w:t xml:space="preserve">ities </w:t>
      </w:r>
      <w:r w:rsidRPr="00780905">
        <w:t xml:space="preserve">were reported in 23 (10%) participants in the </w:t>
      </w:r>
      <w:proofErr w:type="spellStart"/>
      <w:r w:rsidRPr="00780905">
        <w:t>BVd</w:t>
      </w:r>
      <w:proofErr w:type="spellEnd"/>
      <w:r w:rsidRPr="00780905">
        <w:t xml:space="preserve"> group and 19 (8%) in the </w:t>
      </w:r>
      <w:proofErr w:type="spellStart"/>
      <w:r w:rsidRPr="00780905">
        <w:t>DVd</w:t>
      </w:r>
      <w:proofErr w:type="spellEnd"/>
      <w:r w:rsidRPr="00780905">
        <w:t xml:space="preserve"> group</w:t>
      </w:r>
      <w:r w:rsidR="00073830">
        <w:t xml:space="preserve">. </w:t>
      </w:r>
      <w:r w:rsidRPr="00780905">
        <w:t xml:space="preserve">The most frequent </w:t>
      </w:r>
      <w:r w:rsidR="00EC7232">
        <w:t>serious adverse event (</w:t>
      </w:r>
      <w:r w:rsidRPr="00780905">
        <w:t>SAE</w:t>
      </w:r>
      <w:r w:rsidR="00EC7232">
        <w:t>)</w:t>
      </w:r>
      <w:r w:rsidRPr="00780905">
        <w:t xml:space="preserve"> leading to death in the </w:t>
      </w:r>
      <w:proofErr w:type="spellStart"/>
      <w:r w:rsidRPr="00780905">
        <w:t>BVd</w:t>
      </w:r>
      <w:proofErr w:type="spellEnd"/>
      <w:r w:rsidRPr="00780905">
        <w:t xml:space="preserve"> group was pneumonia in seven (3%) participants</w:t>
      </w:r>
      <w:r w:rsidR="00073830">
        <w:t xml:space="preserve">. </w:t>
      </w:r>
      <w:r w:rsidRPr="00780905">
        <w:t xml:space="preserve">SAEs were reported in 121 (50%) participants in the </w:t>
      </w:r>
      <w:proofErr w:type="spellStart"/>
      <w:r w:rsidRPr="00780905">
        <w:t>BVd</w:t>
      </w:r>
      <w:proofErr w:type="spellEnd"/>
      <w:r w:rsidRPr="00780905">
        <w:t xml:space="preserve"> group and 90 (37%) in the </w:t>
      </w:r>
      <w:proofErr w:type="spellStart"/>
      <w:r w:rsidRPr="00780905">
        <w:t>DVd</w:t>
      </w:r>
      <w:proofErr w:type="spellEnd"/>
      <w:r w:rsidRPr="00780905">
        <w:t xml:space="preserve"> group</w:t>
      </w:r>
      <w:r w:rsidR="00073830">
        <w:t xml:space="preserve">. </w:t>
      </w:r>
      <w:r w:rsidRPr="00780905">
        <w:t xml:space="preserve">The difference in rates between the two groups appears to be due to a higher rate of pneumonia and lower respiratory tract infections in the </w:t>
      </w:r>
      <w:proofErr w:type="spellStart"/>
      <w:r w:rsidRPr="00780905">
        <w:t>BVd</w:t>
      </w:r>
      <w:proofErr w:type="spellEnd"/>
      <w:r w:rsidRPr="00780905">
        <w:t xml:space="preserve"> group</w:t>
      </w:r>
      <w:r w:rsidR="00073830">
        <w:t xml:space="preserve">. </w:t>
      </w:r>
      <w:r w:rsidRPr="00780905">
        <w:t xml:space="preserve">SAEs related to study treatment were reported in 47 (19%) participants in the </w:t>
      </w:r>
      <w:proofErr w:type="spellStart"/>
      <w:r w:rsidRPr="00780905">
        <w:t>BVd</w:t>
      </w:r>
      <w:proofErr w:type="spellEnd"/>
      <w:r w:rsidRPr="00780905">
        <w:t xml:space="preserve"> group and 30 (12%) in the </w:t>
      </w:r>
      <w:proofErr w:type="spellStart"/>
      <w:r w:rsidRPr="00780905">
        <w:t>DVd</w:t>
      </w:r>
      <w:proofErr w:type="spellEnd"/>
      <w:r w:rsidRPr="00780905">
        <w:t xml:space="preserve"> group.</w:t>
      </w:r>
    </w:p>
    <w:p w14:paraId="0EEAF832" w14:textId="435A9D67" w:rsidR="00780905" w:rsidRPr="00780905" w:rsidRDefault="00780905" w:rsidP="00780905">
      <w:r w:rsidRPr="00780905">
        <w:t xml:space="preserve">In DREAMM-8 overall, 47 (31%) participants in the </w:t>
      </w:r>
      <w:proofErr w:type="spellStart"/>
      <w:r w:rsidRPr="00780905">
        <w:t>BPd</w:t>
      </w:r>
      <w:proofErr w:type="spellEnd"/>
      <w:r w:rsidRPr="00780905">
        <w:t xml:space="preserve"> group and 53 (37%) in the </w:t>
      </w:r>
      <w:proofErr w:type="spellStart"/>
      <w:r w:rsidRPr="00780905">
        <w:t>PVd</w:t>
      </w:r>
      <w:proofErr w:type="spellEnd"/>
      <w:r w:rsidRPr="00780905">
        <w:t xml:space="preserve"> died</w:t>
      </w:r>
      <w:r w:rsidR="00073830">
        <w:t xml:space="preserve">. </w:t>
      </w:r>
      <w:r w:rsidRPr="00780905">
        <w:t xml:space="preserve">Fatal AEs were reported in 17 (11%) participants in the </w:t>
      </w:r>
      <w:proofErr w:type="spellStart"/>
      <w:r w:rsidRPr="00780905">
        <w:t>BPd</w:t>
      </w:r>
      <w:proofErr w:type="spellEnd"/>
      <w:r w:rsidRPr="00780905">
        <w:t xml:space="preserve"> group and 16 (11%) in the </w:t>
      </w:r>
      <w:proofErr w:type="spellStart"/>
      <w:r w:rsidRPr="00780905">
        <w:t>PVd</w:t>
      </w:r>
      <w:proofErr w:type="spellEnd"/>
      <w:r w:rsidR="00073830">
        <w:t xml:space="preserve">. </w:t>
      </w:r>
      <w:r w:rsidRPr="00780905">
        <w:t xml:space="preserve">The most common SAE leading to fatality was COVID pneumonia in five (3%) participants in the </w:t>
      </w:r>
      <w:proofErr w:type="spellStart"/>
      <w:r w:rsidRPr="00780905">
        <w:t>BPd</w:t>
      </w:r>
      <w:proofErr w:type="spellEnd"/>
      <w:r w:rsidRPr="00780905">
        <w:t xml:space="preserve"> group and two (1%) in the </w:t>
      </w:r>
      <w:proofErr w:type="spellStart"/>
      <w:r w:rsidRPr="00780905">
        <w:t>PVd</w:t>
      </w:r>
      <w:proofErr w:type="spellEnd"/>
      <w:r w:rsidR="00073830">
        <w:t xml:space="preserve">. </w:t>
      </w:r>
      <w:r w:rsidRPr="00780905">
        <w:t xml:space="preserve">SAEs were reported in 95 (63%) participants in the </w:t>
      </w:r>
      <w:proofErr w:type="spellStart"/>
      <w:r w:rsidRPr="00780905">
        <w:t>BPd</w:t>
      </w:r>
      <w:proofErr w:type="spellEnd"/>
      <w:r w:rsidRPr="00780905">
        <w:t xml:space="preserve"> group and 65 (45%) in the </w:t>
      </w:r>
      <w:proofErr w:type="spellStart"/>
      <w:r w:rsidRPr="00780905">
        <w:t>PVd</w:t>
      </w:r>
      <w:proofErr w:type="spellEnd"/>
      <w:r w:rsidR="00073830">
        <w:t xml:space="preserve">. </w:t>
      </w:r>
      <w:r w:rsidRPr="00780905">
        <w:t xml:space="preserve">Pneumonia was reported for 27 (18%) participants in the </w:t>
      </w:r>
      <w:proofErr w:type="spellStart"/>
      <w:r w:rsidRPr="00780905">
        <w:t>BPd</w:t>
      </w:r>
      <w:proofErr w:type="spellEnd"/>
      <w:r w:rsidRPr="00780905">
        <w:t xml:space="preserve"> group and 11 (8%) in the </w:t>
      </w:r>
      <w:proofErr w:type="spellStart"/>
      <w:r w:rsidRPr="00780905">
        <w:t>PVd</w:t>
      </w:r>
      <w:proofErr w:type="spellEnd"/>
      <w:r w:rsidR="00073830">
        <w:t xml:space="preserve">. </w:t>
      </w:r>
      <w:r w:rsidRPr="00780905">
        <w:t xml:space="preserve">COVID-19 pneumonia was reported for 17 (11%) participants in the </w:t>
      </w:r>
      <w:proofErr w:type="spellStart"/>
      <w:r w:rsidRPr="00780905">
        <w:t>BPd</w:t>
      </w:r>
      <w:proofErr w:type="spellEnd"/>
      <w:r w:rsidRPr="00780905">
        <w:t xml:space="preserve"> group and six (4%) in the </w:t>
      </w:r>
      <w:proofErr w:type="spellStart"/>
      <w:r w:rsidRPr="00780905">
        <w:t>PVd</w:t>
      </w:r>
      <w:proofErr w:type="spellEnd"/>
      <w:r w:rsidRPr="00780905">
        <w:t>.</w:t>
      </w:r>
    </w:p>
    <w:p w14:paraId="67404BE3" w14:textId="77777777" w:rsidR="00780905" w:rsidRPr="00780905" w:rsidRDefault="00780905" w:rsidP="00780905">
      <w:r w:rsidRPr="00780905">
        <w:t>The SAEs were predominantly infections, particularly pneumonia and lower respiratory tract infections, and these occurred at higher rates (11% to 18% of participants) in the belantamab mafodotin groups.</w:t>
      </w:r>
    </w:p>
    <w:p w14:paraId="28AC265F" w14:textId="66B33CC9" w:rsidR="00780905" w:rsidRPr="00780905" w:rsidRDefault="00780905" w:rsidP="00780905">
      <w:r w:rsidRPr="00780905">
        <w:t xml:space="preserve">Treatment discontinuations were more frequent with the </w:t>
      </w:r>
      <w:proofErr w:type="spellStart"/>
      <w:r w:rsidRPr="00780905">
        <w:t>BVd</w:t>
      </w:r>
      <w:proofErr w:type="spellEnd"/>
      <w:r w:rsidRPr="00780905">
        <w:t xml:space="preserve"> regimen</w:t>
      </w:r>
      <w:r w:rsidR="00073830">
        <w:t xml:space="preserve">. </w:t>
      </w:r>
      <w:r w:rsidRPr="00780905">
        <w:t xml:space="preserve">In DREAMM-7 AEs leading to permanent discontinuation of any study treatment were reported in 31% participants in the </w:t>
      </w:r>
      <w:proofErr w:type="spellStart"/>
      <w:r w:rsidRPr="00780905">
        <w:t>BVd</w:t>
      </w:r>
      <w:proofErr w:type="spellEnd"/>
      <w:r w:rsidRPr="00780905">
        <w:t xml:space="preserve"> group and 19% in the </w:t>
      </w:r>
      <w:proofErr w:type="spellStart"/>
      <w:r w:rsidRPr="00780905">
        <w:t>DVd</w:t>
      </w:r>
      <w:proofErr w:type="spellEnd"/>
      <w:r w:rsidRPr="00780905">
        <w:t xml:space="preserve"> group; and in DREAMM-8 15% in the </w:t>
      </w:r>
      <w:proofErr w:type="spellStart"/>
      <w:r w:rsidRPr="00780905">
        <w:t>BPd</w:t>
      </w:r>
      <w:proofErr w:type="spellEnd"/>
      <w:r w:rsidRPr="00780905">
        <w:t xml:space="preserve"> group and 12% in the </w:t>
      </w:r>
      <w:proofErr w:type="spellStart"/>
      <w:r w:rsidRPr="00780905">
        <w:t>PVd</w:t>
      </w:r>
      <w:proofErr w:type="spellEnd"/>
      <w:r w:rsidR="00073830">
        <w:t xml:space="preserve">. </w:t>
      </w:r>
      <w:r w:rsidRPr="00780905">
        <w:t xml:space="preserve">With belantamab mafodotin, ocular AEs were the most frequent AE leading to dose reduction or dose interruption/delay. </w:t>
      </w:r>
    </w:p>
    <w:p w14:paraId="6F48DB5B" w14:textId="77777777" w:rsidR="00780905" w:rsidRPr="00780905" w:rsidRDefault="00780905" w:rsidP="00780905">
      <w:r w:rsidRPr="00780905">
        <w:lastRenderedPageBreak/>
        <w:t>The indicators of hepatic or renal injury were similar for the belantamab mafodotin regimens and the comparator regimens.</w:t>
      </w:r>
    </w:p>
    <w:p w14:paraId="591431E3" w14:textId="7BAEF23E" w:rsidR="00780905" w:rsidRPr="00780905" w:rsidRDefault="00780905" w:rsidP="00780905">
      <w:r w:rsidRPr="00780905">
        <w:t>The haematology effects differed between the belantamab treatment combinations</w:t>
      </w:r>
      <w:r w:rsidR="00073830">
        <w:t xml:space="preserve">. </w:t>
      </w:r>
      <w:r w:rsidRPr="00780905">
        <w:t xml:space="preserve">In DREAMM-7 Grade 4 thrombocytopenia was more frequent in the </w:t>
      </w:r>
      <w:proofErr w:type="spellStart"/>
      <w:r w:rsidRPr="00780905">
        <w:t>BVd</w:t>
      </w:r>
      <w:proofErr w:type="spellEnd"/>
      <w:r w:rsidRPr="00780905">
        <w:t xml:space="preserve"> group: 45% participants compared to 21% in the </w:t>
      </w:r>
      <w:proofErr w:type="spellStart"/>
      <w:r w:rsidRPr="00780905">
        <w:t>DVd</w:t>
      </w:r>
      <w:proofErr w:type="spellEnd"/>
      <w:r w:rsidR="00073830">
        <w:t xml:space="preserve">. </w:t>
      </w:r>
      <w:r w:rsidRPr="00780905">
        <w:t xml:space="preserve">In DREAMM-8 Grade 4 neutropenia was more frequent in the </w:t>
      </w:r>
      <w:proofErr w:type="spellStart"/>
      <w:r w:rsidRPr="00780905">
        <w:t>BPd</w:t>
      </w:r>
      <w:proofErr w:type="spellEnd"/>
      <w:r w:rsidRPr="00780905">
        <w:t xml:space="preserve"> group: </w:t>
      </w:r>
      <w:r w:rsidR="00227D71">
        <w:t xml:space="preserve">30 </w:t>
      </w:r>
      <w:r w:rsidRPr="00780905">
        <w:t xml:space="preserve">% participants compared to </w:t>
      </w:r>
      <w:r w:rsidR="00227D71">
        <w:t xml:space="preserve">13 </w:t>
      </w:r>
      <w:r w:rsidRPr="00780905">
        <w:t xml:space="preserve">% in the </w:t>
      </w:r>
      <w:proofErr w:type="spellStart"/>
      <w:r w:rsidRPr="00780905">
        <w:t>PVd</w:t>
      </w:r>
      <w:proofErr w:type="spellEnd"/>
      <w:r w:rsidRPr="00780905">
        <w:t xml:space="preserve"> group</w:t>
      </w:r>
      <w:r w:rsidR="00073830">
        <w:t xml:space="preserve">. </w:t>
      </w:r>
    </w:p>
    <w:p w14:paraId="76CAA6CE" w14:textId="5E411656" w:rsidR="00780905" w:rsidRPr="00780905" w:rsidRDefault="00780905" w:rsidP="00780905">
      <w:r w:rsidRPr="00780905">
        <w:t xml:space="preserve">Ocular AEs were common: in DREAMM-7 79% participants in the </w:t>
      </w:r>
      <w:proofErr w:type="spellStart"/>
      <w:r w:rsidRPr="00780905">
        <w:t>BVd</w:t>
      </w:r>
      <w:proofErr w:type="spellEnd"/>
      <w:r w:rsidRPr="00780905">
        <w:t xml:space="preserve"> group and in DREAMM-8 89% in the </w:t>
      </w:r>
      <w:proofErr w:type="spellStart"/>
      <w:r w:rsidRPr="00780905">
        <w:t>BPd</w:t>
      </w:r>
      <w:proofErr w:type="spellEnd"/>
      <w:r w:rsidRPr="00780905">
        <w:t>. These were in DREAMM-7, vision blurred in 66%, dry eye in 51%, photophobia in 47%, foreign body sensation in the eye in 44%, eye irritation in 43% and eye pain in 32%; and in DREAMM-8:  vision blurred in 79%, dry eye in 61%, foreign body sensation in the eye in 61%, eye irritation in 50%, photophobia in 44% and eye pain in 33%</w:t>
      </w:r>
      <w:r w:rsidR="00073830">
        <w:t xml:space="preserve">. </w:t>
      </w:r>
      <w:r w:rsidRPr="00780905">
        <w:t xml:space="preserve">In DREAMM-7, investigator assessed corneal events occurred in 84% participants in the </w:t>
      </w:r>
      <w:proofErr w:type="spellStart"/>
      <w:r w:rsidRPr="00780905">
        <w:t>BVd</w:t>
      </w:r>
      <w:proofErr w:type="spellEnd"/>
      <w:r w:rsidRPr="00780905">
        <w:t xml:space="preserve"> group with Grade 4 events in 22%, and in DREAMM-8, in 87% participants in the </w:t>
      </w:r>
      <w:proofErr w:type="spellStart"/>
      <w:r w:rsidRPr="00780905">
        <w:t>BPd</w:t>
      </w:r>
      <w:proofErr w:type="spellEnd"/>
      <w:r w:rsidRPr="00780905">
        <w:t xml:space="preserve"> group, with Grade 4 events in 7%</w:t>
      </w:r>
      <w:r w:rsidR="00073830">
        <w:t xml:space="preserve">. </w:t>
      </w:r>
      <w:r w:rsidRPr="00780905">
        <w:t xml:space="preserve">In DREAMM-7, </w:t>
      </w:r>
      <w:r w:rsidR="00227D71">
        <w:t xml:space="preserve">bilateral </w:t>
      </w:r>
      <w:r w:rsidRPr="00780905">
        <w:t xml:space="preserve">worsening of BCVA to 20/50 or worse was reported for 33.9% participants in the </w:t>
      </w:r>
      <w:proofErr w:type="spellStart"/>
      <w:r w:rsidRPr="00780905">
        <w:t>BVd</w:t>
      </w:r>
      <w:proofErr w:type="spellEnd"/>
      <w:r w:rsidRPr="00780905">
        <w:t xml:space="preserve"> group; and in DREAMM-8, 34% participants in the </w:t>
      </w:r>
      <w:proofErr w:type="spellStart"/>
      <w:r w:rsidRPr="00780905">
        <w:t>B</w:t>
      </w:r>
      <w:r w:rsidR="00533844">
        <w:t>P</w:t>
      </w:r>
      <w:r w:rsidRPr="00780905">
        <w:t>d</w:t>
      </w:r>
      <w:proofErr w:type="spellEnd"/>
      <w:r w:rsidRPr="00780905">
        <w:t xml:space="preserve"> group</w:t>
      </w:r>
      <w:r w:rsidR="00073830">
        <w:t xml:space="preserve">. </w:t>
      </w:r>
      <w:r w:rsidRPr="00780905">
        <w:t>In DREAMM-7,</w:t>
      </w:r>
      <w:r w:rsidRPr="00780905">
        <w:rPr>
          <w:lang w:val="en-NZ"/>
        </w:rPr>
        <w:t xml:space="preserve"> 15.3% participants in the </w:t>
      </w:r>
      <w:proofErr w:type="spellStart"/>
      <w:r w:rsidRPr="00780905">
        <w:rPr>
          <w:lang w:val="en-NZ"/>
        </w:rPr>
        <w:t>BVd</w:t>
      </w:r>
      <w:proofErr w:type="spellEnd"/>
      <w:r w:rsidRPr="00780905">
        <w:rPr>
          <w:lang w:val="en-NZ"/>
        </w:rPr>
        <w:t xml:space="preserve"> group stopped reading due to eyesight issues and 17.8% stopped driving due to eyesight issues</w:t>
      </w:r>
      <w:r w:rsidR="00073830">
        <w:rPr>
          <w:lang w:val="en-NZ"/>
        </w:rPr>
        <w:t xml:space="preserve">. </w:t>
      </w:r>
      <w:r w:rsidRPr="00780905">
        <w:rPr>
          <w:lang w:val="en-NZ"/>
        </w:rPr>
        <w:t xml:space="preserve">In DREAMM-8, 23.3% participants in the </w:t>
      </w:r>
      <w:proofErr w:type="spellStart"/>
      <w:r w:rsidRPr="00780905">
        <w:rPr>
          <w:lang w:val="en-NZ"/>
        </w:rPr>
        <w:t>BPd</w:t>
      </w:r>
      <w:proofErr w:type="spellEnd"/>
      <w:r w:rsidRPr="00780905">
        <w:rPr>
          <w:lang w:val="en-NZ"/>
        </w:rPr>
        <w:t xml:space="preserve"> group stopped reading due to eyesight issues and 24.7% stopped driving due to eyesight issues. </w:t>
      </w:r>
      <w:r w:rsidRPr="00780905">
        <w:t>In DREAMM-7 and DREAMM-8, the median (range) duration of occurrence, for participants who recovered, was 50.0 (12 to 574) days and 59.0 (3 to 785) days, respectively</w:t>
      </w:r>
      <w:r w:rsidR="00073830">
        <w:t xml:space="preserve">. </w:t>
      </w:r>
    </w:p>
    <w:p w14:paraId="3228DBFE" w14:textId="74D140C6" w:rsidR="00A92F6F" w:rsidRDefault="00780905" w:rsidP="00780905">
      <w:pPr>
        <w:pStyle w:val="TableTitle"/>
      </w:pPr>
      <w:r w:rsidRPr="00780905">
        <w:t>Table</w:t>
      </w:r>
      <w:r w:rsidR="003716D8">
        <w:t xml:space="preserve"> 8</w:t>
      </w:r>
      <w:r w:rsidRPr="00780905">
        <w:t xml:space="preserve">: Summary of </w:t>
      </w:r>
      <w:r w:rsidR="00A0536E">
        <w:t>Blenrep</w:t>
      </w:r>
      <w:r w:rsidRPr="00780905">
        <w:t xml:space="preserve"> associate</w:t>
      </w:r>
      <w:r w:rsidR="00236C0D">
        <w:t>d</w:t>
      </w:r>
      <w:r w:rsidRPr="00780905">
        <w:t xml:space="preserve"> ocular adverse reactions in DREAMM-7</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8: Summary of Blenrep associate ocular adverse reactions in DREAMM-7"/>
      </w:tblPr>
      <w:tblGrid>
        <w:gridCol w:w="2529"/>
        <w:gridCol w:w="1479"/>
        <w:gridCol w:w="1378"/>
        <w:gridCol w:w="1412"/>
        <w:gridCol w:w="2262"/>
      </w:tblGrid>
      <w:tr w:rsidR="00993DD3" w:rsidRPr="003F7444" w14:paraId="0B7B9DAF" w14:textId="77777777" w:rsidTr="00132BBF">
        <w:trPr>
          <w:tblHeader/>
        </w:trPr>
        <w:tc>
          <w:tcPr>
            <w:tcW w:w="0" w:type="auto"/>
            <w:vMerge w:val="restart"/>
            <w:shd w:val="clear" w:color="auto" w:fill="DEEAF6"/>
            <w:vAlign w:val="center"/>
            <w:hideMark/>
          </w:tcPr>
          <w:p w14:paraId="2BE33BB7" w14:textId="77777777" w:rsidR="00993DD3" w:rsidRPr="003F7444" w:rsidRDefault="00993DD3" w:rsidP="00993DD3">
            <w:pPr>
              <w:spacing w:line="240" w:lineRule="auto"/>
              <w:contextualSpacing/>
              <w:rPr>
                <w:color w:val="263287"/>
                <w:szCs w:val="22"/>
              </w:rPr>
            </w:pPr>
          </w:p>
        </w:tc>
        <w:tc>
          <w:tcPr>
            <w:tcW w:w="0" w:type="auto"/>
            <w:vMerge w:val="restart"/>
            <w:shd w:val="clear" w:color="auto" w:fill="DEEAF6"/>
            <w:vAlign w:val="center"/>
            <w:hideMark/>
          </w:tcPr>
          <w:p w14:paraId="4776B34C" w14:textId="77777777" w:rsidR="00993DD3" w:rsidRPr="003F7444" w:rsidRDefault="00993DD3" w:rsidP="00993DD3">
            <w:pPr>
              <w:spacing w:line="240" w:lineRule="auto"/>
              <w:contextualSpacing/>
              <w:rPr>
                <w:b/>
                <w:bCs/>
                <w:color w:val="263287"/>
                <w:szCs w:val="22"/>
              </w:rPr>
            </w:pPr>
            <w:r w:rsidRPr="003F7444">
              <w:rPr>
                <w:b/>
                <w:bCs/>
                <w:color w:val="263287"/>
                <w:szCs w:val="22"/>
              </w:rPr>
              <w:t>Ocular adverse reactionsᵃ</w:t>
            </w:r>
          </w:p>
        </w:tc>
        <w:tc>
          <w:tcPr>
            <w:tcW w:w="0" w:type="auto"/>
            <w:gridSpan w:val="2"/>
            <w:shd w:val="clear" w:color="auto" w:fill="DEEAF6"/>
            <w:vAlign w:val="center"/>
            <w:hideMark/>
          </w:tcPr>
          <w:p w14:paraId="56A74935" w14:textId="0875E792" w:rsidR="00993DD3" w:rsidRPr="003F7444" w:rsidRDefault="00993DD3" w:rsidP="00993DD3">
            <w:pPr>
              <w:spacing w:line="240" w:lineRule="auto"/>
              <w:contextualSpacing/>
              <w:rPr>
                <w:b/>
                <w:bCs/>
                <w:color w:val="263287"/>
                <w:szCs w:val="22"/>
              </w:rPr>
            </w:pPr>
            <w:r w:rsidRPr="003F7444">
              <w:rPr>
                <w:b/>
                <w:bCs/>
                <w:color w:val="263287"/>
                <w:szCs w:val="22"/>
              </w:rPr>
              <w:t>Best Corrected Visual Acuity (BCVA)ᵇ</w:t>
            </w:r>
          </w:p>
        </w:tc>
        <w:tc>
          <w:tcPr>
            <w:tcW w:w="0" w:type="auto"/>
            <w:vMerge w:val="restart"/>
            <w:shd w:val="clear" w:color="auto" w:fill="DEEAF6"/>
            <w:vAlign w:val="center"/>
            <w:hideMark/>
          </w:tcPr>
          <w:p w14:paraId="6AB060BA" w14:textId="77777777" w:rsidR="00993DD3" w:rsidRPr="003F7444" w:rsidRDefault="00993DD3" w:rsidP="00993DD3">
            <w:pPr>
              <w:spacing w:line="240" w:lineRule="auto"/>
              <w:contextualSpacing/>
              <w:rPr>
                <w:b/>
                <w:bCs/>
                <w:color w:val="263287"/>
                <w:szCs w:val="22"/>
              </w:rPr>
            </w:pPr>
            <w:r w:rsidRPr="003F7444">
              <w:rPr>
                <w:b/>
                <w:bCs/>
                <w:color w:val="263287"/>
                <w:szCs w:val="22"/>
              </w:rPr>
              <w:t xml:space="preserve">Corneal examination findings (Grade 2+ </w:t>
            </w:r>
            <w:proofErr w:type="gramStart"/>
            <w:r w:rsidRPr="003F7444">
              <w:rPr>
                <w:b/>
                <w:bCs/>
                <w:color w:val="263287"/>
                <w:szCs w:val="22"/>
              </w:rPr>
              <w:t>events)ᶜ</w:t>
            </w:r>
            <w:proofErr w:type="gramEnd"/>
          </w:p>
        </w:tc>
      </w:tr>
      <w:tr w:rsidR="00993DD3" w:rsidRPr="003F7444" w14:paraId="7EB61C60" w14:textId="77777777" w:rsidTr="00132BBF">
        <w:tc>
          <w:tcPr>
            <w:tcW w:w="0" w:type="auto"/>
            <w:vMerge/>
            <w:vAlign w:val="center"/>
            <w:hideMark/>
          </w:tcPr>
          <w:p w14:paraId="205CFB72" w14:textId="77777777" w:rsidR="00993DD3" w:rsidRPr="003F7444" w:rsidRDefault="00993DD3" w:rsidP="00993DD3">
            <w:pPr>
              <w:spacing w:line="240" w:lineRule="auto"/>
              <w:contextualSpacing/>
              <w:rPr>
                <w:b/>
                <w:bCs/>
                <w:color w:val="263287"/>
                <w:szCs w:val="22"/>
              </w:rPr>
            </w:pPr>
          </w:p>
        </w:tc>
        <w:tc>
          <w:tcPr>
            <w:tcW w:w="0" w:type="auto"/>
            <w:vMerge/>
            <w:vAlign w:val="center"/>
            <w:hideMark/>
          </w:tcPr>
          <w:p w14:paraId="2A271916" w14:textId="77777777" w:rsidR="00993DD3" w:rsidRPr="003F7444" w:rsidRDefault="00993DD3" w:rsidP="00993DD3">
            <w:pPr>
              <w:spacing w:line="240" w:lineRule="auto"/>
              <w:contextualSpacing/>
              <w:rPr>
                <w:color w:val="263287"/>
                <w:szCs w:val="22"/>
              </w:rPr>
            </w:pPr>
          </w:p>
        </w:tc>
        <w:tc>
          <w:tcPr>
            <w:tcW w:w="0" w:type="auto"/>
            <w:shd w:val="clear" w:color="auto" w:fill="DEEAF6"/>
            <w:vAlign w:val="center"/>
            <w:hideMark/>
          </w:tcPr>
          <w:p w14:paraId="38FA1E36" w14:textId="77777777" w:rsidR="00993DD3" w:rsidRPr="003F7444" w:rsidRDefault="00993DD3" w:rsidP="00993DD3">
            <w:pPr>
              <w:spacing w:line="240" w:lineRule="auto"/>
              <w:contextualSpacing/>
              <w:rPr>
                <w:color w:val="263287"/>
                <w:szCs w:val="22"/>
              </w:rPr>
            </w:pPr>
            <w:r w:rsidRPr="003F7444">
              <w:rPr>
                <w:b/>
                <w:bCs/>
                <w:color w:val="263287"/>
                <w:szCs w:val="22"/>
              </w:rPr>
              <w:t>20/50 or worse for patients</w:t>
            </w:r>
          </w:p>
        </w:tc>
        <w:tc>
          <w:tcPr>
            <w:tcW w:w="0" w:type="auto"/>
            <w:shd w:val="clear" w:color="auto" w:fill="DEEAF6"/>
            <w:vAlign w:val="center"/>
            <w:hideMark/>
          </w:tcPr>
          <w:p w14:paraId="6E65C073" w14:textId="77777777" w:rsidR="00993DD3" w:rsidRPr="003F7444" w:rsidRDefault="00993DD3" w:rsidP="00993DD3">
            <w:pPr>
              <w:spacing w:line="240" w:lineRule="auto"/>
              <w:contextualSpacing/>
              <w:rPr>
                <w:color w:val="263287"/>
                <w:szCs w:val="22"/>
              </w:rPr>
            </w:pPr>
            <w:r w:rsidRPr="003F7444">
              <w:rPr>
                <w:b/>
                <w:bCs/>
                <w:color w:val="263287"/>
                <w:szCs w:val="22"/>
              </w:rPr>
              <w:t>20/200 or worse for patients</w:t>
            </w:r>
          </w:p>
        </w:tc>
        <w:tc>
          <w:tcPr>
            <w:tcW w:w="0" w:type="auto"/>
            <w:vMerge/>
            <w:vAlign w:val="center"/>
            <w:hideMark/>
          </w:tcPr>
          <w:p w14:paraId="5094FCE1" w14:textId="77777777" w:rsidR="00993DD3" w:rsidRPr="003F7444" w:rsidRDefault="00993DD3" w:rsidP="00993DD3">
            <w:pPr>
              <w:spacing w:line="240" w:lineRule="auto"/>
              <w:contextualSpacing/>
              <w:rPr>
                <w:color w:val="263287"/>
                <w:szCs w:val="22"/>
              </w:rPr>
            </w:pPr>
          </w:p>
        </w:tc>
      </w:tr>
      <w:tr w:rsidR="00943162" w:rsidRPr="003F7444" w14:paraId="2D7DD7F8" w14:textId="77777777" w:rsidTr="00993DD3">
        <w:tc>
          <w:tcPr>
            <w:tcW w:w="0" w:type="auto"/>
            <w:vAlign w:val="center"/>
            <w:hideMark/>
          </w:tcPr>
          <w:p w14:paraId="2B6B8A82" w14:textId="77777777" w:rsidR="00943162" w:rsidRPr="003F7444" w:rsidRDefault="00943162" w:rsidP="00993DD3">
            <w:pPr>
              <w:spacing w:line="240" w:lineRule="auto"/>
              <w:contextualSpacing/>
              <w:rPr>
                <w:szCs w:val="22"/>
              </w:rPr>
            </w:pPr>
            <w:r w:rsidRPr="003F7444">
              <w:rPr>
                <w:szCs w:val="22"/>
              </w:rPr>
              <w:t>Number of patients with event n (%)</w:t>
            </w:r>
          </w:p>
        </w:tc>
        <w:tc>
          <w:tcPr>
            <w:tcW w:w="0" w:type="auto"/>
            <w:vAlign w:val="center"/>
            <w:hideMark/>
          </w:tcPr>
          <w:p w14:paraId="57AD6BFA" w14:textId="77777777" w:rsidR="00943162" w:rsidRPr="003F7444" w:rsidRDefault="00943162" w:rsidP="00993DD3">
            <w:pPr>
              <w:spacing w:line="240" w:lineRule="auto"/>
              <w:contextualSpacing/>
              <w:rPr>
                <w:szCs w:val="22"/>
              </w:rPr>
            </w:pPr>
            <w:r w:rsidRPr="003F7444">
              <w:rPr>
                <w:szCs w:val="22"/>
              </w:rPr>
              <w:t>194 (80)</w:t>
            </w:r>
          </w:p>
        </w:tc>
        <w:tc>
          <w:tcPr>
            <w:tcW w:w="0" w:type="auto"/>
            <w:vAlign w:val="center"/>
            <w:hideMark/>
          </w:tcPr>
          <w:p w14:paraId="33142BFD" w14:textId="77777777" w:rsidR="00943162" w:rsidRPr="003F7444" w:rsidRDefault="00943162" w:rsidP="00993DD3">
            <w:pPr>
              <w:spacing w:line="240" w:lineRule="auto"/>
              <w:contextualSpacing/>
              <w:rPr>
                <w:szCs w:val="22"/>
              </w:rPr>
            </w:pPr>
            <w:r w:rsidRPr="003F7444">
              <w:rPr>
                <w:szCs w:val="22"/>
              </w:rPr>
              <w:t>84 (35)</w:t>
            </w:r>
          </w:p>
        </w:tc>
        <w:tc>
          <w:tcPr>
            <w:tcW w:w="0" w:type="auto"/>
            <w:vAlign w:val="center"/>
            <w:hideMark/>
          </w:tcPr>
          <w:p w14:paraId="27E85E68" w14:textId="77777777" w:rsidR="00943162" w:rsidRPr="003F7444" w:rsidRDefault="00943162" w:rsidP="00993DD3">
            <w:pPr>
              <w:spacing w:line="240" w:lineRule="auto"/>
              <w:contextualSpacing/>
              <w:rPr>
                <w:szCs w:val="22"/>
              </w:rPr>
            </w:pPr>
            <w:r w:rsidRPr="003F7444">
              <w:rPr>
                <w:szCs w:val="22"/>
              </w:rPr>
              <w:t>5 (2)</w:t>
            </w:r>
          </w:p>
        </w:tc>
        <w:tc>
          <w:tcPr>
            <w:tcW w:w="0" w:type="auto"/>
            <w:vAlign w:val="center"/>
            <w:hideMark/>
          </w:tcPr>
          <w:p w14:paraId="187A78ED" w14:textId="77777777" w:rsidR="00943162" w:rsidRPr="003F7444" w:rsidRDefault="00943162" w:rsidP="00993DD3">
            <w:pPr>
              <w:spacing w:line="240" w:lineRule="auto"/>
              <w:contextualSpacing/>
              <w:rPr>
                <w:szCs w:val="22"/>
              </w:rPr>
            </w:pPr>
            <w:r w:rsidRPr="003F7444">
              <w:rPr>
                <w:szCs w:val="22"/>
              </w:rPr>
              <w:t>209 (86)</w:t>
            </w:r>
          </w:p>
        </w:tc>
      </w:tr>
      <w:tr w:rsidR="00943162" w:rsidRPr="003F7444" w14:paraId="2A39AEC6" w14:textId="77777777" w:rsidTr="00993DD3">
        <w:tc>
          <w:tcPr>
            <w:tcW w:w="0" w:type="auto"/>
            <w:vAlign w:val="center"/>
            <w:hideMark/>
          </w:tcPr>
          <w:p w14:paraId="4FD2FD97" w14:textId="77777777" w:rsidR="00943162" w:rsidRPr="003F7444" w:rsidRDefault="00943162" w:rsidP="00993DD3">
            <w:pPr>
              <w:spacing w:line="240" w:lineRule="auto"/>
              <w:contextualSpacing/>
              <w:rPr>
                <w:szCs w:val="22"/>
              </w:rPr>
            </w:pPr>
            <w:r w:rsidRPr="003F7444">
              <w:rPr>
                <w:szCs w:val="22"/>
              </w:rPr>
              <w:t>Median time to first onset (days)</w:t>
            </w:r>
          </w:p>
        </w:tc>
        <w:tc>
          <w:tcPr>
            <w:tcW w:w="0" w:type="auto"/>
            <w:vAlign w:val="center"/>
            <w:hideMark/>
          </w:tcPr>
          <w:p w14:paraId="6C57620B" w14:textId="77777777" w:rsidR="00943162" w:rsidRPr="003F7444" w:rsidRDefault="00943162" w:rsidP="00993DD3">
            <w:pPr>
              <w:spacing w:line="240" w:lineRule="auto"/>
              <w:contextualSpacing/>
              <w:rPr>
                <w:szCs w:val="22"/>
              </w:rPr>
            </w:pPr>
            <w:r w:rsidRPr="003F7444">
              <w:rPr>
                <w:szCs w:val="22"/>
              </w:rPr>
              <w:t>42</w:t>
            </w:r>
          </w:p>
        </w:tc>
        <w:tc>
          <w:tcPr>
            <w:tcW w:w="0" w:type="auto"/>
            <w:vAlign w:val="center"/>
            <w:hideMark/>
          </w:tcPr>
          <w:p w14:paraId="6F59382E" w14:textId="77777777" w:rsidR="00943162" w:rsidRPr="003F7444" w:rsidRDefault="00943162" w:rsidP="00993DD3">
            <w:pPr>
              <w:spacing w:line="240" w:lineRule="auto"/>
              <w:contextualSpacing/>
              <w:rPr>
                <w:szCs w:val="22"/>
              </w:rPr>
            </w:pPr>
            <w:r w:rsidRPr="003F7444">
              <w:rPr>
                <w:szCs w:val="22"/>
              </w:rPr>
              <w:t>79</w:t>
            </w:r>
          </w:p>
        </w:tc>
        <w:tc>
          <w:tcPr>
            <w:tcW w:w="0" w:type="auto"/>
            <w:vAlign w:val="center"/>
            <w:hideMark/>
          </w:tcPr>
          <w:p w14:paraId="4CCD2409" w14:textId="77777777" w:rsidR="00943162" w:rsidRPr="003F7444" w:rsidRDefault="00943162" w:rsidP="00993DD3">
            <w:pPr>
              <w:spacing w:line="240" w:lineRule="auto"/>
              <w:contextualSpacing/>
              <w:rPr>
                <w:szCs w:val="22"/>
              </w:rPr>
            </w:pPr>
            <w:r w:rsidRPr="003F7444">
              <w:rPr>
                <w:szCs w:val="22"/>
              </w:rPr>
              <w:t>105</w:t>
            </w:r>
          </w:p>
        </w:tc>
        <w:tc>
          <w:tcPr>
            <w:tcW w:w="0" w:type="auto"/>
            <w:vAlign w:val="center"/>
            <w:hideMark/>
          </w:tcPr>
          <w:p w14:paraId="74EC59B0" w14:textId="77777777" w:rsidR="00943162" w:rsidRPr="003F7444" w:rsidRDefault="00943162" w:rsidP="00993DD3">
            <w:pPr>
              <w:spacing w:line="240" w:lineRule="auto"/>
              <w:contextualSpacing/>
              <w:rPr>
                <w:szCs w:val="22"/>
              </w:rPr>
            </w:pPr>
            <w:r w:rsidRPr="003F7444">
              <w:rPr>
                <w:szCs w:val="22"/>
              </w:rPr>
              <w:t>43</w:t>
            </w:r>
          </w:p>
        </w:tc>
      </w:tr>
      <w:tr w:rsidR="00943162" w:rsidRPr="003F7444" w14:paraId="6BB38DBF" w14:textId="77777777" w:rsidTr="00993DD3">
        <w:tc>
          <w:tcPr>
            <w:tcW w:w="0" w:type="auto"/>
            <w:vAlign w:val="center"/>
            <w:hideMark/>
          </w:tcPr>
          <w:p w14:paraId="01F2A2E6" w14:textId="77777777" w:rsidR="00943162" w:rsidRPr="003F7444" w:rsidRDefault="00943162" w:rsidP="00993DD3">
            <w:pPr>
              <w:spacing w:line="240" w:lineRule="auto"/>
              <w:contextualSpacing/>
              <w:rPr>
                <w:szCs w:val="22"/>
              </w:rPr>
            </w:pPr>
            <w:r w:rsidRPr="003F7444">
              <w:rPr>
                <w:szCs w:val="22"/>
              </w:rPr>
              <w:t>Improvement of first eventᵈ, n (%)</w:t>
            </w:r>
          </w:p>
        </w:tc>
        <w:tc>
          <w:tcPr>
            <w:tcW w:w="0" w:type="auto"/>
            <w:vAlign w:val="center"/>
            <w:hideMark/>
          </w:tcPr>
          <w:p w14:paraId="545FF12C" w14:textId="77777777" w:rsidR="00943162" w:rsidRPr="003F7444" w:rsidRDefault="00943162" w:rsidP="00993DD3">
            <w:pPr>
              <w:spacing w:line="240" w:lineRule="auto"/>
              <w:contextualSpacing/>
              <w:rPr>
                <w:szCs w:val="22"/>
              </w:rPr>
            </w:pPr>
            <w:r w:rsidRPr="003F7444">
              <w:rPr>
                <w:szCs w:val="22"/>
              </w:rPr>
              <w:t>N/A</w:t>
            </w:r>
          </w:p>
        </w:tc>
        <w:tc>
          <w:tcPr>
            <w:tcW w:w="0" w:type="auto"/>
            <w:vAlign w:val="center"/>
            <w:hideMark/>
          </w:tcPr>
          <w:p w14:paraId="7FB417D9" w14:textId="77777777" w:rsidR="00943162" w:rsidRPr="003F7444" w:rsidRDefault="00943162" w:rsidP="00993DD3">
            <w:pPr>
              <w:spacing w:line="240" w:lineRule="auto"/>
              <w:contextualSpacing/>
              <w:rPr>
                <w:szCs w:val="22"/>
              </w:rPr>
            </w:pPr>
            <w:r w:rsidRPr="003F7444">
              <w:rPr>
                <w:szCs w:val="22"/>
              </w:rPr>
              <w:t>81 (96)</w:t>
            </w:r>
          </w:p>
        </w:tc>
        <w:tc>
          <w:tcPr>
            <w:tcW w:w="0" w:type="auto"/>
            <w:vAlign w:val="center"/>
            <w:hideMark/>
          </w:tcPr>
          <w:p w14:paraId="3B03E222" w14:textId="77777777" w:rsidR="00943162" w:rsidRPr="003F7444" w:rsidRDefault="00943162" w:rsidP="00993DD3">
            <w:pPr>
              <w:spacing w:line="240" w:lineRule="auto"/>
              <w:contextualSpacing/>
              <w:rPr>
                <w:szCs w:val="22"/>
              </w:rPr>
            </w:pPr>
            <w:r w:rsidRPr="003F7444">
              <w:rPr>
                <w:szCs w:val="22"/>
              </w:rPr>
              <w:t>5 (100)</w:t>
            </w:r>
          </w:p>
        </w:tc>
        <w:tc>
          <w:tcPr>
            <w:tcW w:w="0" w:type="auto"/>
            <w:vAlign w:val="center"/>
            <w:hideMark/>
          </w:tcPr>
          <w:p w14:paraId="1F070766" w14:textId="77777777" w:rsidR="00943162" w:rsidRPr="003F7444" w:rsidRDefault="00943162" w:rsidP="00993DD3">
            <w:pPr>
              <w:spacing w:line="240" w:lineRule="auto"/>
              <w:contextualSpacing/>
              <w:rPr>
                <w:szCs w:val="22"/>
              </w:rPr>
            </w:pPr>
            <w:r w:rsidRPr="003F7444">
              <w:rPr>
                <w:szCs w:val="22"/>
              </w:rPr>
              <w:t>N/A</w:t>
            </w:r>
          </w:p>
        </w:tc>
      </w:tr>
      <w:tr w:rsidR="00943162" w:rsidRPr="003F7444" w14:paraId="467CE8B7" w14:textId="77777777" w:rsidTr="00993DD3">
        <w:tc>
          <w:tcPr>
            <w:tcW w:w="0" w:type="auto"/>
            <w:vAlign w:val="center"/>
            <w:hideMark/>
          </w:tcPr>
          <w:p w14:paraId="6251D358" w14:textId="77777777" w:rsidR="00943162" w:rsidRPr="003F7444" w:rsidRDefault="00943162" w:rsidP="00993DD3">
            <w:pPr>
              <w:spacing w:line="240" w:lineRule="auto"/>
              <w:contextualSpacing/>
              <w:rPr>
                <w:szCs w:val="22"/>
              </w:rPr>
            </w:pPr>
            <w:r w:rsidRPr="003F7444">
              <w:rPr>
                <w:szCs w:val="22"/>
              </w:rPr>
              <w:t>Resolution of first eventᶜ, n (%)</w:t>
            </w:r>
          </w:p>
        </w:tc>
        <w:tc>
          <w:tcPr>
            <w:tcW w:w="0" w:type="auto"/>
            <w:vAlign w:val="center"/>
            <w:hideMark/>
          </w:tcPr>
          <w:p w14:paraId="7825B3A7" w14:textId="77777777" w:rsidR="00943162" w:rsidRPr="003F7444" w:rsidRDefault="00943162" w:rsidP="00993DD3">
            <w:pPr>
              <w:spacing w:line="240" w:lineRule="auto"/>
              <w:contextualSpacing/>
              <w:rPr>
                <w:szCs w:val="22"/>
              </w:rPr>
            </w:pPr>
            <w:r w:rsidRPr="003F7444">
              <w:rPr>
                <w:szCs w:val="22"/>
              </w:rPr>
              <w:t>88 (45)</w:t>
            </w:r>
          </w:p>
        </w:tc>
        <w:tc>
          <w:tcPr>
            <w:tcW w:w="0" w:type="auto"/>
            <w:vAlign w:val="center"/>
            <w:hideMark/>
          </w:tcPr>
          <w:p w14:paraId="596A01F5" w14:textId="77777777" w:rsidR="00943162" w:rsidRPr="003F7444" w:rsidRDefault="00943162" w:rsidP="00993DD3">
            <w:pPr>
              <w:spacing w:line="240" w:lineRule="auto"/>
              <w:contextualSpacing/>
              <w:rPr>
                <w:szCs w:val="22"/>
              </w:rPr>
            </w:pPr>
            <w:r w:rsidRPr="003F7444">
              <w:rPr>
                <w:szCs w:val="22"/>
              </w:rPr>
              <w:t>78 (93)</w:t>
            </w:r>
          </w:p>
        </w:tc>
        <w:tc>
          <w:tcPr>
            <w:tcW w:w="0" w:type="auto"/>
            <w:vAlign w:val="center"/>
            <w:hideMark/>
          </w:tcPr>
          <w:p w14:paraId="52D9EA3F" w14:textId="77777777" w:rsidR="00943162" w:rsidRPr="003F7444" w:rsidRDefault="00943162" w:rsidP="00993DD3">
            <w:pPr>
              <w:spacing w:line="240" w:lineRule="auto"/>
              <w:contextualSpacing/>
              <w:rPr>
                <w:szCs w:val="22"/>
              </w:rPr>
            </w:pPr>
            <w:r w:rsidRPr="003F7444">
              <w:rPr>
                <w:szCs w:val="22"/>
              </w:rPr>
              <w:t>4 (80)</w:t>
            </w:r>
          </w:p>
        </w:tc>
        <w:tc>
          <w:tcPr>
            <w:tcW w:w="0" w:type="auto"/>
            <w:vAlign w:val="center"/>
            <w:hideMark/>
          </w:tcPr>
          <w:p w14:paraId="0CFC4F5A" w14:textId="77777777" w:rsidR="00943162" w:rsidRPr="003F7444" w:rsidRDefault="00943162" w:rsidP="00993DD3">
            <w:pPr>
              <w:spacing w:line="240" w:lineRule="auto"/>
              <w:contextualSpacing/>
              <w:rPr>
                <w:szCs w:val="22"/>
              </w:rPr>
            </w:pPr>
            <w:r w:rsidRPr="003F7444">
              <w:rPr>
                <w:szCs w:val="22"/>
              </w:rPr>
              <w:t>180 (86)</w:t>
            </w:r>
          </w:p>
        </w:tc>
      </w:tr>
      <w:tr w:rsidR="00943162" w:rsidRPr="003F7444" w14:paraId="307482F9" w14:textId="77777777" w:rsidTr="00993DD3">
        <w:tc>
          <w:tcPr>
            <w:tcW w:w="0" w:type="auto"/>
            <w:vAlign w:val="center"/>
            <w:hideMark/>
          </w:tcPr>
          <w:p w14:paraId="40F89716" w14:textId="77777777" w:rsidR="00943162" w:rsidRPr="003F7444" w:rsidRDefault="00943162" w:rsidP="00993DD3">
            <w:pPr>
              <w:spacing w:line="240" w:lineRule="auto"/>
              <w:contextualSpacing/>
              <w:rPr>
                <w:szCs w:val="22"/>
              </w:rPr>
            </w:pPr>
            <w:r w:rsidRPr="003F7444">
              <w:rPr>
                <w:szCs w:val="22"/>
              </w:rPr>
              <w:t>Median time to resolution of first event (days)</w:t>
            </w:r>
          </w:p>
        </w:tc>
        <w:tc>
          <w:tcPr>
            <w:tcW w:w="0" w:type="auto"/>
            <w:vAlign w:val="center"/>
            <w:hideMark/>
          </w:tcPr>
          <w:p w14:paraId="1BC90255" w14:textId="77777777" w:rsidR="00943162" w:rsidRPr="003F7444" w:rsidRDefault="00943162" w:rsidP="00993DD3">
            <w:pPr>
              <w:spacing w:line="240" w:lineRule="auto"/>
              <w:contextualSpacing/>
              <w:rPr>
                <w:szCs w:val="22"/>
              </w:rPr>
            </w:pPr>
            <w:r w:rsidRPr="003F7444">
              <w:rPr>
                <w:szCs w:val="22"/>
              </w:rPr>
              <w:t>51</w:t>
            </w:r>
          </w:p>
        </w:tc>
        <w:tc>
          <w:tcPr>
            <w:tcW w:w="0" w:type="auto"/>
            <w:vAlign w:val="center"/>
            <w:hideMark/>
          </w:tcPr>
          <w:p w14:paraId="096B3A78" w14:textId="77777777" w:rsidR="00943162" w:rsidRPr="003F7444" w:rsidRDefault="00943162" w:rsidP="00993DD3">
            <w:pPr>
              <w:spacing w:line="240" w:lineRule="auto"/>
              <w:contextualSpacing/>
              <w:rPr>
                <w:szCs w:val="22"/>
              </w:rPr>
            </w:pPr>
            <w:r w:rsidRPr="003F7444">
              <w:rPr>
                <w:szCs w:val="22"/>
              </w:rPr>
              <w:t>63.5</w:t>
            </w:r>
          </w:p>
        </w:tc>
        <w:tc>
          <w:tcPr>
            <w:tcW w:w="0" w:type="auto"/>
            <w:vAlign w:val="center"/>
            <w:hideMark/>
          </w:tcPr>
          <w:p w14:paraId="71AEBAEC" w14:textId="77777777" w:rsidR="00943162" w:rsidRPr="003F7444" w:rsidRDefault="00943162" w:rsidP="00993DD3">
            <w:pPr>
              <w:spacing w:line="240" w:lineRule="auto"/>
              <w:contextualSpacing/>
              <w:rPr>
                <w:szCs w:val="22"/>
              </w:rPr>
            </w:pPr>
            <w:r w:rsidRPr="003F7444">
              <w:rPr>
                <w:szCs w:val="22"/>
              </w:rPr>
              <w:t>86.5</w:t>
            </w:r>
          </w:p>
        </w:tc>
        <w:tc>
          <w:tcPr>
            <w:tcW w:w="0" w:type="auto"/>
            <w:vAlign w:val="center"/>
            <w:hideMark/>
          </w:tcPr>
          <w:p w14:paraId="5745EBD1" w14:textId="77777777" w:rsidR="00943162" w:rsidRPr="003F7444" w:rsidRDefault="00943162" w:rsidP="00993DD3">
            <w:pPr>
              <w:spacing w:line="240" w:lineRule="auto"/>
              <w:contextualSpacing/>
              <w:rPr>
                <w:szCs w:val="22"/>
              </w:rPr>
            </w:pPr>
            <w:r w:rsidRPr="003F7444">
              <w:rPr>
                <w:szCs w:val="22"/>
              </w:rPr>
              <w:t>106</w:t>
            </w:r>
          </w:p>
        </w:tc>
      </w:tr>
      <w:tr w:rsidR="00943162" w:rsidRPr="003F7444" w14:paraId="35B5787C" w14:textId="77777777" w:rsidTr="001D602B">
        <w:tc>
          <w:tcPr>
            <w:tcW w:w="0" w:type="auto"/>
            <w:tcBorders>
              <w:bottom w:val="single" w:sz="4" w:space="0" w:color="263287"/>
            </w:tcBorders>
            <w:vAlign w:val="center"/>
            <w:hideMark/>
          </w:tcPr>
          <w:p w14:paraId="00D16054" w14:textId="77777777" w:rsidR="00943162" w:rsidRPr="003F7444" w:rsidRDefault="00943162" w:rsidP="00993DD3">
            <w:pPr>
              <w:spacing w:line="240" w:lineRule="auto"/>
              <w:contextualSpacing/>
              <w:rPr>
                <w:szCs w:val="22"/>
              </w:rPr>
            </w:pPr>
            <w:r w:rsidRPr="003F7444">
              <w:rPr>
                <w:szCs w:val="22"/>
              </w:rPr>
              <w:t>Ongoing first eventᶜ, n (%)</w:t>
            </w:r>
          </w:p>
        </w:tc>
        <w:tc>
          <w:tcPr>
            <w:tcW w:w="0" w:type="auto"/>
            <w:vAlign w:val="center"/>
            <w:hideMark/>
          </w:tcPr>
          <w:p w14:paraId="7B693022" w14:textId="77777777" w:rsidR="00943162" w:rsidRPr="003F7444" w:rsidRDefault="00943162" w:rsidP="00993DD3">
            <w:pPr>
              <w:spacing w:line="240" w:lineRule="auto"/>
              <w:contextualSpacing/>
              <w:rPr>
                <w:szCs w:val="22"/>
              </w:rPr>
            </w:pPr>
            <w:r w:rsidRPr="003F7444">
              <w:rPr>
                <w:szCs w:val="22"/>
              </w:rPr>
              <w:t>106 (55)</w:t>
            </w:r>
          </w:p>
        </w:tc>
        <w:tc>
          <w:tcPr>
            <w:tcW w:w="0" w:type="auto"/>
            <w:vAlign w:val="center"/>
            <w:hideMark/>
          </w:tcPr>
          <w:p w14:paraId="0D687C58" w14:textId="77777777" w:rsidR="00943162" w:rsidRPr="003F7444" w:rsidRDefault="00943162" w:rsidP="00993DD3">
            <w:pPr>
              <w:spacing w:line="240" w:lineRule="auto"/>
              <w:contextualSpacing/>
              <w:rPr>
                <w:szCs w:val="22"/>
              </w:rPr>
            </w:pPr>
            <w:r w:rsidRPr="003F7444">
              <w:rPr>
                <w:szCs w:val="22"/>
              </w:rPr>
              <w:t>6 (7)</w:t>
            </w:r>
          </w:p>
        </w:tc>
        <w:tc>
          <w:tcPr>
            <w:tcW w:w="0" w:type="auto"/>
            <w:vAlign w:val="center"/>
            <w:hideMark/>
          </w:tcPr>
          <w:p w14:paraId="7C7701E0" w14:textId="77777777" w:rsidR="00943162" w:rsidRPr="003F7444" w:rsidRDefault="00943162" w:rsidP="00993DD3">
            <w:pPr>
              <w:spacing w:line="240" w:lineRule="auto"/>
              <w:contextualSpacing/>
              <w:rPr>
                <w:szCs w:val="22"/>
              </w:rPr>
            </w:pPr>
            <w:r w:rsidRPr="003F7444">
              <w:rPr>
                <w:szCs w:val="22"/>
              </w:rPr>
              <w:t>1 (20)</w:t>
            </w:r>
          </w:p>
        </w:tc>
        <w:tc>
          <w:tcPr>
            <w:tcW w:w="0" w:type="auto"/>
            <w:vAlign w:val="center"/>
            <w:hideMark/>
          </w:tcPr>
          <w:p w14:paraId="7C8FDA45" w14:textId="77777777" w:rsidR="00943162" w:rsidRPr="003F7444" w:rsidRDefault="00943162" w:rsidP="00993DD3">
            <w:pPr>
              <w:spacing w:line="240" w:lineRule="auto"/>
              <w:contextualSpacing/>
              <w:rPr>
                <w:szCs w:val="22"/>
              </w:rPr>
            </w:pPr>
            <w:r w:rsidRPr="003F7444">
              <w:rPr>
                <w:szCs w:val="22"/>
              </w:rPr>
              <w:t>29 (14)</w:t>
            </w:r>
          </w:p>
        </w:tc>
      </w:tr>
      <w:tr w:rsidR="00943162" w:rsidRPr="003F7444" w14:paraId="4D2CA05E" w14:textId="77777777" w:rsidTr="001D602B">
        <w:tc>
          <w:tcPr>
            <w:tcW w:w="0" w:type="auto"/>
            <w:tcBorders>
              <w:bottom w:val="nil"/>
            </w:tcBorders>
            <w:vAlign w:val="center"/>
            <w:hideMark/>
          </w:tcPr>
          <w:p w14:paraId="0DDC0AC9" w14:textId="5144EEE3" w:rsidR="00943162" w:rsidRPr="003F7444" w:rsidRDefault="00943162" w:rsidP="00EB5CF5">
            <w:pPr>
              <w:spacing w:line="240" w:lineRule="auto"/>
              <w:ind w:left="257"/>
              <w:contextualSpacing/>
              <w:rPr>
                <w:szCs w:val="22"/>
              </w:rPr>
            </w:pPr>
            <w:r w:rsidRPr="003F7444">
              <w:rPr>
                <w:szCs w:val="22"/>
              </w:rPr>
              <w:t>On treatment and follow</w:t>
            </w:r>
            <w:r w:rsidRPr="003F7444">
              <w:rPr>
                <w:szCs w:val="22"/>
              </w:rPr>
              <w:noBreakHyphen/>
              <w:t>up ongoing, n (%)</w:t>
            </w:r>
          </w:p>
        </w:tc>
        <w:tc>
          <w:tcPr>
            <w:tcW w:w="0" w:type="auto"/>
            <w:vAlign w:val="center"/>
            <w:hideMark/>
          </w:tcPr>
          <w:p w14:paraId="4D967D69" w14:textId="77777777" w:rsidR="00943162" w:rsidRPr="003F7444" w:rsidRDefault="00943162" w:rsidP="00993DD3">
            <w:pPr>
              <w:spacing w:line="240" w:lineRule="auto"/>
              <w:contextualSpacing/>
              <w:rPr>
                <w:szCs w:val="22"/>
              </w:rPr>
            </w:pPr>
            <w:r w:rsidRPr="003F7444">
              <w:rPr>
                <w:szCs w:val="22"/>
              </w:rPr>
              <w:t>28 (14)</w:t>
            </w:r>
          </w:p>
        </w:tc>
        <w:tc>
          <w:tcPr>
            <w:tcW w:w="0" w:type="auto"/>
            <w:vAlign w:val="center"/>
            <w:hideMark/>
          </w:tcPr>
          <w:p w14:paraId="21560E6C" w14:textId="77777777" w:rsidR="00943162" w:rsidRPr="003F7444" w:rsidRDefault="00943162" w:rsidP="00993DD3">
            <w:pPr>
              <w:spacing w:line="240" w:lineRule="auto"/>
              <w:contextualSpacing/>
              <w:rPr>
                <w:szCs w:val="22"/>
              </w:rPr>
            </w:pPr>
            <w:r w:rsidRPr="003F7444">
              <w:rPr>
                <w:szCs w:val="22"/>
              </w:rPr>
              <w:t>1 (1)</w:t>
            </w:r>
          </w:p>
        </w:tc>
        <w:tc>
          <w:tcPr>
            <w:tcW w:w="0" w:type="auto"/>
            <w:vAlign w:val="center"/>
            <w:hideMark/>
          </w:tcPr>
          <w:p w14:paraId="7D740093" w14:textId="77777777" w:rsidR="00943162" w:rsidRPr="003F7444" w:rsidRDefault="00943162" w:rsidP="00993DD3">
            <w:pPr>
              <w:spacing w:line="240" w:lineRule="auto"/>
              <w:contextualSpacing/>
              <w:rPr>
                <w:szCs w:val="22"/>
              </w:rPr>
            </w:pPr>
            <w:r w:rsidRPr="003F7444">
              <w:rPr>
                <w:szCs w:val="22"/>
              </w:rPr>
              <w:t>–</w:t>
            </w:r>
          </w:p>
        </w:tc>
        <w:tc>
          <w:tcPr>
            <w:tcW w:w="0" w:type="auto"/>
            <w:vAlign w:val="center"/>
            <w:hideMark/>
          </w:tcPr>
          <w:p w14:paraId="66470235" w14:textId="77777777" w:rsidR="00943162" w:rsidRPr="003F7444" w:rsidRDefault="00943162" w:rsidP="00993DD3">
            <w:pPr>
              <w:spacing w:line="240" w:lineRule="auto"/>
              <w:contextualSpacing/>
              <w:rPr>
                <w:szCs w:val="22"/>
              </w:rPr>
            </w:pPr>
            <w:r w:rsidRPr="003F7444">
              <w:rPr>
                <w:szCs w:val="22"/>
              </w:rPr>
              <w:t>–</w:t>
            </w:r>
          </w:p>
        </w:tc>
      </w:tr>
      <w:tr w:rsidR="00943162" w:rsidRPr="003F7444" w14:paraId="2848BFD0" w14:textId="77777777" w:rsidTr="001D602B">
        <w:tc>
          <w:tcPr>
            <w:tcW w:w="0" w:type="auto"/>
            <w:tcBorders>
              <w:top w:val="nil"/>
              <w:bottom w:val="nil"/>
            </w:tcBorders>
            <w:vAlign w:val="center"/>
            <w:hideMark/>
          </w:tcPr>
          <w:p w14:paraId="44110C51" w14:textId="331EFA92" w:rsidR="00943162" w:rsidRPr="003F7444" w:rsidRDefault="00943162" w:rsidP="00EB5CF5">
            <w:pPr>
              <w:spacing w:line="240" w:lineRule="auto"/>
              <w:ind w:left="257"/>
              <w:contextualSpacing/>
              <w:rPr>
                <w:szCs w:val="22"/>
              </w:rPr>
            </w:pPr>
            <w:r w:rsidRPr="003F7444">
              <w:rPr>
                <w:szCs w:val="22"/>
              </w:rPr>
              <w:t>Discontinued treatment and follow</w:t>
            </w:r>
            <w:r w:rsidRPr="003F7444">
              <w:rPr>
                <w:szCs w:val="22"/>
              </w:rPr>
              <w:noBreakHyphen/>
              <w:t>up ongoing, n (%)</w:t>
            </w:r>
          </w:p>
        </w:tc>
        <w:tc>
          <w:tcPr>
            <w:tcW w:w="0" w:type="auto"/>
            <w:vAlign w:val="center"/>
            <w:hideMark/>
          </w:tcPr>
          <w:p w14:paraId="5D1254EB" w14:textId="77777777" w:rsidR="00943162" w:rsidRPr="003F7444" w:rsidRDefault="00943162" w:rsidP="00993DD3">
            <w:pPr>
              <w:spacing w:line="240" w:lineRule="auto"/>
              <w:contextualSpacing/>
              <w:rPr>
                <w:szCs w:val="22"/>
              </w:rPr>
            </w:pPr>
            <w:r w:rsidRPr="003F7444">
              <w:rPr>
                <w:szCs w:val="22"/>
              </w:rPr>
              <w:t>40 (21)</w:t>
            </w:r>
          </w:p>
        </w:tc>
        <w:tc>
          <w:tcPr>
            <w:tcW w:w="0" w:type="auto"/>
            <w:vAlign w:val="center"/>
            <w:hideMark/>
          </w:tcPr>
          <w:p w14:paraId="23509EE1" w14:textId="77777777" w:rsidR="00943162" w:rsidRPr="003F7444" w:rsidRDefault="00943162" w:rsidP="00993DD3">
            <w:pPr>
              <w:spacing w:line="240" w:lineRule="auto"/>
              <w:contextualSpacing/>
              <w:rPr>
                <w:szCs w:val="22"/>
              </w:rPr>
            </w:pPr>
            <w:r w:rsidRPr="003F7444">
              <w:rPr>
                <w:szCs w:val="22"/>
              </w:rPr>
              <w:t>–</w:t>
            </w:r>
          </w:p>
        </w:tc>
        <w:tc>
          <w:tcPr>
            <w:tcW w:w="0" w:type="auto"/>
            <w:vAlign w:val="center"/>
            <w:hideMark/>
          </w:tcPr>
          <w:p w14:paraId="66EBD99B" w14:textId="77777777" w:rsidR="00943162" w:rsidRPr="003F7444" w:rsidRDefault="00943162" w:rsidP="00993DD3">
            <w:pPr>
              <w:spacing w:line="240" w:lineRule="auto"/>
              <w:contextualSpacing/>
              <w:rPr>
                <w:szCs w:val="22"/>
              </w:rPr>
            </w:pPr>
            <w:r w:rsidRPr="003F7444">
              <w:rPr>
                <w:szCs w:val="22"/>
              </w:rPr>
              <w:t>–</w:t>
            </w:r>
          </w:p>
        </w:tc>
        <w:tc>
          <w:tcPr>
            <w:tcW w:w="0" w:type="auto"/>
            <w:vAlign w:val="center"/>
            <w:hideMark/>
          </w:tcPr>
          <w:p w14:paraId="0107EE2C" w14:textId="77777777" w:rsidR="00943162" w:rsidRPr="003F7444" w:rsidRDefault="00943162" w:rsidP="00993DD3">
            <w:pPr>
              <w:spacing w:line="240" w:lineRule="auto"/>
              <w:contextualSpacing/>
              <w:rPr>
                <w:szCs w:val="22"/>
              </w:rPr>
            </w:pPr>
            <w:r w:rsidRPr="003F7444">
              <w:rPr>
                <w:szCs w:val="22"/>
              </w:rPr>
              <w:t>5 (2)</w:t>
            </w:r>
          </w:p>
        </w:tc>
      </w:tr>
      <w:tr w:rsidR="00943162" w:rsidRPr="003F7444" w14:paraId="70F13790" w14:textId="77777777" w:rsidTr="001D602B">
        <w:tc>
          <w:tcPr>
            <w:tcW w:w="0" w:type="auto"/>
            <w:tcBorders>
              <w:top w:val="nil"/>
            </w:tcBorders>
            <w:vAlign w:val="center"/>
            <w:hideMark/>
          </w:tcPr>
          <w:p w14:paraId="09F36064" w14:textId="26B100E3" w:rsidR="00943162" w:rsidRPr="003F7444" w:rsidRDefault="00943162" w:rsidP="00EB5CF5">
            <w:pPr>
              <w:spacing w:line="240" w:lineRule="auto"/>
              <w:ind w:left="257"/>
              <w:contextualSpacing/>
              <w:rPr>
                <w:szCs w:val="22"/>
              </w:rPr>
            </w:pPr>
            <w:r w:rsidRPr="003F7444">
              <w:rPr>
                <w:szCs w:val="22"/>
              </w:rPr>
              <w:t>Discontinued treatment and follow</w:t>
            </w:r>
            <w:r w:rsidRPr="003F7444">
              <w:rPr>
                <w:szCs w:val="22"/>
              </w:rPr>
              <w:noBreakHyphen/>
              <w:t>up ended, n (%)</w:t>
            </w:r>
          </w:p>
        </w:tc>
        <w:tc>
          <w:tcPr>
            <w:tcW w:w="0" w:type="auto"/>
            <w:vAlign w:val="center"/>
            <w:hideMark/>
          </w:tcPr>
          <w:p w14:paraId="58C5826E" w14:textId="77777777" w:rsidR="00943162" w:rsidRPr="003F7444" w:rsidRDefault="00943162" w:rsidP="00993DD3">
            <w:pPr>
              <w:spacing w:line="240" w:lineRule="auto"/>
              <w:contextualSpacing/>
              <w:rPr>
                <w:szCs w:val="22"/>
              </w:rPr>
            </w:pPr>
            <w:r w:rsidRPr="003F7444">
              <w:rPr>
                <w:szCs w:val="22"/>
              </w:rPr>
              <w:t>38 (20)</w:t>
            </w:r>
          </w:p>
        </w:tc>
        <w:tc>
          <w:tcPr>
            <w:tcW w:w="0" w:type="auto"/>
            <w:vAlign w:val="center"/>
            <w:hideMark/>
          </w:tcPr>
          <w:p w14:paraId="2C298A98" w14:textId="77777777" w:rsidR="00943162" w:rsidRPr="003F7444" w:rsidRDefault="00943162" w:rsidP="00993DD3">
            <w:pPr>
              <w:spacing w:line="240" w:lineRule="auto"/>
              <w:contextualSpacing/>
              <w:rPr>
                <w:szCs w:val="22"/>
              </w:rPr>
            </w:pPr>
            <w:r w:rsidRPr="003F7444">
              <w:rPr>
                <w:szCs w:val="22"/>
              </w:rPr>
              <w:t>5 (6)</w:t>
            </w:r>
          </w:p>
        </w:tc>
        <w:tc>
          <w:tcPr>
            <w:tcW w:w="0" w:type="auto"/>
            <w:vAlign w:val="center"/>
            <w:hideMark/>
          </w:tcPr>
          <w:p w14:paraId="50B6B618" w14:textId="77777777" w:rsidR="00943162" w:rsidRPr="003F7444" w:rsidRDefault="00943162" w:rsidP="00993DD3">
            <w:pPr>
              <w:spacing w:line="240" w:lineRule="auto"/>
              <w:contextualSpacing/>
              <w:rPr>
                <w:szCs w:val="22"/>
              </w:rPr>
            </w:pPr>
            <w:r w:rsidRPr="003F7444">
              <w:rPr>
                <w:szCs w:val="22"/>
              </w:rPr>
              <w:t>1 (20)</w:t>
            </w:r>
          </w:p>
        </w:tc>
        <w:tc>
          <w:tcPr>
            <w:tcW w:w="0" w:type="auto"/>
            <w:vAlign w:val="center"/>
            <w:hideMark/>
          </w:tcPr>
          <w:p w14:paraId="0C749E7F" w14:textId="77777777" w:rsidR="00943162" w:rsidRPr="003F7444" w:rsidRDefault="00943162" w:rsidP="00993DD3">
            <w:pPr>
              <w:spacing w:line="240" w:lineRule="auto"/>
              <w:contextualSpacing/>
              <w:rPr>
                <w:szCs w:val="22"/>
              </w:rPr>
            </w:pPr>
            <w:r w:rsidRPr="003F7444">
              <w:rPr>
                <w:szCs w:val="22"/>
              </w:rPr>
              <w:t>24 (11)</w:t>
            </w:r>
          </w:p>
        </w:tc>
      </w:tr>
    </w:tbl>
    <w:p w14:paraId="0F9ECEA7" w14:textId="77777777" w:rsidR="002D4DB1" w:rsidRPr="003C5E29" w:rsidRDefault="002D4DB1" w:rsidP="003C5E29">
      <w:pPr>
        <w:pStyle w:val="TableDescription"/>
      </w:pPr>
      <w:r w:rsidRPr="003C5E29">
        <w:t>N/A = Not applicable.</w:t>
      </w:r>
    </w:p>
    <w:p w14:paraId="6631702F" w14:textId="78984DA4" w:rsidR="002D4DB1" w:rsidRPr="003C5E29" w:rsidRDefault="001964BD" w:rsidP="003C5E29">
      <w:pPr>
        <w:pStyle w:val="TableDescription"/>
      </w:pPr>
      <w:r w:rsidRPr="003C5E29">
        <w:t xml:space="preserve">a </w:t>
      </w:r>
      <w:r w:rsidR="002D4DB1" w:rsidRPr="003C5E29">
        <w:t>Resolution of ocular adverse reactions was defined as time to being free from any ocular adverse reactions.</w:t>
      </w:r>
    </w:p>
    <w:p w14:paraId="35BC38E6" w14:textId="776FC65F" w:rsidR="002D4DB1" w:rsidRPr="003C5E29" w:rsidRDefault="001964BD" w:rsidP="003C5E29">
      <w:pPr>
        <w:pStyle w:val="TableDescription"/>
      </w:pPr>
      <w:r w:rsidRPr="003C5E29">
        <w:t xml:space="preserve">b </w:t>
      </w:r>
      <w:r w:rsidR="002D4DB1" w:rsidRPr="003C5E29">
        <w:t>Resolution of visual acuity was defined as time to 20/25 or better in at least one eye.</w:t>
      </w:r>
    </w:p>
    <w:p w14:paraId="735AD85C" w14:textId="4C510F2A" w:rsidR="002D4DB1" w:rsidRPr="003C5E29" w:rsidRDefault="00E23504" w:rsidP="003C5E29">
      <w:pPr>
        <w:pStyle w:val="TableDescription"/>
      </w:pPr>
      <w:r w:rsidRPr="003C5E29">
        <w:lastRenderedPageBreak/>
        <w:t xml:space="preserve">c </w:t>
      </w:r>
      <w:r w:rsidR="002D4DB1" w:rsidRPr="003C5E29">
        <w:t>Resolution of corneal examination findings was defined as time to Grade 1 or better based on</w:t>
      </w:r>
      <w:r w:rsidR="00D9088E" w:rsidRPr="003C5E29">
        <w:t xml:space="preserve"> </w:t>
      </w:r>
      <w:r w:rsidR="002D4DB1" w:rsidRPr="003C5E29">
        <w:t>the ophthalmic examination findings.</w:t>
      </w:r>
    </w:p>
    <w:p w14:paraId="36A749B9" w14:textId="1DEE003D" w:rsidR="002D4DB1" w:rsidRPr="003C5E29" w:rsidRDefault="005568C0" w:rsidP="003C5E29">
      <w:pPr>
        <w:pStyle w:val="TableDescription"/>
      </w:pPr>
      <w:r w:rsidRPr="003C5E29">
        <w:t xml:space="preserve">d </w:t>
      </w:r>
      <w:r w:rsidR="002D4DB1" w:rsidRPr="003C5E29">
        <w:t>Improvement was defined as bilateral improvement to better than 20/50, or 20/200.</w:t>
      </w:r>
    </w:p>
    <w:p w14:paraId="5E1EDEA0" w14:textId="79988683" w:rsidR="00780905" w:rsidRPr="003C5E29" w:rsidRDefault="005568C0" w:rsidP="003C5E29">
      <w:pPr>
        <w:pStyle w:val="TableDescription"/>
      </w:pPr>
      <w:r w:rsidRPr="003C5E29">
        <w:t xml:space="preserve">e </w:t>
      </w:r>
      <w:proofErr w:type="gramStart"/>
      <w:r w:rsidR="002D4DB1" w:rsidRPr="003C5E29">
        <w:t>At</w:t>
      </w:r>
      <w:proofErr w:type="gramEnd"/>
      <w:r w:rsidR="002D4DB1" w:rsidRPr="003C5E29">
        <w:t xml:space="preserve"> the time of the data cut-off (7 October 2024).</w:t>
      </w:r>
    </w:p>
    <w:p w14:paraId="50D151EF" w14:textId="0324AE69" w:rsidR="00E132AF" w:rsidRDefault="00E132AF" w:rsidP="00E132AF">
      <w:pPr>
        <w:pStyle w:val="TableTitle"/>
      </w:pPr>
      <w:r w:rsidRPr="00E132AF">
        <w:t>Table</w:t>
      </w:r>
      <w:r w:rsidR="003716D8">
        <w:t xml:space="preserve"> 9</w:t>
      </w:r>
      <w:r w:rsidRPr="00E132AF">
        <w:t xml:space="preserve">: Summary of </w:t>
      </w:r>
      <w:r w:rsidR="00A0536E">
        <w:t>Blenrep</w:t>
      </w:r>
      <w:r w:rsidRPr="00E132AF">
        <w:t xml:space="preserve"> associate</w:t>
      </w:r>
      <w:r w:rsidR="00236C0D">
        <w:t>d</w:t>
      </w:r>
      <w:r w:rsidRPr="00E132AF">
        <w:t xml:space="preserve"> ocular adverse reactions in DREAMM-8</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9: Summary of Blenrep associate ocular adverse reactions in DREAMM-8"/>
      </w:tblPr>
      <w:tblGrid>
        <w:gridCol w:w="2425"/>
        <w:gridCol w:w="1436"/>
        <w:gridCol w:w="1503"/>
        <w:gridCol w:w="1534"/>
        <w:gridCol w:w="2162"/>
      </w:tblGrid>
      <w:tr w:rsidR="00EE3462" w:rsidRPr="003F7444" w14:paraId="0D82DB8F" w14:textId="77777777" w:rsidTr="009A7459">
        <w:trPr>
          <w:tblHeader/>
        </w:trPr>
        <w:tc>
          <w:tcPr>
            <w:tcW w:w="0" w:type="auto"/>
            <w:shd w:val="clear" w:color="auto" w:fill="DEEAF6"/>
            <w:vAlign w:val="center"/>
            <w:hideMark/>
          </w:tcPr>
          <w:p w14:paraId="03F84206" w14:textId="77777777" w:rsidR="00EE3462" w:rsidRPr="003F7444" w:rsidRDefault="00EE3462" w:rsidP="00893CC2">
            <w:pPr>
              <w:spacing w:after="0" w:line="240" w:lineRule="auto"/>
              <w:rPr>
                <w:rFonts w:eastAsia="Times New Roman" w:cs="Times New Roman"/>
                <w:szCs w:val="22"/>
                <w:lang w:eastAsia="en-AU"/>
              </w:rPr>
            </w:pPr>
          </w:p>
        </w:tc>
        <w:tc>
          <w:tcPr>
            <w:tcW w:w="0" w:type="auto"/>
            <w:shd w:val="clear" w:color="auto" w:fill="DEEAF6"/>
            <w:vAlign w:val="center"/>
            <w:hideMark/>
          </w:tcPr>
          <w:p w14:paraId="66098185" w14:textId="77777777" w:rsidR="00EE3462" w:rsidRPr="003F7444" w:rsidRDefault="00EE3462" w:rsidP="009A7459">
            <w:pPr>
              <w:spacing w:after="0" w:line="240" w:lineRule="auto"/>
              <w:rPr>
                <w:rFonts w:eastAsia="Times New Roman" w:cs="Times New Roman"/>
                <w:b/>
                <w:bCs/>
                <w:color w:val="263287"/>
                <w:szCs w:val="22"/>
                <w:lang w:eastAsia="en-AU"/>
              </w:rPr>
            </w:pPr>
            <w:r w:rsidRPr="003F7444">
              <w:rPr>
                <w:rFonts w:eastAsia="Times New Roman" w:cs="Times New Roman"/>
                <w:b/>
                <w:bCs/>
                <w:color w:val="263287"/>
                <w:szCs w:val="22"/>
                <w:lang w:eastAsia="en-AU"/>
              </w:rPr>
              <w:t>Ocular adverse reactionsᵃ</w:t>
            </w:r>
          </w:p>
        </w:tc>
        <w:tc>
          <w:tcPr>
            <w:tcW w:w="0" w:type="auto"/>
            <w:shd w:val="clear" w:color="auto" w:fill="DEEAF6"/>
            <w:vAlign w:val="center"/>
            <w:hideMark/>
          </w:tcPr>
          <w:p w14:paraId="15BAC501" w14:textId="77777777" w:rsidR="00EE3462" w:rsidRPr="003F7444" w:rsidRDefault="00EE3462" w:rsidP="009A7459">
            <w:pPr>
              <w:spacing w:after="0" w:line="240" w:lineRule="auto"/>
              <w:rPr>
                <w:rFonts w:eastAsia="Times New Roman" w:cs="Times New Roman"/>
                <w:b/>
                <w:bCs/>
                <w:color w:val="263287"/>
                <w:szCs w:val="22"/>
                <w:lang w:eastAsia="en-AU"/>
              </w:rPr>
            </w:pPr>
            <w:r w:rsidRPr="003F7444">
              <w:rPr>
                <w:rFonts w:eastAsia="Times New Roman" w:cs="Times New Roman"/>
                <w:b/>
                <w:bCs/>
                <w:color w:val="263287"/>
                <w:szCs w:val="22"/>
                <w:lang w:eastAsia="en-AU"/>
              </w:rPr>
              <w:t>BCVA – 20/50 or worse for patients</w:t>
            </w:r>
          </w:p>
        </w:tc>
        <w:tc>
          <w:tcPr>
            <w:tcW w:w="0" w:type="auto"/>
            <w:shd w:val="clear" w:color="auto" w:fill="DEEAF6"/>
            <w:vAlign w:val="center"/>
            <w:hideMark/>
          </w:tcPr>
          <w:p w14:paraId="39246A3E" w14:textId="77777777" w:rsidR="00EE3462" w:rsidRPr="003F7444" w:rsidRDefault="00EE3462" w:rsidP="009A7459">
            <w:pPr>
              <w:spacing w:after="0" w:line="240" w:lineRule="auto"/>
              <w:rPr>
                <w:rFonts w:eastAsia="Times New Roman" w:cs="Times New Roman"/>
                <w:b/>
                <w:bCs/>
                <w:color w:val="263287"/>
                <w:szCs w:val="22"/>
                <w:lang w:eastAsia="en-AU"/>
              </w:rPr>
            </w:pPr>
            <w:r w:rsidRPr="003F7444">
              <w:rPr>
                <w:rFonts w:eastAsia="Times New Roman" w:cs="Times New Roman"/>
                <w:b/>
                <w:bCs/>
                <w:color w:val="263287"/>
                <w:szCs w:val="22"/>
                <w:lang w:eastAsia="en-AU"/>
              </w:rPr>
              <w:t>BCVA – 20/200 or worse for patients</w:t>
            </w:r>
          </w:p>
        </w:tc>
        <w:tc>
          <w:tcPr>
            <w:tcW w:w="0" w:type="auto"/>
            <w:shd w:val="clear" w:color="auto" w:fill="DEEAF6"/>
            <w:vAlign w:val="center"/>
            <w:hideMark/>
          </w:tcPr>
          <w:p w14:paraId="450C8CD0" w14:textId="77777777" w:rsidR="00EE3462" w:rsidRPr="003F7444" w:rsidRDefault="00EE3462" w:rsidP="009A7459">
            <w:pPr>
              <w:spacing w:after="0" w:line="240" w:lineRule="auto"/>
              <w:rPr>
                <w:rFonts w:eastAsia="Times New Roman" w:cs="Times New Roman"/>
                <w:b/>
                <w:bCs/>
                <w:color w:val="263287"/>
                <w:szCs w:val="22"/>
                <w:lang w:eastAsia="en-AU"/>
              </w:rPr>
            </w:pPr>
            <w:r w:rsidRPr="003F7444">
              <w:rPr>
                <w:rFonts w:eastAsia="Times New Roman" w:cs="Times New Roman"/>
                <w:b/>
                <w:bCs/>
                <w:color w:val="263287"/>
                <w:szCs w:val="22"/>
                <w:lang w:eastAsia="en-AU"/>
              </w:rPr>
              <w:t xml:space="preserve">Corneal examination findings (Grade ≥2 </w:t>
            </w:r>
            <w:proofErr w:type="gramStart"/>
            <w:r w:rsidRPr="003F7444">
              <w:rPr>
                <w:rFonts w:eastAsia="Times New Roman" w:cs="Times New Roman"/>
                <w:b/>
                <w:bCs/>
                <w:color w:val="263287"/>
                <w:szCs w:val="22"/>
                <w:lang w:eastAsia="en-AU"/>
              </w:rPr>
              <w:t>events)ᶜ</w:t>
            </w:r>
            <w:proofErr w:type="gramEnd"/>
          </w:p>
        </w:tc>
      </w:tr>
      <w:tr w:rsidR="00EE3462" w:rsidRPr="003F7444" w14:paraId="06413F34" w14:textId="77777777" w:rsidTr="009A7459">
        <w:tc>
          <w:tcPr>
            <w:tcW w:w="0" w:type="auto"/>
            <w:vAlign w:val="center"/>
            <w:hideMark/>
          </w:tcPr>
          <w:p w14:paraId="702DC82D"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Number of patients with event, n (%)</w:t>
            </w:r>
          </w:p>
        </w:tc>
        <w:tc>
          <w:tcPr>
            <w:tcW w:w="0" w:type="auto"/>
            <w:vAlign w:val="center"/>
            <w:hideMark/>
          </w:tcPr>
          <w:p w14:paraId="27654E46"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133 (89)</w:t>
            </w:r>
          </w:p>
        </w:tc>
        <w:tc>
          <w:tcPr>
            <w:tcW w:w="0" w:type="auto"/>
            <w:vAlign w:val="center"/>
            <w:hideMark/>
          </w:tcPr>
          <w:p w14:paraId="7478AADE"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51 (34)</w:t>
            </w:r>
          </w:p>
        </w:tc>
        <w:tc>
          <w:tcPr>
            <w:tcW w:w="0" w:type="auto"/>
            <w:vAlign w:val="center"/>
            <w:hideMark/>
          </w:tcPr>
          <w:p w14:paraId="544005E0"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2 (1)</w:t>
            </w:r>
          </w:p>
        </w:tc>
        <w:tc>
          <w:tcPr>
            <w:tcW w:w="0" w:type="auto"/>
            <w:vAlign w:val="center"/>
            <w:hideMark/>
          </w:tcPr>
          <w:p w14:paraId="372E4CB3"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125 (83)</w:t>
            </w:r>
          </w:p>
        </w:tc>
      </w:tr>
      <w:tr w:rsidR="00EE3462" w:rsidRPr="003F7444" w14:paraId="1148B201" w14:textId="77777777" w:rsidTr="009A7459">
        <w:tc>
          <w:tcPr>
            <w:tcW w:w="0" w:type="auto"/>
            <w:vAlign w:val="center"/>
            <w:hideMark/>
          </w:tcPr>
          <w:p w14:paraId="10226F02"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Median time to first onset (days)</w:t>
            </w:r>
          </w:p>
        </w:tc>
        <w:tc>
          <w:tcPr>
            <w:tcW w:w="0" w:type="auto"/>
            <w:vAlign w:val="center"/>
            <w:hideMark/>
          </w:tcPr>
          <w:p w14:paraId="14094D49"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29</w:t>
            </w:r>
          </w:p>
        </w:tc>
        <w:tc>
          <w:tcPr>
            <w:tcW w:w="0" w:type="auto"/>
            <w:vAlign w:val="center"/>
            <w:hideMark/>
          </w:tcPr>
          <w:p w14:paraId="43E6ADC7"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112</w:t>
            </w:r>
          </w:p>
        </w:tc>
        <w:tc>
          <w:tcPr>
            <w:tcW w:w="0" w:type="auto"/>
            <w:vAlign w:val="center"/>
            <w:hideMark/>
          </w:tcPr>
          <w:p w14:paraId="03A59758"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N/Aᵈ</w:t>
            </w:r>
          </w:p>
        </w:tc>
        <w:tc>
          <w:tcPr>
            <w:tcW w:w="0" w:type="auto"/>
            <w:vAlign w:val="center"/>
            <w:hideMark/>
          </w:tcPr>
          <w:p w14:paraId="02ABBB9A"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29</w:t>
            </w:r>
          </w:p>
        </w:tc>
      </w:tr>
      <w:tr w:rsidR="00EE3462" w:rsidRPr="003F7444" w14:paraId="5B5A95F6" w14:textId="77777777" w:rsidTr="009A7459">
        <w:tc>
          <w:tcPr>
            <w:tcW w:w="0" w:type="auto"/>
            <w:vAlign w:val="center"/>
            <w:hideMark/>
          </w:tcPr>
          <w:p w14:paraId="2CE1868A"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Improvement of first eventᶠ, n (%)</w:t>
            </w:r>
          </w:p>
        </w:tc>
        <w:tc>
          <w:tcPr>
            <w:tcW w:w="0" w:type="auto"/>
            <w:vAlign w:val="center"/>
            <w:hideMark/>
          </w:tcPr>
          <w:p w14:paraId="62F3331F"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N/A</w:t>
            </w:r>
          </w:p>
        </w:tc>
        <w:tc>
          <w:tcPr>
            <w:tcW w:w="0" w:type="auto"/>
            <w:vAlign w:val="center"/>
            <w:hideMark/>
          </w:tcPr>
          <w:p w14:paraId="26FD280C"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49 (96)</w:t>
            </w:r>
          </w:p>
        </w:tc>
        <w:tc>
          <w:tcPr>
            <w:tcW w:w="0" w:type="auto"/>
            <w:vAlign w:val="center"/>
            <w:hideMark/>
          </w:tcPr>
          <w:p w14:paraId="58F60A88"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2 (100)</w:t>
            </w:r>
          </w:p>
        </w:tc>
        <w:tc>
          <w:tcPr>
            <w:tcW w:w="0" w:type="auto"/>
            <w:vAlign w:val="center"/>
            <w:hideMark/>
          </w:tcPr>
          <w:p w14:paraId="71FEE9C1"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N/A</w:t>
            </w:r>
          </w:p>
        </w:tc>
      </w:tr>
      <w:tr w:rsidR="00EE3462" w:rsidRPr="003F7444" w14:paraId="503ED5A3" w14:textId="77777777" w:rsidTr="009A7459">
        <w:tc>
          <w:tcPr>
            <w:tcW w:w="0" w:type="auto"/>
            <w:vAlign w:val="center"/>
            <w:hideMark/>
          </w:tcPr>
          <w:p w14:paraId="3D37DA28"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Resolution of first eventᵃ, n (%)</w:t>
            </w:r>
          </w:p>
        </w:tc>
        <w:tc>
          <w:tcPr>
            <w:tcW w:w="0" w:type="auto"/>
            <w:vAlign w:val="center"/>
            <w:hideMark/>
          </w:tcPr>
          <w:p w14:paraId="22B8F791"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109 (82)</w:t>
            </w:r>
          </w:p>
        </w:tc>
        <w:tc>
          <w:tcPr>
            <w:tcW w:w="0" w:type="auto"/>
            <w:vAlign w:val="center"/>
            <w:hideMark/>
          </w:tcPr>
          <w:p w14:paraId="2CFE30A5"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45 (88)</w:t>
            </w:r>
          </w:p>
        </w:tc>
        <w:tc>
          <w:tcPr>
            <w:tcW w:w="0" w:type="auto"/>
            <w:vAlign w:val="center"/>
            <w:hideMark/>
          </w:tcPr>
          <w:p w14:paraId="2E9D01E9"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 (50)</w:t>
            </w:r>
          </w:p>
        </w:tc>
        <w:tc>
          <w:tcPr>
            <w:tcW w:w="0" w:type="auto"/>
            <w:vAlign w:val="center"/>
            <w:hideMark/>
          </w:tcPr>
          <w:p w14:paraId="585F048F"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113 (90)</w:t>
            </w:r>
          </w:p>
        </w:tc>
      </w:tr>
      <w:tr w:rsidR="00EE3462" w:rsidRPr="003F7444" w14:paraId="61707442" w14:textId="77777777" w:rsidTr="009A7459">
        <w:tc>
          <w:tcPr>
            <w:tcW w:w="0" w:type="auto"/>
            <w:vAlign w:val="center"/>
            <w:hideMark/>
          </w:tcPr>
          <w:p w14:paraId="1596B971"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Median time to resolution of first event (days)</w:t>
            </w:r>
          </w:p>
        </w:tc>
        <w:tc>
          <w:tcPr>
            <w:tcW w:w="0" w:type="auto"/>
            <w:vAlign w:val="center"/>
            <w:hideMark/>
          </w:tcPr>
          <w:p w14:paraId="5254D4C1"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134.5</w:t>
            </w:r>
          </w:p>
        </w:tc>
        <w:tc>
          <w:tcPr>
            <w:tcW w:w="0" w:type="auto"/>
            <w:vAlign w:val="center"/>
            <w:hideMark/>
          </w:tcPr>
          <w:p w14:paraId="1B72CC81"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57</w:t>
            </w:r>
          </w:p>
        </w:tc>
        <w:tc>
          <w:tcPr>
            <w:tcW w:w="0" w:type="auto"/>
            <w:vAlign w:val="center"/>
            <w:hideMark/>
          </w:tcPr>
          <w:p w14:paraId="1E1C22EB"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N/Aᵈ</w:t>
            </w:r>
          </w:p>
        </w:tc>
        <w:tc>
          <w:tcPr>
            <w:tcW w:w="0" w:type="auto"/>
            <w:vAlign w:val="center"/>
            <w:hideMark/>
          </w:tcPr>
          <w:p w14:paraId="387451BC"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88</w:t>
            </w:r>
          </w:p>
        </w:tc>
      </w:tr>
      <w:tr w:rsidR="00EE3462" w:rsidRPr="003F7444" w14:paraId="78C0F8FA" w14:textId="77777777" w:rsidTr="00EB5CF5">
        <w:tc>
          <w:tcPr>
            <w:tcW w:w="0" w:type="auto"/>
            <w:tcBorders>
              <w:bottom w:val="single" w:sz="4" w:space="0" w:color="263287"/>
            </w:tcBorders>
            <w:vAlign w:val="center"/>
            <w:hideMark/>
          </w:tcPr>
          <w:p w14:paraId="3228F573"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Ongoing first eventᵃ, n (%)</w:t>
            </w:r>
          </w:p>
        </w:tc>
        <w:tc>
          <w:tcPr>
            <w:tcW w:w="0" w:type="auto"/>
            <w:vAlign w:val="center"/>
            <w:hideMark/>
          </w:tcPr>
          <w:p w14:paraId="685CFEB6"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24 (18)</w:t>
            </w:r>
          </w:p>
        </w:tc>
        <w:tc>
          <w:tcPr>
            <w:tcW w:w="0" w:type="auto"/>
            <w:vAlign w:val="center"/>
            <w:hideMark/>
          </w:tcPr>
          <w:p w14:paraId="52A48653"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6 (12)</w:t>
            </w:r>
          </w:p>
        </w:tc>
        <w:tc>
          <w:tcPr>
            <w:tcW w:w="0" w:type="auto"/>
            <w:vAlign w:val="center"/>
            <w:hideMark/>
          </w:tcPr>
          <w:p w14:paraId="0CC201CF"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 (50)</w:t>
            </w:r>
          </w:p>
        </w:tc>
        <w:tc>
          <w:tcPr>
            <w:tcW w:w="0" w:type="auto"/>
            <w:vAlign w:val="center"/>
            <w:hideMark/>
          </w:tcPr>
          <w:p w14:paraId="09CC2C02"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12 (10)</w:t>
            </w:r>
          </w:p>
        </w:tc>
      </w:tr>
      <w:tr w:rsidR="00EE3462" w:rsidRPr="003F7444" w14:paraId="14BE7A0E" w14:textId="77777777" w:rsidTr="00EB5CF5">
        <w:tc>
          <w:tcPr>
            <w:tcW w:w="0" w:type="auto"/>
            <w:tcBorders>
              <w:bottom w:val="nil"/>
            </w:tcBorders>
            <w:vAlign w:val="center"/>
            <w:hideMark/>
          </w:tcPr>
          <w:p w14:paraId="1E1C8E20" w14:textId="77777777" w:rsidR="00EE3462" w:rsidRPr="003F7444" w:rsidRDefault="00EE3462" w:rsidP="00EB5CF5">
            <w:pPr>
              <w:spacing w:after="0" w:line="240" w:lineRule="auto"/>
              <w:ind w:left="257"/>
              <w:rPr>
                <w:rFonts w:eastAsia="Times New Roman" w:cs="Times New Roman"/>
                <w:szCs w:val="22"/>
                <w:lang w:eastAsia="en-AU"/>
              </w:rPr>
            </w:pPr>
            <w:r w:rsidRPr="003F7444">
              <w:rPr>
                <w:rFonts w:eastAsia="Times New Roman" w:cs="Times New Roman"/>
                <w:szCs w:val="22"/>
                <w:lang w:eastAsia="en-AU"/>
              </w:rPr>
              <w:t>Treatment ongoing, n (%)</w:t>
            </w:r>
          </w:p>
        </w:tc>
        <w:tc>
          <w:tcPr>
            <w:tcW w:w="0" w:type="auto"/>
            <w:vAlign w:val="center"/>
            <w:hideMark/>
          </w:tcPr>
          <w:p w14:paraId="48852C7A"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5 (4)</w:t>
            </w:r>
          </w:p>
        </w:tc>
        <w:tc>
          <w:tcPr>
            <w:tcW w:w="0" w:type="auto"/>
            <w:vAlign w:val="center"/>
            <w:hideMark/>
          </w:tcPr>
          <w:p w14:paraId="38082FC5"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 (2)</w:t>
            </w:r>
          </w:p>
        </w:tc>
        <w:tc>
          <w:tcPr>
            <w:tcW w:w="0" w:type="auto"/>
            <w:vAlign w:val="center"/>
            <w:hideMark/>
          </w:tcPr>
          <w:p w14:paraId="2D1D5E2D"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0</w:t>
            </w:r>
          </w:p>
        </w:tc>
        <w:tc>
          <w:tcPr>
            <w:tcW w:w="0" w:type="auto"/>
            <w:vAlign w:val="center"/>
            <w:hideMark/>
          </w:tcPr>
          <w:p w14:paraId="5AB2B45F"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0</w:t>
            </w:r>
          </w:p>
        </w:tc>
      </w:tr>
      <w:tr w:rsidR="00EE3462" w:rsidRPr="003F7444" w14:paraId="52451A6B" w14:textId="77777777" w:rsidTr="00EB5CF5">
        <w:tc>
          <w:tcPr>
            <w:tcW w:w="0" w:type="auto"/>
            <w:tcBorders>
              <w:top w:val="nil"/>
              <w:bottom w:val="nil"/>
            </w:tcBorders>
            <w:vAlign w:val="center"/>
            <w:hideMark/>
          </w:tcPr>
          <w:p w14:paraId="6A5D20E2" w14:textId="77777777" w:rsidR="00EE3462" w:rsidRPr="003F7444" w:rsidRDefault="00EE3462" w:rsidP="00EB5CF5">
            <w:pPr>
              <w:spacing w:after="0" w:line="240" w:lineRule="auto"/>
              <w:ind w:left="257"/>
              <w:rPr>
                <w:rFonts w:eastAsia="Times New Roman" w:cs="Times New Roman"/>
                <w:szCs w:val="22"/>
                <w:lang w:eastAsia="en-AU"/>
              </w:rPr>
            </w:pPr>
            <w:r w:rsidRPr="003F7444">
              <w:rPr>
                <w:rFonts w:eastAsia="Times New Roman" w:cs="Times New Roman"/>
                <w:szCs w:val="22"/>
                <w:lang w:eastAsia="en-AU"/>
              </w:rPr>
              <w:t>Discontinued treatment and follow</w:t>
            </w:r>
            <w:r w:rsidRPr="003F7444">
              <w:rPr>
                <w:rFonts w:eastAsia="Times New Roman" w:cs="Times New Roman"/>
                <w:szCs w:val="22"/>
                <w:lang w:eastAsia="en-AU"/>
              </w:rPr>
              <w:noBreakHyphen/>
              <w:t>up ongoing, n (%)</w:t>
            </w:r>
          </w:p>
        </w:tc>
        <w:tc>
          <w:tcPr>
            <w:tcW w:w="0" w:type="auto"/>
            <w:vAlign w:val="center"/>
            <w:hideMark/>
          </w:tcPr>
          <w:p w14:paraId="11C367FA"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6 (5)</w:t>
            </w:r>
          </w:p>
        </w:tc>
        <w:tc>
          <w:tcPr>
            <w:tcW w:w="0" w:type="auto"/>
            <w:vAlign w:val="center"/>
            <w:hideMark/>
          </w:tcPr>
          <w:p w14:paraId="1078AE8D"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 (2)</w:t>
            </w:r>
          </w:p>
        </w:tc>
        <w:tc>
          <w:tcPr>
            <w:tcW w:w="0" w:type="auto"/>
            <w:vAlign w:val="center"/>
            <w:hideMark/>
          </w:tcPr>
          <w:p w14:paraId="00CD0AB4"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0</w:t>
            </w:r>
          </w:p>
        </w:tc>
        <w:tc>
          <w:tcPr>
            <w:tcW w:w="0" w:type="auto"/>
            <w:vAlign w:val="center"/>
            <w:hideMark/>
          </w:tcPr>
          <w:p w14:paraId="552046B3"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4 (3)</w:t>
            </w:r>
          </w:p>
        </w:tc>
      </w:tr>
      <w:tr w:rsidR="00EE3462" w:rsidRPr="003F7444" w14:paraId="1A5E83B0" w14:textId="77777777" w:rsidTr="00EB5CF5">
        <w:tc>
          <w:tcPr>
            <w:tcW w:w="0" w:type="auto"/>
            <w:tcBorders>
              <w:top w:val="nil"/>
            </w:tcBorders>
            <w:vAlign w:val="center"/>
            <w:hideMark/>
          </w:tcPr>
          <w:p w14:paraId="40135490" w14:textId="77777777" w:rsidR="00EE3462" w:rsidRPr="003F7444" w:rsidRDefault="00EE3462" w:rsidP="00EB5CF5">
            <w:pPr>
              <w:spacing w:after="0" w:line="240" w:lineRule="auto"/>
              <w:ind w:left="257"/>
              <w:rPr>
                <w:rFonts w:eastAsia="Times New Roman" w:cs="Times New Roman"/>
                <w:szCs w:val="22"/>
                <w:lang w:eastAsia="en-AU"/>
              </w:rPr>
            </w:pPr>
            <w:r w:rsidRPr="003F7444">
              <w:rPr>
                <w:rFonts w:eastAsia="Times New Roman" w:cs="Times New Roman"/>
                <w:szCs w:val="22"/>
                <w:lang w:eastAsia="en-AU"/>
              </w:rPr>
              <w:t>Discontinued treatment and follow</w:t>
            </w:r>
            <w:r w:rsidRPr="003F7444">
              <w:rPr>
                <w:rFonts w:eastAsia="Times New Roman" w:cs="Times New Roman"/>
                <w:szCs w:val="22"/>
                <w:lang w:eastAsia="en-AU"/>
              </w:rPr>
              <w:noBreakHyphen/>
              <w:t>up ended, n (%)</w:t>
            </w:r>
          </w:p>
        </w:tc>
        <w:tc>
          <w:tcPr>
            <w:tcW w:w="0" w:type="auto"/>
            <w:vAlign w:val="center"/>
            <w:hideMark/>
          </w:tcPr>
          <w:p w14:paraId="409FDC0C"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13 (10)</w:t>
            </w:r>
          </w:p>
        </w:tc>
        <w:tc>
          <w:tcPr>
            <w:tcW w:w="0" w:type="auto"/>
            <w:vAlign w:val="center"/>
            <w:hideMark/>
          </w:tcPr>
          <w:p w14:paraId="4FC999FE"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4 (8)</w:t>
            </w:r>
          </w:p>
        </w:tc>
        <w:tc>
          <w:tcPr>
            <w:tcW w:w="0" w:type="auto"/>
            <w:vAlign w:val="center"/>
            <w:hideMark/>
          </w:tcPr>
          <w:p w14:paraId="042572C1"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1 (50)</w:t>
            </w:r>
          </w:p>
        </w:tc>
        <w:tc>
          <w:tcPr>
            <w:tcW w:w="0" w:type="auto"/>
            <w:vAlign w:val="center"/>
            <w:hideMark/>
          </w:tcPr>
          <w:p w14:paraId="2BB0028C" w14:textId="77777777" w:rsidR="00EE3462" w:rsidRPr="003F7444" w:rsidRDefault="00EE3462" w:rsidP="00893CC2">
            <w:pPr>
              <w:spacing w:after="0" w:line="240" w:lineRule="auto"/>
              <w:rPr>
                <w:rFonts w:eastAsia="Times New Roman" w:cs="Times New Roman"/>
                <w:szCs w:val="22"/>
                <w:lang w:eastAsia="en-AU"/>
              </w:rPr>
            </w:pPr>
            <w:r w:rsidRPr="003F7444">
              <w:rPr>
                <w:rFonts w:eastAsia="Times New Roman" w:cs="Times New Roman"/>
                <w:szCs w:val="22"/>
                <w:lang w:eastAsia="en-AU"/>
              </w:rPr>
              <w:t>8 (6)</w:t>
            </w:r>
          </w:p>
        </w:tc>
      </w:tr>
    </w:tbl>
    <w:p w14:paraId="7D8F0ACD" w14:textId="74E54178" w:rsidR="00E91D0E" w:rsidRPr="003C5E29" w:rsidRDefault="00E91D0E" w:rsidP="003C5E29">
      <w:pPr>
        <w:pStyle w:val="TableDescription"/>
      </w:pPr>
      <w:r w:rsidRPr="003C5E29">
        <w:t>N/A = Not applicable.</w:t>
      </w:r>
    </w:p>
    <w:p w14:paraId="739E592D" w14:textId="16F098C1" w:rsidR="00E91D0E" w:rsidRPr="003C5E29" w:rsidRDefault="00E91D0E" w:rsidP="003C5E29">
      <w:pPr>
        <w:pStyle w:val="TableDescription"/>
      </w:pPr>
      <w:r w:rsidRPr="003C5E29">
        <w:t>ᵃ Resolution of ocular adverse reactions was defined as time to being free from any ocular adverse reactions.</w:t>
      </w:r>
    </w:p>
    <w:p w14:paraId="1CD00A1D" w14:textId="35628658" w:rsidR="00E91D0E" w:rsidRPr="003C5E29" w:rsidRDefault="00E91D0E" w:rsidP="003C5E29">
      <w:pPr>
        <w:pStyle w:val="TableDescription"/>
      </w:pPr>
      <w:r w:rsidRPr="003C5E29">
        <w:t>ᵇ Resolution of visual acuity was defined as time to 20/25 or better in at least one eye.</w:t>
      </w:r>
    </w:p>
    <w:p w14:paraId="7420AA43" w14:textId="6F0756FC" w:rsidR="00E91D0E" w:rsidRPr="003C5E29" w:rsidRDefault="00E91D0E" w:rsidP="003C5E29">
      <w:pPr>
        <w:pStyle w:val="TableDescription"/>
      </w:pPr>
      <w:r w:rsidRPr="003C5E29">
        <w:t>ᶜ Resolution of corneal examination findings was defined as time to Grade 1 or better based on the ophthalmic examination findings.</w:t>
      </w:r>
    </w:p>
    <w:p w14:paraId="2430C13B" w14:textId="0DD9D277" w:rsidR="00E91D0E" w:rsidRPr="003C5E29" w:rsidRDefault="00E91D0E" w:rsidP="003C5E29">
      <w:pPr>
        <w:pStyle w:val="TableDescription"/>
      </w:pPr>
      <w:r w:rsidRPr="003C5E29">
        <w:t xml:space="preserve">ᵈ </w:t>
      </w:r>
      <w:proofErr w:type="gramStart"/>
      <w:r w:rsidRPr="003C5E29">
        <w:t>In</w:t>
      </w:r>
      <w:proofErr w:type="gramEnd"/>
      <w:r w:rsidRPr="003C5E29">
        <w:t xml:space="preserve"> patients with 20/200 or worse, two patients were reported. Time to first onset was 29 and 673 days. Both events improved to better than bilateral 20/200 by the data cut off, of which 1 event resolved after 57 days.</w:t>
      </w:r>
    </w:p>
    <w:p w14:paraId="7D71B5B1" w14:textId="639545E3" w:rsidR="00E91D0E" w:rsidRPr="003C5E29" w:rsidRDefault="00B754AA" w:rsidP="003C5E29">
      <w:pPr>
        <w:pStyle w:val="TableDescription"/>
      </w:pPr>
      <w:r w:rsidRPr="003C5E29">
        <w:t>e</w:t>
      </w:r>
      <w:r w:rsidR="00E91D0E" w:rsidRPr="003C5E29">
        <w:t xml:space="preserve"> Improvement was defined as bilateral improvement to better than 20/50, or 20/200.</w:t>
      </w:r>
    </w:p>
    <w:p w14:paraId="2CBA4130" w14:textId="4E2845BD" w:rsidR="00EE3462" w:rsidRPr="003C5E29" w:rsidRDefault="00B754AA" w:rsidP="003C5E29">
      <w:pPr>
        <w:pStyle w:val="TableDescription"/>
      </w:pPr>
      <w:r w:rsidRPr="003C5E29">
        <w:t xml:space="preserve">f </w:t>
      </w:r>
      <w:proofErr w:type="gramStart"/>
      <w:r w:rsidR="00E91D0E" w:rsidRPr="003C5E29">
        <w:t>At</w:t>
      </w:r>
      <w:proofErr w:type="gramEnd"/>
      <w:r w:rsidR="00E91D0E" w:rsidRPr="003C5E29">
        <w:t xml:space="preserve"> the time of the data cut off (7 October 2024).</w:t>
      </w:r>
    </w:p>
    <w:p w14:paraId="2858B006" w14:textId="5CB5D2DB" w:rsidR="00C22214" w:rsidRDefault="00C22214" w:rsidP="00C22214">
      <w:pPr>
        <w:pStyle w:val="Heading3"/>
        <w:rPr>
          <w:lang w:eastAsia="en-AU"/>
        </w:rPr>
      </w:pPr>
      <w:bookmarkStart w:id="64" w:name="_Toc103679298"/>
      <w:bookmarkStart w:id="65" w:name="_Toc227758034"/>
      <w:r>
        <w:rPr>
          <w:lang w:eastAsia="en-AU"/>
        </w:rPr>
        <w:t>Risk management plan</w:t>
      </w:r>
      <w:bookmarkEnd w:id="55"/>
      <w:bookmarkEnd w:id="64"/>
      <w:bookmarkEnd w:id="65"/>
      <w:r w:rsidR="00145B4A">
        <w:rPr>
          <w:lang w:eastAsia="en-AU"/>
        </w:rPr>
        <w:fldChar w:fldCharType="begin"/>
      </w:r>
      <w:r w:rsidR="00145B4A">
        <w:rPr>
          <w:lang w:eastAsia="en-AU"/>
        </w:rPr>
        <w:instrText xml:space="preserve"> DOCVARIABLE vault_nd_eca8bf90-7730-4e4c-8c64-7d844f81742d \* MERGEFORMAT </w:instrText>
      </w:r>
      <w:r w:rsidR="00145B4A">
        <w:rPr>
          <w:lang w:eastAsia="en-AU"/>
        </w:rPr>
        <w:fldChar w:fldCharType="separate"/>
      </w:r>
      <w:r w:rsidR="00145B4A">
        <w:rPr>
          <w:lang w:eastAsia="en-AU"/>
        </w:rPr>
        <w:t xml:space="preserve"> </w:t>
      </w:r>
      <w:r w:rsidR="00145B4A">
        <w:rPr>
          <w:lang w:eastAsia="en-AU"/>
        </w:rPr>
        <w:fldChar w:fldCharType="end"/>
      </w:r>
    </w:p>
    <w:p w14:paraId="1F833885" w14:textId="50C6632F" w:rsidR="002C3274" w:rsidRPr="002C3274" w:rsidRDefault="006C051D" w:rsidP="002C3274">
      <w:pPr>
        <w:rPr>
          <w:lang w:eastAsia="en-AU"/>
        </w:rPr>
      </w:pPr>
      <w:r w:rsidRPr="006C051D">
        <w:rPr>
          <w:lang w:eastAsia="en-AU"/>
        </w:rPr>
        <w:t xml:space="preserve">The sponsor has provided approved EU-RMP version 1.0 (dated 5 June 2025; </w:t>
      </w:r>
      <w:r w:rsidR="00986C1C">
        <w:rPr>
          <w:lang w:eastAsia="en-AU"/>
        </w:rPr>
        <w:t>data lock point</w:t>
      </w:r>
      <w:r w:rsidRPr="006C051D">
        <w:rPr>
          <w:lang w:eastAsia="en-AU"/>
        </w:rPr>
        <w:t xml:space="preserve"> 29 January 2024) and ASA version 1.2 (dated 23 August 2025).</w:t>
      </w:r>
    </w:p>
    <w:p w14:paraId="39F3CD1D" w14:textId="0D3BE023" w:rsidR="0072003B" w:rsidRPr="00BD5DBD" w:rsidRDefault="00C22214" w:rsidP="00C22214">
      <w:pPr>
        <w:rPr>
          <w:szCs w:val="22"/>
        </w:rPr>
      </w:pPr>
      <w:bookmarkStart w:id="66" w:name="_Toc247691531"/>
      <w:bookmarkStart w:id="67" w:name="_Toc314842515"/>
      <w:r w:rsidRPr="00BD5DBD">
        <w:rPr>
          <w:szCs w:val="22"/>
        </w:rPr>
        <w:t>The summary of safety concerns and their associated risk monitoring and mitigation strategies are summarised in</w:t>
      </w:r>
      <w:r w:rsidR="003716D8">
        <w:rPr>
          <w:szCs w:val="22"/>
        </w:rPr>
        <w:t xml:space="preserve"> Table 10</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7343EC37" w:rsidR="006A277A" w:rsidRDefault="00C22214" w:rsidP="00C22214">
      <w:pPr>
        <w:pStyle w:val="TableTitle"/>
      </w:pPr>
      <w:bookmarkStart w:id="68" w:name="_Ref97629131"/>
      <w:r>
        <w:lastRenderedPageBreak/>
        <w:t>Table</w:t>
      </w:r>
      <w:bookmarkEnd w:id="68"/>
      <w:r w:rsidR="003716D8">
        <w:t xml:space="preserve"> 10</w:t>
      </w:r>
      <w:r>
        <w:t>: Summary of safety concerns</w:t>
      </w:r>
    </w:p>
    <w:tbl>
      <w:tblPr>
        <w:tblStyle w:val="TableGrid"/>
        <w:tblW w:w="9209"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Description w:val="Table 10: Summary of safety concerns"/>
      </w:tblPr>
      <w:tblGrid>
        <w:gridCol w:w="1550"/>
        <w:gridCol w:w="2840"/>
        <w:gridCol w:w="1134"/>
        <w:gridCol w:w="1417"/>
        <w:gridCol w:w="992"/>
        <w:gridCol w:w="1276"/>
      </w:tblGrid>
      <w:tr w:rsidR="00E13826" w:rsidRPr="003F7444" w14:paraId="04327571" w14:textId="77777777" w:rsidTr="003F7444">
        <w:trPr>
          <w:trHeight w:val="131"/>
          <w:jc w:val="center"/>
        </w:trPr>
        <w:tc>
          <w:tcPr>
            <w:tcW w:w="4390" w:type="dxa"/>
            <w:gridSpan w:val="2"/>
            <w:vMerge w:val="restart"/>
            <w:shd w:val="clear" w:color="auto" w:fill="DEEAF6"/>
          </w:tcPr>
          <w:p w14:paraId="61ABE0B6" w14:textId="77777777" w:rsidR="00E13826" w:rsidRPr="003F7444" w:rsidRDefault="00E13826" w:rsidP="003C5E29">
            <w:r w:rsidRPr="003F7444">
              <w:t>Summary of safety concerns</w:t>
            </w:r>
          </w:p>
        </w:tc>
        <w:tc>
          <w:tcPr>
            <w:tcW w:w="2551" w:type="dxa"/>
            <w:gridSpan w:val="2"/>
            <w:shd w:val="clear" w:color="auto" w:fill="DEEAF6"/>
          </w:tcPr>
          <w:p w14:paraId="19D89B3C" w14:textId="77777777" w:rsidR="00E13826" w:rsidRPr="003F7444" w:rsidRDefault="00E13826" w:rsidP="003C5E29">
            <w:r w:rsidRPr="003F7444">
              <w:t>Pharmacovigilance</w:t>
            </w:r>
          </w:p>
        </w:tc>
        <w:tc>
          <w:tcPr>
            <w:tcW w:w="2268" w:type="dxa"/>
            <w:gridSpan w:val="2"/>
            <w:shd w:val="clear" w:color="auto" w:fill="DEEAF6"/>
          </w:tcPr>
          <w:p w14:paraId="25C7FC9A" w14:textId="77777777" w:rsidR="00E13826" w:rsidRPr="003F7444" w:rsidRDefault="00E13826" w:rsidP="003C5E29">
            <w:r w:rsidRPr="003F7444">
              <w:t>Risk Minimisation</w:t>
            </w:r>
          </w:p>
        </w:tc>
      </w:tr>
      <w:tr w:rsidR="00E13826" w:rsidRPr="003F7444" w14:paraId="266DB3EB" w14:textId="77777777" w:rsidTr="003F7444">
        <w:trPr>
          <w:trHeight w:val="150"/>
          <w:jc w:val="center"/>
        </w:trPr>
        <w:tc>
          <w:tcPr>
            <w:tcW w:w="4390" w:type="dxa"/>
            <w:gridSpan w:val="2"/>
            <w:vMerge/>
            <w:shd w:val="clear" w:color="auto" w:fill="DEEAF6"/>
          </w:tcPr>
          <w:p w14:paraId="1ED02D32" w14:textId="77777777" w:rsidR="00E13826" w:rsidRPr="003F7444" w:rsidRDefault="00E13826" w:rsidP="003C5E29"/>
        </w:tc>
        <w:tc>
          <w:tcPr>
            <w:tcW w:w="1134" w:type="dxa"/>
            <w:shd w:val="clear" w:color="auto" w:fill="DEEAF6"/>
          </w:tcPr>
          <w:p w14:paraId="33629308" w14:textId="77777777" w:rsidR="00E13826" w:rsidRPr="003F7444" w:rsidRDefault="00E13826" w:rsidP="003C5E29">
            <w:r w:rsidRPr="003F7444">
              <w:t>Routine</w:t>
            </w:r>
          </w:p>
        </w:tc>
        <w:tc>
          <w:tcPr>
            <w:tcW w:w="1417" w:type="dxa"/>
            <w:shd w:val="clear" w:color="auto" w:fill="DEEAF6"/>
          </w:tcPr>
          <w:p w14:paraId="67AF78C3" w14:textId="77777777" w:rsidR="00E13826" w:rsidRPr="003F7444" w:rsidRDefault="00E13826" w:rsidP="003C5E29">
            <w:r w:rsidRPr="003F7444">
              <w:t>Additional</w:t>
            </w:r>
          </w:p>
        </w:tc>
        <w:tc>
          <w:tcPr>
            <w:tcW w:w="992" w:type="dxa"/>
            <w:shd w:val="clear" w:color="auto" w:fill="DEEAF6"/>
          </w:tcPr>
          <w:p w14:paraId="51B8CF65" w14:textId="77777777" w:rsidR="00E13826" w:rsidRPr="003F7444" w:rsidRDefault="00E13826" w:rsidP="003C5E29">
            <w:r w:rsidRPr="003F7444">
              <w:t>Routine</w:t>
            </w:r>
          </w:p>
        </w:tc>
        <w:tc>
          <w:tcPr>
            <w:tcW w:w="1276" w:type="dxa"/>
            <w:shd w:val="clear" w:color="auto" w:fill="DEEAF6"/>
          </w:tcPr>
          <w:p w14:paraId="39F92784" w14:textId="77777777" w:rsidR="00E13826" w:rsidRPr="003F7444" w:rsidRDefault="00E13826" w:rsidP="003C5E29">
            <w:r w:rsidRPr="003F7444">
              <w:t>Additional</w:t>
            </w:r>
          </w:p>
        </w:tc>
      </w:tr>
      <w:tr w:rsidR="00E13826" w:rsidRPr="003F7444" w14:paraId="73505CA9" w14:textId="77777777" w:rsidTr="003F7444">
        <w:trPr>
          <w:trHeight w:val="789"/>
          <w:jc w:val="center"/>
        </w:trPr>
        <w:tc>
          <w:tcPr>
            <w:tcW w:w="1550" w:type="dxa"/>
          </w:tcPr>
          <w:p w14:paraId="599C045A" w14:textId="77777777" w:rsidR="00E13826" w:rsidRPr="003F7444" w:rsidRDefault="00E13826" w:rsidP="003C5E29">
            <w:r w:rsidRPr="003F7444">
              <w:t>Important identified risks</w:t>
            </w:r>
          </w:p>
        </w:tc>
        <w:tc>
          <w:tcPr>
            <w:tcW w:w="2840" w:type="dxa"/>
          </w:tcPr>
          <w:p w14:paraId="515FE38F" w14:textId="77777777" w:rsidR="00E13826" w:rsidRPr="003F7444" w:rsidRDefault="00E13826" w:rsidP="003C5E29">
            <w:r w:rsidRPr="003F7444">
              <w:rPr>
                <w:bCs/>
              </w:rPr>
              <w:t>Corneal examination findings (including keratopathy), potentially resulting in vision changes</w:t>
            </w:r>
          </w:p>
        </w:tc>
        <w:tc>
          <w:tcPr>
            <w:tcW w:w="1134" w:type="dxa"/>
            <w:vAlign w:val="center"/>
          </w:tcPr>
          <w:p w14:paraId="66A9D03F" w14:textId="77777777" w:rsidR="00E13826" w:rsidRPr="003F7444" w:rsidRDefault="00E13826" w:rsidP="003C5E29">
            <w:pPr>
              <w:rPr>
                <w:color w:val="00B050"/>
              </w:rPr>
            </w:pPr>
            <w:r w:rsidRPr="003F7444">
              <w:sym w:font="Wingdings" w:char="F0FC"/>
            </w:r>
            <w:r w:rsidRPr="003F7444">
              <w:t>*</w:t>
            </w:r>
          </w:p>
        </w:tc>
        <w:tc>
          <w:tcPr>
            <w:tcW w:w="1417" w:type="dxa"/>
            <w:vAlign w:val="center"/>
          </w:tcPr>
          <w:p w14:paraId="1BA6DEED" w14:textId="77777777" w:rsidR="00E13826" w:rsidRPr="003F7444" w:rsidRDefault="00E13826" w:rsidP="003C5E29">
            <w:pPr>
              <w:rPr>
                <w:color w:val="00B050"/>
              </w:rPr>
            </w:pPr>
            <w:r w:rsidRPr="003F7444">
              <w:t>–</w:t>
            </w:r>
          </w:p>
        </w:tc>
        <w:tc>
          <w:tcPr>
            <w:tcW w:w="992" w:type="dxa"/>
            <w:vAlign w:val="center"/>
          </w:tcPr>
          <w:p w14:paraId="6BC2DBFF" w14:textId="77777777" w:rsidR="00E13826" w:rsidRPr="003F7444" w:rsidRDefault="00E13826" w:rsidP="003C5E29">
            <w:pPr>
              <w:rPr>
                <w:color w:val="00B050"/>
              </w:rPr>
            </w:pPr>
            <w:r w:rsidRPr="003F7444">
              <w:sym w:font="Wingdings" w:char="F0FC"/>
            </w:r>
          </w:p>
        </w:tc>
        <w:tc>
          <w:tcPr>
            <w:tcW w:w="1276" w:type="dxa"/>
            <w:vAlign w:val="center"/>
          </w:tcPr>
          <w:p w14:paraId="2D7EC4CB" w14:textId="77777777" w:rsidR="00E13826" w:rsidRPr="003F7444" w:rsidRDefault="00E13826" w:rsidP="003C5E29">
            <w:pPr>
              <w:rPr>
                <w:color w:val="00B050"/>
              </w:rPr>
            </w:pPr>
            <w:r w:rsidRPr="003F7444">
              <w:sym w:font="Wingdings" w:char="F0FC"/>
            </w:r>
            <w:r w:rsidRPr="003F7444">
              <w:rPr>
                <w:vertAlign w:val="superscript"/>
              </w:rPr>
              <w:t>‡</w:t>
            </w:r>
          </w:p>
        </w:tc>
      </w:tr>
      <w:tr w:rsidR="00E13826" w:rsidRPr="003F7444" w14:paraId="4F0D8BC3" w14:textId="77777777" w:rsidTr="003F7444">
        <w:trPr>
          <w:trHeight w:val="599"/>
          <w:jc w:val="center"/>
        </w:trPr>
        <w:tc>
          <w:tcPr>
            <w:tcW w:w="1550" w:type="dxa"/>
          </w:tcPr>
          <w:p w14:paraId="6CFFB315" w14:textId="77777777" w:rsidR="00E13826" w:rsidRPr="003F7444" w:rsidRDefault="00E13826" w:rsidP="003C5E29">
            <w:r w:rsidRPr="003F7444">
              <w:t>Important potential risks</w:t>
            </w:r>
          </w:p>
        </w:tc>
        <w:tc>
          <w:tcPr>
            <w:tcW w:w="2840" w:type="dxa"/>
          </w:tcPr>
          <w:p w14:paraId="288617DA" w14:textId="77777777" w:rsidR="00E13826" w:rsidRPr="003F7444" w:rsidRDefault="00E13826" w:rsidP="003C5E29">
            <w:pPr>
              <w:rPr>
                <w:bCs/>
              </w:rPr>
            </w:pPr>
            <w:r w:rsidRPr="003F7444">
              <w:rPr>
                <w:bCs/>
              </w:rPr>
              <w:t>None</w:t>
            </w:r>
          </w:p>
        </w:tc>
        <w:tc>
          <w:tcPr>
            <w:tcW w:w="1134" w:type="dxa"/>
            <w:vAlign w:val="center"/>
          </w:tcPr>
          <w:p w14:paraId="3B4DDD56" w14:textId="77777777" w:rsidR="00E13826" w:rsidRPr="003F7444" w:rsidRDefault="00E13826" w:rsidP="003C5E29">
            <w:r w:rsidRPr="003F7444">
              <w:t>–</w:t>
            </w:r>
          </w:p>
        </w:tc>
        <w:tc>
          <w:tcPr>
            <w:tcW w:w="1417" w:type="dxa"/>
            <w:vAlign w:val="center"/>
          </w:tcPr>
          <w:p w14:paraId="35310F99" w14:textId="77777777" w:rsidR="00E13826" w:rsidRPr="003F7444" w:rsidRDefault="00E13826" w:rsidP="003C5E29">
            <w:r w:rsidRPr="003F7444">
              <w:t>–</w:t>
            </w:r>
          </w:p>
        </w:tc>
        <w:tc>
          <w:tcPr>
            <w:tcW w:w="992" w:type="dxa"/>
            <w:vAlign w:val="center"/>
          </w:tcPr>
          <w:p w14:paraId="363034E1" w14:textId="77777777" w:rsidR="00E13826" w:rsidRPr="003F7444" w:rsidRDefault="00E13826" w:rsidP="003C5E29">
            <w:r w:rsidRPr="003F7444">
              <w:t>–</w:t>
            </w:r>
          </w:p>
        </w:tc>
        <w:tc>
          <w:tcPr>
            <w:tcW w:w="1276" w:type="dxa"/>
            <w:vAlign w:val="center"/>
          </w:tcPr>
          <w:p w14:paraId="72695C79" w14:textId="77777777" w:rsidR="00E13826" w:rsidRPr="003F7444" w:rsidRDefault="00E13826" w:rsidP="003C5E29">
            <w:r w:rsidRPr="003F7444">
              <w:t>–</w:t>
            </w:r>
          </w:p>
        </w:tc>
      </w:tr>
      <w:tr w:rsidR="00E13826" w:rsidRPr="003F7444" w14:paraId="46D6F096" w14:textId="77777777" w:rsidTr="003F7444">
        <w:trPr>
          <w:trHeight w:val="592"/>
          <w:jc w:val="center"/>
        </w:trPr>
        <w:tc>
          <w:tcPr>
            <w:tcW w:w="1550" w:type="dxa"/>
          </w:tcPr>
          <w:p w14:paraId="55B790C7" w14:textId="77777777" w:rsidR="00E13826" w:rsidRPr="003F7444" w:rsidRDefault="00E13826" w:rsidP="003C5E29">
            <w:pPr>
              <w:rPr>
                <w:color w:val="000000" w:themeColor="text1"/>
              </w:rPr>
            </w:pPr>
            <w:r w:rsidRPr="003F7444">
              <w:rPr>
                <w:color w:val="000000" w:themeColor="text1"/>
              </w:rPr>
              <w:t>Missing information</w:t>
            </w:r>
          </w:p>
        </w:tc>
        <w:tc>
          <w:tcPr>
            <w:tcW w:w="2840" w:type="dxa"/>
          </w:tcPr>
          <w:p w14:paraId="7E3A136E" w14:textId="77777777" w:rsidR="00E13826" w:rsidRPr="003F7444" w:rsidRDefault="00E13826" w:rsidP="003C5E29">
            <w:pPr>
              <w:rPr>
                <w:color w:val="000000" w:themeColor="text1"/>
              </w:rPr>
            </w:pPr>
            <w:r w:rsidRPr="003F7444">
              <w:rPr>
                <w:color w:val="000000" w:themeColor="text1"/>
              </w:rPr>
              <w:t>None</w:t>
            </w:r>
          </w:p>
        </w:tc>
        <w:tc>
          <w:tcPr>
            <w:tcW w:w="1134" w:type="dxa"/>
            <w:vAlign w:val="center"/>
          </w:tcPr>
          <w:p w14:paraId="15086DCE" w14:textId="77777777" w:rsidR="00E13826" w:rsidRPr="003F7444" w:rsidRDefault="00E13826" w:rsidP="003C5E29">
            <w:pPr>
              <w:rPr>
                <w:color w:val="7030A0"/>
              </w:rPr>
            </w:pPr>
            <w:r w:rsidRPr="003F7444">
              <w:rPr>
                <w:color w:val="7030A0"/>
              </w:rPr>
              <w:t>–</w:t>
            </w:r>
          </w:p>
        </w:tc>
        <w:tc>
          <w:tcPr>
            <w:tcW w:w="1417" w:type="dxa"/>
            <w:vAlign w:val="center"/>
          </w:tcPr>
          <w:p w14:paraId="7F6941A3" w14:textId="77777777" w:rsidR="00E13826" w:rsidRPr="003F7444" w:rsidRDefault="00E13826" w:rsidP="003C5E29">
            <w:pPr>
              <w:rPr>
                <w:color w:val="7030A0"/>
              </w:rPr>
            </w:pPr>
            <w:r w:rsidRPr="003F7444">
              <w:rPr>
                <w:color w:val="7030A0"/>
              </w:rPr>
              <w:t>–</w:t>
            </w:r>
          </w:p>
        </w:tc>
        <w:tc>
          <w:tcPr>
            <w:tcW w:w="992" w:type="dxa"/>
            <w:vAlign w:val="center"/>
          </w:tcPr>
          <w:p w14:paraId="04080733" w14:textId="77777777" w:rsidR="00E13826" w:rsidRPr="003F7444" w:rsidRDefault="00E13826" w:rsidP="003C5E29">
            <w:pPr>
              <w:rPr>
                <w:color w:val="7030A0"/>
              </w:rPr>
            </w:pPr>
            <w:r w:rsidRPr="003F7444">
              <w:rPr>
                <w:color w:val="7030A0"/>
              </w:rPr>
              <w:t>–</w:t>
            </w:r>
          </w:p>
        </w:tc>
        <w:tc>
          <w:tcPr>
            <w:tcW w:w="1276" w:type="dxa"/>
            <w:vAlign w:val="center"/>
          </w:tcPr>
          <w:p w14:paraId="4308E21B" w14:textId="77777777" w:rsidR="00E13826" w:rsidRPr="003F7444" w:rsidRDefault="00E13826" w:rsidP="003C5E29">
            <w:pPr>
              <w:rPr>
                <w:color w:val="7030A0"/>
              </w:rPr>
            </w:pPr>
            <w:r w:rsidRPr="003F7444">
              <w:rPr>
                <w:color w:val="7030A0"/>
              </w:rPr>
              <w:t>–</w:t>
            </w:r>
          </w:p>
        </w:tc>
      </w:tr>
    </w:tbl>
    <w:p w14:paraId="6577574D" w14:textId="77777777" w:rsidR="00EE3C64" w:rsidRPr="003C5E29" w:rsidRDefault="00EE3C64" w:rsidP="003C5E29">
      <w:pPr>
        <w:pStyle w:val="TableDescription"/>
      </w:pPr>
      <w:r w:rsidRPr="003C5E29">
        <w:t>* Specific targeted follow up form for ocular events (visual disturbances)</w:t>
      </w:r>
    </w:p>
    <w:p w14:paraId="0A447D9B" w14:textId="2E5D0DE0" w:rsidR="00EE3C64" w:rsidRPr="003C5E29" w:rsidRDefault="00EE3C64" w:rsidP="003C5E29">
      <w:pPr>
        <w:pStyle w:val="TableDescription"/>
      </w:pPr>
      <w:r w:rsidRPr="003C5E29">
        <w:t>‡ Eye-related side effects Guide for HCPs, Eye-related side effects Guide for Patients and Patient Wallet Card</w:t>
      </w:r>
    </w:p>
    <w:p w14:paraId="5569D5D3" w14:textId="77777777" w:rsidR="0071395C" w:rsidRDefault="0071395C" w:rsidP="00A617A4">
      <w:pPr>
        <w:rPr>
          <w:b/>
          <w:bCs/>
        </w:rPr>
      </w:pPr>
      <w:bookmarkStart w:id="69" w:name="_Toc103679299"/>
      <w:r w:rsidRPr="0071395C">
        <w:t>Routine risk minimisation is proposed for all safety concerns. Additional risk minimisation is proposed for the important identified risk of ‘Corneal examination findings (including keratopathy), potentially resulting in vision changes. At round 2, the sponsor has clarified that the additional risk minimisation activities consist of a Prescriber Guide, a Patient Guide and a Patient Alert Card, and clarified the dissemination plan. The CMI has been revised as requested. At round 3 the risk minimisation plan is acceptable, subject to revision of the Patient Guide and HCP Guide as requested.</w:t>
      </w:r>
    </w:p>
    <w:p w14:paraId="74A4F87F" w14:textId="5FD71F9F" w:rsidR="00C22214" w:rsidRDefault="00C22214" w:rsidP="00C22214">
      <w:pPr>
        <w:pStyle w:val="Heading3"/>
      </w:pPr>
      <w:bookmarkStart w:id="70" w:name="_Toc227758035"/>
      <w:r>
        <w:t>Risk-benefit analysis</w:t>
      </w:r>
      <w:bookmarkEnd w:id="66"/>
      <w:bookmarkEnd w:id="67"/>
      <w:bookmarkEnd w:id="69"/>
      <w:bookmarkEnd w:id="70"/>
      <w:r w:rsidR="00145B4A">
        <w:fldChar w:fldCharType="begin"/>
      </w:r>
      <w:r w:rsidR="00145B4A">
        <w:instrText xml:space="preserve"> DOCVARIABLE vault_nd_90bcef91-d285-4728-9fb1-8915baa5bea5 \* MERGEFORMAT </w:instrText>
      </w:r>
      <w:r w:rsidR="00145B4A">
        <w:fldChar w:fldCharType="separate"/>
      </w:r>
      <w:r w:rsidR="00145B4A">
        <w:t xml:space="preserve"> </w:t>
      </w:r>
      <w:r w:rsidR="00145B4A">
        <w:fldChar w:fldCharType="end"/>
      </w:r>
    </w:p>
    <w:p w14:paraId="32412E1A" w14:textId="0BE9F9A3" w:rsidR="00CF3DD5" w:rsidRPr="00CF3DD5" w:rsidRDefault="00CF3DD5" w:rsidP="006C6273">
      <w:pPr>
        <w:pStyle w:val="Heading4"/>
      </w:pPr>
      <w:bookmarkStart w:id="71" w:name="_Toc227758036"/>
      <w:r w:rsidRPr="00CF3DD5">
        <w:t>Efficacy</w:t>
      </w:r>
      <w:bookmarkEnd w:id="71"/>
      <w:r w:rsidR="00145B4A">
        <w:fldChar w:fldCharType="begin"/>
      </w:r>
      <w:r w:rsidR="00145B4A">
        <w:instrText xml:space="preserve"> DOCVARIABLE vault_nd_843da60a-6bcc-49c9-8570-7a5105363a5c \* MERGEFORMAT </w:instrText>
      </w:r>
      <w:r w:rsidR="00145B4A">
        <w:fldChar w:fldCharType="separate"/>
      </w:r>
      <w:r w:rsidR="00145B4A">
        <w:t xml:space="preserve"> </w:t>
      </w:r>
      <w:r w:rsidR="00145B4A">
        <w:fldChar w:fldCharType="end"/>
      </w:r>
    </w:p>
    <w:p w14:paraId="09926FE5" w14:textId="19CBBCFB" w:rsidR="00CF3DD5" w:rsidRPr="00CF3DD5" w:rsidRDefault="00CF3DD5" w:rsidP="00CF3DD5">
      <w:r w:rsidRPr="00CF3DD5">
        <w:t xml:space="preserve">The clinical PK data are limited, but this is because of the toxicity of </w:t>
      </w:r>
      <w:proofErr w:type="spellStart"/>
      <w:r w:rsidRPr="00CF3DD5">
        <w:t>cys-mcMMAF</w:t>
      </w:r>
      <w:proofErr w:type="spellEnd"/>
      <w:r w:rsidRPr="00CF3DD5">
        <w:t xml:space="preserve"> which limits the ability to study the drug in volunteer populations, or outside of the context of treatment. However, the Sponsor has provided adequate data to inform the PI, and these data are based on patient populations during active treatment</w:t>
      </w:r>
      <w:r w:rsidR="00073830">
        <w:t xml:space="preserve">. </w:t>
      </w:r>
      <w:r w:rsidRPr="00CF3DD5">
        <w:t>The population PK analyses are thorough and were well conducted. The population PK analyses were conducted in the target population. The models appeared to have adequately described the concentration data evaluate the effects of covariates on PK and to provide exposure measures for exposure-response analyses.</w:t>
      </w:r>
    </w:p>
    <w:p w14:paraId="51DB4C81" w14:textId="77777777" w:rsidR="00CF3DD5" w:rsidRPr="00CF3DD5" w:rsidRDefault="00CF3DD5" w:rsidP="00CF3DD5">
      <w:r w:rsidRPr="00CF3DD5">
        <w:t xml:space="preserve">The PK and PD of belantamab mafodotin have been adequately researched. </w:t>
      </w:r>
    </w:p>
    <w:p w14:paraId="4FC4B5DD" w14:textId="0B04582E" w:rsidR="009A7459" w:rsidRDefault="00CF3DD5" w:rsidP="009A7459">
      <w:pPr>
        <w:pStyle w:val="Heading5"/>
        <w:rPr>
          <w:iCs/>
        </w:rPr>
      </w:pPr>
      <w:r w:rsidRPr="009A7459">
        <w:t>Study 207503 (DREAMM-7)</w:t>
      </w:r>
      <w:fldSimple w:instr=" DOCVARIABLE vault_nd_86a92ae7-3042-4c8d-ba0d-7c22c2e92583 \* MERGEFORMAT ">
        <w:r w:rsidR="00145B4A">
          <w:t xml:space="preserve"> </w:t>
        </w:r>
      </w:fldSimple>
    </w:p>
    <w:p w14:paraId="6512C010" w14:textId="35672C0C" w:rsidR="00CF3DD5" w:rsidRPr="00CF3DD5" w:rsidRDefault="00CF3DD5" w:rsidP="00CF3DD5">
      <w:r w:rsidRPr="00CF3DD5">
        <w:t>The study was designed and conducted in accordance with regulatory guidance</w:t>
      </w:r>
      <w:r w:rsidR="00073830">
        <w:t xml:space="preserve">. </w:t>
      </w:r>
      <w:r w:rsidRPr="00CF3DD5">
        <w:t>Although the study was open label, the primary and key secondary outcome measures were objective, and unlikely to be biased because of the lack of blinding</w:t>
      </w:r>
      <w:r w:rsidR="00073830">
        <w:t xml:space="preserve">. </w:t>
      </w:r>
    </w:p>
    <w:p w14:paraId="1B5EFF6E" w14:textId="337295DC" w:rsidR="00CF3DD5" w:rsidRPr="00CF3DD5" w:rsidRDefault="00CF3DD5" w:rsidP="00CF3DD5">
      <w:pPr>
        <w:rPr>
          <w:lang w:val="en-NZ"/>
        </w:rPr>
      </w:pPr>
      <w:r w:rsidRPr="00CF3DD5">
        <w:t>The participants were representative of patients with RRMM in Australia</w:t>
      </w:r>
      <w:r w:rsidR="00073830">
        <w:t xml:space="preserve">. </w:t>
      </w:r>
      <w:r w:rsidRPr="00CF3DD5">
        <w:t>The definition of MM was consistent with that applied in Australia</w:t>
      </w:r>
      <w:r w:rsidR="00073830">
        <w:t xml:space="preserve">. </w:t>
      </w:r>
      <w:r w:rsidRPr="00CF3DD5">
        <w:t>The comparator treatment is an accepted treatment for RRMM in Australia, at the same doses and regimen as that used in the study</w:t>
      </w:r>
      <w:r w:rsidR="00073830">
        <w:t xml:space="preserve">. </w:t>
      </w:r>
      <w:r w:rsidRPr="00CF3DD5">
        <w:t xml:space="preserve">The background treatments were standardised and did not vary between the study groups. The outcome measures were all accepted measures as per the </w:t>
      </w:r>
      <w:r w:rsidRPr="00CF3DD5">
        <w:rPr>
          <w:lang w:val="en-NZ"/>
        </w:rPr>
        <w:t>Guideline on the Clinical Evaluation of Anticancer Medicinal Products (EMA/CHMP/205/95 Rev.6)</w:t>
      </w:r>
      <w:r w:rsidR="00073830">
        <w:rPr>
          <w:lang w:val="en-NZ"/>
        </w:rPr>
        <w:t xml:space="preserve">. </w:t>
      </w:r>
      <w:r w:rsidRPr="00CF3DD5">
        <w:rPr>
          <w:lang w:val="en-NZ"/>
        </w:rPr>
        <w:t xml:space="preserve">The statistical measures were appropriate. The objective of this study </w:t>
      </w:r>
      <w:r w:rsidRPr="00CF3DD5">
        <w:t>was to evaluate the efficacy and safety of the combination of belantamab mafodotin, bortezomib, and dexamethasone (</w:t>
      </w:r>
      <w:proofErr w:type="spellStart"/>
      <w:r w:rsidRPr="00CF3DD5">
        <w:t>BVd</w:t>
      </w:r>
      <w:proofErr w:type="spellEnd"/>
      <w:r w:rsidRPr="00CF3DD5">
        <w:t>) compared with the combination of daratumumab, bortezomib and dexamethasone (</w:t>
      </w:r>
      <w:proofErr w:type="spellStart"/>
      <w:r w:rsidRPr="00CF3DD5">
        <w:t>DVd</w:t>
      </w:r>
      <w:proofErr w:type="spellEnd"/>
      <w:r w:rsidRPr="00CF3DD5">
        <w:t xml:space="preserve">) in participants with </w:t>
      </w:r>
      <w:r w:rsidR="00FA0C07">
        <w:t>RRMM</w:t>
      </w:r>
      <w:r w:rsidRPr="00CF3DD5">
        <w:t xml:space="preserve"> with at least 1 prior line of therapy, a total of 494 participants were randomised. </w:t>
      </w:r>
      <w:r w:rsidRPr="00CF3DD5">
        <w:lastRenderedPageBreak/>
        <w:t xml:space="preserve">Belantamab mafodotin was administered IV at the dose of 2.5 mg/kg on Day 1 of every 21-day cycle in combination with </w:t>
      </w:r>
      <w:proofErr w:type="spellStart"/>
      <w:r w:rsidRPr="00CF3DD5">
        <w:t>Vd</w:t>
      </w:r>
      <w:proofErr w:type="spellEnd"/>
      <w:r w:rsidRPr="00CF3DD5">
        <w:t xml:space="preserve"> for the first 8 cycles. From Cycle 9 onwards, belantamab mafodotin was administered as monotherapy.</w:t>
      </w:r>
    </w:p>
    <w:p w14:paraId="2679DBBB" w14:textId="698F449F" w:rsidR="00CF3DD5" w:rsidRPr="00CF3DD5" w:rsidRDefault="00CF3DD5" w:rsidP="00CF3DD5">
      <w:r w:rsidRPr="00CF3DD5">
        <w:t xml:space="preserve">For PFS (the primary endpoint), </w:t>
      </w:r>
      <w:proofErr w:type="spellStart"/>
      <w:r w:rsidRPr="00CF3DD5">
        <w:t>BVd</w:t>
      </w:r>
      <w:proofErr w:type="spellEnd"/>
      <w:r w:rsidRPr="00CF3DD5">
        <w:t xml:space="preserve"> was superior to </w:t>
      </w:r>
      <w:proofErr w:type="spellStart"/>
      <w:r w:rsidRPr="00CF3DD5">
        <w:t>DVd</w:t>
      </w:r>
      <w:proofErr w:type="spellEnd"/>
      <w:r w:rsidR="00073830">
        <w:t xml:space="preserve">. </w:t>
      </w:r>
      <w:r w:rsidRPr="00CF3DD5">
        <w:t xml:space="preserve">Progression or death were recorded for 91 (37%) participants in the </w:t>
      </w:r>
      <w:proofErr w:type="spellStart"/>
      <w:r w:rsidRPr="00CF3DD5">
        <w:t>BVd</w:t>
      </w:r>
      <w:proofErr w:type="spellEnd"/>
      <w:r w:rsidRPr="00CF3DD5">
        <w:t xml:space="preserve"> group and 158 (63%) in the </w:t>
      </w:r>
      <w:proofErr w:type="spellStart"/>
      <w:r w:rsidRPr="00CF3DD5">
        <w:t>DVd</w:t>
      </w:r>
      <w:proofErr w:type="spellEnd"/>
      <w:r w:rsidR="00073830">
        <w:t xml:space="preserve">. </w:t>
      </w:r>
      <w:r w:rsidRPr="00CF3DD5">
        <w:t xml:space="preserve">Median (95% CI) PFS was 36.6 (28.4 to NC) months for </w:t>
      </w:r>
      <w:proofErr w:type="spellStart"/>
      <w:r w:rsidRPr="00CF3DD5">
        <w:t>BVd</w:t>
      </w:r>
      <w:proofErr w:type="spellEnd"/>
      <w:r w:rsidRPr="00CF3DD5">
        <w:t xml:space="preserve"> and 13.4 (11.1 to 17.5) months for </w:t>
      </w:r>
      <w:proofErr w:type="spellStart"/>
      <w:r w:rsidRPr="00CF3DD5">
        <w:t>DVd</w:t>
      </w:r>
      <w:proofErr w:type="spellEnd"/>
      <w:r w:rsidR="00073830">
        <w:t xml:space="preserve">. </w:t>
      </w:r>
      <w:r w:rsidRPr="00CF3DD5">
        <w:t xml:space="preserve">The HR (95% CI) </w:t>
      </w:r>
      <w:proofErr w:type="spellStart"/>
      <w:r w:rsidRPr="00CF3DD5">
        <w:t>BVd</w:t>
      </w:r>
      <w:proofErr w:type="spellEnd"/>
      <w:r w:rsidRPr="00CF3DD5">
        <w:t>/</w:t>
      </w:r>
      <w:proofErr w:type="spellStart"/>
      <w:r w:rsidRPr="00CF3DD5">
        <w:t>DVd</w:t>
      </w:r>
      <w:proofErr w:type="spellEnd"/>
      <w:r w:rsidRPr="00CF3DD5">
        <w:t xml:space="preserve"> for PFS was 0.41 (0.31 to 0.53), p &lt;0.00001</w:t>
      </w:r>
      <w:r w:rsidR="00073830">
        <w:t xml:space="preserve">. </w:t>
      </w:r>
      <w:r w:rsidRPr="00CF3DD5">
        <w:t>Significant benefit for PFS was apparent within 3 months of commencing treatment and persisted throughout the treatment period.</w:t>
      </w:r>
    </w:p>
    <w:p w14:paraId="2BEF5453" w14:textId="56E7B552" w:rsidR="00CF3DD5" w:rsidRPr="00CF3DD5" w:rsidRDefault="00CF3DD5" w:rsidP="00CF3DD5">
      <w:r w:rsidRPr="00CF3DD5">
        <w:rPr>
          <w:lang w:val="en-NZ"/>
        </w:rPr>
        <w:t xml:space="preserve">For OS, in the updated analysis, death was reported for 68 (28%) participants in the </w:t>
      </w:r>
      <w:proofErr w:type="spellStart"/>
      <w:r w:rsidRPr="00CF3DD5">
        <w:rPr>
          <w:lang w:val="en-NZ"/>
        </w:rPr>
        <w:t>BVd</w:t>
      </w:r>
      <w:proofErr w:type="spellEnd"/>
      <w:r w:rsidRPr="00CF3DD5">
        <w:rPr>
          <w:lang w:val="en-NZ"/>
        </w:rPr>
        <w:t xml:space="preserve"> group and 103 (41%) in the </w:t>
      </w:r>
      <w:proofErr w:type="spellStart"/>
      <w:r w:rsidRPr="00CF3DD5">
        <w:rPr>
          <w:lang w:val="en-NZ"/>
        </w:rPr>
        <w:t>DVd</w:t>
      </w:r>
      <w:proofErr w:type="spellEnd"/>
      <w:r w:rsidR="00073830">
        <w:rPr>
          <w:lang w:val="en-NZ"/>
        </w:rPr>
        <w:t xml:space="preserve">. </w:t>
      </w:r>
      <w:r w:rsidRPr="00CF3DD5">
        <w:t xml:space="preserve">The HR (95% CI) </w:t>
      </w:r>
      <w:proofErr w:type="spellStart"/>
      <w:r w:rsidRPr="00CF3DD5">
        <w:t>BVd</w:t>
      </w:r>
      <w:proofErr w:type="spellEnd"/>
      <w:r w:rsidRPr="00CF3DD5">
        <w:t>/</w:t>
      </w:r>
      <w:proofErr w:type="spellStart"/>
      <w:r w:rsidRPr="00CF3DD5">
        <w:t>DVd</w:t>
      </w:r>
      <w:proofErr w:type="spellEnd"/>
      <w:r w:rsidRPr="00CF3DD5">
        <w:t xml:space="preserve"> for death was </w:t>
      </w:r>
      <w:r w:rsidR="009679FC">
        <w:t xml:space="preserve">significant with </w:t>
      </w:r>
      <w:r w:rsidRPr="00CF3DD5">
        <w:t>0.58 (0.43 to 0.79), p = 0.00023</w:t>
      </w:r>
      <w:r w:rsidR="00073830">
        <w:t xml:space="preserve">. </w:t>
      </w:r>
      <w:r w:rsidRPr="00CF3DD5">
        <w:t>The OS benefit was apparent by Month 12 and persisted to Month 52.</w:t>
      </w:r>
    </w:p>
    <w:p w14:paraId="1782C142" w14:textId="09B2BBE0" w:rsidR="00CF3DD5" w:rsidRPr="00CF3DD5" w:rsidRDefault="00CF3DD5" w:rsidP="00CF3DD5">
      <w:r w:rsidRPr="00CF3DD5">
        <w:t xml:space="preserve">The remaining secondary efficacy outcome measures were supportive of efficacy. </w:t>
      </w:r>
      <w:r w:rsidRPr="00CF3DD5">
        <w:rPr>
          <w:lang w:val="en-NZ"/>
        </w:rPr>
        <w:t xml:space="preserve">For PRO-CTCAE there was increasing severity and interference from baseline of blurred vision in the </w:t>
      </w:r>
      <w:proofErr w:type="spellStart"/>
      <w:r w:rsidRPr="00CF3DD5">
        <w:rPr>
          <w:lang w:val="en-NZ"/>
        </w:rPr>
        <w:t>BVd</w:t>
      </w:r>
      <w:proofErr w:type="spellEnd"/>
      <w:r w:rsidRPr="00CF3DD5">
        <w:rPr>
          <w:lang w:val="en-NZ"/>
        </w:rPr>
        <w:t xml:space="preserve"> group compared to the </w:t>
      </w:r>
      <w:proofErr w:type="spellStart"/>
      <w:r w:rsidRPr="00CF3DD5">
        <w:rPr>
          <w:lang w:val="en-NZ"/>
        </w:rPr>
        <w:t>DVd</w:t>
      </w:r>
      <w:proofErr w:type="spellEnd"/>
      <w:r w:rsidRPr="00CF3DD5">
        <w:rPr>
          <w:lang w:val="en-NZ"/>
        </w:rPr>
        <w:t xml:space="preserve"> group</w:t>
      </w:r>
      <w:r w:rsidR="00073830">
        <w:rPr>
          <w:lang w:val="en-NZ"/>
        </w:rPr>
        <w:t xml:space="preserve">. </w:t>
      </w:r>
    </w:p>
    <w:p w14:paraId="536AE0B7" w14:textId="2963C280" w:rsidR="009A7459" w:rsidRDefault="00CF3DD5" w:rsidP="009A7459">
      <w:pPr>
        <w:pStyle w:val="Heading5"/>
      </w:pPr>
      <w:r w:rsidRPr="009A7459">
        <w:t>Study 207499 (DREAMM-8)</w:t>
      </w:r>
      <w:fldSimple w:instr=" DOCVARIABLE vault_nd_8c63d5ef-1f1f-43a9-a30f-0a3b83e395c0 \* MERGEFORMAT ">
        <w:r w:rsidR="00145B4A">
          <w:t xml:space="preserve"> </w:t>
        </w:r>
      </w:fldSimple>
    </w:p>
    <w:p w14:paraId="0E3CB0EF" w14:textId="59136D7C" w:rsidR="00CF3DD5" w:rsidRPr="00CF3DD5" w:rsidRDefault="00CF3DD5" w:rsidP="00CF3DD5">
      <w:pPr>
        <w:rPr>
          <w:b/>
          <w:bCs/>
          <w:i/>
          <w:iCs/>
        </w:rPr>
      </w:pPr>
      <w:r w:rsidRPr="00CF3DD5">
        <w:t>The study was designed and conducted in accordance with regulatory guidance</w:t>
      </w:r>
      <w:r w:rsidR="00073830">
        <w:t xml:space="preserve">. </w:t>
      </w:r>
      <w:r w:rsidRPr="00CF3DD5">
        <w:t>Although the study was open label, the primary and key secondary outcome measures were objective, and unlikely to be biased because of the lack of blinding</w:t>
      </w:r>
      <w:r w:rsidR="00073830">
        <w:t xml:space="preserve">. </w:t>
      </w:r>
      <w:r w:rsidRPr="00CF3DD5">
        <w:t>The participants were representative of patients with RRMM in Australia</w:t>
      </w:r>
      <w:r w:rsidR="00073830">
        <w:t xml:space="preserve">. </w:t>
      </w:r>
      <w:r w:rsidRPr="00CF3DD5">
        <w:t xml:space="preserve">The definition of MM was consistent with that applied in Australia. The comparator treatment is an accepted treatment for RRMM in Australia, at the same doses and regimen as that used in the study. The outcome measures were all accepted measures as per the </w:t>
      </w:r>
      <w:r w:rsidRPr="00CF3DD5">
        <w:rPr>
          <w:lang w:val="en-NZ"/>
        </w:rPr>
        <w:t>Guideline on the Clinical Evaluation of Anticancer Medicinal Products (EMA/CHMP/205/95 Rev.6)</w:t>
      </w:r>
      <w:r w:rsidR="00073830">
        <w:rPr>
          <w:lang w:val="en-NZ"/>
        </w:rPr>
        <w:t xml:space="preserve">. </w:t>
      </w:r>
      <w:r w:rsidRPr="00CF3DD5">
        <w:rPr>
          <w:lang w:val="en-NZ"/>
        </w:rPr>
        <w:t>The statistical measures were appropriate.</w:t>
      </w:r>
    </w:p>
    <w:p w14:paraId="495C7DE4" w14:textId="77777777" w:rsidR="00CF3DD5" w:rsidRPr="00CF3DD5" w:rsidRDefault="00CF3DD5" w:rsidP="00CF3DD5">
      <w:r w:rsidRPr="00CF3DD5">
        <w:t>A total of 302 participants with RRMM, previously treated with at least 1 prior line of therapy including a lenalidomide-containing regimen, were randomised to evaluate the efficacy and safety of the combination belantamab mafodotin, pomalidomide and dexamethasone (</w:t>
      </w:r>
      <w:proofErr w:type="spellStart"/>
      <w:r w:rsidRPr="00CF3DD5">
        <w:t>BPd</w:t>
      </w:r>
      <w:proofErr w:type="spellEnd"/>
      <w:r w:rsidRPr="00CF3DD5">
        <w:t>) compared with pomalidomide, bortezomib and dexamethasone (</w:t>
      </w:r>
      <w:proofErr w:type="spellStart"/>
      <w:r w:rsidRPr="00CF3DD5">
        <w:t>PVd</w:t>
      </w:r>
      <w:proofErr w:type="spellEnd"/>
      <w:r w:rsidRPr="00CF3DD5">
        <w:t xml:space="preserve">) in participants. Belantamab mafodotin was administered IV at a single dose of 2.5 mg/kg on Day 1 of Cycle 1 and 1.9 mg/kg on Day 1 of Cycle 2 onwards in each 28-day cycle. Subjects were randomised 1:1 to </w:t>
      </w:r>
      <w:proofErr w:type="spellStart"/>
      <w:r w:rsidRPr="00CF3DD5">
        <w:t>BPd</w:t>
      </w:r>
      <w:proofErr w:type="spellEnd"/>
      <w:r w:rsidRPr="00CF3DD5">
        <w:t xml:space="preserve"> or </w:t>
      </w:r>
      <w:proofErr w:type="spellStart"/>
      <w:r w:rsidRPr="00CF3DD5">
        <w:t>PVd</w:t>
      </w:r>
      <w:proofErr w:type="spellEnd"/>
      <w:r w:rsidRPr="00CF3DD5">
        <w:t>.</w:t>
      </w:r>
    </w:p>
    <w:p w14:paraId="7C566F16" w14:textId="47A9094C" w:rsidR="00CF3DD5" w:rsidRPr="00CF3DD5" w:rsidRDefault="00CF3DD5" w:rsidP="00CF3DD5">
      <w:r w:rsidRPr="00CF3DD5">
        <w:t xml:space="preserve">For PFS, </w:t>
      </w:r>
      <w:bookmarkStart w:id="72" w:name="_Hlk211528316"/>
      <w:proofErr w:type="spellStart"/>
      <w:r w:rsidRPr="00CF3DD5">
        <w:t>BPd</w:t>
      </w:r>
      <w:proofErr w:type="spellEnd"/>
      <w:r w:rsidRPr="00CF3DD5">
        <w:t xml:space="preserve"> was superior to </w:t>
      </w:r>
      <w:proofErr w:type="spellStart"/>
      <w:r w:rsidRPr="00CF3DD5">
        <w:t>PVd</w:t>
      </w:r>
      <w:proofErr w:type="spellEnd"/>
      <w:r w:rsidR="00073830">
        <w:t xml:space="preserve">. </w:t>
      </w:r>
      <w:bookmarkEnd w:id="72"/>
      <w:r w:rsidRPr="00CF3DD5">
        <w:t xml:space="preserve">Progression or death were recorded for 62 (40%) participants in the </w:t>
      </w:r>
      <w:proofErr w:type="spellStart"/>
      <w:r w:rsidRPr="00CF3DD5">
        <w:t>BPd</w:t>
      </w:r>
      <w:proofErr w:type="spellEnd"/>
      <w:r w:rsidRPr="00CF3DD5">
        <w:t xml:space="preserve"> group and 80 (54%) in the </w:t>
      </w:r>
      <w:proofErr w:type="spellStart"/>
      <w:r w:rsidRPr="00CF3DD5">
        <w:t>PVd</w:t>
      </w:r>
      <w:proofErr w:type="spellEnd"/>
      <w:r w:rsidR="00073830">
        <w:t xml:space="preserve">. </w:t>
      </w:r>
      <w:r w:rsidRPr="00CF3DD5">
        <w:t xml:space="preserve">The HR (95% CI) </w:t>
      </w:r>
      <w:proofErr w:type="spellStart"/>
      <w:r w:rsidRPr="00CF3DD5">
        <w:t>BPd</w:t>
      </w:r>
      <w:proofErr w:type="spellEnd"/>
      <w:r w:rsidRPr="00CF3DD5">
        <w:t>/</w:t>
      </w:r>
      <w:proofErr w:type="spellStart"/>
      <w:r w:rsidRPr="00CF3DD5">
        <w:t>PVd</w:t>
      </w:r>
      <w:proofErr w:type="spellEnd"/>
      <w:r w:rsidRPr="00CF3DD5">
        <w:t xml:space="preserve"> for PFS was 0.52 (0.37 to 0.73), p &lt;0.001</w:t>
      </w:r>
      <w:r w:rsidR="00073830">
        <w:t xml:space="preserve">. </w:t>
      </w:r>
      <w:r w:rsidRPr="00CF3DD5">
        <w:t>Significant benefit for PFS was apparent within 3 months of commencing treatment and persisted throughout the treatment period.</w:t>
      </w:r>
    </w:p>
    <w:p w14:paraId="1AF0A857" w14:textId="32DCD5D8" w:rsidR="00CF3DD5" w:rsidRPr="00CF3DD5" w:rsidRDefault="00CF3DD5" w:rsidP="00CF3DD5">
      <w:r w:rsidRPr="00CF3DD5">
        <w:rPr>
          <w:lang w:val="en-NZ"/>
        </w:rPr>
        <w:t>For OS, there was no significant difference between the two treatment groups</w:t>
      </w:r>
      <w:r w:rsidR="005D4A01">
        <w:rPr>
          <w:lang w:val="en-NZ"/>
        </w:rPr>
        <w:t xml:space="preserve"> at the time of the primary </w:t>
      </w:r>
      <w:r w:rsidR="001512EA">
        <w:rPr>
          <w:lang w:val="en-NZ"/>
        </w:rPr>
        <w:t>PFS analysis, with a median</w:t>
      </w:r>
      <w:r w:rsidR="007C4876">
        <w:rPr>
          <w:lang w:val="en-NZ"/>
        </w:rPr>
        <w:t xml:space="preserve"> (range)</w:t>
      </w:r>
      <w:r w:rsidR="001512EA">
        <w:rPr>
          <w:lang w:val="en-NZ"/>
        </w:rPr>
        <w:t xml:space="preserve"> duration of follow-up of 21.</w:t>
      </w:r>
      <w:r w:rsidR="007C4876">
        <w:rPr>
          <w:lang w:val="en-NZ"/>
        </w:rPr>
        <w:t>7</w:t>
      </w:r>
      <w:r w:rsidR="001512EA">
        <w:rPr>
          <w:lang w:val="en-NZ"/>
        </w:rPr>
        <w:t xml:space="preserve">8 </w:t>
      </w:r>
      <w:r w:rsidR="007C4876">
        <w:rPr>
          <w:lang w:val="en-NZ"/>
        </w:rPr>
        <w:t xml:space="preserve">(0.03 to 39.23) </w:t>
      </w:r>
      <w:r w:rsidR="001512EA">
        <w:rPr>
          <w:lang w:val="en-NZ"/>
        </w:rPr>
        <w:t>months</w:t>
      </w:r>
      <w:r w:rsidR="00073830">
        <w:rPr>
          <w:lang w:val="en-NZ"/>
        </w:rPr>
        <w:t xml:space="preserve">. </w:t>
      </w:r>
      <w:r w:rsidRPr="00CF3DD5">
        <w:rPr>
          <w:lang w:val="en-NZ"/>
        </w:rPr>
        <w:t xml:space="preserve">Death was reported for 49 (32%) participants in the </w:t>
      </w:r>
      <w:proofErr w:type="spellStart"/>
      <w:r w:rsidRPr="00CF3DD5">
        <w:rPr>
          <w:lang w:val="en-NZ"/>
        </w:rPr>
        <w:t>BPd</w:t>
      </w:r>
      <w:proofErr w:type="spellEnd"/>
      <w:r w:rsidRPr="00CF3DD5">
        <w:rPr>
          <w:lang w:val="en-NZ"/>
        </w:rPr>
        <w:t xml:space="preserve"> group and 56 (38%) in the </w:t>
      </w:r>
      <w:proofErr w:type="spellStart"/>
      <w:r w:rsidRPr="00CF3DD5">
        <w:rPr>
          <w:lang w:val="en-NZ"/>
        </w:rPr>
        <w:t>PVd</w:t>
      </w:r>
      <w:proofErr w:type="spellEnd"/>
      <w:r w:rsidR="00073830">
        <w:rPr>
          <w:lang w:val="en-NZ"/>
        </w:rPr>
        <w:t xml:space="preserve">. </w:t>
      </w:r>
      <w:r w:rsidRPr="00CF3DD5">
        <w:t xml:space="preserve">The HR (95% CI) </w:t>
      </w:r>
      <w:proofErr w:type="spellStart"/>
      <w:r w:rsidRPr="00CF3DD5">
        <w:t>BPd</w:t>
      </w:r>
      <w:proofErr w:type="spellEnd"/>
      <w:r w:rsidRPr="00CF3DD5">
        <w:t>/</w:t>
      </w:r>
      <w:proofErr w:type="spellStart"/>
      <w:r w:rsidRPr="00CF3DD5">
        <w:t>PVd</w:t>
      </w:r>
      <w:proofErr w:type="spellEnd"/>
      <w:r w:rsidRPr="00CF3DD5">
        <w:t xml:space="preserve"> for death was 0.77 (0.53 to 1.14), p = 0.095</w:t>
      </w:r>
      <w:r w:rsidR="00073830">
        <w:t xml:space="preserve">. </w:t>
      </w:r>
      <w:r w:rsidRPr="00CF3DD5">
        <w:t>In the FDA 120-day update (provided in response to the rolling questions), with a data cut-off of 7</w:t>
      </w:r>
      <w:r w:rsidRPr="00CF3DD5">
        <w:rPr>
          <w:vertAlign w:val="superscript"/>
        </w:rPr>
        <w:t>th</w:t>
      </w:r>
      <w:r w:rsidRPr="00CF3DD5">
        <w:t xml:space="preserve"> October 2024, in DREAMM-8, there were 54 (36%) participants who died in the </w:t>
      </w:r>
      <w:proofErr w:type="spellStart"/>
      <w:r w:rsidRPr="00CF3DD5">
        <w:t>BPd</w:t>
      </w:r>
      <w:proofErr w:type="spellEnd"/>
      <w:r w:rsidRPr="00CF3DD5">
        <w:t xml:space="preserve"> group and 57 (39%) in the </w:t>
      </w:r>
      <w:proofErr w:type="spellStart"/>
      <w:r w:rsidRPr="00CF3DD5">
        <w:t>PVd</w:t>
      </w:r>
      <w:proofErr w:type="spellEnd"/>
      <w:r w:rsidR="00073830">
        <w:t xml:space="preserve">. </w:t>
      </w:r>
      <w:r w:rsidR="00395A9C">
        <w:t>Follow-up for OS is ongoing.</w:t>
      </w:r>
    </w:p>
    <w:p w14:paraId="1D76C323" w14:textId="11A2FE18" w:rsidR="00CF3DD5" w:rsidRPr="00CF3DD5" w:rsidRDefault="00CF3DD5" w:rsidP="00CF3DD5">
      <w:r w:rsidRPr="00CF3DD5">
        <w:t xml:space="preserve">The other secondary efficacy outcome measures were supportive of efficacy and indicate improved disease control for </w:t>
      </w:r>
      <w:proofErr w:type="spellStart"/>
      <w:r w:rsidRPr="00CF3DD5">
        <w:t>BPd</w:t>
      </w:r>
      <w:proofErr w:type="spellEnd"/>
      <w:r w:rsidRPr="00CF3DD5">
        <w:t>. The</w:t>
      </w:r>
      <w:r w:rsidR="00E873DF">
        <w:t>re</w:t>
      </w:r>
      <w:r w:rsidRPr="00CF3DD5">
        <w:t xml:space="preserve"> was increased ocular adverse effects, and ocular related impairment, with </w:t>
      </w:r>
      <w:proofErr w:type="spellStart"/>
      <w:r w:rsidRPr="00CF3DD5">
        <w:t>BPd</w:t>
      </w:r>
      <w:proofErr w:type="spellEnd"/>
      <w:r w:rsidR="00073830">
        <w:t xml:space="preserve">. </w:t>
      </w:r>
    </w:p>
    <w:p w14:paraId="7028CBA9" w14:textId="7E2CBB49" w:rsidR="00CF3DD5" w:rsidRPr="00CF3DD5" w:rsidRDefault="00CF3DD5" w:rsidP="006C6273">
      <w:pPr>
        <w:pStyle w:val="Heading4"/>
      </w:pPr>
      <w:bookmarkStart w:id="73" w:name="_Toc227758037"/>
      <w:r w:rsidRPr="00CF3DD5">
        <w:lastRenderedPageBreak/>
        <w:t>Safety</w:t>
      </w:r>
      <w:bookmarkEnd w:id="73"/>
      <w:r w:rsidR="00145B4A">
        <w:fldChar w:fldCharType="begin"/>
      </w:r>
      <w:r w:rsidR="00145B4A">
        <w:instrText xml:space="preserve"> DOCVARIABLE vault_nd_6980c9c8-c4f4-4a97-af55-f95607ecf543 \* MERGEFORMAT </w:instrText>
      </w:r>
      <w:r w:rsidR="00145B4A">
        <w:fldChar w:fldCharType="separate"/>
      </w:r>
      <w:r w:rsidR="00145B4A">
        <w:t xml:space="preserve"> </w:t>
      </w:r>
      <w:r w:rsidR="00145B4A">
        <w:fldChar w:fldCharType="end"/>
      </w:r>
    </w:p>
    <w:p w14:paraId="681A0A34" w14:textId="0CBBAED9" w:rsidR="00CF3DD5" w:rsidRPr="00CF3DD5" w:rsidRDefault="00CF3DD5" w:rsidP="00CF3DD5">
      <w:r w:rsidRPr="00CF3DD5">
        <w:t>Almost all the participants in the clinical trials reported adverse events</w:t>
      </w:r>
      <w:r w:rsidR="00073830">
        <w:t xml:space="preserve">. </w:t>
      </w:r>
    </w:p>
    <w:p w14:paraId="4A0657D0" w14:textId="0CD2E3D8" w:rsidR="00CF3DD5" w:rsidRPr="00CF3DD5" w:rsidRDefault="00CF3DD5" w:rsidP="00CF3DD5">
      <w:r w:rsidRPr="00CF3DD5">
        <w:t>The profile of AEs differed between the treatment combinations</w:t>
      </w:r>
      <w:r w:rsidR="00073830">
        <w:t xml:space="preserve">. </w:t>
      </w:r>
      <w:r w:rsidRPr="00CF3DD5">
        <w:t xml:space="preserve">Thrombocytopenia was reported in 69% with </w:t>
      </w:r>
      <w:proofErr w:type="spellStart"/>
      <w:r w:rsidRPr="00CF3DD5">
        <w:t>B</w:t>
      </w:r>
      <w:r w:rsidR="003F3B2D">
        <w:t>V</w:t>
      </w:r>
      <w:r w:rsidRPr="00CF3DD5">
        <w:t>d</w:t>
      </w:r>
      <w:proofErr w:type="spellEnd"/>
      <w:r w:rsidR="00073830">
        <w:t xml:space="preserve">. </w:t>
      </w:r>
      <w:r w:rsidRPr="00CF3DD5">
        <w:t xml:space="preserve">Infections were more frequent with </w:t>
      </w:r>
      <w:proofErr w:type="spellStart"/>
      <w:r w:rsidRPr="00CF3DD5">
        <w:t>BPd</w:t>
      </w:r>
      <w:proofErr w:type="spellEnd"/>
      <w:r w:rsidRPr="00CF3DD5">
        <w:t xml:space="preserve"> group: 82% participants compared with 68% in the </w:t>
      </w:r>
      <w:proofErr w:type="spellStart"/>
      <w:r w:rsidRPr="00CF3DD5">
        <w:t>PVd</w:t>
      </w:r>
      <w:proofErr w:type="spellEnd"/>
      <w:r w:rsidR="00073830">
        <w:t xml:space="preserve">. </w:t>
      </w:r>
      <w:r w:rsidRPr="00CF3DD5">
        <w:t xml:space="preserve">Infective pneumonia was more frequent in the </w:t>
      </w:r>
      <w:proofErr w:type="spellStart"/>
      <w:r w:rsidRPr="00CF3DD5">
        <w:t>BPd</w:t>
      </w:r>
      <w:proofErr w:type="spellEnd"/>
      <w:r w:rsidRPr="00CF3DD5">
        <w:t xml:space="preserve"> group: 38% participants compared with 17% in the </w:t>
      </w:r>
      <w:proofErr w:type="spellStart"/>
      <w:r w:rsidRPr="00CF3DD5">
        <w:t>PVd</w:t>
      </w:r>
      <w:proofErr w:type="spellEnd"/>
      <w:r w:rsidRPr="00CF3DD5">
        <w:t>.</w:t>
      </w:r>
    </w:p>
    <w:p w14:paraId="7063A81E" w14:textId="77777777" w:rsidR="00CF3DD5" w:rsidRPr="00CF3DD5" w:rsidRDefault="00CF3DD5" w:rsidP="00CF3DD5">
      <w:r w:rsidRPr="00CF3DD5">
        <w:t>In both pivotal studies, death rates were lower in the belantamab mafodotin regimens, and SAEs leading to death occurred at similar rates.</w:t>
      </w:r>
    </w:p>
    <w:p w14:paraId="3A3573C5" w14:textId="77777777" w:rsidR="00CF3DD5" w:rsidRPr="00CF3DD5" w:rsidRDefault="00CF3DD5" w:rsidP="00CF3DD5">
      <w:r w:rsidRPr="00CF3DD5">
        <w:t>The SAEs were predominantly infections, particularly pneumonia and lower respiratory tract infections, and these occurred at higher rates (11% to 18% of participants) in the belantamab mafodotin groups.</w:t>
      </w:r>
    </w:p>
    <w:p w14:paraId="2FA7238F" w14:textId="646FEE87" w:rsidR="00CF3DD5" w:rsidRPr="00CF3DD5" w:rsidRDefault="00CF3DD5" w:rsidP="00CF3DD5">
      <w:r w:rsidRPr="00CF3DD5">
        <w:t>The haematology effects differed between the belantamab treatment combinations</w:t>
      </w:r>
      <w:r w:rsidR="00073830">
        <w:t xml:space="preserve">. </w:t>
      </w:r>
      <w:r w:rsidRPr="00CF3DD5">
        <w:t xml:space="preserve">Grade 4 thrombocytopenia was more frequent with </w:t>
      </w:r>
      <w:proofErr w:type="spellStart"/>
      <w:r w:rsidRPr="00CF3DD5">
        <w:t>BVd</w:t>
      </w:r>
      <w:proofErr w:type="spellEnd"/>
      <w:r w:rsidRPr="00CF3DD5">
        <w:t xml:space="preserve"> group: 45% participants compared to 21% with </w:t>
      </w:r>
      <w:proofErr w:type="spellStart"/>
      <w:r w:rsidRPr="00CF3DD5">
        <w:t>DVd</w:t>
      </w:r>
      <w:proofErr w:type="spellEnd"/>
      <w:r w:rsidR="00073830">
        <w:t xml:space="preserve">. </w:t>
      </w:r>
      <w:r w:rsidRPr="00CF3DD5">
        <w:t xml:space="preserve">Grade 4 neutropenia was more frequent with </w:t>
      </w:r>
      <w:proofErr w:type="spellStart"/>
      <w:r w:rsidRPr="00CF3DD5">
        <w:t>BPd</w:t>
      </w:r>
      <w:proofErr w:type="spellEnd"/>
      <w:r w:rsidRPr="00CF3DD5">
        <w:t xml:space="preserve">: </w:t>
      </w:r>
      <w:r w:rsidR="00227D71">
        <w:t>30</w:t>
      </w:r>
      <w:r w:rsidRPr="00CF3DD5">
        <w:t xml:space="preserve">% participants compared to </w:t>
      </w:r>
      <w:r w:rsidR="00227D71">
        <w:t>13</w:t>
      </w:r>
      <w:r w:rsidRPr="00CF3DD5">
        <w:t xml:space="preserve">% with </w:t>
      </w:r>
      <w:proofErr w:type="spellStart"/>
      <w:r w:rsidRPr="00CF3DD5">
        <w:t>PVd</w:t>
      </w:r>
      <w:proofErr w:type="spellEnd"/>
      <w:r w:rsidR="00073830">
        <w:t xml:space="preserve">. </w:t>
      </w:r>
    </w:p>
    <w:p w14:paraId="3A0BFA5E" w14:textId="3DF464E9" w:rsidR="00CF3DD5" w:rsidRPr="00CF3DD5" w:rsidRDefault="00CF3DD5" w:rsidP="00CF3DD5">
      <w:r w:rsidRPr="00CF3DD5">
        <w:t xml:space="preserve">Ocular AEs were common </w:t>
      </w:r>
      <w:r w:rsidR="001C5AD4">
        <w:t xml:space="preserve">in both </w:t>
      </w:r>
      <w:r w:rsidR="001C5AD4" w:rsidRPr="00CF3DD5">
        <w:t xml:space="preserve">belantamab treatment </w:t>
      </w:r>
      <w:proofErr w:type="gramStart"/>
      <w:r w:rsidR="001C5AD4" w:rsidRPr="00CF3DD5">
        <w:t>combinations</w:t>
      </w:r>
      <w:r w:rsidRPr="00CF3DD5">
        <w:t>(</w:t>
      </w:r>
      <w:proofErr w:type="gramEnd"/>
      <w:r w:rsidRPr="00CF3DD5">
        <w:t>79% to 89% participants), of long duration and leading to disability in up to 25% of cases</w:t>
      </w:r>
      <w:r w:rsidR="00073830">
        <w:t xml:space="preserve">. </w:t>
      </w:r>
      <w:r w:rsidRPr="00CF3DD5">
        <w:t>The</w:t>
      </w:r>
      <w:r w:rsidR="009F3C8A">
        <w:t>s</w:t>
      </w:r>
      <w:r w:rsidRPr="00CF3DD5">
        <w:t>e were, vision blurred, dry eye, photophobia, foreign body sensation, eye irritation and eye pain</w:t>
      </w:r>
      <w:r w:rsidR="00073830">
        <w:t xml:space="preserve">. </w:t>
      </w:r>
      <w:r w:rsidRPr="00CF3DD5">
        <w:t>Investigator assessed corneal events occurred in 84% to 87% participants</w:t>
      </w:r>
      <w:r w:rsidR="00073830">
        <w:t xml:space="preserve">. </w:t>
      </w:r>
      <w:r w:rsidR="00227D71">
        <w:t xml:space="preserve">Bilateral </w:t>
      </w:r>
      <w:r w:rsidRPr="00CF3DD5">
        <w:t>Worsening of BCVA to 20/50 or worse was reported for 34% participants</w:t>
      </w:r>
      <w:r w:rsidR="00073830">
        <w:t xml:space="preserve">. </w:t>
      </w:r>
      <w:r w:rsidRPr="00CF3DD5">
        <w:t>In DREAMM-7,</w:t>
      </w:r>
      <w:r w:rsidRPr="00CF3DD5">
        <w:rPr>
          <w:lang w:val="en-NZ"/>
        </w:rPr>
        <w:t xml:space="preserve"> 15.3% participants in the </w:t>
      </w:r>
      <w:proofErr w:type="spellStart"/>
      <w:r w:rsidRPr="00CF3DD5">
        <w:rPr>
          <w:lang w:val="en-NZ"/>
        </w:rPr>
        <w:t>BVd</w:t>
      </w:r>
      <w:proofErr w:type="spellEnd"/>
      <w:r w:rsidRPr="00CF3DD5">
        <w:rPr>
          <w:lang w:val="en-NZ"/>
        </w:rPr>
        <w:t xml:space="preserve"> group stopped reading due to eyesight issues and 17.8% stopped driving due to eyesight issues</w:t>
      </w:r>
      <w:r w:rsidR="00073830">
        <w:rPr>
          <w:lang w:val="en-NZ"/>
        </w:rPr>
        <w:t xml:space="preserve">. </w:t>
      </w:r>
      <w:r w:rsidRPr="00CF3DD5">
        <w:rPr>
          <w:lang w:val="en-NZ"/>
        </w:rPr>
        <w:t xml:space="preserve">In DREAMM-8, 23.3% participants in the </w:t>
      </w:r>
      <w:proofErr w:type="spellStart"/>
      <w:r w:rsidRPr="00CF3DD5">
        <w:rPr>
          <w:lang w:val="en-NZ"/>
        </w:rPr>
        <w:t>BPd</w:t>
      </w:r>
      <w:proofErr w:type="spellEnd"/>
      <w:r w:rsidRPr="00CF3DD5">
        <w:rPr>
          <w:lang w:val="en-NZ"/>
        </w:rPr>
        <w:t xml:space="preserve"> group stopped reading due to eyesight issues and 24.7% stopped driving due to eyesight issues</w:t>
      </w:r>
      <w:r w:rsidR="00073830">
        <w:rPr>
          <w:lang w:val="en-NZ"/>
        </w:rPr>
        <w:t xml:space="preserve">. </w:t>
      </w:r>
      <w:r w:rsidRPr="00CF3DD5">
        <w:t>In DREAMM-7 and DREAMM-8, the median (range) duration of occurrence, for participants who recovered, was 50.0 (12 to 574) days and 59.0 (3 to 785) days, respectively</w:t>
      </w:r>
      <w:r w:rsidR="00073830">
        <w:t xml:space="preserve">. </w:t>
      </w:r>
    </w:p>
    <w:p w14:paraId="7890C4AF" w14:textId="77777777" w:rsidR="00CF3DD5" w:rsidRPr="00CF3DD5" w:rsidRDefault="00CF3DD5" w:rsidP="00CF3DD5">
      <w:r w:rsidRPr="00CF3DD5">
        <w:t>Warnings for this risk including all the adverse reactions reported in the safety database are adequately represented in the Australian Product Information (PI). The risk mitigation strategy includes inclusion of a black box warning in the PI about this risk, its screening, ongoing monitoring, management guidance and follow up advise. The RMP includes a routine risk minimisation proposed for all safety concerns and an additional risk minimisation for the important identified risk of ‘</w:t>
      </w:r>
      <w:r w:rsidRPr="00CF3DD5">
        <w:rPr>
          <w:bCs/>
        </w:rPr>
        <w:t xml:space="preserve">Corneal examination findings (including keratopathy), potentially resulting in vision changes. The additional risk minimisation also includes activities which consist of a HCP Guide, a Patient Guide and a Patient Alert Card, and with a dissemination plan. The risk mitigation plan appears robust, </w:t>
      </w:r>
      <w:r w:rsidRPr="00CF3DD5">
        <w:t xml:space="preserve">and it is expected that this risk can be adequately managed. </w:t>
      </w:r>
    </w:p>
    <w:p w14:paraId="64D653ED" w14:textId="4225B3B8" w:rsidR="00CF3DD5" w:rsidRPr="00CF3DD5" w:rsidRDefault="00CF3DD5" w:rsidP="006C6273">
      <w:pPr>
        <w:pStyle w:val="Heading4"/>
      </w:pPr>
      <w:bookmarkStart w:id="74" w:name="_Toc227758038"/>
      <w:r w:rsidRPr="00CF3DD5">
        <w:t>Conclusions</w:t>
      </w:r>
      <w:bookmarkEnd w:id="74"/>
      <w:r w:rsidR="00145B4A">
        <w:fldChar w:fldCharType="begin"/>
      </w:r>
      <w:r w:rsidR="00145B4A">
        <w:instrText xml:space="preserve"> DOCVARIABLE vault_nd_7984cfb3-797a-44a2-afc9-b9a0e0ec2a71 \* MERGEFORMAT </w:instrText>
      </w:r>
      <w:r w:rsidR="00145B4A">
        <w:fldChar w:fldCharType="separate"/>
      </w:r>
      <w:r w:rsidR="00145B4A">
        <w:t xml:space="preserve"> </w:t>
      </w:r>
      <w:r w:rsidR="00145B4A">
        <w:fldChar w:fldCharType="end"/>
      </w:r>
    </w:p>
    <w:p w14:paraId="0D5E89BC" w14:textId="77777777" w:rsidR="00CF3DD5" w:rsidRPr="00CF3DD5" w:rsidRDefault="00CF3DD5" w:rsidP="00CF3DD5">
      <w:r w:rsidRPr="00CF3DD5">
        <w:t xml:space="preserve">Both the DREAMM-7 and DREAMM-8 studies showed statistically significant improvements in PFS with </w:t>
      </w:r>
      <w:proofErr w:type="spellStart"/>
      <w:r w:rsidRPr="00CF3DD5">
        <w:t>BVd</w:t>
      </w:r>
      <w:proofErr w:type="spellEnd"/>
      <w:r w:rsidRPr="00CF3DD5">
        <w:t xml:space="preserve"> was superior to </w:t>
      </w:r>
      <w:proofErr w:type="spellStart"/>
      <w:r w:rsidRPr="00CF3DD5">
        <w:t>DVd</w:t>
      </w:r>
      <w:proofErr w:type="spellEnd"/>
      <w:r w:rsidRPr="00CF3DD5">
        <w:t xml:space="preserve"> and </w:t>
      </w:r>
      <w:proofErr w:type="spellStart"/>
      <w:r w:rsidRPr="00CF3DD5">
        <w:t>BPd</w:t>
      </w:r>
      <w:proofErr w:type="spellEnd"/>
      <w:r w:rsidRPr="00CF3DD5">
        <w:t xml:space="preserve"> was superior to </w:t>
      </w:r>
      <w:proofErr w:type="spellStart"/>
      <w:r w:rsidRPr="00CF3DD5">
        <w:t>PVd</w:t>
      </w:r>
      <w:proofErr w:type="spellEnd"/>
      <w:r w:rsidRPr="00CF3DD5">
        <w:t xml:space="preserve">. The </w:t>
      </w:r>
      <w:proofErr w:type="spellStart"/>
      <w:r w:rsidRPr="00CF3DD5">
        <w:t>BVd</w:t>
      </w:r>
      <w:proofErr w:type="spellEnd"/>
      <w:r w:rsidRPr="00CF3DD5">
        <w:t xml:space="preserve"> group has a statistically significant OS advantage over the </w:t>
      </w:r>
      <w:proofErr w:type="spellStart"/>
      <w:r w:rsidRPr="00CF3DD5">
        <w:t>DVd</w:t>
      </w:r>
      <w:proofErr w:type="spellEnd"/>
      <w:r w:rsidRPr="00CF3DD5">
        <w:t xml:space="preserve"> group for DREAMM-7. The available OS data for DREAMM-8 is restricted, but it does not suggest a detrimental effect on patients who have been exposed to belantamab mafodotin.</w:t>
      </w:r>
    </w:p>
    <w:p w14:paraId="7ED6B494" w14:textId="77777777" w:rsidR="00CF3DD5" w:rsidRPr="00CF3DD5" w:rsidRDefault="00CF3DD5" w:rsidP="00CF3DD5">
      <w:r w:rsidRPr="00CF3DD5">
        <w:t xml:space="preserve">The safety profile of belantamab mafodotin is well characterised. In general, the toxicity of combinations containing belantamab mafodotin is greater than that of the Standard of care combinations. Eye disorders are the most significant safety concern. Nevertheless, the safety profile of belantamab mafodotin in the target population can be deemed manageable in general, as the risk mitigation plan in place is robust. This encompasses the provision of </w:t>
      </w:r>
      <w:r w:rsidRPr="00CF3DD5">
        <w:lastRenderedPageBreak/>
        <w:t>educational materials for patients and healthcare professionals, proposed treatment modifications, close monitoring, and adequate warning of this risk in the PI.</w:t>
      </w:r>
    </w:p>
    <w:p w14:paraId="307F236C" w14:textId="42D381A2" w:rsidR="00C22214" w:rsidRPr="002E238E" w:rsidRDefault="0046285C" w:rsidP="00C22214">
      <w:pPr>
        <w:pStyle w:val="Heading2"/>
      </w:pPr>
      <w:bookmarkStart w:id="75" w:name="_Toc247691532"/>
      <w:bookmarkStart w:id="76" w:name="_Toc314842516"/>
      <w:bookmarkStart w:id="77" w:name="_Toc103679300"/>
      <w:bookmarkStart w:id="78" w:name="_Toc227758039"/>
      <w:r>
        <w:t>Assessment</w:t>
      </w:r>
      <w:r w:rsidR="00190853">
        <w:t xml:space="preserve"> </w:t>
      </w:r>
      <w:r>
        <w:t>o</w:t>
      </w:r>
      <w:r w:rsidR="00C22214">
        <w:t>utcome</w:t>
      </w:r>
      <w:bookmarkEnd w:id="75"/>
      <w:bookmarkEnd w:id="76"/>
      <w:bookmarkEnd w:id="77"/>
      <w:bookmarkEnd w:id="78"/>
      <w:r w:rsidR="00145B4A">
        <w:fldChar w:fldCharType="begin"/>
      </w:r>
      <w:r w:rsidR="00145B4A">
        <w:instrText xml:space="preserve"> DOCVARIABLE vault_nd_d4fcc026-ea4f-4704-8af9-0930af116695 \* MERGEFORMAT </w:instrText>
      </w:r>
      <w:r w:rsidR="00145B4A">
        <w:fldChar w:fldCharType="separate"/>
      </w:r>
      <w:r w:rsidR="00145B4A">
        <w:t xml:space="preserve"> </w:t>
      </w:r>
      <w:r w:rsidR="00145B4A">
        <w:fldChar w:fldCharType="end"/>
      </w:r>
    </w:p>
    <w:p w14:paraId="4EF22939" w14:textId="595F394B"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340AF9" w:rsidRPr="00340AF9">
        <w:t xml:space="preserve">Blenrep </w:t>
      </w:r>
      <w:r w:rsidR="00340AF9">
        <w:t>(</w:t>
      </w:r>
      <w:r w:rsidR="00340AF9" w:rsidRPr="00340AF9">
        <w:t>belantamab mafodotin</w:t>
      </w:r>
      <w:r w:rsidR="00340AF9">
        <w:t>)</w:t>
      </w:r>
      <w:r w:rsidR="00340AF9" w:rsidRPr="00340AF9">
        <w:t xml:space="preserve"> </w:t>
      </w:r>
      <w:r w:rsidRPr="0017005C">
        <w:t>for the following indication:</w:t>
      </w:r>
    </w:p>
    <w:p w14:paraId="0A13E41D" w14:textId="7003AFB0" w:rsidR="00D36114" w:rsidRDefault="00A0536E" w:rsidP="00D36114">
      <w:pPr>
        <w:pStyle w:val="Indication"/>
      </w:pPr>
      <w:r>
        <w:t>Blenrep</w:t>
      </w:r>
      <w:r w:rsidR="00D36114">
        <w:t xml:space="preserve"> is indicated for the treatment of adults with relapsed or refractory multiple myeloma:</w:t>
      </w:r>
    </w:p>
    <w:p w14:paraId="2C54CC23" w14:textId="6DCAE63C" w:rsidR="00D36114" w:rsidRDefault="00D36114" w:rsidP="00D36114">
      <w:pPr>
        <w:pStyle w:val="Indication"/>
      </w:pPr>
      <w:r>
        <w:t>•in combination with bortezomib and dexamethasone in patients who have received at least one prior therapy; and</w:t>
      </w:r>
    </w:p>
    <w:p w14:paraId="26EAD491" w14:textId="58AFB164" w:rsidR="00A93DC6" w:rsidRDefault="00D36114" w:rsidP="00D36114">
      <w:pPr>
        <w:pStyle w:val="Indication"/>
        <w:rPr>
          <w:i w:val="0"/>
          <w:iCs/>
          <w:color w:val="007099"/>
          <w:szCs w:val="22"/>
        </w:rPr>
      </w:pPr>
      <w:r>
        <w:t>•in combination with pomalidomide and dexamethasone in patients who have received at</w:t>
      </w:r>
      <w:r w:rsidR="002153B9">
        <w:t xml:space="preserve"> </w:t>
      </w:r>
      <w:r w:rsidR="002153B9" w:rsidRPr="002153B9">
        <w:t>least one prior therapy including lenalidomid</w:t>
      </w:r>
      <w:r w:rsidR="002153B9">
        <w:t>e</w:t>
      </w:r>
      <w:r>
        <w:t xml:space="preserve"> </w:t>
      </w:r>
    </w:p>
    <w:p w14:paraId="5ECD3507" w14:textId="47A12D8B" w:rsidR="000C316A" w:rsidRDefault="00854D98" w:rsidP="004B2938">
      <w:pPr>
        <w:pStyle w:val="Heading4"/>
      </w:pPr>
      <w:bookmarkStart w:id="79" w:name="_Toc227758040"/>
      <w:bookmarkStart w:id="80" w:name="_Toc103679301"/>
      <w:r w:rsidRPr="00D23139">
        <w:t>Specific conditions of registration</w:t>
      </w:r>
      <w:bookmarkEnd w:id="79"/>
      <w:r w:rsidR="00145B4A">
        <w:fldChar w:fldCharType="begin"/>
      </w:r>
      <w:r w:rsidR="00145B4A">
        <w:instrText xml:space="preserve"> DOCVARIABLE vault_nd_32bec354-900f-47a5-abb4-7d44e95ce611 \* MERGEFORMAT </w:instrText>
      </w:r>
      <w:r w:rsidR="00145B4A">
        <w:fldChar w:fldCharType="separate"/>
      </w:r>
      <w:r w:rsidR="00145B4A">
        <w:t xml:space="preserve"> </w:t>
      </w:r>
      <w:r w:rsidR="00145B4A">
        <w:fldChar w:fldCharType="end"/>
      </w:r>
    </w:p>
    <w:p w14:paraId="74C08BFB" w14:textId="2A37D1A1" w:rsidR="00A87360" w:rsidRDefault="00A0536E" w:rsidP="00A87360">
      <w:r>
        <w:t>Blenrep</w:t>
      </w:r>
      <w:r w:rsidR="00A87360">
        <w:t xml:space="preserve"> (belantamab mafodotin) is to be included in the Black Triangle Scheme. The PI and CMI for </w:t>
      </w:r>
      <w:r>
        <w:t>Blenrep</w:t>
      </w:r>
      <w:r w:rsidR="00A87360">
        <w:t xml:space="preserve"> must include the black triangle symbol and mandatory accompanying text for five years, which starts from the date of first supply of the product.</w:t>
      </w:r>
    </w:p>
    <w:p w14:paraId="02A22171" w14:textId="3BD33512" w:rsidR="00A87360" w:rsidRDefault="00A87360" w:rsidP="00A87360">
      <w:r>
        <w:t xml:space="preserve">The </w:t>
      </w:r>
      <w:r w:rsidR="00A0536E">
        <w:t>Blenrep</w:t>
      </w:r>
      <w:r>
        <w:t xml:space="preserve"> EU-Risk Management Plan (RMP) (version 1.0, dated 5 June 2025, data lock point 29 January 2024), with Australia-Specific Annex (ASA) (version 1.2, dated 23 August 2025), included with submission PM-2024-04725-1-4, and any subsequent revisions, as agreed with the TGA will be implemented in Australia.</w:t>
      </w:r>
    </w:p>
    <w:p w14:paraId="3F295DBE" w14:textId="5515030B" w:rsidR="00A87360" w:rsidRDefault="00A87360" w:rsidP="00A87360">
      <w:r>
        <w:t>An obligatory component of risk management plans is routine pharmacovigilance. Routine pharmacovigilance includes the submission of periodic safety update reports (PSURs).</w:t>
      </w:r>
    </w:p>
    <w:p w14:paraId="1BFA0D12" w14:textId="43AA85EE" w:rsidR="00A87360" w:rsidRDefault="00A87360" w:rsidP="00A87360">
      <w:r>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022086D0" w14:textId="77777777" w:rsidR="00A87360" w:rsidRDefault="00A87360" w:rsidP="00A87360">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27783453" w14:textId="6E066850" w:rsidR="00A87360" w:rsidRPr="00B16050" w:rsidRDefault="00A87360" w:rsidP="00A87360">
      <w:pPr>
        <w:rPr>
          <w:b/>
          <w:bCs/>
        </w:rPr>
      </w:pPr>
      <w:r w:rsidRPr="00B16050">
        <w:rPr>
          <w:b/>
          <w:bCs/>
        </w:rPr>
        <w:t>Laboratory testing &amp; compliance with Certified Product Details (CPD)</w:t>
      </w:r>
    </w:p>
    <w:p w14:paraId="497C1424" w14:textId="0A983659" w:rsidR="00A87360" w:rsidRDefault="00A87360" w:rsidP="00A87360">
      <w:pPr>
        <w:pStyle w:val="ListBullet"/>
      </w:pPr>
      <w:r>
        <w:t xml:space="preserve">All batches of </w:t>
      </w:r>
      <w:r w:rsidR="00A0536E">
        <w:t>Blenrep</w:t>
      </w:r>
      <w:r>
        <w:t xml:space="preserve"> supplied in Australia must comply with the product details and specifications approved during evaluation and detailed in the Certified Product Details (CPD).</w:t>
      </w:r>
    </w:p>
    <w:p w14:paraId="381D8790" w14:textId="7148A70B" w:rsidR="00A87360" w:rsidRDefault="00A87360" w:rsidP="00A87360">
      <w:pPr>
        <w:pStyle w:val="ListBullet"/>
      </w:pPr>
      <w:r>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280A7B9C" w14:textId="21E0B46B" w:rsidR="00A87360" w:rsidRPr="00B16050" w:rsidRDefault="00A87360" w:rsidP="00A87360">
      <w:pPr>
        <w:rPr>
          <w:b/>
          <w:bCs/>
        </w:rPr>
      </w:pPr>
      <w:r w:rsidRPr="00B16050">
        <w:rPr>
          <w:b/>
          <w:bCs/>
        </w:rPr>
        <w:t>Certified Product Details</w:t>
      </w:r>
    </w:p>
    <w:p w14:paraId="3534CEC3" w14:textId="77777777" w:rsidR="00A87360" w:rsidRDefault="00A87360" w:rsidP="00A87360">
      <w:r>
        <w:t xml:space="preserve">The Certified Product Details (CPD), as described in Guidance 7: Certified Product Details of the Australian Regulatory Guidelines for Prescription Medicines (ARGPM), in PDF format, for the above products should be provided upon registration of these therapeutic goods. In addition, an </w:t>
      </w:r>
      <w:r>
        <w:lastRenderedPageBreak/>
        <w:t>updated CPD should be provided when changes to finished product specifications and test methods are approved in a Category 3 application or notified through a self-assessable change.</w:t>
      </w:r>
    </w:p>
    <w:p w14:paraId="0D732DA4" w14:textId="2BE51DBD" w:rsidR="00854D98" w:rsidRDefault="00A87360" w:rsidP="00781098">
      <w:r>
        <w:t>A template for preparation of CPD for biological prescription medicines can be obtained from the TGA website</w:t>
      </w:r>
      <w:bookmarkEnd w:id="80"/>
      <w:r w:rsidR="00B16050">
        <w:t>:</w:t>
      </w:r>
    </w:p>
    <w:p w14:paraId="430651E7" w14:textId="3A6E53F5" w:rsidR="0033413A" w:rsidRDefault="00CF7518" w:rsidP="0033413A">
      <w:hyperlink r:id="rId47" w:history="1">
        <w:r>
          <w:rPr>
            <w:rStyle w:val="Hyperlink"/>
          </w:rPr>
          <w:t>Certified Product Details guidance</w:t>
        </w:r>
      </w:hyperlink>
    </w:p>
    <w:p w14:paraId="215CB1F5" w14:textId="13B9BDFA" w:rsidR="00AB3F3C" w:rsidRDefault="00B16050" w:rsidP="0033413A">
      <w:hyperlink r:id="rId48" w:history="1">
        <w:r>
          <w:rPr>
            <w:color w:val="0000FF"/>
            <w:u w:val="single"/>
          </w:rPr>
          <w:t>Certified Product Details form</w:t>
        </w:r>
      </w:hyperlink>
    </w:p>
    <w:p w14:paraId="0F9C1952" w14:textId="1C043F00" w:rsidR="00BA657C" w:rsidRPr="00BA657C" w:rsidRDefault="00BA657C" w:rsidP="003C5E29">
      <w:pPr>
        <w:pStyle w:val="Heading2"/>
      </w:pPr>
      <w:bookmarkStart w:id="81" w:name="_Toc196738290"/>
      <w:bookmarkStart w:id="82" w:name="_Toc227758041"/>
      <w:r w:rsidRPr="00BA657C">
        <w:t>Product Information and Consumer Medicine Information</w:t>
      </w:r>
      <w:bookmarkEnd w:id="81"/>
      <w:bookmarkEnd w:id="82"/>
      <w:r w:rsidR="00145B4A">
        <w:fldChar w:fldCharType="begin"/>
      </w:r>
      <w:r w:rsidR="00145B4A">
        <w:instrText xml:space="preserve"> DOCVARIABLE vault_nd_9fd89d67-8c22-4dd5-b19d-e85b09ba6be2 \* MERGEFORMAT </w:instrText>
      </w:r>
      <w:r w:rsidR="00145B4A">
        <w:fldChar w:fldCharType="separate"/>
      </w:r>
      <w:r w:rsidR="00145B4A">
        <w:t xml:space="preserve"> </w:t>
      </w:r>
      <w:r w:rsidR="00145B4A">
        <w:fldChar w:fldCharType="end"/>
      </w:r>
    </w:p>
    <w:p w14:paraId="5F276616" w14:textId="6667B73D" w:rsidR="004D0933" w:rsidRPr="004D0933" w:rsidRDefault="004D0933" w:rsidP="004D0933">
      <w:bookmarkStart w:id="83" w:name="_Hlk200021736"/>
      <w:r w:rsidRPr="004D0933">
        <w:t xml:space="preserve">For the most recent Product Information (PI) and Consumer Medicine Information (CMI), please refer to the TGA </w:t>
      </w:r>
      <w:hyperlink r:id="rId49" w:history="1">
        <w:r w:rsidRPr="004D0933">
          <w:rPr>
            <w:rStyle w:val="Hyperlink"/>
          </w:rPr>
          <w:t>PI/CMI search facility.</w:t>
        </w:r>
      </w:hyperlink>
    </w:p>
    <w:bookmarkEnd w:id="83"/>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50"/>
          <w:footerReference w:type="default" r:id="rId5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2"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3"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4"/>
      <w:footerReference w:type="first" r:id="rId5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558B7" w14:textId="77777777" w:rsidR="008A36AB" w:rsidRDefault="008A36AB" w:rsidP="00F02AEC">
      <w:pPr>
        <w:spacing w:after="0" w:line="240" w:lineRule="auto"/>
      </w:pPr>
      <w:r>
        <w:separator/>
      </w:r>
    </w:p>
  </w:endnote>
  <w:endnote w:type="continuationSeparator" w:id="0">
    <w:p w14:paraId="68BC4A54" w14:textId="77777777" w:rsidR="008A36AB" w:rsidRDefault="008A36AB"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2E20" w14:textId="32DF121F" w:rsidR="007E4FF8" w:rsidRDefault="007E4FF8">
    <w:pPr>
      <w:pStyle w:val="Footer"/>
    </w:pPr>
    <w:r>
      <w:rPr>
        <w:noProof/>
      </w:rPr>
      <mc:AlternateContent>
        <mc:Choice Requires="wps">
          <w:drawing>
            <wp:anchor distT="0" distB="0" distL="0" distR="0" simplePos="0" relativeHeight="251658247" behindDoc="0" locked="0" layoutInCell="1" allowOverlap="1" wp14:anchorId="32C7110B" wp14:editId="569C8F27">
              <wp:simplePos x="635" y="635"/>
              <wp:positionH relativeFrom="page">
                <wp:align>center</wp:align>
              </wp:positionH>
              <wp:positionV relativeFrom="page">
                <wp:align>bottom</wp:align>
              </wp:positionV>
              <wp:extent cx="622300" cy="391160"/>
              <wp:effectExtent l="0" t="0" r="6350" b="0"/>
              <wp:wrapNone/>
              <wp:docPr id="177436847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7110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DAC4767" w:rsidR="007452E8" w:rsidRDefault="007E4FF8" w:rsidP="007452E8">
          <w:pPr>
            <w:pStyle w:val="Footer"/>
          </w:pPr>
          <w:r>
            <w:rPr>
              <w:noProof/>
            </w:rPr>
            <mc:AlternateContent>
              <mc:Choice Requires="wps">
                <w:drawing>
                  <wp:anchor distT="0" distB="0" distL="0" distR="0" simplePos="0" relativeHeight="251658248" behindDoc="0" locked="0" layoutInCell="1" allowOverlap="1" wp14:anchorId="553C4243" wp14:editId="46704321">
                    <wp:simplePos x="635" y="635"/>
                    <wp:positionH relativeFrom="page">
                      <wp:align>center</wp:align>
                    </wp:positionH>
                    <wp:positionV relativeFrom="page">
                      <wp:align>bottom</wp:align>
                    </wp:positionV>
                    <wp:extent cx="622300" cy="391160"/>
                    <wp:effectExtent l="0" t="0" r="6350" b="0"/>
                    <wp:wrapNone/>
                    <wp:docPr id="97301095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C4243"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66C74AA" w:rsidR="007452E8" w:rsidRDefault="007E4FF8" w:rsidP="007452E8">
    <w:pPr>
      <w:pStyle w:val="Footer"/>
      <w:ind w:left="-1701"/>
    </w:pPr>
    <w:r>
      <w:rPr>
        <w:noProof/>
      </w:rPr>
      <mc:AlternateContent>
        <mc:Choice Requires="wps">
          <w:drawing>
            <wp:anchor distT="0" distB="0" distL="0" distR="0" simplePos="0" relativeHeight="251658246" behindDoc="0" locked="0" layoutInCell="1" allowOverlap="1" wp14:anchorId="39C48635" wp14:editId="0BB44853">
              <wp:simplePos x="635" y="635"/>
              <wp:positionH relativeFrom="page">
                <wp:align>center</wp:align>
              </wp:positionH>
              <wp:positionV relativeFrom="page">
                <wp:align>bottom</wp:align>
              </wp:positionV>
              <wp:extent cx="622300" cy="391160"/>
              <wp:effectExtent l="0" t="0" r="6350" b="0"/>
              <wp:wrapNone/>
              <wp:docPr id="3892818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48635"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655"/>
      <w:gridCol w:w="1417"/>
    </w:tblGrid>
    <w:tr w:rsidR="007452E8" w:rsidRPr="004A3084" w14:paraId="6266BC33" w14:textId="77777777" w:rsidTr="00174EDB">
      <w:trPr>
        <w:trHeight w:val="423"/>
      </w:trPr>
      <w:tc>
        <w:tcPr>
          <w:tcW w:w="7655" w:type="dxa"/>
          <w:tcBorders>
            <w:top w:val="single" w:sz="4" w:space="0" w:color="auto"/>
          </w:tcBorders>
        </w:tcPr>
        <w:p w14:paraId="3C421323" w14:textId="6925FFC0" w:rsidR="007452E8" w:rsidRPr="004153E1" w:rsidRDefault="007E4FF8" w:rsidP="007452E8">
          <w:pPr>
            <w:pStyle w:val="Footer"/>
          </w:pPr>
          <w:r w:rsidRPr="004153E1">
            <w:rPr>
              <w:noProof/>
            </w:rPr>
            <mc:AlternateContent>
              <mc:Choice Requires="wps">
                <w:drawing>
                  <wp:anchor distT="0" distB="0" distL="0" distR="0" simplePos="0" relativeHeight="251658249" behindDoc="0" locked="0" layoutInCell="1" allowOverlap="1" wp14:anchorId="17DC9217" wp14:editId="6D91AF89">
                    <wp:simplePos x="0" y="0"/>
                    <wp:positionH relativeFrom="page">
                      <wp:posOffset>2541270</wp:posOffset>
                    </wp:positionH>
                    <wp:positionV relativeFrom="page">
                      <wp:posOffset>137160</wp:posOffset>
                    </wp:positionV>
                    <wp:extent cx="622300" cy="391160"/>
                    <wp:effectExtent l="0" t="0" r="6350" b="0"/>
                    <wp:wrapNone/>
                    <wp:docPr id="84197400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5169AE7" w14:textId="1F415A19"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DC9217" id="_x0000_t202" coordsize="21600,21600" o:spt="202" path="m,l,21600r21600,l21600,xe">
                    <v:stroke joinstyle="miter"/>
                    <v:path gradientshapeok="t" o:connecttype="rect"/>
                  </v:shapetype>
                  <v:shape id="Text Box 9" o:spid="_x0000_s1033" type="#_x0000_t202" alt="OFFICIAL" style="position:absolute;margin-left:200.1pt;margin-top:10.8pt;width:49pt;height:30.8pt;z-index:251658249;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" filled="f" stroked="f">
                    <v:textbox style="mso-fit-shape-to-text:t" inset="0,0,0,15pt">
                      <w:txbxContent>
                        <w:p w14:paraId="15169AE7" w14:textId="1F415A19"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4153E1">
            <w:t xml:space="preserve">AusPAR - </w:t>
          </w:r>
          <w:r w:rsidR="00174EDB" w:rsidRPr="004153E1">
            <w:t>Blenrep</w:t>
          </w:r>
          <w:r w:rsidR="007452E8" w:rsidRPr="004153E1">
            <w:t xml:space="preserve"> - </w:t>
          </w:r>
          <w:r w:rsidR="00174EDB" w:rsidRPr="004153E1">
            <w:t>belantamab mafodotin</w:t>
          </w:r>
          <w:r w:rsidR="007452E8" w:rsidRPr="004153E1">
            <w:t xml:space="preserve"> </w:t>
          </w:r>
          <w:r w:rsidR="008C754C" w:rsidRPr="004153E1">
            <w:t>-</w:t>
          </w:r>
          <w:r w:rsidR="007452E8" w:rsidRPr="004153E1">
            <w:t xml:space="preserve"> </w:t>
          </w:r>
          <w:r w:rsidR="00174EDB" w:rsidRPr="004153E1">
            <w:t>GlaxoSmithKline Australia Pty Ltd</w:t>
          </w:r>
          <w:r w:rsidR="007452E8" w:rsidRPr="004153E1">
            <w:t xml:space="preserve"> - </w:t>
          </w:r>
          <w:r w:rsidR="00174EDB" w:rsidRPr="004153E1">
            <w:t>PM-2024-04725-1-4</w:t>
          </w:r>
          <w:r w:rsidR="007452E8" w:rsidRPr="004153E1">
            <w:br/>
            <w:t>Date of Finalisation</w:t>
          </w:r>
          <w:r w:rsidR="00040B5E" w:rsidRPr="004153E1">
            <w:t xml:space="preserve">: </w:t>
          </w:r>
          <w:r w:rsidR="004153E1" w:rsidRPr="004153E1">
            <w:t>22 April 2026</w:t>
          </w:r>
        </w:p>
      </w:tc>
      <w:tc>
        <w:tcPr>
          <w:tcW w:w="1417"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26045BC3" w:rsidR="007452E8" w:rsidRPr="008E3C43" w:rsidRDefault="007E4FF8" w:rsidP="007452E8">
    <w:pPr>
      <w:pStyle w:val="Footer"/>
    </w:pPr>
    <w:r>
      <w:rPr>
        <w:noProof/>
      </w:rPr>
      <mc:AlternateContent>
        <mc:Choice Requires="wps">
          <w:drawing>
            <wp:anchor distT="0" distB="0" distL="0" distR="0" simplePos="0" relativeHeight="251658250" behindDoc="0" locked="0" layoutInCell="1" allowOverlap="1" wp14:anchorId="104118EA" wp14:editId="6897F4AA">
              <wp:simplePos x="635" y="635"/>
              <wp:positionH relativeFrom="page">
                <wp:align>center</wp:align>
              </wp:positionH>
              <wp:positionV relativeFrom="page">
                <wp:align>bottom</wp:align>
              </wp:positionV>
              <wp:extent cx="622300" cy="391160"/>
              <wp:effectExtent l="0" t="0" r="6350" b="0"/>
              <wp:wrapNone/>
              <wp:docPr id="9097008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18EA" id="_x0000_t202" coordsize="21600,21600" o:spt="202" path="m,l,21600r21600,l21600,xe">
              <v:stroke joinstyle="miter"/>
              <v:path gradientshapeok="t" o:connecttype="rect"/>
            </v:shapetype>
            <v:shape id="Text Box 10" o:spid="_x0000_s1035" type="#_x0000_t202" alt="OFFICIAL" style="position:absolute;margin-left:0;margin-top:0;width:49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7D57F" w14:textId="77777777" w:rsidR="008A36AB" w:rsidRDefault="008A36AB" w:rsidP="00F02AEC">
      <w:pPr>
        <w:spacing w:after="0" w:line="240" w:lineRule="auto"/>
      </w:pPr>
      <w:r>
        <w:separator/>
      </w:r>
    </w:p>
  </w:footnote>
  <w:footnote w:type="continuationSeparator" w:id="0">
    <w:p w14:paraId="56349542" w14:textId="77777777" w:rsidR="008A36AB" w:rsidRDefault="008A36AB"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D6EB442" w14:textId="6EFE36B2" w:rsidR="00786C5F" w:rsidRDefault="00786C5F">
      <w:pPr>
        <w:pStyle w:val="FootnoteText"/>
      </w:pPr>
      <w:r>
        <w:rPr>
          <w:rStyle w:val="FootnoteReference"/>
        </w:rPr>
        <w:footnoteRef/>
      </w:r>
      <w:r>
        <w:t xml:space="preserve"> </w:t>
      </w:r>
      <w:r w:rsidRPr="00786C5F">
        <w:t>Albagoush SA, Shumway C, Azevedo AM. Multiple Myeloma. [Updated 2023 Jan 30]. In: StatPearls [Internet]. Treasure Island (FL): StatPearls Publishing; 2026 Jan-. Available from: https://www.ncbi.nlm.nih.gov/books/NBK534764/</w:t>
      </w:r>
    </w:p>
  </w:footnote>
  <w:footnote w:id="3">
    <w:p w14:paraId="1140BEA0" w14:textId="68B7097B" w:rsidR="00587413" w:rsidRDefault="00587413">
      <w:pPr>
        <w:pStyle w:val="FootnoteText"/>
      </w:pPr>
      <w:r>
        <w:rPr>
          <w:rStyle w:val="FootnoteReference"/>
        </w:rPr>
        <w:footnoteRef/>
      </w:r>
      <w:r>
        <w:t xml:space="preserve"> </w:t>
      </w:r>
      <w:r w:rsidRPr="00587413">
        <w:t xml:space="preserve">Allen HC, Sharma P. Histology, Plasma Cells. [Updated 2022 Dec 30]. In: </w:t>
      </w:r>
      <w:r w:rsidRPr="00587413">
        <w:t>StatPearls [Internet]. Treasure Island (FL): StatPearls Publishing; 2026 Jan-. Available from: https://www.ncbi.nlm.nih.gov/books/NBK556082/</w:t>
      </w:r>
    </w:p>
  </w:footnote>
  <w:footnote w:id="4">
    <w:p w14:paraId="279494F3" w14:textId="41819C22" w:rsidR="00A8596C" w:rsidRDefault="00A8596C">
      <w:pPr>
        <w:pStyle w:val="FootnoteText"/>
      </w:pPr>
      <w:r>
        <w:rPr>
          <w:rStyle w:val="FootnoteReference"/>
        </w:rPr>
        <w:footnoteRef/>
      </w:r>
      <w:r>
        <w:t xml:space="preserve"> </w:t>
      </w:r>
      <w:r w:rsidRPr="00A8596C">
        <w:t>Australian Institute of Health and Welfare</w:t>
      </w:r>
      <w:r w:rsidR="00073830">
        <w:t xml:space="preserve">. </w:t>
      </w:r>
      <w:r w:rsidRPr="00A8596C">
        <w:t>Cancer data in Australia</w:t>
      </w:r>
      <w:r w:rsidR="003D08DE">
        <w:t xml:space="preserve">. </w:t>
      </w:r>
      <w:hyperlink r:id="rId1" w:history="1">
        <w:r w:rsidR="003D08DE" w:rsidRPr="003D08DE">
          <w:rPr>
            <w:rStyle w:val="Hyperlink"/>
          </w:rPr>
          <w:t>Blood cancer incidence and survival by histology (experimental data)</w:t>
        </w:r>
      </w:hyperlink>
      <w:r w:rsidR="003D08DE">
        <w:t xml:space="preserve">. </w:t>
      </w:r>
      <w:r w:rsidR="003833A8" w:rsidRPr="003833A8">
        <w:t>Last updated: 08 Oct 2025</w:t>
      </w:r>
      <w:r w:rsidR="003833A8">
        <w:t xml:space="preserve">. </w:t>
      </w:r>
    </w:p>
  </w:footnote>
  <w:footnote w:id="5">
    <w:p w14:paraId="24186B24" w14:textId="52CC4C32" w:rsidR="009B2D98" w:rsidRDefault="009B2D98">
      <w:pPr>
        <w:pStyle w:val="FootnoteText"/>
      </w:pPr>
      <w:r>
        <w:rPr>
          <w:rStyle w:val="FootnoteReference"/>
        </w:rPr>
        <w:footnoteRef/>
      </w:r>
      <w:r>
        <w:t xml:space="preserve"> </w:t>
      </w:r>
      <w:r w:rsidRPr="009B2D98">
        <w:t xml:space="preserve">Padala SA, </w:t>
      </w:r>
      <w:r w:rsidRPr="009B2D98">
        <w:t>Barsouk A, Barsouk A, Rawla P, Vakiti A, Kolhe R, Kota V, Ajebo GH. Epidemiology, Staging, and Management of Multiple Myeloma. Med Sci (Basel). 2021 Jan 20;9(1):3. doi: 10.3390/medsci9010003. PMID: 33498356; PMCID: PMC7838784</w:t>
      </w:r>
    </w:p>
  </w:footnote>
  <w:footnote w:id="6">
    <w:p w14:paraId="57427EB6" w14:textId="0B9236C7" w:rsidR="0054100F" w:rsidRDefault="0054100F" w:rsidP="0054100F">
      <w:pPr>
        <w:pStyle w:val="FootnoteText"/>
      </w:pPr>
      <w:r>
        <w:rPr>
          <w:rStyle w:val="FootnoteReference"/>
        </w:rPr>
        <w:footnoteRef/>
      </w:r>
      <w:r>
        <w:t xml:space="preserve"> Myeloma Australia</w:t>
      </w:r>
      <w:r w:rsidR="0087653A">
        <w:t xml:space="preserve"> </w:t>
      </w:r>
      <w:r>
        <w:t>Medical and Scientific Advisory Group (MSAG)</w:t>
      </w:r>
      <w:r w:rsidR="0087653A">
        <w:t xml:space="preserve">. </w:t>
      </w:r>
      <w:hyperlink r:id="rId2" w:history="1">
        <w:r w:rsidR="0087653A" w:rsidRPr="00BC5DDC">
          <w:rPr>
            <w:rStyle w:val="Hyperlink"/>
          </w:rPr>
          <w:t>Clinical Practice Guideline</w:t>
        </w:r>
        <w:r w:rsidR="00963583" w:rsidRPr="00BC5DDC">
          <w:rPr>
            <w:rStyle w:val="Hyperlink"/>
          </w:rPr>
          <w:t xml:space="preserve"> Multiple Myeloma</w:t>
        </w:r>
      </w:hyperlink>
      <w:r w:rsidR="00963583">
        <w:t xml:space="preserve">. Updated June 2022. </w:t>
      </w:r>
    </w:p>
  </w:footnote>
  <w:footnote w:id="7">
    <w:p w14:paraId="1F785029" w14:textId="78C93965" w:rsidR="00956DD7" w:rsidRDefault="00956DD7" w:rsidP="00956DD7">
      <w:pPr>
        <w:pStyle w:val="FootnoteText"/>
      </w:pPr>
      <w:r>
        <w:rPr>
          <w:rStyle w:val="FootnoteReference"/>
        </w:rPr>
        <w:footnoteRef/>
      </w:r>
      <w:r>
        <w:t xml:space="preserve"> Tai YT and Anderson KC. Targeting B-cell maturation antigen in multiple myeloma, Immunotherapy, 2015; 7: 1187-99.</w:t>
      </w:r>
    </w:p>
  </w:footnote>
  <w:footnote w:id="8">
    <w:p w14:paraId="7E42CA3A" w14:textId="3EFBD9F6" w:rsidR="00956DD7" w:rsidRPr="002153B9" w:rsidRDefault="00956DD7" w:rsidP="00956DD7">
      <w:pPr>
        <w:pStyle w:val="FootnoteText"/>
        <w:rPr>
          <w:lang w:val="pt-BR"/>
        </w:rPr>
      </w:pPr>
      <w:r>
        <w:rPr>
          <w:rStyle w:val="FootnoteReference"/>
        </w:rPr>
        <w:footnoteRef/>
      </w:r>
      <w:r w:rsidRPr="002153B9">
        <w:rPr>
          <w:lang w:val="fr-CH"/>
        </w:rPr>
        <w:t xml:space="preserve"> Tai YT, Mayes PA, Acharya C, et al. </w:t>
      </w:r>
      <w:r>
        <w:t xml:space="preserve">Novel anti-B-cell maturation antigen antibody-drug conjugate (GSK2857916) selectively induces killing of multiple myeloma. </w:t>
      </w:r>
      <w:r w:rsidRPr="002153B9">
        <w:rPr>
          <w:lang w:val="pt-BR"/>
        </w:rPr>
        <w:t>Blood. 2014;123(20):3128-38.</w:t>
      </w:r>
    </w:p>
  </w:footnote>
  <w:footnote w:id="9">
    <w:p w14:paraId="5FA9CE7C" w14:textId="1AE7E063" w:rsidR="0008661C" w:rsidRDefault="0008661C" w:rsidP="0008661C">
      <w:pPr>
        <w:pStyle w:val="FootnoteText"/>
      </w:pPr>
      <w:r>
        <w:rPr>
          <w:rStyle w:val="FootnoteReference"/>
        </w:rPr>
        <w:footnoteRef/>
      </w:r>
      <w:r w:rsidRPr="002153B9">
        <w:rPr>
          <w:lang w:val="pt-BR"/>
        </w:rPr>
        <w:t xml:space="preserve"> Montes de Oca R, Bhattacharya S, Vitali NJ, et al. </w:t>
      </w:r>
      <w:r>
        <w:t>The anti-BCMA antibody-drug conjugate GSK2857916 drives immunogenic cell death and immune-mediated anti-</w:t>
      </w:r>
      <w:r>
        <w:t>tumor responses, and in combination with an OX40 agonist potentiates in vivo activity.</w:t>
      </w:r>
    </w:p>
    <w:p w14:paraId="2797F5FD" w14:textId="10634F3B" w:rsidR="0008661C" w:rsidRDefault="0008661C" w:rsidP="0008661C">
      <w:pPr>
        <w:pStyle w:val="FootnoteText"/>
      </w:pPr>
      <w:r>
        <w:t>Hemasphere. 2019;3(S1):231.</w:t>
      </w:r>
    </w:p>
  </w:footnote>
  <w:footnote w:id="10">
    <w:p w14:paraId="0D11ADA3" w14:textId="0D49ED82" w:rsidR="005C53B3" w:rsidRDefault="005C53B3">
      <w:pPr>
        <w:pStyle w:val="FootnoteText"/>
      </w:pPr>
      <w:r>
        <w:rPr>
          <w:rStyle w:val="FootnoteReference"/>
        </w:rPr>
        <w:footnoteRef/>
      </w:r>
      <w:r>
        <w:t xml:space="preserve"> </w:t>
      </w:r>
      <w:r w:rsidRPr="005C53B3">
        <w:t xml:space="preserve">International Conference on Harmonisation of Technical Requirements for Registration of Pharmaceuticals for Human Use. </w:t>
      </w:r>
      <w:hyperlink r:id="rId3" w:history="1">
        <w:r w:rsidRPr="005C53B3">
          <w:rPr>
            <w:rStyle w:val="Hyperlink"/>
          </w:rPr>
          <w:t xml:space="preserve">ICH S9 </w:t>
        </w:r>
        <w:r w:rsidRPr="005C53B3">
          <w:rPr>
            <w:rStyle w:val="Hyperlink"/>
          </w:rPr>
          <w:t>Non-clinical evaluation for anticancer pharmaceuticals - Scientific guideline</w:t>
        </w:r>
      </w:hyperlink>
      <w:r w:rsidRPr="005C53B3">
        <w:t>. 2013.</w:t>
      </w:r>
    </w:p>
  </w:footnote>
  <w:footnote w:id="11">
    <w:p w14:paraId="21EC9C71" w14:textId="469FA7F2" w:rsidR="005C53B3" w:rsidRDefault="005C53B3">
      <w:pPr>
        <w:pStyle w:val="FootnoteText"/>
      </w:pPr>
      <w:r>
        <w:rPr>
          <w:rStyle w:val="FootnoteReference"/>
        </w:rPr>
        <w:footnoteRef/>
      </w:r>
      <w:r>
        <w:t xml:space="preserve"> </w:t>
      </w:r>
      <w:r w:rsidRPr="005C53B3">
        <w:t xml:space="preserve">International Conference on Harmonisation of Technical Requirements for Registration of Pharmaceuticals for Human Use. </w:t>
      </w:r>
      <w:hyperlink r:id="rId4" w:history="1">
        <w:r w:rsidRPr="005C53B3">
          <w:rPr>
            <w:rStyle w:val="Hyperlink"/>
          </w:rPr>
          <w:t xml:space="preserve"> ICH S6 (R1) Preclinical safety evaluation of biotechnology-derived pharmaceuticals - Scientific guideline</w:t>
        </w:r>
      </w:hyperlink>
      <w:r w:rsidRPr="005C53B3">
        <w:t>.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FCB3" w14:textId="093B1D27" w:rsidR="007E4FF8" w:rsidRDefault="007E4FF8">
    <w:pPr>
      <w:pStyle w:val="Header"/>
    </w:pPr>
    <w:r>
      <w:rPr>
        <w:noProof/>
      </w:rPr>
      <mc:AlternateContent>
        <mc:Choice Requires="wps">
          <w:drawing>
            <wp:anchor distT="0" distB="0" distL="0" distR="0" simplePos="0" relativeHeight="251658242" behindDoc="0" locked="0" layoutInCell="1" allowOverlap="1" wp14:anchorId="3BDA164B" wp14:editId="743987F4">
              <wp:simplePos x="635" y="635"/>
              <wp:positionH relativeFrom="page">
                <wp:align>center</wp:align>
              </wp:positionH>
              <wp:positionV relativeFrom="page">
                <wp:align>top</wp:align>
              </wp:positionV>
              <wp:extent cx="622300" cy="391160"/>
              <wp:effectExtent l="0" t="0" r="6350" b="8890"/>
              <wp:wrapNone/>
              <wp:docPr id="784331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A164B"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495EEAE9" w:rsidR="007452E8" w:rsidRPr="00CB0550" w:rsidRDefault="007E4FF8" w:rsidP="00CB0550">
    <w:pPr>
      <w:pStyle w:val="Header"/>
      <w:jc w:val="left"/>
    </w:pPr>
    <w:r>
      <w:rPr>
        <w:noProof/>
      </w:rPr>
      <mc:AlternateContent>
        <mc:Choice Requires="wps">
          <w:drawing>
            <wp:anchor distT="0" distB="0" distL="0" distR="0" simplePos="0" relativeHeight="251658243" behindDoc="0" locked="0" layoutInCell="1" allowOverlap="1" wp14:anchorId="5966BD6A" wp14:editId="01118435">
              <wp:simplePos x="635" y="635"/>
              <wp:positionH relativeFrom="page">
                <wp:align>center</wp:align>
              </wp:positionH>
              <wp:positionV relativeFrom="page">
                <wp:align>top</wp:align>
              </wp:positionV>
              <wp:extent cx="622300" cy="391160"/>
              <wp:effectExtent l="0" t="0" r="6350" b="8890"/>
              <wp:wrapNone/>
              <wp:docPr id="15778969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66BD6A"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31E19A61" w:rsidR="007452E8" w:rsidRPr="002B29B2" w:rsidRDefault="007E4FF8" w:rsidP="007452E8">
          <w:pPr>
            <w:ind w:left="-57"/>
            <w:rPr>
              <w:noProof/>
            </w:rPr>
          </w:pPr>
          <w:r>
            <w:rPr>
              <w:noProof/>
            </w:rPr>
            <mc:AlternateContent>
              <mc:Choice Requires="wps">
                <w:drawing>
                  <wp:anchor distT="0" distB="0" distL="0" distR="0" simplePos="0" relativeHeight="251658241" behindDoc="0" locked="0" layoutInCell="1" allowOverlap="1" wp14:anchorId="36EC3BC1" wp14:editId="466B87D6">
                    <wp:simplePos x="635" y="635"/>
                    <wp:positionH relativeFrom="page">
                      <wp:align>center</wp:align>
                    </wp:positionH>
                    <wp:positionV relativeFrom="page">
                      <wp:align>top</wp:align>
                    </wp:positionV>
                    <wp:extent cx="622300" cy="391160"/>
                    <wp:effectExtent l="0" t="0" r="6350" b="8890"/>
                    <wp:wrapNone/>
                    <wp:docPr id="13945743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C3BC1"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677555766" name="Picture 67755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750506622"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2064346443" name="Picture 206434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419FC1D7" w:rsidR="007452E8" w:rsidRDefault="007E4FF8" w:rsidP="007452E8">
    <w:pPr>
      <w:pStyle w:val="Header"/>
    </w:pPr>
    <w:r>
      <w:rPr>
        <w:noProof/>
      </w:rPr>
      <mc:AlternateContent>
        <mc:Choice Requires="wps">
          <w:drawing>
            <wp:anchor distT="0" distB="0" distL="0" distR="0" simplePos="0" relativeHeight="251658244" behindDoc="0" locked="0" layoutInCell="1" allowOverlap="1" wp14:anchorId="28DC3F9E" wp14:editId="3D6537B9">
              <wp:simplePos x="899770" y="365760"/>
              <wp:positionH relativeFrom="page">
                <wp:align>center</wp:align>
              </wp:positionH>
              <wp:positionV relativeFrom="page">
                <wp:align>top</wp:align>
              </wp:positionV>
              <wp:extent cx="622300" cy="391160"/>
              <wp:effectExtent l="0" t="0" r="6350" b="8890"/>
              <wp:wrapNone/>
              <wp:docPr id="177355651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74DB680" w14:textId="1B5F07C5"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C3F9E"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174DB680" w14:textId="1B5F07C5"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66C0B9F" w:rsidR="007452E8" w:rsidRPr="00FE501F" w:rsidRDefault="007E4FF8" w:rsidP="007452E8">
    <w:pPr>
      <w:pStyle w:val="Headernoline"/>
    </w:pPr>
    <w:r>
      <w:rPr>
        <w:noProof/>
      </w:rPr>
      <mc:AlternateContent>
        <mc:Choice Requires="wps">
          <w:drawing>
            <wp:anchor distT="0" distB="0" distL="0" distR="0" simplePos="0" relativeHeight="251658245" behindDoc="0" locked="0" layoutInCell="1" allowOverlap="1" wp14:anchorId="2A06D344" wp14:editId="1647E18A">
              <wp:simplePos x="635" y="635"/>
              <wp:positionH relativeFrom="page">
                <wp:align>center</wp:align>
              </wp:positionH>
              <wp:positionV relativeFrom="page">
                <wp:align>top</wp:align>
              </wp:positionV>
              <wp:extent cx="622300" cy="391160"/>
              <wp:effectExtent l="0" t="0" r="6350" b="8890"/>
              <wp:wrapNone/>
              <wp:docPr id="48777718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6D344" id="_x0000_t202" coordsize="21600,21600" o:spt="202" path="m,l,21600r21600,l21600,xe">
              <v:stroke joinstyle="miter"/>
              <v:path gradientshapeok="t" o:connecttype="rect"/>
            </v:shapetype>
            <v:shape id="Text Box 5" o:spid="_x0000_s1034"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27EE3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9B09E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7B13F4"/>
    <w:multiLevelType w:val="hybridMultilevel"/>
    <w:tmpl w:val="7130A40A"/>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2176660E"/>
    <w:multiLevelType w:val="hybridMultilevel"/>
    <w:tmpl w:val="D700C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2A52468C"/>
    <w:multiLevelType w:val="hybridMultilevel"/>
    <w:tmpl w:val="16A035CA"/>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9C167E4"/>
    <w:multiLevelType w:val="hybridMultilevel"/>
    <w:tmpl w:val="AEA6B352"/>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E505551"/>
    <w:multiLevelType w:val="hybridMultilevel"/>
    <w:tmpl w:val="9CBC8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3AB75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3D927F6"/>
    <w:multiLevelType w:val="hybridMultilevel"/>
    <w:tmpl w:val="7E7A7A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6" w15:restartNumberingAfterBreak="0">
    <w:nsid w:val="47C05080"/>
    <w:multiLevelType w:val="hybridMultilevel"/>
    <w:tmpl w:val="EC0C4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5C53107"/>
    <w:multiLevelType w:val="multilevel"/>
    <w:tmpl w:val="15CA3F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2" w15:restartNumberingAfterBreak="0">
    <w:nsid w:val="5CA27D8F"/>
    <w:multiLevelType w:val="hybridMultilevel"/>
    <w:tmpl w:val="6D5A7C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DC175C7"/>
    <w:multiLevelType w:val="hybridMultilevel"/>
    <w:tmpl w:val="511AC45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57055B1"/>
    <w:multiLevelType w:val="hybridMultilevel"/>
    <w:tmpl w:val="5B3C5FD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82B51B8"/>
    <w:multiLevelType w:val="hybridMultilevel"/>
    <w:tmpl w:val="71204664"/>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6"/>
  </w:num>
  <w:num w:numId="2" w16cid:durableId="1856573705">
    <w:abstractNumId w:val="2"/>
  </w:num>
  <w:num w:numId="3" w16cid:durableId="357703499">
    <w:abstractNumId w:val="4"/>
  </w:num>
  <w:num w:numId="4" w16cid:durableId="1869176708">
    <w:abstractNumId w:val="19"/>
  </w:num>
  <w:num w:numId="5" w16cid:durableId="1652950129">
    <w:abstractNumId w:val="9"/>
  </w:num>
  <w:num w:numId="6" w16cid:durableId="1053193207">
    <w:abstractNumId w:val="17"/>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8"/>
  </w:num>
  <w:num w:numId="9" w16cid:durableId="173421270">
    <w:abstractNumId w:val="3"/>
  </w:num>
  <w:num w:numId="10" w16cid:durableId="2108043357">
    <w:abstractNumId w:val="7"/>
  </w:num>
  <w:num w:numId="11" w16cid:durableId="1725904230">
    <w:abstractNumId w:val="15"/>
  </w:num>
  <w:num w:numId="12" w16cid:durableId="141579354">
    <w:abstractNumId w:val="21"/>
  </w:num>
  <w:num w:numId="13" w16cid:durableId="283735081">
    <w:abstractNumId w:val="26"/>
  </w:num>
  <w:num w:numId="14" w16cid:durableId="1045178255">
    <w:abstractNumId w:val="22"/>
  </w:num>
  <w:num w:numId="15" w16cid:durableId="610599129">
    <w:abstractNumId w:val="20"/>
  </w:num>
  <w:num w:numId="16" w16cid:durableId="37051327">
    <w:abstractNumId w:val="20"/>
    <w:lvlOverride w:ilvl="1">
      <w:lvl w:ilvl="1">
        <w:numFmt w:val="bullet"/>
        <w:lvlText w:val="o"/>
        <w:lvlJc w:val="left"/>
        <w:pPr>
          <w:tabs>
            <w:tab w:val="num" w:pos="1440"/>
          </w:tabs>
          <w:ind w:left="1440" w:hanging="360"/>
        </w:pPr>
        <w:rPr>
          <w:rFonts w:ascii="Courier New" w:hAnsi="Courier New" w:hint="default"/>
          <w:sz w:val="20"/>
        </w:rPr>
      </w:lvl>
    </w:lvlOverride>
  </w:num>
  <w:num w:numId="17" w16cid:durableId="1410955349">
    <w:abstractNumId w:val="1"/>
  </w:num>
  <w:num w:numId="18" w16cid:durableId="884803161">
    <w:abstractNumId w:val="0"/>
  </w:num>
  <w:num w:numId="19" w16cid:durableId="1693801667">
    <w:abstractNumId w:val="13"/>
  </w:num>
  <w:num w:numId="20" w16cid:durableId="1760443010">
    <w:abstractNumId w:val="16"/>
  </w:num>
  <w:num w:numId="21" w16cid:durableId="1347368267">
    <w:abstractNumId w:val="12"/>
  </w:num>
  <w:num w:numId="22" w16cid:durableId="1098015230">
    <w:abstractNumId w:val="8"/>
  </w:num>
  <w:num w:numId="23" w16cid:durableId="1018120007">
    <w:abstractNumId w:val="14"/>
  </w:num>
  <w:num w:numId="24" w16cid:durableId="438331393">
    <w:abstractNumId w:val="10"/>
  </w:num>
  <w:num w:numId="25" w16cid:durableId="486021926">
    <w:abstractNumId w:val="11"/>
  </w:num>
  <w:num w:numId="26" w16cid:durableId="20858650">
    <w:abstractNumId w:val="25"/>
  </w:num>
  <w:num w:numId="27" w16cid:durableId="798456944">
    <w:abstractNumId w:val="24"/>
  </w:num>
  <w:num w:numId="28" w16cid:durableId="1225142816">
    <w:abstractNumId w:val="23"/>
  </w:num>
  <w:num w:numId="29" w16cid:durableId="13703000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0f10ced-5413-4ac8-a51a-1938430c7e4c" w:val=" "/>
    <w:docVar w:name="vault_nd_049d3a62-3071-4665-8e0d-c7c5dfc729f6" w:val=" "/>
    <w:docVar w:name="vault_nd_1a29c9b5-f3f1-4da7-bdef-5118ccd811ba" w:val=" "/>
    <w:docVar w:name="vault_nd_1a81412d-d2d3-4b0c-bbd9-0cfcb8dbcd17" w:val=" "/>
    <w:docVar w:name="vault_nd_24c15363-bd48-40b1-9df5-9f407856c0ac" w:val=" "/>
    <w:docVar w:name="vault_nd_27ae8e7b-4bc9-49fb-8d74-dbb4c2ac3668" w:val=" "/>
    <w:docVar w:name="vault_nd_325b13f9-e0e1-4eb7-a856-24f5fa1c0e9d" w:val=" "/>
    <w:docVar w:name="vault_nd_32bec354-900f-47a5-abb4-7d44e95ce611" w:val=" "/>
    <w:docVar w:name="vault_nd_36bd4d53-ed89-408a-be6d-2e88fa3fedac" w:val=" "/>
    <w:docVar w:name="vault_nd_3a314fa7-574c-44a4-8c0d-633f8cac9873" w:val=" "/>
    <w:docVar w:name="vault_nd_411858f2-ff7e-4e0e-b7fd-0a2da8065f8e" w:val=" "/>
    <w:docVar w:name="vault_nd_44a3a051-3eb0-4568-9ef6-9142bbcf5e31" w:val=" "/>
    <w:docVar w:name="vault_nd_4cd5a629-c02c-4f9e-9dac-c131ca899553" w:val=" "/>
    <w:docVar w:name="vault_nd_5046f4b7-c40e-4fd6-a98b-41fc46fc4c33" w:val=" "/>
    <w:docVar w:name="vault_nd_5903a5db-9788-41eb-ae24-aea621a01f1e" w:val=" "/>
    <w:docVar w:name="vault_nd_59c714fa-03e0-4b97-b89f-1d5e6257671c" w:val=" "/>
    <w:docVar w:name="vault_nd_5d3e851e-36d5-401b-bff3-22ac15eec841" w:val=" "/>
    <w:docVar w:name="vault_nd_618d622b-ea9e-4a05-8fba-e1955962cc13" w:val=" "/>
    <w:docVar w:name="vault_nd_623b8c67-7626-475e-a1d6-8dd8ca6f0b67" w:val=" "/>
    <w:docVar w:name="vault_nd_64eecd8d-4c8c-4406-8ce5-56b41e2f9888" w:val=" "/>
    <w:docVar w:name="vault_nd_64f95f18-450c-4dea-8470-a6648618683d" w:val=" "/>
    <w:docVar w:name="vault_nd_664e3499-3bb2-428f-8e88-7ece5f14f0d6" w:val=" "/>
    <w:docVar w:name="vault_nd_6980c9c8-c4f4-4a97-af55-f95607ecf543" w:val=" "/>
    <w:docVar w:name="vault_nd_6e4bfed3-d469-4741-abc7-a48b2d9737b3" w:val=" "/>
    <w:docVar w:name="vault_nd_6ee7364b-af44-4bef-b40d-23a3971acbbb" w:val=" "/>
    <w:docVar w:name="vault_nd_7984cfb3-797a-44a2-afc9-b9a0e0ec2a71" w:val=" "/>
    <w:docVar w:name="vault_nd_843da60a-6bcc-49c9-8570-7a5105363a5c" w:val=" "/>
    <w:docVar w:name="vault_nd_86a92ae7-3042-4c8d-ba0d-7c22c2e92583" w:val=" "/>
    <w:docVar w:name="vault_nd_8c63d5ef-1f1f-43a9-a30f-0a3b83e395c0" w:val=" "/>
    <w:docVar w:name="vault_nd_8c9983fd-72a8-431f-b3e0-93ded520feb2" w:val=" "/>
    <w:docVar w:name="vault_nd_90bcef91-d285-4728-9fb1-8915baa5bea5" w:val=" "/>
    <w:docVar w:name="vault_nd_91f4a4f9-e94f-4d69-9066-c4516f387685" w:val=" "/>
    <w:docVar w:name="vault_nd_93a51abe-bca8-4397-8033-ccc065654a17" w:val=" "/>
    <w:docVar w:name="vault_nd_9ed64449-8c65-4bbb-8137-42a992b5d6f5" w:val=" "/>
    <w:docVar w:name="vault_nd_9fd89d67-8c22-4dd5-b19d-e85b09ba6be2" w:val=" "/>
    <w:docVar w:name="vault_nd_b51db724-b2c5-4619-9515-e286521fe976" w:val=" "/>
    <w:docVar w:name="vault_nd_b98a6b45-3ceb-4d0f-b607-63a64fd7f5a7" w:val=" "/>
    <w:docVar w:name="vault_nd_bec658fb-9f33-4e1b-97a9-0e03de8057cb" w:val=" "/>
    <w:docVar w:name="vault_nd_c25cd487-e95f-4a5e-9a8f-926bbb6bc077" w:val=" "/>
    <w:docVar w:name="vault_nd_ccf6466d-19af-4ddf-bc53-68c65ca29b04" w:val=" "/>
    <w:docVar w:name="vault_nd_cee1da8d-d07f-4c3c-88fc-d2a0efd41b0d" w:val=" "/>
    <w:docVar w:name="vault_nd_cf710ce2-26eb-4272-bec0-3d9a1e47a2dc" w:val=" "/>
    <w:docVar w:name="vault_nd_d4fcc026-ea4f-4704-8af9-0930af116695" w:val=" "/>
    <w:docVar w:name="vault_nd_e43efa7f-fdbd-424b-9fc1-b9f5d23e1330" w:val=" "/>
    <w:docVar w:name="vault_nd_eca8bf90-7730-4e4c-8c64-7d844f81742d" w:val=" "/>
    <w:docVar w:name="vault_nd_eec45b9e-bb50-44a5-a4ad-9aa8347dbc03" w:val=" "/>
    <w:docVar w:name="vault_nd_f5b91137-e7b4-4dfa-b387-79fd99e25e67" w:val=" "/>
    <w:docVar w:name="vault_nd_fb0fb2f6-2db5-4dba-8059-63cea2d6ca7e" w:val=" "/>
    <w:docVar w:name="vault_nd_fe3be041-8122-4123-8d82-003bf60cfa16" w:val=" "/>
  </w:docVars>
  <w:rsids>
    <w:rsidRoot w:val="00346EC2"/>
    <w:rsid w:val="00000E6E"/>
    <w:rsid w:val="00003545"/>
    <w:rsid w:val="00004431"/>
    <w:rsid w:val="00005062"/>
    <w:rsid w:val="00005B18"/>
    <w:rsid w:val="00005DFC"/>
    <w:rsid w:val="000065F9"/>
    <w:rsid w:val="0001064C"/>
    <w:rsid w:val="0001384A"/>
    <w:rsid w:val="00021C13"/>
    <w:rsid w:val="000231FB"/>
    <w:rsid w:val="00025B1D"/>
    <w:rsid w:val="0002709E"/>
    <w:rsid w:val="000274B5"/>
    <w:rsid w:val="00027F98"/>
    <w:rsid w:val="00032A0F"/>
    <w:rsid w:val="00040B5E"/>
    <w:rsid w:val="00040D8D"/>
    <w:rsid w:val="00043880"/>
    <w:rsid w:val="00046423"/>
    <w:rsid w:val="000477F5"/>
    <w:rsid w:val="0005067C"/>
    <w:rsid w:val="00053C7E"/>
    <w:rsid w:val="0006104E"/>
    <w:rsid w:val="000640BD"/>
    <w:rsid w:val="00065839"/>
    <w:rsid w:val="00065FDF"/>
    <w:rsid w:val="0006693A"/>
    <w:rsid w:val="00073830"/>
    <w:rsid w:val="000741F5"/>
    <w:rsid w:val="00076BCD"/>
    <w:rsid w:val="00076DC1"/>
    <w:rsid w:val="00077844"/>
    <w:rsid w:val="000822E8"/>
    <w:rsid w:val="00083763"/>
    <w:rsid w:val="00084608"/>
    <w:rsid w:val="0008661C"/>
    <w:rsid w:val="0009023D"/>
    <w:rsid w:val="00090510"/>
    <w:rsid w:val="000917AE"/>
    <w:rsid w:val="00094B81"/>
    <w:rsid w:val="00095C6A"/>
    <w:rsid w:val="000975AA"/>
    <w:rsid w:val="000A0292"/>
    <w:rsid w:val="000A0915"/>
    <w:rsid w:val="000A0F3F"/>
    <w:rsid w:val="000A17F9"/>
    <w:rsid w:val="000B04E4"/>
    <w:rsid w:val="000B0AF9"/>
    <w:rsid w:val="000B14D2"/>
    <w:rsid w:val="000B5F8E"/>
    <w:rsid w:val="000B6B15"/>
    <w:rsid w:val="000C25A7"/>
    <w:rsid w:val="000C316A"/>
    <w:rsid w:val="000C5FE5"/>
    <w:rsid w:val="000D166C"/>
    <w:rsid w:val="000D488B"/>
    <w:rsid w:val="000D78EC"/>
    <w:rsid w:val="000D7934"/>
    <w:rsid w:val="000E07C0"/>
    <w:rsid w:val="000E2434"/>
    <w:rsid w:val="000E2597"/>
    <w:rsid w:val="000E2F39"/>
    <w:rsid w:val="000E504E"/>
    <w:rsid w:val="000E6746"/>
    <w:rsid w:val="000F1EC0"/>
    <w:rsid w:val="000F6733"/>
    <w:rsid w:val="000F7B51"/>
    <w:rsid w:val="00101BEE"/>
    <w:rsid w:val="00101CE6"/>
    <w:rsid w:val="00101FB1"/>
    <w:rsid w:val="00103B1D"/>
    <w:rsid w:val="001049DB"/>
    <w:rsid w:val="0010558A"/>
    <w:rsid w:val="001101FF"/>
    <w:rsid w:val="00111989"/>
    <w:rsid w:val="00113F9F"/>
    <w:rsid w:val="00114025"/>
    <w:rsid w:val="00116007"/>
    <w:rsid w:val="0012473C"/>
    <w:rsid w:val="00125563"/>
    <w:rsid w:val="00127A74"/>
    <w:rsid w:val="001300BB"/>
    <w:rsid w:val="0013132F"/>
    <w:rsid w:val="00131B1B"/>
    <w:rsid w:val="00132BBF"/>
    <w:rsid w:val="0013306D"/>
    <w:rsid w:val="0013528C"/>
    <w:rsid w:val="001430B8"/>
    <w:rsid w:val="001442A2"/>
    <w:rsid w:val="001456CC"/>
    <w:rsid w:val="00145B4A"/>
    <w:rsid w:val="001460A7"/>
    <w:rsid w:val="00146360"/>
    <w:rsid w:val="001468CA"/>
    <w:rsid w:val="001473D1"/>
    <w:rsid w:val="001500A8"/>
    <w:rsid w:val="001512EA"/>
    <w:rsid w:val="00151989"/>
    <w:rsid w:val="00155D85"/>
    <w:rsid w:val="00156D91"/>
    <w:rsid w:val="00161601"/>
    <w:rsid w:val="00162A68"/>
    <w:rsid w:val="00165D28"/>
    <w:rsid w:val="0017005C"/>
    <w:rsid w:val="00171213"/>
    <w:rsid w:val="00173195"/>
    <w:rsid w:val="00174EDB"/>
    <w:rsid w:val="00175CD8"/>
    <w:rsid w:val="00177D2A"/>
    <w:rsid w:val="00182BD8"/>
    <w:rsid w:val="00182F55"/>
    <w:rsid w:val="00184052"/>
    <w:rsid w:val="00190853"/>
    <w:rsid w:val="001964BD"/>
    <w:rsid w:val="00197EAA"/>
    <w:rsid w:val="001A76F9"/>
    <w:rsid w:val="001B059C"/>
    <w:rsid w:val="001B06FF"/>
    <w:rsid w:val="001B1703"/>
    <w:rsid w:val="001C1C2E"/>
    <w:rsid w:val="001C31A1"/>
    <w:rsid w:val="001C3FA2"/>
    <w:rsid w:val="001C5AD4"/>
    <w:rsid w:val="001C5EE2"/>
    <w:rsid w:val="001D0077"/>
    <w:rsid w:val="001D43BB"/>
    <w:rsid w:val="001D48B4"/>
    <w:rsid w:val="001D602B"/>
    <w:rsid w:val="001D770A"/>
    <w:rsid w:val="001D78BA"/>
    <w:rsid w:val="001E0A98"/>
    <w:rsid w:val="001E1882"/>
    <w:rsid w:val="001E2C02"/>
    <w:rsid w:val="001E407B"/>
    <w:rsid w:val="001E4948"/>
    <w:rsid w:val="001E6438"/>
    <w:rsid w:val="001E6975"/>
    <w:rsid w:val="001E7FC6"/>
    <w:rsid w:val="001F2502"/>
    <w:rsid w:val="001F35CC"/>
    <w:rsid w:val="001F459E"/>
    <w:rsid w:val="001F70A5"/>
    <w:rsid w:val="0020235D"/>
    <w:rsid w:val="00203313"/>
    <w:rsid w:val="0020369B"/>
    <w:rsid w:val="00205427"/>
    <w:rsid w:val="00206C04"/>
    <w:rsid w:val="00207B4D"/>
    <w:rsid w:val="00210249"/>
    <w:rsid w:val="0021036C"/>
    <w:rsid w:val="00210EF1"/>
    <w:rsid w:val="00210F9B"/>
    <w:rsid w:val="002117B1"/>
    <w:rsid w:val="00212290"/>
    <w:rsid w:val="002153B9"/>
    <w:rsid w:val="00215A23"/>
    <w:rsid w:val="00217CCE"/>
    <w:rsid w:val="00217FE4"/>
    <w:rsid w:val="002203B1"/>
    <w:rsid w:val="002248A6"/>
    <w:rsid w:val="00225E13"/>
    <w:rsid w:val="0022668B"/>
    <w:rsid w:val="00226F39"/>
    <w:rsid w:val="00227D71"/>
    <w:rsid w:val="002334AD"/>
    <w:rsid w:val="00236C0D"/>
    <w:rsid w:val="00236F91"/>
    <w:rsid w:val="00241B60"/>
    <w:rsid w:val="00245D36"/>
    <w:rsid w:val="0025785B"/>
    <w:rsid w:val="00257969"/>
    <w:rsid w:val="002602A1"/>
    <w:rsid w:val="002608C9"/>
    <w:rsid w:val="00264E0B"/>
    <w:rsid w:val="00265CD1"/>
    <w:rsid w:val="00265E5C"/>
    <w:rsid w:val="002724DC"/>
    <w:rsid w:val="00275D3E"/>
    <w:rsid w:val="0027721C"/>
    <w:rsid w:val="00277EAC"/>
    <w:rsid w:val="00280048"/>
    <w:rsid w:val="0028489E"/>
    <w:rsid w:val="002848DE"/>
    <w:rsid w:val="00284F2E"/>
    <w:rsid w:val="0028794E"/>
    <w:rsid w:val="002924A1"/>
    <w:rsid w:val="0029733B"/>
    <w:rsid w:val="002976DC"/>
    <w:rsid w:val="002A0CEC"/>
    <w:rsid w:val="002A24D2"/>
    <w:rsid w:val="002A5645"/>
    <w:rsid w:val="002A5841"/>
    <w:rsid w:val="002B1EDF"/>
    <w:rsid w:val="002B2061"/>
    <w:rsid w:val="002B227B"/>
    <w:rsid w:val="002B260A"/>
    <w:rsid w:val="002B33C3"/>
    <w:rsid w:val="002C1232"/>
    <w:rsid w:val="002C1E44"/>
    <w:rsid w:val="002C3274"/>
    <w:rsid w:val="002C42C3"/>
    <w:rsid w:val="002C5C92"/>
    <w:rsid w:val="002C5E29"/>
    <w:rsid w:val="002C74F2"/>
    <w:rsid w:val="002D0478"/>
    <w:rsid w:val="002D489C"/>
    <w:rsid w:val="002D4DB1"/>
    <w:rsid w:val="002D5A5C"/>
    <w:rsid w:val="002D70A0"/>
    <w:rsid w:val="002D7127"/>
    <w:rsid w:val="002E1ABA"/>
    <w:rsid w:val="002E1C5F"/>
    <w:rsid w:val="002E2666"/>
    <w:rsid w:val="002E3EFC"/>
    <w:rsid w:val="002E5439"/>
    <w:rsid w:val="002E5EFF"/>
    <w:rsid w:val="002E64CE"/>
    <w:rsid w:val="002F12BD"/>
    <w:rsid w:val="002F3587"/>
    <w:rsid w:val="002F4A7D"/>
    <w:rsid w:val="002F599E"/>
    <w:rsid w:val="00300598"/>
    <w:rsid w:val="003008D8"/>
    <w:rsid w:val="00300D0D"/>
    <w:rsid w:val="00301D9A"/>
    <w:rsid w:val="00303959"/>
    <w:rsid w:val="00306E72"/>
    <w:rsid w:val="00310316"/>
    <w:rsid w:val="00310E90"/>
    <w:rsid w:val="00311896"/>
    <w:rsid w:val="00311939"/>
    <w:rsid w:val="00311972"/>
    <w:rsid w:val="003125A6"/>
    <w:rsid w:val="00312AC3"/>
    <w:rsid w:val="003143BA"/>
    <w:rsid w:val="00314430"/>
    <w:rsid w:val="003163BC"/>
    <w:rsid w:val="00316EE0"/>
    <w:rsid w:val="003212D9"/>
    <w:rsid w:val="00321F3C"/>
    <w:rsid w:val="00322ADD"/>
    <w:rsid w:val="0032351A"/>
    <w:rsid w:val="00324B33"/>
    <w:rsid w:val="00324CF1"/>
    <w:rsid w:val="00327488"/>
    <w:rsid w:val="0033413A"/>
    <w:rsid w:val="00335364"/>
    <w:rsid w:val="00336FE1"/>
    <w:rsid w:val="00337BD8"/>
    <w:rsid w:val="00340AF9"/>
    <w:rsid w:val="00342D56"/>
    <w:rsid w:val="003456E7"/>
    <w:rsid w:val="00345FCA"/>
    <w:rsid w:val="00346EC2"/>
    <w:rsid w:val="003477F9"/>
    <w:rsid w:val="00351A23"/>
    <w:rsid w:val="0035444D"/>
    <w:rsid w:val="00355B68"/>
    <w:rsid w:val="00356400"/>
    <w:rsid w:val="00356D62"/>
    <w:rsid w:val="00360D6D"/>
    <w:rsid w:val="003622CB"/>
    <w:rsid w:val="00363EE3"/>
    <w:rsid w:val="0037145B"/>
    <w:rsid w:val="003716D8"/>
    <w:rsid w:val="003735F3"/>
    <w:rsid w:val="00374729"/>
    <w:rsid w:val="00375858"/>
    <w:rsid w:val="0037664E"/>
    <w:rsid w:val="003771CC"/>
    <w:rsid w:val="00380AA6"/>
    <w:rsid w:val="00381FC2"/>
    <w:rsid w:val="00383104"/>
    <w:rsid w:val="003833A8"/>
    <w:rsid w:val="0038386C"/>
    <w:rsid w:val="00385564"/>
    <w:rsid w:val="0038582E"/>
    <w:rsid w:val="0038697F"/>
    <w:rsid w:val="00387298"/>
    <w:rsid w:val="00387984"/>
    <w:rsid w:val="003908CD"/>
    <w:rsid w:val="00395140"/>
    <w:rsid w:val="00395A9C"/>
    <w:rsid w:val="00395B7C"/>
    <w:rsid w:val="003A1F92"/>
    <w:rsid w:val="003A2422"/>
    <w:rsid w:val="003A4619"/>
    <w:rsid w:val="003A6871"/>
    <w:rsid w:val="003B149C"/>
    <w:rsid w:val="003B64F6"/>
    <w:rsid w:val="003C0FDB"/>
    <w:rsid w:val="003C1192"/>
    <w:rsid w:val="003C55E2"/>
    <w:rsid w:val="003C5E29"/>
    <w:rsid w:val="003C63D5"/>
    <w:rsid w:val="003C7AA8"/>
    <w:rsid w:val="003D08DE"/>
    <w:rsid w:val="003D0A3F"/>
    <w:rsid w:val="003D47E8"/>
    <w:rsid w:val="003D61AD"/>
    <w:rsid w:val="003D71A1"/>
    <w:rsid w:val="003E0D13"/>
    <w:rsid w:val="003E4B2A"/>
    <w:rsid w:val="003F29C1"/>
    <w:rsid w:val="003F3B2D"/>
    <w:rsid w:val="003F5635"/>
    <w:rsid w:val="003F7444"/>
    <w:rsid w:val="0040341D"/>
    <w:rsid w:val="004153E1"/>
    <w:rsid w:val="00415587"/>
    <w:rsid w:val="00416457"/>
    <w:rsid w:val="0041688F"/>
    <w:rsid w:val="004176BB"/>
    <w:rsid w:val="004212A3"/>
    <w:rsid w:val="00421571"/>
    <w:rsid w:val="00421D16"/>
    <w:rsid w:val="0042376F"/>
    <w:rsid w:val="004241E4"/>
    <w:rsid w:val="004242FB"/>
    <w:rsid w:val="004246B8"/>
    <w:rsid w:val="004248CC"/>
    <w:rsid w:val="004248F1"/>
    <w:rsid w:val="00425B23"/>
    <w:rsid w:val="00430583"/>
    <w:rsid w:val="00430CCF"/>
    <w:rsid w:val="00432F98"/>
    <w:rsid w:val="00433318"/>
    <w:rsid w:val="00435378"/>
    <w:rsid w:val="004372F8"/>
    <w:rsid w:val="004411D9"/>
    <w:rsid w:val="0044266D"/>
    <w:rsid w:val="00442A56"/>
    <w:rsid w:val="004430BA"/>
    <w:rsid w:val="004444B0"/>
    <w:rsid w:val="00444779"/>
    <w:rsid w:val="00445CE6"/>
    <w:rsid w:val="0045060B"/>
    <w:rsid w:val="00453715"/>
    <w:rsid w:val="004542C1"/>
    <w:rsid w:val="00457B71"/>
    <w:rsid w:val="004626FF"/>
    <w:rsid w:val="0046285C"/>
    <w:rsid w:val="00470A52"/>
    <w:rsid w:val="00471BD5"/>
    <w:rsid w:val="00473158"/>
    <w:rsid w:val="00477C4E"/>
    <w:rsid w:val="00477F07"/>
    <w:rsid w:val="004804FD"/>
    <w:rsid w:val="00481503"/>
    <w:rsid w:val="00481D12"/>
    <w:rsid w:val="00482D8E"/>
    <w:rsid w:val="004854A6"/>
    <w:rsid w:val="00486C12"/>
    <w:rsid w:val="00491A55"/>
    <w:rsid w:val="00492B04"/>
    <w:rsid w:val="00494C3E"/>
    <w:rsid w:val="00497DF1"/>
    <w:rsid w:val="004A0C06"/>
    <w:rsid w:val="004A20BC"/>
    <w:rsid w:val="004A318E"/>
    <w:rsid w:val="004A45D4"/>
    <w:rsid w:val="004A57E8"/>
    <w:rsid w:val="004B0854"/>
    <w:rsid w:val="004B2938"/>
    <w:rsid w:val="004B3081"/>
    <w:rsid w:val="004B4A09"/>
    <w:rsid w:val="004B51A1"/>
    <w:rsid w:val="004B51B0"/>
    <w:rsid w:val="004C0CEF"/>
    <w:rsid w:val="004C41CE"/>
    <w:rsid w:val="004C631B"/>
    <w:rsid w:val="004C7C27"/>
    <w:rsid w:val="004D0933"/>
    <w:rsid w:val="004D0A7E"/>
    <w:rsid w:val="004D166F"/>
    <w:rsid w:val="004D190B"/>
    <w:rsid w:val="004D2F00"/>
    <w:rsid w:val="004D2F54"/>
    <w:rsid w:val="004D31D8"/>
    <w:rsid w:val="004D35D1"/>
    <w:rsid w:val="004D4AD5"/>
    <w:rsid w:val="004D5388"/>
    <w:rsid w:val="004D5806"/>
    <w:rsid w:val="004D5DFC"/>
    <w:rsid w:val="004D6EC0"/>
    <w:rsid w:val="004E00EE"/>
    <w:rsid w:val="004E05F7"/>
    <w:rsid w:val="004E2F37"/>
    <w:rsid w:val="004E43AA"/>
    <w:rsid w:val="004E5E9B"/>
    <w:rsid w:val="004E6512"/>
    <w:rsid w:val="004E7F16"/>
    <w:rsid w:val="004F18EC"/>
    <w:rsid w:val="004F63B7"/>
    <w:rsid w:val="00500D68"/>
    <w:rsid w:val="005016FD"/>
    <w:rsid w:val="005152DD"/>
    <w:rsid w:val="0052271B"/>
    <w:rsid w:val="005245B2"/>
    <w:rsid w:val="005258CE"/>
    <w:rsid w:val="00525DA6"/>
    <w:rsid w:val="0052791E"/>
    <w:rsid w:val="005308EF"/>
    <w:rsid w:val="00531267"/>
    <w:rsid w:val="0053377D"/>
    <w:rsid w:val="00533844"/>
    <w:rsid w:val="005359A6"/>
    <w:rsid w:val="00535DFE"/>
    <w:rsid w:val="00536723"/>
    <w:rsid w:val="005373B5"/>
    <w:rsid w:val="00537AB7"/>
    <w:rsid w:val="0054100F"/>
    <w:rsid w:val="00541169"/>
    <w:rsid w:val="00542279"/>
    <w:rsid w:val="00543AA4"/>
    <w:rsid w:val="005443F3"/>
    <w:rsid w:val="0054669B"/>
    <w:rsid w:val="005542BC"/>
    <w:rsid w:val="00555F1B"/>
    <w:rsid w:val="005568C0"/>
    <w:rsid w:val="00557684"/>
    <w:rsid w:val="00560EC1"/>
    <w:rsid w:val="005610D1"/>
    <w:rsid w:val="00561142"/>
    <w:rsid w:val="00561E75"/>
    <w:rsid w:val="00562F42"/>
    <w:rsid w:val="0056522D"/>
    <w:rsid w:val="00565739"/>
    <w:rsid w:val="0056766D"/>
    <w:rsid w:val="0057391C"/>
    <w:rsid w:val="00575215"/>
    <w:rsid w:val="005773A0"/>
    <w:rsid w:val="005775D0"/>
    <w:rsid w:val="00581138"/>
    <w:rsid w:val="00581609"/>
    <w:rsid w:val="00581B26"/>
    <w:rsid w:val="00583AC1"/>
    <w:rsid w:val="00583F2C"/>
    <w:rsid w:val="0058575E"/>
    <w:rsid w:val="00587413"/>
    <w:rsid w:val="0058783C"/>
    <w:rsid w:val="005911AE"/>
    <w:rsid w:val="005926E2"/>
    <w:rsid w:val="0059313A"/>
    <w:rsid w:val="005A2AC0"/>
    <w:rsid w:val="005A3111"/>
    <w:rsid w:val="005A46C7"/>
    <w:rsid w:val="005A54EA"/>
    <w:rsid w:val="005B012C"/>
    <w:rsid w:val="005B023F"/>
    <w:rsid w:val="005B02A2"/>
    <w:rsid w:val="005B1417"/>
    <w:rsid w:val="005B2DD4"/>
    <w:rsid w:val="005B62B2"/>
    <w:rsid w:val="005B69CF"/>
    <w:rsid w:val="005B70C8"/>
    <w:rsid w:val="005C3F07"/>
    <w:rsid w:val="005C4B46"/>
    <w:rsid w:val="005C53B3"/>
    <w:rsid w:val="005C5DC5"/>
    <w:rsid w:val="005D0703"/>
    <w:rsid w:val="005D0E1E"/>
    <w:rsid w:val="005D2089"/>
    <w:rsid w:val="005D2E68"/>
    <w:rsid w:val="005D4762"/>
    <w:rsid w:val="005D4A01"/>
    <w:rsid w:val="005D5648"/>
    <w:rsid w:val="005D7514"/>
    <w:rsid w:val="005E02D5"/>
    <w:rsid w:val="005E0FC6"/>
    <w:rsid w:val="005E155E"/>
    <w:rsid w:val="005E1A7B"/>
    <w:rsid w:val="005E231F"/>
    <w:rsid w:val="005E3BFB"/>
    <w:rsid w:val="005E73FE"/>
    <w:rsid w:val="005F23C0"/>
    <w:rsid w:val="0060000A"/>
    <w:rsid w:val="006017BD"/>
    <w:rsid w:val="00602D6E"/>
    <w:rsid w:val="00605C05"/>
    <w:rsid w:val="00611351"/>
    <w:rsid w:val="0061217D"/>
    <w:rsid w:val="006129AE"/>
    <w:rsid w:val="00612D19"/>
    <w:rsid w:val="00620132"/>
    <w:rsid w:val="006236AE"/>
    <w:rsid w:val="006277A1"/>
    <w:rsid w:val="00630174"/>
    <w:rsid w:val="00633660"/>
    <w:rsid w:val="00633BD7"/>
    <w:rsid w:val="00634580"/>
    <w:rsid w:val="00634884"/>
    <w:rsid w:val="006351D9"/>
    <w:rsid w:val="00637130"/>
    <w:rsid w:val="00637F0E"/>
    <w:rsid w:val="006421AC"/>
    <w:rsid w:val="006423F2"/>
    <w:rsid w:val="006428C5"/>
    <w:rsid w:val="006477B8"/>
    <w:rsid w:val="00650234"/>
    <w:rsid w:val="0065120F"/>
    <w:rsid w:val="0066044B"/>
    <w:rsid w:val="00660AF7"/>
    <w:rsid w:val="006630AA"/>
    <w:rsid w:val="00663544"/>
    <w:rsid w:val="00664341"/>
    <w:rsid w:val="006659A1"/>
    <w:rsid w:val="00665B3F"/>
    <w:rsid w:val="00666539"/>
    <w:rsid w:val="00666911"/>
    <w:rsid w:val="00674F98"/>
    <w:rsid w:val="00675F81"/>
    <w:rsid w:val="00677A1D"/>
    <w:rsid w:val="006800F4"/>
    <w:rsid w:val="006810AA"/>
    <w:rsid w:val="0068143E"/>
    <w:rsid w:val="0068507D"/>
    <w:rsid w:val="00686921"/>
    <w:rsid w:val="00687684"/>
    <w:rsid w:val="00690438"/>
    <w:rsid w:val="00690C0A"/>
    <w:rsid w:val="00691AF2"/>
    <w:rsid w:val="00692B80"/>
    <w:rsid w:val="00692CCD"/>
    <w:rsid w:val="00692D51"/>
    <w:rsid w:val="00694DD7"/>
    <w:rsid w:val="0069636B"/>
    <w:rsid w:val="006A1762"/>
    <w:rsid w:val="006A19CE"/>
    <w:rsid w:val="006A1F0B"/>
    <w:rsid w:val="006A277A"/>
    <w:rsid w:val="006A4487"/>
    <w:rsid w:val="006A5973"/>
    <w:rsid w:val="006B03E3"/>
    <w:rsid w:val="006B04F3"/>
    <w:rsid w:val="006B37A4"/>
    <w:rsid w:val="006B4866"/>
    <w:rsid w:val="006B5E64"/>
    <w:rsid w:val="006B6513"/>
    <w:rsid w:val="006B7126"/>
    <w:rsid w:val="006C051D"/>
    <w:rsid w:val="006C17EA"/>
    <w:rsid w:val="006C2346"/>
    <w:rsid w:val="006C6273"/>
    <w:rsid w:val="006C6B86"/>
    <w:rsid w:val="006D26C7"/>
    <w:rsid w:val="006D2BDD"/>
    <w:rsid w:val="006D4553"/>
    <w:rsid w:val="006D4A35"/>
    <w:rsid w:val="006D6B44"/>
    <w:rsid w:val="006E0F71"/>
    <w:rsid w:val="006E27FE"/>
    <w:rsid w:val="006E3AAC"/>
    <w:rsid w:val="006E3BA7"/>
    <w:rsid w:val="006E3F7F"/>
    <w:rsid w:val="006E463B"/>
    <w:rsid w:val="006E5AE5"/>
    <w:rsid w:val="006E6059"/>
    <w:rsid w:val="006F2601"/>
    <w:rsid w:val="006F2ED0"/>
    <w:rsid w:val="00701110"/>
    <w:rsid w:val="00702D4D"/>
    <w:rsid w:val="00702E91"/>
    <w:rsid w:val="00702FAD"/>
    <w:rsid w:val="0070330F"/>
    <w:rsid w:val="00703624"/>
    <w:rsid w:val="007046ED"/>
    <w:rsid w:val="0070541F"/>
    <w:rsid w:val="007072A1"/>
    <w:rsid w:val="007103CF"/>
    <w:rsid w:val="0071060C"/>
    <w:rsid w:val="0071082B"/>
    <w:rsid w:val="00710BC5"/>
    <w:rsid w:val="007116DC"/>
    <w:rsid w:val="007121CA"/>
    <w:rsid w:val="0071395C"/>
    <w:rsid w:val="0072003B"/>
    <w:rsid w:val="00721059"/>
    <w:rsid w:val="007211E6"/>
    <w:rsid w:val="007219B6"/>
    <w:rsid w:val="007220C4"/>
    <w:rsid w:val="007305ED"/>
    <w:rsid w:val="007311B9"/>
    <w:rsid w:val="00731EFA"/>
    <w:rsid w:val="00732361"/>
    <w:rsid w:val="007357B9"/>
    <w:rsid w:val="00736CA5"/>
    <w:rsid w:val="00737DB9"/>
    <w:rsid w:val="00740AB9"/>
    <w:rsid w:val="00741AB9"/>
    <w:rsid w:val="00742D03"/>
    <w:rsid w:val="0074400A"/>
    <w:rsid w:val="00744216"/>
    <w:rsid w:val="007452E8"/>
    <w:rsid w:val="007462FE"/>
    <w:rsid w:val="00746990"/>
    <w:rsid w:val="00747093"/>
    <w:rsid w:val="00750D70"/>
    <w:rsid w:val="007554C4"/>
    <w:rsid w:val="007575D0"/>
    <w:rsid w:val="00762F9F"/>
    <w:rsid w:val="00764ACE"/>
    <w:rsid w:val="007662E0"/>
    <w:rsid w:val="0077576D"/>
    <w:rsid w:val="0077598E"/>
    <w:rsid w:val="00776E9C"/>
    <w:rsid w:val="00780905"/>
    <w:rsid w:val="00781098"/>
    <w:rsid w:val="007816D8"/>
    <w:rsid w:val="00784150"/>
    <w:rsid w:val="00786C5F"/>
    <w:rsid w:val="007915F7"/>
    <w:rsid w:val="00793272"/>
    <w:rsid w:val="0079499A"/>
    <w:rsid w:val="00794B64"/>
    <w:rsid w:val="00794E3E"/>
    <w:rsid w:val="0079600F"/>
    <w:rsid w:val="007967C3"/>
    <w:rsid w:val="007A0A33"/>
    <w:rsid w:val="007A10A0"/>
    <w:rsid w:val="007A18A6"/>
    <w:rsid w:val="007A444C"/>
    <w:rsid w:val="007A46C4"/>
    <w:rsid w:val="007A4DB8"/>
    <w:rsid w:val="007A5E1A"/>
    <w:rsid w:val="007B04DE"/>
    <w:rsid w:val="007B0AE6"/>
    <w:rsid w:val="007B34AB"/>
    <w:rsid w:val="007C0F0B"/>
    <w:rsid w:val="007C2B9C"/>
    <w:rsid w:val="007C3389"/>
    <w:rsid w:val="007C4876"/>
    <w:rsid w:val="007C4EEA"/>
    <w:rsid w:val="007C57BC"/>
    <w:rsid w:val="007D04CA"/>
    <w:rsid w:val="007D0A2B"/>
    <w:rsid w:val="007D12A1"/>
    <w:rsid w:val="007D40E5"/>
    <w:rsid w:val="007D4138"/>
    <w:rsid w:val="007D5A29"/>
    <w:rsid w:val="007E21FD"/>
    <w:rsid w:val="007E4178"/>
    <w:rsid w:val="007E4FF8"/>
    <w:rsid w:val="007E6443"/>
    <w:rsid w:val="007F0A77"/>
    <w:rsid w:val="007F1E37"/>
    <w:rsid w:val="007F50D3"/>
    <w:rsid w:val="007F6B1F"/>
    <w:rsid w:val="007F7AE2"/>
    <w:rsid w:val="008013F0"/>
    <w:rsid w:val="00802643"/>
    <w:rsid w:val="008029F4"/>
    <w:rsid w:val="00803926"/>
    <w:rsid w:val="00804384"/>
    <w:rsid w:val="00804897"/>
    <w:rsid w:val="00820843"/>
    <w:rsid w:val="00820CC9"/>
    <w:rsid w:val="00823C41"/>
    <w:rsid w:val="008329DB"/>
    <w:rsid w:val="00834F89"/>
    <w:rsid w:val="008361C5"/>
    <w:rsid w:val="0083628F"/>
    <w:rsid w:val="00836466"/>
    <w:rsid w:val="00837AB9"/>
    <w:rsid w:val="0084132A"/>
    <w:rsid w:val="0084180E"/>
    <w:rsid w:val="00841AB2"/>
    <w:rsid w:val="008423F7"/>
    <w:rsid w:val="00846A4E"/>
    <w:rsid w:val="00850637"/>
    <w:rsid w:val="00854D98"/>
    <w:rsid w:val="0085751E"/>
    <w:rsid w:val="00860B29"/>
    <w:rsid w:val="008622E8"/>
    <w:rsid w:val="008645EE"/>
    <w:rsid w:val="00865338"/>
    <w:rsid w:val="008678C6"/>
    <w:rsid w:val="00870144"/>
    <w:rsid w:val="0087072C"/>
    <w:rsid w:val="00871312"/>
    <w:rsid w:val="0087163C"/>
    <w:rsid w:val="0087383A"/>
    <w:rsid w:val="00873D7A"/>
    <w:rsid w:val="0087653A"/>
    <w:rsid w:val="00877942"/>
    <w:rsid w:val="00877CB3"/>
    <w:rsid w:val="008804CF"/>
    <w:rsid w:val="00882D58"/>
    <w:rsid w:val="00882F19"/>
    <w:rsid w:val="00883D35"/>
    <w:rsid w:val="00884569"/>
    <w:rsid w:val="00885EED"/>
    <w:rsid w:val="00887A51"/>
    <w:rsid w:val="0089038A"/>
    <w:rsid w:val="00890429"/>
    <w:rsid w:val="00890D9B"/>
    <w:rsid w:val="00891C6C"/>
    <w:rsid w:val="00892491"/>
    <w:rsid w:val="00893CC2"/>
    <w:rsid w:val="00893CCD"/>
    <w:rsid w:val="008964B3"/>
    <w:rsid w:val="008A33C8"/>
    <w:rsid w:val="008A36AB"/>
    <w:rsid w:val="008B1584"/>
    <w:rsid w:val="008B18BF"/>
    <w:rsid w:val="008B1CB5"/>
    <w:rsid w:val="008B4AF0"/>
    <w:rsid w:val="008B7087"/>
    <w:rsid w:val="008C2D69"/>
    <w:rsid w:val="008C4579"/>
    <w:rsid w:val="008C47CA"/>
    <w:rsid w:val="008C49C6"/>
    <w:rsid w:val="008C754C"/>
    <w:rsid w:val="008D56C9"/>
    <w:rsid w:val="008D56CA"/>
    <w:rsid w:val="008D6A54"/>
    <w:rsid w:val="008E12E2"/>
    <w:rsid w:val="008E2585"/>
    <w:rsid w:val="008E2C1C"/>
    <w:rsid w:val="008E2D7A"/>
    <w:rsid w:val="008F1B39"/>
    <w:rsid w:val="008F1F3F"/>
    <w:rsid w:val="008F3215"/>
    <w:rsid w:val="008F4A62"/>
    <w:rsid w:val="008F7256"/>
    <w:rsid w:val="0090424C"/>
    <w:rsid w:val="00905DE2"/>
    <w:rsid w:val="0090605E"/>
    <w:rsid w:val="009064CD"/>
    <w:rsid w:val="00906C74"/>
    <w:rsid w:val="009108CE"/>
    <w:rsid w:val="0091222D"/>
    <w:rsid w:val="00913304"/>
    <w:rsid w:val="0091418A"/>
    <w:rsid w:val="00915A9F"/>
    <w:rsid w:val="009229A3"/>
    <w:rsid w:val="0092609E"/>
    <w:rsid w:val="00930D58"/>
    <w:rsid w:val="00932E5E"/>
    <w:rsid w:val="00935AAA"/>
    <w:rsid w:val="00943162"/>
    <w:rsid w:val="00943250"/>
    <w:rsid w:val="009470D7"/>
    <w:rsid w:val="0095031E"/>
    <w:rsid w:val="00954297"/>
    <w:rsid w:val="00956014"/>
    <w:rsid w:val="00956DD7"/>
    <w:rsid w:val="00960007"/>
    <w:rsid w:val="00960A56"/>
    <w:rsid w:val="00963583"/>
    <w:rsid w:val="00965625"/>
    <w:rsid w:val="009665CF"/>
    <w:rsid w:val="00966EF1"/>
    <w:rsid w:val="00967223"/>
    <w:rsid w:val="009678F0"/>
    <w:rsid w:val="009679FC"/>
    <w:rsid w:val="0097384E"/>
    <w:rsid w:val="009751F7"/>
    <w:rsid w:val="00976265"/>
    <w:rsid w:val="0098168B"/>
    <w:rsid w:val="0098350E"/>
    <w:rsid w:val="009838F4"/>
    <w:rsid w:val="00985549"/>
    <w:rsid w:val="009855CF"/>
    <w:rsid w:val="00985BB1"/>
    <w:rsid w:val="00986C1C"/>
    <w:rsid w:val="00987985"/>
    <w:rsid w:val="009904B0"/>
    <w:rsid w:val="00990C12"/>
    <w:rsid w:val="00992F6E"/>
    <w:rsid w:val="00993DD3"/>
    <w:rsid w:val="0099404F"/>
    <w:rsid w:val="0099518C"/>
    <w:rsid w:val="00996FA5"/>
    <w:rsid w:val="009A0785"/>
    <w:rsid w:val="009A5983"/>
    <w:rsid w:val="009A7459"/>
    <w:rsid w:val="009B1416"/>
    <w:rsid w:val="009B21C7"/>
    <w:rsid w:val="009B2D98"/>
    <w:rsid w:val="009B5662"/>
    <w:rsid w:val="009B6B70"/>
    <w:rsid w:val="009C2211"/>
    <w:rsid w:val="009C2C50"/>
    <w:rsid w:val="009C2CCA"/>
    <w:rsid w:val="009C326E"/>
    <w:rsid w:val="009C40E8"/>
    <w:rsid w:val="009C45C5"/>
    <w:rsid w:val="009D7CBA"/>
    <w:rsid w:val="009E2F44"/>
    <w:rsid w:val="009E475B"/>
    <w:rsid w:val="009E6858"/>
    <w:rsid w:val="009E6DF3"/>
    <w:rsid w:val="009E6F8C"/>
    <w:rsid w:val="009F1857"/>
    <w:rsid w:val="009F3C8A"/>
    <w:rsid w:val="009F405F"/>
    <w:rsid w:val="009F48F6"/>
    <w:rsid w:val="009F65A3"/>
    <w:rsid w:val="00A011A2"/>
    <w:rsid w:val="00A0172C"/>
    <w:rsid w:val="00A01C56"/>
    <w:rsid w:val="00A0536E"/>
    <w:rsid w:val="00A073D3"/>
    <w:rsid w:val="00A07737"/>
    <w:rsid w:val="00A07A29"/>
    <w:rsid w:val="00A11027"/>
    <w:rsid w:val="00A1159E"/>
    <w:rsid w:val="00A11D8C"/>
    <w:rsid w:val="00A123EA"/>
    <w:rsid w:val="00A144A4"/>
    <w:rsid w:val="00A1734E"/>
    <w:rsid w:val="00A30FEE"/>
    <w:rsid w:val="00A32C50"/>
    <w:rsid w:val="00A33381"/>
    <w:rsid w:val="00A354E8"/>
    <w:rsid w:val="00A358E7"/>
    <w:rsid w:val="00A362BF"/>
    <w:rsid w:val="00A3726C"/>
    <w:rsid w:val="00A42647"/>
    <w:rsid w:val="00A427A1"/>
    <w:rsid w:val="00A4380B"/>
    <w:rsid w:val="00A44483"/>
    <w:rsid w:val="00A45BB0"/>
    <w:rsid w:val="00A510D6"/>
    <w:rsid w:val="00A515C3"/>
    <w:rsid w:val="00A51A2D"/>
    <w:rsid w:val="00A5328E"/>
    <w:rsid w:val="00A537C9"/>
    <w:rsid w:val="00A5596B"/>
    <w:rsid w:val="00A57573"/>
    <w:rsid w:val="00A617A4"/>
    <w:rsid w:val="00A63416"/>
    <w:rsid w:val="00A63C07"/>
    <w:rsid w:val="00A63D9B"/>
    <w:rsid w:val="00A704DC"/>
    <w:rsid w:val="00A71948"/>
    <w:rsid w:val="00A80BAA"/>
    <w:rsid w:val="00A80E0F"/>
    <w:rsid w:val="00A8596C"/>
    <w:rsid w:val="00A87360"/>
    <w:rsid w:val="00A87929"/>
    <w:rsid w:val="00A9088F"/>
    <w:rsid w:val="00A92F6F"/>
    <w:rsid w:val="00A93744"/>
    <w:rsid w:val="00A93DC6"/>
    <w:rsid w:val="00A9411A"/>
    <w:rsid w:val="00AA352B"/>
    <w:rsid w:val="00AA4A4B"/>
    <w:rsid w:val="00AA6682"/>
    <w:rsid w:val="00AA763D"/>
    <w:rsid w:val="00AB0408"/>
    <w:rsid w:val="00AB0613"/>
    <w:rsid w:val="00AB1104"/>
    <w:rsid w:val="00AB23EB"/>
    <w:rsid w:val="00AB3F3C"/>
    <w:rsid w:val="00AB427D"/>
    <w:rsid w:val="00AB6CBB"/>
    <w:rsid w:val="00AB7C5C"/>
    <w:rsid w:val="00AB7CBF"/>
    <w:rsid w:val="00AD0111"/>
    <w:rsid w:val="00AD089E"/>
    <w:rsid w:val="00AD0B68"/>
    <w:rsid w:val="00AD1D6B"/>
    <w:rsid w:val="00AD2B2C"/>
    <w:rsid w:val="00AD3AB0"/>
    <w:rsid w:val="00AD40C3"/>
    <w:rsid w:val="00AD42AF"/>
    <w:rsid w:val="00AD4C72"/>
    <w:rsid w:val="00AD5451"/>
    <w:rsid w:val="00AD5D51"/>
    <w:rsid w:val="00AE1947"/>
    <w:rsid w:val="00AE407F"/>
    <w:rsid w:val="00AF1A01"/>
    <w:rsid w:val="00AF1C8B"/>
    <w:rsid w:val="00AF299B"/>
    <w:rsid w:val="00AF3F77"/>
    <w:rsid w:val="00AF7E43"/>
    <w:rsid w:val="00B01ED2"/>
    <w:rsid w:val="00B02AE0"/>
    <w:rsid w:val="00B03F25"/>
    <w:rsid w:val="00B04E56"/>
    <w:rsid w:val="00B05326"/>
    <w:rsid w:val="00B12F00"/>
    <w:rsid w:val="00B14194"/>
    <w:rsid w:val="00B14545"/>
    <w:rsid w:val="00B14E60"/>
    <w:rsid w:val="00B16050"/>
    <w:rsid w:val="00B17BA2"/>
    <w:rsid w:val="00B25D37"/>
    <w:rsid w:val="00B26DC3"/>
    <w:rsid w:val="00B30B9D"/>
    <w:rsid w:val="00B32266"/>
    <w:rsid w:val="00B33AE4"/>
    <w:rsid w:val="00B44F53"/>
    <w:rsid w:val="00B4574D"/>
    <w:rsid w:val="00B468E1"/>
    <w:rsid w:val="00B46BC0"/>
    <w:rsid w:val="00B46DFB"/>
    <w:rsid w:val="00B47686"/>
    <w:rsid w:val="00B47F56"/>
    <w:rsid w:val="00B50550"/>
    <w:rsid w:val="00B50689"/>
    <w:rsid w:val="00B50CDE"/>
    <w:rsid w:val="00B5141B"/>
    <w:rsid w:val="00B54BA4"/>
    <w:rsid w:val="00B55681"/>
    <w:rsid w:val="00B57AAD"/>
    <w:rsid w:val="00B60A6F"/>
    <w:rsid w:val="00B61312"/>
    <w:rsid w:val="00B61D00"/>
    <w:rsid w:val="00B6374E"/>
    <w:rsid w:val="00B648FD"/>
    <w:rsid w:val="00B64B4C"/>
    <w:rsid w:val="00B71595"/>
    <w:rsid w:val="00B72B16"/>
    <w:rsid w:val="00B754AA"/>
    <w:rsid w:val="00B77905"/>
    <w:rsid w:val="00B80408"/>
    <w:rsid w:val="00B81397"/>
    <w:rsid w:val="00B818F4"/>
    <w:rsid w:val="00B90EAC"/>
    <w:rsid w:val="00B90FAD"/>
    <w:rsid w:val="00B91921"/>
    <w:rsid w:val="00B925DB"/>
    <w:rsid w:val="00B927BE"/>
    <w:rsid w:val="00B967FF"/>
    <w:rsid w:val="00B974B9"/>
    <w:rsid w:val="00BA0E1D"/>
    <w:rsid w:val="00BA3F6D"/>
    <w:rsid w:val="00BA4BE6"/>
    <w:rsid w:val="00BA4FC0"/>
    <w:rsid w:val="00BA61E0"/>
    <w:rsid w:val="00BA657C"/>
    <w:rsid w:val="00BA7F7D"/>
    <w:rsid w:val="00BB1C14"/>
    <w:rsid w:val="00BB2FBB"/>
    <w:rsid w:val="00BB3ACD"/>
    <w:rsid w:val="00BB6847"/>
    <w:rsid w:val="00BB7081"/>
    <w:rsid w:val="00BB7D83"/>
    <w:rsid w:val="00BB7F8F"/>
    <w:rsid w:val="00BC2EAF"/>
    <w:rsid w:val="00BC5DDC"/>
    <w:rsid w:val="00BC600F"/>
    <w:rsid w:val="00BC716A"/>
    <w:rsid w:val="00BD07DF"/>
    <w:rsid w:val="00BD15C7"/>
    <w:rsid w:val="00BD26F4"/>
    <w:rsid w:val="00BD42B7"/>
    <w:rsid w:val="00BD4533"/>
    <w:rsid w:val="00BD5DBD"/>
    <w:rsid w:val="00BD5DF6"/>
    <w:rsid w:val="00BE0041"/>
    <w:rsid w:val="00BE29CE"/>
    <w:rsid w:val="00BE3B5D"/>
    <w:rsid w:val="00BE48C9"/>
    <w:rsid w:val="00BE5FF3"/>
    <w:rsid w:val="00BE632E"/>
    <w:rsid w:val="00BE640F"/>
    <w:rsid w:val="00BE6C3C"/>
    <w:rsid w:val="00BE6D2A"/>
    <w:rsid w:val="00BE717C"/>
    <w:rsid w:val="00BF4638"/>
    <w:rsid w:val="00BF502D"/>
    <w:rsid w:val="00BF5130"/>
    <w:rsid w:val="00BF530A"/>
    <w:rsid w:val="00C00844"/>
    <w:rsid w:val="00C054C6"/>
    <w:rsid w:val="00C059D0"/>
    <w:rsid w:val="00C07551"/>
    <w:rsid w:val="00C1109F"/>
    <w:rsid w:val="00C12D65"/>
    <w:rsid w:val="00C133AB"/>
    <w:rsid w:val="00C13AD9"/>
    <w:rsid w:val="00C14548"/>
    <w:rsid w:val="00C1697F"/>
    <w:rsid w:val="00C20B56"/>
    <w:rsid w:val="00C22214"/>
    <w:rsid w:val="00C26F72"/>
    <w:rsid w:val="00C30091"/>
    <w:rsid w:val="00C309A7"/>
    <w:rsid w:val="00C335AB"/>
    <w:rsid w:val="00C407AB"/>
    <w:rsid w:val="00C41EB2"/>
    <w:rsid w:val="00C42152"/>
    <w:rsid w:val="00C4348C"/>
    <w:rsid w:val="00C4486E"/>
    <w:rsid w:val="00C45B99"/>
    <w:rsid w:val="00C52B7B"/>
    <w:rsid w:val="00C547CD"/>
    <w:rsid w:val="00C54E43"/>
    <w:rsid w:val="00C56726"/>
    <w:rsid w:val="00C570FF"/>
    <w:rsid w:val="00C57CEA"/>
    <w:rsid w:val="00C60FEC"/>
    <w:rsid w:val="00C62B1C"/>
    <w:rsid w:val="00C6435F"/>
    <w:rsid w:val="00C6574E"/>
    <w:rsid w:val="00C663D1"/>
    <w:rsid w:val="00C7014D"/>
    <w:rsid w:val="00C707FD"/>
    <w:rsid w:val="00C72BB2"/>
    <w:rsid w:val="00C74479"/>
    <w:rsid w:val="00C76812"/>
    <w:rsid w:val="00C76DEB"/>
    <w:rsid w:val="00C777E0"/>
    <w:rsid w:val="00C81159"/>
    <w:rsid w:val="00C811D8"/>
    <w:rsid w:val="00C816C6"/>
    <w:rsid w:val="00C863A7"/>
    <w:rsid w:val="00C912F4"/>
    <w:rsid w:val="00C9156F"/>
    <w:rsid w:val="00C955F3"/>
    <w:rsid w:val="00C9581A"/>
    <w:rsid w:val="00C96D3F"/>
    <w:rsid w:val="00C97D29"/>
    <w:rsid w:val="00CA5C24"/>
    <w:rsid w:val="00CA7EE1"/>
    <w:rsid w:val="00CB0550"/>
    <w:rsid w:val="00CB23DE"/>
    <w:rsid w:val="00CB4F62"/>
    <w:rsid w:val="00CB6813"/>
    <w:rsid w:val="00CB7633"/>
    <w:rsid w:val="00CC1927"/>
    <w:rsid w:val="00CC1A9F"/>
    <w:rsid w:val="00CE5513"/>
    <w:rsid w:val="00CF3DD5"/>
    <w:rsid w:val="00CF607B"/>
    <w:rsid w:val="00CF6A55"/>
    <w:rsid w:val="00CF6DC6"/>
    <w:rsid w:val="00CF6DCF"/>
    <w:rsid w:val="00CF7518"/>
    <w:rsid w:val="00D01DDB"/>
    <w:rsid w:val="00D03032"/>
    <w:rsid w:val="00D078BE"/>
    <w:rsid w:val="00D10AC8"/>
    <w:rsid w:val="00D13F8A"/>
    <w:rsid w:val="00D16F60"/>
    <w:rsid w:val="00D22981"/>
    <w:rsid w:val="00D23C5E"/>
    <w:rsid w:val="00D30AB8"/>
    <w:rsid w:val="00D3349B"/>
    <w:rsid w:val="00D35660"/>
    <w:rsid w:val="00D36114"/>
    <w:rsid w:val="00D36FC5"/>
    <w:rsid w:val="00D3759C"/>
    <w:rsid w:val="00D424A8"/>
    <w:rsid w:val="00D51EB2"/>
    <w:rsid w:val="00D52BF0"/>
    <w:rsid w:val="00D53496"/>
    <w:rsid w:val="00D5480C"/>
    <w:rsid w:val="00D570E7"/>
    <w:rsid w:val="00D6036F"/>
    <w:rsid w:val="00D62877"/>
    <w:rsid w:val="00D63760"/>
    <w:rsid w:val="00D64EC8"/>
    <w:rsid w:val="00D6703F"/>
    <w:rsid w:val="00D7012D"/>
    <w:rsid w:val="00D71532"/>
    <w:rsid w:val="00D734EB"/>
    <w:rsid w:val="00D77B60"/>
    <w:rsid w:val="00D808C2"/>
    <w:rsid w:val="00D817D8"/>
    <w:rsid w:val="00D82713"/>
    <w:rsid w:val="00D86F00"/>
    <w:rsid w:val="00D9088E"/>
    <w:rsid w:val="00D908D8"/>
    <w:rsid w:val="00D918D5"/>
    <w:rsid w:val="00D94C8E"/>
    <w:rsid w:val="00DA147A"/>
    <w:rsid w:val="00DA1AD2"/>
    <w:rsid w:val="00DA4C19"/>
    <w:rsid w:val="00DB1372"/>
    <w:rsid w:val="00DB192C"/>
    <w:rsid w:val="00DB1CF3"/>
    <w:rsid w:val="00DB5425"/>
    <w:rsid w:val="00DB72A6"/>
    <w:rsid w:val="00DC112B"/>
    <w:rsid w:val="00DC1F14"/>
    <w:rsid w:val="00DC33AF"/>
    <w:rsid w:val="00DC5E32"/>
    <w:rsid w:val="00DC6611"/>
    <w:rsid w:val="00DC68BD"/>
    <w:rsid w:val="00DC6912"/>
    <w:rsid w:val="00DC770D"/>
    <w:rsid w:val="00DD1E40"/>
    <w:rsid w:val="00DD2A83"/>
    <w:rsid w:val="00DD34B3"/>
    <w:rsid w:val="00DD5AFB"/>
    <w:rsid w:val="00DD7D35"/>
    <w:rsid w:val="00DE1344"/>
    <w:rsid w:val="00DE4F58"/>
    <w:rsid w:val="00DE5D6E"/>
    <w:rsid w:val="00DE5E7B"/>
    <w:rsid w:val="00DE7098"/>
    <w:rsid w:val="00DF0700"/>
    <w:rsid w:val="00DF1CFD"/>
    <w:rsid w:val="00DF2331"/>
    <w:rsid w:val="00DF5BFE"/>
    <w:rsid w:val="00E02144"/>
    <w:rsid w:val="00E0523F"/>
    <w:rsid w:val="00E055F8"/>
    <w:rsid w:val="00E06201"/>
    <w:rsid w:val="00E11B27"/>
    <w:rsid w:val="00E120A1"/>
    <w:rsid w:val="00E132AF"/>
    <w:rsid w:val="00E13826"/>
    <w:rsid w:val="00E21FFD"/>
    <w:rsid w:val="00E23504"/>
    <w:rsid w:val="00E23E50"/>
    <w:rsid w:val="00E26213"/>
    <w:rsid w:val="00E274DF"/>
    <w:rsid w:val="00E34D66"/>
    <w:rsid w:val="00E362C4"/>
    <w:rsid w:val="00E435EC"/>
    <w:rsid w:val="00E436F7"/>
    <w:rsid w:val="00E44F46"/>
    <w:rsid w:val="00E46666"/>
    <w:rsid w:val="00E46CC2"/>
    <w:rsid w:val="00E47308"/>
    <w:rsid w:val="00E47E0C"/>
    <w:rsid w:val="00E51813"/>
    <w:rsid w:val="00E52C0B"/>
    <w:rsid w:val="00E53D3F"/>
    <w:rsid w:val="00E5579B"/>
    <w:rsid w:val="00E56620"/>
    <w:rsid w:val="00E57FF4"/>
    <w:rsid w:val="00E64A16"/>
    <w:rsid w:val="00E64F34"/>
    <w:rsid w:val="00E6582B"/>
    <w:rsid w:val="00E679D1"/>
    <w:rsid w:val="00E67C1C"/>
    <w:rsid w:val="00E85209"/>
    <w:rsid w:val="00E85566"/>
    <w:rsid w:val="00E873DF"/>
    <w:rsid w:val="00E91D0E"/>
    <w:rsid w:val="00E91F11"/>
    <w:rsid w:val="00E91FE3"/>
    <w:rsid w:val="00E9447A"/>
    <w:rsid w:val="00E9686E"/>
    <w:rsid w:val="00E9706D"/>
    <w:rsid w:val="00EA0C9D"/>
    <w:rsid w:val="00EA26B9"/>
    <w:rsid w:val="00EA3AF4"/>
    <w:rsid w:val="00EA3C8D"/>
    <w:rsid w:val="00EA4D6B"/>
    <w:rsid w:val="00EA72A7"/>
    <w:rsid w:val="00EA7392"/>
    <w:rsid w:val="00EB5CF5"/>
    <w:rsid w:val="00EB7D8B"/>
    <w:rsid w:val="00EC29D9"/>
    <w:rsid w:val="00EC3844"/>
    <w:rsid w:val="00EC7232"/>
    <w:rsid w:val="00EC7A03"/>
    <w:rsid w:val="00ED1B30"/>
    <w:rsid w:val="00ED2D1D"/>
    <w:rsid w:val="00EE0D27"/>
    <w:rsid w:val="00EE1707"/>
    <w:rsid w:val="00EE3462"/>
    <w:rsid w:val="00EE3C64"/>
    <w:rsid w:val="00EE4B01"/>
    <w:rsid w:val="00EF01BD"/>
    <w:rsid w:val="00EF141D"/>
    <w:rsid w:val="00EF3F0B"/>
    <w:rsid w:val="00EF5583"/>
    <w:rsid w:val="00EF6C3C"/>
    <w:rsid w:val="00F012DF"/>
    <w:rsid w:val="00F0289D"/>
    <w:rsid w:val="00F02AEC"/>
    <w:rsid w:val="00F07572"/>
    <w:rsid w:val="00F11846"/>
    <w:rsid w:val="00F148DC"/>
    <w:rsid w:val="00F157FC"/>
    <w:rsid w:val="00F215A8"/>
    <w:rsid w:val="00F22930"/>
    <w:rsid w:val="00F2371F"/>
    <w:rsid w:val="00F30AF3"/>
    <w:rsid w:val="00F35F5F"/>
    <w:rsid w:val="00F37774"/>
    <w:rsid w:val="00F429BE"/>
    <w:rsid w:val="00F43CD1"/>
    <w:rsid w:val="00F4418C"/>
    <w:rsid w:val="00F45AE0"/>
    <w:rsid w:val="00F50372"/>
    <w:rsid w:val="00F50F6E"/>
    <w:rsid w:val="00F60CF2"/>
    <w:rsid w:val="00F62C72"/>
    <w:rsid w:val="00F657B4"/>
    <w:rsid w:val="00F70D7B"/>
    <w:rsid w:val="00F71833"/>
    <w:rsid w:val="00F720CA"/>
    <w:rsid w:val="00F72725"/>
    <w:rsid w:val="00F7649F"/>
    <w:rsid w:val="00F8083B"/>
    <w:rsid w:val="00F82B89"/>
    <w:rsid w:val="00F82D1B"/>
    <w:rsid w:val="00F8342E"/>
    <w:rsid w:val="00F8448B"/>
    <w:rsid w:val="00F8568E"/>
    <w:rsid w:val="00F865A7"/>
    <w:rsid w:val="00F87C72"/>
    <w:rsid w:val="00F9053B"/>
    <w:rsid w:val="00FA0754"/>
    <w:rsid w:val="00FA0C07"/>
    <w:rsid w:val="00FA1BC9"/>
    <w:rsid w:val="00FA49C3"/>
    <w:rsid w:val="00FB236E"/>
    <w:rsid w:val="00FB3F7B"/>
    <w:rsid w:val="00FB4C2A"/>
    <w:rsid w:val="00FC2107"/>
    <w:rsid w:val="00FC48FE"/>
    <w:rsid w:val="00FC5ACE"/>
    <w:rsid w:val="00FC6F56"/>
    <w:rsid w:val="00FD0E10"/>
    <w:rsid w:val="00FD2904"/>
    <w:rsid w:val="00FD4804"/>
    <w:rsid w:val="00FE087C"/>
    <w:rsid w:val="00FE79A0"/>
    <w:rsid w:val="00FF0939"/>
    <w:rsid w:val="00FF134A"/>
    <w:rsid w:val="00FF2013"/>
    <w:rsid w:val="00FF301D"/>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4C024"/>
  <w15:chartTrackingRefBased/>
  <w15:docId w15:val="{CA01048D-5EBC-44E2-8E7D-3C868E080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425B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425B23"/>
    <w:rPr>
      <w:rFonts w:asciiTheme="majorHAnsi" w:eastAsiaTheme="majorEastAsia" w:hAnsiTheme="majorHAnsi" w:cstheme="majorBidi"/>
      <w:color w:val="2F5496" w:themeColor="accent1" w:themeShade="BF"/>
      <w:sz w:val="32"/>
      <w:szCs w:val="32"/>
    </w:rPr>
  </w:style>
  <w:style w:type="paragraph" w:customStyle="1" w:styleId="Default">
    <w:name w:val="Default"/>
    <w:rsid w:val="005C53B3"/>
    <w:pPr>
      <w:autoSpaceDE w:val="0"/>
      <w:autoSpaceDN w:val="0"/>
      <w:adjustRightInd w:val="0"/>
      <w:spacing w:after="0" w:line="240" w:lineRule="auto"/>
    </w:pPr>
    <w:rPr>
      <w:rFonts w:ascii="Cambria" w:hAnsi="Cambria" w:cs="Cambria"/>
      <w:color w:val="000000"/>
      <w:sz w:val="24"/>
      <w:szCs w:val="24"/>
    </w:rPr>
  </w:style>
  <w:style w:type="paragraph" w:customStyle="1" w:styleId="Tabletext0">
    <w:name w:val="Table text"/>
    <w:basedOn w:val="Normal"/>
    <w:link w:val="TabletextChar"/>
    <w:qFormat/>
    <w:rsid w:val="00E13826"/>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E13826"/>
    <w:rPr>
      <w:rFonts w:ascii="Cambria" w:eastAsia="Times New Roman" w:hAnsi="Cambria" w:cs="Times New Roman"/>
      <w:snapToGrid w:val="0"/>
      <w:kern w:val="16"/>
      <w:szCs w:val="24"/>
    </w:rPr>
  </w:style>
  <w:style w:type="character" w:styleId="Mention">
    <w:name w:val="Mention"/>
    <w:basedOn w:val="DefaultParagraphFont"/>
    <w:uiPriority w:val="99"/>
    <w:unhideWhenUsed/>
    <w:rsid w:val="005F23C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image" Target="media/image4.png"/><Relationship Id="rId39" Type="http://schemas.openxmlformats.org/officeDocument/2006/relationships/image" Target="media/image12.png"/><Relationship Id="rId21" Type="http://schemas.openxmlformats.org/officeDocument/2006/relationships/hyperlink" Target="https://www.tga.gov.au/resources/artg/464326" TargetMode="External"/><Relationship Id="rId34" Type="http://schemas.microsoft.com/office/2007/relationships/hdphoto" Target="media/hdphoto4.wdp"/><Relationship Id="rId42" Type="http://schemas.microsoft.com/office/2007/relationships/hdphoto" Target="media/hdphoto7.wdp"/><Relationship Id="rId47" Type="http://schemas.openxmlformats.org/officeDocument/2006/relationships/hyperlink" Target="https://www.tga.gov.au/resources/guidance/submitting-certified-product-details-cpd-biological-prescription-medicines" TargetMode="External"/><Relationship Id="rId50" Type="http://schemas.openxmlformats.org/officeDocument/2006/relationships/header" Target="header4.xm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microsoft.com/office/2007/relationships/hdphoto" Target="media/hdphoto2.wdp"/><Relationship Id="rId11" Type="http://schemas.openxmlformats.org/officeDocument/2006/relationships/header" Target="header1.xml"/><Relationship Id="rId24" Type="http://schemas.openxmlformats.org/officeDocument/2006/relationships/hyperlink" Target="https://www.tga.gov.au/obstetric-drug-information-services" TargetMode="External"/><Relationship Id="rId32" Type="http://schemas.openxmlformats.org/officeDocument/2006/relationships/image" Target="media/image7.png"/><Relationship Id="rId37" Type="http://schemas.microsoft.com/office/2007/relationships/hdphoto" Target="media/hdphoto5.wdp"/><Relationship Id="rId40" Type="http://schemas.microsoft.com/office/2007/relationships/hdphoto" Target="media/hdphoto6.wdp"/><Relationship Id="rId45" Type="http://schemas.microsoft.com/office/2007/relationships/hdphoto" Target="media/hdphoto8.wdp"/><Relationship Id="rId53" Type="http://schemas.openxmlformats.org/officeDocument/2006/relationships/hyperlink" Target="https://www.tga.gov.au" TargetMode="External"/><Relationship Id="rId5" Type="http://schemas.openxmlformats.org/officeDocument/2006/relationships/numbering" Target="numbering.xml"/><Relationship Id="rId19" Type="http://schemas.openxmlformats.org/officeDocument/2006/relationships/hyperlink" Target="mailto:tga.copyright@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black-triangle-scheme" TargetMode="External"/><Relationship Id="rId27" Type="http://schemas.microsoft.com/office/2007/relationships/hdphoto" Target="media/hdphoto1.wdp"/><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hyperlink" Target="https://www.tga.gov.au/resources/resources/forms/certified-product-details-cpd-biological-prescription-medicine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6.png"/><Relationship Id="rId20" Type="http://schemas.openxmlformats.org/officeDocument/2006/relationships/hyperlink" Target="https://www.tga.gov.au/resources/artg/464325" TargetMode="External"/><Relationship Id="rId41" Type="http://schemas.openxmlformats.org/officeDocument/2006/relationships/image" Target="media/image13.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tga.gov.au/products/medicines/find-information-about-medicine/prescribing-medicines-pregnancy-database"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hyperlink" Target="https://www.ebs.tga.gov.au/" TargetMode="External"/><Relationship Id="rId57" Type="http://schemas.openxmlformats.org/officeDocument/2006/relationships/theme" Target="theme/theme1.xml"/><Relationship Id="rId10" Type="http://schemas.openxmlformats.org/officeDocument/2006/relationships/endnotes" Target="endnotes.xml"/><Relationship Id="rId31" Type="http://schemas.microsoft.com/office/2007/relationships/hdphoto" Target="media/hdphoto3.wdp"/><Relationship Id="rId44" Type="http://schemas.openxmlformats.org/officeDocument/2006/relationships/image" Target="media/image15.png"/><Relationship Id="rId52"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ma.europa.eu/en/ich-s9-non-clinical-evaluation-anticancer-pharmaceuticals-scientific-guideline" TargetMode="External"/><Relationship Id="rId2" Type="http://schemas.openxmlformats.org/officeDocument/2006/relationships/hyperlink" Target="https://myeloma.org.au/wp-content/uploads/2022/09/MSAG_Myeloma-Clinical-Practice-Guideline-2022_Final-1.pdf" TargetMode="External"/><Relationship Id="rId1" Type="http://schemas.openxmlformats.org/officeDocument/2006/relationships/hyperlink" Target="https://www.aihw.gov.au/reports/cancer/cancer-data-in-australia/contents/blood-cancer-incidence-and-survival-by-histology" TargetMode="External"/><Relationship Id="rId4" Type="http://schemas.openxmlformats.org/officeDocument/2006/relationships/hyperlink" Target="https://www.ema.europa.eu/en/ich-s6-r1-preclinical-safety-evaluation-biotechnology-derived-pharmaceuticals-scientific-guidelin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erson xmlns="53bfddcd-ed87-4e2f-848a-2186ccceec32">
      <UserInfo>
        <DisplayName/>
        <AccountId xsi:nil="true"/>
        <AccountType/>
      </UserInfo>
    </Pers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0F9BCA22A44543A836D48EB5D07BAB" ma:contentTypeVersion="10" ma:contentTypeDescription="Create a new document." ma:contentTypeScope="" ma:versionID="48c8ee771c49ba6eb2c1ed13fd99bfb5">
  <xsd:schema xmlns:xsd="http://www.w3.org/2001/XMLSchema" xmlns:xs="http://www.w3.org/2001/XMLSchema" xmlns:p="http://schemas.microsoft.com/office/2006/metadata/properties" xmlns:ns2="9ab13f10-ea91-4ae4-b716-2fc6226f5bbf" xmlns:ns3="53bfddcd-ed87-4e2f-848a-2186ccceec32" targetNamespace="http://schemas.microsoft.com/office/2006/metadata/properties" ma:root="true" ma:fieldsID="f0825cee56ddf195ed6d1b902fe21878" ns2:_="" ns3:_="">
    <xsd:import namespace="9ab13f10-ea91-4ae4-b716-2fc6226f5bbf"/>
    <xsd:import namespace="53bfddcd-ed87-4e2f-848a-2186ccceec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Pers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13f10-ea91-4ae4-b716-2fc6226f5b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bfddcd-ed87-4e2f-848a-2186ccceec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1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AD51C5-296A-4222-BFE0-3002EBC13508}">
  <ds:schemaRefs>
    <ds:schemaRef ds:uri="http://schemas.microsoft.com/sharepoint/v3/contenttype/forms"/>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7AF769B9-AD8F-48EC-9A43-9778499B1E58}">
  <ds:schemaRefs>
    <ds:schemaRef ds:uri="http://schemas.microsoft.com/office/2006/metadata/properties"/>
    <ds:schemaRef ds:uri="http://schemas.microsoft.com/office/infopath/2007/PartnerControls"/>
    <ds:schemaRef ds:uri="53bfddcd-ed87-4e2f-848a-2186ccceec32"/>
  </ds:schemaRefs>
</ds:datastoreItem>
</file>

<file path=customXml/itemProps4.xml><?xml version="1.0" encoding="utf-8"?>
<ds:datastoreItem xmlns:ds="http://schemas.openxmlformats.org/officeDocument/2006/customXml" ds:itemID="{6D614FF9-33A5-4194-A7E3-13DF8FE74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b13f10-ea91-4ae4-b716-2fc6226f5bbf"/>
    <ds:schemaRef ds:uri="53bfddcd-ed87-4e2f-848a-2186cccee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df3522f-8c42-44b0-bea3-7f162a60ea50}" enabled="1" method="Standar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Normal.dotm</Template>
  <TotalTime>90</TotalTime>
  <Pages>39</Pages>
  <Words>12383</Words>
  <Characters>67651</Characters>
  <Application>Microsoft Office Word</Application>
  <DocSecurity>0</DocSecurity>
  <Lines>1751</Lines>
  <Paragraphs>1024</Paragraphs>
  <ScaleCrop>false</ScaleCrop>
  <HeadingPairs>
    <vt:vector size="2" baseType="variant">
      <vt:variant>
        <vt:lpstr>Title</vt:lpstr>
      </vt:variant>
      <vt:variant>
        <vt:i4>1</vt:i4>
      </vt:variant>
    </vt:vector>
  </HeadingPairs>
  <TitlesOfParts>
    <vt:vector size="1" baseType="lpstr">
      <vt:lpstr>Australian public assessment report for Blenrep</vt:lpstr>
    </vt:vector>
  </TitlesOfParts>
  <Company>Department of Healt, Disability and Ageing</Company>
  <LinksUpToDate>false</LinksUpToDate>
  <CharactersWithSpaces>79194</CharactersWithSpaces>
  <SharedDoc>false</SharedDoc>
  <HLinks>
    <vt:vector size="300" baseType="variant">
      <vt:variant>
        <vt:i4>3473445</vt:i4>
      </vt:variant>
      <vt:variant>
        <vt:i4>360</vt:i4>
      </vt:variant>
      <vt:variant>
        <vt:i4>0</vt:i4>
      </vt:variant>
      <vt:variant>
        <vt:i4>5</vt:i4>
      </vt:variant>
      <vt:variant>
        <vt:lpwstr>https://www.tga.gov.au/</vt:lpwstr>
      </vt:variant>
      <vt:variant>
        <vt:lpwstr/>
      </vt:variant>
      <vt:variant>
        <vt:i4>5242926</vt:i4>
      </vt:variant>
      <vt:variant>
        <vt:i4>357</vt:i4>
      </vt:variant>
      <vt:variant>
        <vt:i4>0</vt:i4>
      </vt:variant>
      <vt:variant>
        <vt:i4>5</vt:i4>
      </vt:variant>
      <vt:variant>
        <vt:lpwstr>mailto:info@tga.gov.au</vt:lpwstr>
      </vt:variant>
      <vt:variant>
        <vt:lpwstr/>
      </vt:variant>
      <vt:variant>
        <vt:i4>7929907</vt:i4>
      </vt:variant>
      <vt:variant>
        <vt:i4>354</vt:i4>
      </vt:variant>
      <vt:variant>
        <vt:i4>0</vt:i4>
      </vt:variant>
      <vt:variant>
        <vt:i4>5</vt:i4>
      </vt:variant>
      <vt:variant>
        <vt:lpwstr>https://www.ebs.tga.gov.au/</vt:lpwstr>
      </vt:variant>
      <vt:variant>
        <vt:lpwstr/>
      </vt:variant>
      <vt:variant>
        <vt:i4>28</vt:i4>
      </vt:variant>
      <vt:variant>
        <vt:i4>348</vt:i4>
      </vt:variant>
      <vt:variant>
        <vt:i4>0</vt:i4>
      </vt:variant>
      <vt:variant>
        <vt:i4>5</vt:i4>
      </vt:variant>
      <vt:variant>
        <vt:lpwstr>https://www.tga.gov.au/resources/resources/forms/certified-product-details-cpd-biological-prescription-medicines</vt:lpwstr>
      </vt:variant>
      <vt:variant>
        <vt:lpwstr/>
      </vt:variant>
      <vt:variant>
        <vt:i4>4325462</vt:i4>
      </vt:variant>
      <vt:variant>
        <vt:i4>345</vt:i4>
      </vt:variant>
      <vt:variant>
        <vt:i4>0</vt:i4>
      </vt:variant>
      <vt:variant>
        <vt:i4>5</vt:i4>
      </vt:variant>
      <vt:variant>
        <vt:lpwstr>https://www.tga.gov.au/resources/guidance/submitting-certified-product-details-cpd-biological-prescription-medicines</vt:lpwstr>
      </vt:variant>
      <vt:variant>
        <vt:lpwstr/>
      </vt:variant>
      <vt:variant>
        <vt:i4>1835097</vt:i4>
      </vt:variant>
      <vt:variant>
        <vt:i4>246</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3670063</vt:i4>
      </vt:variant>
      <vt:variant>
        <vt:i4>204</vt:i4>
      </vt:variant>
      <vt:variant>
        <vt:i4>0</vt:i4>
      </vt:variant>
      <vt:variant>
        <vt:i4>5</vt:i4>
      </vt:variant>
      <vt:variant>
        <vt:lpwstr>https://www.tga.gov.au/obstetric-drug-information-services</vt:lpwstr>
      </vt:variant>
      <vt:variant>
        <vt:lpwstr/>
      </vt:variant>
      <vt:variant>
        <vt:i4>2949173</vt:i4>
      </vt:variant>
      <vt:variant>
        <vt:i4>201</vt:i4>
      </vt:variant>
      <vt:variant>
        <vt:i4>0</vt:i4>
      </vt:variant>
      <vt:variant>
        <vt:i4>5</vt:i4>
      </vt:variant>
      <vt:variant>
        <vt:lpwstr>https://www.tga.gov.au/products/medicines/find-information-about-medicine/prescribing-medicines-pregnancy-database</vt:lpwstr>
      </vt:variant>
      <vt:variant>
        <vt:lpwstr/>
      </vt:variant>
      <vt:variant>
        <vt:i4>786511</vt:i4>
      </vt:variant>
      <vt:variant>
        <vt:i4>198</vt:i4>
      </vt:variant>
      <vt:variant>
        <vt:i4>0</vt:i4>
      </vt:variant>
      <vt:variant>
        <vt:i4>5</vt:i4>
      </vt:variant>
      <vt:variant>
        <vt:lpwstr>https://www.tga.gov.au/black-triangle-scheme</vt:lpwstr>
      </vt:variant>
      <vt:variant>
        <vt:lpwstr/>
      </vt:variant>
      <vt:variant>
        <vt:i4>5767199</vt:i4>
      </vt:variant>
      <vt:variant>
        <vt:i4>195</vt:i4>
      </vt:variant>
      <vt:variant>
        <vt:i4>0</vt:i4>
      </vt:variant>
      <vt:variant>
        <vt:i4>5</vt:i4>
      </vt:variant>
      <vt:variant>
        <vt:lpwstr>https://www.tga.gov.au/resources/artg/464326</vt:lpwstr>
      </vt:variant>
      <vt:variant>
        <vt:lpwstr/>
      </vt:variant>
      <vt:variant>
        <vt:i4>5963807</vt:i4>
      </vt:variant>
      <vt:variant>
        <vt:i4>192</vt:i4>
      </vt:variant>
      <vt:variant>
        <vt:i4>0</vt:i4>
      </vt:variant>
      <vt:variant>
        <vt:i4>5</vt:i4>
      </vt:variant>
      <vt:variant>
        <vt:lpwstr>https://www.tga.gov.au/resources/artg/464325</vt:lpwstr>
      </vt:variant>
      <vt:variant>
        <vt:lpwstr/>
      </vt:variant>
      <vt:variant>
        <vt:i4>1114161</vt:i4>
      </vt:variant>
      <vt:variant>
        <vt:i4>176</vt:i4>
      </vt:variant>
      <vt:variant>
        <vt:i4>0</vt:i4>
      </vt:variant>
      <vt:variant>
        <vt:i4>5</vt:i4>
      </vt:variant>
      <vt:variant>
        <vt:lpwstr/>
      </vt:variant>
      <vt:variant>
        <vt:lpwstr>_Toc225507669</vt:lpwstr>
      </vt:variant>
      <vt:variant>
        <vt:i4>1114161</vt:i4>
      </vt:variant>
      <vt:variant>
        <vt:i4>170</vt:i4>
      </vt:variant>
      <vt:variant>
        <vt:i4>0</vt:i4>
      </vt:variant>
      <vt:variant>
        <vt:i4>5</vt:i4>
      </vt:variant>
      <vt:variant>
        <vt:lpwstr/>
      </vt:variant>
      <vt:variant>
        <vt:lpwstr>_Toc225507668</vt:lpwstr>
      </vt:variant>
      <vt:variant>
        <vt:i4>1114161</vt:i4>
      </vt:variant>
      <vt:variant>
        <vt:i4>164</vt:i4>
      </vt:variant>
      <vt:variant>
        <vt:i4>0</vt:i4>
      </vt:variant>
      <vt:variant>
        <vt:i4>5</vt:i4>
      </vt:variant>
      <vt:variant>
        <vt:lpwstr/>
      </vt:variant>
      <vt:variant>
        <vt:lpwstr>_Toc225507667</vt:lpwstr>
      </vt:variant>
      <vt:variant>
        <vt:i4>1114161</vt:i4>
      </vt:variant>
      <vt:variant>
        <vt:i4>158</vt:i4>
      </vt:variant>
      <vt:variant>
        <vt:i4>0</vt:i4>
      </vt:variant>
      <vt:variant>
        <vt:i4>5</vt:i4>
      </vt:variant>
      <vt:variant>
        <vt:lpwstr/>
      </vt:variant>
      <vt:variant>
        <vt:lpwstr>_Toc225507666</vt:lpwstr>
      </vt:variant>
      <vt:variant>
        <vt:i4>1114161</vt:i4>
      </vt:variant>
      <vt:variant>
        <vt:i4>152</vt:i4>
      </vt:variant>
      <vt:variant>
        <vt:i4>0</vt:i4>
      </vt:variant>
      <vt:variant>
        <vt:i4>5</vt:i4>
      </vt:variant>
      <vt:variant>
        <vt:lpwstr/>
      </vt:variant>
      <vt:variant>
        <vt:lpwstr>_Toc225507665</vt:lpwstr>
      </vt:variant>
      <vt:variant>
        <vt:i4>1114161</vt:i4>
      </vt:variant>
      <vt:variant>
        <vt:i4>146</vt:i4>
      </vt:variant>
      <vt:variant>
        <vt:i4>0</vt:i4>
      </vt:variant>
      <vt:variant>
        <vt:i4>5</vt:i4>
      </vt:variant>
      <vt:variant>
        <vt:lpwstr/>
      </vt:variant>
      <vt:variant>
        <vt:lpwstr>_Toc225507664</vt:lpwstr>
      </vt:variant>
      <vt:variant>
        <vt:i4>1114161</vt:i4>
      </vt:variant>
      <vt:variant>
        <vt:i4>140</vt:i4>
      </vt:variant>
      <vt:variant>
        <vt:i4>0</vt:i4>
      </vt:variant>
      <vt:variant>
        <vt:i4>5</vt:i4>
      </vt:variant>
      <vt:variant>
        <vt:lpwstr/>
      </vt:variant>
      <vt:variant>
        <vt:lpwstr>_Toc225507663</vt:lpwstr>
      </vt:variant>
      <vt:variant>
        <vt:i4>1114161</vt:i4>
      </vt:variant>
      <vt:variant>
        <vt:i4>134</vt:i4>
      </vt:variant>
      <vt:variant>
        <vt:i4>0</vt:i4>
      </vt:variant>
      <vt:variant>
        <vt:i4>5</vt:i4>
      </vt:variant>
      <vt:variant>
        <vt:lpwstr/>
      </vt:variant>
      <vt:variant>
        <vt:lpwstr>_Toc225507662</vt:lpwstr>
      </vt:variant>
      <vt:variant>
        <vt:i4>1114161</vt:i4>
      </vt:variant>
      <vt:variant>
        <vt:i4>128</vt:i4>
      </vt:variant>
      <vt:variant>
        <vt:i4>0</vt:i4>
      </vt:variant>
      <vt:variant>
        <vt:i4>5</vt:i4>
      </vt:variant>
      <vt:variant>
        <vt:lpwstr/>
      </vt:variant>
      <vt:variant>
        <vt:lpwstr>_Toc225507661</vt:lpwstr>
      </vt:variant>
      <vt:variant>
        <vt:i4>1114161</vt:i4>
      </vt:variant>
      <vt:variant>
        <vt:i4>122</vt:i4>
      </vt:variant>
      <vt:variant>
        <vt:i4>0</vt:i4>
      </vt:variant>
      <vt:variant>
        <vt:i4>5</vt:i4>
      </vt:variant>
      <vt:variant>
        <vt:lpwstr/>
      </vt:variant>
      <vt:variant>
        <vt:lpwstr>_Toc225507660</vt:lpwstr>
      </vt:variant>
      <vt:variant>
        <vt:i4>1179697</vt:i4>
      </vt:variant>
      <vt:variant>
        <vt:i4>116</vt:i4>
      </vt:variant>
      <vt:variant>
        <vt:i4>0</vt:i4>
      </vt:variant>
      <vt:variant>
        <vt:i4>5</vt:i4>
      </vt:variant>
      <vt:variant>
        <vt:lpwstr/>
      </vt:variant>
      <vt:variant>
        <vt:lpwstr>_Toc225507659</vt:lpwstr>
      </vt:variant>
      <vt:variant>
        <vt:i4>1179697</vt:i4>
      </vt:variant>
      <vt:variant>
        <vt:i4>110</vt:i4>
      </vt:variant>
      <vt:variant>
        <vt:i4>0</vt:i4>
      </vt:variant>
      <vt:variant>
        <vt:i4>5</vt:i4>
      </vt:variant>
      <vt:variant>
        <vt:lpwstr/>
      </vt:variant>
      <vt:variant>
        <vt:lpwstr>_Toc225507658</vt:lpwstr>
      </vt:variant>
      <vt:variant>
        <vt:i4>1179697</vt:i4>
      </vt:variant>
      <vt:variant>
        <vt:i4>104</vt:i4>
      </vt:variant>
      <vt:variant>
        <vt:i4>0</vt:i4>
      </vt:variant>
      <vt:variant>
        <vt:i4>5</vt:i4>
      </vt:variant>
      <vt:variant>
        <vt:lpwstr/>
      </vt:variant>
      <vt:variant>
        <vt:lpwstr>_Toc225507657</vt:lpwstr>
      </vt:variant>
      <vt:variant>
        <vt:i4>1179697</vt:i4>
      </vt:variant>
      <vt:variant>
        <vt:i4>98</vt:i4>
      </vt:variant>
      <vt:variant>
        <vt:i4>0</vt:i4>
      </vt:variant>
      <vt:variant>
        <vt:i4>5</vt:i4>
      </vt:variant>
      <vt:variant>
        <vt:lpwstr/>
      </vt:variant>
      <vt:variant>
        <vt:lpwstr>_Toc225507656</vt:lpwstr>
      </vt:variant>
      <vt:variant>
        <vt:i4>1179697</vt:i4>
      </vt:variant>
      <vt:variant>
        <vt:i4>92</vt:i4>
      </vt:variant>
      <vt:variant>
        <vt:i4>0</vt:i4>
      </vt:variant>
      <vt:variant>
        <vt:i4>5</vt:i4>
      </vt:variant>
      <vt:variant>
        <vt:lpwstr/>
      </vt:variant>
      <vt:variant>
        <vt:lpwstr>_Toc225507655</vt:lpwstr>
      </vt:variant>
      <vt:variant>
        <vt:i4>1179697</vt:i4>
      </vt:variant>
      <vt:variant>
        <vt:i4>86</vt:i4>
      </vt:variant>
      <vt:variant>
        <vt:i4>0</vt:i4>
      </vt:variant>
      <vt:variant>
        <vt:i4>5</vt:i4>
      </vt:variant>
      <vt:variant>
        <vt:lpwstr/>
      </vt:variant>
      <vt:variant>
        <vt:lpwstr>_Toc225507654</vt:lpwstr>
      </vt:variant>
      <vt:variant>
        <vt:i4>1179697</vt:i4>
      </vt:variant>
      <vt:variant>
        <vt:i4>80</vt:i4>
      </vt:variant>
      <vt:variant>
        <vt:i4>0</vt:i4>
      </vt:variant>
      <vt:variant>
        <vt:i4>5</vt:i4>
      </vt:variant>
      <vt:variant>
        <vt:lpwstr/>
      </vt:variant>
      <vt:variant>
        <vt:lpwstr>_Toc225507653</vt:lpwstr>
      </vt:variant>
      <vt:variant>
        <vt:i4>1179697</vt:i4>
      </vt:variant>
      <vt:variant>
        <vt:i4>74</vt:i4>
      </vt:variant>
      <vt:variant>
        <vt:i4>0</vt:i4>
      </vt:variant>
      <vt:variant>
        <vt:i4>5</vt:i4>
      </vt:variant>
      <vt:variant>
        <vt:lpwstr/>
      </vt:variant>
      <vt:variant>
        <vt:lpwstr>_Toc225507652</vt:lpwstr>
      </vt:variant>
      <vt:variant>
        <vt:i4>1179697</vt:i4>
      </vt:variant>
      <vt:variant>
        <vt:i4>68</vt:i4>
      </vt:variant>
      <vt:variant>
        <vt:i4>0</vt:i4>
      </vt:variant>
      <vt:variant>
        <vt:i4>5</vt:i4>
      </vt:variant>
      <vt:variant>
        <vt:lpwstr/>
      </vt:variant>
      <vt:variant>
        <vt:lpwstr>_Toc225507651</vt:lpwstr>
      </vt:variant>
      <vt:variant>
        <vt:i4>1179697</vt:i4>
      </vt:variant>
      <vt:variant>
        <vt:i4>62</vt:i4>
      </vt:variant>
      <vt:variant>
        <vt:i4>0</vt:i4>
      </vt:variant>
      <vt:variant>
        <vt:i4>5</vt:i4>
      </vt:variant>
      <vt:variant>
        <vt:lpwstr/>
      </vt:variant>
      <vt:variant>
        <vt:lpwstr>_Toc225507650</vt:lpwstr>
      </vt:variant>
      <vt:variant>
        <vt:i4>1245233</vt:i4>
      </vt:variant>
      <vt:variant>
        <vt:i4>56</vt:i4>
      </vt:variant>
      <vt:variant>
        <vt:i4>0</vt:i4>
      </vt:variant>
      <vt:variant>
        <vt:i4>5</vt:i4>
      </vt:variant>
      <vt:variant>
        <vt:lpwstr/>
      </vt:variant>
      <vt:variant>
        <vt:lpwstr>_Toc225507649</vt:lpwstr>
      </vt:variant>
      <vt:variant>
        <vt:i4>1245233</vt:i4>
      </vt:variant>
      <vt:variant>
        <vt:i4>50</vt:i4>
      </vt:variant>
      <vt:variant>
        <vt:i4>0</vt:i4>
      </vt:variant>
      <vt:variant>
        <vt:i4>5</vt:i4>
      </vt:variant>
      <vt:variant>
        <vt:lpwstr/>
      </vt:variant>
      <vt:variant>
        <vt:lpwstr>_Toc225507648</vt:lpwstr>
      </vt:variant>
      <vt:variant>
        <vt:i4>1245233</vt:i4>
      </vt:variant>
      <vt:variant>
        <vt:i4>44</vt:i4>
      </vt:variant>
      <vt:variant>
        <vt:i4>0</vt:i4>
      </vt:variant>
      <vt:variant>
        <vt:i4>5</vt:i4>
      </vt:variant>
      <vt:variant>
        <vt:lpwstr/>
      </vt:variant>
      <vt:variant>
        <vt:lpwstr>_Toc225507647</vt:lpwstr>
      </vt:variant>
      <vt:variant>
        <vt:i4>1245233</vt:i4>
      </vt:variant>
      <vt:variant>
        <vt:i4>38</vt:i4>
      </vt:variant>
      <vt:variant>
        <vt:i4>0</vt:i4>
      </vt:variant>
      <vt:variant>
        <vt:i4>5</vt:i4>
      </vt:variant>
      <vt:variant>
        <vt:lpwstr/>
      </vt:variant>
      <vt:variant>
        <vt:lpwstr>_Toc225507646</vt:lpwstr>
      </vt:variant>
      <vt:variant>
        <vt:i4>1245233</vt:i4>
      </vt:variant>
      <vt:variant>
        <vt:i4>32</vt:i4>
      </vt:variant>
      <vt:variant>
        <vt:i4>0</vt:i4>
      </vt:variant>
      <vt:variant>
        <vt:i4>5</vt:i4>
      </vt:variant>
      <vt:variant>
        <vt:lpwstr/>
      </vt:variant>
      <vt:variant>
        <vt:lpwstr>_Toc225507645</vt:lpwstr>
      </vt:variant>
      <vt:variant>
        <vt:i4>1245233</vt:i4>
      </vt:variant>
      <vt:variant>
        <vt:i4>26</vt:i4>
      </vt:variant>
      <vt:variant>
        <vt:i4>0</vt:i4>
      </vt:variant>
      <vt:variant>
        <vt:i4>5</vt:i4>
      </vt:variant>
      <vt:variant>
        <vt:lpwstr/>
      </vt:variant>
      <vt:variant>
        <vt:lpwstr>_Toc225507644</vt:lpwstr>
      </vt:variant>
      <vt:variant>
        <vt:i4>6291548</vt:i4>
      </vt:variant>
      <vt:variant>
        <vt:i4>18</vt:i4>
      </vt:variant>
      <vt:variant>
        <vt:i4>0</vt:i4>
      </vt:variant>
      <vt:variant>
        <vt:i4>5</vt:i4>
      </vt:variant>
      <vt:variant>
        <vt:lpwstr>mailto:tga.copyright@tga.gov.au</vt:lpwstr>
      </vt:variant>
      <vt:variant>
        <vt:lpwstr/>
      </vt:variant>
      <vt:variant>
        <vt:i4>7995497</vt:i4>
      </vt:variant>
      <vt:variant>
        <vt:i4>12</vt:i4>
      </vt:variant>
      <vt:variant>
        <vt:i4>0</vt:i4>
      </vt:variant>
      <vt:variant>
        <vt:i4>5</vt:i4>
      </vt:variant>
      <vt:variant>
        <vt:lpwstr>https://www.tga.gov.au/australian-public-assessment-report-auspar-guidance</vt:lpwstr>
      </vt:variant>
      <vt:variant>
        <vt:lpwstr/>
      </vt:variant>
      <vt:variant>
        <vt:i4>3473445</vt:i4>
      </vt:variant>
      <vt:variant>
        <vt:i4>6</vt:i4>
      </vt:variant>
      <vt:variant>
        <vt:i4>0</vt:i4>
      </vt:variant>
      <vt:variant>
        <vt:i4>5</vt:i4>
      </vt:variant>
      <vt:variant>
        <vt:lpwstr>https://www.tga.gov.au/</vt:lpwstr>
      </vt:variant>
      <vt:variant>
        <vt:lpwstr/>
      </vt:variant>
      <vt:variant>
        <vt:i4>3407933</vt:i4>
      </vt:variant>
      <vt:variant>
        <vt:i4>9</vt:i4>
      </vt:variant>
      <vt:variant>
        <vt:i4>0</vt:i4>
      </vt:variant>
      <vt:variant>
        <vt:i4>5</vt:i4>
      </vt:variant>
      <vt:variant>
        <vt:lpwstr>https://www.ema.europa.eu/en/ich-s6-r1-preclinical-safety-evaluation-biotechnology-derived-pharmaceuticals-scientific-guideline</vt:lpwstr>
      </vt:variant>
      <vt:variant>
        <vt:lpwstr/>
      </vt:variant>
      <vt:variant>
        <vt:i4>3080315</vt:i4>
      </vt:variant>
      <vt:variant>
        <vt:i4>6</vt:i4>
      </vt:variant>
      <vt:variant>
        <vt:i4>0</vt:i4>
      </vt:variant>
      <vt:variant>
        <vt:i4>5</vt:i4>
      </vt:variant>
      <vt:variant>
        <vt:lpwstr>https://www.ema.europa.eu/en/ich-s9-non-clinical-evaluation-anticancer-pharmaceuticals-scientific-guideline</vt:lpwstr>
      </vt:variant>
      <vt:variant>
        <vt:lpwstr/>
      </vt:variant>
      <vt:variant>
        <vt:i4>5242952</vt:i4>
      </vt:variant>
      <vt:variant>
        <vt:i4>3</vt:i4>
      </vt:variant>
      <vt:variant>
        <vt:i4>0</vt:i4>
      </vt:variant>
      <vt:variant>
        <vt:i4>5</vt:i4>
      </vt:variant>
      <vt:variant>
        <vt:lpwstr>https://myeloma.org.au/wp-content/uploads/2022/09/MSAG_Myeloma-Clinical-Practice-Guideline-2022_Final-1.pdf</vt:lpwstr>
      </vt:variant>
      <vt:variant>
        <vt:lpwstr/>
      </vt:variant>
      <vt:variant>
        <vt:i4>655378</vt:i4>
      </vt:variant>
      <vt:variant>
        <vt:i4>0</vt:i4>
      </vt:variant>
      <vt:variant>
        <vt:i4>0</vt:i4>
      </vt:variant>
      <vt:variant>
        <vt:i4>5</vt:i4>
      </vt:variant>
      <vt:variant>
        <vt:lpwstr>https://www.aihw.gov.au/reports/cancer/cancer-data-in-australia/contents/blood-cancer-incidence-and-survival-by-histology</vt:lpwstr>
      </vt:variant>
      <vt:variant>
        <vt:lpwstr/>
      </vt:variant>
      <vt:variant>
        <vt:i4>7143490</vt:i4>
      </vt:variant>
      <vt:variant>
        <vt:i4>15</vt:i4>
      </vt:variant>
      <vt:variant>
        <vt:i4>0</vt:i4>
      </vt:variant>
      <vt:variant>
        <vt:i4>5</vt:i4>
      </vt:variant>
      <vt:variant>
        <vt:lpwstr>mailto:rachel.x.rogers@gsk.com</vt:lpwstr>
      </vt:variant>
      <vt:variant>
        <vt:lpwstr/>
      </vt:variant>
      <vt:variant>
        <vt:i4>6684754</vt:i4>
      </vt:variant>
      <vt:variant>
        <vt:i4>12</vt:i4>
      </vt:variant>
      <vt:variant>
        <vt:i4>0</vt:i4>
      </vt:variant>
      <vt:variant>
        <vt:i4>5</vt:i4>
      </vt:variant>
      <vt:variant>
        <vt:lpwstr>mailto:geraldine.x.ferron@gsk.com</vt:lpwstr>
      </vt:variant>
      <vt:variant>
        <vt:lpwstr/>
      </vt:variant>
      <vt:variant>
        <vt:i4>6684754</vt:i4>
      </vt:variant>
      <vt:variant>
        <vt:i4>9</vt:i4>
      </vt:variant>
      <vt:variant>
        <vt:i4>0</vt:i4>
      </vt:variant>
      <vt:variant>
        <vt:i4>5</vt:i4>
      </vt:variant>
      <vt:variant>
        <vt:lpwstr>mailto:geraldine.x.ferron@gsk.com</vt:lpwstr>
      </vt:variant>
      <vt:variant>
        <vt:lpwstr/>
      </vt:variant>
      <vt:variant>
        <vt:i4>6684754</vt:i4>
      </vt:variant>
      <vt:variant>
        <vt:i4>6</vt:i4>
      </vt:variant>
      <vt:variant>
        <vt:i4>0</vt:i4>
      </vt:variant>
      <vt:variant>
        <vt:i4>5</vt:i4>
      </vt:variant>
      <vt:variant>
        <vt:lpwstr>mailto:geraldine.x.ferron@gsk.com</vt:lpwstr>
      </vt:variant>
      <vt:variant>
        <vt:lpwstr/>
      </vt:variant>
      <vt:variant>
        <vt:i4>7733321</vt:i4>
      </vt:variant>
      <vt:variant>
        <vt:i4>3</vt:i4>
      </vt:variant>
      <vt:variant>
        <vt:i4>0</vt:i4>
      </vt:variant>
      <vt:variant>
        <vt:i4>5</vt:i4>
      </vt:variant>
      <vt:variant>
        <vt:lpwstr>mailto:yu.l.ho@gsk.com</vt:lpwstr>
      </vt:variant>
      <vt:variant>
        <vt:lpwstr/>
      </vt:variant>
      <vt:variant>
        <vt:i4>7209029</vt:i4>
      </vt:variant>
      <vt:variant>
        <vt:i4>0</vt:i4>
      </vt:variant>
      <vt:variant>
        <vt:i4>0</vt:i4>
      </vt:variant>
      <vt:variant>
        <vt:i4>5</vt:i4>
      </vt:variant>
      <vt:variant>
        <vt:lpwstr>https://gsk-qualitysuite.veevavault.com/ui/</vt:lpwstr>
      </vt:variant>
      <vt:variant>
        <vt:lpwstr>doc_info/1139301/16/0?idx=5&amp;pt=asl&amp;sm=136624411775485865940&amp;tvsl=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%2C%2C&amp;anQS=page53&amp;annotate=fal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Blenrep</dc:title>
  <dc:subject>Prescription medicines</dc:subject>
  <dc:creator>Therapeutic Goods Administration</dc:creator>
  <cp:keywords/>
  <dc:description/>
  <cp:lastModifiedBy>LACK, Janet</cp:lastModifiedBy>
  <cp:revision>4</cp:revision>
  <dcterms:created xsi:type="dcterms:W3CDTF">2026-04-29T22:54:00Z</dcterms:created>
  <dcterms:modified xsi:type="dcterms:W3CDTF">2026-04-30T04:51:00Z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531f83f9,2ebff39c,5e0ccc27,69b65320,1d12e39c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1733f83e,69c2b6dd,39fef80f,322f80f5,3638ef13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2026-01-08T03:49:00Z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813969f0-483d-4e03-912d-ee2c69b78162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0x010100A80F9BCA22A44543A836D48EB5D07BAB</vt:lpwstr>
  </property>
  <property fmtid="{D5CDD505-2E9C-101B-9397-08002B2CF9AE}" pid="17" name="docLang">
    <vt:lpwstr>en</vt:lpwstr>
  </property>
</Properties>
</file>