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3DE01" w14:textId="77777777" w:rsidR="00375DF3" w:rsidRPr="00203FC0" w:rsidRDefault="00375DF3" w:rsidP="003B7CFF">
      <w:pPr>
        <w:pStyle w:val="Paragraph"/>
        <w:rPr>
          <w:lang w:val="en-AU"/>
        </w:rPr>
      </w:pPr>
      <w:r w:rsidRPr="00203FC0">
        <w:rPr>
          <w:noProof/>
          <w:lang w:val="en-AU"/>
        </w:rPr>
        <mc:AlternateContent>
          <mc:Choice Requires="wps">
            <w:drawing>
              <wp:inline distT="0" distB="0" distL="0" distR="0" wp14:anchorId="27267382" wp14:editId="092A134D">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02EAD9" w14:textId="77777777" w:rsidR="00257099" w:rsidRPr="00BE2A26" w:rsidRDefault="00257099" w:rsidP="003B7CFF">
                            <w:pPr>
                              <w:pStyle w:val="Paragraph"/>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27267382"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2702EAD9" w14:textId="77777777" w:rsidR="00257099" w:rsidRPr="00BE2A26" w:rsidRDefault="00257099" w:rsidP="003B7CFF">
                      <w:pPr>
                        <w:pStyle w:val="Paragraph"/>
                      </w:pPr>
                      <w:r w:rsidRPr="00BE2A26">
                        <w:rPr>
                          <w:rFonts w:ascii="SimSun" w:eastAsia="SimSun" w:hAnsi="SimSun" w:cs="Arial" w:hint="eastAsia"/>
                          <w:sz w:val="40"/>
                        </w:rPr>
                        <w:t>▼</w:t>
                      </w:r>
                    </w:p>
                  </w:txbxContent>
                </v:textbox>
                <w10:anchorlock/>
              </v:shape>
            </w:pict>
          </mc:Fallback>
        </mc:AlternateContent>
      </w:r>
      <w:r w:rsidR="001A3992" w:rsidRPr="00203FC0">
        <w:rPr>
          <w:lang w:val="en-AU"/>
        </w:rPr>
        <w:t>This medicinal product is subject to additional monitoring in Australia. This will allow quick identification of new safety information. Healthcare professionals are asked to report any suspected adverse events at</w:t>
      </w:r>
      <w:r w:rsidR="008958C0" w:rsidRPr="00203FC0">
        <w:rPr>
          <w:lang w:val="en-AU"/>
        </w:rPr>
        <w:t xml:space="preserve"> www.tga.gov.au/reporting-problems.</w:t>
      </w:r>
    </w:p>
    <w:p w14:paraId="1348B378" w14:textId="79D08F9E" w:rsidR="00ED27EC" w:rsidRPr="00687CB6" w:rsidRDefault="006018AE" w:rsidP="00ED27EC">
      <w:pPr>
        <w:pStyle w:val="Heading1Unnumbered"/>
        <w:rPr>
          <w:rFonts w:eastAsia="SimSun"/>
          <w:lang w:val="en-AU"/>
        </w:rPr>
      </w:pPr>
      <w:r w:rsidRPr="00687CB6">
        <w:rPr>
          <w:rFonts w:eastAsia="SimSun"/>
          <w:lang w:val="en-AU"/>
        </w:rPr>
        <w:t>Australian P</w:t>
      </w:r>
      <w:r w:rsidR="00A32E10" w:rsidRPr="00687CB6">
        <w:rPr>
          <w:rFonts w:eastAsia="SimSun"/>
          <w:lang w:val="en-AU"/>
        </w:rPr>
        <w:t xml:space="preserve">RODUCT </w:t>
      </w:r>
      <w:r w:rsidRPr="00687CB6">
        <w:rPr>
          <w:rFonts w:eastAsia="SimSun"/>
          <w:lang w:val="en-AU"/>
        </w:rPr>
        <w:t>I</w:t>
      </w:r>
      <w:r w:rsidR="00A32E10" w:rsidRPr="00687CB6">
        <w:rPr>
          <w:rFonts w:eastAsia="SimSun"/>
          <w:lang w:val="en-AU"/>
        </w:rPr>
        <w:t>NFORMATION</w:t>
      </w:r>
      <w:r w:rsidR="002B1200" w:rsidRPr="00687CB6">
        <w:rPr>
          <w:rFonts w:eastAsia="SimSun"/>
          <w:lang w:val="en-AU"/>
        </w:rPr>
        <w:fldChar w:fldCharType="begin"/>
      </w:r>
      <w:r w:rsidR="002B1200" w:rsidRPr="00687CB6">
        <w:rPr>
          <w:rFonts w:eastAsia="SimSun"/>
          <w:lang w:val="en-AU"/>
        </w:rPr>
        <w:instrText xml:space="preserve"> DOCVARIABLE VAULT_ND_54befd6c-2e31-41c4-9466-cb9fe0825b62 \* MERGEFORMAT </w:instrText>
      </w:r>
      <w:r w:rsidR="002B1200" w:rsidRPr="00687CB6">
        <w:rPr>
          <w:rFonts w:eastAsia="SimSun"/>
          <w:lang w:val="en-AU"/>
        </w:rPr>
        <w:fldChar w:fldCharType="separate"/>
      </w:r>
      <w:r w:rsidR="002B1200" w:rsidRPr="00687CB6">
        <w:rPr>
          <w:rFonts w:eastAsia="SimSun"/>
          <w:lang w:val="en-AU"/>
        </w:rPr>
        <w:t xml:space="preserve"> </w:t>
      </w:r>
      <w:r w:rsidR="002B1200" w:rsidRPr="00687CB6">
        <w:rPr>
          <w:rFonts w:eastAsia="SimSun"/>
          <w:lang w:val="en-AU"/>
        </w:rPr>
        <w:fldChar w:fldCharType="end"/>
      </w:r>
    </w:p>
    <w:p w14:paraId="6719B3AB" w14:textId="41345FCE" w:rsidR="006018AE" w:rsidRPr="00203FC0" w:rsidRDefault="000E7D54" w:rsidP="00ED27EC">
      <w:pPr>
        <w:pStyle w:val="Heading1Unnumbered"/>
        <w:rPr>
          <w:rFonts w:eastAsia="SimSun"/>
          <w:lang w:val="en-AU"/>
        </w:rPr>
      </w:pPr>
      <w:proofErr w:type="spellStart"/>
      <w:r w:rsidRPr="00203FC0">
        <w:rPr>
          <w:rFonts w:eastAsia="SimSun"/>
          <w:caps w:val="0"/>
          <w:lang w:val="en-AU"/>
        </w:rPr>
        <w:t>KAVIGALE</w:t>
      </w:r>
      <w:proofErr w:type="spellEnd"/>
      <w:r w:rsidR="00832C30" w:rsidRPr="00203FC0">
        <w:rPr>
          <w:rFonts w:eastAsia="SimSun" w:cs="Times New Roman"/>
          <w:vertAlign w:val="superscript"/>
          <w:lang w:val="en-AU"/>
        </w:rPr>
        <w:t>®</w:t>
      </w:r>
      <w:r w:rsidR="00C85970" w:rsidRPr="00203FC0">
        <w:rPr>
          <w:rFonts w:eastAsia="SimSun"/>
          <w:lang w:val="en-AU"/>
        </w:rPr>
        <w:br/>
      </w:r>
      <w:r w:rsidR="00A32E10" w:rsidRPr="00203FC0">
        <w:rPr>
          <w:rFonts w:eastAsia="SimSun"/>
          <w:lang w:val="en-AU"/>
        </w:rPr>
        <w:t>(</w:t>
      </w:r>
      <w:proofErr w:type="spellStart"/>
      <w:r w:rsidR="002B0489" w:rsidRPr="00203FC0">
        <w:rPr>
          <w:rFonts w:eastAsia="SimSun"/>
          <w:caps w:val="0"/>
          <w:lang w:val="en-AU"/>
        </w:rPr>
        <w:t>sipavibart</w:t>
      </w:r>
      <w:proofErr w:type="spellEnd"/>
      <w:r w:rsidR="00ED27EC" w:rsidRPr="00203FC0">
        <w:rPr>
          <w:rFonts w:eastAsia="SimSun"/>
          <w:caps w:val="0"/>
          <w:lang w:val="en-AU"/>
        </w:rPr>
        <w:t xml:space="preserve">) </w:t>
      </w:r>
      <w:r w:rsidR="002B0489" w:rsidRPr="00203FC0">
        <w:rPr>
          <w:rFonts w:eastAsia="SimSun"/>
          <w:caps w:val="0"/>
          <w:lang w:val="en-AU"/>
        </w:rPr>
        <w:t>solution for injection/infusion</w:t>
      </w:r>
      <w:r w:rsidR="002B1200" w:rsidRPr="00203FC0">
        <w:rPr>
          <w:rFonts w:eastAsia="SimSun"/>
          <w:caps w:val="0"/>
          <w:lang w:val="en-AU"/>
        </w:rPr>
        <w:fldChar w:fldCharType="begin"/>
      </w:r>
      <w:r w:rsidR="002B1200" w:rsidRPr="00203FC0">
        <w:rPr>
          <w:rFonts w:eastAsia="SimSun"/>
          <w:caps w:val="0"/>
          <w:lang w:val="en-AU"/>
        </w:rPr>
        <w:instrText xml:space="preserve"> DOCVARIABLE vault_nd_e79c56ab-7bbb-4c86-a91d-677626dd331d \* MERGEFORMAT </w:instrText>
      </w:r>
      <w:r w:rsidR="002B1200" w:rsidRPr="00203FC0">
        <w:rPr>
          <w:rFonts w:eastAsia="SimSun"/>
          <w:caps w:val="0"/>
          <w:lang w:val="en-AU"/>
        </w:rPr>
        <w:fldChar w:fldCharType="separate"/>
      </w:r>
      <w:r w:rsidR="002B1200" w:rsidRPr="00203FC0">
        <w:rPr>
          <w:rFonts w:eastAsia="SimSun"/>
          <w:caps w:val="0"/>
          <w:lang w:val="en-AU"/>
        </w:rPr>
        <w:t xml:space="preserve"> </w:t>
      </w:r>
      <w:r w:rsidR="002B1200" w:rsidRPr="00203FC0">
        <w:rPr>
          <w:rFonts w:eastAsia="SimSun"/>
          <w:caps w:val="0"/>
          <w:lang w:val="en-AU"/>
        </w:rPr>
        <w:fldChar w:fldCharType="end"/>
      </w:r>
    </w:p>
    <w:p w14:paraId="600EA659" w14:textId="64C86B85" w:rsidR="001A3992" w:rsidRPr="00687CB6" w:rsidRDefault="001A3992" w:rsidP="00EE3AC8">
      <w:pPr>
        <w:pStyle w:val="Heading1"/>
        <w:rPr>
          <w:lang w:val="en-AU"/>
        </w:rPr>
      </w:pPr>
      <w:r w:rsidRPr="00687CB6">
        <w:rPr>
          <w:lang w:val="en-AU"/>
        </w:rPr>
        <w:t>Name of the medicine</w:t>
      </w:r>
      <w:r w:rsidR="002B1200" w:rsidRPr="00687CB6">
        <w:rPr>
          <w:lang w:val="en-AU"/>
        </w:rPr>
        <w:fldChar w:fldCharType="begin"/>
      </w:r>
      <w:r w:rsidR="002B1200" w:rsidRPr="00687CB6">
        <w:rPr>
          <w:lang w:val="en-AU"/>
        </w:rPr>
        <w:instrText xml:space="preserve"> DOCVARIABLE VAULT_ND_3cf1d36d-a553-4283-b223-f1889e68e9a5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2D108E82" w14:textId="53DF914A" w:rsidR="0080644B" w:rsidRPr="00203FC0" w:rsidRDefault="002B0489" w:rsidP="002B0489">
      <w:pPr>
        <w:pStyle w:val="Paragraph"/>
        <w:rPr>
          <w:i/>
          <w:color w:val="00B0F0"/>
          <w:lang w:val="en-AU"/>
        </w:rPr>
      </w:pPr>
      <w:r w:rsidRPr="00203FC0">
        <w:rPr>
          <w:rFonts w:eastAsiaTheme="minorHAnsi"/>
          <w:lang w:val="en-AU"/>
        </w:rPr>
        <w:t>Sipavibart</w:t>
      </w:r>
    </w:p>
    <w:p w14:paraId="6F37D376" w14:textId="66901C55" w:rsidR="001A3992" w:rsidRPr="00687CB6" w:rsidRDefault="001A3992" w:rsidP="00EE3AC8">
      <w:pPr>
        <w:pStyle w:val="Heading1"/>
        <w:rPr>
          <w:lang w:val="en-AU"/>
        </w:rPr>
      </w:pPr>
      <w:bookmarkStart w:id="0" w:name="_Ref505770391"/>
      <w:r w:rsidRPr="00687CB6">
        <w:rPr>
          <w:lang w:val="en-AU"/>
        </w:rPr>
        <w:t>Qualitative and quantitative composition</w:t>
      </w:r>
      <w:bookmarkEnd w:id="0"/>
      <w:r w:rsidR="002B1200" w:rsidRPr="00687CB6">
        <w:rPr>
          <w:lang w:val="en-AU"/>
        </w:rPr>
        <w:fldChar w:fldCharType="begin"/>
      </w:r>
      <w:r w:rsidR="002B1200" w:rsidRPr="00687CB6">
        <w:rPr>
          <w:lang w:val="en-AU"/>
        </w:rPr>
        <w:instrText xml:space="preserve"> DOCVARIABLE VAULT_ND_2a648b95-cc76-43e1-85be-9c7bfd81a18d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4BB84596" w14:textId="3956A678" w:rsidR="00ED27EC" w:rsidRPr="00203FC0" w:rsidRDefault="00935667" w:rsidP="00935667">
      <w:pPr>
        <w:rPr>
          <w:rFonts w:eastAsiaTheme="minorHAnsi"/>
          <w:vertAlign w:val="superscript"/>
        </w:rPr>
      </w:pPr>
      <w:r w:rsidRPr="00203FC0">
        <w:rPr>
          <w:rFonts w:eastAsiaTheme="minorHAnsi"/>
        </w:rPr>
        <w:t xml:space="preserve">Each </w:t>
      </w:r>
      <w:r w:rsidR="00542190" w:rsidRPr="00203FC0">
        <w:rPr>
          <w:rFonts w:eastAsiaTheme="minorHAnsi"/>
        </w:rPr>
        <w:t>vial</w:t>
      </w:r>
      <w:r w:rsidRPr="00203FC0">
        <w:rPr>
          <w:rFonts w:eastAsiaTheme="minorHAnsi"/>
        </w:rPr>
        <w:t xml:space="preserve"> of </w:t>
      </w:r>
      <w:proofErr w:type="spellStart"/>
      <w:r w:rsidR="000F4C37" w:rsidRPr="00203FC0">
        <w:rPr>
          <w:rFonts w:eastAsiaTheme="minorHAnsi"/>
        </w:rPr>
        <w:t>KAVIGALE</w:t>
      </w:r>
      <w:proofErr w:type="spellEnd"/>
      <w:r w:rsidRPr="00203FC0">
        <w:rPr>
          <w:rFonts w:eastAsiaTheme="minorHAnsi"/>
        </w:rPr>
        <w:t xml:space="preserve"> contains</w:t>
      </w:r>
      <w:r w:rsidR="00542190" w:rsidRPr="00203FC0">
        <w:rPr>
          <w:rFonts w:eastAsiaTheme="minorHAnsi"/>
        </w:rPr>
        <w:t xml:space="preserve"> </w:t>
      </w:r>
      <w:r w:rsidRPr="00203FC0">
        <w:rPr>
          <w:rFonts w:eastAsiaTheme="minorHAnsi"/>
        </w:rPr>
        <w:t xml:space="preserve">300 mg </w:t>
      </w:r>
      <w:proofErr w:type="spellStart"/>
      <w:r w:rsidRPr="00203FC0">
        <w:rPr>
          <w:rFonts w:eastAsiaTheme="minorHAnsi"/>
        </w:rPr>
        <w:t>sipavibart</w:t>
      </w:r>
      <w:proofErr w:type="spellEnd"/>
      <w:r w:rsidRPr="00203FC0">
        <w:rPr>
          <w:rFonts w:eastAsiaTheme="minorHAnsi"/>
        </w:rPr>
        <w:t xml:space="preserve"> in 2 mL (150 mg/mL).</w:t>
      </w:r>
      <w:bookmarkStart w:id="1" w:name="_Hlk505357644"/>
    </w:p>
    <w:p w14:paraId="77525EBC" w14:textId="77777777" w:rsidR="00ED27EC" w:rsidRPr="00203FC0" w:rsidRDefault="00ED27EC" w:rsidP="00ED27EC">
      <w:pPr>
        <w:pStyle w:val="Paragraph"/>
        <w:rPr>
          <w:rFonts w:eastAsia="SimSun"/>
          <w:lang w:val="en-AU"/>
        </w:rPr>
      </w:pPr>
      <w:r w:rsidRPr="00203FC0">
        <w:rPr>
          <w:rFonts w:eastAsia="SimSun"/>
          <w:lang w:val="en-AU"/>
        </w:rPr>
        <w:t xml:space="preserve">For the full list of excipients, see Section </w:t>
      </w:r>
      <w:r w:rsidRPr="00203FC0">
        <w:rPr>
          <w:rFonts w:eastAsia="SimSun"/>
          <w:lang w:val="en-AU"/>
        </w:rPr>
        <w:fldChar w:fldCharType="begin"/>
      </w:r>
      <w:r w:rsidRPr="00203FC0">
        <w:rPr>
          <w:rFonts w:eastAsia="SimSun"/>
          <w:lang w:val="en-AU"/>
        </w:rPr>
        <w:instrText xml:space="preserve"> REF _Ref505768678 \r \h </w:instrText>
      </w:r>
      <w:r w:rsidR="00986EEB" w:rsidRPr="00203FC0">
        <w:rPr>
          <w:rFonts w:eastAsia="SimSun"/>
          <w:lang w:val="en-AU"/>
        </w:rPr>
        <w:instrText xml:space="preserve"> \* MERGEFORMAT </w:instrText>
      </w:r>
      <w:r w:rsidRPr="00203FC0">
        <w:rPr>
          <w:rFonts w:eastAsia="SimSun"/>
          <w:lang w:val="en-AU"/>
        </w:rPr>
      </w:r>
      <w:r w:rsidRPr="00203FC0">
        <w:rPr>
          <w:rFonts w:eastAsia="SimSun"/>
          <w:lang w:val="en-AU"/>
        </w:rPr>
        <w:fldChar w:fldCharType="separate"/>
      </w:r>
      <w:r w:rsidR="00BB594D" w:rsidRPr="00203FC0">
        <w:rPr>
          <w:rFonts w:eastAsia="SimSun"/>
          <w:lang w:val="en-AU"/>
        </w:rPr>
        <w:t>6.1</w:t>
      </w:r>
      <w:r w:rsidRPr="00203FC0">
        <w:rPr>
          <w:rFonts w:eastAsia="SimSun"/>
          <w:lang w:val="en-AU"/>
        </w:rPr>
        <w:fldChar w:fldCharType="end"/>
      </w:r>
      <w:r w:rsidR="007228AC" w:rsidRPr="00203FC0">
        <w:rPr>
          <w:rFonts w:eastAsia="SimSun"/>
          <w:lang w:val="en-AU"/>
        </w:rPr>
        <w:t xml:space="preserve"> </w:t>
      </w:r>
      <w:r w:rsidR="007228AC" w:rsidRPr="00203FC0">
        <w:rPr>
          <w:rFonts w:eastAsia="SimSun"/>
          <w:lang w:val="en-AU"/>
        </w:rPr>
        <w:fldChar w:fldCharType="begin"/>
      </w:r>
      <w:r w:rsidR="007228AC" w:rsidRPr="00203FC0">
        <w:rPr>
          <w:rFonts w:eastAsia="SimSun"/>
          <w:lang w:val="en-AU"/>
        </w:rPr>
        <w:instrText xml:space="preserve"> REF _Ref505768678 \h  \* MERGEFORMAT </w:instrText>
      </w:r>
      <w:r w:rsidR="007228AC" w:rsidRPr="00203FC0">
        <w:rPr>
          <w:rFonts w:eastAsia="SimSun"/>
          <w:lang w:val="en-AU"/>
        </w:rPr>
      </w:r>
      <w:r w:rsidR="007228AC" w:rsidRPr="00203FC0">
        <w:rPr>
          <w:rFonts w:eastAsia="SimSun"/>
          <w:lang w:val="en-AU"/>
        </w:rPr>
        <w:fldChar w:fldCharType="separate"/>
      </w:r>
      <w:r w:rsidR="00BB594D" w:rsidRPr="00203FC0">
        <w:rPr>
          <w:lang w:val="en-AU"/>
        </w:rPr>
        <w:t>List of excipients</w:t>
      </w:r>
      <w:r w:rsidR="007228AC" w:rsidRPr="00203FC0">
        <w:rPr>
          <w:rFonts w:eastAsia="SimSun"/>
          <w:lang w:val="en-AU"/>
        </w:rPr>
        <w:fldChar w:fldCharType="end"/>
      </w:r>
      <w:r w:rsidR="007228AC" w:rsidRPr="00203FC0">
        <w:rPr>
          <w:rFonts w:eastAsia="SimSun"/>
          <w:lang w:val="en-AU"/>
        </w:rPr>
        <w:t>.</w:t>
      </w:r>
    </w:p>
    <w:bookmarkEnd w:id="1"/>
    <w:p w14:paraId="2E094AEF" w14:textId="02377CDC" w:rsidR="001A3992" w:rsidRPr="00687CB6" w:rsidRDefault="001A3992" w:rsidP="00EE3AC8">
      <w:pPr>
        <w:pStyle w:val="Heading1"/>
        <w:rPr>
          <w:lang w:val="en-AU"/>
        </w:rPr>
      </w:pPr>
      <w:r w:rsidRPr="00687CB6">
        <w:rPr>
          <w:lang w:val="en-AU"/>
        </w:rPr>
        <w:t>Pharmaceutical form</w:t>
      </w:r>
      <w:r w:rsidR="002B1200" w:rsidRPr="00687CB6">
        <w:rPr>
          <w:lang w:val="en-AU"/>
        </w:rPr>
        <w:fldChar w:fldCharType="begin"/>
      </w:r>
      <w:r w:rsidR="002B1200" w:rsidRPr="00687CB6">
        <w:rPr>
          <w:lang w:val="en-AU"/>
        </w:rPr>
        <w:instrText xml:space="preserve"> DOCVARIABLE VAULT_ND_457fd95d-c251-42bb-a47c-3adba4b2ba21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358C7762" w14:textId="3B29CC90" w:rsidR="00A63CF9" w:rsidRPr="00203FC0" w:rsidRDefault="00A63CF9" w:rsidP="00A63CF9">
      <w:pPr>
        <w:rPr>
          <w:rFonts w:eastAsiaTheme="minorHAnsi"/>
          <w:vertAlign w:val="superscript"/>
        </w:rPr>
      </w:pPr>
      <w:r w:rsidRPr="00203FC0">
        <w:rPr>
          <w:rFonts w:eastAsiaTheme="minorHAnsi"/>
        </w:rPr>
        <w:t>Solution for injection/infusion.</w:t>
      </w:r>
    </w:p>
    <w:p w14:paraId="68CCCC28" w14:textId="4C3D09F5" w:rsidR="0080644B" w:rsidRPr="00203FC0" w:rsidRDefault="00A63CF9" w:rsidP="00A63CF9">
      <w:pPr>
        <w:spacing w:after="200"/>
        <w:rPr>
          <w:rFonts w:eastAsiaTheme="minorHAnsi"/>
        </w:rPr>
      </w:pPr>
      <w:r w:rsidRPr="00203FC0">
        <w:rPr>
          <w:rFonts w:eastAsiaTheme="minorHAnsi"/>
        </w:rPr>
        <w:t>Clear to opalescent, colourless to slightly yellow solution.</w:t>
      </w:r>
    </w:p>
    <w:p w14:paraId="13C10768" w14:textId="0CC4DA69" w:rsidR="001A3992" w:rsidRPr="00687CB6" w:rsidRDefault="001A3992" w:rsidP="00EE3AC8">
      <w:pPr>
        <w:pStyle w:val="Heading1"/>
        <w:rPr>
          <w:lang w:val="en-AU"/>
        </w:rPr>
      </w:pPr>
      <w:r w:rsidRPr="00687CB6">
        <w:rPr>
          <w:lang w:val="en-AU"/>
        </w:rPr>
        <w:t>Clinical particulars</w:t>
      </w:r>
      <w:r w:rsidR="002B1200" w:rsidRPr="00687CB6">
        <w:rPr>
          <w:lang w:val="en-AU"/>
        </w:rPr>
        <w:fldChar w:fldCharType="begin"/>
      </w:r>
      <w:r w:rsidR="002B1200" w:rsidRPr="00687CB6">
        <w:rPr>
          <w:lang w:val="en-AU"/>
        </w:rPr>
        <w:instrText xml:space="preserve"> DOCVARIABLE VAULT_ND_089b1abb-b753-4537-8781-80577f3d7a8f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6F45D155" w14:textId="2CE4EE2C" w:rsidR="001A3992" w:rsidRPr="00687CB6" w:rsidRDefault="001A3992" w:rsidP="00EE3AC8">
      <w:pPr>
        <w:pStyle w:val="Heading2"/>
        <w:rPr>
          <w:lang w:val="en-AU"/>
        </w:rPr>
      </w:pPr>
      <w:r w:rsidRPr="00687CB6">
        <w:rPr>
          <w:lang w:val="en-AU"/>
        </w:rPr>
        <w:t>Therapeutic indi</w:t>
      </w:r>
      <w:r w:rsidR="003B7CFF" w:rsidRPr="00687CB6">
        <w:rPr>
          <w:lang w:val="en-AU"/>
        </w:rPr>
        <w:t>cations</w:t>
      </w:r>
      <w:r w:rsidR="002B1200" w:rsidRPr="00687CB6">
        <w:rPr>
          <w:lang w:val="en-AU"/>
        </w:rPr>
        <w:fldChar w:fldCharType="begin"/>
      </w:r>
      <w:r w:rsidR="002B1200" w:rsidRPr="00687CB6">
        <w:rPr>
          <w:lang w:val="en-AU"/>
        </w:rPr>
        <w:instrText xml:space="preserve"> DOCVARIABLE VAULT_ND_3f9d1220-1f9e-4f94-a84b-d52140bc59db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159DC628" w14:textId="03B15832" w:rsidR="00021B32" w:rsidRPr="00203FC0" w:rsidRDefault="000F4C37" w:rsidP="00655B3B">
      <w:pPr>
        <w:pStyle w:val="Paragraph"/>
        <w:rPr>
          <w:iCs/>
          <w:lang w:val="en-AU"/>
        </w:rPr>
      </w:pPr>
      <w:proofErr w:type="spellStart"/>
      <w:r w:rsidRPr="00203FC0">
        <w:rPr>
          <w:rFonts w:eastAsiaTheme="minorHAnsi"/>
          <w:lang w:val="en-AU"/>
        </w:rPr>
        <w:t>KAVIGALE</w:t>
      </w:r>
      <w:proofErr w:type="spellEnd"/>
      <w:r w:rsidR="00A63CF9" w:rsidRPr="00203FC0">
        <w:rPr>
          <w:rFonts w:eastAsiaTheme="minorHAnsi"/>
          <w:lang w:val="en-AU"/>
        </w:rPr>
        <w:t xml:space="preserve"> is indicated for the pre-exposure prophylaxis of COVID</w:t>
      </w:r>
      <w:r w:rsidR="001C2E55" w:rsidRPr="00203FC0">
        <w:rPr>
          <w:rFonts w:eastAsiaTheme="minorHAnsi"/>
          <w:lang w:val="en-AU"/>
        </w:rPr>
        <w:t>-</w:t>
      </w:r>
      <w:r w:rsidR="00A63CF9" w:rsidRPr="00203FC0">
        <w:rPr>
          <w:rFonts w:eastAsiaTheme="minorHAnsi"/>
          <w:lang w:val="en-AU"/>
        </w:rPr>
        <w:t>19 in adults and adolescents aged 12 years and older weighing at least 40 kg</w:t>
      </w:r>
      <w:r w:rsidR="00021B32" w:rsidRPr="00203FC0">
        <w:rPr>
          <w:rFonts w:eastAsiaTheme="minorHAnsi"/>
          <w:lang w:val="en-AU"/>
        </w:rPr>
        <w:t xml:space="preserve"> </w:t>
      </w:r>
      <w:r w:rsidR="005B4B17" w:rsidRPr="00203FC0">
        <w:rPr>
          <w:iCs/>
          <w:lang w:val="en-AU"/>
        </w:rPr>
        <w:t>who are immunocompromised due to a medical condition or receipt of immunosuppressive medications or treatments</w:t>
      </w:r>
      <w:r w:rsidR="008D65E9" w:rsidRPr="00203FC0">
        <w:rPr>
          <w:iCs/>
          <w:lang w:val="en-AU"/>
        </w:rPr>
        <w:t>.</w:t>
      </w:r>
    </w:p>
    <w:p w14:paraId="3CCFA911" w14:textId="450C500E" w:rsidR="000163EC" w:rsidRPr="00203FC0" w:rsidRDefault="00626361" w:rsidP="00655B3B">
      <w:pPr>
        <w:pStyle w:val="Paragraph"/>
        <w:rPr>
          <w:rFonts w:eastAsiaTheme="minorHAnsi"/>
          <w:lang w:val="en-AU"/>
        </w:rPr>
      </w:pPr>
      <w:proofErr w:type="spellStart"/>
      <w:r w:rsidRPr="00203FC0">
        <w:rPr>
          <w:rFonts w:eastAsiaTheme="minorHAnsi"/>
          <w:lang w:val="en-AU"/>
        </w:rPr>
        <w:t>KAVIGALE</w:t>
      </w:r>
      <w:proofErr w:type="spellEnd"/>
      <w:r w:rsidRPr="00203FC0">
        <w:rPr>
          <w:rFonts w:eastAsiaTheme="minorHAnsi"/>
          <w:lang w:val="en-AU"/>
        </w:rPr>
        <w:t xml:space="preserve"> is not recommended as a substitute for vaccination in individuals for whom COVID-19 vaccination is recommended. </w:t>
      </w:r>
    </w:p>
    <w:p w14:paraId="1BE0CD09" w14:textId="0325C940" w:rsidR="003B7CFF" w:rsidRPr="00687CB6" w:rsidRDefault="001A3992" w:rsidP="003B7CFF">
      <w:pPr>
        <w:pStyle w:val="Heading2"/>
        <w:rPr>
          <w:lang w:val="en-AU"/>
        </w:rPr>
      </w:pPr>
      <w:r w:rsidRPr="00687CB6">
        <w:rPr>
          <w:lang w:val="en-AU"/>
        </w:rPr>
        <w:t>Dose and method of administration</w:t>
      </w:r>
      <w:r w:rsidR="002B1200" w:rsidRPr="00687CB6">
        <w:rPr>
          <w:lang w:val="en-AU"/>
        </w:rPr>
        <w:fldChar w:fldCharType="begin"/>
      </w:r>
      <w:r w:rsidR="002B1200" w:rsidRPr="00687CB6">
        <w:rPr>
          <w:lang w:val="en-AU"/>
        </w:rPr>
        <w:instrText xml:space="preserve"> DOCVARIABLE VAULT_ND_7ff73ea8-6d4f-447c-8672-464750de142e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1A2698DB" w14:textId="2E759653" w:rsidR="00A63CF9" w:rsidRPr="00203FC0" w:rsidRDefault="000F4C37" w:rsidP="00A63CF9">
      <w:pPr>
        <w:rPr>
          <w:rFonts w:eastAsiaTheme="minorHAnsi"/>
        </w:rPr>
      </w:pPr>
      <w:proofErr w:type="spellStart"/>
      <w:r w:rsidRPr="00203FC0">
        <w:rPr>
          <w:rFonts w:eastAsiaTheme="minorHAnsi"/>
        </w:rPr>
        <w:t>KAVIGALE</w:t>
      </w:r>
      <w:proofErr w:type="spellEnd"/>
      <w:r w:rsidR="00A63CF9" w:rsidRPr="00203FC0">
        <w:rPr>
          <w:rFonts w:eastAsiaTheme="minorHAnsi"/>
        </w:rPr>
        <w:t xml:space="preserve"> must be administered by a healthcare professional.</w:t>
      </w:r>
    </w:p>
    <w:p w14:paraId="55C2C114" w14:textId="77777777" w:rsidR="00C85696" w:rsidRPr="00203FC0" w:rsidRDefault="00A63CF9" w:rsidP="00A63CF9">
      <w:pPr>
        <w:spacing w:after="200"/>
        <w:rPr>
          <w:rFonts w:eastAsiaTheme="minorHAnsi"/>
        </w:rPr>
      </w:pPr>
      <w:r w:rsidRPr="00203FC0">
        <w:rPr>
          <w:rFonts w:eastAsiaTheme="minorHAnsi"/>
        </w:rPr>
        <w:t>Individuals should be monitored after administration according to local medical practice.</w:t>
      </w:r>
    </w:p>
    <w:p w14:paraId="2B760CF6" w14:textId="1172CBB2" w:rsidR="00D64E1F" w:rsidRPr="00203FC0" w:rsidRDefault="004309B0" w:rsidP="00D64E1F">
      <w:pPr>
        <w:spacing w:after="0"/>
        <w:rPr>
          <w:rFonts w:eastAsiaTheme="minorHAnsi"/>
          <w:b/>
          <w:bCs/>
        </w:rPr>
      </w:pPr>
      <w:r w:rsidRPr="00203FC0">
        <w:rPr>
          <w:rFonts w:eastAsiaTheme="minorHAnsi"/>
          <w:b/>
          <w:bCs/>
        </w:rPr>
        <w:t>Dosage</w:t>
      </w:r>
    </w:p>
    <w:p w14:paraId="6ADBF409" w14:textId="1E301FD4" w:rsidR="00D64E1F" w:rsidRDefault="00D64E1F" w:rsidP="00A63CF9">
      <w:pPr>
        <w:spacing w:after="200"/>
        <w:rPr>
          <w:rFonts w:eastAsiaTheme="minorHAnsi"/>
        </w:rPr>
      </w:pPr>
      <w:r w:rsidRPr="00203FC0">
        <w:rPr>
          <w:rFonts w:eastAsiaTheme="minorHAnsi"/>
        </w:rPr>
        <w:t xml:space="preserve">The dosage in adults and adolescents aged 12 years and older weighing at least 40 kg is 300 mg of </w:t>
      </w:r>
      <w:proofErr w:type="spellStart"/>
      <w:r w:rsidR="000F4C37" w:rsidRPr="00203FC0">
        <w:rPr>
          <w:rFonts w:eastAsiaTheme="minorHAnsi"/>
        </w:rPr>
        <w:t>KAVIGALE</w:t>
      </w:r>
      <w:proofErr w:type="spellEnd"/>
      <w:r w:rsidRPr="00203FC0">
        <w:rPr>
          <w:rFonts w:eastAsiaTheme="minorHAnsi"/>
        </w:rPr>
        <w:t xml:space="preserve"> administered as an intramuscular injection or intravenous infusion. Subsequent doses of 300 mg </w:t>
      </w:r>
      <w:proofErr w:type="spellStart"/>
      <w:r w:rsidR="000F4C37" w:rsidRPr="00203FC0">
        <w:rPr>
          <w:rFonts w:eastAsiaTheme="minorHAnsi"/>
        </w:rPr>
        <w:t>KAVIGALE</w:t>
      </w:r>
      <w:proofErr w:type="spellEnd"/>
      <w:r w:rsidRPr="00203FC0">
        <w:rPr>
          <w:rFonts w:eastAsiaTheme="minorHAnsi"/>
        </w:rPr>
        <w:t xml:space="preserve"> administered as an intramuscular injection </w:t>
      </w:r>
      <w:r w:rsidR="00B37F42" w:rsidRPr="00203FC0">
        <w:rPr>
          <w:rFonts w:eastAsiaTheme="minorHAnsi"/>
        </w:rPr>
        <w:t xml:space="preserve">or </w:t>
      </w:r>
      <w:r w:rsidRPr="00203FC0">
        <w:rPr>
          <w:rFonts w:eastAsiaTheme="minorHAnsi"/>
        </w:rPr>
        <w:t xml:space="preserve">intravenous infusion may be given every </w:t>
      </w:r>
      <w:r w:rsidR="00345104" w:rsidRPr="00203FC0">
        <w:rPr>
          <w:rFonts w:eastAsiaTheme="minorHAnsi"/>
        </w:rPr>
        <w:t>3</w:t>
      </w:r>
      <w:r w:rsidRPr="00203FC0">
        <w:rPr>
          <w:rFonts w:eastAsiaTheme="minorHAnsi"/>
        </w:rPr>
        <w:t xml:space="preserve"> months until no longer required.</w:t>
      </w:r>
    </w:p>
    <w:p w14:paraId="132DDFBA" w14:textId="68E4E756" w:rsidR="00ED27EC" w:rsidRPr="00203FC0" w:rsidRDefault="00ED27EC" w:rsidP="00ED27EC">
      <w:pPr>
        <w:pStyle w:val="Heading3Unnumbered"/>
        <w:rPr>
          <w:lang w:val="en-AU"/>
        </w:rPr>
      </w:pPr>
      <w:r w:rsidRPr="00203FC0">
        <w:rPr>
          <w:lang w:val="en-AU"/>
        </w:rPr>
        <w:lastRenderedPageBreak/>
        <w:t>Special patient populations</w:t>
      </w:r>
      <w:r w:rsidR="002B1200" w:rsidRPr="00203FC0">
        <w:rPr>
          <w:lang w:val="en-AU"/>
        </w:rPr>
        <w:fldChar w:fldCharType="begin"/>
      </w:r>
      <w:r w:rsidR="002B1200" w:rsidRPr="00203FC0">
        <w:rPr>
          <w:lang w:val="en-AU"/>
        </w:rPr>
        <w:instrText xml:space="preserve"> DOCVARIABLE vault_nd_a9118739-1db1-4a1c-9085-31b19c7bd957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61ECB01F" w14:textId="023F075E" w:rsidR="00ED27EC" w:rsidRPr="00203FC0" w:rsidRDefault="00ED27EC" w:rsidP="00ED27EC">
      <w:pPr>
        <w:pStyle w:val="Heading4Unnumbered"/>
        <w:rPr>
          <w:lang w:val="en-AU"/>
        </w:rPr>
      </w:pPr>
      <w:r w:rsidRPr="00203FC0">
        <w:rPr>
          <w:lang w:val="en-AU"/>
        </w:rPr>
        <w:t>Renal impairment</w:t>
      </w:r>
      <w:r w:rsidR="002B1200" w:rsidRPr="00203FC0">
        <w:rPr>
          <w:lang w:val="en-AU"/>
        </w:rPr>
        <w:fldChar w:fldCharType="begin"/>
      </w:r>
      <w:r w:rsidR="002B1200" w:rsidRPr="00203FC0">
        <w:rPr>
          <w:lang w:val="en-AU"/>
        </w:rPr>
        <w:instrText xml:space="preserve"> DOCVARIABLE vault_nd_b24b79f7-42d7-4f73-a4f3-832eed604114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502D6F06" w14:textId="3741DBDC" w:rsidR="00ED27EC" w:rsidRPr="00203FC0" w:rsidRDefault="00D64E1F" w:rsidP="0008149A">
      <w:pPr>
        <w:pStyle w:val="Paragraph"/>
        <w:spacing w:after="0"/>
        <w:rPr>
          <w:iCs/>
          <w:lang w:val="en-AU"/>
        </w:rPr>
      </w:pPr>
      <w:r w:rsidRPr="00203FC0">
        <w:rPr>
          <w:iCs/>
          <w:lang w:val="en-AU"/>
        </w:rPr>
        <w:t>No dose adjustment is required (see Section 5.2).</w:t>
      </w:r>
    </w:p>
    <w:p w14:paraId="4CA69066" w14:textId="3486C789" w:rsidR="00ED27EC" w:rsidRPr="00203FC0" w:rsidRDefault="00ED27EC" w:rsidP="00ED27EC">
      <w:pPr>
        <w:pStyle w:val="Heading4Unnumbered"/>
        <w:rPr>
          <w:lang w:val="en-AU"/>
        </w:rPr>
      </w:pPr>
      <w:r w:rsidRPr="00203FC0">
        <w:rPr>
          <w:lang w:val="en-AU"/>
        </w:rPr>
        <w:t>Hepatic impairment</w:t>
      </w:r>
      <w:r w:rsidR="002B1200" w:rsidRPr="00203FC0">
        <w:rPr>
          <w:lang w:val="en-AU"/>
        </w:rPr>
        <w:fldChar w:fldCharType="begin"/>
      </w:r>
      <w:r w:rsidR="002B1200" w:rsidRPr="00203FC0">
        <w:rPr>
          <w:lang w:val="en-AU"/>
        </w:rPr>
        <w:instrText xml:space="preserve"> DOCVARIABLE vault_nd_ff22fc27-0f7a-4c19-8ffd-48db58d06e47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2CFE66E8" w14:textId="3D854736" w:rsidR="00D64E1F" w:rsidRPr="00203FC0" w:rsidRDefault="00D64E1F" w:rsidP="00D64E1F">
      <w:pPr>
        <w:pStyle w:val="Paragraph"/>
        <w:spacing w:after="0"/>
        <w:rPr>
          <w:iCs/>
          <w:lang w:val="en-AU"/>
        </w:rPr>
      </w:pPr>
      <w:r w:rsidRPr="00203FC0">
        <w:rPr>
          <w:iCs/>
          <w:lang w:val="en-AU"/>
        </w:rPr>
        <w:t>No dose adjustment is required (see Section 5.2).</w:t>
      </w:r>
      <w:r w:rsidR="00F23969" w:rsidRPr="00203FC0">
        <w:rPr>
          <w:iCs/>
          <w:lang w:val="en-AU"/>
        </w:rPr>
        <w:t xml:space="preserve"> </w:t>
      </w:r>
    </w:p>
    <w:p w14:paraId="36BEA18E" w14:textId="77777777" w:rsidR="00ED27EC" w:rsidRPr="00203FC0" w:rsidRDefault="00ED27EC" w:rsidP="00C85696">
      <w:pPr>
        <w:pStyle w:val="Paragraph"/>
        <w:rPr>
          <w:lang w:val="en-AU"/>
        </w:rPr>
      </w:pPr>
    </w:p>
    <w:p w14:paraId="4A48A52B" w14:textId="03121184" w:rsidR="00ED27EC" w:rsidRPr="00203FC0" w:rsidRDefault="00ED27EC" w:rsidP="00ED27EC">
      <w:pPr>
        <w:pStyle w:val="Heading4Unnumbered"/>
        <w:rPr>
          <w:lang w:val="en-AU"/>
        </w:rPr>
      </w:pPr>
      <w:r w:rsidRPr="00203FC0">
        <w:rPr>
          <w:lang w:val="en-AU"/>
        </w:rPr>
        <w:t>Use in the elderly</w:t>
      </w:r>
      <w:r w:rsidR="002B1200" w:rsidRPr="00203FC0">
        <w:rPr>
          <w:lang w:val="en-AU"/>
        </w:rPr>
        <w:fldChar w:fldCharType="begin"/>
      </w:r>
      <w:r w:rsidR="002B1200" w:rsidRPr="00203FC0">
        <w:rPr>
          <w:lang w:val="en-AU"/>
        </w:rPr>
        <w:instrText xml:space="preserve"> DOCVARIABLE vault_nd_90830708-ead4-4226-9d82-10523684d266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5FF541A1" w14:textId="664A211D" w:rsidR="00ED27EC" w:rsidRPr="00203FC0" w:rsidRDefault="00A96550" w:rsidP="00A96550">
      <w:pPr>
        <w:pStyle w:val="Paragraph"/>
        <w:spacing w:after="0"/>
        <w:rPr>
          <w:iCs/>
          <w:lang w:val="en-AU"/>
        </w:rPr>
      </w:pPr>
      <w:r w:rsidRPr="00203FC0">
        <w:rPr>
          <w:iCs/>
          <w:lang w:val="en-AU"/>
        </w:rPr>
        <w:t>No dose adjustment is required (see Section 5.2).</w:t>
      </w:r>
    </w:p>
    <w:p w14:paraId="5EE3A39D" w14:textId="77777777" w:rsidR="00A96550" w:rsidRPr="00203FC0" w:rsidRDefault="00A96550" w:rsidP="00A96550">
      <w:pPr>
        <w:pStyle w:val="Paragraph"/>
        <w:spacing w:after="0"/>
        <w:rPr>
          <w:iCs/>
          <w:lang w:val="en-AU"/>
        </w:rPr>
      </w:pPr>
    </w:p>
    <w:p w14:paraId="5E08ADFA" w14:textId="3B4D5C51" w:rsidR="00ED27EC" w:rsidRPr="00203FC0" w:rsidRDefault="001B114A" w:rsidP="00ED27EC">
      <w:pPr>
        <w:pStyle w:val="Heading4Unnumbered"/>
        <w:rPr>
          <w:lang w:val="en-AU"/>
        </w:rPr>
      </w:pPr>
      <w:r w:rsidRPr="00203FC0">
        <w:rPr>
          <w:lang w:val="en-AU"/>
        </w:rPr>
        <w:t>Paediatric use</w:t>
      </w:r>
      <w:r w:rsidR="002B1200" w:rsidRPr="00203FC0">
        <w:rPr>
          <w:lang w:val="en-AU"/>
        </w:rPr>
        <w:fldChar w:fldCharType="begin"/>
      </w:r>
      <w:r w:rsidR="002B1200" w:rsidRPr="00203FC0">
        <w:rPr>
          <w:lang w:val="en-AU"/>
        </w:rPr>
        <w:instrText xml:space="preserve"> DOCVARIABLE vault_nd_904d7c2a-dc3d-46ee-bc7c-6bbfc6d92747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0E0737E6" w14:textId="3D09B27E" w:rsidR="00ED27EC" w:rsidRPr="00203FC0" w:rsidRDefault="00A96550" w:rsidP="00C85696">
      <w:pPr>
        <w:pStyle w:val="Paragraph"/>
        <w:rPr>
          <w:lang w:val="en-AU"/>
        </w:rPr>
      </w:pPr>
      <w:r w:rsidRPr="00203FC0">
        <w:rPr>
          <w:lang w:val="en-AU"/>
        </w:rPr>
        <w:t xml:space="preserve">No dose adjustment is required in adolescents aged 12 years and older and weighing at least 40 kg (see Section 5.2). The safety and efficacy of </w:t>
      </w:r>
      <w:proofErr w:type="spellStart"/>
      <w:r w:rsidR="00FF0137" w:rsidRPr="00203FC0">
        <w:rPr>
          <w:lang w:val="en-AU"/>
        </w:rPr>
        <w:t>KAVIGALE</w:t>
      </w:r>
      <w:proofErr w:type="spellEnd"/>
      <w:r w:rsidRPr="00203FC0">
        <w:rPr>
          <w:lang w:val="en-AU"/>
        </w:rPr>
        <w:t xml:space="preserve"> in children aged &lt;12 years have not been established.</w:t>
      </w:r>
    </w:p>
    <w:p w14:paraId="45F8317F" w14:textId="5941D919" w:rsidR="00ED27EC" w:rsidRPr="00203FC0" w:rsidRDefault="00ED27EC" w:rsidP="00ED27EC">
      <w:pPr>
        <w:pStyle w:val="Heading3Unnumbered"/>
        <w:rPr>
          <w:lang w:val="en-AU"/>
        </w:rPr>
      </w:pPr>
      <w:r w:rsidRPr="00203FC0">
        <w:rPr>
          <w:lang w:val="en-AU"/>
        </w:rPr>
        <w:t>Method of administration</w:t>
      </w:r>
      <w:r w:rsidR="002B1200" w:rsidRPr="00203FC0">
        <w:rPr>
          <w:lang w:val="en-AU"/>
        </w:rPr>
        <w:fldChar w:fldCharType="begin"/>
      </w:r>
      <w:r w:rsidR="002B1200" w:rsidRPr="00203FC0">
        <w:rPr>
          <w:lang w:val="en-AU"/>
        </w:rPr>
        <w:instrText xml:space="preserve"> DOCVARIABLE vault_nd_c1e1ee21-f0c3-4b76-b34f-21ac3b724dde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5D8F9ECA" w14:textId="2C67AD39" w:rsidR="00ED27EC" w:rsidRPr="00203FC0" w:rsidRDefault="008517D7" w:rsidP="00C85696">
      <w:pPr>
        <w:pStyle w:val="Paragraph"/>
        <w:rPr>
          <w:lang w:val="en-AU"/>
        </w:rPr>
      </w:pPr>
      <w:proofErr w:type="spellStart"/>
      <w:r w:rsidRPr="00203FC0">
        <w:rPr>
          <w:lang w:val="en-AU"/>
        </w:rPr>
        <w:t>KAVIGALE</w:t>
      </w:r>
      <w:proofErr w:type="spellEnd"/>
      <w:r w:rsidRPr="00203FC0">
        <w:rPr>
          <w:lang w:val="en-AU"/>
        </w:rPr>
        <w:t xml:space="preserve"> may be administered via an intramuscular injection or via intravenous infusion using an infusion bag or a syringe pump.</w:t>
      </w:r>
    </w:p>
    <w:p w14:paraId="69CB9A6D" w14:textId="35B29AC4" w:rsidR="00A96550" w:rsidRPr="00203FC0" w:rsidRDefault="00A96550" w:rsidP="0008149A">
      <w:pPr>
        <w:pStyle w:val="Heading4Unnumbered"/>
        <w:rPr>
          <w:lang w:val="en-AU"/>
        </w:rPr>
      </w:pPr>
      <w:r w:rsidRPr="00203FC0">
        <w:rPr>
          <w:lang w:val="en-AU"/>
        </w:rPr>
        <w:t>Intramuscular injection</w:t>
      </w:r>
      <w:r w:rsidR="002B1200" w:rsidRPr="00203FC0">
        <w:rPr>
          <w:lang w:val="en-AU"/>
        </w:rPr>
        <w:fldChar w:fldCharType="begin"/>
      </w:r>
      <w:r w:rsidR="002B1200" w:rsidRPr="00203FC0">
        <w:rPr>
          <w:lang w:val="en-AU"/>
        </w:rPr>
        <w:instrText xml:space="preserve"> DOCVARIABLE vault_nd_405edf0e-f914-455d-8e86-c4bf7cb834a0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42F028C8" w14:textId="62D09BB9" w:rsidR="00A96550" w:rsidRPr="00203FC0" w:rsidRDefault="00A96550" w:rsidP="00A96550">
      <w:pPr>
        <w:spacing w:after="0"/>
        <w:rPr>
          <w:rFonts w:eastAsiaTheme="minorHAnsi"/>
        </w:rPr>
      </w:pPr>
      <w:r w:rsidRPr="00203FC0">
        <w:rPr>
          <w:rFonts w:eastAsiaTheme="minorHAnsi"/>
        </w:rPr>
        <w:t xml:space="preserve">Intramuscular injection of </w:t>
      </w:r>
      <w:proofErr w:type="spellStart"/>
      <w:r w:rsidR="000F4C37" w:rsidRPr="00203FC0">
        <w:rPr>
          <w:rFonts w:eastAsiaTheme="minorHAnsi"/>
        </w:rPr>
        <w:t>KAVIGALE</w:t>
      </w:r>
      <w:proofErr w:type="spellEnd"/>
      <w:r w:rsidRPr="00203FC0">
        <w:rPr>
          <w:rFonts w:eastAsiaTheme="minorHAnsi"/>
        </w:rPr>
        <w:t xml:space="preserve"> should be made preferably in the anterolateral aspect of the thigh.</w:t>
      </w:r>
      <w:r w:rsidR="00365BB3" w:rsidRPr="00203FC0">
        <w:rPr>
          <w:rFonts w:eastAsiaTheme="minorHAnsi"/>
        </w:rPr>
        <w:t xml:space="preserve"> </w:t>
      </w:r>
      <w:r w:rsidR="00170B91" w:rsidRPr="00203FC0">
        <w:rPr>
          <w:rFonts w:eastAsiaTheme="minorHAnsi"/>
        </w:rPr>
        <w:t>The solution for injection should be prepared and administered by a healthcare professional, using aseptic technique as follows:</w:t>
      </w:r>
    </w:p>
    <w:p w14:paraId="019BB4BB" w14:textId="77777777" w:rsidR="00933A57" w:rsidRPr="00203FC0" w:rsidRDefault="00933A57" w:rsidP="00A96550">
      <w:pPr>
        <w:spacing w:after="0"/>
        <w:rPr>
          <w:rFonts w:eastAsiaTheme="minorHAnsi"/>
        </w:rPr>
      </w:pPr>
    </w:p>
    <w:p w14:paraId="0C90C219" w14:textId="0F878BE1" w:rsidR="000F5B30" w:rsidRPr="00203FC0" w:rsidRDefault="000F5B30" w:rsidP="00395436">
      <w:pPr>
        <w:pStyle w:val="Paragraph"/>
        <w:numPr>
          <w:ilvl w:val="0"/>
          <w:numId w:val="21"/>
        </w:numPr>
        <w:rPr>
          <w:lang w:val="en-AU"/>
        </w:rPr>
      </w:pPr>
      <w:r w:rsidRPr="00203FC0">
        <w:rPr>
          <w:lang w:val="en-AU"/>
        </w:rPr>
        <w:t xml:space="preserve">Remove </w:t>
      </w:r>
      <w:proofErr w:type="spellStart"/>
      <w:r w:rsidRPr="00203FC0">
        <w:rPr>
          <w:lang w:val="en-AU"/>
        </w:rPr>
        <w:t>KAVIGALE</w:t>
      </w:r>
      <w:proofErr w:type="spellEnd"/>
      <w:r w:rsidRPr="00203FC0">
        <w:rPr>
          <w:lang w:val="en-AU"/>
        </w:rPr>
        <w:t> vial from refrigerated storage.</w:t>
      </w:r>
    </w:p>
    <w:p w14:paraId="5A744C6F" w14:textId="30ACC666" w:rsidR="000F5B30" w:rsidRPr="00203FC0" w:rsidRDefault="000F5B30" w:rsidP="00395436">
      <w:pPr>
        <w:pStyle w:val="Paragraph"/>
        <w:numPr>
          <w:ilvl w:val="0"/>
          <w:numId w:val="21"/>
        </w:numPr>
        <w:rPr>
          <w:lang w:val="en-AU"/>
        </w:rPr>
      </w:pPr>
      <w:r w:rsidRPr="00203FC0">
        <w:rPr>
          <w:lang w:val="en-AU"/>
        </w:rPr>
        <w:t xml:space="preserve">Inspect the vial visually for particulate matter and discolouration. </w:t>
      </w:r>
      <w:proofErr w:type="spellStart"/>
      <w:r w:rsidRPr="00203FC0">
        <w:rPr>
          <w:lang w:val="en-AU"/>
        </w:rPr>
        <w:t>KAVIGALE</w:t>
      </w:r>
      <w:proofErr w:type="spellEnd"/>
      <w:r w:rsidRPr="00203FC0">
        <w:rPr>
          <w:lang w:val="en-AU"/>
        </w:rPr>
        <w:t xml:space="preserve"> is a clear to opalescent, colourless to slightly yellow solution. Discard the vial if the solution is cloudy, discoloured or visible particles are observed. Do not shake the vial.</w:t>
      </w:r>
    </w:p>
    <w:p w14:paraId="7CA6ED6E" w14:textId="6C7D4278" w:rsidR="008F55C7" w:rsidRPr="00203FC0" w:rsidRDefault="000F5B30" w:rsidP="00395436">
      <w:pPr>
        <w:pStyle w:val="Paragraph"/>
        <w:numPr>
          <w:ilvl w:val="0"/>
          <w:numId w:val="21"/>
        </w:numPr>
        <w:rPr>
          <w:lang w:val="en-AU"/>
        </w:rPr>
      </w:pPr>
      <w:r w:rsidRPr="00203FC0">
        <w:rPr>
          <w:lang w:val="en-AU"/>
        </w:rPr>
        <w:t xml:space="preserve">Withdraw 2 mL </w:t>
      </w:r>
      <w:proofErr w:type="spellStart"/>
      <w:r w:rsidRPr="00203FC0">
        <w:rPr>
          <w:lang w:val="en-AU"/>
        </w:rPr>
        <w:t>sipavibart</w:t>
      </w:r>
      <w:proofErr w:type="spellEnd"/>
      <w:r w:rsidRPr="00203FC0">
        <w:rPr>
          <w:lang w:val="en-AU"/>
        </w:rPr>
        <w:t xml:space="preserve"> into a syringe. For storage conditions of the prepared syringe, see </w:t>
      </w:r>
      <w:r w:rsidR="008F55C7" w:rsidRPr="00203FC0">
        <w:rPr>
          <w:lang w:val="en-AU"/>
        </w:rPr>
        <w:t>S</w:t>
      </w:r>
      <w:r w:rsidRPr="00203FC0">
        <w:rPr>
          <w:lang w:val="en-AU"/>
        </w:rPr>
        <w:t>ection 6.3.</w:t>
      </w:r>
    </w:p>
    <w:p w14:paraId="1E311B9B" w14:textId="603CB2D8" w:rsidR="008F55C7" w:rsidRPr="00203FC0" w:rsidRDefault="008F55C7" w:rsidP="00395436">
      <w:pPr>
        <w:pStyle w:val="Paragraph"/>
        <w:numPr>
          <w:ilvl w:val="0"/>
          <w:numId w:val="21"/>
        </w:numPr>
        <w:rPr>
          <w:lang w:val="en-AU"/>
        </w:rPr>
      </w:pPr>
      <w:r w:rsidRPr="00203FC0">
        <w:rPr>
          <w:lang w:val="en-AU"/>
        </w:rPr>
        <w:t>Administer the intramuscular injection, preferably in the anterolateral</w:t>
      </w:r>
      <w:r w:rsidR="00F201A9" w:rsidRPr="00203FC0">
        <w:rPr>
          <w:lang w:val="en-AU"/>
        </w:rPr>
        <w:t xml:space="preserve"> aspect of the</w:t>
      </w:r>
      <w:r w:rsidRPr="00203FC0">
        <w:rPr>
          <w:lang w:val="en-AU"/>
        </w:rPr>
        <w:t xml:space="preserve"> thigh.</w:t>
      </w:r>
    </w:p>
    <w:p w14:paraId="6695A02E" w14:textId="2669AF7B" w:rsidR="008F55C7" w:rsidRPr="00203FC0" w:rsidRDefault="008F55C7" w:rsidP="00395436">
      <w:pPr>
        <w:pStyle w:val="Paragraph"/>
        <w:numPr>
          <w:ilvl w:val="0"/>
          <w:numId w:val="21"/>
        </w:numPr>
        <w:rPr>
          <w:lang w:val="en-AU"/>
        </w:rPr>
      </w:pPr>
      <w:r w:rsidRPr="00203FC0">
        <w:rPr>
          <w:lang w:val="en-AU"/>
        </w:rPr>
        <w:t>Discard any unused portion left in the vial.</w:t>
      </w:r>
    </w:p>
    <w:p w14:paraId="12594AB0" w14:textId="7EFECE5F" w:rsidR="00A96550" w:rsidRPr="00203FC0" w:rsidRDefault="008F55C7" w:rsidP="00395436">
      <w:pPr>
        <w:pStyle w:val="Paragraph"/>
        <w:numPr>
          <w:ilvl w:val="0"/>
          <w:numId w:val="21"/>
        </w:numPr>
        <w:rPr>
          <w:lang w:val="en-AU"/>
        </w:rPr>
      </w:pPr>
      <w:r w:rsidRPr="00203FC0">
        <w:rPr>
          <w:lang w:val="en-AU"/>
        </w:rPr>
        <w:t>Individuals should be monitored after administration according to local medical practice.</w:t>
      </w:r>
    </w:p>
    <w:p w14:paraId="0693071A" w14:textId="51EF424D" w:rsidR="00A96550" w:rsidRPr="00203FC0" w:rsidRDefault="00A96550" w:rsidP="0008149A">
      <w:pPr>
        <w:pStyle w:val="Heading4Unnumbered"/>
        <w:rPr>
          <w:lang w:val="en-AU"/>
        </w:rPr>
      </w:pPr>
      <w:r w:rsidRPr="00203FC0">
        <w:rPr>
          <w:lang w:val="en-AU"/>
        </w:rPr>
        <w:t>Intravenous infusion</w:t>
      </w:r>
      <w:r w:rsidR="002B1200" w:rsidRPr="00203FC0">
        <w:rPr>
          <w:lang w:val="en-AU"/>
        </w:rPr>
        <w:fldChar w:fldCharType="begin"/>
      </w:r>
      <w:r w:rsidR="002B1200" w:rsidRPr="00203FC0">
        <w:rPr>
          <w:lang w:val="en-AU"/>
        </w:rPr>
        <w:instrText xml:space="preserve"> DOCVARIABLE vault_nd_ddd529e1-92c7-4f83-ae69-7261de5b2476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33D16197" w14:textId="0C51E248" w:rsidR="001E24AF" w:rsidRPr="00203FC0" w:rsidRDefault="000F4C37" w:rsidP="00A96550">
      <w:pPr>
        <w:spacing w:after="0"/>
      </w:pPr>
      <w:proofErr w:type="spellStart"/>
      <w:r w:rsidRPr="00203FC0">
        <w:t>KAVIGALE</w:t>
      </w:r>
      <w:proofErr w:type="spellEnd"/>
      <w:r w:rsidR="00A96550" w:rsidRPr="00203FC0">
        <w:t xml:space="preserve"> may be administered diluted in a 50 mL or 100 mL infusion bag over approximately 20 minutes, or undiluted using a syringe pump over at least 6 minutes.</w:t>
      </w:r>
      <w:r w:rsidR="00C47106" w:rsidRPr="00203FC0">
        <w:t xml:space="preserve"> The solution for infusion should be prepared and administered by a healthcare professional, using aseptic technique as follows:</w:t>
      </w:r>
      <w:r w:rsidR="00B76E4A" w:rsidRPr="00203FC0">
        <w:t xml:space="preserve"> </w:t>
      </w:r>
    </w:p>
    <w:p w14:paraId="360E7A81" w14:textId="77777777" w:rsidR="00A42096" w:rsidRPr="00203FC0" w:rsidRDefault="00A42096" w:rsidP="00A96550">
      <w:pPr>
        <w:spacing w:after="0"/>
      </w:pPr>
    </w:p>
    <w:p w14:paraId="7F8215B8" w14:textId="77777777" w:rsidR="00BC75FC" w:rsidRPr="00203FC0" w:rsidRDefault="00BC75FC" w:rsidP="006E529C">
      <w:pPr>
        <w:pStyle w:val="Paragraph"/>
        <w:keepNext/>
        <w:spacing w:after="0"/>
        <w:rPr>
          <w:i/>
          <w:iCs/>
          <w:lang w:val="en-AU"/>
        </w:rPr>
      </w:pPr>
      <w:r w:rsidRPr="00203FC0">
        <w:rPr>
          <w:i/>
          <w:iCs/>
          <w:lang w:val="en-AU"/>
        </w:rPr>
        <w:lastRenderedPageBreak/>
        <w:t>Preparation of solution</w:t>
      </w:r>
    </w:p>
    <w:p w14:paraId="3C882D9A" w14:textId="77777777" w:rsidR="00BC75FC" w:rsidRPr="00203FC0" w:rsidRDefault="00BC75FC" w:rsidP="00BC75FC">
      <w:pPr>
        <w:pStyle w:val="Paragraph"/>
        <w:spacing w:after="0"/>
        <w:rPr>
          <w:lang w:val="en-AU"/>
        </w:rPr>
      </w:pPr>
    </w:p>
    <w:p w14:paraId="70819391" w14:textId="105D5CC2" w:rsidR="00BC75FC" w:rsidRPr="00203FC0" w:rsidRDefault="00BC75FC" w:rsidP="00E305B2">
      <w:pPr>
        <w:pStyle w:val="Paragraph"/>
        <w:numPr>
          <w:ilvl w:val="0"/>
          <w:numId w:val="22"/>
        </w:numPr>
        <w:rPr>
          <w:lang w:val="en-AU"/>
        </w:rPr>
      </w:pPr>
      <w:r w:rsidRPr="00203FC0">
        <w:rPr>
          <w:lang w:val="en-AU"/>
        </w:rPr>
        <w:t xml:space="preserve">Remove </w:t>
      </w:r>
      <w:proofErr w:type="spellStart"/>
      <w:r w:rsidRPr="00203FC0">
        <w:rPr>
          <w:lang w:val="en-AU"/>
        </w:rPr>
        <w:t>KAVIGALE</w:t>
      </w:r>
      <w:proofErr w:type="spellEnd"/>
      <w:r w:rsidRPr="00203FC0">
        <w:rPr>
          <w:lang w:val="en-AU"/>
        </w:rPr>
        <w:t> vial from refrigerated storage.</w:t>
      </w:r>
    </w:p>
    <w:p w14:paraId="493B970A" w14:textId="29F40DCD" w:rsidR="00BC75FC" w:rsidRPr="00203FC0" w:rsidRDefault="00BC75FC" w:rsidP="00E305B2">
      <w:pPr>
        <w:pStyle w:val="Paragraph"/>
        <w:numPr>
          <w:ilvl w:val="0"/>
          <w:numId w:val="22"/>
        </w:numPr>
        <w:rPr>
          <w:lang w:val="en-AU"/>
        </w:rPr>
      </w:pPr>
      <w:r w:rsidRPr="00203FC0">
        <w:rPr>
          <w:lang w:val="en-AU"/>
        </w:rPr>
        <w:t xml:space="preserve">Visually inspect the medicinal product for particulate matter and discolouration prior to administration. </w:t>
      </w:r>
      <w:proofErr w:type="spellStart"/>
      <w:r w:rsidRPr="00203FC0">
        <w:rPr>
          <w:lang w:val="en-AU"/>
        </w:rPr>
        <w:t>KAVIGALE</w:t>
      </w:r>
      <w:proofErr w:type="spellEnd"/>
      <w:r w:rsidRPr="00203FC0">
        <w:rPr>
          <w:lang w:val="en-AU"/>
        </w:rPr>
        <w:t xml:space="preserve"> is a clear to opalescent, colourless to slightly yellow solution. Discard the vial if the solution is cloudy, discoloured or visible particles are observed. Do not shake the vial. </w:t>
      </w:r>
    </w:p>
    <w:p w14:paraId="3759FCEF" w14:textId="7F9C49D8" w:rsidR="00BC75FC" w:rsidRPr="00203FC0" w:rsidRDefault="00BC75FC" w:rsidP="00E305B2">
      <w:pPr>
        <w:pStyle w:val="Paragraph"/>
        <w:numPr>
          <w:ilvl w:val="0"/>
          <w:numId w:val="22"/>
        </w:numPr>
        <w:rPr>
          <w:lang w:val="en-AU"/>
        </w:rPr>
      </w:pPr>
      <w:r w:rsidRPr="00203FC0">
        <w:rPr>
          <w:lang w:val="en-AU"/>
        </w:rPr>
        <w:t>Withdraw 2 m</w:t>
      </w:r>
      <w:r w:rsidR="00B52FFE" w:rsidRPr="00203FC0">
        <w:rPr>
          <w:lang w:val="en-AU"/>
        </w:rPr>
        <w:t>L</w:t>
      </w:r>
      <w:r w:rsidRPr="00203FC0">
        <w:rPr>
          <w:lang w:val="en-AU"/>
        </w:rPr>
        <w:t xml:space="preserve"> from the vial and prepare an admixture for infusion by transferring into a 50 m</w:t>
      </w:r>
      <w:r w:rsidR="006B6C91" w:rsidRPr="00203FC0">
        <w:rPr>
          <w:lang w:val="en-AU"/>
        </w:rPr>
        <w:t>L</w:t>
      </w:r>
      <w:r w:rsidRPr="00203FC0">
        <w:rPr>
          <w:lang w:val="en-AU"/>
        </w:rPr>
        <w:t xml:space="preserve"> or 100 m</w:t>
      </w:r>
      <w:r w:rsidR="006B6C91" w:rsidRPr="00203FC0">
        <w:rPr>
          <w:lang w:val="en-AU"/>
        </w:rPr>
        <w:t>L</w:t>
      </w:r>
      <w:r w:rsidRPr="00203FC0">
        <w:rPr>
          <w:lang w:val="en-AU"/>
        </w:rPr>
        <w:t xml:space="preserve"> infusion bag containing sodium chloride 9 mg/m</w:t>
      </w:r>
      <w:r w:rsidR="006B6C91" w:rsidRPr="00203FC0">
        <w:rPr>
          <w:lang w:val="en-AU"/>
        </w:rPr>
        <w:t>L</w:t>
      </w:r>
      <w:r w:rsidRPr="00203FC0">
        <w:rPr>
          <w:lang w:val="en-AU"/>
        </w:rPr>
        <w:t xml:space="preserve"> (0.9%) solution for injection, or dextrose 50 mg/m</w:t>
      </w:r>
      <w:r w:rsidR="006B6C91" w:rsidRPr="00203FC0">
        <w:rPr>
          <w:lang w:val="en-AU"/>
        </w:rPr>
        <w:t>L</w:t>
      </w:r>
      <w:r w:rsidRPr="00203FC0">
        <w:rPr>
          <w:lang w:val="en-AU"/>
        </w:rPr>
        <w:t xml:space="preserve"> (5%) solution for </w:t>
      </w:r>
      <w:r w:rsidR="00CF79D8" w:rsidRPr="00203FC0">
        <w:rPr>
          <w:lang w:val="en-AU"/>
        </w:rPr>
        <w:t>injection or</w:t>
      </w:r>
      <w:r w:rsidRPr="00203FC0">
        <w:rPr>
          <w:lang w:val="en-AU"/>
        </w:rPr>
        <w:t xml:space="preserve"> administer using a syringe pump (see below).</w:t>
      </w:r>
    </w:p>
    <w:p w14:paraId="1A44F1A7" w14:textId="74B630E4" w:rsidR="00BC75FC" w:rsidRPr="00203FC0" w:rsidRDefault="00BC75FC" w:rsidP="00E305B2">
      <w:pPr>
        <w:pStyle w:val="Paragraph"/>
        <w:numPr>
          <w:ilvl w:val="0"/>
          <w:numId w:val="22"/>
        </w:numPr>
        <w:rPr>
          <w:lang w:val="en-AU"/>
        </w:rPr>
      </w:pPr>
      <w:r w:rsidRPr="00203FC0">
        <w:rPr>
          <w:lang w:val="en-AU"/>
        </w:rPr>
        <w:t xml:space="preserve">Do not freeze or shake the solution. For storage conditions of the prepared syringe or prepared infusion bag, see </w:t>
      </w:r>
      <w:r w:rsidR="009C0240" w:rsidRPr="00203FC0">
        <w:rPr>
          <w:lang w:val="en-AU"/>
        </w:rPr>
        <w:t>S</w:t>
      </w:r>
      <w:r w:rsidRPr="00203FC0">
        <w:rPr>
          <w:lang w:val="en-AU"/>
        </w:rPr>
        <w:t>ection 6.</w:t>
      </w:r>
      <w:r w:rsidR="00DE5723" w:rsidRPr="00203FC0">
        <w:rPr>
          <w:lang w:val="en-AU"/>
        </w:rPr>
        <w:t>4</w:t>
      </w:r>
      <w:r w:rsidRPr="00203FC0">
        <w:rPr>
          <w:lang w:val="en-AU"/>
        </w:rPr>
        <w:t>.</w:t>
      </w:r>
    </w:p>
    <w:p w14:paraId="68B8ADDC" w14:textId="1A7907D3" w:rsidR="00BC75FC" w:rsidRPr="00203FC0" w:rsidRDefault="00BC75FC" w:rsidP="00E305B2">
      <w:pPr>
        <w:pStyle w:val="Paragraph"/>
        <w:numPr>
          <w:ilvl w:val="0"/>
          <w:numId w:val="22"/>
        </w:numPr>
        <w:rPr>
          <w:lang w:val="en-AU"/>
        </w:rPr>
      </w:pPr>
      <w:r w:rsidRPr="00203FC0">
        <w:rPr>
          <w:lang w:val="en-AU"/>
        </w:rPr>
        <w:t>Discard any unused portion left in the vial.</w:t>
      </w:r>
    </w:p>
    <w:p w14:paraId="6C99207B" w14:textId="0B6F3F1C" w:rsidR="00BC75FC" w:rsidRPr="00203FC0" w:rsidRDefault="00BC75FC" w:rsidP="005D5C1B">
      <w:pPr>
        <w:pStyle w:val="Paragraph"/>
        <w:rPr>
          <w:i/>
          <w:iCs/>
          <w:lang w:val="en-AU"/>
        </w:rPr>
      </w:pPr>
      <w:r w:rsidRPr="00203FC0">
        <w:rPr>
          <w:i/>
          <w:iCs/>
          <w:lang w:val="en-AU"/>
        </w:rPr>
        <w:t>Administration – infusion bag</w:t>
      </w:r>
    </w:p>
    <w:p w14:paraId="50C50C6A" w14:textId="0F8EC32F" w:rsidR="00BC75FC" w:rsidRPr="00203FC0" w:rsidRDefault="00BC75FC" w:rsidP="000E784A">
      <w:pPr>
        <w:pStyle w:val="Paragraph"/>
        <w:numPr>
          <w:ilvl w:val="0"/>
          <w:numId w:val="23"/>
        </w:numPr>
        <w:rPr>
          <w:lang w:val="en-AU"/>
        </w:rPr>
      </w:pPr>
      <w:r w:rsidRPr="00203FC0">
        <w:rPr>
          <w:lang w:val="en-AU"/>
        </w:rPr>
        <w:t xml:space="preserve">Do not co-administer other medicinal products through the same infusion line. </w:t>
      </w:r>
    </w:p>
    <w:p w14:paraId="13A8619E" w14:textId="7DC8B292" w:rsidR="00BC75FC" w:rsidRPr="00203FC0" w:rsidRDefault="00BC75FC" w:rsidP="000E784A">
      <w:pPr>
        <w:pStyle w:val="Paragraph"/>
        <w:numPr>
          <w:ilvl w:val="0"/>
          <w:numId w:val="23"/>
        </w:numPr>
        <w:rPr>
          <w:lang w:val="en-AU"/>
        </w:rPr>
      </w:pPr>
      <w:r w:rsidRPr="00203FC0">
        <w:rPr>
          <w:lang w:val="en-AU"/>
        </w:rPr>
        <w:t xml:space="preserve">Administer the infusion solution intravenously </w:t>
      </w:r>
      <w:r w:rsidR="008604EC" w:rsidRPr="00203FC0">
        <w:rPr>
          <w:lang w:val="en-AU"/>
        </w:rPr>
        <w:t xml:space="preserve">via </w:t>
      </w:r>
      <w:r w:rsidR="008C1709" w:rsidRPr="00203FC0">
        <w:rPr>
          <w:lang w:val="en-AU"/>
        </w:rPr>
        <w:t xml:space="preserve">infusion pump or gravity </w:t>
      </w:r>
      <w:r w:rsidRPr="00203FC0">
        <w:rPr>
          <w:lang w:val="en-AU"/>
        </w:rPr>
        <w:t>over approximately 20 minutes through an intravenous line containing a sterile, low-protein binding 0.2 or 0.22 micron in-line filter.</w:t>
      </w:r>
    </w:p>
    <w:p w14:paraId="79FDDCFC" w14:textId="7A060E74" w:rsidR="00BC75FC" w:rsidRPr="00203FC0" w:rsidRDefault="00BC75FC" w:rsidP="000E784A">
      <w:pPr>
        <w:pStyle w:val="Paragraph"/>
        <w:numPr>
          <w:ilvl w:val="0"/>
          <w:numId w:val="23"/>
        </w:numPr>
        <w:rPr>
          <w:lang w:val="en-AU"/>
        </w:rPr>
      </w:pPr>
      <w:r w:rsidRPr="00203FC0">
        <w:rPr>
          <w:lang w:val="en-AU"/>
        </w:rPr>
        <w:t>Once the infusion is complete, flush the tubing with sufficient sodium chloride 9 mg/mL (0.9%) solution for injection or 50 mg/mL (5%) dextrose injection to ensure delivery of the required dose.</w:t>
      </w:r>
    </w:p>
    <w:p w14:paraId="5DA34690" w14:textId="312FA084" w:rsidR="00BC75FC" w:rsidRPr="00203FC0" w:rsidRDefault="00BC75FC" w:rsidP="000E784A">
      <w:pPr>
        <w:pStyle w:val="Paragraph"/>
        <w:numPr>
          <w:ilvl w:val="0"/>
          <w:numId w:val="23"/>
        </w:numPr>
        <w:rPr>
          <w:lang w:val="en-AU"/>
        </w:rPr>
      </w:pPr>
      <w:r w:rsidRPr="00203FC0">
        <w:rPr>
          <w:lang w:val="en-AU"/>
        </w:rPr>
        <w:t>Individuals should be monitored after administration according to local medical practice.</w:t>
      </w:r>
    </w:p>
    <w:p w14:paraId="5CE8346A" w14:textId="373AA369" w:rsidR="00BC75FC" w:rsidRPr="00203FC0" w:rsidRDefault="00BC75FC" w:rsidP="00EB640C">
      <w:pPr>
        <w:pStyle w:val="Paragraph"/>
        <w:rPr>
          <w:i/>
          <w:iCs/>
          <w:lang w:val="en-AU"/>
        </w:rPr>
      </w:pPr>
      <w:r w:rsidRPr="00203FC0">
        <w:rPr>
          <w:i/>
          <w:iCs/>
          <w:lang w:val="en-AU"/>
        </w:rPr>
        <w:t>Administration – syringe pump</w:t>
      </w:r>
    </w:p>
    <w:p w14:paraId="2C3A30CE" w14:textId="302DD8C9" w:rsidR="00926FEB" w:rsidRPr="00203FC0" w:rsidRDefault="00926FEB" w:rsidP="000E784A">
      <w:pPr>
        <w:pStyle w:val="Paragraph"/>
        <w:numPr>
          <w:ilvl w:val="0"/>
          <w:numId w:val="24"/>
        </w:numPr>
        <w:rPr>
          <w:lang w:val="en-AU"/>
        </w:rPr>
      </w:pPr>
      <w:r w:rsidRPr="00203FC0">
        <w:rPr>
          <w:lang w:val="en-AU"/>
        </w:rPr>
        <w:t>Administer 2 m</w:t>
      </w:r>
      <w:r w:rsidR="00FD1C31" w:rsidRPr="00203FC0">
        <w:rPr>
          <w:lang w:val="en-AU"/>
        </w:rPr>
        <w:t>L</w:t>
      </w:r>
      <w:r w:rsidRPr="00203FC0">
        <w:rPr>
          <w:lang w:val="en-AU"/>
        </w:rPr>
        <w:t xml:space="preserve"> </w:t>
      </w:r>
      <w:proofErr w:type="spellStart"/>
      <w:r w:rsidRPr="00203FC0">
        <w:rPr>
          <w:lang w:val="en-AU"/>
        </w:rPr>
        <w:t>KAVIGALE</w:t>
      </w:r>
      <w:proofErr w:type="spellEnd"/>
      <w:r w:rsidRPr="00203FC0">
        <w:rPr>
          <w:lang w:val="en-AU"/>
        </w:rPr>
        <w:t xml:space="preserve"> (300 mg) as an undiluted intravenous infusion using a syringe pump over at least 6 minutes.</w:t>
      </w:r>
    </w:p>
    <w:p w14:paraId="7652E833" w14:textId="3EA9828D" w:rsidR="00926FEB" w:rsidRPr="00203FC0" w:rsidRDefault="00926FEB" w:rsidP="000E784A">
      <w:pPr>
        <w:pStyle w:val="Paragraph"/>
        <w:numPr>
          <w:ilvl w:val="0"/>
          <w:numId w:val="24"/>
        </w:numPr>
        <w:rPr>
          <w:lang w:val="en-AU"/>
        </w:rPr>
      </w:pPr>
      <w:r w:rsidRPr="00203FC0">
        <w:rPr>
          <w:lang w:val="en-AU"/>
        </w:rPr>
        <w:t>It is recommended to use administration set components of the lowest volume possible to ensure sufficient dose delivery prior to flushing.</w:t>
      </w:r>
    </w:p>
    <w:p w14:paraId="32D71C58" w14:textId="7E09CF81" w:rsidR="00926FEB" w:rsidRPr="00203FC0" w:rsidRDefault="00926FEB" w:rsidP="000E784A">
      <w:pPr>
        <w:pStyle w:val="Paragraph"/>
        <w:numPr>
          <w:ilvl w:val="0"/>
          <w:numId w:val="24"/>
        </w:numPr>
        <w:rPr>
          <w:lang w:val="en-AU"/>
        </w:rPr>
      </w:pPr>
      <w:r w:rsidRPr="00203FC0">
        <w:rPr>
          <w:lang w:val="en-AU"/>
        </w:rPr>
        <w:t>After the entire contents of the syringe have been administered, flush the administration set with a sufficient volume of sodium chloride 9 mg/m</w:t>
      </w:r>
      <w:r w:rsidR="004111D4" w:rsidRPr="00203FC0">
        <w:rPr>
          <w:lang w:val="en-AU"/>
        </w:rPr>
        <w:t>L</w:t>
      </w:r>
      <w:r w:rsidRPr="00203FC0">
        <w:rPr>
          <w:lang w:val="en-AU"/>
        </w:rPr>
        <w:t xml:space="preserve"> (0.9%) solution for injection or 50 mg/mL (5%) dextrose injection to ensure that the full dose has been administered.</w:t>
      </w:r>
    </w:p>
    <w:p w14:paraId="53661D4C" w14:textId="1F11055E" w:rsidR="00A96550" w:rsidRPr="00203FC0" w:rsidRDefault="00926FEB" w:rsidP="000E784A">
      <w:pPr>
        <w:pStyle w:val="Paragraph"/>
        <w:numPr>
          <w:ilvl w:val="0"/>
          <w:numId w:val="24"/>
        </w:numPr>
        <w:rPr>
          <w:lang w:val="en-AU"/>
        </w:rPr>
      </w:pPr>
      <w:r w:rsidRPr="00203FC0">
        <w:rPr>
          <w:lang w:val="en-AU"/>
        </w:rPr>
        <w:t>Individuals should be monitored after administration according to local medical practice.</w:t>
      </w:r>
    </w:p>
    <w:p w14:paraId="0F7EC687" w14:textId="77777777" w:rsidR="00A96550" w:rsidRDefault="00A96550" w:rsidP="00A96550">
      <w:r w:rsidRPr="00203FC0">
        <w:t>If signs and symptoms of an infusion-related reaction occur, interrupt, slow or stop the infusion and administer appropriate medicinal products and/or supportive therapy (see Section 4.4).</w:t>
      </w:r>
    </w:p>
    <w:p w14:paraId="55F4AE0E" w14:textId="48322A65" w:rsidR="001A3992" w:rsidRPr="00687CB6" w:rsidRDefault="001A3992" w:rsidP="00EE3AC8">
      <w:pPr>
        <w:pStyle w:val="Heading2"/>
        <w:rPr>
          <w:lang w:val="en-AU"/>
        </w:rPr>
      </w:pPr>
      <w:r w:rsidRPr="00687CB6">
        <w:rPr>
          <w:lang w:val="en-AU"/>
        </w:rPr>
        <w:lastRenderedPageBreak/>
        <w:t>Contraindications</w:t>
      </w:r>
      <w:r w:rsidR="00875F0F" w:rsidRPr="00687CB6">
        <w:rPr>
          <w:lang w:val="en-AU"/>
        </w:rPr>
        <w:fldChar w:fldCharType="begin"/>
      </w:r>
      <w:r w:rsidR="00875F0F" w:rsidRPr="00687CB6">
        <w:rPr>
          <w:lang w:val="en-AU"/>
        </w:rPr>
        <w:instrText xml:space="preserve"> DOCVARIABLE VAULT_ND_691bbb08-6f88-44da-b425-8b0346f8353e \* MERGEFORMAT </w:instrText>
      </w:r>
      <w:r w:rsidR="00875F0F" w:rsidRPr="00687CB6">
        <w:rPr>
          <w:lang w:val="en-AU"/>
        </w:rPr>
        <w:fldChar w:fldCharType="separate"/>
      </w:r>
      <w:r w:rsidR="00875F0F" w:rsidRPr="00687CB6">
        <w:rPr>
          <w:lang w:val="en-AU"/>
        </w:rPr>
        <w:t xml:space="preserve"> </w:t>
      </w:r>
      <w:r w:rsidR="00875F0F" w:rsidRPr="00687CB6">
        <w:rPr>
          <w:lang w:val="en-AU"/>
        </w:rPr>
        <w:fldChar w:fldCharType="end"/>
      </w:r>
    </w:p>
    <w:p w14:paraId="26C6440D" w14:textId="77777777" w:rsidR="00C85696" w:rsidRPr="00203FC0" w:rsidRDefault="0008149A" w:rsidP="0008149A">
      <w:pPr>
        <w:rPr>
          <w:rFonts w:eastAsiaTheme="minorHAnsi"/>
        </w:rPr>
      </w:pPr>
      <w:r w:rsidRPr="00203FC0">
        <w:rPr>
          <w:rFonts w:eastAsiaTheme="minorHAnsi"/>
        </w:rPr>
        <w:t>Individuals with a history of severe hypersensitivity reactions, including anaphylaxis, to the active substance or to any of the excipients listed in Section 6.1.</w:t>
      </w:r>
    </w:p>
    <w:p w14:paraId="1F2D6EF5" w14:textId="0DFDC443" w:rsidR="001A3992" w:rsidRPr="00687CB6" w:rsidRDefault="00E74A56" w:rsidP="003B7CFF">
      <w:pPr>
        <w:pStyle w:val="Heading2"/>
        <w:rPr>
          <w:lang w:val="en-AU"/>
        </w:rPr>
      </w:pPr>
      <w:r w:rsidRPr="00687CB6">
        <w:rPr>
          <w:lang w:val="en-AU"/>
        </w:rPr>
        <w:t>Special warnings and p</w:t>
      </w:r>
      <w:r w:rsidR="001A3992" w:rsidRPr="00687CB6">
        <w:rPr>
          <w:lang w:val="en-AU"/>
        </w:rPr>
        <w:t xml:space="preserve">recautions </w:t>
      </w:r>
      <w:r w:rsidRPr="00687CB6">
        <w:rPr>
          <w:lang w:val="en-AU"/>
        </w:rPr>
        <w:t>for use</w:t>
      </w:r>
      <w:r w:rsidR="00875F0F" w:rsidRPr="00687CB6">
        <w:rPr>
          <w:lang w:val="en-AU"/>
        </w:rPr>
        <w:fldChar w:fldCharType="begin"/>
      </w:r>
      <w:r w:rsidR="00875F0F" w:rsidRPr="00687CB6">
        <w:rPr>
          <w:lang w:val="en-AU"/>
        </w:rPr>
        <w:instrText xml:space="preserve"> DOCVARIABLE VAULT_ND_af20ab52-2ea6-49b2-85b8-f9dd9c770e2a \* MERGEFORMAT </w:instrText>
      </w:r>
      <w:r w:rsidR="00875F0F" w:rsidRPr="00687CB6">
        <w:rPr>
          <w:lang w:val="en-AU"/>
        </w:rPr>
        <w:fldChar w:fldCharType="separate"/>
      </w:r>
      <w:r w:rsidR="00875F0F" w:rsidRPr="00687CB6">
        <w:rPr>
          <w:lang w:val="en-AU"/>
        </w:rPr>
        <w:t xml:space="preserve"> </w:t>
      </w:r>
      <w:r w:rsidR="00875F0F" w:rsidRPr="00687CB6">
        <w:rPr>
          <w:lang w:val="en-AU"/>
        </w:rPr>
        <w:fldChar w:fldCharType="end"/>
      </w:r>
    </w:p>
    <w:p w14:paraId="2D066461" w14:textId="546BA1D8" w:rsidR="001A3992" w:rsidRPr="00203FC0" w:rsidRDefault="0008149A" w:rsidP="005A5E87">
      <w:pPr>
        <w:pStyle w:val="Heading3Unnumbered"/>
        <w:rPr>
          <w:lang w:val="en-AU"/>
        </w:rPr>
      </w:pPr>
      <w:r w:rsidRPr="00203FC0">
        <w:rPr>
          <w:lang w:val="en-AU"/>
        </w:rPr>
        <w:t>Hypersensitivity including anaphylaxis</w:t>
      </w:r>
      <w:r w:rsidR="002B1200" w:rsidRPr="00203FC0">
        <w:rPr>
          <w:lang w:val="en-AU"/>
        </w:rPr>
        <w:fldChar w:fldCharType="begin"/>
      </w:r>
      <w:r w:rsidR="002B1200" w:rsidRPr="00203FC0">
        <w:rPr>
          <w:lang w:val="en-AU"/>
        </w:rPr>
        <w:instrText xml:space="preserve"> DOCVARIABLE vault_nd_92f7321d-0099-4fe1-9c76-4baedb95c59e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1A438515" w14:textId="119C05CC" w:rsidR="00C65C43" w:rsidRPr="00203FC0" w:rsidRDefault="0008149A" w:rsidP="0008149A">
      <w:pPr>
        <w:pStyle w:val="Paragraph"/>
        <w:keepNext/>
        <w:rPr>
          <w:lang w:val="en-AU"/>
        </w:rPr>
      </w:pPr>
      <w:bookmarkStart w:id="2" w:name="_Hlk79004736"/>
      <w:r w:rsidRPr="00203FC0">
        <w:rPr>
          <w:lang w:val="en-AU"/>
        </w:rPr>
        <w:t>Serious hypersensitivity reactions, including anaphylaxis, have</w:t>
      </w:r>
      <w:r w:rsidR="00AD1E77" w:rsidRPr="00203FC0">
        <w:rPr>
          <w:lang w:val="en-AU"/>
        </w:rPr>
        <w:t xml:space="preserve"> not been observed with </w:t>
      </w:r>
      <w:proofErr w:type="spellStart"/>
      <w:r w:rsidR="00AD1E77" w:rsidRPr="00203FC0">
        <w:rPr>
          <w:lang w:val="en-AU"/>
        </w:rPr>
        <w:t>KAVIGALE</w:t>
      </w:r>
      <w:proofErr w:type="spellEnd"/>
      <w:r w:rsidR="00AD1E77" w:rsidRPr="00203FC0">
        <w:rPr>
          <w:lang w:val="en-AU"/>
        </w:rPr>
        <w:t xml:space="preserve"> in clinical trials, but have</w:t>
      </w:r>
      <w:r w:rsidRPr="00203FC0">
        <w:rPr>
          <w:lang w:val="en-AU"/>
        </w:rPr>
        <w:t xml:space="preserve"> been observed with other human immunoglobulin </w:t>
      </w:r>
      <w:proofErr w:type="spellStart"/>
      <w:r w:rsidRPr="00203FC0">
        <w:rPr>
          <w:lang w:val="en-AU"/>
        </w:rPr>
        <w:t>G1</w:t>
      </w:r>
      <w:proofErr w:type="spellEnd"/>
      <w:r w:rsidRPr="00203FC0">
        <w:rPr>
          <w:lang w:val="en-AU"/>
        </w:rPr>
        <w:t xml:space="preserve"> (</w:t>
      </w:r>
      <w:proofErr w:type="spellStart"/>
      <w:r w:rsidRPr="00203FC0">
        <w:rPr>
          <w:lang w:val="en-AU"/>
        </w:rPr>
        <w:t>IgG1</w:t>
      </w:r>
      <w:proofErr w:type="spellEnd"/>
      <w:r w:rsidRPr="00203FC0">
        <w:rPr>
          <w:lang w:val="en-AU"/>
        </w:rPr>
        <w:t>) monoclonal antibodies. If signs and symptoms of a clinically significant hypersensitivity reaction or anaphylaxis occur, immediately discontinue administration, and initiate appropriate medicinal products and/or supportive therapy</w:t>
      </w:r>
      <w:bookmarkEnd w:id="2"/>
      <w:r w:rsidRPr="00203FC0">
        <w:rPr>
          <w:lang w:val="en-AU"/>
        </w:rPr>
        <w:t>.</w:t>
      </w:r>
    </w:p>
    <w:p w14:paraId="26D3ECF0" w14:textId="3351B388" w:rsidR="00C65C43" w:rsidRPr="00203FC0" w:rsidRDefault="00C65C43" w:rsidP="00C65C43">
      <w:pPr>
        <w:pStyle w:val="Heading3Unnumbered"/>
        <w:rPr>
          <w:lang w:val="en-AU"/>
        </w:rPr>
      </w:pPr>
      <w:r w:rsidRPr="00203FC0">
        <w:rPr>
          <w:lang w:val="en-AU"/>
        </w:rPr>
        <w:t>Cardiovascular and/or thrombo-embolic events</w:t>
      </w:r>
      <w:r w:rsidR="00687CB6">
        <w:rPr>
          <w:lang w:val="en-AU"/>
        </w:rPr>
        <w:fldChar w:fldCharType="begin"/>
      </w:r>
      <w:r w:rsidR="00687CB6">
        <w:rPr>
          <w:lang w:val="en-AU"/>
        </w:rPr>
        <w:instrText xml:space="preserve"> DOCVARIABLE vault_nd_e213eaa1-e837-4fff-8d9b-f8e8acc2b22d \* MERGEFORMAT </w:instrText>
      </w:r>
      <w:r w:rsidR="00687CB6">
        <w:rPr>
          <w:lang w:val="en-AU"/>
        </w:rPr>
        <w:fldChar w:fldCharType="separate"/>
      </w:r>
      <w:r w:rsidR="00687CB6">
        <w:rPr>
          <w:lang w:val="en-AU"/>
        </w:rPr>
        <w:t xml:space="preserve"> </w:t>
      </w:r>
      <w:r w:rsidR="00687CB6">
        <w:rPr>
          <w:lang w:val="en-AU"/>
        </w:rPr>
        <w:fldChar w:fldCharType="end"/>
      </w:r>
    </w:p>
    <w:p w14:paraId="2F43CDF0" w14:textId="77777777" w:rsidR="00C65C43" w:rsidRPr="00203FC0" w:rsidRDefault="00C65C43" w:rsidP="00C65C43">
      <w:pPr>
        <w:pStyle w:val="Paragraph"/>
        <w:rPr>
          <w:lang w:val="en-AU"/>
        </w:rPr>
      </w:pPr>
      <w:r w:rsidRPr="00203FC0">
        <w:rPr>
          <w:lang w:val="en-AU"/>
        </w:rPr>
        <w:t xml:space="preserve">In the SUPERNOVA Parent Study, Main Cohort, more participants in the </w:t>
      </w:r>
      <w:proofErr w:type="spellStart"/>
      <w:r w:rsidRPr="00203FC0">
        <w:rPr>
          <w:lang w:val="en-AU"/>
        </w:rPr>
        <w:t>KAVIGALE</w:t>
      </w:r>
      <w:proofErr w:type="spellEnd"/>
      <w:r w:rsidRPr="00203FC0">
        <w:rPr>
          <w:lang w:val="en-AU"/>
        </w:rPr>
        <w:t xml:space="preserve"> arm experienced cardiac or thrombo</w:t>
      </w:r>
      <w:r w:rsidRPr="00203FC0">
        <w:rPr>
          <w:lang w:val="en-AU"/>
        </w:rPr>
        <w:noBreakHyphen/>
        <w:t>embolic adverse events as compared to those in the comparator (</w:t>
      </w:r>
      <w:proofErr w:type="spellStart"/>
      <w:r w:rsidRPr="00203FC0">
        <w:rPr>
          <w:lang w:val="en-AU"/>
        </w:rPr>
        <w:t>EVUSHELD</w:t>
      </w:r>
      <w:proofErr w:type="spellEnd"/>
      <w:r w:rsidRPr="00203FC0">
        <w:rPr>
          <w:lang w:val="en-AU"/>
        </w:rPr>
        <w:t xml:space="preserve"> or placebo) arms 181 days after the first dose (3.8% versus 2.9%). </w:t>
      </w:r>
      <w:proofErr w:type="gramStart"/>
      <w:r w:rsidRPr="00203FC0">
        <w:rPr>
          <w:lang w:val="en-AU"/>
        </w:rPr>
        <w:t>The majority of</w:t>
      </w:r>
      <w:proofErr w:type="gramEnd"/>
      <w:r w:rsidRPr="00203FC0">
        <w:rPr>
          <w:lang w:val="en-AU"/>
        </w:rPr>
        <w:t xml:space="preserve"> participants had cardiovascular risk factors and/or history of cardiovascular disease that could explain the occurrence of such events.</w:t>
      </w:r>
    </w:p>
    <w:p w14:paraId="57403D5D" w14:textId="77777777" w:rsidR="00C65C43" w:rsidRPr="00203FC0" w:rsidRDefault="00C65C43" w:rsidP="00C65C43">
      <w:pPr>
        <w:pStyle w:val="Paragraph"/>
        <w:rPr>
          <w:lang w:val="en-AU"/>
        </w:rPr>
      </w:pPr>
      <w:r w:rsidRPr="00203FC0">
        <w:rPr>
          <w:lang w:val="en-AU"/>
        </w:rPr>
        <w:t xml:space="preserve">A causal relationship between </w:t>
      </w:r>
      <w:proofErr w:type="spellStart"/>
      <w:r w:rsidRPr="00203FC0">
        <w:rPr>
          <w:lang w:val="en-AU"/>
        </w:rPr>
        <w:t>KAVIGALE</w:t>
      </w:r>
      <w:proofErr w:type="spellEnd"/>
      <w:r w:rsidRPr="00203FC0">
        <w:rPr>
          <w:lang w:val="en-AU"/>
        </w:rPr>
        <w:t xml:space="preserve"> and these events has not been established.</w:t>
      </w:r>
    </w:p>
    <w:p w14:paraId="4F4F3B9F" w14:textId="2DAF2A8A" w:rsidR="00147D87" w:rsidRDefault="00C65C43" w:rsidP="00853346">
      <w:pPr>
        <w:pStyle w:val="Heading3Unnumbered"/>
        <w:rPr>
          <w:b w:val="0"/>
          <w:bCs w:val="0"/>
        </w:rPr>
      </w:pPr>
      <w:r w:rsidRPr="00DD3FCA">
        <w:rPr>
          <w:b w:val="0"/>
          <w:bCs w:val="0"/>
          <w:lang w:val="en-AU"/>
        </w:rPr>
        <w:t>Patients should be advised of signs or symptoms suggestive of cardiovascular event (notably chest pain, dyspnoea, malaise, feeling lightheaded or faint) and to seek immediate medical attention if such symptoms occur.</w:t>
      </w:r>
      <w:r w:rsidR="00687CB6">
        <w:rPr>
          <w:b w:val="0"/>
          <w:bCs w:val="0"/>
        </w:rPr>
        <w:fldChar w:fldCharType="begin"/>
      </w:r>
      <w:r w:rsidR="00687CB6">
        <w:rPr>
          <w:b w:val="0"/>
          <w:bCs w:val="0"/>
          <w:lang w:val="en-AU"/>
        </w:rPr>
        <w:instrText xml:space="preserve"> DOCVARIABLE vault_nd_188c4b51-6121-489d-b78a-aeaac321cae6 \* MERGEFORMAT </w:instrText>
      </w:r>
      <w:r w:rsidR="00687CB6">
        <w:rPr>
          <w:b w:val="0"/>
          <w:bCs w:val="0"/>
        </w:rPr>
        <w:fldChar w:fldCharType="separate"/>
      </w:r>
      <w:r w:rsidR="00687CB6">
        <w:rPr>
          <w:b w:val="0"/>
          <w:bCs w:val="0"/>
          <w:lang w:val="en-AU"/>
        </w:rPr>
        <w:t xml:space="preserve"> </w:t>
      </w:r>
      <w:r w:rsidR="00687CB6">
        <w:rPr>
          <w:b w:val="0"/>
          <w:bCs w:val="0"/>
        </w:rPr>
        <w:fldChar w:fldCharType="end"/>
      </w:r>
    </w:p>
    <w:p w14:paraId="2E239EC4" w14:textId="23868150" w:rsidR="00853346" w:rsidRPr="00203FC0" w:rsidRDefault="00853346" w:rsidP="00853346">
      <w:pPr>
        <w:pStyle w:val="Heading3Unnumbered"/>
        <w:rPr>
          <w:lang w:val="en-AU"/>
        </w:rPr>
      </w:pPr>
      <w:r w:rsidRPr="00203FC0">
        <w:rPr>
          <w:lang w:val="en-AU"/>
        </w:rPr>
        <w:t>Infusion-related reactions</w:t>
      </w:r>
      <w:r w:rsidR="002B1200" w:rsidRPr="00203FC0">
        <w:rPr>
          <w:lang w:val="en-AU"/>
        </w:rPr>
        <w:fldChar w:fldCharType="begin"/>
      </w:r>
      <w:r w:rsidR="002B1200" w:rsidRPr="00203FC0">
        <w:rPr>
          <w:lang w:val="en-AU"/>
        </w:rPr>
        <w:instrText xml:space="preserve"> DOCVARIABLE vault_nd_95c51d2b-1f38-450a-adeb-ada1bc3be6a5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278E808C" w14:textId="7FBBD68B" w:rsidR="00853346" w:rsidRPr="00203FC0" w:rsidRDefault="00853346" w:rsidP="00853346">
      <w:r w:rsidRPr="00203FC0">
        <w:t xml:space="preserve">Infusion-related reactions (IRRs) were observed in clinical trials with intravenous administration of </w:t>
      </w:r>
      <w:proofErr w:type="spellStart"/>
      <w:r w:rsidRPr="00203FC0">
        <w:t>sipavibart</w:t>
      </w:r>
      <w:proofErr w:type="spellEnd"/>
      <w:r w:rsidRPr="00203FC0">
        <w:t xml:space="preserve"> and were mild in severity (see Section 4.8). If an IRR occurs, consider interrupting, slowing or stopping the infusion, and initiate appropriate medicinal products and/or supportive therapy.</w:t>
      </w:r>
    </w:p>
    <w:p w14:paraId="20E64F4E" w14:textId="5BF193AE" w:rsidR="00853346" w:rsidRPr="00203FC0" w:rsidRDefault="00853346" w:rsidP="00853346">
      <w:pPr>
        <w:pStyle w:val="Heading3Unnumbered"/>
        <w:rPr>
          <w:lang w:val="en-AU"/>
        </w:rPr>
      </w:pPr>
      <w:r w:rsidRPr="00203FC0">
        <w:rPr>
          <w:lang w:val="en-AU"/>
        </w:rPr>
        <w:t>Clinically significant bleeding disorders</w:t>
      </w:r>
      <w:r w:rsidR="002B1200" w:rsidRPr="00203FC0">
        <w:rPr>
          <w:lang w:val="en-AU"/>
        </w:rPr>
        <w:fldChar w:fldCharType="begin"/>
      </w:r>
      <w:r w:rsidR="002B1200" w:rsidRPr="00203FC0">
        <w:rPr>
          <w:lang w:val="en-AU"/>
        </w:rPr>
        <w:instrText xml:space="preserve"> DOCVARIABLE vault_nd_304d1324-f98c-442f-97b1-2903180c8844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3E7D3203" w14:textId="7FE46D2C" w:rsidR="00853346" w:rsidRPr="00203FC0" w:rsidRDefault="00853346" w:rsidP="00853346">
      <w:r w:rsidRPr="00203FC0">
        <w:t xml:space="preserve">As with any other intramuscular injections, </w:t>
      </w:r>
      <w:proofErr w:type="spellStart"/>
      <w:r w:rsidR="000F4C37" w:rsidRPr="00203FC0">
        <w:t>KAVIGALE</w:t>
      </w:r>
      <w:proofErr w:type="spellEnd"/>
      <w:r w:rsidRPr="00203FC0">
        <w:t xml:space="preserve"> should be given with caution to patients with thrombocytopenia or any coagulation disorder.</w:t>
      </w:r>
    </w:p>
    <w:p w14:paraId="63F46C4A" w14:textId="323AA25F" w:rsidR="00853346" w:rsidRPr="00203FC0" w:rsidRDefault="00853346" w:rsidP="00853346">
      <w:pPr>
        <w:pStyle w:val="Heading3Unnumbered"/>
        <w:rPr>
          <w:lang w:val="en-AU"/>
        </w:rPr>
      </w:pPr>
      <w:r w:rsidRPr="00203FC0">
        <w:rPr>
          <w:lang w:val="en-AU"/>
        </w:rPr>
        <w:t>Risk of breakthrough infection due to SARS</w:t>
      </w:r>
      <w:r w:rsidRPr="00203FC0">
        <w:rPr>
          <w:lang w:val="en-AU"/>
        </w:rPr>
        <w:noBreakHyphen/>
        <w:t xml:space="preserve">CoV-2 viral variants not neutralised by </w:t>
      </w:r>
      <w:proofErr w:type="spellStart"/>
      <w:r w:rsidRPr="00203FC0">
        <w:rPr>
          <w:lang w:val="en-AU"/>
        </w:rPr>
        <w:t>sipavibart</w:t>
      </w:r>
      <w:proofErr w:type="spellEnd"/>
      <w:r w:rsidR="002B1200" w:rsidRPr="00203FC0">
        <w:rPr>
          <w:lang w:val="en-AU"/>
        </w:rPr>
        <w:fldChar w:fldCharType="begin"/>
      </w:r>
      <w:r w:rsidR="002B1200" w:rsidRPr="00203FC0">
        <w:rPr>
          <w:lang w:val="en-AU"/>
        </w:rPr>
        <w:instrText xml:space="preserve"> DOCVARIABLE vault_nd_af354dc2-18b7-414e-9c4a-61f8d464b7ee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32EB2C80" w14:textId="4AA8CE8B" w:rsidR="00853346" w:rsidRPr="00203FC0" w:rsidRDefault="00853346" w:rsidP="00853346">
      <w:r w:rsidRPr="00203FC0">
        <w:t xml:space="preserve">Certain SARS-CoV-2 viral variants may not be </w:t>
      </w:r>
      <w:r w:rsidR="00FA5B22" w:rsidRPr="00203FC0">
        <w:t>neutrali</w:t>
      </w:r>
      <w:r w:rsidR="00203FC0">
        <w:t>s</w:t>
      </w:r>
      <w:r w:rsidR="00FA5B22" w:rsidRPr="00203FC0">
        <w:t xml:space="preserve">ed </w:t>
      </w:r>
      <w:r w:rsidR="00FA5B22" w:rsidRPr="00203FC0">
        <w:rPr>
          <w:i/>
          <w:iCs/>
        </w:rPr>
        <w:t>in vitro</w:t>
      </w:r>
      <w:r w:rsidRPr="00203FC0">
        <w:t xml:space="preserve"> by monoclonal antibodies such as </w:t>
      </w:r>
      <w:proofErr w:type="spellStart"/>
      <w:r w:rsidRPr="00203FC0">
        <w:t>sipavibart</w:t>
      </w:r>
      <w:proofErr w:type="spellEnd"/>
      <w:r w:rsidRPr="00203FC0">
        <w:t xml:space="preserve">. </w:t>
      </w:r>
      <w:proofErr w:type="spellStart"/>
      <w:r w:rsidR="000F4C37" w:rsidRPr="00203FC0">
        <w:t>KAVIGALE</w:t>
      </w:r>
      <w:proofErr w:type="spellEnd"/>
      <w:r w:rsidRPr="00203FC0">
        <w:t xml:space="preserve"> may not be effective at preventing COVID-19 caused by these SARS</w:t>
      </w:r>
      <w:r w:rsidRPr="00203FC0">
        <w:noBreakHyphen/>
        <w:t>CoV</w:t>
      </w:r>
      <w:r w:rsidRPr="00203FC0">
        <w:noBreakHyphen/>
        <w:t xml:space="preserve">2 viral variants. The </w:t>
      </w:r>
      <w:r w:rsidRPr="00203FC0">
        <w:rPr>
          <w:i/>
          <w:iCs/>
        </w:rPr>
        <w:t>in-vitro</w:t>
      </w:r>
      <w:r w:rsidRPr="00203FC0">
        <w:t xml:space="preserve"> neutralisation activity of </w:t>
      </w:r>
      <w:proofErr w:type="spellStart"/>
      <w:r w:rsidRPr="00203FC0">
        <w:t>sipavibart</w:t>
      </w:r>
      <w:proofErr w:type="spellEnd"/>
      <w:r w:rsidRPr="00203FC0">
        <w:t xml:space="preserve"> against SARS</w:t>
      </w:r>
      <w:r w:rsidRPr="00203FC0">
        <w:noBreakHyphen/>
        <w:t>CoV</w:t>
      </w:r>
      <w:r w:rsidRPr="00203FC0">
        <w:noBreakHyphen/>
        <w:t>2 viral variants is shown in Table 2 (see Section 5.1).</w:t>
      </w:r>
    </w:p>
    <w:p w14:paraId="0316E745" w14:textId="4BB2F7CA" w:rsidR="00853346" w:rsidRPr="00203FC0" w:rsidRDefault="00853346" w:rsidP="00853346">
      <w:pPr>
        <w:keepNext/>
      </w:pPr>
      <w:r w:rsidRPr="00203FC0">
        <w:t xml:space="preserve">Patients who receive </w:t>
      </w:r>
      <w:proofErr w:type="spellStart"/>
      <w:r w:rsidR="000F4C37" w:rsidRPr="00203FC0">
        <w:t>KAVIGALE</w:t>
      </w:r>
      <w:proofErr w:type="spellEnd"/>
      <w:r w:rsidRPr="00203FC0">
        <w:t xml:space="preserve"> should be informed of the potential for breakthrough infections to occur. If signs or symptoms of COVID-19 occur (the most common symptoms include fever, chills, sore throat, cough, tiredness and new loss of taste or smell; the most serious symptoms </w:t>
      </w:r>
      <w:r w:rsidRPr="00203FC0">
        <w:lastRenderedPageBreak/>
        <w:t>include difficulty breathing or shortness of breath, loss of speech or mobility, or confusion and chest pain), advise individuals to promptly seek medical attention.</w:t>
      </w:r>
    </w:p>
    <w:p w14:paraId="20B30175" w14:textId="6D8C760E" w:rsidR="001A3992" w:rsidRPr="00203FC0" w:rsidRDefault="001A3992" w:rsidP="00D347D7">
      <w:pPr>
        <w:pStyle w:val="Heading3Unnumbered"/>
        <w:rPr>
          <w:lang w:val="en-AU"/>
        </w:rPr>
      </w:pPr>
      <w:r w:rsidRPr="00203FC0">
        <w:rPr>
          <w:lang w:val="en-AU"/>
        </w:rPr>
        <w:t>Use in the elderly</w:t>
      </w:r>
      <w:r w:rsidR="002B1200" w:rsidRPr="00203FC0">
        <w:rPr>
          <w:lang w:val="en-AU"/>
        </w:rPr>
        <w:fldChar w:fldCharType="begin"/>
      </w:r>
      <w:r w:rsidR="002B1200" w:rsidRPr="00203FC0">
        <w:rPr>
          <w:lang w:val="en-AU"/>
        </w:rPr>
        <w:instrText xml:space="preserve"> DOCVARIABLE vault_nd_4cf68026-3d5e-4ef0-9189-7ffdbae7f988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0E4BB29C" w14:textId="7571364A" w:rsidR="00EC60F8" w:rsidRPr="00203FC0" w:rsidRDefault="00853346" w:rsidP="00853346">
      <w:pPr>
        <w:rPr>
          <w:rFonts w:eastAsiaTheme="minorHAnsi"/>
        </w:rPr>
      </w:pPr>
      <w:r w:rsidRPr="00203FC0">
        <w:rPr>
          <w:rFonts w:eastAsiaTheme="minorHAnsi"/>
        </w:rPr>
        <w:t xml:space="preserve">See Section </w:t>
      </w:r>
      <w:r w:rsidR="00EE1DCE">
        <w:rPr>
          <w:rFonts w:eastAsiaTheme="minorHAnsi"/>
        </w:rPr>
        <w:fldChar w:fldCharType="begin"/>
      </w:r>
      <w:r w:rsidR="00EE1DCE">
        <w:rPr>
          <w:rFonts w:eastAsiaTheme="minorHAnsi"/>
        </w:rPr>
        <w:instrText xml:space="preserve"> REF _Ref208397914 \r \h </w:instrText>
      </w:r>
      <w:r w:rsidR="00EE1DCE">
        <w:rPr>
          <w:rFonts w:eastAsiaTheme="minorHAnsi"/>
        </w:rPr>
      </w:r>
      <w:r w:rsidR="00EE1DCE">
        <w:rPr>
          <w:rFonts w:eastAsiaTheme="minorHAnsi"/>
        </w:rPr>
        <w:fldChar w:fldCharType="separate"/>
      </w:r>
      <w:r w:rsidR="00EE1DCE">
        <w:rPr>
          <w:rFonts w:eastAsiaTheme="minorHAnsi"/>
        </w:rPr>
        <w:t>5.2</w:t>
      </w:r>
      <w:r w:rsidR="00EE1DCE">
        <w:rPr>
          <w:rFonts w:eastAsiaTheme="minorHAnsi"/>
        </w:rPr>
        <w:fldChar w:fldCharType="end"/>
      </w:r>
      <w:r w:rsidRPr="00203FC0">
        <w:rPr>
          <w:rFonts w:eastAsiaTheme="minorHAnsi"/>
        </w:rPr>
        <w:t xml:space="preserve"> </w:t>
      </w:r>
      <w:r w:rsidR="00EE1DCE">
        <w:rPr>
          <w:rFonts w:eastAsiaTheme="minorHAnsi"/>
        </w:rPr>
        <w:fldChar w:fldCharType="begin"/>
      </w:r>
      <w:r w:rsidR="00EE1DCE">
        <w:rPr>
          <w:rFonts w:eastAsiaTheme="minorHAnsi"/>
        </w:rPr>
        <w:instrText xml:space="preserve"> REF _Ref208397914 \h </w:instrText>
      </w:r>
      <w:r w:rsidR="00EE1DCE">
        <w:rPr>
          <w:rFonts w:eastAsiaTheme="minorHAnsi"/>
        </w:rPr>
      </w:r>
      <w:r w:rsidR="00EE1DCE">
        <w:rPr>
          <w:rFonts w:eastAsiaTheme="minorHAnsi"/>
        </w:rPr>
        <w:fldChar w:fldCharType="separate"/>
      </w:r>
      <w:r w:rsidR="00EE1DCE" w:rsidRPr="00FA4CE7">
        <w:t>Pharmacokinetic properties</w:t>
      </w:r>
      <w:r w:rsidR="00EE1DCE">
        <w:rPr>
          <w:rFonts w:eastAsiaTheme="minorHAnsi"/>
        </w:rPr>
        <w:fldChar w:fldCharType="end"/>
      </w:r>
      <w:r w:rsidRPr="00203FC0">
        <w:rPr>
          <w:rFonts w:eastAsiaTheme="minorHAnsi"/>
        </w:rPr>
        <w:t>.</w:t>
      </w:r>
    </w:p>
    <w:p w14:paraId="090FD1A2" w14:textId="45B61761" w:rsidR="001A3992" w:rsidRPr="00203FC0" w:rsidRDefault="001A3992" w:rsidP="00D347D7">
      <w:pPr>
        <w:pStyle w:val="Heading3Unnumbered"/>
        <w:rPr>
          <w:lang w:val="en-AU"/>
        </w:rPr>
      </w:pPr>
      <w:r w:rsidRPr="00203FC0">
        <w:rPr>
          <w:lang w:val="en-AU"/>
        </w:rPr>
        <w:t>Paediatric use</w:t>
      </w:r>
      <w:r w:rsidR="002B1200" w:rsidRPr="00203FC0">
        <w:rPr>
          <w:lang w:val="en-AU"/>
        </w:rPr>
        <w:fldChar w:fldCharType="begin"/>
      </w:r>
      <w:r w:rsidR="002B1200" w:rsidRPr="00203FC0">
        <w:rPr>
          <w:lang w:val="en-AU"/>
        </w:rPr>
        <w:instrText xml:space="preserve"> DOCVARIABLE vault_nd_df7f5d18-73b9-430b-93ff-3acbf6cb0918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3EE9E7DA" w14:textId="2ABD297C" w:rsidR="00EC60F8" w:rsidRPr="00203FC0" w:rsidRDefault="00853346" w:rsidP="00EC60F8">
      <w:pPr>
        <w:pStyle w:val="Paragraph"/>
        <w:rPr>
          <w:lang w:val="en-AU"/>
        </w:rPr>
      </w:pPr>
      <w:r w:rsidRPr="00203FC0">
        <w:rPr>
          <w:lang w:val="en-AU"/>
        </w:rPr>
        <w:t xml:space="preserve">The safety and efficacy of </w:t>
      </w:r>
      <w:proofErr w:type="spellStart"/>
      <w:r w:rsidRPr="00203FC0">
        <w:rPr>
          <w:lang w:val="en-AU"/>
        </w:rPr>
        <w:t>sipavibart</w:t>
      </w:r>
      <w:proofErr w:type="spellEnd"/>
      <w:r w:rsidRPr="00203FC0">
        <w:rPr>
          <w:lang w:val="en-AU"/>
        </w:rPr>
        <w:t xml:space="preserve"> in children aged &lt;12 years</w:t>
      </w:r>
      <w:r w:rsidR="009329BE" w:rsidRPr="00203FC0">
        <w:rPr>
          <w:lang w:val="en-AU"/>
        </w:rPr>
        <w:t xml:space="preserve"> has not been studied</w:t>
      </w:r>
      <w:r w:rsidR="00105A8C" w:rsidRPr="00203FC0">
        <w:rPr>
          <w:lang w:val="en-AU"/>
        </w:rPr>
        <w:t xml:space="preserve"> and no</w:t>
      </w:r>
      <w:r w:rsidRPr="00203FC0">
        <w:rPr>
          <w:lang w:val="en-AU"/>
        </w:rPr>
        <w:t xml:space="preserve"> data is available. </w:t>
      </w:r>
      <w:r w:rsidR="003D2AA2" w:rsidRPr="00203FC0">
        <w:rPr>
          <w:lang w:val="en-AU"/>
        </w:rPr>
        <w:t xml:space="preserve">There is limited clinical trial evidence supporting the safety and efficacy of </w:t>
      </w:r>
      <w:proofErr w:type="spellStart"/>
      <w:r w:rsidR="003D2AA2" w:rsidRPr="00203FC0">
        <w:rPr>
          <w:lang w:val="en-AU"/>
        </w:rPr>
        <w:t>sipavibart</w:t>
      </w:r>
      <w:proofErr w:type="spellEnd"/>
      <w:r w:rsidR="003D2AA2" w:rsidRPr="00203FC0">
        <w:rPr>
          <w:lang w:val="en-AU"/>
        </w:rPr>
        <w:t xml:space="preserve"> in children 12-18 years of age due to the low number of trial participants in this age group (See SUPERNOVA study in Clinical Trials).</w:t>
      </w:r>
    </w:p>
    <w:p w14:paraId="2E707249" w14:textId="28925EF5" w:rsidR="001A3992" w:rsidRPr="00203FC0" w:rsidRDefault="001A3992" w:rsidP="00D347D7">
      <w:pPr>
        <w:pStyle w:val="Heading3Unnumbered"/>
        <w:rPr>
          <w:lang w:val="en-AU"/>
        </w:rPr>
      </w:pPr>
      <w:r w:rsidRPr="00203FC0">
        <w:rPr>
          <w:lang w:val="en-AU"/>
        </w:rPr>
        <w:t>Effects on laboratory tests</w:t>
      </w:r>
      <w:r w:rsidR="002B1200" w:rsidRPr="00203FC0">
        <w:rPr>
          <w:lang w:val="en-AU"/>
        </w:rPr>
        <w:fldChar w:fldCharType="begin"/>
      </w:r>
      <w:r w:rsidR="002B1200" w:rsidRPr="00203FC0">
        <w:rPr>
          <w:lang w:val="en-AU"/>
        </w:rPr>
        <w:instrText xml:space="preserve"> DOCVARIABLE vault_nd_3a39a8b1-117f-45b3-8ced-7358744cf41c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2ADD1710" w14:textId="77777777" w:rsidR="00EC60F8" w:rsidRPr="00203FC0" w:rsidRDefault="002803FC" w:rsidP="00EC60F8">
      <w:pPr>
        <w:pStyle w:val="Paragraph"/>
        <w:rPr>
          <w:i/>
          <w:color w:val="00B0F0"/>
          <w:lang w:val="en-AU"/>
        </w:rPr>
      </w:pPr>
      <w:r w:rsidRPr="00203FC0">
        <w:rPr>
          <w:lang w:val="en-AU"/>
        </w:rPr>
        <w:t>No data available.</w:t>
      </w:r>
    </w:p>
    <w:p w14:paraId="7ECA91A8" w14:textId="0D3C2F3F" w:rsidR="001A3992" w:rsidRPr="00687CB6" w:rsidRDefault="001A3992" w:rsidP="00EE3AC8">
      <w:pPr>
        <w:pStyle w:val="Heading2"/>
        <w:rPr>
          <w:lang w:val="en-AU"/>
        </w:rPr>
      </w:pPr>
      <w:bookmarkStart w:id="3" w:name="_Ref505770425"/>
      <w:r w:rsidRPr="00687CB6">
        <w:rPr>
          <w:lang w:val="en-AU"/>
        </w:rPr>
        <w:t>Interactions with other medicines and other forms of interactions</w:t>
      </w:r>
      <w:bookmarkEnd w:id="3"/>
      <w:r w:rsidR="00875F0F" w:rsidRPr="00687CB6">
        <w:rPr>
          <w:lang w:val="en-AU"/>
        </w:rPr>
        <w:fldChar w:fldCharType="begin"/>
      </w:r>
      <w:r w:rsidR="00875F0F" w:rsidRPr="00687CB6">
        <w:rPr>
          <w:lang w:val="en-AU"/>
        </w:rPr>
        <w:instrText xml:space="preserve"> DOCVARIABLE VAULT_ND_8d5e7306-29b7-4489-ad74-83297fe2e01e \* MERGEFORMAT </w:instrText>
      </w:r>
      <w:r w:rsidR="00875F0F" w:rsidRPr="00687CB6">
        <w:rPr>
          <w:lang w:val="en-AU"/>
        </w:rPr>
        <w:fldChar w:fldCharType="separate"/>
      </w:r>
      <w:r w:rsidR="00875F0F" w:rsidRPr="00687CB6">
        <w:rPr>
          <w:lang w:val="en-AU"/>
        </w:rPr>
        <w:t xml:space="preserve"> </w:t>
      </w:r>
      <w:r w:rsidR="00875F0F" w:rsidRPr="00687CB6">
        <w:rPr>
          <w:lang w:val="en-AU"/>
        </w:rPr>
        <w:fldChar w:fldCharType="end"/>
      </w:r>
    </w:p>
    <w:p w14:paraId="3C42D9DC" w14:textId="77777777" w:rsidR="00853346" w:rsidRPr="00203FC0" w:rsidRDefault="00853346" w:rsidP="00853346">
      <w:pPr>
        <w:rPr>
          <w:rFonts w:eastAsiaTheme="minorHAnsi"/>
        </w:rPr>
      </w:pPr>
      <w:bookmarkStart w:id="4" w:name="_Hlk58421926"/>
      <w:r w:rsidRPr="00203FC0">
        <w:rPr>
          <w:rStyle w:val="ParagraphChar"/>
          <w:lang w:val="en-AU"/>
        </w:rPr>
        <w:t>No interaction studies have been conducted</w:t>
      </w:r>
      <w:r w:rsidRPr="00203FC0">
        <w:rPr>
          <w:rFonts w:eastAsiaTheme="minorHAnsi"/>
        </w:rPr>
        <w:t>.</w:t>
      </w:r>
    </w:p>
    <w:bookmarkEnd w:id="4"/>
    <w:p w14:paraId="6BACA243" w14:textId="77777777" w:rsidR="00853346" w:rsidRPr="00203FC0" w:rsidRDefault="00853346" w:rsidP="00853346">
      <w:pPr>
        <w:pStyle w:val="Paragraph"/>
        <w:rPr>
          <w:rFonts w:eastAsiaTheme="minorHAnsi"/>
          <w:lang w:val="en-AU"/>
        </w:rPr>
      </w:pPr>
      <w:r w:rsidRPr="00203FC0">
        <w:rPr>
          <w:rFonts w:eastAsiaTheme="minorHAnsi"/>
          <w:lang w:val="en-AU"/>
        </w:rPr>
        <w:t>Sipavibart</w:t>
      </w:r>
      <w:r w:rsidRPr="00203FC0">
        <w:rPr>
          <w:rFonts w:eastAsiaTheme="minorHAnsi"/>
          <w:noProof/>
          <w:lang w:val="en-AU"/>
        </w:rPr>
        <w:t xml:space="preserve"> is not expected to be </w:t>
      </w:r>
      <w:r w:rsidRPr="00203FC0">
        <w:rPr>
          <w:rFonts w:eastAsiaTheme="minorHAnsi"/>
          <w:lang w:val="en-AU"/>
        </w:rPr>
        <w:t xml:space="preserve">renally excreted or metabolised by cytochrome </w:t>
      </w:r>
      <w:proofErr w:type="spellStart"/>
      <w:r w:rsidRPr="00203FC0">
        <w:rPr>
          <w:rFonts w:eastAsiaTheme="minorHAnsi"/>
          <w:lang w:val="en-AU"/>
        </w:rPr>
        <w:t>P450</w:t>
      </w:r>
      <w:proofErr w:type="spellEnd"/>
      <w:r w:rsidRPr="00203FC0">
        <w:rPr>
          <w:rFonts w:eastAsiaTheme="minorHAnsi"/>
          <w:lang w:val="en-AU"/>
        </w:rPr>
        <w:t xml:space="preserve"> enzymes</w:t>
      </w:r>
      <w:r w:rsidRPr="00203FC0">
        <w:rPr>
          <w:rFonts w:eastAsiaTheme="minorHAnsi"/>
          <w:noProof/>
          <w:lang w:val="en-AU"/>
        </w:rPr>
        <w:t xml:space="preserve"> (see Section 5.2).</w:t>
      </w:r>
      <w:r w:rsidRPr="00203FC0">
        <w:rPr>
          <w:rFonts w:eastAsiaTheme="minorHAnsi"/>
          <w:lang w:val="en-AU"/>
        </w:rPr>
        <w:t xml:space="preserve"> Therefore, interactions with concomitant medications that are renally excreted or that are substrates, inducers, or inhibitors of cytochrome </w:t>
      </w:r>
      <w:proofErr w:type="spellStart"/>
      <w:r w:rsidRPr="00203FC0">
        <w:rPr>
          <w:rFonts w:eastAsiaTheme="minorHAnsi"/>
          <w:lang w:val="en-AU"/>
        </w:rPr>
        <w:t>P450</w:t>
      </w:r>
      <w:proofErr w:type="spellEnd"/>
      <w:r w:rsidRPr="00203FC0">
        <w:rPr>
          <w:rFonts w:eastAsiaTheme="minorHAnsi"/>
          <w:lang w:val="en-AU"/>
        </w:rPr>
        <w:t xml:space="preserve"> enzymes are unlikely.</w:t>
      </w:r>
    </w:p>
    <w:p w14:paraId="58D9E045" w14:textId="5CB5707C" w:rsidR="001A3992" w:rsidRPr="00687CB6" w:rsidRDefault="001A3992" w:rsidP="00EE3AC8">
      <w:pPr>
        <w:pStyle w:val="Heading2"/>
        <w:rPr>
          <w:lang w:val="en-AU"/>
        </w:rPr>
      </w:pPr>
      <w:r w:rsidRPr="00687CB6">
        <w:rPr>
          <w:lang w:val="en-AU"/>
        </w:rPr>
        <w:t>Fer</w:t>
      </w:r>
      <w:r w:rsidR="00EC60F8" w:rsidRPr="00687CB6">
        <w:rPr>
          <w:lang w:val="en-AU"/>
        </w:rPr>
        <w:t>tility, pregnancy and lactation</w:t>
      </w:r>
      <w:r w:rsidR="002B1200" w:rsidRPr="00687CB6">
        <w:rPr>
          <w:lang w:val="en-AU"/>
        </w:rPr>
        <w:fldChar w:fldCharType="begin"/>
      </w:r>
      <w:r w:rsidR="002B1200" w:rsidRPr="00687CB6">
        <w:rPr>
          <w:lang w:val="en-AU"/>
        </w:rPr>
        <w:instrText xml:space="preserve"> DOCVARIABLE VAULT_ND_d103ed6d-d7e6-4a9d-a8bd-cf4fe8ce7fdd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397DA1B1" w14:textId="5A3F3B11" w:rsidR="001A3992" w:rsidRPr="00203FC0" w:rsidRDefault="001A3992" w:rsidP="0026491B">
      <w:pPr>
        <w:pStyle w:val="Heading3Unnumbered"/>
        <w:rPr>
          <w:lang w:val="en-AU"/>
        </w:rPr>
      </w:pPr>
      <w:r w:rsidRPr="00203FC0">
        <w:rPr>
          <w:lang w:val="en-AU"/>
        </w:rPr>
        <w:t>Effects on fertility</w:t>
      </w:r>
      <w:r w:rsidR="002B1200" w:rsidRPr="00203FC0">
        <w:rPr>
          <w:lang w:val="en-AU"/>
        </w:rPr>
        <w:fldChar w:fldCharType="begin"/>
      </w:r>
      <w:r w:rsidR="002B1200" w:rsidRPr="00203FC0">
        <w:rPr>
          <w:lang w:val="en-AU"/>
        </w:rPr>
        <w:instrText xml:space="preserve"> DOCVARIABLE vault_nd_22a02461-029b-4ba0-9570-cdca673cc97e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23B0C8FC" w14:textId="77777777" w:rsidR="00446EDD" w:rsidRPr="00203FC0" w:rsidRDefault="00446EDD" w:rsidP="00446EDD">
      <w:pPr>
        <w:pStyle w:val="Paragraph"/>
        <w:rPr>
          <w:lang w:val="en-AU"/>
        </w:rPr>
      </w:pPr>
      <w:r w:rsidRPr="00203FC0">
        <w:rPr>
          <w:lang w:val="en-AU"/>
        </w:rPr>
        <w:t>No data available.</w:t>
      </w:r>
    </w:p>
    <w:p w14:paraId="501B428A" w14:textId="7398A7B8" w:rsidR="001A3992" w:rsidRPr="00203FC0" w:rsidRDefault="00446EDD" w:rsidP="0026491B">
      <w:pPr>
        <w:pStyle w:val="Heading3Unnumbered"/>
        <w:rPr>
          <w:lang w:val="en-AU"/>
        </w:rPr>
      </w:pPr>
      <w:r w:rsidRPr="00203FC0">
        <w:rPr>
          <w:lang w:val="en-AU"/>
        </w:rPr>
        <w:t xml:space="preserve">Use in pregnancy </w:t>
      </w:r>
      <w:r w:rsidR="00E45826" w:rsidRPr="00203FC0">
        <w:rPr>
          <w:lang w:val="en-AU"/>
        </w:rPr>
        <w:t>– Category</w:t>
      </w:r>
      <w:r w:rsidR="00644C76" w:rsidRPr="00203FC0">
        <w:rPr>
          <w:lang w:val="en-AU"/>
        </w:rPr>
        <w:t xml:space="preserve"> </w:t>
      </w:r>
      <w:proofErr w:type="spellStart"/>
      <w:r w:rsidR="00644C76" w:rsidRPr="00203FC0">
        <w:rPr>
          <w:lang w:val="en-AU"/>
        </w:rPr>
        <w:t>B2</w:t>
      </w:r>
      <w:proofErr w:type="spellEnd"/>
      <w:r w:rsidR="002B1200" w:rsidRPr="00203FC0">
        <w:rPr>
          <w:lang w:val="en-AU"/>
        </w:rPr>
        <w:fldChar w:fldCharType="begin"/>
      </w:r>
      <w:r w:rsidR="002B1200" w:rsidRPr="00203FC0">
        <w:rPr>
          <w:lang w:val="en-AU"/>
        </w:rPr>
        <w:instrText xml:space="preserve"> DOCVARIABLE vault_nd_19bee05d-4303-4cac-a93b-69361b5ec6f8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40D47D8D" w14:textId="77777777" w:rsidR="00644C76" w:rsidRPr="00203FC0" w:rsidRDefault="00644C76" w:rsidP="00644C76">
      <w:pPr>
        <w:pStyle w:val="Paragraph"/>
        <w:rPr>
          <w:lang w:val="en-AU"/>
        </w:rPr>
      </w:pPr>
      <w:r w:rsidRPr="00203FC0">
        <w:rPr>
          <w:lang w:val="en-AU"/>
        </w:rPr>
        <w:t xml:space="preserve">There are no data from the use of </w:t>
      </w:r>
      <w:proofErr w:type="spellStart"/>
      <w:r w:rsidRPr="00203FC0">
        <w:rPr>
          <w:lang w:val="en-AU"/>
        </w:rPr>
        <w:t>sipavibart</w:t>
      </w:r>
      <w:proofErr w:type="spellEnd"/>
      <w:r w:rsidRPr="00203FC0">
        <w:rPr>
          <w:lang w:val="en-AU"/>
        </w:rPr>
        <w:t xml:space="preserve"> in pregnant women.</w:t>
      </w:r>
    </w:p>
    <w:p w14:paraId="32E166C3" w14:textId="2ADA3A2A" w:rsidR="00644C76" w:rsidRPr="00203FC0" w:rsidRDefault="00644C76" w:rsidP="00644C76">
      <w:r w:rsidRPr="00203FC0">
        <w:t xml:space="preserve">Non-clinical reproductive toxicity studies have not been performed with </w:t>
      </w:r>
      <w:proofErr w:type="spellStart"/>
      <w:r w:rsidRPr="00203FC0">
        <w:t>sipavibart</w:t>
      </w:r>
      <w:proofErr w:type="spellEnd"/>
      <w:r w:rsidRPr="00203FC0">
        <w:t xml:space="preserve">. In a tissue cross reactivity study with </w:t>
      </w:r>
      <w:proofErr w:type="spellStart"/>
      <w:r w:rsidRPr="00203FC0">
        <w:t>sipavibart</w:t>
      </w:r>
      <w:proofErr w:type="spellEnd"/>
      <w:r w:rsidRPr="00203FC0">
        <w:t xml:space="preserve">, no binding was detected to human </w:t>
      </w:r>
      <w:proofErr w:type="spellStart"/>
      <w:r w:rsidRPr="00203FC0">
        <w:t>fetal</w:t>
      </w:r>
      <w:proofErr w:type="spellEnd"/>
      <w:r w:rsidRPr="00203FC0">
        <w:t xml:space="preserve"> tissue or reproductive tissues (e.g., placenta). </w:t>
      </w:r>
    </w:p>
    <w:p w14:paraId="0C3006D5" w14:textId="2A3BE741" w:rsidR="00644C76" w:rsidRPr="00203FC0" w:rsidRDefault="00644C76" w:rsidP="00644C76">
      <w:pPr>
        <w:autoSpaceDE w:val="0"/>
        <w:autoSpaceDN w:val="0"/>
        <w:adjustRightInd w:val="0"/>
        <w:spacing w:after="200"/>
        <w:rPr>
          <w:rFonts w:eastAsia="TimesNewRoman"/>
          <w:lang w:eastAsia="ja-JP"/>
        </w:rPr>
      </w:pPr>
      <w:r w:rsidRPr="00203FC0">
        <w:rPr>
          <w:rFonts w:eastAsia="TimesNewRoman"/>
          <w:lang w:eastAsia="ja-JP"/>
        </w:rPr>
        <w:t xml:space="preserve">Human </w:t>
      </w:r>
      <w:proofErr w:type="spellStart"/>
      <w:r w:rsidRPr="00203FC0">
        <w:rPr>
          <w:rFonts w:eastAsia="TimesNewRoman"/>
          <w:lang w:eastAsia="ja-JP"/>
        </w:rPr>
        <w:t>IgG1</w:t>
      </w:r>
      <w:proofErr w:type="spellEnd"/>
      <w:r w:rsidRPr="00203FC0">
        <w:rPr>
          <w:rFonts w:eastAsia="TimesNewRoman"/>
          <w:lang w:eastAsia="ja-JP"/>
        </w:rPr>
        <w:t xml:space="preserve"> antibodies are known to cross the placenta barrier, therefore </w:t>
      </w:r>
      <w:proofErr w:type="spellStart"/>
      <w:r w:rsidRPr="00203FC0">
        <w:rPr>
          <w:rFonts w:eastAsia="TimesNewRoman"/>
          <w:lang w:eastAsia="ja-JP"/>
        </w:rPr>
        <w:t>sipavibart</w:t>
      </w:r>
      <w:proofErr w:type="spellEnd"/>
      <w:r w:rsidRPr="00203FC0">
        <w:rPr>
          <w:rFonts w:eastAsia="TimesNewRoman"/>
          <w:lang w:eastAsia="ja-JP"/>
        </w:rPr>
        <w:t xml:space="preserve"> has the potential to be transferred from the mother to the developing </w:t>
      </w:r>
      <w:proofErr w:type="spellStart"/>
      <w:r w:rsidR="005E433D" w:rsidRPr="00203FC0">
        <w:rPr>
          <w:rFonts w:eastAsia="TimesNewRoman"/>
          <w:lang w:eastAsia="ja-JP"/>
        </w:rPr>
        <w:t>fetus</w:t>
      </w:r>
      <w:proofErr w:type="spellEnd"/>
      <w:r w:rsidRPr="00203FC0">
        <w:rPr>
          <w:rFonts w:eastAsia="TimesNewRoman"/>
          <w:lang w:eastAsia="ja-JP"/>
        </w:rPr>
        <w:t xml:space="preserve">. </w:t>
      </w:r>
      <w:r w:rsidRPr="00203FC0">
        <w:rPr>
          <w:rFonts w:eastAsiaTheme="minorEastAsia"/>
          <w:color w:val="000000"/>
          <w:lang w:eastAsia="ja-JP"/>
        </w:rPr>
        <w:t xml:space="preserve">It is unknown whether the potential placental transfer of </w:t>
      </w:r>
      <w:proofErr w:type="spellStart"/>
      <w:r w:rsidRPr="00203FC0">
        <w:rPr>
          <w:rFonts w:eastAsiaTheme="minorEastAsia"/>
          <w:color w:val="000000"/>
          <w:lang w:eastAsia="ja-JP"/>
        </w:rPr>
        <w:t>sipavibart</w:t>
      </w:r>
      <w:proofErr w:type="spellEnd"/>
      <w:r w:rsidRPr="00203FC0">
        <w:rPr>
          <w:rFonts w:eastAsiaTheme="minorEastAsia"/>
          <w:color w:val="000000"/>
          <w:lang w:eastAsia="ja-JP"/>
        </w:rPr>
        <w:t xml:space="preserve"> provides any treatment benefit or risk to the developing </w:t>
      </w:r>
      <w:proofErr w:type="spellStart"/>
      <w:r w:rsidR="005E433D" w:rsidRPr="00203FC0">
        <w:rPr>
          <w:rFonts w:eastAsiaTheme="minorEastAsia"/>
          <w:color w:val="000000"/>
          <w:lang w:eastAsia="ja-JP"/>
        </w:rPr>
        <w:t>fetus</w:t>
      </w:r>
      <w:proofErr w:type="spellEnd"/>
      <w:r w:rsidRPr="00203FC0">
        <w:rPr>
          <w:rFonts w:eastAsiaTheme="minorEastAsia"/>
          <w:color w:val="000000"/>
          <w:lang w:eastAsia="ja-JP"/>
        </w:rPr>
        <w:t>.</w:t>
      </w:r>
    </w:p>
    <w:p w14:paraId="2982D180" w14:textId="034E677F" w:rsidR="00446EDD" w:rsidRPr="00203FC0" w:rsidRDefault="000F4C37" w:rsidP="00644C76">
      <w:proofErr w:type="spellStart"/>
      <w:r w:rsidRPr="00203FC0">
        <w:t>KAVIGALE</w:t>
      </w:r>
      <w:proofErr w:type="spellEnd"/>
      <w:r w:rsidR="00644C76" w:rsidRPr="00203FC0">
        <w:t xml:space="preserve"> should only be used during pregnancy if the potential benefit outweighs the potential risk for the mother and the </w:t>
      </w:r>
      <w:proofErr w:type="spellStart"/>
      <w:r w:rsidR="005E433D" w:rsidRPr="00203FC0">
        <w:t>fetus</w:t>
      </w:r>
      <w:proofErr w:type="spellEnd"/>
      <w:r w:rsidR="00644C76" w:rsidRPr="00203FC0">
        <w:t>.</w:t>
      </w:r>
    </w:p>
    <w:p w14:paraId="1AABF737" w14:textId="0117B346" w:rsidR="001A3992" w:rsidRPr="00203FC0" w:rsidRDefault="00446EDD" w:rsidP="00644C76">
      <w:pPr>
        <w:pStyle w:val="Heading3Unnumbered"/>
        <w:rPr>
          <w:lang w:val="en-AU"/>
        </w:rPr>
      </w:pPr>
      <w:r w:rsidRPr="00203FC0">
        <w:rPr>
          <w:lang w:val="en-AU"/>
        </w:rPr>
        <w:t>Use in lactation</w:t>
      </w:r>
      <w:r w:rsidR="002B1200" w:rsidRPr="00203FC0">
        <w:rPr>
          <w:lang w:val="en-AU"/>
        </w:rPr>
        <w:fldChar w:fldCharType="begin"/>
      </w:r>
      <w:r w:rsidR="002B1200" w:rsidRPr="00203FC0">
        <w:rPr>
          <w:lang w:val="en-AU"/>
        </w:rPr>
        <w:instrText xml:space="preserve"> DOCVARIABLE vault_nd_7908c851-57bc-4591-8fc3-d71f39b006a7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5237B90B" w14:textId="77777777" w:rsidR="00644C76" w:rsidRPr="00203FC0" w:rsidRDefault="00644C76" w:rsidP="00644C76">
      <w:pPr>
        <w:pStyle w:val="Paragraph"/>
        <w:rPr>
          <w:lang w:val="en-AU"/>
        </w:rPr>
      </w:pPr>
      <w:r w:rsidRPr="00203FC0">
        <w:rPr>
          <w:lang w:val="en-AU"/>
        </w:rPr>
        <w:t xml:space="preserve">It is not known whether </w:t>
      </w:r>
      <w:proofErr w:type="spellStart"/>
      <w:r w:rsidRPr="00203FC0">
        <w:rPr>
          <w:lang w:val="en-AU"/>
        </w:rPr>
        <w:t>sipavibart</w:t>
      </w:r>
      <w:proofErr w:type="spellEnd"/>
      <w:r w:rsidRPr="00203FC0">
        <w:rPr>
          <w:lang w:val="en-AU"/>
        </w:rPr>
        <w:t xml:space="preserve"> is excreted in human milk, but maternal IgG is known to be present in human milk. Exposure to the breast-fed child cannot be excluded.</w:t>
      </w:r>
    </w:p>
    <w:p w14:paraId="3EC2C073" w14:textId="77417984" w:rsidR="00446EDD" w:rsidRPr="00203FC0" w:rsidRDefault="00644C76" w:rsidP="00644C76">
      <w:r w:rsidRPr="00203FC0">
        <w:lastRenderedPageBreak/>
        <w:t xml:space="preserve">The developmental and health benefits of breast-feeding should be considered along with the mother’s clinical need for </w:t>
      </w:r>
      <w:proofErr w:type="spellStart"/>
      <w:r w:rsidR="00556171" w:rsidRPr="00203FC0">
        <w:t>KAVIGALE</w:t>
      </w:r>
      <w:proofErr w:type="spellEnd"/>
      <w:r w:rsidRPr="00203FC0">
        <w:t xml:space="preserve"> and any potential adverse effects on the breast-fed child from </w:t>
      </w:r>
      <w:proofErr w:type="spellStart"/>
      <w:r w:rsidR="004B6062" w:rsidRPr="00203FC0">
        <w:t>KAVIGALE</w:t>
      </w:r>
      <w:proofErr w:type="spellEnd"/>
      <w:r w:rsidRPr="00203FC0">
        <w:t xml:space="preserve"> or from the underlying maternal condition.</w:t>
      </w:r>
    </w:p>
    <w:p w14:paraId="505DD35E" w14:textId="37A93D75" w:rsidR="001A3992" w:rsidRPr="00687CB6" w:rsidRDefault="001A3992" w:rsidP="003B7CFF">
      <w:pPr>
        <w:pStyle w:val="Heading2"/>
        <w:rPr>
          <w:lang w:val="en-AU"/>
        </w:rPr>
      </w:pPr>
      <w:r w:rsidRPr="00687CB6">
        <w:rPr>
          <w:lang w:val="en-AU"/>
        </w:rPr>
        <w:t>Effects on ability to drive and use machines</w:t>
      </w:r>
      <w:r w:rsidR="002B1200" w:rsidRPr="00687CB6">
        <w:rPr>
          <w:lang w:val="en-AU"/>
        </w:rPr>
        <w:fldChar w:fldCharType="begin"/>
      </w:r>
      <w:r w:rsidR="002B1200" w:rsidRPr="00687CB6">
        <w:rPr>
          <w:lang w:val="en-AU"/>
        </w:rPr>
        <w:instrText xml:space="preserve"> DOCVARIABLE VAULT_ND_08e0db50-0b02-4bd9-bb60-28fe38399e37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3A82A3F3" w14:textId="2C499371" w:rsidR="00446EDD" w:rsidRPr="00203FC0" w:rsidRDefault="006D1D02" w:rsidP="00446EDD">
      <w:pPr>
        <w:pStyle w:val="Paragraph"/>
        <w:rPr>
          <w:lang w:val="en-AU"/>
        </w:rPr>
      </w:pPr>
      <w:r w:rsidRPr="00203FC0">
        <w:rPr>
          <w:lang w:val="en-AU"/>
        </w:rPr>
        <w:t>S</w:t>
      </w:r>
      <w:r w:rsidR="00644C76" w:rsidRPr="00203FC0">
        <w:rPr>
          <w:lang w:val="en-AU"/>
        </w:rPr>
        <w:t>ipavibart is expected to have no or negligible influence on the ability to drive and use machines.</w:t>
      </w:r>
    </w:p>
    <w:p w14:paraId="40D88335" w14:textId="1EE98383" w:rsidR="001A3992" w:rsidRPr="00687CB6" w:rsidRDefault="001A3992" w:rsidP="00EE3AC8">
      <w:pPr>
        <w:pStyle w:val="Heading2"/>
        <w:rPr>
          <w:lang w:val="en-AU"/>
        </w:rPr>
      </w:pPr>
      <w:r w:rsidRPr="00687CB6">
        <w:rPr>
          <w:lang w:val="en-AU"/>
        </w:rPr>
        <w:t>Adverse effects (Undesirable effects)</w:t>
      </w:r>
      <w:r w:rsidR="002B1200" w:rsidRPr="00687CB6">
        <w:rPr>
          <w:lang w:val="en-AU"/>
        </w:rPr>
        <w:fldChar w:fldCharType="begin"/>
      </w:r>
      <w:r w:rsidR="002B1200" w:rsidRPr="00687CB6">
        <w:rPr>
          <w:lang w:val="en-AU"/>
        </w:rPr>
        <w:instrText xml:space="preserve"> DOCVARIABLE VAULT_ND_2f48e42a-045f-4034-b113-bc3d7b49245a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4D2E719A" w14:textId="72B2C2C9" w:rsidR="00644C76" w:rsidRPr="00203FC0" w:rsidRDefault="00644C76" w:rsidP="009E014B">
      <w:pPr>
        <w:pStyle w:val="Heading3Unnumbered"/>
        <w:rPr>
          <w:lang w:val="en-AU"/>
        </w:rPr>
      </w:pPr>
      <w:r w:rsidRPr="00203FC0">
        <w:rPr>
          <w:lang w:val="en-AU"/>
        </w:rPr>
        <w:t>Summary of the safety profile</w:t>
      </w:r>
      <w:r w:rsidR="002B1200" w:rsidRPr="00203FC0">
        <w:rPr>
          <w:lang w:val="en-AU"/>
        </w:rPr>
        <w:fldChar w:fldCharType="begin"/>
      </w:r>
      <w:r w:rsidR="002B1200" w:rsidRPr="00203FC0">
        <w:rPr>
          <w:lang w:val="en-AU"/>
        </w:rPr>
        <w:instrText xml:space="preserve"> DOCVARIABLE vault_nd_4805aff6-4460-4bc4-a58c-c02c31d92581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09C909A0" w14:textId="4F3E7133" w:rsidR="00644C76" w:rsidRPr="00203FC0" w:rsidRDefault="00644C76" w:rsidP="009E014B">
      <w:pPr>
        <w:pStyle w:val="Paragraph"/>
        <w:rPr>
          <w:lang w:val="en-AU"/>
        </w:rPr>
      </w:pPr>
      <w:r w:rsidRPr="00203FC0">
        <w:rPr>
          <w:lang w:val="en-AU"/>
        </w:rPr>
        <w:t xml:space="preserve">Overall, </w:t>
      </w:r>
      <w:r w:rsidR="00506F37" w:rsidRPr="00203FC0">
        <w:rPr>
          <w:lang w:val="en-AU"/>
        </w:rPr>
        <w:t>2061</w:t>
      </w:r>
      <w:r w:rsidRPr="00203FC0">
        <w:rPr>
          <w:lang w:val="en-AU"/>
        </w:rPr>
        <w:t xml:space="preserve"> participants (16</w:t>
      </w:r>
      <w:r w:rsidR="00506F37" w:rsidRPr="00203FC0">
        <w:rPr>
          <w:lang w:val="en-AU"/>
        </w:rPr>
        <w:t>91</w:t>
      </w:r>
      <w:r w:rsidRPr="00203FC0">
        <w:rPr>
          <w:lang w:val="en-AU"/>
        </w:rPr>
        <w:t xml:space="preserve"> via intramuscular injection and 3</w:t>
      </w:r>
      <w:r w:rsidR="00506F37" w:rsidRPr="00203FC0">
        <w:rPr>
          <w:lang w:val="en-AU"/>
        </w:rPr>
        <w:t>7</w:t>
      </w:r>
      <w:r w:rsidRPr="00203FC0">
        <w:rPr>
          <w:lang w:val="en-AU"/>
        </w:rPr>
        <w:t xml:space="preserve">0 via intravenous administration) have been exposed to </w:t>
      </w:r>
      <w:proofErr w:type="spellStart"/>
      <w:r w:rsidRPr="00203FC0">
        <w:rPr>
          <w:lang w:val="en-AU"/>
        </w:rPr>
        <w:t>sipavibart</w:t>
      </w:r>
      <w:proofErr w:type="spellEnd"/>
      <w:r w:rsidRPr="00203FC0">
        <w:rPr>
          <w:lang w:val="en-AU"/>
        </w:rPr>
        <w:t xml:space="preserve"> in clinical trials.</w:t>
      </w:r>
    </w:p>
    <w:p w14:paraId="0082E917" w14:textId="079CAB39" w:rsidR="00644C76" w:rsidRPr="00203FC0" w:rsidRDefault="00644C76" w:rsidP="009E014B">
      <w:pPr>
        <w:pStyle w:val="Paragraph"/>
        <w:rPr>
          <w:shd w:val="clear" w:color="auto" w:fill="FFFFFF"/>
          <w:lang w:val="en-AU"/>
        </w:rPr>
      </w:pPr>
      <w:r w:rsidRPr="00203FC0">
        <w:rPr>
          <w:shd w:val="clear" w:color="auto" w:fill="FFFFFF"/>
          <w:lang w:val="en-AU"/>
        </w:rPr>
        <w:t>In the Phase III SUPERNOVA Parent Study, Main Cohort</w:t>
      </w:r>
      <w:r w:rsidR="00347F5C" w:rsidRPr="00203FC0">
        <w:rPr>
          <w:shd w:val="clear" w:color="auto" w:fill="FFFFFF"/>
          <w:lang w:val="en-AU"/>
        </w:rPr>
        <w:t xml:space="preserve"> </w:t>
      </w:r>
      <w:r w:rsidRPr="00203FC0">
        <w:rPr>
          <w:shd w:val="clear" w:color="auto" w:fill="FFFFFF"/>
          <w:lang w:val="en-AU"/>
        </w:rPr>
        <w:t>16</w:t>
      </w:r>
      <w:r w:rsidR="00347F5C" w:rsidRPr="00203FC0">
        <w:rPr>
          <w:shd w:val="clear" w:color="auto" w:fill="FFFFFF"/>
          <w:lang w:val="en-AU"/>
        </w:rPr>
        <w:t>71</w:t>
      </w:r>
      <w:r w:rsidRPr="00203FC0">
        <w:rPr>
          <w:shd w:val="clear" w:color="auto" w:fill="FFFFFF"/>
          <w:lang w:val="en-AU"/>
        </w:rPr>
        <w:t xml:space="preserve"> immunocompromised adult and adolescent participants ≥ 12 years of age and </w:t>
      </w:r>
      <w:r w:rsidRPr="00203FC0">
        <w:rPr>
          <w:lang w:val="en-AU"/>
        </w:rPr>
        <w:t>weighing at least 40 kg</w:t>
      </w:r>
      <w:r w:rsidRPr="00203FC0">
        <w:rPr>
          <w:shd w:val="clear" w:color="auto" w:fill="FFFFFF"/>
          <w:lang w:val="en-AU"/>
        </w:rPr>
        <w:t xml:space="preserve"> were exposed to </w:t>
      </w:r>
      <w:r w:rsidR="00C01F2D" w:rsidRPr="00203FC0">
        <w:rPr>
          <w:shd w:val="clear" w:color="auto" w:fill="FFFFFF"/>
          <w:lang w:val="en-AU"/>
        </w:rPr>
        <w:t xml:space="preserve">an initial </w:t>
      </w:r>
      <w:r w:rsidRPr="00203FC0">
        <w:rPr>
          <w:shd w:val="clear" w:color="auto" w:fill="FFFFFF"/>
          <w:lang w:val="en-AU"/>
        </w:rPr>
        <w:t xml:space="preserve">dose of </w:t>
      </w:r>
      <w:proofErr w:type="spellStart"/>
      <w:r w:rsidRPr="00203FC0">
        <w:rPr>
          <w:shd w:val="clear" w:color="auto" w:fill="FFFFFF"/>
          <w:lang w:val="en-AU"/>
        </w:rPr>
        <w:t>sipavibart</w:t>
      </w:r>
      <w:proofErr w:type="spellEnd"/>
      <w:r w:rsidRPr="00203FC0">
        <w:rPr>
          <w:shd w:val="clear" w:color="auto" w:fill="FFFFFF"/>
          <w:lang w:val="en-AU"/>
        </w:rPr>
        <w:t xml:space="preserve"> 300 mg administered by intramuscular injection </w:t>
      </w:r>
      <w:r w:rsidR="00E225A0">
        <w:rPr>
          <w:shd w:val="clear" w:color="auto" w:fill="FFFFFF"/>
          <w:lang w:val="en-AU"/>
        </w:rPr>
        <w:t xml:space="preserve">and 1485 were exposed to two doses </w:t>
      </w:r>
      <w:r w:rsidRPr="00203FC0">
        <w:rPr>
          <w:shd w:val="clear" w:color="auto" w:fill="FFFFFF"/>
          <w:lang w:val="en-AU"/>
        </w:rPr>
        <w:t>(see Section 5.1).</w:t>
      </w:r>
    </w:p>
    <w:p w14:paraId="3934C00B" w14:textId="49088DB3" w:rsidR="00644C76" w:rsidRPr="00203FC0" w:rsidRDefault="00644C76" w:rsidP="009E014B">
      <w:pPr>
        <w:pStyle w:val="Paragraph"/>
        <w:rPr>
          <w:shd w:val="clear" w:color="auto" w:fill="FFFFFF"/>
          <w:lang w:val="en-AU"/>
        </w:rPr>
      </w:pPr>
      <w:r w:rsidRPr="00203FC0">
        <w:rPr>
          <w:shd w:val="clear" w:color="auto" w:fill="FFFFFF"/>
          <w:lang w:val="en-AU"/>
        </w:rPr>
        <w:t xml:space="preserve">The Phase II SUPERNOVA </w:t>
      </w:r>
      <w:r w:rsidR="00C01F2D" w:rsidRPr="00203FC0">
        <w:rPr>
          <w:shd w:val="clear" w:color="auto" w:fill="FFFFFF"/>
          <w:lang w:val="en-AU"/>
        </w:rPr>
        <w:t>S</w:t>
      </w:r>
      <w:r w:rsidRPr="00203FC0">
        <w:rPr>
          <w:shd w:val="clear" w:color="auto" w:fill="FFFFFF"/>
          <w:lang w:val="en-AU"/>
        </w:rPr>
        <w:t>ub-</w:t>
      </w:r>
      <w:r w:rsidR="00C01F2D" w:rsidRPr="00203FC0">
        <w:rPr>
          <w:shd w:val="clear" w:color="auto" w:fill="FFFFFF"/>
          <w:lang w:val="en-AU"/>
        </w:rPr>
        <w:t>S</w:t>
      </w:r>
      <w:r w:rsidRPr="00203FC0">
        <w:rPr>
          <w:shd w:val="clear" w:color="auto" w:fill="FFFFFF"/>
          <w:lang w:val="en-AU"/>
        </w:rPr>
        <w:t>tudy, a randomi</w:t>
      </w:r>
      <w:r w:rsidR="00F46D86">
        <w:rPr>
          <w:shd w:val="clear" w:color="auto" w:fill="FFFFFF"/>
          <w:lang w:val="en-AU"/>
        </w:rPr>
        <w:t>s</w:t>
      </w:r>
      <w:r w:rsidRPr="00203FC0">
        <w:rPr>
          <w:shd w:val="clear" w:color="auto" w:fill="FFFFFF"/>
          <w:lang w:val="en-AU"/>
        </w:rPr>
        <w:t xml:space="preserve">ed, open-label study, </w:t>
      </w:r>
      <w:r w:rsidR="00C01F2D" w:rsidRPr="00203FC0">
        <w:rPr>
          <w:shd w:val="clear" w:color="auto" w:fill="FFFFFF"/>
          <w:lang w:val="en-AU"/>
        </w:rPr>
        <w:t xml:space="preserve">310 </w:t>
      </w:r>
      <w:r w:rsidRPr="00203FC0">
        <w:rPr>
          <w:shd w:val="clear" w:color="auto" w:fill="FFFFFF"/>
          <w:lang w:val="en-AU"/>
        </w:rPr>
        <w:t xml:space="preserve">participants ≥ 18 years of age and </w:t>
      </w:r>
      <w:r w:rsidRPr="00203FC0">
        <w:rPr>
          <w:lang w:val="en-AU"/>
        </w:rPr>
        <w:t>weighing at least 40 kg</w:t>
      </w:r>
      <w:r w:rsidR="00C26F84" w:rsidRPr="00203FC0">
        <w:rPr>
          <w:lang w:val="en-AU"/>
        </w:rPr>
        <w:t>,</w:t>
      </w:r>
      <w:r w:rsidRPr="00203FC0">
        <w:rPr>
          <w:shd w:val="clear" w:color="auto" w:fill="FFFFFF"/>
          <w:lang w:val="en-AU"/>
        </w:rPr>
        <w:t xml:space="preserve"> who were either immunocompromised or immunocompetent with all degrees of SARS-CoV-2 infection risk</w:t>
      </w:r>
      <w:r w:rsidR="00C26F84" w:rsidRPr="00203FC0">
        <w:rPr>
          <w:shd w:val="clear" w:color="auto" w:fill="FFFFFF"/>
          <w:lang w:val="en-AU"/>
        </w:rPr>
        <w:t xml:space="preserve">, </w:t>
      </w:r>
      <w:r w:rsidRPr="00203FC0">
        <w:rPr>
          <w:shd w:val="clear" w:color="auto" w:fill="FFFFFF"/>
          <w:lang w:val="en-AU"/>
        </w:rPr>
        <w:t xml:space="preserve">were exposed to </w:t>
      </w:r>
      <w:proofErr w:type="spellStart"/>
      <w:r w:rsidRPr="00203FC0">
        <w:rPr>
          <w:shd w:val="clear" w:color="auto" w:fill="FFFFFF"/>
          <w:lang w:val="en-AU"/>
        </w:rPr>
        <w:t>sipavibart</w:t>
      </w:r>
      <w:proofErr w:type="spellEnd"/>
      <w:r w:rsidRPr="00203FC0">
        <w:rPr>
          <w:shd w:val="clear" w:color="auto" w:fill="FFFFFF"/>
          <w:lang w:val="en-AU"/>
        </w:rPr>
        <w:t xml:space="preserve"> 1200 mg via intravenous infusion.</w:t>
      </w:r>
    </w:p>
    <w:p w14:paraId="37B831AD" w14:textId="35ED523D" w:rsidR="00644C76" w:rsidRPr="00203FC0" w:rsidRDefault="00B42721" w:rsidP="009E014B">
      <w:pPr>
        <w:pStyle w:val="Paragraph"/>
        <w:rPr>
          <w:lang w:val="en-AU"/>
        </w:rPr>
      </w:pPr>
      <w:r w:rsidRPr="00203FC0">
        <w:rPr>
          <w:lang w:val="en-AU"/>
        </w:rPr>
        <w:t xml:space="preserve">The Phase I Little DIPPER study (n=80), a double-blind, placebo-controlled study, enrolled 80 healthy adults 18-55 years of age with a minimum weight of 45 kg. Participants received </w:t>
      </w:r>
      <w:proofErr w:type="spellStart"/>
      <w:r w:rsidRPr="00203FC0">
        <w:rPr>
          <w:lang w:val="en-AU"/>
        </w:rPr>
        <w:t>KAVIGALE</w:t>
      </w:r>
      <w:proofErr w:type="spellEnd"/>
      <w:r w:rsidRPr="00203FC0">
        <w:rPr>
          <w:lang w:val="en-AU"/>
        </w:rPr>
        <w:t xml:space="preserve"> 300 mg (n=10) or 600 mg (n=10) by intramuscular injection, or 300 mg (n=10), 600 mg (n=10), or 1200 mg (n=40) by intravenous infusion. The safety profile of </w:t>
      </w:r>
      <w:proofErr w:type="spellStart"/>
      <w:r w:rsidRPr="00203FC0">
        <w:rPr>
          <w:lang w:val="en-AU"/>
        </w:rPr>
        <w:t>KAVIGALE</w:t>
      </w:r>
      <w:proofErr w:type="spellEnd"/>
      <w:r w:rsidRPr="00203FC0">
        <w:rPr>
          <w:lang w:val="en-AU"/>
        </w:rPr>
        <w:t xml:space="preserve"> observed in this study was consistent with the safety profile in other trials of </w:t>
      </w:r>
      <w:proofErr w:type="spellStart"/>
      <w:r w:rsidRPr="00203FC0">
        <w:rPr>
          <w:lang w:val="en-AU"/>
        </w:rPr>
        <w:t>KAVIGALE</w:t>
      </w:r>
      <w:proofErr w:type="spellEnd"/>
      <w:r w:rsidRPr="00203FC0">
        <w:rPr>
          <w:lang w:val="en-AU"/>
        </w:rPr>
        <w:t>.</w:t>
      </w:r>
    </w:p>
    <w:p w14:paraId="30568A52" w14:textId="4C210407" w:rsidR="00644C76" w:rsidRPr="00203FC0" w:rsidRDefault="00644C76" w:rsidP="009E014B">
      <w:pPr>
        <w:pStyle w:val="Heading3Unnumbered"/>
        <w:rPr>
          <w:lang w:val="en-AU"/>
        </w:rPr>
      </w:pPr>
      <w:r w:rsidRPr="00203FC0">
        <w:rPr>
          <w:lang w:val="en-AU"/>
        </w:rPr>
        <w:t>Adverse Drug Reactions</w:t>
      </w:r>
      <w:r w:rsidR="002B1200" w:rsidRPr="00203FC0">
        <w:rPr>
          <w:lang w:val="en-AU"/>
        </w:rPr>
        <w:fldChar w:fldCharType="begin"/>
      </w:r>
      <w:r w:rsidR="002B1200" w:rsidRPr="00203FC0">
        <w:rPr>
          <w:lang w:val="en-AU"/>
        </w:rPr>
        <w:instrText xml:space="preserve"> DOCVARIABLE vault_nd_48151bad-12ae-4707-a7af-9f730652db0e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030548C7" w14:textId="5DABFA31" w:rsidR="00644C76" w:rsidRPr="00203FC0" w:rsidRDefault="00861CDC" w:rsidP="009E014B">
      <w:pPr>
        <w:pStyle w:val="Paragraph"/>
        <w:rPr>
          <w:lang w:val="en-AU"/>
        </w:rPr>
      </w:pPr>
      <w:r w:rsidRPr="00203FC0">
        <w:rPr>
          <w:lang w:val="en-AU"/>
        </w:rPr>
        <w:fldChar w:fldCharType="begin"/>
      </w:r>
      <w:r w:rsidRPr="00203FC0">
        <w:rPr>
          <w:lang w:val="en-AU"/>
        </w:rPr>
        <w:instrText xml:space="preserve"> REF _Ref208320496 \h </w:instrText>
      </w:r>
      <w:r w:rsidRPr="00203FC0">
        <w:rPr>
          <w:lang w:val="en-AU"/>
        </w:rPr>
      </w:r>
      <w:r w:rsidRPr="00203FC0">
        <w:rPr>
          <w:lang w:val="en-AU"/>
        </w:rPr>
        <w:fldChar w:fldCharType="separate"/>
      </w:r>
      <w:r w:rsidRPr="00203FC0">
        <w:rPr>
          <w:lang w:val="en-AU"/>
        </w:rPr>
        <w:t xml:space="preserve">Table </w:t>
      </w:r>
      <w:r w:rsidRPr="00203FC0">
        <w:rPr>
          <w:noProof/>
          <w:lang w:val="en-AU"/>
        </w:rPr>
        <w:t>1</w:t>
      </w:r>
      <w:r w:rsidRPr="00203FC0">
        <w:rPr>
          <w:lang w:val="en-AU"/>
        </w:rPr>
        <w:fldChar w:fldCharType="end"/>
      </w:r>
      <w:r w:rsidR="00644C76" w:rsidRPr="00203FC0">
        <w:rPr>
          <w:lang w:val="en-AU"/>
        </w:rPr>
        <w:t xml:space="preserve"> presents the adverse reactions identified from </w:t>
      </w:r>
      <w:r w:rsidR="00774578" w:rsidRPr="00203FC0">
        <w:rPr>
          <w:lang w:val="en-AU"/>
        </w:rPr>
        <w:t>the Phase II and Phase III studies.</w:t>
      </w:r>
    </w:p>
    <w:p w14:paraId="7CC5BDBA" w14:textId="77777777" w:rsidR="00644C76" w:rsidRPr="00203FC0" w:rsidRDefault="00644C76" w:rsidP="009E014B">
      <w:pPr>
        <w:pStyle w:val="Paragraph"/>
        <w:rPr>
          <w:lang w:val="en-AU"/>
        </w:rPr>
      </w:pPr>
      <w:r w:rsidRPr="00203FC0">
        <w:rPr>
          <w:lang w:val="en-AU"/>
        </w:rPr>
        <w:t>Adverse drug reactions (ADRs) are organised by MedDRA System Organ Class (SOC). Within each SOC, preferred terms are arranged by decreasing frequency and then by decreasing seriousness. Frequencies of occurrence of adverse reactions are defined as: very common (≥1/10); common (≥1/100 to &lt;1/10); uncommon (≥1/1,000 to &lt;1/100); rare (≥1/10,000 to &lt;1/1000); very rare (&lt;1/10,000) and not known (cannot be estimated from available data).</w:t>
      </w:r>
    </w:p>
    <w:p w14:paraId="490C74B2" w14:textId="6EA0B85C" w:rsidR="00644C76" w:rsidRPr="00203FC0" w:rsidRDefault="00032F24" w:rsidP="00032F24">
      <w:pPr>
        <w:pStyle w:val="Caption"/>
        <w:rPr>
          <w:b w:val="0"/>
          <w:bCs/>
          <w:lang w:val="en-AU"/>
        </w:rPr>
      </w:pPr>
      <w:bookmarkStart w:id="5" w:name="_Ref208320496"/>
      <w:r w:rsidRPr="00203FC0">
        <w:rPr>
          <w:lang w:val="en-AU"/>
        </w:rPr>
        <w:lastRenderedPageBreak/>
        <w:t xml:space="preserve">Table </w:t>
      </w:r>
      <w:r w:rsidRPr="00203FC0">
        <w:rPr>
          <w:lang w:val="en-AU"/>
        </w:rPr>
        <w:fldChar w:fldCharType="begin"/>
      </w:r>
      <w:r w:rsidRPr="00203FC0">
        <w:rPr>
          <w:lang w:val="en-AU"/>
        </w:rPr>
        <w:instrText xml:space="preserve"> SEQ Table \* ARABIC </w:instrText>
      </w:r>
      <w:r w:rsidRPr="00203FC0">
        <w:rPr>
          <w:lang w:val="en-AU"/>
        </w:rPr>
        <w:fldChar w:fldCharType="separate"/>
      </w:r>
      <w:r w:rsidR="008F00B7" w:rsidRPr="00203FC0">
        <w:rPr>
          <w:noProof/>
          <w:lang w:val="en-AU"/>
        </w:rPr>
        <w:t>1</w:t>
      </w:r>
      <w:r w:rsidRPr="00203FC0">
        <w:rPr>
          <w:lang w:val="en-AU"/>
        </w:rPr>
        <w:fldChar w:fldCharType="end"/>
      </w:r>
      <w:bookmarkEnd w:id="5"/>
      <w:r w:rsidR="00644C76" w:rsidRPr="00203FC0">
        <w:rPr>
          <w:lang w:val="en-AU"/>
        </w:rPr>
        <w:tab/>
      </w:r>
      <w:r w:rsidR="00644C76" w:rsidRPr="00203FC0">
        <w:rPr>
          <w:bCs/>
          <w:lang w:val="en-AU"/>
        </w:rPr>
        <w:t>Adverse reactions</w:t>
      </w:r>
      <w:r w:rsidR="00687CB6">
        <w:rPr>
          <w:bCs/>
          <w:lang w:val="en-AU"/>
        </w:rPr>
        <w:fldChar w:fldCharType="begin"/>
      </w:r>
      <w:r w:rsidR="00687CB6">
        <w:rPr>
          <w:bCs/>
          <w:lang w:val="en-AU"/>
        </w:rPr>
        <w:instrText xml:space="preserve"> DOCVARIABLE vault_nd_8ebab64f-27f6-4eff-aee4-113b419220bb \* MERGEFORMAT </w:instrText>
      </w:r>
      <w:r w:rsidR="00687CB6">
        <w:rPr>
          <w:bCs/>
          <w:lang w:val="en-AU"/>
        </w:rPr>
        <w:fldChar w:fldCharType="separate"/>
      </w:r>
      <w:r w:rsidR="00687CB6">
        <w:rPr>
          <w:bCs/>
          <w:lang w:val="en-AU"/>
        </w:rPr>
        <w:t xml:space="preserve"> </w:t>
      </w:r>
      <w:r w:rsidR="00687CB6">
        <w:rPr>
          <w:bCs/>
          <w:lang w:val="en-AU"/>
        </w:rPr>
        <w:fldChar w:fldCharType="end"/>
      </w:r>
    </w:p>
    <w:tbl>
      <w:tblPr>
        <w:tblW w:w="4997"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dverse Drug Reactions reported in Clinical Trials"/>
      </w:tblPr>
      <w:tblGrid>
        <w:gridCol w:w="3621"/>
        <w:gridCol w:w="3431"/>
        <w:gridCol w:w="2574"/>
      </w:tblGrid>
      <w:tr w:rsidR="00644C76" w:rsidRPr="00203FC0" w14:paraId="5E7A59C7" w14:textId="77777777" w:rsidTr="00A60394">
        <w:trPr>
          <w:cantSplit/>
          <w:trHeight w:val="218"/>
          <w:tblHeader/>
        </w:trPr>
        <w:tc>
          <w:tcPr>
            <w:tcW w:w="1881" w:type="pct"/>
          </w:tcPr>
          <w:p w14:paraId="7DE59F43" w14:textId="77777777" w:rsidR="00644C76" w:rsidRPr="00203FC0" w:rsidRDefault="00644C76" w:rsidP="00644C76">
            <w:pPr>
              <w:keepNext/>
              <w:spacing w:before="40" w:after="40" w:line="240" w:lineRule="auto"/>
              <w:rPr>
                <w:b/>
                <w:sz w:val="22"/>
                <w:szCs w:val="22"/>
              </w:rPr>
            </w:pPr>
            <w:r w:rsidRPr="00203FC0">
              <w:rPr>
                <w:b/>
                <w:sz w:val="22"/>
                <w:szCs w:val="22"/>
              </w:rPr>
              <w:t>MedDRA SOC</w:t>
            </w:r>
          </w:p>
        </w:tc>
        <w:tc>
          <w:tcPr>
            <w:tcW w:w="1782" w:type="pct"/>
          </w:tcPr>
          <w:p w14:paraId="6D1BBBEE" w14:textId="77777777" w:rsidR="00644C76" w:rsidRPr="00203FC0" w:rsidRDefault="00644C76" w:rsidP="00644C76">
            <w:pPr>
              <w:keepNext/>
              <w:spacing w:before="40" w:after="40" w:line="240" w:lineRule="auto"/>
              <w:rPr>
                <w:b/>
                <w:sz w:val="22"/>
                <w:szCs w:val="22"/>
              </w:rPr>
            </w:pPr>
            <w:r w:rsidRPr="00203FC0">
              <w:rPr>
                <w:b/>
                <w:sz w:val="22"/>
                <w:szCs w:val="22"/>
              </w:rPr>
              <w:t>MedDRA Preferred Term</w:t>
            </w:r>
          </w:p>
        </w:tc>
        <w:tc>
          <w:tcPr>
            <w:tcW w:w="1337" w:type="pct"/>
            <w:vAlign w:val="center"/>
          </w:tcPr>
          <w:p w14:paraId="5C059D8F" w14:textId="77777777" w:rsidR="00644C76" w:rsidRPr="00203FC0" w:rsidRDefault="00644C76" w:rsidP="00644C76">
            <w:pPr>
              <w:keepNext/>
              <w:spacing w:before="40" w:after="40" w:line="240" w:lineRule="auto"/>
              <w:rPr>
                <w:b/>
                <w:sz w:val="22"/>
                <w:szCs w:val="22"/>
              </w:rPr>
            </w:pPr>
            <w:r w:rsidRPr="00203FC0">
              <w:rPr>
                <w:b/>
                <w:sz w:val="22"/>
                <w:szCs w:val="22"/>
              </w:rPr>
              <w:t>Frequency</w:t>
            </w:r>
          </w:p>
        </w:tc>
      </w:tr>
      <w:tr w:rsidR="00644C76" w:rsidRPr="00203FC0" w14:paraId="3B3AC05B" w14:textId="77777777" w:rsidTr="00A60394">
        <w:trPr>
          <w:cantSplit/>
          <w:trHeight w:val="218"/>
          <w:tblHeader/>
        </w:trPr>
        <w:tc>
          <w:tcPr>
            <w:tcW w:w="5000" w:type="pct"/>
            <w:gridSpan w:val="3"/>
          </w:tcPr>
          <w:p w14:paraId="16D3178A" w14:textId="77777777" w:rsidR="00644C76" w:rsidRPr="00203FC0" w:rsidRDefault="00644C76" w:rsidP="00644C76">
            <w:pPr>
              <w:keepNext/>
              <w:spacing w:before="40" w:after="40" w:line="240" w:lineRule="auto"/>
              <w:jc w:val="center"/>
              <w:rPr>
                <w:b/>
                <w:sz w:val="22"/>
                <w:szCs w:val="22"/>
              </w:rPr>
            </w:pPr>
            <w:r w:rsidRPr="00203FC0">
              <w:rPr>
                <w:b/>
                <w:sz w:val="22"/>
                <w:szCs w:val="22"/>
              </w:rPr>
              <w:t>Intramuscular administration</w:t>
            </w:r>
          </w:p>
        </w:tc>
      </w:tr>
      <w:tr w:rsidR="00644C76" w:rsidRPr="00203FC0" w14:paraId="6A151E82" w14:textId="77777777" w:rsidTr="00A60394">
        <w:trPr>
          <w:cantSplit/>
          <w:trHeight w:val="218"/>
          <w:tblHeader/>
        </w:trPr>
        <w:tc>
          <w:tcPr>
            <w:tcW w:w="1881" w:type="pct"/>
          </w:tcPr>
          <w:p w14:paraId="57F237E0" w14:textId="6FAEB64A" w:rsidR="00644C76" w:rsidRPr="00203FC0" w:rsidRDefault="008F6E90" w:rsidP="00644C76">
            <w:pPr>
              <w:keepNext/>
              <w:spacing w:before="40" w:after="40" w:line="240" w:lineRule="auto"/>
              <w:rPr>
                <w:bCs/>
                <w:sz w:val="22"/>
                <w:szCs w:val="22"/>
              </w:rPr>
            </w:pPr>
            <w:r w:rsidRPr="00203FC0">
              <w:rPr>
                <w:bCs/>
                <w:sz w:val="22"/>
                <w:szCs w:val="22"/>
              </w:rPr>
              <w:t>Immune system disorders</w:t>
            </w:r>
          </w:p>
        </w:tc>
        <w:tc>
          <w:tcPr>
            <w:tcW w:w="1782" w:type="pct"/>
          </w:tcPr>
          <w:p w14:paraId="02567DE5" w14:textId="0F0C1862" w:rsidR="00644C76" w:rsidRPr="00203FC0" w:rsidRDefault="005F65BD" w:rsidP="00644C76">
            <w:pPr>
              <w:keepNext/>
              <w:spacing w:before="40" w:after="40" w:line="240" w:lineRule="auto"/>
              <w:rPr>
                <w:bCs/>
                <w:sz w:val="22"/>
                <w:szCs w:val="22"/>
                <w:vertAlign w:val="superscript"/>
              </w:rPr>
            </w:pPr>
            <w:proofErr w:type="spellStart"/>
            <w:r w:rsidRPr="00203FC0">
              <w:rPr>
                <w:bCs/>
                <w:sz w:val="22"/>
                <w:szCs w:val="22"/>
              </w:rPr>
              <w:t>Hypersensitivity</w:t>
            </w:r>
            <w:r w:rsidR="00F523D0" w:rsidRPr="00203FC0">
              <w:rPr>
                <w:bCs/>
                <w:sz w:val="22"/>
                <w:szCs w:val="22"/>
                <w:vertAlign w:val="superscript"/>
              </w:rPr>
              <w:t>a</w:t>
            </w:r>
            <w:proofErr w:type="spellEnd"/>
          </w:p>
        </w:tc>
        <w:tc>
          <w:tcPr>
            <w:tcW w:w="1337" w:type="pct"/>
          </w:tcPr>
          <w:p w14:paraId="4B2874C9" w14:textId="7E5EDA17" w:rsidR="00644C76" w:rsidRPr="00203FC0" w:rsidRDefault="00CC1C3F" w:rsidP="00644C76">
            <w:pPr>
              <w:keepNext/>
              <w:spacing w:before="40" w:after="40" w:line="240" w:lineRule="auto"/>
              <w:rPr>
                <w:bCs/>
                <w:sz w:val="22"/>
                <w:szCs w:val="22"/>
              </w:rPr>
            </w:pPr>
            <w:r>
              <w:rPr>
                <w:bCs/>
                <w:sz w:val="22"/>
                <w:szCs w:val="22"/>
              </w:rPr>
              <w:t>C</w:t>
            </w:r>
            <w:r w:rsidR="005F65BD" w:rsidRPr="00203FC0">
              <w:rPr>
                <w:bCs/>
                <w:sz w:val="22"/>
                <w:szCs w:val="22"/>
              </w:rPr>
              <w:t>ommon (</w:t>
            </w:r>
            <w:r>
              <w:rPr>
                <w:bCs/>
                <w:sz w:val="22"/>
                <w:szCs w:val="22"/>
              </w:rPr>
              <w:t>1.9</w:t>
            </w:r>
            <w:r w:rsidR="005F65BD" w:rsidRPr="00203FC0">
              <w:rPr>
                <w:bCs/>
                <w:sz w:val="22"/>
                <w:szCs w:val="22"/>
              </w:rPr>
              <w:t>%)</w:t>
            </w:r>
          </w:p>
        </w:tc>
      </w:tr>
      <w:tr w:rsidR="00644C76" w:rsidRPr="00203FC0" w14:paraId="6A0412AC" w14:textId="77777777" w:rsidTr="00A60394">
        <w:trPr>
          <w:cantSplit/>
          <w:trHeight w:val="218"/>
          <w:tblHeader/>
        </w:trPr>
        <w:tc>
          <w:tcPr>
            <w:tcW w:w="1881" w:type="pct"/>
          </w:tcPr>
          <w:p w14:paraId="474049C0" w14:textId="01A83F8D" w:rsidR="00644C76" w:rsidRPr="00203FC0" w:rsidRDefault="005F65BD" w:rsidP="00644C76">
            <w:pPr>
              <w:keepNext/>
              <w:spacing w:before="40" w:after="40" w:line="240" w:lineRule="auto"/>
              <w:rPr>
                <w:bCs/>
                <w:sz w:val="22"/>
                <w:szCs w:val="22"/>
              </w:rPr>
            </w:pPr>
            <w:r w:rsidRPr="00203FC0">
              <w:rPr>
                <w:bCs/>
                <w:sz w:val="22"/>
                <w:szCs w:val="22"/>
              </w:rPr>
              <w:t>General disorders and administration site conditions</w:t>
            </w:r>
          </w:p>
        </w:tc>
        <w:tc>
          <w:tcPr>
            <w:tcW w:w="1782" w:type="pct"/>
          </w:tcPr>
          <w:p w14:paraId="085A3381" w14:textId="5E1014DB" w:rsidR="00644C76" w:rsidRPr="00203FC0" w:rsidRDefault="005F65BD" w:rsidP="00644C76">
            <w:pPr>
              <w:keepNext/>
              <w:spacing w:before="40" w:after="40" w:line="240" w:lineRule="auto"/>
              <w:rPr>
                <w:bCs/>
                <w:sz w:val="22"/>
                <w:szCs w:val="22"/>
                <w:vertAlign w:val="superscript"/>
              </w:rPr>
            </w:pPr>
            <w:r w:rsidRPr="00203FC0">
              <w:rPr>
                <w:bCs/>
                <w:sz w:val="22"/>
                <w:szCs w:val="22"/>
              </w:rPr>
              <w:t xml:space="preserve">Injection site </w:t>
            </w:r>
            <w:proofErr w:type="spellStart"/>
            <w:r w:rsidRPr="00203FC0">
              <w:rPr>
                <w:bCs/>
                <w:sz w:val="22"/>
                <w:szCs w:val="22"/>
              </w:rPr>
              <w:t>reaction</w:t>
            </w:r>
            <w:r w:rsidR="00F523D0" w:rsidRPr="00203FC0">
              <w:rPr>
                <w:bCs/>
                <w:sz w:val="22"/>
                <w:szCs w:val="22"/>
                <w:vertAlign w:val="superscript"/>
              </w:rPr>
              <w:t>b</w:t>
            </w:r>
            <w:proofErr w:type="spellEnd"/>
          </w:p>
        </w:tc>
        <w:tc>
          <w:tcPr>
            <w:tcW w:w="1337" w:type="pct"/>
          </w:tcPr>
          <w:p w14:paraId="07768CCC" w14:textId="32B93C92" w:rsidR="00644C76" w:rsidRPr="00203FC0" w:rsidRDefault="005F65BD" w:rsidP="00644C76">
            <w:pPr>
              <w:keepNext/>
              <w:spacing w:before="40" w:after="40" w:line="240" w:lineRule="auto"/>
              <w:rPr>
                <w:bCs/>
                <w:sz w:val="22"/>
                <w:szCs w:val="22"/>
              </w:rPr>
            </w:pPr>
            <w:r w:rsidRPr="00203FC0">
              <w:rPr>
                <w:bCs/>
                <w:sz w:val="22"/>
                <w:szCs w:val="22"/>
              </w:rPr>
              <w:t>Common (</w:t>
            </w:r>
            <w:r w:rsidR="00CC1C3F">
              <w:rPr>
                <w:bCs/>
                <w:sz w:val="22"/>
                <w:szCs w:val="22"/>
              </w:rPr>
              <w:t>5.6</w:t>
            </w:r>
            <w:r w:rsidRPr="00203FC0">
              <w:rPr>
                <w:bCs/>
                <w:sz w:val="22"/>
                <w:szCs w:val="22"/>
              </w:rPr>
              <w:t>%)</w:t>
            </w:r>
          </w:p>
        </w:tc>
      </w:tr>
      <w:tr w:rsidR="00644C76" w:rsidRPr="00203FC0" w14:paraId="640C5967" w14:textId="77777777" w:rsidTr="00A60394">
        <w:trPr>
          <w:cantSplit/>
          <w:trHeight w:val="218"/>
          <w:tblHeader/>
        </w:trPr>
        <w:tc>
          <w:tcPr>
            <w:tcW w:w="5000" w:type="pct"/>
            <w:gridSpan w:val="3"/>
          </w:tcPr>
          <w:p w14:paraId="394D42E7" w14:textId="77777777" w:rsidR="00644C76" w:rsidRPr="00203FC0" w:rsidRDefault="00644C76" w:rsidP="00644C76">
            <w:pPr>
              <w:keepNext/>
              <w:spacing w:before="40" w:after="40" w:line="240" w:lineRule="auto"/>
              <w:jc w:val="center"/>
              <w:rPr>
                <w:b/>
                <w:sz w:val="22"/>
                <w:szCs w:val="22"/>
              </w:rPr>
            </w:pPr>
            <w:r w:rsidRPr="00203FC0">
              <w:rPr>
                <w:b/>
                <w:sz w:val="22"/>
                <w:szCs w:val="22"/>
              </w:rPr>
              <w:t>Intravenous administration</w:t>
            </w:r>
          </w:p>
        </w:tc>
      </w:tr>
      <w:tr w:rsidR="00644C76" w:rsidRPr="00203FC0" w14:paraId="2F50D129" w14:textId="77777777" w:rsidTr="00A60394">
        <w:trPr>
          <w:cantSplit/>
          <w:trHeight w:val="218"/>
          <w:tblHeader/>
        </w:trPr>
        <w:tc>
          <w:tcPr>
            <w:tcW w:w="1881" w:type="pct"/>
          </w:tcPr>
          <w:p w14:paraId="48CEBB2E" w14:textId="3C881CB1" w:rsidR="00644C76" w:rsidRPr="00203FC0" w:rsidRDefault="00F67E1F" w:rsidP="00644C76">
            <w:pPr>
              <w:keepNext/>
              <w:spacing w:before="40" w:after="40" w:line="240" w:lineRule="auto"/>
              <w:rPr>
                <w:bCs/>
                <w:sz w:val="22"/>
                <w:szCs w:val="22"/>
              </w:rPr>
            </w:pPr>
            <w:r w:rsidRPr="00203FC0">
              <w:rPr>
                <w:bCs/>
                <w:sz w:val="22"/>
                <w:szCs w:val="22"/>
              </w:rPr>
              <w:t>General disorders and administration site conditions</w:t>
            </w:r>
          </w:p>
        </w:tc>
        <w:tc>
          <w:tcPr>
            <w:tcW w:w="1782" w:type="pct"/>
          </w:tcPr>
          <w:p w14:paraId="3DEFA9BB" w14:textId="2ADC278A" w:rsidR="00644C76" w:rsidRPr="00203FC0" w:rsidRDefault="00453F48" w:rsidP="00644C76">
            <w:pPr>
              <w:keepNext/>
              <w:spacing w:before="40" w:after="40" w:line="240" w:lineRule="auto"/>
              <w:rPr>
                <w:bCs/>
                <w:sz w:val="22"/>
                <w:szCs w:val="22"/>
              </w:rPr>
            </w:pPr>
            <w:r w:rsidRPr="00203FC0">
              <w:rPr>
                <w:bCs/>
                <w:sz w:val="22"/>
                <w:szCs w:val="22"/>
              </w:rPr>
              <w:t xml:space="preserve">Infusion site </w:t>
            </w:r>
            <w:proofErr w:type="spellStart"/>
            <w:r w:rsidRPr="00203FC0">
              <w:rPr>
                <w:bCs/>
                <w:sz w:val="22"/>
                <w:szCs w:val="22"/>
              </w:rPr>
              <w:t>reaction</w:t>
            </w:r>
            <w:r w:rsidR="00ED7503" w:rsidRPr="00203FC0">
              <w:rPr>
                <w:bCs/>
                <w:sz w:val="22"/>
                <w:szCs w:val="22"/>
                <w:vertAlign w:val="superscript"/>
              </w:rPr>
              <w:t>c</w:t>
            </w:r>
            <w:proofErr w:type="spellEnd"/>
          </w:p>
        </w:tc>
        <w:tc>
          <w:tcPr>
            <w:tcW w:w="1337" w:type="pct"/>
          </w:tcPr>
          <w:p w14:paraId="2E4F327E" w14:textId="32108843" w:rsidR="00644C76" w:rsidRPr="00203FC0" w:rsidRDefault="00453F48" w:rsidP="00644C76">
            <w:pPr>
              <w:keepNext/>
              <w:spacing w:before="40" w:after="40" w:line="240" w:lineRule="auto"/>
              <w:rPr>
                <w:bCs/>
                <w:sz w:val="22"/>
                <w:szCs w:val="22"/>
              </w:rPr>
            </w:pPr>
            <w:r w:rsidRPr="00203FC0">
              <w:rPr>
                <w:bCs/>
                <w:sz w:val="22"/>
                <w:szCs w:val="22"/>
              </w:rPr>
              <w:t>Common (1.9%)</w:t>
            </w:r>
          </w:p>
        </w:tc>
      </w:tr>
      <w:tr w:rsidR="00644C76" w:rsidRPr="00203FC0" w14:paraId="765C4336" w14:textId="77777777" w:rsidTr="00A60394">
        <w:trPr>
          <w:cantSplit/>
          <w:trHeight w:val="218"/>
          <w:tblHeader/>
        </w:trPr>
        <w:tc>
          <w:tcPr>
            <w:tcW w:w="1881" w:type="pct"/>
          </w:tcPr>
          <w:p w14:paraId="4A74CD03" w14:textId="77DF652D" w:rsidR="00644C76" w:rsidRPr="00203FC0" w:rsidRDefault="00F67E1F" w:rsidP="00644C76">
            <w:pPr>
              <w:keepNext/>
              <w:spacing w:before="40" w:after="40" w:line="240" w:lineRule="auto"/>
              <w:rPr>
                <w:bCs/>
                <w:sz w:val="22"/>
                <w:szCs w:val="22"/>
              </w:rPr>
            </w:pPr>
            <w:r w:rsidRPr="00203FC0">
              <w:rPr>
                <w:bCs/>
                <w:sz w:val="22"/>
                <w:szCs w:val="22"/>
              </w:rPr>
              <w:t>Injury, pois</w:t>
            </w:r>
            <w:r w:rsidR="005A5EED" w:rsidRPr="00203FC0">
              <w:rPr>
                <w:bCs/>
                <w:sz w:val="22"/>
                <w:szCs w:val="22"/>
              </w:rPr>
              <w:t>oning and procedural complications</w:t>
            </w:r>
          </w:p>
        </w:tc>
        <w:tc>
          <w:tcPr>
            <w:tcW w:w="1782" w:type="pct"/>
          </w:tcPr>
          <w:p w14:paraId="7DE9D1FD" w14:textId="3957DF62" w:rsidR="00644C76" w:rsidRPr="00203FC0" w:rsidRDefault="00453F48" w:rsidP="00644C76">
            <w:pPr>
              <w:keepNext/>
              <w:spacing w:before="40" w:after="40" w:line="240" w:lineRule="auto"/>
              <w:rPr>
                <w:bCs/>
                <w:sz w:val="22"/>
                <w:szCs w:val="22"/>
              </w:rPr>
            </w:pPr>
            <w:r w:rsidRPr="00203FC0">
              <w:rPr>
                <w:bCs/>
                <w:sz w:val="22"/>
                <w:szCs w:val="22"/>
              </w:rPr>
              <w:t xml:space="preserve">Infusion related </w:t>
            </w:r>
            <w:proofErr w:type="spellStart"/>
            <w:r w:rsidRPr="00203FC0">
              <w:rPr>
                <w:bCs/>
                <w:sz w:val="22"/>
                <w:szCs w:val="22"/>
              </w:rPr>
              <w:t>reaction</w:t>
            </w:r>
            <w:r w:rsidR="00170FA6" w:rsidRPr="00203FC0">
              <w:rPr>
                <w:bCs/>
                <w:sz w:val="22"/>
                <w:szCs w:val="22"/>
                <w:vertAlign w:val="superscript"/>
              </w:rPr>
              <w:t>d</w:t>
            </w:r>
            <w:proofErr w:type="spellEnd"/>
          </w:p>
        </w:tc>
        <w:tc>
          <w:tcPr>
            <w:tcW w:w="1337" w:type="pct"/>
          </w:tcPr>
          <w:p w14:paraId="0E29D851" w14:textId="6FFD14FF" w:rsidR="00644C76" w:rsidRPr="00203FC0" w:rsidRDefault="00453F48" w:rsidP="00644C76">
            <w:pPr>
              <w:keepNext/>
              <w:spacing w:before="40" w:after="40" w:line="240" w:lineRule="auto"/>
              <w:rPr>
                <w:bCs/>
                <w:sz w:val="22"/>
                <w:szCs w:val="22"/>
              </w:rPr>
            </w:pPr>
            <w:r w:rsidRPr="00203FC0">
              <w:rPr>
                <w:bCs/>
                <w:sz w:val="22"/>
                <w:szCs w:val="22"/>
              </w:rPr>
              <w:t>Common (1.9%)</w:t>
            </w:r>
          </w:p>
        </w:tc>
      </w:tr>
    </w:tbl>
    <w:p w14:paraId="4C8B59C4" w14:textId="77EA8E7C" w:rsidR="00644C76" w:rsidRPr="00203FC0" w:rsidRDefault="00644C76" w:rsidP="00032F24">
      <w:pPr>
        <w:pStyle w:val="TableFootnoteInfo"/>
      </w:pPr>
      <w:r w:rsidRPr="00203FC0">
        <w:rPr>
          <w:vertAlign w:val="superscript"/>
        </w:rPr>
        <w:t>a</w:t>
      </w:r>
      <w:r w:rsidR="00E34CD7" w:rsidRPr="00203FC0">
        <w:rPr>
          <w:vertAlign w:val="superscript"/>
        </w:rPr>
        <w:t xml:space="preserve"> </w:t>
      </w:r>
      <w:r w:rsidR="00E34CD7" w:rsidRPr="00203FC0">
        <w:t>Including the Preferred Terms pruritus, erythema, hypersensitivity, urticaria, dermatitis allergic, drug eruption</w:t>
      </w:r>
      <w:r w:rsidR="00F52A40">
        <w:t>, rash and hypotension.</w:t>
      </w:r>
    </w:p>
    <w:p w14:paraId="18FF8474" w14:textId="7C691AFD" w:rsidR="00644C76" w:rsidRPr="00203FC0" w:rsidRDefault="00644C76" w:rsidP="00032F24">
      <w:pPr>
        <w:pStyle w:val="TableFootnoteInfo"/>
        <w:rPr>
          <w:vertAlign w:val="superscript"/>
        </w:rPr>
      </w:pPr>
      <w:r w:rsidRPr="00203FC0">
        <w:rPr>
          <w:vertAlign w:val="superscript"/>
        </w:rPr>
        <w:t>b</w:t>
      </w:r>
      <w:r w:rsidR="00E34CD7" w:rsidRPr="00203FC0">
        <w:rPr>
          <w:vertAlign w:val="superscript"/>
        </w:rPr>
        <w:t xml:space="preserve"> </w:t>
      </w:r>
      <w:r w:rsidR="008D0EBE" w:rsidRPr="00203FC0">
        <w:t>Including the Preferred Terms injection site pain, injection site bruising, injection site erythema, injection site haemorrhage, injection site swelling, injection site haematoma, injection site pruritus, injection site paraesthesia, injection site reaction, injection site rash, injection site discolouration, injection site warmth</w:t>
      </w:r>
      <w:r w:rsidR="00753226">
        <w:t>, injection site discomfort, and injection site inflammation</w:t>
      </w:r>
      <w:r w:rsidR="008D0EBE" w:rsidRPr="00203FC0">
        <w:t>.</w:t>
      </w:r>
    </w:p>
    <w:p w14:paraId="1D891E39" w14:textId="7FA5ABE6" w:rsidR="001D3AF3" w:rsidRPr="00203FC0" w:rsidRDefault="00644C76" w:rsidP="00032F24">
      <w:pPr>
        <w:pStyle w:val="TableFootnoteInfo"/>
      </w:pPr>
      <w:r w:rsidRPr="00203FC0">
        <w:rPr>
          <w:vertAlign w:val="superscript"/>
        </w:rPr>
        <w:t>c</w:t>
      </w:r>
      <w:r w:rsidR="0016453C" w:rsidRPr="00203FC0">
        <w:rPr>
          <w:vertAlign w:val="superscript"/>
        </w:rPr>
        <w:t xml:space="preserve"> </w:t>
      </w:r>
      <w:r w:rsidR="005E6B2D" w:rsidRPr="00203FC0">
        <w:t>Including the Preferred Terms infusion site bruising, infusion site pain, infusion site pruritus, infusion site erythema, infusion site extravasation, and infusion site swelling.</w:t>
      </w:r>
    </w:p>
    <w:p w14:paraId="26B16E0B" w14:textId="49E4F371" w:rsidR="00170FA6" w:rsidRPr="00203FC0" w:rsidRDefault="00170FA6" w:rsidP="00032F24">
      <w:pPr>
        <w:pStyle w:val="TableFootnoteInfo"/>
      </w:pPr>
      <w:r w:rsidRPr="00203FC0">
        <w:rPr>
          <w:vertAlign w:val="superscript"/>
        </w:rPr>
        <w:t>d</w:t>
      </w:r>
      <w:r w:rsidR="00450C66" w:rsidRPr="00203FC0">
        <w:rPr>
          <w:vertAlign w:val="superscript"/>
        </w:rPr>
        <w:t xml:space="preserve"> </w:t>
      </w:r>
      <w:r w:rsidR="00450C66" w:rsidRPr="00203FC0">
        <w:t>Including the following symptoms: nausea, arthralgia, headache, pyrexia, chills, dyspepsia, pain, and hypotension.</w:t>
      </w:r>
    </w:p>
    <w:p w14:paraId="6F1C8D33" w14:textId="77777777" w:rsidR="00B25265" w:rsidRPr="00203FC0" w:rsidRDefault="00B25265" w:rsidP="00032F24">
      <w:pPr>
        <w:pStyle w:val="Paragraph"/>
        <w:spacing w:before="240"/>
        <w:rPr>
          <w:b/>
          <w:bCs/>
          <w:lang w:val="en-AU"/>
        </w:rPr>
      </w:pPr>
      <w:r w:rsidRPr="00203FC0">
        <w:rPr>
          <w:b/>
          <w:bCs/>
          <w:lang w:val="en-AU"/>
        </w:rPr>
        <w:t>Description of selected adverse reactions</w:t>
      </w:r>
    </w:p>
    <w:p w14:paraId="3561D0C5" w14:textId="77777777" w:rsidR="00B25265" w:rsidRPr="00203FC0" w:rsidRDefault="00B25265" w:rsidP="00B25265">
      <w:pPr>
        <w:pStyle w:val="Paragraph"/>
        <w:spacing w:after="0"/>
        <w:rPr>
          <w:i/>
          <w:iCs/>
          <w:lang w:val="en-AU"/>
        </w:rPr>
      </w:pPr>
      <w:r w:rsidRPr="00203FC0">
        <w:rPr>
          <w:i/>
          <w:iCs/>
          <w:lang w:val="en-AU"/>
        </w:rPr>
        <w:t>Hypersensitivity</w:t>
      </w:r>
    </w:p>
    <w:p w14:paraId="0492EE10" w14:textId="77777777" w:rsidR="00B25265" w:rsidRPr="00203FC0" w:rsidRDefault="00B25265" w:rsidP="00B25265">
      <w:pPr>
        <w:pStyle w:val="Paragraph"/>
        <w:rPr>
          <w:lang w:val="en-AU"/>
        </w:rPr>
      </w:pPr>
      <w:r w:rsidRPr="00203FC0">
        <w:rPr>
          <w:lang w:val="en-AU"/>
        </w:rPr>
        <w:t>Hypersensitivity reactions occurred within 14 days post</w:t>
      </w:r>
      <w:r w:rsidRPr="00203FC0">
        <w:rPr>
          <w:lang w:val="en-AU"/>
        </w:rPr>
        <w:noBreakHyphen/>
        <w:t>dose, were mild to moderate in severity, and most resolved within a few days. None of the hypersensitivity reactions were serious.</w:t>
      </w:r>
    </w:p>
    <w:p w14:paraId="13C37CC9" w14:textId="77777777" w:rsidR="00B25265" w:rsidRPr="00203FC0" w:rsidRDefault="00B25265" w:rsidP="00B25265">
      <w:pPr>
        <w:pStyle w:val="Paragraph"/>
        <w:spacing w:after="0"/>
        <w:rPr>
          <w:i/>
          <w:lang w:val="en-AU"/>
        </w:rPr>
      </w:pPr>
      <w:r w:rsidRPr="00203FC0">
        <w:rPr>
          <w:i/>
          <w:iCs/>
          <w:lang w:val="en-AU"/>
        </w:rPr>
        <w:t>Injection site reaction</w:t>
      </w:r>
    </w:p>
    <w:p w14:paraId="4D96DB7F" w14:textId="77777777" w:rsidR="00B25265" w:rsidRPr="00203FC0" w:rsidRDefault="00B25265" w:rsidP="00B25265">
      <w:pPr>
        <w:pStyle w:val="Paragraph"/>
        <w:rPr>
          <w:lang w:val="en-AU"/>
        </w:rPr>
      </w:pPr>
      <w:r w:rsidRPr="00203FC0">
        <w:rPr>
          <w:lang w:val="en-AU"/>
        </w:rPr>
        <w:t>Injection site reactions occurred within 7 days post-dose, were mild in severity, and most resolved within a few days.</w:t>
      </w:r>
    </w:p>
    <w:p w14:paraId="2F6F84FC" w14:textId="77777777" w:rsidR="00B25265" w:rsidRPr="00203FC0" w:rsidRDefault="00B25265" w:rsidP="00B25265">
      <w:pPr>
        <w:pStyle w:val="Paragraph"/>
        <w:spacing w:after="0"/>
        <w:rPr>
          <w:i/>
          <w:lang w:val="en-AU"/>
        </w:rPr>
      </w:pPr>
      <w:r w:rsidRPr="00203FC0">
        <w:rPr>
          <w:i/>
          <w:iCs/>
          <w:lang w:val="en-AU"/>
        </w:rPr>
        <w:t>Infusion site reaction</w:t>
      </w:r>
    </w:p>
    <w:p w14:paraId="644D75F6" w14:textId="77777777" w:rsidR="00B25265" w:rsidRPr="00203FC0" w:rsidRDefault="00B25265" w:rsidP="00B25265">
      <w:pPr>
        <w:pStyle w:val="Paragraph"/>
        <w:rPr>
          <w:lang w:val="en-AU"/>
        </w:rPr>
      </w:pPr>
      <w:r w:rsidRPr="00203FC0">
        <w:rPr>
          <w:lang w:val="en-AU"/>
        </w:rPr>
        <w:t>Infusion site reactions occurred within 7 days post</w:t>
      </w:r>
      <w:r w:rsidRPr="00203FC0">
        <w:rPr>
          <w:lang w:val="en-AU"/>
        </w:rPr>
        <w:noBreakHyphen/>
        <w:t>dose, were mild to moderate in severity, and resolved within a few days.</w:t>
      </w:r>
    </w:p>
    <w:p w14:paraId="0AB343F9" w14:textId="77777777" w:rsidR="00B25265" w:rsidRPr="00203FC0" w:rsidRDefault="00B25265" w:rsidP="00B25265">
      <w:pPr>
        <w:pStyle w:val="Paragraph"/>
        <w:spacing w:after="0"/>
        <w:rPr>
          <w:i/>
          <w:iCs/>
          <w:lang w:val="en-AU"/>
        </w:rPr>
      </w:pPr>
      <w:r w:rsidRPr="00203FC0">
        <w:rPr>
          <w:i/>
          <w:iCs/>
          <w:lang w:val="en-AU"/>
        </w:rPr>
        <w:t>Infusion related reaction</w:t>
      </w:r>
    </w:p>
    <w:p w14:paraId="5C973E44" w14:textId="5F1B13C0" w:rsidR="00B25265" w:rsidRPr="00203FC0" w:rsidRDefault="00B25265" w:rsidP="005E6B2D">
      <w:pPr>
        <w:pStyle w:val="Paragraph"/>
        <w:rPr>
          <w:iCs/>
          <w:u w:val="single"/>
          <w:lang w:val="en-AU"/>
        </w:rPr>
      </w:pPr>
      <w:r w:rsidRPr="00203FC0">
        <w:rPr>
          <w:lang w:val="en-AU"/>
        </w:rPr>
        <w:t>Infusion related reactions occurred during or on the same day of infusion, were mild in severity, and resolved within a few days.</w:t>
      </w:r>
    </w:p>
    <w:p w14:paraId="30594082" w14:textId="3F9E8D3E" w:rsidR="009E014B" w:rsidRPr="00203FC0" w:rsidRDefault="009E014B" w:rsidP="009E014B">
      <w:pPr>
        <w:pStyle w:val="Heading3Unnumbered"/>
        <w:rPr>
          <w:lang w:val="en-AU"/>
        </w:rPr>
      </w:pPr>
      <w:r w:rsidRPr="00203FC0">
        <w:rPr>
          <w:lang w:val="en-AU"/>
        </w:rPr>
        <w:t>Repeat dosing</w:t>
      </w:r>
      <w:r w:rsidR="002B1200" w:rsidRPr="00203FC0">
        <w:rPr>
          <w:lang w:val="en-AU"/>
        </w:rPr>
        <w:fldChar w:fldCharType="begin"/>
      </w:r>
      <w:r w:rsidR="002B1200" w:rsidRPr="00203FC0">
        <w:rPr>
          <w:lang w:val="en-AU"/>
        </w:rPr>
        <w:instrText xml:space="preserve"> DOCVARIABLE vault_nd_085d011b-2dbd-40db-b766-69fdb8a38485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6B0C7FDC" w14:textId="346BBFAB" w:rsidR="009E014B" w:rsidRPr="00203FC0" w:rsidRDefault="009E014B" w:rsidP="009E014B">
      <w:pPr>
        <w:pStyle w:val="Paragraph"/>
        <w:rPr>
          <w:lang w:val="en-AU"/>
        </w:rPr>
      </w:pPr>
      <w:r w:rsidRPr="00203FC0">
        <w:rPr>
          <w:lang w:val="en-AU"/>
        </w:rPr>
        <w:t xml:space="preserve">In the SUPERNOVA Parent Study, Main Cohort, </w:t>
      </w:r>
      <w:r w:rsidR="00371A59">
        <w:rPr>
          <w:lang w:val="en-AU"/>
        </w:rPr>
        <w:t>1485</w:t>
      </w:r>
      <w:r w:rsidRPr="00203FC0">
        <w:rPr>
          <w:lang w:val="en-AU"/>
        </w:rPr>
        <w:t xml:space="preserve"> participants who had received an initial dose of 300 mg </w:t>
      </w:r>
      <w:proofErr w:type="spellStart"/>
      <w:r w:rsidRPr="00203FC0">
        <w:rPr>
          <w:lang w:val="en-AU"/>
        </w:rPr>
        <w:t>sipavibart</w:t>
      </w:r>
      <w:proofErr w:type="spellEnd"/>
      <w:r w:rsidRPr="00203FC0">
        <w:rPr>
          <w:lang w:val="en-AU"/>
        </w:rPr>
        <w:t xml:space="preserve"> received a second dose of 300 mg </w:t>
      </w:r>
      <w:proofErr w:type="spellStart"/>
      <w:r w:rsidRPr="00203FC0">
        <w:rPr>
          <w:lang w:val="en-AU"/>
        </w:rPr>
        <w:t>sipavibart</w:t>
      </w:r>
      <w:proofErr w:type="spellEnd"/>
      <w:r w:rsidRPr="00203FC0">
        <w:rPr>
          <w:lang w:val="en-AU"/>
        </w:rPr>
        <w:t xml:space="preserve"> 6 months after administration of the initial dose.</w:t>
      </w:r>
      <w:r w:rsidR="00D46DD2" w:rsidRPr="00203FC0">
        <w:rPr>
          <w:lang w:val="en-AU"/>
        </w:rPr>
        <w:t xml:space="preserve"> </w:t>
      </w:r>
      <w:r w:rsidRPr="00203FC0">
        <w:rPr>
          <w:lang w:val="en-AU"/>
        </w:rPr>
        <w:t xml:space="preserve">The overall safety profile for participants who received a second </w:t>
      </w:r>
      <w:proofErr w:type="spellStart"/>
      <w:r w:rsidRPr="00203FC0">
        <w:rPr>
          <w:lang w:val="en-AU"/>
        </w:rPr>
        <w:t>sipavibart</w:t>
      </w:r>
      <w:proofErr w:type="spellEnd"/>
      <w:r w:rsidRPr="00203FC0">
        <w:rPr>
          <w:lang w:val="en-AU"/>
        </w:rPr>
        <w:t xml:space="preserve"> dose remained similar when compared to the initial dose.</w:t>
      </w:r>
    </w:p>
    <w:p w14:paraId="59920372" w14:textId="279CE48C" w:rsidR="009E014B" w:rsidRPr="00203FC0" w:rsidRDefault="009E014B" w:rsidP="009E014B">
      <w:pPr>
        <w:pStyle w:val="Heading3Unnumbered"/>
        <w:rPr>
          <w:lang w:val="en-AU"/>
        </w:rPr>
      </w:pPr>
      <w:r w:rsidRPr="00203FC0">
        <w:rPr>
          <w:lang w:val="en-AU"/>
        </w:rPr>
        <w:t>Paediatric population</w:t>
      </w:r>
      <w:r w:rsidR="002B1200" w:rsidRPr="00203FC0">
        <w:rPr>
          <w:lang w:val="en-AU"/>
        </w:rPr>
        <w:fldChar w:fldCharType="begin"/>
      </w:r>
      <w:r w:rsidR="002B1200" w:rsidRPr="00203FC0">
        <w:rPr>
          <w:lang w:val="en-AU"/>
        </w:rPr>
        <w:instrText xml:space="preserve"> DOCVARIABLE vault_nd_b393bfec-39c1-4eac-83d3-ed33c760aec5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519B153D" w14:textId="24A4CB81" w:rsidR="009E014B" w:rsidRPr="00203FC0" w:rsidRDefault="009E014B" w:rsidP="009E014B">
      <w:pPr>
        <w:pStyle w:val="Paragraph"/>
        <w:rPr>
          <w:lang w:val="en-AU"/>
        </w:rPr>
      </w:pPr>
      <w:r w:rsidRPr="00203FC0">
        <w:rPr>
          <w:lang w:val="en-AU"/>
        </w:rPr>
        <w:t>There are limited safety data available for paediatric patients &lt;18 years old</w:t>
      </w:r>
      <w:bookmarkStart w:id="6" w:name="_Hlk88125733"/>
      <w:r w:rsidRPr="00203FC0">
        <w:rPr>
          <w:lang w:val="en-AU"/>
        </w:rPr>
        <w:t>.</w:t>
      </w:r>
      <w:bookmarkEnd w:id="6"/>
      <w:r w:rsidRPr="00203FC0">
        <w:rPr>
          <w:lang w:val="en-AU"/>
        </w:rPr>
        <w:t xml:space="preserve"> The safety profile in paediatric participants </w:t>
      </w:r>
      <w:r w:rsidR="00450C66" w:rsidRPr="00203FC0">
        <w:rPr>
          <w:lang w:val="en-AU"/>
        </w:rPr>
        <w:t>≥</w:t>
      </w:r>
      <w:r w:rsidRPr="00203FC0">
        <w:rPr>
          <w:lang w:val="en-AU"/>
        </w:rPr>
        <w:t xml:space="preserve">12 years of age was </w:t>
      </w:r>
      <w:proofErr w:type="gramStart"/>
      <w:r w:rsidRPr="00203FC0">
        <w:rPr>
          <w:lang w:val="en-AU"/>
        </w:rPr>
        <w:t>similar to</w:t>
      </w:r>
      <w:proofErr w:type="gramEnd"/>
      <w:r w:rsidRPr="00203FC0">
        <w:rPr>
          <w:lang w:val="en-AU"/>
        </w:rPr>
        <w:t xml:space="preserve"> the safety profile in adults.</w:t>
      </w:r>
    </w:p>
    <w:p w14:paraId="458AA36C" w14:textId="2C04CB29" w:rsidR="00DF3302" w:rsidRPr="00203FC0" w:rsidRDefault="00DF3302" w:rsidP="009E014B">
      <w:pPr>
        <w:pStyle w:val="Heading3Unnumbered"/>
        <w:rPr>
          <w:lang w:val="en-AU"/>
        </w:rPr>
      </w:pPr>
      <w:r w:rsidRPr="00203FC0">
        <w:rPr>
          <w:lang w:val="en-AU"/>
        </w:rPr>
        <w:lastRenderedPageBreak/>
        <w:t xml:space="preserve">Reporting suspected adverse </w:t>
      </w:r>
      <w:r w:rsidR="002803FC" w:rsidRPr="00203FC0">
        <w:rPr>
          <w:lang w:val="en-AU"/>
        </w:rPr>
        <w:t>effects</w:t>
      </w:r>
      <w:r w:rsidR="002B1200" w:rsidRPr="00203FC0">
        <w:rPr>
          <w:lang w:val="en-AU"/>
        </w:rPr>
        <w:fldChar w:fldCharType="begin"/>
      </w:r>
      <w:r w:rsidR="002B1200" w:rsidRPr="00203FC0">
        <w:rPr>
          <w:lang w:val="en-AU"/>
        </w:rPr>
        <w:instrText xml:space="preserve"> DOCVARIABLE vault_nd_27bfc66c-d595-4c7c-abff-d2b4fc3479b0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72AC2D0A" w14:textId="77777777" w:rsidR="001D3AF3" w:rsidRPr="00203FC0" w:rsidRDefault="00DF3302" w:rsidP="00446EDD">
      <w:pPr>
        <w:pStyle w:val="Paragraph"/>
        <w:rPr>
          <w:lang w:val="en-AU"/>
        </w:rPr>
      </w:pPr>
      <w:r w:rsidRPr="00203FC0">
        <w:rPr>
          <w:lang w:val="en-AU"/>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r w:rsidR="00F06F31" w:rsidRPr="00203FC0">
        <w:rPr>
          <w:lang w:val="en-AU"/>
        </w:rPr>
        <w:t>www.tga.gov.au/reporting-problems</w:t>
      </w:r>
      <w:r w:rsidRPr="00203FC0">
        <w:rPr>
          <w:lang w:val="en-AU"/>
        </w:rPr>
        <w:t>.</w:t>
      </w:r>
    </w:p>
    <w:p w14:paraId="5248CB6C" w14:textId="72A7875E" w:rsidR="001A3992" w:rsidRPr="00687CB6" w:rsidRDefault="001A3992" w:rsidP="00EE3AC8">
      <w:pPr>
        <w:pStyle w:val="Heading2"/>
        <w:rPr>
          <w:lang w:val="en-AU"/>
        </w:rPr>
      </w:pPr>
      <w:r w:rsidRPr="00687CB6">
        <w:rPr>
          <w:lang w:val="en-AU"/>
        </w:rPr>
        <w:t>Overdose</w:t>
      </w:r>
      <w:r w:rsidR="002B1200" w:rsidRPr="00687CB6">
        <w:rPr>
          <w:lang w:val="en-AU"/>
        </w:rPr>
        <w:fldChar w:fldCharType="begin"/>
      </w:r>
      <w:r w:rsidR="002B1200" w:rsidRPr="00687CB6">
        <w:rPr>
          <w:lang w:val="en-AU"/>
        </w:rPr>
        <w:instrText xml:space="preserve"> DOCVARIABLE VAULT_ND_21cea653-5c10-4aa5-972e-0e3da862f46c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4DB0D290" w14:textId="77777777" w:rsidR="009E014B" w:rsidRPr="00203FC0" w:rsidRDefault="009E014B" w:rsidP="009E014B">
      <w:pPr>
        <w:pStyle w:val="Paragraph"/>
        <w:rPr>
          <w:lang w:val="en-AU"/>
        </w:rPr>
      </w:pPr>
      <w:bookmarkStart w:id="7" w:name="_Hlk25837296"/>
      <w:r w:rsidRPr="00203FC0">
        <w:rPr>
          <w:lang w:val="en-AU"/>
        </w:rPr>
        <w:t xml:space="preserve">There is no specific treatment for overdose with </w:t>
      </w:r>
      <w:proofErr w:type="spellStart"/>
      <w:r w:rsidRPr="00203FC0">
        <w:rPr>
          <w:lang w:val="en-AU"/>
        </w:rPr>
        <w:t>sipavibart</w:t>
      </w:r>
      <w:proofErr w:type="spellEnd"/>
      <w:r w:rsidRPr="00203FC0">
        <w:rPr>
          <w:lang w:val="en-AU"/>
        </w:rPr>
        <w:t>.</w:t>
      </w:r>
    </w:p>
    <w:p w14:paraId="138AC079" w14:textId="77777777" w:rsidR="009E014B" w:rsidRPr="00203FC0" w:rsidRDefault="009E014B" w:rsidP="009E014B">
      <w:pPr>
        <w:pStyle w:val="Paragraph"/>
        <w:rPr>
          <w:sz w:val="22"/>
          <w:lang w:val="en-AU"/>
        </w:rPr>
      </w:pPr>
      <w:r w:rsidRPr="00203FC0">
        <w:rPr>
          <w:lang w:val="en-AU"/>
        </w:rPr>
        <w:t xml:space="preserve">In clinical trials, </w:t>
      </w:r>
      <w:proofErr w:type="spellStart"/>
      <w:r w:rsidRPr="00203FC0">
        <w:rPr>
          <w:lang w:val="en-AU"/>
        </w:rPr>
        <w:t>sipavibart</w:t>
      </w:r>
      <w:proofErr w:type="spellEnd"/>
      <w:r w:rsidRPr="00203FC0">
        <w:rPr>
          <w:lang w:val="en-AU"/>
        </w:rPr>
        <w:t xml:space="preserve"> doses up to 1200 mg have been administered intravenously without dose-limiting toxicity</w:t>
      </w:r>
      <w:r w:rsidRPr="00203FC0">
        <w:rPr>
          <w:sz w:val="22"/>
          <w:lang w:val="en-AU"/>
        </w:rPr>
        <w:t>.</w:t>
      </w:r>
      <w:bookmarkEnd w:id="7"/>
    </w:p>
    <w:p w14:paraId="4D06937C" w14:textId="77777777" w:rsidR="00D87298" w:rsidRPr="00203FC0" w:rsidRDefault="00D87298" w:rsidP="009E014B">
      <w:pPr>
        <w:pStyle w:val="Paragraph"/>
        <w:rPr>
          <w:lang w:val="en-AU"/>
        </w:rPr>
      </w:pPr>
      <w:r w:rsidRPr="00203FC0">
        <w:rPr>
          <w:lang w:val="en-AU"/>
        </w:rPr>
        <w:t>For information on the management of overdose, contact the Poison Information Centre on 131126 (Australia).</w:t>
      </w:r>
    </w:p>
    <w:p w14:paraId="1054D85D" w14:textId="219E7EBF" w:rsidR="001A3992" w:rsidRPr="00687CB6" w:rsidRDefault="001A3992" w:rsidP="00881EA6">
      <w:pPr>
        <w:pStyle w:val="Heading1"/>
        <w:keepNext w:val="0"/>
        <w:rPr>
          <w:lang w:val="en-AU"/>
        </w:rPr>
      </w:pPr>
      <w:r w:rsidRPr="00687CB6">
        <w:rPr>
          <w:lang w:val="en-AU"/>
        </w:rPr>
        <w:t>Pharmacological properties</w:t>
      </w:r>
      <w:r w:rsidR="002B1200" w:rsidRPr="00687CB6">
        <w:rPr>
          <w:lang w:val="en-AU"/>
        </w:rPr>
        <w:fldChar w:fldCharType="begin"/>
      </w:r>
      <w:r w:rsidR="002B1200" w:rsidRPr="00687CB6">
        <w:rPr>
          <w:lang w:val="en-AU"/>
        </w:rPr>
        <w:instrText xml:space="preserve"> DOCVARIABLE VAULT_ND_bebdebbc-befe-4ace-ab12-95a1ac4faf2d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21FD12DF" w14:textId="1A544E98" w:rsidR="001A3992" w:rsidRPr="00687CB6" w:rsidRDefault="007403BD" w:rsidP="00EE3AC8">
      <w:pPr>
        <w:pStyle w:val="Heading2"/>
        <w:rPr>
          <w:lang w:val="en-AU"/>
        </w:rPr>
      </w:pPr>
      <w:r w:rsidRPr="00687CB6">
        <w:rPr>
          <w:lang w:val="en-AU"/>
        </w:rPr>
        <w:t>Pharmacodynamic properties</w:t>
      </w:r>
      <w:r w:rsidR="002B1200" w:rsidRPr="00687CB6">
        <w:rPr>
          <w:lang w:val="en-AU"/>
        </w:rPr>
        <w:fldChar w:fldCharType="begin"/>
      </w:r>
      <w:r w:rsidR="002B1200" w:rsidRPr="00687CB6">
        <w:rPr>
          <w:lang w:val="en-AU"/>
        </w:rPr>
        <w:instrText xml:space="preserve"> DOCVARIABLE VAULT_ND_c16765c4-3414-4857-90c9-fc3d3b2e0e48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04C9B980" w14:textId="480A2479" w:rsidR="001A3992" w:rsidRPr="00203FC0" w:rsidRDefault="001A3992" w:rsidP="0026491B">
      <w:pPr>
        <w:pStyle w:val="Heading3Unnumbered"/>
        <w:rPr>
          <w:lang w:val="en-AU"/>
        </w:rPr>
      </w:pPr>
      <w:r w:rsidRPr="00203FC0">
        <w:rPr>
          <w:lang w:val="en-AU"/>
        </w:rPr>
        <w:t>Mechanism of action</w:t>
      </w:r>
      <w:r w:rsidR="002B1200" w:rsidRPr="00203FC0">
        <w:rPr>
          <w:lang w:val="en-AU"/>
        </w:rPr>
        <w:fldChar w:fldCharType="begin"/>
      </w:r>
      <w:r w:rsidR="002B1200" w:rsidRPr="00203FC0">
        <w:rPr>
          <w:lang w:val="en-AU"/>
        </w:rPr>
        <w:instrText xml:space="preserve"> DOCVARIABLE vault_nd_35caa7b7-4d40-4d58-aca3-1f0ba0f00ab1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49DE17BA" w14:textId="611FD92C" w:rsidR="007403BD" w:rsidRPr="00203FC0" w:rsidRDefault="009E014B" w:rsidP="007403BD">
      <w:pPr>
        <w:pStyle w:val="Paragraph"/>
        <w:rPr>
          <w:i/>
          <w:color w:val="00B0F0"/>
          <w:lang w:val="en-AU"/>
        </w:rPr>
      </w:pPr>
      <w:r w:rsidRPr="00203FC0">
        <w:rPr>
          <w:lang w:val="en-AU"/>
        </w:rPr>
        <w:t xml:space="preserve">Sipavibart is a recombinant human </w:t>
      </w:r>
      <w:proofErr w:type="spellStart"/>
      <w:r w:rsidRPr="00203FC0">
        <w:rPr>
          <w:lang w:val="en-AU"/>
        </w:rPr>
        <w:t>IgG1</w:t>
      </w:r>
      <w:proofErr w:type="spellEnd"/>
      <w:r w:rsidRPr="00203FC0">
        <w:rPr>
          <w:lang w:val="en-AU"/>
        </w:rPr>
        <w:t xml:space="preserve"> monoclonal antibody that provides passive immuni</w:t>
      </w:r>
      <w:r w:rsidR="00F46D86">
        <w:rPr>
          <w:lang w:val="en-AU"/>
        </w:rPr>
        <w:t>s</w:t>
      </w:r>
      <w:r w:rsidRPr="00203FC0">
        <w:rPr>
          <w:lang w:val="en-AU"/>
        </w:rPr>
        <w:t>ation by binding the spike protein receptor binding domain (</w:t>
      </w:r>
      <w:proofErr w:type="spellStart"/>
      <w:r w:rsidRPr="00203FC0">
        <w:rPr>
          <w:lang w:val="en-AU"/>
        </w:rPr>
        <w:t>RBD</w:t>
      </w:r>
      <w:proofErr w:type="spellEnd"/>
      <w:r w:rsidRPr="00203FC0">
        <w:rPr>
          <w:lang w:val="en-AU"/>
        </w:rPr>
        <w:t>). Sipavibart is long-acting, with amino acid substitutions to extend antibody half-life (</w:t>
      </w:r>
      <w:proofErr w:type="spellStart"/>
      <w:r w:rsidRPr="00203FC0">
        <w:rPr>
          <w:lang w:val="en-AU"/>
        </w:rPr>
        <w:t>YTE</w:t>
      </w:r>
      <w:proofErr w:type="spellEnd"/>
      <w:r w:rsidRPr="00203FC0">
        <w:rPr>
          <w:lang w:val="en-AU"/>
        </w:rPr>
        <w:t xml:space="preserve">) and to reduce antibody effector function and potential risk of antibody-dependent enhancement of disease (TM). Sipavibart binds to the spike protein </w:t>
      </w:r>
      <w:proofErr w:type="spellStart"/>
      <w:r w:rsidRPr="00203FC0">
        <w:rPr>
          <w:lang w:val="en-AU"/>
        </w:rPr>
        <w:t>RBD</w:t>
      </w:r>
      <w:proofErr w:type="spellEnd"/>
      <w:r w:rsidRPr="00203FC0">
        <w:rPr>
          <w:lang w:val="en-AU"/>
        </w:rPr>
        <w:t xml:space="preserve"> of SARS-CoV-2 (</w:t>
      </w:r>
      <w:proofErr w:type="spellStart"/>
      <w:r w:rsidRPr="00203FC0">
        <w:rPr>
          <w:lang w:val="en-AU"/>
        </w:rPr>
        <w:t>BA.2</w:t>
      </w:r>
      <w:proofErr w:type="spellEnd"/>
      <w:r w:rsidRPr="00203FC0">
        <w:rPr>
          <w:lang w:val="en-AU"/>
        </w:rPr>
        <w:t xml:space="preserve">) with equilibrium dissociation constant of </w:t>
      </w:r>
      <w:proofErr w:type="spellStart"/>
      <w:r w:rsidRPr="00203FC0">
        <w:rPr>
          <w:lang w:val="en-AU"/>
        </w:rPr>
        <w:t>K</w:t>
      </w:r>
      <w:r w:rsidRPr="00203FC0">
        <w:rPr>
          <w:vertAlign w:val="subscript"/>
          <w:lang w:val="en-AU"/>
        </w:rPr>
        <w:t>D</w:t>
      </w:r>
      <w:proofErr w:type="spellEnd"/>
      <w:r w:rsidRPr="00203FC0">
        <w:rPr>
          <w:lang w:val="en-AU"/>
        </w:rPr>
        <w:t xml:space="preserve"> = 20.95 </w:t>
      </w:r>
      <w:proofErr w:type="spellStart"/>
      <w:r w:rsidRPr="00203FC0">
        <w:rPr>
          <w:lang w:val="en-AU"/>
        </w:rPr>
        <w:t>pM</w:t>
      </w:r>
      <w:proofErr w:type="spellEnd"/>
      <w:r w:rsidRPr="00203FC0">
        <w:rPr>
          <w:lang w:val="en-AU"/>
        </w:rPr>
        <w:t xml:space="preserve">, blocking </w:t>
      </w:r>
      <w:proofErr w:type="spellStart"/>
      <w:r w:rsidRPr="00203FC0">
        <w:rPr>
          <w:lang w:val="en-AU"/>
        </w:rPr>
        <w:t>RBD</w:t>
      </w:r>
      <w:proofErr w:type="spellEnd"/>
      <w:r w:rsidRPr="00203FC0">
        <w:rPr>
          <w:lang w:val="en-AU"/>
        </w:rPr>
        <w:t xml:space="preserve"> binding to the human </w:t>
      </w:r>
      <w:proofErr w:type="spellStart"/>
      <w:r w:rsidRPr="00203FC0">
        <w:rPr>
          <w:lang w:val="en-AU"/>
        </w:rPr>
        <w:t>ACE2</w:t>
      </w:r>
      <w:proofErr w:type="spellEnd"/>
      <w:r w:rsidRPr="00203FC0">
        <w:rPr>
          <w:lang w:val="en-AU"/>
        </w:rPr>
        <w:t xml:space="preserve"> receptor</w:t>
      </w:r>
      <w:r w:rsidR="00176583" w:rsidRPr="00203FC0">
        <w:rPr>
          <w:lang w:val="en-AU"/>
        </w:rPr>
        <w:t xml:space="preserve"> (</w:t>
      </w:r>
      <w:proofErr w:type="spellStart"/>
      <w:r w:rsidR="00176583" w:rsidRPr="00203FC0">
        <w:rPr>
          <w:lang w:val="en-AU"/>
        </w:rPr>
        <w:t>IC50</w:t>
      </w:r>
      <w:proofErr w:type="spellEnd"/>
      <w:r w:rsidR="00176583" w:rsidRPr="00203FC0">
        <w:rPr>
          <w:lang w:val="en-AU"/>
        </w:rPr>
        <w:t xml:space="preserve"> 102.4 ng/mL, 0.6829 </w:t>
      </w:r>
      <w:proofErr w:type="spellStart"/>
      <w:r w:rsidR="00176583" w:rsidRPr="00203FC0">
        <w:rPr>
          <w:lang w:val="en-AU"/>
        </w:rPr>
        <w:t>nM</w:t>
      </w:r>
      <w:proofErr w:type="spellEnd"/>
      <w:r w:rsidR="00176583" w:rsidRPr="00203FC0">
        <w:rPr>
          <w:lang w:val="en-AU"/>
        </w:rPr>
        <w:t>)</w:t>
      </w:r>
      <w:r w:rsidRPr="00203FC0">
        <w:rPr>
          <w:lang w:val="en-AU"/>
        </w:rPr>
        <w:t>. This results in a blockade of virus entry and effective neutralisation of the SARS-CoV-2 virus.</w:t>
      </w:r>
    </w:p>
    <w:p w14:paraId="68410532" w14:textId="046BB68F" w:rsidR="00305CAF" w:rsidRPr="00203FC0" w:rsidRDefault="00305CAF" w:rsidP="00305CAF">
      <w:pPr>
        <w:pStyle w:val="Heading3Unnumbered"/>
        <w:rPr>
          <w:lang w:val="en-AU"/>
        </w:rPr>
      </w:pPr>
      <w:r w:rsidRPr="00203FC0">
        <w:rPr>
          <w:lang w:val="en-AU"/>
        </w:rPr>
        <w:t>Antiviral activity</w:t>
      </w:r>
      <w:r w:rsidR="00C64DE9" w:rsidRPr="00203FC0">
        <w:rPr>
          <w:lang w:val="en-AU"/>
        </w:rPr>
        <w:fldChar w:fldCharType="begin"/>
      </w:r>
      <w:r w:rsidR="00C64DE9" w:rsidRPr="00203FC0">
        <w:rPr>
          <w:lang w:val="en-AU"/>
        </w:rPr>
        <w:instrText xml:space="preserve"> DOCVARIABLE vault_nd_168efb59-0f23-4208-99b9-172f2f955237 \* MERGEFORMAT </w:instrText>
      </w:r>
      <w:r w:rsidR="00C64DE9" w:rsidRPr="00203FC0">
        <w:rPr>
          <w:lang w:val="en-AU"/>
        </w:rPr>
        <w:fldChar w:fldCharType="separate"/>
      </w:r>
      <w:r w:rsidR="00C64DE9" w:rsidRPr="00203FC0">
        <w:rPr>
          <w:lang w:val="en-AU"/>
        </w:rPr>
        <w:t xml:space="preserve"> </w:t>
      </w:r>
      <w:r w:rsidR="00C64DE9" w:rsidRPr="00203FC0">
        <w:rPr>
          <w:lang w:val="en-AU"/>
        </w:rPr>
        <w:fldChar w:fldCharType="end"/>
      </w:r>
    </w:p>
    <w:p w14:paraId="61E16669" w14:textId="294AB594" w:rsidR="00146FB0" w:rsidRPr="00203FC0" w:rsidRDefault="00305CAF" w:rsidP="00305CAF">
      <w:pPr>
        <w:pStyle w:val="Paragraph"/>
        <w:rPr>
          <w:lang w:val="en-AU"/>
        </w:rPr>
      </w:pPr>
      <w:r w:rsidRPr="00203FC0">
        <w:rPr>
          <w:lang w:val="en-AU"/>
        </w:rPr>
        <w:t>In a SARS-CoV-2</w:t>
      </w:r>
      <w:r w:rsidR="00F1755E" w:rsidRPr="00203FC0">
        <w:rPr>
          <w:lang w:val="en-AU"/>
        </w:rPr>
        <w:t xml:space="preserve"> </w:t>
      </w:r>
      <w:r w:rsidR="00454C0A" w:rsidRPr="00203FC0">
        <w:rPr>
          <w:lang w:val="en-AU"/>
        </w:rPr>
        <w:t>research-grade focus reduction neutralisation test (</w:t>
      </w:r>
      <w:proofErr w:type="spellStart"/>
      <w:r w:rsidR="00454C0A" w:rsidRPr="00203FC0">
        <w:rPr>
          <w:lang w:val="en-AU"/>
        </w:rPr>
        <w:t>FRNT</w:t>
      </w:r>
      <w:proofErr w:type="spellEnd"/>
      <w:r w:rsidR="00454C0A" w:rsidRPr="00203FC0">
        <w:rPr>
          <w:lang w:val="en-AU"/>
        </w:rPr>
        <w:t xml:space="preserve">) assay, </w:t>
      </w:r>
      <w:proofErr w:type="spellStart"/>
      <w:r w:rsidR="00454C0A" w:rsidRPr="00203FC0">
        <w:rPr>
          <w:lang w:val="en-AU"/>
        </w:rPr>
        <w:t>sipavibart</w:t>
      </w:r>
      <w:proofErr w:type="spellEnd"/>
      <w:r w:rsidR="00454C0A" w:rsidRPr="00203FC0">
        <w:rPr>
          <w:lang w:val="en-AU"/>
        </w:rPr>
        <w:t xml:space="preserve"> had antiviral activity with </w:t>
      </w:r>
      <w:proofErr w:type="spellStart"/>
      <w:r w:rsidR="00454C0A" w:rsidRPr="00203FC0">
        <w:rPr>
          <w:lang w:val="en-AU"/>
        </w:rPr>
        <w:t>IC</w:t>
      </w:r>
      <w:r w:rsidR="00454C0A" w:rsidRPr="00203FC0">
        <w:rPr>
          <w:vertAlign w:val="subscript"/>
          <w:lang w:val="en-AU"/>
        </w:rPr>
        <w:t>50</w:t>
      </w:r>
      <w:proofErr w:type="spellEnd"/>
      <w:r w:rsidR="00454C0A" w:rsidRPr="00203FC0">
        <w:rPr>
          <w:lang w:val="en-AU"/>
        </w:rPr>
        <w:t xml:space="preserve"> values of 110.9, 53.6, 25.9, 13.1, 8.3, 32.2, 26.5 and 15.3 ng/mL for SARS-CoV-2 variants </w:t>
      </w:r>
      <w:proofErr w:type="spellStart"/>
      <w:r w:rsidR="00454C0A" w:rsidRPr="00203FC0">
        <w:rPr>
          <w:lang w:val="en-AU"/>
        </w:rPr>
        <w:t>D614G</w:t>
      </w:r>
      <w:proofErr w:type="spellEnd"/>
      <w:r w:rsidR="00454C0A" w:rsidRPr="00203FC0">
        <w:rPr>
          <w:lang w:val="en-AU"/>
        </w:rPr>
        <w:t xml:space="preserve">, Alpha, Delta, </w:t>
      </w:r>
      <w:proofErr w:type="spellStart"/>
      <w:r w:rsidR="00454C0A" w:rsidRPr="00203FC0">
        <w:rPr>
          <w:lang w:val="en-AU"/>
        </w:rPr>
        <w:t>BA.1</w:t>
      </w:r>
      <w:proofErr w:type="spellEnd"/>
      <w:r w:rsidR="00454C0A" w:rsidRPr="00203FC0">
        <w:rPr>
          <w:lang w:val="en-AU"/>
        </w:rPr>
        <w:t xml:space="preserve">, </w:t>
      </w:r>
      <w:proofErr w:type="spellStart"/>
      <w:r w:rsidR="00454C0A" w:rsidRPr="00203FC0">
        <w:rPr>
          <w:lang w:val="en-AU"/>
        </w:rPr>
        <w:t>BA.1.1</w:t>
      </w:r>
      <w:proofErr w:type="spellEnd"/>
      <w:r w:rsidR="00454C0A" w:rsidRPr="00203FC0">
        <w:rPr>
          <w:lang w:val="en-AU"/>
        </w:rPr>
        <w:t xml:space="preserve">, </w:t>
      </w:r>
      <w:proofErr w:type="spellStart"/>
      <w:r w:rsidR="00454C0A" w:rsidRPr="00203FC0">
        <w:rPr>
          <w:lang w:val="en-AU"/>
        </w:rPr>
        <w:t>BA.2</w:t>
      </w:r>
      <w:proofErr w:type="spellEnd"/>
      <w:r w:rsidR="00454C0A" w:rsidRPr="00203FC0">
        <w:rPr>
          <w:lang w:val="en-AU"/>
        </w:rPr>
        <w:t xml:space="preserve">, </w:t>
      </w:r>
      <w:proofErr w:type="spellStart"/>
      <w:r w:rsidR="00454C0A" w:rsidRPr="00203FC0">
        <w:rPr>
          <w:lang w:val="en-AU"/>
        </w:rPr>
        <w:t>BA.2.12.1</w:t>
      </w:r>
      <w:proofErr w:type="spellEnd"/>
      <w:r w:rsidR="00454C0A" w:rsidRPr="00203FC0">
        <w:rPr>
          <w:lang w:val="en-AU"/>
        </w:rPr>
        <w:t xml:space="preserve"> and </w:t>
      </w:r>
      <w:proofErr w:type="spellStart"/>
      <w:r w:rsidR="00454C0A" w:rsidRPr="00203FC0">
        <w:rPr>
          <w:lang w:val="en-AU"/>
        </w:rPr>
        <w:t>BA.5</w:t>
      </w:r>
      <w:proofErr w:type="spellEnd"/>
      <w:r w:rsidR="00454C0A" w:rsidRPr="00203FC0">
        <w:rPr>
          <w:lang w:val="en-AU"/>
        </w:rPr>
        <w:t xml:space="preserve">, respectively. In </w:t>
      </w:r>
      <w:proofErr w:type="spellStart"/>
      <w:r w:rsidR="00454C0A" w:rsidRPr="00203FC0">
        <w:rPr>
          <w:lang w:val="en-AU"/>
        </w:rPr>
        <w:t>P</w:t>
      </w:r>
      <w:r w:rsidRPr="00203FC0">
        <w:rPr>
          <w:lang w:val="en-AU"/>
        </w:rPr>
        <w:t>seudovirus</w:t>
      </w:r>
      <w:proofErr w:type="spellEnd"/>
      <w:r w:rsidRPr="00203FC0">
        <w:rPr>
          <w:lang w:val="en-AU"/>
        </w:rPr>
        <w:t xml:space="preserve"> neutralisation assay, </w:t>
      </w:r>
      <w:proofErr w:type="spellStart"/>
      <w:r w:rsidRPr="00203FC0">
        <w:rPr>
          <w:lang w:val="en-AU"/>
        </w:rPr>
        <w:t>sipavibart</w:t>
      </w:r>
      <w:proofErr w:type="spellEnd"/>
      <w:r w:rsidRPr="00203FC0">
        <w:rPr>
          <w:lang w:val="en-AU"/>
        </w:rPr>
        <w:t xml:space="preserve"> had antiviral activity through direct neutralisation </w:t>
      </w:r>
      <w:r w:rsidR="006E41B0" w:rsidRPr="00203FC0">
        <w:rPr>
          <w:lang w:val="en-AU"/>
        </w:rPr>
        <w:t xml:space="preserve">with </w:t>
      </w:r>
      <w:proofErr w:type="spellStart"/>
      <w:r w:rsidR="006E41B0" w:rsidRPr="00203FC0">
        <w:rPr>
          <w:lang w:val="en-AU"/>
        </w:rPr>
        <w:t>IC</w:t>
      </w:r>
      <w:r w:rsidR="006E41B0" w:rsidRPr="00203FC0">
        <w:rPr>
          <w:vertAlign w:val="subscript"/>
          <w:lang w:val="en-AU"/>
        </w:rPr>
        <w:t>50</w:t>
      </w:r>
      <w:proofErr w:type="spellEnd"/>
      <w:r w:rsidR="006E41B0" w:rsidRPr="00203FC0">
        <w:rPr>
          <w:lang w:val="en-AU"/>
        </w:rPr>
        <w:t xml:space="preserve"> values were between 3.6 ng/mL (</w:t>
      </w:r>
      <w:proofErr w:type="spellStart"/>
      <w:r w:rsidR="006E41B0" w:rsidRPr="00203FC0">
        <w:rPr>
          <w:lang w:val="en-AU"/>
        </w:rPr>
        <w:t>XBB.1</w:t>
      </w:r>
      <w:proofErr w:type="spellEnd"/>
      <w:r w:rsidR="006E41B0" w:rsidRPr="00203FC0">
        <w:rPr>
          <w:lang w:val="en-AU"/>
        </w:rPr>
        <w:t xml:space="preserve"> variant) and 25 ng/mL (</w:t>
      </w:r>
      <w:proofErr w:type="spellStart"/>
      <w:r w:rsidR="006E41B0" w:rsidRPr="00203FC0">
        <w:rPr>
          <w:lang w:val="en-AU"/>
        </w:rPr>
        <w:t>BA.2.75</w:t>
      </w:r>
      <w:proofErr w:type="spellEnd"/>
      <w:r w:rsidR="006E41B0" w:rsidRPr="00203FC0">
        <w:rPr>
          <w:lang w:val="en-AU"/>
        </w:rPr>
        <w:t xml:space="preserve"> variant).</w:t>
      </w:r>
    </w:p>
    <w:p w14:paraId="21714C12" w14:textId="6B19ED78" w:rsidR="00305CAF" w:rsidRPr="00203FC0" w:rsidRDefault="00146FB0" w:rsidP="00305CAF">
      <w:pPr>
        <w:pStyle w:val="Paragraph"/>
        <w:rPr>
          <w:u w:val="single"/>
          <w:lang w:val="en-AU"/>
        </w:rPr>
      </w:pPr>
      <w:r w:rsidRPr="00203FC0">
        <w:rPr>
          <w:lang w:val="en-AU"/>
        </w:rPr>
        <w:t>Antibody-dependent cell-mediated cytotoxicity (</w:t>
      </w:r>
      <w:proofErr w:type="spellStart"/>
      <w:r w:rsidRPr="00203FC0">
        <w:rPr>
          <w:lang w:val="en-AU"/>
        </w:rPr>
        <w:t>ADCC</w:t>
      </w:r>
      <w:proofErr w:type="spellEnd"/>
      <w:r w:rsidRPr="00203FC0">
        <w:rPr>
          <w:lang w:val="en-AU"/>
        </w:rPr>
        <w:t xml:space="preserve">) was assessed using target cells that carry SARS-CoV-2 spike protein, with monoclonal antibody concentrations at a range of 1.53 ng/mL to 25 </w:t>
      </w:r>
      <w:proofErr w:type="spellStart"/>
      <w:r w:rsidRPr="00203FC0">
        <w:rPr>
          <w:lang w:val="en-AU"/>
        </w:rPr>
        <w:t>μg</w:t>
      </w:r>
      <w:proofErr w:type="spellEnd"/>
      <w:r w:rsidRPr="00203FC0">
        <w:rPr>
          <w:lang w:val="en-AU"/>
        </w:rPr>
        <w:t>/</w:t>
      </w:r>
      <w:proofErr w:type="spellStart"/>
      <w:r w:rsidRPr="00203FC0">
        <w:rPr>
          <w:lang w:val="en-AU"/>
        </w:rPr>
        <w:t>mL.</w:t>
      </w:r>
      <w:proofErr w:type="spellEnd"/>
      <w:r w:rsidRPr="00203FC0">
        <w:rPr>
          <w:lang w:val="en-AU"/>
        </w:rPr>
        <w:t xml:space="preserve"> Antibody-dependent cellular phagocytosis (</w:t>
      </w:r>
      <w:proofErr w:type="spellStart"/>
      <w:r w:rsidRPr="00203FC0">
        <w:rPr>
          <w:lang w:val="en-AU"/>
        </w:rPr>
        <w:t>ADCP</w:t>
      </w:r>
      <w:proofErr w:type="spellEnd"/>
      <w:r w:rsidRPr="00203FC0">
        <w:rPr>
          <w:lang w:val="en-AU"/>
        </w:rPr>
        <w:t>) and antibody</w:t>
      </w:r>
      <w:r w:rsidR="003275F0" w:rsidRPr="00203FC0">
        <w:rPr>
          <w:lang w:val="en-AU"/>
        </w:rPr>
        <w:t>-</w:t>
      </w:r>
      <w:r w:rsidRPr="00203FC0">
        <w:rPr>
          <w:lang w:val="en-AU"/>
        </w:rPr>
        <w:t>dependent complement deposition (</w:t>
      </w:r>
      <w:proofErr w:type="spellStart"/>
      <w:r w:rsidRPr="00203FC0">
        <w:rPr>
          <w:lang w:val="en-AU"/>
        </w:rPr>
        <w:t>ADCD</w:t>
      </w:r>
      <w:proofErr w:type="spellEnd"/>
      <w:r w:rsidRPr="00203FC0">
        <w:rPr>
          <w:lang w:val="en-AU"/>
        </w:rPr>
        <w:t>) were assessed using spike antigen</w:t>
      </w:r>
      <w:r w:rsidR="008B23D2" w:rsidRPr="00203FC0">
        <w:rPr>
          <w:lang w:val="en-AU"/>
        </w:rPr>
        <w:t>-</w:t>
      </w:r>
      <w:r w:rsidRPr="00203FC0">
        <w:rPr>
          <w:lang w:val="en-AU"/>
        </w:rPr>
        <w:t xml:space="preserve">functionalised beads. </w:t>
      </w:r>
      <w:proofErr w:type="spellStart"/>
      <w:r w:rsidRPr="00203FC0">
        <w:rPr>
          <w:lang w:val="en-AU"/>
        </w:rPr>
        <w:t>ADCP</w:t>
      </w:r>
      <w:proofErr w:type="spellEnd"/>
      <w:r w:rsidRPr="00203FC0">
        <w:rPr>
          <w:lang w:val="en-AU"/>
        </w:rPr>
        <w:t xml:space="preserve"> activity was assessed with primary human neutrophils or </w:t>
      </w:r>
      <w:proofErr w:type="spellStart"/>
      <w:r w:rsidRPr="00203FC0">
        <w:rPr>
          <w:lang w:val="en-AU"/>
        </w:rPr>
        <w:t>THP</w:t>
      </w:r>
      <w:proofErr w:type="spellEnd"/>
      <w:r w:rsidRPr="00203FC0">
        <w:rPr>
          <w:lang w:val="en-AU"/>
        </w:rPr>
        <w:t xml:space="preserve">-1 human monocytic cell line, with antibody concentrations at a range of 2.3 ng/mL to 5 </w:t>
      </w:r>
      <w:proofErr w:type="spellStart"/>
      <w:r w:rsidRPr="00203FC0">
        <w:rPr>
          <w:lang w:val="en-AU"/>
        </w:rPr>
        <w:t>μg</w:t>
      </w:r>
      <w:proofErr w:type="spellEnd"/>
      <w:r w:rsidRPr="00203FC0">
        <w:rPr>
          <w:lang w:val="en-AU"/>
        </w:rPr>
        <w:t>/</w:t>
      </w:r>
      <w:proofErr w:type="spellStart"/>
      <w:r w:rsidRPr="00203FC0">
        <w:rPr>
          <w:lang w:val="en-AU"/>
        </w:rPr>
        <w:t>mL.</w:t>
      </w:r>
      <w:proofErr w:type="spellEnd"/>
      <w:r w:rsidRPr="00203FC0">
        <w:rPr>
          <w:lang w:val="en-AU"/>
        </w:rPr>
        <w:t xml:space="preserve"> </w:t>
      </w:r>
      <w:proofErr w:type="spellStart"/>
      <w:r w:rsidRPr="00203FC0">
        <w:rPr>
          <w:lang w:val="en-AU"/>
        </w:rPr>
        <w:t>ADCD</w:t>
      </w:r>
      <w:proofErr w:type="spellEnd"/>
      <w:r w:rsidRPr="00203FC0">
        <w:rPr>
          <w:lang w:val="en-AU"/>
        </w:rPr>
        <w:t xml:space="preserve"> activity was assessed with antibody concentrations at a range of 45.7 ng/mL to 100 </w:t>
      </w:r>
      <w:proofErr w:type="spellStart"/>
      <w:r w:rsidRPr="00203FC0">
        <w:rPr>
          <w:lang w:val="en-AU"/>
        </w:rPr>
        <w:t>μg</w:t>
      </w:r>
      <w:proofErr w:type="spellEnd"/>
      <w:r w:rsidRPr="00203FC0">
        <w:rPr>
          <w:lang w:val="en-AU"/>
        </w:rPr>
        <w:t>/</w:t>
      </w:r>
      <w:proofErr w:type="spellStart"/>
      <w:r w:rsidRPr="00203FC0">
        <w:rPr>
          <w:lang w:val="en-AU"/>
        </w:rPr>
        <w:t>mL.</w:t>
      </w:r>
      <w:proofErr w:type="spellEnd"/>
      <w:r w:rsidRPr="00203FC0">
        <w:rPr>
          <w:lang w:val="en-AU"/>
        </w:rPr>
        <w:t xml:space="preserve"> Antibody-dependent NK cell activation (</w:t>
      </w:r>
      <w:proofErr w:type="spellStart"/>
      <w:r w:rsidRPr="00203FC0">
        <w:rPr>
          <w:lang w:val="en-AU"/>
        </w:rPr>
        <w:t>ADNKA</w:t>
      </w:r>
      <w:proofErr w:type="spellEnd"/>
      <w:r w:rsidRPr="00203FC0">
        <w:rPr>
          <w:lang w:val="en-AU"/>
        </w:rPr>
        <w:t xml:space="preserve">) was assessed using primary human NK cells on spike-coated plates with monoclonal antibody concentrations at a range of 9.15 ng/mL to 20 </w:t>
      </w:r>
      <w:proofErr w:type="spellStart"/>
      <w:r w:rsidRPr="00203FC0">
        <w:rPr>
          <w:lang w:val="en-AU"/>
        </w:rPr>
        <w:t>μg</w:t>
      </w:r>
      <w:proofErr w:type="spellEnd"/>
      <w:r w:rsidRPr="00203FC0">
        <w:rPr>
          <w:lang w:val="en-AU"/>
        </w:rPr>
        <w:t>/mL</w:t>
      </w:r>
      <w:r w:rsidR="003275F0" w:rsidRPr="00203FC0">
        <w:rPr>
          <w:lang w:val="en-AU"/>
        </w:rPr>
        <w:t xml:space="preserve"> </w:t>
      </w:r>
      <w:r w:rsidR="00305CAF" w:rsidRPr="00203FC0">
        <w:rPr>
          <w:lang w:val="en-AU"/>
        </w:rPr>
        <w:t>Sipavibart showed reduced or no antibody-dependent cell-mediated cytotoxicity (</w:t>
      </w:r>
      <w:proofErr w:type="spellStart"/>
      <w:r w:rsidR="00305CAF" w:rsidRPr="00203FC0">
        <w:rPr>
          <w:lang w:val="en-AU"/>
        </w:rPr>
        <w:t>ADCC</w:t>
      </w:r>
      <w:proofErr w:type="spellEnd"/>
      <w:r w:rsidR="00305CAF" w:rsidRPr="00203FC0">
        <w:rPr>
          <w:lang w:val="en-AU"/>
        </w:rPr>
        <w:t>), antibody-dependent cellular phagocytosis (</w:t>
      </w:r>
      <w:proofErr w:type="spellStart"/>
      <w:r w:rsidR="00305CAF" w:rsidRPr="00203FC0">
        <w:rPr>
          <w:lang w:val="en-AU"/>
        </w:rPr>
        <w:t>ADCP</w:t>
      </w:r>
      <w:proofErr w:type="spellEnd"/>
      <w:r w:rsidR="00305CAF" w:rsidRPr="00203FC0">
        <w:rPr>
          <w:lang w:val="en-AU"/>
        </w:rPr>
        <w:t>), or antibody-dependent natural killer cell activation (</w:t>
      </w:r>
      <w:proofErr w:type="spellStart"/>
      <w:r w:rsidR="00305CAF" w:rsidRPr="00203FC0">
        <w:rPr>
          <w:lang w:val="en-AU"/>
        </w:rPr>
        <w:t>ADNKA</w:t>
      </w:r>
      <w:proofErr w:type="spellEnd"/>
      <w:r w:rsidR="00305CAF" w:rsidRPr="00203FC0">
        <w:rPr>
          <w:lang w:val="en-AU"/>
        </w:rPr>
        <w:t>) in cell culture studies. Sipavibart did not mediate antibody-dependent complement deposition (</w:t>
      </w:r>
      <w:proofErr w:type="spellStart"/>
      <w:r w:rsidR="00305CAF" w:rsidRPr="00203FC0">
        <w:rPr>
          <w:lang w:val="en-AU"/>
        </w:rPr>
        <w:t>ADCD</w:t>
      </w:r>
      <w:proofErr w:type="spellEnd"/>
      <w:r w:rsidR="00305CAF" w:rsidRPr="00203FC0">
        <w:rPr>
          <w:lang w:val="en-AU"/>
        </w:rPr>
        <w:t>) activity with guinea pig complement proteins.</w:t>
      </w:r>
    </w:p>
    <w:p w14:paraId="12802084" w14:textId="33472F17" w:rsidR="00305CAF" w:rsidRPr="00203FC0" w:rsidRDefault="00305CAF" w:rsidP="00305CAF">
      <w:pPr>
        <w:pStyle w:val="Heading3Unnumbered"/>
        <w:rPr>
          <w:lang w:val="en-AU"/>
        </w:rPr>
      </w:pPr>
      <w:r w:rsidRPr="00203FC0">
        <w:rPr>
          <w:lang w:val="en-AU"/>
        </w:rPr>
        <w:lastRenderedPageBreak/>
        <w:t>Antibody dependent enhancement (ADE) of infection</w:t>
      </w:r>
      <w:r w:rsidR="002B1200" w:rsidRPr="00203FC0">
        <w:rPr>
          <w:lang w:val="en-AU"/>
        </w:rPr>
        <w:fldChar w:fldCharType="begin"/>
      </w:r>
      <w:r w:rsidR="002B1200" w:rsidRPr="00203FC0">
        <w:rPr>
          <w:lang w:val="en-AU"/>
        </w:rPr>
        <w:instrText xml:space="preserve"> DOCVARIABLE vault_nd_1e4fcc3a-93b0-4730-bb2a-257e44531c90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586C107D" w14:textId="77777777" w:rsidR="00305CAF" w:rsidRPr="00203FC0" w:rsidRDefault="00305CAF" w:rsidP="00305CAF">
      <w:pPr>
        <w:pStyle w:val="Paragraph"/>
        <w:rPr>
          <w:u w:val="single"/>
          <w:lang w:val="en-AU"/>
        </w:rPr>
      </w:pPr>
      <w:r w:rsidRPr="00203FC0">
        <w:rPr>
          <w:lang w:val="en-AU"/>
        </w:rPr>
        <w:t xml:space="preserve">The potential of </w:t>
      </w:r>
      <w:proofErr w:type="spellStart"/>
      <w:r w:rsidRPr="00203FC0">
        <w:rPr>
          <w:lang w:val="en-AU"/>
        </w:rPr>
        <w:t>sipavibart</w:t>
      </w:r>
      <w:proofErr w:type="spellEnd"/>
      <w:r w:rsidRPr="00203FC0">
        <w:rPr>
          <w:lang w:val="en-AU"/>
        </w:rPr>
        <w:t xml:space="preserve"> to mediate antibody-dependent viral entry was assessed in </w:t>
      </w:r>
      <w:proofErr w:type="spellStart"/>
      <w:r w:rsidRPr="00203FC0">
        <w:rPr>
          <w:lang w:val="en-AU"/>
        </w:rPr>
        <w:t>FcγRII</w:t>
      </w:r>
      <w:proofErr w:type="spellEnd"/>
      <w:r w:rsidRPr="00203FC0">
        <w:rPr>
          <w:lang w:val="en-AU"/>
        </w:rPr>
        <w:t xml:space="preserve">-expressing Raji cells co-incubated with recombinant virus </w:t>
      </w:r>
      <w:proofErr w:type="spellStart"/>
      <w:r w:rsidRPr="00203FC0">
        <w:rPr>
          <w:lang w:val="en-AU"/>
        </w:rPr>
        <w:t>pseudotyped</w:t>
      </w:r>
      <w:proofErr w:type="spellEnd"/>
      <w:r w:rsidRPr="00203FC0">
        <w:rPr>
          <w:lang w:val="en-AU"/>
        </w:rPr>
        <w:t xml:space="preserve"> with SARS-CoV-2 spike protein, with antibody concentrations at a range of 3125 ng/mL to 12.8 </w:t>
      </w:r>
      <w:proofErr w:type="spellStart"/>
      <w:r w:rsidRPr="00203FC0">
        <w:rPr>
          <w:lang w:val="en-AU"/>
        </w:rPr>
        <w:t>fg</w:t>
      </w:r>
      <w:proofErr w:type="spellEnd"/>
      <w:r w:rsidRPr="00203FC0">
        <w:rPr>
          <w:lang w:val="en-AU"/>
        </w:rPr>
        <w:t>/</w:t>
      </w:r>
      <w:proofErr w:type="spellStart"/>
      <w:r w:rsidRPr="00203FC0">
        <w:rPr>
          <w:lang w:val="en-AU"/>
        </w:rPr>
        <w:t>mL.</w:t>
      </w:r>
      <w:proofErr w:type="spellEnd"/>
      <w:r w:rsidRPr="00203FC0">
        <w:rPr>
          <w:lang w:val="en-AU"/>
        </w:rPr>
        <w:t xml:space="preserve"> Sipavibart did not mediate entry of </w:t>
      </w:r>
      <w:proofErr w:type="spellStart"/>
      <w:r w:rsidRPr="00203FC0">
        <w:rPr>
          <w:lang w:val="en-AU"/>
        </w:rPr>
        <w:t>pseudovirus</w:t>
      </w:r>
      <w:proofErr w:type="spellEnd"/>
      <w:r w:rsidRPr="00203FC0">
        <w:rPr>
          <w:lang w:val="en-AU"/>
        </w:rPr>
        <w:t xml:space="preserve"> into these cells.</w:t>
      </w:r>
    </w:p>
    <w:p w14:paraId="44C16F84" w14:textId="2001277F" w:rsidR="00305CAF" w:rsidRPr="00203FC0" w:rsidRDefault="00305CAF" w:rsidP="00305CAF">
      <w:pPr>
        <w:pStyle w:val="Heading3Unnumbered"/>
        <w:rPr>
          <w:lang w:val="en-AU"/>
        </w:rPr>
      </w:pPr>
      <w:r w:rsidRPr="00203FC0">
        <w:rPr>
          <w:lang w:val="en-AU"/>
        </w:rPr>
        <w:t>Antiviral resistance</w:t>
      </w:r>
      <w:r w:rsidR="00C64DE9" w:rsidRPr="00203FC0">
        <w:rPr>
          <w:highlight w:val="yellow"/>
          <w:vertAlign w:val="superscript"/>
          <w:lang w:val="en-AU"/>
        </w:rPr>
        <w:fldChar w:fldCharType="begin"/>
      </w:r>
      <w:r w:rsidR="00C64DE9" w:rsidRPr="00203FC0">
        <w:rPr>
          <w:highlight w:val="yellow"/>
          <w:vertAlign w:val="superscript"/>
          <w:lang w:val="en-AU"/>
        </w:rPr>
        <w:instrText xml:space="preserve"> DOCVARIABLE vault_nd_564220a4-83d7-418c-9701-ab3a2849c42f \* MERGEFORMAT </w:instrText>
      </w:r>
      <w:r w:rsidR="00C64DE9" w:rsidRPr="00203FC0">
        <w:rPr>
          <w:highlight w:val="yellow"/>
          <w:vertAlign w:val="superscript"/>
          <w:lang w:val="en-AU"/>
        </w:rPr>
        <w:fldChar w:fldCharType="separate"/>
      </w:r>
      <w:r w:rsidR="00C64DE9" w:rsidRPr="00203FC0">
        <w:rPr>
          <w:highlight w:val="yellow"/>
          <w:vertAlign w:val="superscript"/>
          <w:lang w:val="en-AU"/>
        </w:rPr>
        <w:t xml:space="preserve"> </w:t>
      </w:r>
      <w:r w:rsidR="00C64DE9" w:rsidRPr="00203FC0">
        <w:rPr>
          <w:highlight w:val="yellow"/>
          <w:vertAlign w:val="superscript"/>
          <w:lang w:val="en-AU"/>
        </w:rPr>
        <w:fldChar w:fldCharType="end"/>
      </w:r>
    </w:p>
    <w:p w14:paraId="6F23BC80" w14:textId="2BFA227E" w:rsidR="00D7502E" w:rsidRPr="00203FC0" w:rsidRDefault="00D7502E" w:rsidP="00305CAF">
      <w:pPr>
        <w:pStyle w:val="Paragraph"/>
        <w:rPr>
          <w:rFonts w:eastAsiaTheme="minorHAnsi"/>
          <w:lang w:val="en-AU"/>
        </w:rPr>
      </w:pPr>
      <w:bookmarkStart w:id="8" w:name="_Hlk79578526"/>
      <w:r w:rsidRPr="00203FC0">
        <w:rPr>
          <w:lang w:val="en-AU"/>
        </w:rPr>
        <w:t xml:space="preserve">Escape variants were identified following serial passage in cell culture of SARS-CoV-2 or recombinant vesicular stomatitis virus encoding SARS-CoV-2 spike protein in the presence of </w:t>
      </w:r>
      <w:proofErr w:type="spellStart"/>
      <w:r w:rsidRPr="00203FC0">
        <w:rPr>
          <w:lang w:val="en-AU"/>
        </w:rPr>
        <w:t>sipavibart</w:t>
      </w:r>
      <w:proofErr w:type="spellEnd"/>
      <w:r w:rsidRPr="00203FC0">
        <w:rPr>
          <w:lang w:val="en-AU"/>
        </w:rPr>
        <w:t xml:space="preserve">. Variants which showed reduced susceptibility to </w:t>
      </w:r>
      <w:proofErr w:type="spellStart"/>
      <w:r w:rsidRPr="00203FC0">
        <w:rPr>
          <w:lang w:val="en-AU"/>
        </w:rPr>
        <w:t>sipavibart</w:t>
      </w:r>
      <w:proofErr w:type="spellEnd"/>
      <w:r w:rsidRPr="00203FC0">
        <w:rPr>
          <w:lang w:val="en-AU"/>
        </w:rPr>
        <w:t xml:space="preserve"> included spike protein amino acid substitutions </w:t>
      </w:r>
      <w:proofErr w:type="spellStart"/>
      <w:r w:rsidRPr="00203FC0">
        <w:rPr>
          <w:lang w:val="en-AU"/>
        </w:rPr>
        <w:t>T415I</w:t>
      </w:r>
      <w:proofErr w:type="spellEnd"/>
      <w:r w:rsidRPr="00203FC0">
        <w:rPr>
          <w:lang w:val="en-AU"/>
        </w:rPr>
        <w:t xml:space="preserve"> (</w:t>
      </w:r>
      <w:r w:rsidRPr="00203FC0">
        <w:rPr>
          <w:strike/>
          <w:lang w:val="en-AU"/>
        </w:rPr>
        <w:t>&gt;</w:t>
      </w:r>
      <w:r w:rsidRPr="00203FC0">
        <w:rPr>
          <w:lang w:val="en-AU"/>
        </w:rPr>
        <w:t xml:space="preserve">103-fold), </w:t>
      </w:r>
      <w:proofErr w:type="spellStart"/>
      <w:r w:rsidRPr="00203FC0">
        <w:rPr>
          <w:lang w:val="en-AU"/>
        </w:rPr>
        <w:t>K458E</w:t>
      </w:r>
      <w:proofErr w:type="spellEnd"/>
      <w:r w:rsidRPr="00203FC0">
        <w:rPr>
          <w:lang w:val="en-AU"/>
        </w:rPr>
        <w:t xml:space="preserve"> (&gt;769-fold), and </w:t>
      </w:r>
      <w:proofErr w:type="spellStart"/>
      <w:r w:rsidRPr="00203FC0">
        <w:rPr>
          <w:lang w:val="en-AU"/>
        </w:rPr>
        <w:t>F456L</w:t>
      </w:r>
      <w:proofErr w:type="spellEnd"/>
      <w:r w:rsidRPr="00203FC0">
        <w:rPr>
          <w:lang w:val="en-AU"/>
        </w:rPr>
        <w:t xml:space="preserve"> (&gt;769- fold).</w:t>
      </w:r>
    </w:p>
    <w:p w14:paraId="4BDFE834" w14:textId="4A9271C7" w:rsidR="00305CAF" w:rsidRPr="00203FC0" w:rsidRDefault="00305CAF" w:rsidP="00305CAF">
      <w:pPr>
        <w:pStyle w:val="Paragraph"/>
        <w:rPr>
          <w:rFonts w:eastAsiaTheme="minorHAnsi"/>
          <w:lang w:val="en-AU"/>
        </w:rPr>
      </w:pPr>
      <w:r w:rsidRPr="00203FC0">
        <w:rPr>
          <w:rFonts w:eastAsiaTheme="minorHAnsi"/>
          <w:lang w:val="en-AU"/>
        </w:rPr>
        <w:t xml:space="preserve">Evaluation of neutralisation susceptibility of variants identified through global surveillance and in participants who received </w:t>
      </w:r>
      <w:proofErr w:type="spellStart"/>
      <w:r w:rsidRPr="00203FC0">
        <w:rPr>
          <w:rFonts w:eastAsiaTheme="minorHAnsi"/>
          <w:lang w:val="en-AU"/>
        </w:rPr>
        <w:t>sipavibart</w:t>
      </w:r>
      <w:proofErr w:type="spellEnd"/>
      <w:r w:rsidRPr="00203FC0">
        <w:rPr>
          <w:rFonts w:eastAsiaTheme="minorHAnsi"/>
          <w:lang w:val="en-AU"/>
        </w:rPr>
        <w:t xml:space="preserve"> is ongoing.</w:t>
      </w:r>
    </w:p>
    <w:p w14:paraId="67DBF724" w14:textId="77777777" w:rsidR="00305CAF" w:rsidRPr="00203FC0" w:rsidRDefault="00305CAF" w:rsidP="00305CAF">
      <w:pPr>
        <w:pStyle w:val="Paragraph"/>
        <w:rPr>
          <w:rFonts w:eastAsiaTheme="minorHAnsi"/>
          <w:lang w:val="en-AU"/>
        </w:rPr>
      </w:pPr>
      <w:bookmarkStart w:id="9" w:name="_Hlk79007079"/>
      <w:bookmarkStart w:id="10" w:name="_Hlk79578487"/>
      <w:r w:rsidRPr="00203FC0">
        <w:rPr>
          <w:rFonts w:eastAsiaTheme="minorHAnsi"/>
          <w:lang w:val="en-AU"/>
        </w:rPr>
        <w:t xml:space="preserve">Sipavibart neutralises many circulating SARS-CoV-2 variants in </w:t>
      </w:r>
      <w:proofErr w:type="spellStart"/>
      <w:r w:rsidRPr="00203FC0">
        <w:rPr>
          <w:rFonts w:eastAsiaTheme="minorHAnsi"/>
          <w:lang w:val="en-AU"/>
        </w:rPr>
        <w:t>pseudovirus</w:t>
      </w:r>
      <w:proofErr w:type="spellEnd"/>
      <w:r w:rsidRPr="00203FC0">
        <w:rPr>
          <w:rFonts w:eastAsiaTheme="minorHAnsi"/>
          <w:lang w:val="en-AU"/>
        </w:rPr>
        <w:t xml:space="preserve"> neutralisation assays, however it does not retain </w:t>
      </w:r>
      <w:r w:rsidRPr="00203FC0">
        <w:rPr>
          <w:rFonts w:eastAsiaTheme="minorHAnsi"/>
          <w:i/>
          <w:iCs/>
          <w:lang w:val="en-AU"/>
        </w:rPr>
        <w:t>in vitro</w:t>
      </w:r>
      <w:r w:rsidRPr="00203FC0">
        <w:rPr>
          <w:rFonts w:eastAsiaTheme="minorHAnsi"/>
          <w:lang w:val="en-AU"/>
        </w:rPr>
        <w:t xml:space="preserve"> neutralisation activity against </w:t>
      </w:r>
      <w:proofErr w:type="spellStart"/>
      <w:r w:rsidRPr="00203FC0">
        <w:rPr>
          <w:rFonts w:eastAsiaTheme="minorHAnsi"/>
          <w:lang w:val="en-AU"/>
        </w:rPr>
        <w:t>XBB</w:t>
      </w:r>
      <w:proofErr w:type="spellEnd"/>
      <w:r w:rsidRPr="00203FC0">
        <w:rPr>
          <w:rFonts w:eastAsiaTheme="minorHAnsi"/>
          <w:lang w:val="en-AU"/>
        </w:rPr>
        <w:t xml:space="preserve"> subvariants harbouring an </w:t>
      </w:r>
      <w:proofErr w:type="spellStart"/>
      <w:r w:rsidRPr="00203FC0">
        <w:rPr>
          <w:rFonts w:eastAsiaTheme="minorHAnsi"/>
          <w:lang w:val="en-AU"/>
        </w:rPr>
        <w:t>F456L</w:t>
      </w:r>
      <w:proofErr w:type="spellEnd"/>
      <w:r w:rsidRPr="00203FC0">
        <w:rPr>
          <w:rFonts w:eastAsiaTheme="minorHAnsi"/>
          <w:lang w:val="en-AU"/>
        </w:rPr>
        <w:t xml:space="preserve"> mutation.</w:t>
      </w:r>
    </w:p>
    <w:p w14:paraId="6607F980" w14:textId="6801652D" w:rsidR="00305CAF" w:rsidRPr="00203FC0" w:rsidRDefault="00305CAF" w:rsidP="00305CAF">
      <w:pPr>
        <w:pStyle w:val="Paragraph"/>
        <w:rPr>
          <w:rFonts w:eastAsiaTheme="minorHAnsi"/>
          <w:lang w:val="en-AU"/>
        </w:rPr>
      </w:pPr>
      <w:r w:rsidRPr="00203FC0">
        <w:rPr>
          <w:rFonts w:eastAsiaTheme="minorHAnsi"/>
          <w:lang w:val="en-AU"/>
        </w:rPr>
        <w:t xml:space="preserve">Neutralisation activity of </w:t>
      </w:r>
      <w:proofErr w:type="spellStart"/>
      <w:r w:rsidRPr="00203FC0">
        <w:rPr>
          <w:rFonts w:eastAsiaTheme="minorHAnsi"/>
          <w:lang w:val="en-AU"/>
        </w:rPr>
        <w:t>sipavibart</w:t>
      </w:r>
      <w:proofErr w:type="spellEnd"/>
      <w:r w:rsidRPr="00203FC0">
        <w:rPr>
          <w:rFonts w:eastAsiaTheme="minorHAnsi"/>
          <w:lang w:val="en-AU"/>
        </w:rPr>
        <w:t xml:space="preserve"> against </w:t>
      </w:r>
      <w:proofErr w:type="spellStart"/>
      <w:r w:rsidRPr="00203FC0">
        <w:rPr>
          <w:rFonts w:eastAsiaTheme="minorHAnsi"/>
          <w:lang w:val="en-AU"/>
        </w:rPr>
        <w:t>pseudovirus</w:t>
      </w:r>
      <w:proofErr w:type="spellEnd"/>
      <w:r w:rsidRPr="00203FC0">
        <w:rPr>
          <w:rFonts w:eastAsiaTheme="minorHAnsi"/>
          <w:lang w:val="en-AU"/>
        </w:rPr>
        <w:t xml:space="preserve"> SARS</w:t>
      </w:r>
      <w:r w:rsidRPr="00203FC0">
        <w:rPr>
          <w:rFonts w:eastAsiaTheme="minorHAnsi"/>
          <w:lang w:val="en-AU"/>
        </w:rPr>
        <w:noBreakHyphen/>
        <w:t>CoV</w:t>
      </w:r>
      <w:r w:rsidRPr="00203FC0">
        <w:rPr>
          <w:rFonts w:eastAsiaTheme="minorHAnsi"/>
          <w:lang w:val="en-AU"/>
        </w:rPr>
        <w:noBreakHyphen/>
        <w:t>2 variants are shown in </w:t>
      </w:r>
      <w:r w:rsidR="00861CDC" w:rsidRPr="00203FC0">
        <w:rPr>
          <w:rFonts w:eastAsiaTheme="minorHAnsi"/>
          <w:lang w:val="en-AU"/>
        </w:rPr>
        <w:fldChar w:fldCharType="begin"/>
      </w:r>
      <w:r w:rsidR="00861CDC" w:rsidRPr="00203FC0">
        <w:rPr>
          <w:rFonts w:eastAsiaTheme="minorHAnsi"/>
          <w:lang w:val="en-AU"/>
        </w:rPr>
        <w:instrText xml:space="preserve"> REF _Ref208320411 \h </w:instrText>
      </w:r>
      <w:r w:rsidR="00861CDC" w:rsidRPr="00203FC0">
        <w:rPr>
          <w:rFonts w:eastAsiaTheme="minorHAnsi"/>
          <w:lang w:val="en-AU"/>
        </w:rPr>
      </w:r>
      <w:r w:rsidR="00861CDC" w:rsidRPr="00203FC0">
        <w:rPr>
          <w:rFonts w:eastAsiaTheme="minorHAnsi"/>
          <w:lang w:val="en-AU"/>
        </w:rPr>
        <w:fldChar w:fldCharType="separate"/>
      </w:r>
      <w:r w:rsidR="00861CDC" w:rsidRPr="00203FC0">
        <w:rPr>
          <w:lang w:val="en-AU"/>
        </w:rPr>
        <w:t xml:space="preserve">Table </w:t>
      </w:r>
      <w:r w:rsidR="00861CDC" w:rsidRPr="00203FC0">
        <w:rPr>
          <w:noProof/>
          <w:lang w:val="en-AU"/>
        </w:rPr>
        <w:t>2</w:t>
      </w:r>
      <w:r w:rsidR="00861CDC" w:rsidRPr="00203FC0">
        <w:rPr>
          <w:rFonts w:eastAsiaTheme="minorHAnsi"/>
          <w:lang w:val="en-AU"/>
        </w:rPr>
        <w:fldChar w:fldCharType="end"/>
      </w:r>
      <w:r w:rsidRPr="00203FC0">
        <w:rPr>
          <w:rFonts w:eastAsiaTheme="minorHAnsi"/>
          <w:lang w:val="en-AU"/>
        </w:rPr>
        <w:t>.</w:t>
      </w:r>
    </w:p>
    <w:p w14:paraId="5AFB7F70" w14:textId="1994C17A" w:rsidR="00305CAF" w:rsidRPr="00203FC0" w:rsidRDefault="00032F24" w:rsidP="00032F24">
      <w:pPr>
        <w:pStyle w:val="Caption"/>
        <w:rPr>
          <w:rFonts w:eastAsia="Calibri"/>
          <w:lang w:val="en-AU"/>
        </w:rPr>
      </w:pPr>
      <w:bookmarkStart w:id="11" w:name="_Ref208320411"/>
      <w:bookmarkEnd w:id="8"/>
      <w:bookmarkEnd w:id="9"/>
      <w:bookmarkEnd w:id="10"/>
      <w:r w:rsidRPr="00203FC0">
        <w:rPr>
          <w:lang w:val="en-AU"/>
        </w:rPr>
        <w:t xml:space="preserve">Table </w:t>
      </w:r>
      <w:r w:rsidRPr="00203FC0">
        <w:rPr>
          <w:lang w:val="en-AU"/>
        </w:rPr>
        <w:fldChar w:fldCharType="begin"/>
      </w:r>
      <w:r w:rsidRPr="00203FC0">
        <w:rPr>
          <w:lang w:val="en-AU"/>
        </w:rPr>
        <w:instrText xml:space="preserve"> SEQ Table \* ARABIC </w:instrText>
      </w:r>
      <w:r w:rsidRPr="00203FC0">
        <w:rPr>
          <w:lang w:val="en-AU"/>
        </w:rPr>
        <w:fldChar w:fldCharType="separate"/>
      </w:r>
      <w:r w:rsidR="008F00B7" w:rsidRPr="00203FC0">
        <w:rPr>
          <w:noProof/>
          <w:lang w:val="en-AU"/>
        </w:rPr>
        <w:t>2</w:t>
      </w:r>
      <w:r w:rsidRPr="00203FC0">
        <w:rPr>
          <w:lang w:val="en-AU"/>
        </w:rPr>
        <w:fldChar w:fldCharType="end"/>
      </w:r>
      <w:bookmarkEnd w:id="11"/>
      <w:r w:rsidR="00305CAF" w:rsidRPr="00203FC0">
        <w:rPr>
          <w:lang w:val="en-AU"/>
        </w:rPr>
        <w:tab/>
        <w:t xml:space="preserve">Sipavibart </w:t>
      </w:r>
      <w:proofErr w:type="spellStart"/>
      <w:r w:rsidR="00305CAF" w:rsidRPr="00203FC0">
        <w:rPr>
          <w:lang w:val="en-AU"/>
        </w:rPr>
        <w:t>pseudovirus</w:t>
      </w:r>
      <w:proofErr w:type="spellEnd"/>
      <w:r w:rsidR="00305CAF" w:rsidRPr="00203FC0">
        <w:rPr>
          <w:lang w:val="en-AU"/>
        </w:rPr>
        <w:t xml:space="preserve"> neutralisation data against SARS-CoV-2 variants</w:t>
      </w:r>
      <w:r w:rsidR="00687CB6">
        <w:rPr>
          <w:lang w:val="en-AU"/>
        </w:rPr>
        <w:fldChar w:fldCharType="begin"/>
      </w:r>
      <w:r w:rsidR="00687CB6">
        <w:rPr>
          <w:lang w:val="en-AU"/>
        </w:rPr>
        <w:instrText xml:space="preserve"> DOCVARIABLE vault_nd_8925253f-d88d-43a2-b146-fc1c6de1a15d \* MERGEFORMAT </w:instrText>
      </w:r>
      <w:r w:rsidR="00687CB6">
        <w:rPr>
          <w:lang w:val="en-AU"/>
        </w:rPr>
        <w:fldChar w:fldCharType="separate"/>
      </w:r>
      <w:r w:rsidR="00687CB6">
        <w:rPr>
          <w:lang w:val="en-AU"/>
        </w:rPr>
        <w:t xml:space="preserve"> </w:t>
      </w:r>
      <w:r w:rsidR="00687CB6">
        <w:rPr>
          <w:lang w:val="en-AU"/>
        </w:rPr>
        <w:fldChar w:fldCharType="end"/>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lt;&lt;Please Add a Table Title Here&gt;&gt;"/>
      </w:tblPr>
      <w:tblGrid>
        <w:gridCol w:w="1716"/>
        <w:gridCol w:w="1238"/>
        <w:gridCol w:w="3850"/>
        <w:gridCol w:w="1558"/>
        <w:gridCol w:w="1164"/>
      </w:tblGrid>
      <w:tr w:rsidR="005D39E6" w:rsidRPr="00203FC0" w14:paraId="4094424E" w14:textId="77777777" w:rsidTr="00BF4D74">
        <w:trPr>
          <w:cantSplit/>
          <w:trHeight w:val="53"/>
          <w:tblHeader/>
        </w:trPr>
        <w:tc>
          <w:tcPr>
            <w:tcW w:w="1549" w:type="pct"/>
            <w:gridSpan w:val="2"/>
            <w:tcBorders>
              <w:top w:val="single" w:sz="4" w:space="0" w:color="auto"/>
              <w:left w:val="single" w:sz="4" w:space="0" w:color="auto"/>
              <w:bottom w:val="single" w:sz="4" w:space="0" w:color="auto"/>
              <w:right w:val="single" w:sz="4" w:space="0" w:color="auto"/>
            </w:tcBorders>
            <w:vAlign w:val="center"/>
          </w:tcPr>
          <w:p w14:paraId="40D17FD4" w14:textId="77777777" w:rsidR="005D39E6" w:rsidRPr="00203FC0" w:rsidRDefault="005D39E6" w:rsidP="006B2FD1">
            <w:pPr>
              <w:spacing w:before="40" w:after="40"/>
              <w:jc w:val="center"/>
              <w:rPr>
                <w:rFonts w:eastAsia="Calibri"/>
                <w:b/>
                <w:sz w:val="22"/>
                <w:szCs w:val="22"/>
              </w:rPr>
            </w:pPr>
            <w:bookmarkStart w:id="12" w:name="_Hlk93389363"/>
            <w:r w:rsidRPr="00203FC0">
              <w:rPr>
                <w:rFonts w:eastAsia="Calibri"/>
                <w:b/>
                <w:sz w:val="22"/>
                <w:szCs w:val="22"/>
              </w:rPr>
              <w:t>Lineage with spike protein substitutions</w:t>
            </w:r>
          </w:p>
        </w:tc>
        <w:tc>
          <w:tcPr>
            <w:tcW w:w="2021" w:type="pct"/>
            <w:vMerge w:val="restart"/>
            <w:tcBorders>
              <w:top w:val="single" w:sz="4" w:space="0" w:color="auto"/>
              <w:left w:val="single" w:sz="4" w:space="0" w:color="auto"/>
              <w:bottom w:val="single" w:sz="4" w:space="0" w:color="auto"/>
              <w:right w:val="single" w:sz="4" w:space="0" w:color="auto"/>
            </w:tcBorders>
            <w:vAlign w:val="center"/>
            <w:hideMark/>
          </w:tcPr>
          <w:p w14:paraId="4021CBF8" w14:textId="77777777" w:rsidR="005D39E6" w:rsidRPr="00203FC0" w:rsidRDefault="005D39E6" w:rsidP="006B2FD1">
            <w:pPr>
              <w:spacing w:before="40" w:after="40"/>
              <w:jc w:val="center"/>
              <w:rPr>
                <w:rFonts w:eastAsia="Calibri"/>
                <w:b/>
                <w:sz w:val="22"/>
                <w:szCs w:val="22"/>
              </w:rPr>
            </w:pPr>
            <w:r w:rsidRPr="00203FC0">
              <w:rPr>
                <w:rFonts w:eastAsia="Calibri"/>
                <w:b/>
                <w:sz w:val="22"/>
                <w:szCs w:val="22"/>
              </w:rPr>
              <w:t xml:space="preserve">Characteristic </w:t>
            </w:r>
            <w:proofErr w:type="spellStart"/>
            <w:r w:rsidRPr="00203FC0">
              <w:rPr>
                <w:rFonts w:eastAsia="Calibri"/>
                <w:b/>
                <w:sz w:val="22"/>
                <w:szCs w:val="22"/>
              </w:rPr>
              <w:t>RBD</w:t>
            </w:r>
            <w:proofErr w:type="spellEnd"/>
            <w:r w:rsidRPr="00203FC0">
              <w:rPr>
                <w:rFonts w:eastAsia="Calibri"/>
                <w:b/>
                <w:sz w:val="22"/>
                <w:szCs w:val="22"/>
              </w:rPr>
              <w:t xml:space="preserve"> substitutions tested</w:t>
            </w:r>
          </w:p>
        </w:tc>
        <w:tc>
          <w:tcPr>
            <w:tcW w:w="818" w:type="pct"/>
            <w:tcBorders>
              <w:top w:val="single" w:sz="4" w:space="0" w:color="auto"/>
              <w:left w:val="single" w:sz="4" w:space="0" w:color="auto"/>
              <w:bottom w:val="single" w:sz="4" w:space="0" w:color="auto"/>
              <w:right w:val="single" w:sz="4" w:space="0" w:color="auto"/>
            </w:tcBorders>
            <w:vAlign w:val="center"/>
            <w:hideMark/>
          </w:tcPr>
          <w:p w14:paraId="6B9ACEC5" w14:textId="77777777" w:rsidR="005D39E6" w:rsidRPr="00203FC0" w:rsidRDefault="005D39E6" w:rsidP="006B2FD1">
            <w:pPr>
              <w:spacing w:before="40" w:after="40"/>
              <w:jc w:val="center"/>
              <w:rPr>
                <w:rFonts w:eastAsia="Calibri"/>
                <w:b/>
                <w:sz w:val="22"/>
                <w:szCs w:val="22"/>
              </w:rPr>
            </w:pPr>
            <w:r w:rsidRPr="00203FC0">
              <w:rPr>
                <w:rFonts w:eastAsia="Calibri"/>
                <w:b/>
                <w:sz w:val="22"/>
                <w:szCs w:val="22"/>
              </w:rPr>
              <w:t xml:space="preserve">Fold reduction in </w:t>
            </w:r>
            <w:proofErr w:type="spellStart"/>
            <w:r w:rsidRPr="00203FC0">
              <w:rPr>
                <w:rFonts w:eastAsia="Calibri"/>
                <w:b/>
                <w:sz w:val="22"/>
                <w:szCs w:val="22"/>
              </w:rPr>
              <w:t>susceptibility</w:t>
            </w:r>
            <w:r w:rsidRPr="00203FC0">
              <w:rPr>
                <w:rFonts w:eastAsia="Calibri"/>
                <w:b/>
                <w:sz w:val="22"/>
                <w:szCs w:val="22"/>
                <w:vertAlign w:val="superscript"/>
              </w:rPr>
              <w:t>a</w:t>
            </w:r>
            <w:proofErr w:type="spellEnd"/>
          </w:p>
        </w:tc>
        <w:tc>
          <w:tcPr>
            <w:tcW w:w="612" w:type="pct"/>
            <w:tcBorders>
              <w:top w:val="single" w:sz="4" w:space="0" w:color="auto"/>
              <w:left w:val="single" w:sz="4" w:space="0" w:color="auto"/>
              <w:bottom w:val="single" w:sz="4" w:space="0" w:color="auto"/>
              <w:right w:val="single" w:sz="4" w:space="0" w:color="auto"/>
            </w:tcBorders>
          </w:tcPr>
          <w:p w14:paraId="2CFB4810" w14:textId="77777777" w:rsidR="005D39E6" w:rsidRPr="00203FC0" w:rsidRDefault="005D39E6" w:rsidP="006B2FD1">
            <w:pPr>
              <w:spacing w:before="40" w:after="40"/>
              <w:jc w:val="center"/>
              <w:rPr>
                <w:rFonts w:eastAsia="Calibri"/>
                <w:b/>
                <w:sz w:val="22"/>
                <w:szCs w:val="22"/>
                <w:vertAlign w:val="subscript"/>
              </w:rPr>
            </w:pPr>
            <w:proofErr w:type="spellStart"/>
            <w:r w:rsidRPr="00203FC0">
              <w:rPr>
                <w:rFonts w:eastAsia="Calibri"/>
                <w:b/>
                <w:sz w:val="22"/>
                <w:szCs w:val="22"/>
              </w:rPr>
              <w:t>IC</w:t>
            </w:r>
            <w:r w:rsidRPr="00203FC0">
              <w:rPr>
                <w:rFonts w:eastAsia="Calibri"/>
                <w:b/>
                <w:sz w:val="22"/>
                <w:szCs w:val="22"/>
                <w:vertAlign w:val="subscript"/>
              </w:rPr>
              <w:t>50</w:t>
            </w:r>
            <w:proofErr w:type="spellEnd"/>
          </w:p>
          <w:p w14:paraId="3F086840" w14:textId="77777777" w:rsidR="005D39E6" w:rsidRPr="00203FC0" w:rsidRDefault="005D39E6" w:rsidP="006B2FD1">
            <w:pPr>
              <w:spacing w:before="40" w:after="40"/>
              <w:jc w:val="center"/>
              <w:rPr>
                <w:rFonts w:eastAsia="Calibri"/>
                <w:b/>
                <w:sz w:val="22"/>
                <w:szCs w:val="22"/>
                <w:vertAlign w:val="subscript"/>
              </w:rPr>
            </w:pPr>
            <w:r w:rsidRPr="00203FC0">
              <w:rPr>
                <w:rFonts w:eastAsia="Calibri"/>
                <w:b/>
                <w:sz w:val="22"/>
                <w:szCs w:val="22"/>
              </w:rPr>
              <w:t>(ng/mL)</w:t>
            </w:r>
          </w:p>
        </w:tc>
      </w:tr>
      <w:tr w:rsidR="005D39E6" w:rsidRPr="00203FC0" w14:paraId="6E48B8A8" w14:textId="77777777" w:rsidTr="00BF4D74">
        <w:trPr>
          <w:cantSplit/>
          <w:trHeight w:val="53"/>
        </w:trPr>
        <w:tc>
          <w:tcPr>
            <w:tcW w:w="900" w:type="pct"/>
            <w:tcBorders>
              <w:left w:val="single" w:sz="4" w:space="0" w:color="auto"/>
              <w:bottom w:val="single" w:sz="4" w:space="0" w:color="auto"/>
              <w:right w:val="single" w:sz="4" w:space="0" w:color="auto"/>
            </w:tcBorders>
          </w:tcPr>
          <w:p w14:paraId="12C08920" w14:textId="77777777" w:rsidR="005D39E6" w:rsidRPr="00203FC0" w:rsidRDefault="005D39E6" w:rsidP="006B2FD1">
            <w:pPr>
              <w:spacing w:before="40" w:after="40"/>
              <w:jc w:val="center"/>
              <w:rPr>
                <w:rFonts w:eastAsia="Calibri"/>
                <w:b/>
                <w:sz w:val="22"/>
                <w:szCs w:val="22"/>
              </w:rPr>
            </w:pPr>
            <w:r w:rsidRPr="00203FC0">
              <w:rPr>
                <w:rFonts w:eastAsia="Calibri"/>
                <w:b/>
                <w:sz w:val="22"/>
                <w:szCs w:val="22"/>
              </w:rPr>
              <w:t>Pango lineage (origin)</w:t>
            </w:r>
          </w:p>
        </w:tc>
        <w:tc>
          <w:tcPr>
            <w:tcW w:w="650" w:type="pct"/>
            <w:tcBorders>
              <w:left w:val="single" w:sz="4" w:space="0" w:color="auto"/>
              <w:bottom w:val="single" w:sz="4" w:space="0" w:color="auto"/>
              <w:right w:val="single" w:sz="4" w:space="0" w:color="auto"/>
            </w:tcBorders>
          </w:tcPr>
          <w:p w14:paraId="7F593B7B" w14:textId="77777777" w:rsidR="005D39E6" w:rsidRPr="00203FC0" w:rsidRDefault="005D39E6" w:rsidP="006B2FD1">
            <w:pPr>
              <w:spacing w:before="40" w:after="40"/>
              <w:jc w:val="center"/>
              <w:rPr>
                <w:rFonts w:eastAsia="Calibri"/>
                <w:b/>
                <w:sz w:val="22"/>
                <w:szCs w:val="22"/>
              </w:rPr>
            </w:pPr>
            <w:r w:rsidRPr="00203FC0">
              <w:rPr>
                <w:rFonts w:eastAsia="Calibri"/>
                <w:b/>
                <w:sz w:val="22"/>
                <w:szCs w:val="22"/>
              </w:rPr>
              <w:t>WHO label</w:t>
            </w:r>
          </w:p>
        </w:tc>
        <w:tc>
          <w:tcPr>
            <w:tcW w:w="2021" w:type="pct"/>
            <w:vMerge/>
            <w:vAlign w:val="center"/>
            <w:hideMark/>
          </w:tcPr>
          <w:p w14:paraId="1D4BD9FE" w14:textId="77777777" w:rsidR="005D39E6" w:rsidRPr="00203FC0" w:rsidRDefault="005D39E6" w:rsidP="006B2FD1">
            <w:pPr>
              <w:spacing w:after="0" w:line="256" w:lineRule="auto"/>
              <w:rPr>
                <w:rFonts w:eastAsia="Calibri"/>
                <w:b/>
                <w:sz w:val="22"/>
                <w:szCs w:val="22"/>
              </w:rPr>
            </w:pPr>
          </w:p>
        </w:tc>
        <w:tc>
          <w:tcPr>
            <w:tcW w:w="1430" w:type="pct"/>
            <w:gridSpan w:val="2"/>
            <w:tcBorders>
              <w:top w:val="single" w:sz="4" w:space="0" w:color="auto"/>
              <w:left w:val="single" w:sz="4" w:space="0" w:color="auto"/>
              <w:bottom w:val="single" w:sz="4" w:space="0" w:color="auto"/>
              <w:right w:val="single" w:sz="4" w:space="0" w:color="auto"/>
            </w:tcBorders>
            <w:vAlign w:val="center"/>
            <w:hideMark/>
          </w:tcPr>
          <w:p w14:paraId="01F6A5F1" w14:textId="77777777" w:rsidR="005D39E6" w:rsidRPr="00203FC0" w:rsidRDefault="005D39E6" w:rsidP="006B2FD1">
            <w:pPr>
              <w:spacing w:before="40" w:after="40"/>
              <w:jc w:val="center"/>
              <w:rPr>
                <w:rFonts w:eastAsia="Calibri"/>
                <w:b/>
                <w:bCs/>
                <w:sz w:val="22"/>
                <w:szCs w:val="22"/>
              </w:rPr>
            </w:pPr>
            <w:proofErr w:type="spellStart"/>
            <w:r w:rsidRPr="00203FC0">
              <w:rPr>
                <w:rFonts w:eastAsia="Calibri"/>
                <w:b/>
                <w:bCs/>
                <w:sz w:val="22"/>
                <w:szCs w:val="22"/>
              </w:rPr>
              <w:t>Pseudovirus</w:t>
            </w:r>
            <w:r w:rsidRPr="00203FC0">
              <w:rPr>
                <w:rFonts w:eastAsia="Calibri"/>
                <w:b/>
                <w:bCs/>
                <w:sz w:val="22"/>
                <w:szCs w:val="22"/>
                <w:vertAlign w:val="superscript"/>
              </w:rPr>
              <w:t>b</w:t>
            </w:r>
            <w:proofErr w:type="spellEnd"/>
          </w:p>
        </w:tc>
      </w:tr>
      <w:tr w:rsidR="005D39E6" w:rsidRPr="00203FC0" w14:paraId="0B70B906" w14:textId="77777777" w:rsidTr="00BF4D74">
        <w:trPr>
          <w:cantSplit/>
        </w:trPr>
        <w:tc>
          <w:tcPr>
            <w:tcW w:w="900" w:type="pct"/>
            <w:tcBorders>
              <w:top w:val="single" w:sz="4" w:space="0" w:color="auto"/>
              <w:left w:val="single" w:sz="4" w:space="0" w:color="auto"/>
              <w:bottom w:val="single" w:sz="4" w:space="0" w:color="auto"/>
              <w:right w:val="single" w:sz="4" w:space="0" w:color="auto"/>
            </w:tcBorders>
            <w:vAlign w:val="center"/>
          </w:tcPr>
          <w:p w14:paraId="76E10861" w14:textId="77777777" w:rsidR="005D39E6" w:rsidRPr="00203FC0" w:rsidRDefault="005D39E6" w:rsidP="006B2FD1">
            <w:pPr>
              <w:spacing w:before="40" w:after="40"/>
              <w:jc w:val="center"/>
              <w:rPr>
                <w:color w:val="000000"/>
                <w:sz w:val="22"/>
                <w:szCs w:val="22"/>
              </w:rPr>
            </w:pPr>
            <w:proofErr w:type="spellStart"/>
            <w:r w:rsidRPr="00203FC0">
              <w:rPr>
                <w:color w:val="000000"/>
                <w:sz w:val="22"/>
                <w:szCs w:val="22"/>
              </w:rPr>
              <w:t>BA.2</w:t>
            </w:r>
            <w:proofErr w:type="spellEnd"/>
          </w:p>
          <w:p w14:paraId="320B720B" w14:textId="77777777" w:rsidR="005D39E6" w:rsidRPr="00203FC0" w:rsidRDefault="005D39E6" w:rsidP="006B2FD1">
            <w:pPr>
              <w:spacing w:before="40" w:after="40"/>
              <w:jc w:val="center"/>
              <w:rPr>
                <w:color w:val="000000"/>
                <w:sz w:val="22"/>
                <w:szCs w:val="22"/>
              </w:rPr>
            </w:pPr>
            <w:r w:rsidRPr="00203FC0">
              <w:rPr>
                <w:color w:val="000000" w:themeColor="text1"/>
                <w:sz w:val="22"/>
                <w:szCs w:val="22"/>
              </w:rPr>
              <w:t>(Multiple countries)</w:t>
            </w:r>
          </w:p>
        </w:tc>
        <w:tc>
          <w:tcPr>
            <w:tcW w:w="650" w:type="pct"/>
            <w:tcBorders>
              <w:top w:val="single" w:sz="4" w:space="0" w:color="auto"/>
              <w:left w:val="single" w:sz="4" w:space="0" w:color="auto"/>
              <w:bottom w:val="single" w:sz="4" w:space="0" w:color="auto"/>
              <w:right w:val="single" w:sz="4" w:space="0" w:color="auto"/>
            </w:tcBorders>
            <w:vAlign w:val="center"/>
          </w:tcPr>
          <w:p w14:paraId="7C22CCC2" w14:textId="77777777" w:rsidR="005D39E6" w:rsidRPr="00203FC0" w:rsidRDefault="005D39E6" w:rsidP="006B2FD1">
            <w:pPr>
              <w:spacing w:before="40" w:after="40"/>
              <w:jc w:val="center"/>
              <w:rPr>
                <w:color w:val="000000"/>
                <w:sz w:val="22"/>
                <w:szCs w:val="22"/>
              </w:rPr>
            </w:pPr>
            <w:r w:rsidRPr="00203FC0">
              <w:rPr>
                <w:color w:val="000000"/>
                <w:sz w:val="22"/>
                <w:szCs w:val="22"/>
              </w:rPr>
              <w:t xml:space="preserve">Omicron </w:t>
            </w:r>
            <w:proofErr w:type="spellStart"/>
            <w:r w:rsidRPr="00203FC0">
              <w:rPr>
                <w:color w:val="000000"/>
                <w:sz w:val="22"/>
                <w:szCs w:val="22"/>
              </w:rPr>
              <w:t>BA.2</w:t>
            </w:r>
            <w:proofErr w:type="spellEnd"/>
          </w:p>
        </w:tc>
        <w:tc>
          <w:tcPr>
            <w:tcW w:w="2021" w:type="pct"/>
            <w:tcBorders>
              <w:top w:val="single" w:sz="4" w:space="0" w:color="auto"/>
              <w:left w:val="single" w:sz="4" w:space="0" w:color="auto"/>
              <w:bottom w:val="single" w:sz="4" w:space="0" w:color="auto"/>
              <w:right w:val="single" w:sz="4" w:space="0" w:color="auto"/>
            </w:tcBorders>
            <w:vAlign w:val="center"/>
          </w:tcPr>
          <w:p w14:paraId="5E163A97" w14:textId="77777777" w:rsidR="005D39E6" w:rsidRPr="00203FC0" w:rsidRDefault="005D39E6" w:rsidP="006B2FD1">
            <w:pPr>
              <w:spacing w:before="40" w:after="40"/>
              <w:rPr>
                <w:color w:val="000000"/>
                <w:sz w:val="22"/>
                <w:szCs w:val="22"/>
              </w:rPr>
            </w:pPr>
            <w:proofErr w:type="spellStart"/>
            <w:r w:rsidRPr="00203FC0">
              <w:rPr>
                <w:color w:val="000000"/>
                <w:sz w:val="22"/>
                <w:szCs w:val="22"/>
              </w:rPr>
              <w:t>T19</w:t>
            </w:r>
            <w:proofErr w:type="gramStart"/>
            <w:r w:rsidRPr="00203FC0">
              <w:rPr>
                <w:color w:val="000000"/>
                <w:sz w:val="22"/>
                <w:szCs w:val="22"/>
              </w:rPr>
              <w:t>I:del</w:t>
            </w:r>
            <w:proofErr w:type="gramEnd"/>
            <w:r w:rsidRPr="00203FC0">
              <w:rPr>
                <w:color w:val="000000"/>
                <w:sz w:val="22"/>
                <w:szCs w:val="22"/>
              </w:rPr>
              <w:t>24-</w:t>
            </w:r>
            <w:proofErr w:type="gramStart"/>
            <w:r w:rsidRPr="00203FC0">
              <w:rPr>
                <w:color w:val="000000"/>
                <w:sz w:val="22"/>
                <w:szCs w:val="22"/>
              </w:rPr>
              <w:t>26:A27S:G142D</w:t>
            </w:r>
            <w:proofErr w:type="gramEnd"/>
            <w:r w:rsidRPr="00203FC0">
              <w:rPr>
                <w:color w:val="000000"/>
                <w:sz w:val="22"/>
                <w:szCs w:val="22"/>
              </w:rPr>
              <w:t>:V213G</w:t>
            </w:r>
            <w:proofErr w:type="spellEnd"/>
            <w:r w:rsidRPr="00203FC0">
              <w:rPr>
                <w:color w:val="000000"/>
                <w:sz w:val="22"/>
                <w:szCs w:val="22"/>
              </w:rPr>
              <w:t xml:space="preserve">: </w:t>
            </w:r>
            <w:proofErr w:type="spellStart"/>
            <w:proofErr w:type="gramStart"/>
            <w:r w:rsidRPr="00203FC0">
              <w:rPr>
                <w:color w:val="000000"/>
                <w:sz w:val="22"/>
                <w:szCs w:val="22"/>
              </w:rPr>
              <w:t>G339D:S371F:S373P:S375F</w:t>
            </w:r>
            <w:proofErr w:type="gramEnd"/>
            <w:r w:rsidRPr="00203FC0">
              <w:rPr>
                <w:color w:val="000000"/>
                <w:sz w:val="22"/>
                <w:szCs w:val="22"/>
              </w:rPr>
              <w:t>:T376A</w:t>
            </w:r>
            <w:proofErr w:type="spellEnd"/>
            <w:r w:rsidRPr="00203FC0">
              <w:rPr>
                <w:color w:val="000000"/>
                <w:sz w:val="22"/>
                <w:szCs w:val="22"/>
              </w:rPr>
              <w:t xml:space="preserve">: </w:t>
            </w:r>
            <w:proofErr w:type="gramStart"/>
            <w:r w:rsidRPr="00203FC0">
              <w:rPr>
                <w:color w:val="000000"/>
                <w:sz w:val="22"/>
                <w:szCs w:val="22"/>
              </w:rPr>
              <w:t>D405N:R408S:K417N:N440K</w:t>
            </w:r>
            <w:proofErr w:type="gramEnd"/>
            <w:r w:rsidRPr="00203FC0">
              <w:rPr>
                <w:color w:val="000000"/>
                <w:sz w:val="22"/>
                <w:szCs w:val="22"/>
              </w:rPr>
              <w:t>:</w:t>
            </w:r>
            <w:proofErr w:type="gramStart"/>
            <w:r w:rsidRPr="00203FC0">
              <w:rPr>
                <w:color w:val="000000"/>
                <w:sz w:val="22"/>
                <w:szCs w:val="22"/>
              </w:rPr>
              <w:t>S477N:T478K:E484A:Q493R</w:t>
            </w:r>
            <w:proofErr w:type="gramEnd"/>
            <w:r w:rsidRPr="00203FC0">
              <w:rPr>
                <w:color w:val="000000"/>
                <w:sz w:val="22"/>
                <w:szCs w:val="22"/>
              </w:rPr>
              <w:t>:</w:t>
            </w:r>
            <w:proofErr w:type="gramStart"/>
            <w:r w:rsidRPr="00203FC0">
              <w:rPr>
                <w:color w:val="000000"/>
                <w:sz w:val="22"/>
                <w:szCs w:val="22"/>
              </w:rPr>
              <w:t>Q498R:N501Y:Y505H:D614G</w:t>
            </w:r>
            <w:proofErr w:type="gramEnd"/>
            <w:r w:rsidRPr="00203FC0">
              <w:rPr>
                <w:color w:val="000000"/>
                <w:sz w:val="22"/>
                <w:szCs w:val="22"/>
              </w:rPr>
              <w:t>:</w:t>
            </w:r>
            <w:proofErr w:type="gramStart"/>
            <w:r w:rsidRPr="00203FC0">
              <w:rPr>
                <w:color w:val="000000"/>
                <w:sz w:val="22"/>
                <w:szCs w:val="22"/>
              </w:rPr>
              <w:t>H655Y:N679K:P681H:N764K</w:t>
            </w:r>
            <w:proofErr w:type="gramEnd"/>
            <w:r w:rsidRPr="00203FC0">
              <w:rPr>
                <w:color w:val="000000"/>
                <w:sz w:val="22"/>
                <w:szCs w:val="22"/>
              </w:rPr>
              <w:t>:</w:t>
            </w:r>
            <w:proofErr w:type="gramStart"/>
            <w:r w:rsidRPr="00203FC0">
              <w:rPr>
                <w:color w:val="000000"/>
                <w:sz w:val="22"/>
                <w:szCs w:val="22"/>
              </w:rPr>
              <w:t>D796Y:Q954H:N</w:t>
            </w:r>
            <w:proofErr w:type="gramEnd"/>
            <w:r w:rsidRPr="00203FC0">
              <w:rPr>
                <w:color w:val="000000"/>
                <w:sz w:val="22"/>
                <w:szCs w:val="22"/>
              </w:rPr>
              <w:t>969K</w:t>
            </w:r>
          </w:p>
        </w:tc>
        <w:tc>
          <w:tcPr>
            <w:tcW w:w="818" w:type="pct"/>
            <w:tcBorders>
              <w:top w:val="single" w:sz="4" w:space="0" w:color="auto"/>
              <w:left w:val="single" w:sz="4" w:space="0" w:color="auto"/>
              <w:bottom w:val="single" w:sz="4" w:space="0" w:color="auto"/>
              <w:right w:val="single" w:sz="4" w:space="0" w:color="auto"/>
            </w:tcBorders>
            <w:vAlign w:val="center"/>
          </w:tcPr>
          <w:p w14:paraId="15D2A679" w14:textId="77777777" w:rsidR="005D39E6" w:rsidRPr="00203FC0" w:rsidRDefault="005D39E6" w:rsidP="006B2FD1">
            <w:pPr>
              <w:spacing w:before="40" w:after="40"/>
              <w:jc w:val="center"/>
              <w:rPr>
                <w:sz w:val="22"/>
                <w:szCs w:val="22"/>
              </w:rPr>
            </w:pPr>
            <w:r w:rsidRPr="00203FC0">
              <w:rPr>
                <w:sz w:val="22"/>
                <w:szCs w:val="22"/>
              </w:rPr>
              <w:t>0.8</w:t>
            </w:r>
          </w:p>
        </w:tc>
        <w:tc>
          <w:tcPr>
            <w:tcW w:w="612" w:type="pct"/>
            <w:tcBorders>
              <w:top w:val="single" w:sz="4" w:space="0" w:color="auto"/>
              <w:left w:val="single" w:sz="4" w:space="0" w:color="auto"/>
              <w:bottom w:val="single" w:sz="4" w:space="0" w:color="auto"/>
              <w:right w:val="single" w:sz="4" w:space="0" w:color="auto"/>
            </w:tcBorders>
            <w:vAlign w:val="center"/>
          </w:tcPr>
          <w:p w14:paraId="4D492DD9" w14:textId="77777777" w:rsidR="005D39E6" w:rsidRPr="00203FC0" w:rsidRDefault="005D39E6" w:rsidP="006B2FD1">
            <w:pPr>
              <w:spacing w:before="40" w:after="40"/>
              <w:jc w:val="center"/>
              <w:rPr>
                <w:sz w:val="22"/>
                <w:szCs w:val="22"/>
              </w:rPr>
            </w:pPr>
            <w:r w:rsidRPr="00203FC0">
              <w:rPr>
                <w:sz w:val="22"/>
                <w:szCs w:val="22"/>
              </w:rPr>
              <w:t xml:space="preserve">10.7 </w:t>
            </w:r>
          </w:p>
        </w:tc>
      </w:tr>
      <w:tr w:rsidR="005D39E6" w:rsidRPr="00203FC0" w14:paraId="42985280" w14:textId="77777777" w:rsidTr="00BF4D74">
        <w:trPr>
          <w:cantSplit/>
        </w:trPr>
        <w:tc>
          <w:tcPr>
            <w:tcW w:w="900" w:type="pct"/>
            <w:tcBorders>
              <w:top w:val="single" w:sz="4" w:space="0" w:color="auto"/>
              <w:left w:val="single" w:sz="4" w:space="0" w:color="auto"/>
              <w:bottom w:val="single" w:sz="4" w:space="0" w:color="auto"/>
              <w:right w:val="single" w:sz="4" w:space="0" w:color="auto"/>
            </w:tcBorders>
            <w:vAlign w:val="center"/>
          </w:tcPr>
          <w:p w14:paraId="7E76D0D3" w14:textId="77777777" w:rsidR="005D39E6" w:rsidRPr="00203FC0" w:rsidRDefault="005D39E6" w:rsidP="006B2FD1">
            <w:pPr>
              <w:spacing w:before="40" w:after="40"/>
              <w:jc w:val="center"/>
              <w:rPr>
                <w:color w:val="000000"/>
                <w:sz w:val="22"/>
                <w:szCs w:val="22"/>
              </w:rPr>
            </w:pPr>
            <w:proofErr w:type="spellStart"/>
            <w:r w:rsidRPr="00203FC0">
              <w:rPr>
                <w:color w:val="000000"/>
                <w:sz w:val="22"/>
                <w:szCs w:val="22"/>
              </w:rPr>
              <w:t>BA.4</w:t>
            </w:r>
            <w:proofErr w:type="spellEnd"/>
            <w:r w:rsidRPr="00203FC0">
              <w:rPr>
                <w:color w:val="000000"/>
                <w:sz w:val="22"/>
                <w:szCs w:val="22"/>
              </w:rPr>
              <w:t>/5</w:t>
            </w:r>
          </w:p>
          <w:p w14:paraId="2F3630F4" w14:textId="77777777" w:rsidR="005D39E6" w:rsidRPr="00203FC0" w:rsidRDefault="005D39E6" w:rsidP="006B2FD1">
            <w:pPr>
              <w:spacing w:before="40" w:after="40"/>
              <w:jc w:val="center"/>
              <w:rPr>
                <w:color w:val="000000"/>
                <w:sz w:val="22"/>
                <w:szCs w:val="22"/>
              </w:rPr>
            </w:pPr>
            <w:r w:rsidRPr="00203FC0">
              <w:rPr>
                <w:color w:val="000000" w:themeColor="text1"/>
                <w:sz w:val="22"/>
                <w:szCs w:val="22"/>
              </w:rPr>
              <w:t>(Multiple countries)</w:t>
            </w:r>
          </w:p>
        </w:tc>
        <w:tc>
          <w:tcPr>
            <w:tcW w:w="650" w:type="pct"/>
            <w:tcBorders>
              <w:top w:val="single" w:sz="4" w:space="0" w:color="auto"/>
              <w:left w:val="single" w:sz="4" w:space="0" w:color="auto"/>
              <w:bottom w:val="single" w:sz="4" w:space="0" w:color="auto"/>
              <w:right w:val="single" w:sz="4" w:space="0" w:color="auto"/>
            </w:tcBorders>
            <w:vAlign w:val="center"/>
          </w:tcPr>
          <w:p w14:paraId="4D00D5AF" w14:textId="77777777" w:rsidR="005D39E6" w:rsidRPr="00203FC0" w:rsidRDefault="005D39E6" w:rsidP="006B2FD1">
            <w:pPr>
              <w:spacing w:before="40" w:after="40"/>
              <w:jc w:val="center"/>
              <w:rPr>
                <w:color w:val="000000"/>
                <w:sz w:val="22"/>
                <w:szCs w:val="22"/>
              </w:rPr>
            </w:pPr>
            <w:r w:rsidRPr="00203FC0">
              <w:rPr>
                <w:color w:val="000000" w:themeColor="text1"/>
                <w:sz w:val="22"/>
                <w:szCs w:val="22"/>
              </w:rPr>
              <w:t xml:space="preserve">Omicron </w:t>
            </w:r>
            <w:proofErr w:type="spellStart"/>
            <w:r w:rsidRPr="00203FC0">
              <w:rPr>
                <w:color w:val="000000" w:themeColor="text1"/>
                <w:sz w:val="22"/>
                <w:szCs w:val="22"/>
              </w:rPr>
              <w:t>BA.4</w:t>
            </w:r>
            <w:proofErr w:type="spellEnd"/>
            <w:r w:rsidRPr="00203FC0">
              <w:rPr>
                <w:color w:val="000000" w:themeColor="text1"/>
                <w:sz w:val="22"/>
                <w:szCs w:val="22"/>
              </w:rPr>
              <w:t>/5</w:t>
            </w:r>
          </w:p>
        </w:tc>
        <w:tc>
          <w:tcPr>
            <w:tcW w:w="2021" w:type="pct"/>
            <w:tcBorders>
              <w:top w:val="single" w:sz="4" w:space="0" w:color="auto"/>
              <w:left w:val="single" w:sz="4" w:space="0" w:color="auto"/>
              <w:bottom w:val="single" w:sz="4" w:space="0" w:color="auto"/>
              <w:right w:val="single" w:sz="4" w:space="0" w:color="auto"/>
            </w:tcBorders>
            <w:vAlign w:val="center"/>
          </w:tcPr>
          <w:p w14:paraId="34127AA2" w14:textId="77777777" w:rsidR="005D39E6" w:rsidRPr="00203FC0" w:rsidRDefault="005D39E6" w:rsidP="006B2FD1">
            <w:pPr>
              <w:spacing w:before="40" w:after="40"/>
              <w:rPr>
                <w:color w:val="000000"/>
                <w:sz w:val="22"/>
                <w:szCs w:val="22"/>
              </w:rPr>
            </w:pPr>
            <w:proofErr w:type="spellStart"/>
            <w:r w:rsidRPr="00203FC0">
              <w:rPr>
                <w:color w:val="000000"/>
                <w:sz w:val="22"/>
                <w:szCs w:val="22"/>
              </w:rPr>
              <w:t>T19</w:t>
            </w:r>
            <w:proofErr w:type="gramStart"/>
            <w:r w:rsidRPr="00203FC0">
              <w:rPr>
                <w:color w:val="000000"/>
                <w:sz w:val="22"/>
                <w:szCs w:val="22"/>
              </w:rPr>
              <w:t>I:del</w:t>
            </w:r>
            <w:proofErr w:type="gramEnd"/>
            <w:r w:rsidRPr="00203FC0">
              <w:rPr>
                <w:color w:val="000000"/>
                <w:sz w:val="22"/>
                <w:szCs w:val="22"/>
              </w:rPr>
              <w:t>24-</w:t>
            </w:r>
            <w:proofErr w:type="gramStart"/>
            <w:r w:rsidRPr="00203FC0">
              <w:rPr>
                <w:color w:val="000000"/>
                <w:sz w:val="22"/>
                <w:szCs w:val="22"/>
              </w:rPr>
              <w:t>26:A</w:t>
            </w:r>
            <w:proofErr w:type="gramEnd"/>
            <w:r w:rsidRPr="00203FC0">
              <w:rPr>
                <w:color w:val="000000"/>
                <w:sz w:val="22"/>
                <w:szCs w:val="22"/>
              </w:rPr>
              <w:t>27</w:t>
            </w:r>
            <w:proofErr w:type="gramStart"/>
            <w:r w:rsidRPr="00203FC0">
              <w:rPr>
                <w:color w:val="000000"/>
                <w:sz w:val="22"/>
                <w:szCs w:val="22"/>
              </w:rPr>
              <w:t>S:del</w:t>
            </w:r>
            <w:proofErr w:type="gramEnd"/>
            <w:r w:rsidRPr="00203FC0">
              <w:rPr>
                <w:color w:val="000000"/>
                <w:sz w:val="22"/>
                <w:szCs w:val="22"/>
              </w:rPr>
              <w:t>69-</w:t>
            </w:r>
            <w:proofErr w:type="gramStart"/>
            <w:r w:rsidRPr="00203FC0">
              <w:rPr>
                <w:color w:val="000000"/>
                <w:sz w:val="22"/>
                <w:szCs w:val="22"/>
              </w:rPr>
              <w:t>70:G</w:t>
            </w:r>
            <w:proofErr w:type="gramEnd"/>
            <w:r w:rsidRPr="00203FC0">
              <w:rPr>
                <w:color w:val="000000"/>
                <w:sz w:val="22"/>
                <w:szCs w:val="22"/>
              </w:rPr>
              <w:t>142D</w:t>
            </w:r>
            <w:proofErr w:type="spellEnd"/>
            <w:r w:rsidRPr="00203FC0">
              <w:rPr>
                <w:color w:val="000000"/>
                <w:sz w:val="22"/>
                <w:szCs w:val="22"/>
              </w:rPr>
              <w:t xml:space="preserve">: </w:t>
            </w:r>
            <w:proofErr w:type="spellStart"/>
            <w:proofErr w:type="gramStart"/>
            <w:r w:rsidRPr="00203FC0">
              <w:rPr>
                <w:color w:val="000000"/>
                <w:sz w:val="22"/>
                <w:szCs w:val="22"/>
              </w:rPr>
              <w:t>V213G:G339D:S371F:S373P</w:t>
            </w:r>
            <w:proofErr w:type="gramEnd"/>
            <w:r w:rsidRPr="00203FC0">
              <w:rPr>
                <w:color w:val="000000"/>
                <w:sz w:val="22"/>
                <w:szCs w:val="22"/>
              </w:rPr>
              <w:t>:S375F</w:t>
            </w:r>
            <w:proofErr w:type="spellEnd"/>
            <w:r w:rsidRPr="00203FC0">
              <w:rPr>
                <w:color w:val="000000"/>
                <w:sz w:val="22"/>
                <w:szCs w:val="22"/>
              </w:rPr>
              <w:t xml:space="preserve">: </w:t>
            </w:r>
            <w:proofErr w:type="spellStart"/>
            <w:proofErr w:type="gramStart"/>
            <w:r w:rsidRPr="00203FC0">
              <w:rPr>
                <w:color w:val="000000"/>
                <w:sz w:val="22"/>
                <w:szCs w:val="22"/>
              </w:rPr>
              <w:t>T376A:D405N:R408S:K417N</w:t>
            </w:r>
            <w:proofErr w:type="gramEnd"/>
            <w:r w:rsidRPr="00203FC0">
              <w:rPr>
                <w:color w:val="000000"/>
                <w:sz w:val="22"/>
                <w:szCs w:val="22"/>
              </w:rPr>
              <w:t>:</w:t>
            </w:r>
            <w:proofErr w:type="gramStart"/>
            <w:r w:rsidRPr="00203FC0">
              <w:rPr>
                <w:color w:val="000000"/>
                <w:sz w:val="22"/>
                <w:szCs w:val="22"/>
              </w:rPr>
              <w:t>N440K:L452R:S477N:T478K</w:t>
            </w:r>
            <w:proofErr w:type="gramEnd"/>
            <w:r w:rsidRPr="00203FC0">
              <w:rPr>
                <w:color w:val="000000"/>
                <w:sz w:val="22"/>
                <w:szCs w:val="22"/>
              </w:rPr>
              <w:t>:E484A:F486V</w:t>
            </w:r>
            <w:proofErr w:type="spellEnd"/>
            <w:r w:rsidRPr="00203FC0">
              <w:rPr>
                <w:color w:val="000000"/>
                <w:sz w:val="22"/>
                <w:szCs w:val="22"/>
              </w:rPr>
              <w:t xml:space="preserve">: </w:t>
            </w:r>
            <w:proofErr w:type="gramStart"/>
            <w:r w:rsidRPr="00203FC0">
              <w:rPr>
                <w:color w:val="000000"/>
                <w:sz w:val="22"/>
                <w:szCs w:val="22"/>
              </w:rPr>
              <w:t>Q498R:N501Y:Y505H:D614G</w:t>
            </w:r>
            <w:proofErr w:type="gramEnd"/>
            <w:r w:rsidRPr="00203FC0">
              <w:rPr>
                <w:color w:val="000000"/>
                <w:sz w:val="22"/>
                <w:szCs w:val="22"/>
              </w:rPr>
              <w:t>:</w:t>
            </w:r>
            <w:proofErr w:type="gramStart"/>
            <w:r w:rsidRPr="00203FC0">
              <w:rPr>
                <w:color w:val="000000"/>
                <w:sz w:val="22"/>
                <w:szCs w:val="22"/>
              </w:rPr>
              <w:t>H655Y:N679K:P681H:N764K</w:t>
            </w:r>
            <w:proofErr w:type="gramEnd"/>
            <w:r w:rsidRPr="00203FC0">
              <w:rPr>
                <w:color w:val="000000"/>
                <w:sz w:val="22"/>
                <w:szCs w:val="22"/>
              </w:rPr>
              <w:t>:</w:t>
            </w:r>
            <w:proofErr w:type="gramStart"/>
            <w:r w:rsidRPr="00203FC0">
              <w:rPr>
                <w:color w:val="000000"/>
                <w:sz w:val="22"/>
                <w:szCs w:val="22"/>
              </w:rPr>
              <w:t>D796Y:Q954H:N</w:t>
            </w:r>
            <w:proofErr w:type="gramEnd"/>
            <w:r w:rsidRPr="00203FC0">
              <w:rPr>
                <w:color w:val="000000"/>
                <w:sz w:val="22"/>
                <w:szCs w:val="22"/>
              </w:rPr>
              <w:t>969K</w:t>
            </w:r>
          </w:p>
        </w:tc>
        <w:tc>
          <w:tcPr>
            <w:tcW w:w="818" w:type="pct"/>
            <w:tcBorders>
              <w:top w:val="single" w:sz="4" w:space="0" w:color="auto"/>
              <w:left w:val="single" w:sz="4" w:space="0" w:color="auto"/>
              <w:bottom w:val="single" w:sz="4" w:space="0" w:color="auto"/>
              <w:right w:val="single" w:sz="4" w:space="0" w:color="auto"/>
            </w:tcBorders>
            <w:vAlign w:val="center"/>
          </w:tcPr>
          <w:p w14:paraId="43F76D72" w14:textId="77777777" w:rsidR="005D39E6" w:rsidRPr="00203FC0" w:rsidRDefault="005D39E6" w:rsidP="006B2FD1">
            <w:pPr>
              <w:spacing w:before="40" w:after="40"/>
              <w:jc w:val="center"/>
              <w:rPr>
                <w:sz w:val="22"/>
                <w:szCs w:val="22"/>
              </w:rPr>
            </w:pPr>
            <w:r w:rsidRPr="00203FC0">
              <w:rPr>
                <w:sz w:val="22"/>
                <w:szCs w:val="22"/>
              </w:rPr>
              <w:t>0.4</w:t>
            </w:r>
          </w:p>
        </w:tc>
        <w:tc>
          <w:tcPr>
            <w:tcW w:w="612" w:type="pct"/>
            <w:tcBorders>
              <w:top w:val="single" w:sz="4" w:space="0" w:color="auto"/>
              <w:left w:val="single" w:sz="4" w:space="0" w:color="auto"/>
              <w:bottom w:val="single" w:sz="4" w:space="0" w:color="auto"/>
              <w:right w:val="single" w:sz="4" w:space="0" w:color="auto"/>
            </w:tcBorders>
            <w:vAlign w:val="center"/>
          </w:tcPr>
          <w:p w14:paraId="062E8B07" w14:textId="77777777" w:rsidR="005D39E6" w:rsidRPr="00203FC0" w:rsidRDefault="005D39E6" w:rsidP="006B2FD1">
            <w:pPr>
              <w:spacing w:before="40" w:after="40"/>
              <w:jc w:val="center"/>
              <w:rPr>
                <w:sz w:val="22"/>
                <w:szCs w:val="22"/>
              </w:rPr>
            </w:pPr>
            <w:r w:rsidRPr="00203FC0">
              <w:rPr>
                <w:sz w:val="22"/>
                <w:szCs w:val="22"/>
              </w:rPr>
              <w:t xml:space="preserve">4.7 </w:t>
            </w:r>
          </w:p>
        </w:tc>
      </w:tr>
      <w:tr w:rsidR="005D39E6" w:rsidRPr="00203FC0" w14:paraId="574B83E6" w14:textId="77777777" w:rsidTr="00BF4D74">
        <w:trPr>
          <w:cantSplit/>
        </w:trPr>
        <w:tc>
          <w:tcPr>
            <w:tcW w:w="900" w:type="pct"/>
            <w:tcBorders>
              <w:top w:val="single" w:sz="4" w:space="0" w:color="auto"/>
              <w:left w:val="single" w:sz="4" w:space="0" w:color="auto"/>
              <w:bottom w:val="single" w:sz="4" w:space="0" w:color="auto"/>
              <w:right w:val="single" w:sz="4" w:space="0" w:color="auto"/>
            </w:tcBorders>
            <w:vAlign w:val="center"/>
          </w:tcPr>
          <w:p w14:paraId="68A1D2DD" w14:textId="77777777" w:rsidR="005D39E6" w:rsidRPr="00203FC0" w:rsidRDefault="005D39E6" w:rsidP="006B2FD1">
            <w:pPr>
              <w:spacing w:before="40" w:after="40"/>
              <w:jc w:val="center"/>
              <w:rPr>
                <w:rFonts w:eastAsia="TimesNewRoman"/>
                <w:sz w:val="22"/>
                <w:szCs w:val="22"/>
                <w:lang w:eastAsia="ja-JP"/>
              </w:rPr>
            </w:pPr>
            <w:proofErr w:type="spellStart"/>
            <w:r w:rsidRPr="00203FC0">
              <w:rPr>
                <w:rFonts w:eastAsia="TimesNewRoman"/>
                <w:sz w:val="22"/>
                <w:szCs w:val="22"/>
                <w:lang w:eastAsia="ja-JP"/>
              </w:rPr>
              <w:lastRenderedPageBreak/>
              <w:t>BQ.1</w:t>
            </w:r>
            <w:proofErr w:type="spellEnd"/>
          </w:p>
          <w:p w14:paraId="23234460" w14:textId="77777777" w:rsidR="005D39E6" w:rsidRPr="00203FC0" w:rsidRDefault="005D39E6" w:rsidP="006B2FD1">
            <w:pPr>
              <w:spacing w:before="40" w:after="40"/>
              <w:jc w:val="center"/>
              <w:rPr>
                <w:rFonts w:eastAsia="TimesNewRoman"/>
                <w:sz w:val="22"/>
                <w:szCs w:val="22"/>
                <w:lang w:eastAsia="ja-JP"/>
              </w:rPr>
            </w:pPr>
            <w:r w:rsidRPr="00203FC0">
              <w:rPr>
                <w:rFonts w:eastAsia="TimesNewRoman"/>
                <w:sz w:val="22"/>
                <w:szCs w:val="22"/>
                <w:lang w:eastAsia="ja-JP"/>
              </w:rPr>
              <w:t>(Nigeria)</w:t>
            </w:r>
          </w:p>
        </w:tc>
        <w:tc>
          <w:tcPr>
            <w:tcW w:w="650" w:type="pct"/>
            <w:tcBorders>
              <w:top w:val="single" w:sz="4" w:space="0" w:color="auto"/>
              <w:left w:val="single" w:sz="4" w:space="0" w:color="auto"/>
              <w:bottom w:val="single" w:sz="4" w:space="0" w:color="auto"/>
              <w:right w:val="single" w:sz="4" w:space="0" w:color="auto"/>
            </w:tcBorders>
            <w:vAlign w:val="center"/>
          </w:tcPr>
          <w:p w14:paraId="1B02D36B" w14:textId="77777777" w:rsidR="005D39E6" w:rsidRPr="00203FC0" w:rsidRDefault="005D39E6" w:rsidP="006B2FD1">
            <w:pPr>
              <w:spacing w:before="40" w:after="40"/>
              <w:jc w:val="center"/>
              <w:rPr>
                <w:color w:val="000000"/>
                <w:sz w:val="22"/>
                <w:szCs w:val="22"/>
              </w:rPr>
            </w:pPr>
            <w:r w:rsidRPr="00203FC0">
              <w:rPr>
                <w:color w:val="000000" w:themeColor="text1"/>
                <w:sz w:val="22"/>
                <w:szCs w:val="22"/>
              </w:rPr>
              <w:t xml:space="preserve">Omicron </w:t>
            </w:r>
            <w:proofErr w:type="spellStart"/>
            <w:r w:rsidRPr="00203FC0">
              <w:rPr>
                <w:color w:val="000000" w:themeColor="text1"/>
                <w:sz w:val="22"/>
                <w:szCs w:val="22"/>
              </w:rPr>
              <w:t>BQ.1</w:t>
            </w:r>
            <w:proofErr w:type="spellEnd"/>
          </w:p>
        </w:tc>
        <w:tc>
          <w:tcPr>
            <w:tcW w:w="2021" w:type="pct"/>
            <w:tcBorders>
              <w:top w:val="single" w:sz="4" w:space="0" w:color="auto"/>
              <w:left w:val="single" w:sz="4" w:space="0" w:color="auto"/>
              <w:bottom w:val="single" w:sz="4" w:space="0" w:color="auto"/>
              <w:right w:val="single" w:sz="4" w:space="0" w:color="auto"/>
            </w:tcBorders>
            <w:vAlign w:val="center"/>
          </w:tcPr>
          <w:p w14:paraId="567580B8" w14:textId="77777777" w:rsidR="005D39E6" w:rsidRPr="00203FC0" w:rsidRDefault="005D39E6" w:rsidP="006B2FD1">
            <w:pPr>
              <w:spacing w:before="40" w:after="40"/>
              <w:rPr>
                <w:color w:val="000000"/>
                <w:sz w:val="22"/>
                <w:szCs w:val="22"/>
              </w:rPr>
            </w:pPr>
            <w:proofErr w:type="spellStart"/>
            <w:r w:rsidRPr="00203FC0">
              <w:rPr>
                <w:color w:val="000000"/>
                <w:sz w:val="22"/>
                <w:szCs w:val="22"/>
              </w:rPr>
              <w:t>T19</w:t>
            </w:r>
            <w:proofErr w:type="gramStart"/>
            <w:r w:rsidRPr="00203FC0">
              <w:rPr>
                <w:color w:val="000000"/>
                <w:sz w:val="22"/>
                <w:szCs w:val="22"/>
              </w:rPr>
              <w:t>I:del</w:t>
            </w:r>
            <w:proofErr w:type="gramEnd"/>
            <w:r w:rsidRPr="00203FC0">
              <w:rPr>
                <w:color w:val="000000"/>
                <w:sz w:val="22"/>
                <w:szCs w:val="22"/>
              </w:rPr>
              <w:t>24-</w:t>
            </w:r>
            <w:proofErr w:type="gramStart"/>
            <w:r w:rsidRPr="00203FC0">
              <w:rPr>
                <w:color w:val="000000"/>
                <w:sz w:val="22"/>
                <w:szCs w:val="22"/>
              </w:rPr>
              <w:t>26:A</w:t>
            </w:r>
            <w:proofErr w:type="gramEnd"/>
            <w:r w:rsidRPr="00203FC0">
              <w:rPr>
                <w:color w:val="000000"/>
                <w:sz w:val="22"/>
                <w:szCs w:val="22"/>
              </w:rPr>
              <w:t>27</w:t>
            </w:r>
            <w:proofErr w:type="gramStart"/>
            <w:r w:rsidRPr="00203FC0">
              <w:rPr>
                <w:color w:val="000000"/>
                <w:sz w:val="22"/>
                <w:szCs w:val="22"/>
              </w:rPr>
              <w:t>S:del</w:t>
            </w:r>
            <w:proofErr w:type="gramEnd"/>
            <w:r w:rsidRPr="00203FC0">
              <w:rPr>
                <w:color w:val="000000"/>
                <w:sz w:val="22"/>
                <w:szCs w:val="22"/>
              </w:rPr>
              <w:t>69-</w:t>
            </w:r>
            <w:proofErr w:type="gramStart"/>
            <w:r w:rsidRPr="00203FC0">
              <w:rPr>
                <w:color w:val="000000"/>
                <w:sz w:val="22"/>
                <w:szCs w:val="22"/>
              </w:rPr>
              <w:t>70:G</w:t>
            </w:r>
            <w:proofErr w:type="gramEnd"/>
            <w:r w:rsidRPr="00203FC0">
              <w:rPr>
                <w:color w:val="000000"/>
                <w:sz w:val="22"/>
                <w:szCs w:val="22"/>
              </w:rPr>
              <w:t>142D</w:t>
            </w:r>
            <w:proofErr w:type="spellEnd"/>
            <w:r w:rsidRPr="00203FC0">
              <w:rPr>
                <w:color w:val="000000"/>
                <w:sz w:val="22"/>
                <w:szCs w:val="22"/>
              </w:rPr>
              <w:t xml:space="preserve">: </w:t>
            </w:r>
            <w:proofErr w:type="spellStart"/>
            <w:proofErr w:type="gramStart"/>
            <w:r w:rsidRPr="00203FC0">
              <w:rPr>
                <w:color w:val="000000"/>
                <w:sz w:val="22"/>
                <w:szCs w:val="22"/>
              </w:rPr>
              <w:t>V213G:G339D:S371F:S373P</w:t>
            </w:r>
            <w:proofErr w:type="gramEnd"/>
            <w:r w:rsidRPr="00203FC0">
              <w:rPr>
                <w:color w:val="000000"/>
                <w:sz w:val="22"/>
                <w:szCs w:val="22"/>
              </w:rPr>
              <w:t>:S375F</w:t>
            </w:r>
            <w:proofErr w:type="spellEnd"/>
            <w:r w:rsidRPr="00203FC0">
              <w:rPr>
                <w:color w:val="000000"/>
                <w:sz w:val="22"/>
                <w:szCs w:val="22"/>
              </w:rPr>
              <w:t xml:space="preserve">: </w:t>
            </w:r>
            <w:proofErr w:type="spellStart"/>
            <w:proofErr w:type="gramStart"/>
            <w:r w:rsidRPr="00203FC0">
              <w:rPr>
                <w:color w:val="000000"/>
                <w:sz w:val="22"/>
                <w:szCs w:val="22"/>
              </w:rPr>
              <w:t>T376A:D405N:R408S:K417N</w:t>
            </w:r>
            <w:proofErr w:type="gramEnd"/>
            <w:r w:rsidRPr="00203FC0">
              <w:rPr>
                <w:color w:val="000000"/>
                <w:sz w:val="22"/>
                <w:szCs w:val="22"/>
              </w:rPr>
              <w:t>:</w:t>
            </w:r>
            <w:proofErr w:type="gramStart"/>
            <w:r w:rsidRPr="00203FC0">
              <w:rPr>
                <w:color w:val="000000"/>
                <w:sz w:val="22"/>
                <w:szCs w:val="22"/>
              </w:rPr>
              <w:t>N440K:K444T:L452R:N460K</w:t>
            </w:r>
            <w:proofErr w:type="gramEnd"/>
            <w:r w:rsidRPr="00203FC0">
              <w:rPr>
                <w:color w:val="000000"/>
                <w:sz w:val="22"/>
                <w:szCs w:val="22"/>
              </w:rPr>
              <w:t>:S477N:T478K</w:t>
            </w:r>
            <w:proofErr w:type="spellEnd"/>
            <w:r w:rsidRPr="00203FC0">
              <w:rPr>
                <w:color w:val="000000"/>
                <w:sz w:val="22"/>
                <w:szCs w:val="22"/>
              </w:rPr>
              <w:t xml:space="preserve">: </w:t>
            </w:r>
            <w:proofErr w:type="gramStart"/>
            <w:r w:rsidRPr="00203FC0">
              <w:rPr>
                <w:color w:val="000000"/>
                <w:sz w:val="22"/>
                <w:szCs w:val="22"/>
              </w:rPr>
              <w:t>E484A:F486V:Q498R:N501Y</w:t>
            </w:r>
            <w:proofErr w:type="gramEnd"/>
            <w:r w:rsidRPr="00203FC0">
              <w:rPr>
                <w:color w:val="000000"/>
                <w:sz w:val="22"/>
                <w:szCs w:val="22"/>
              </w:rPr>
              <w:t>:</w:t>
            </w:r>
            <w:proofErr w:type="gramStart"/>
            <w:r w:rsidRPr="00203FC0">
              <w:rPr>
                <w:color w:val="000000"/>
                <w:sz w:val="22"/>
                <w:szCs w:val="22"/>
              </w:rPr>
              <w:t>Y505H:D614G:H655Y:N679K</w:t>
            </w:r>
            <w:proofErr w:type="gramEnd"/>
            <w:r w:rsidRPr="00203FC0">
              <w:rPr>
                <w:color w:val="000000"/>
                <w:sz w:val="22"/>
                <w:szCs w:val="22"/>
              </w:rPr>
              <w:t>:</w:t>
            </w:r>
            <w:proofErr w:type="gramStart"/>
            <w:r w:rsidRPr="00203FC0">
              <w:rPr>
                <w:color w:val="000000"/>
                <w:sz w:val="22"/>
                <w:szCs w:val="22"/>
              </w:rPr>
              <w:t>P681H:N764K:D796Y:Q954H</w:t>
            </w:r>
            <w:proofErr w:type="gramEnd"/>
            <w:r w:rsidRPr="00203FC0">
              <w:rPr>
                <w:color w:val="000000"/>
                <w:sz w:val="22"/>
                <w:szCs w:val="22"/>
              </w:rPr>
              <w:t>:N969K</w:t>
            </w:r>
          </w:p>
        </w:tc>
        <w:tc>
          <w:tcPr>
            <w:tcW w:w="818" w:type="pct"/>
            <w:tcBorders>
              <w:top w:val="single" w:sz="4" w:space="0" w:color="auto"/>
              <w:left w:val="single" w:sz="4" w:space="0" w:color="auto"/>
              <w:bottom w:val="single" w:sz="4" w:space="0" w:color="auto"/>
              <w:right w:val="single" w:sz="4" w:space="0" w:color="auto"/>
            </w:tcBorders>
            <w:vAlign w:val="center"/>
          </w:tcPr>
          <w:p w14:paraId="74D7EC4E" w14:textId="77777777" w:rsidR="005D39E6" w:rsidRPr="00203FC0" w:rsidRDefault="005D39E6" w:rsidP="006B2FD1">
            <w:pPr>
              <w:spacing w:before="40" w:after="40"/>
              <w:jc w:val="center"/>
              <w:rPr>
                <w:sz w:val="22"/>
                <w:szCs w:val="22"/>
              </w:rPr>
            </w:pPr>
            <w:r w:rsidRPr="00203FC0">
              <w:rPr>
                <w:sz w:val="22"/>
                <w:szCs w:val="22"/>
              </w:rPr>
              <w:t>0.9</w:t>
            </w:r>
          </w:p>
        </w:tc>
        <w:tc>
          <w:tcPr>
            <w:tcW w:w="612" w:type="pct"/>
            <w:tcBorders>
              <w:top w:val="single" w:sz="4" w:space="0" w:color="auto"/>
              <w:left w:val="single" w:sz="4" w:space="0" w:color="auto"/>
              <w:bottom w:val="single" w:sz="4" w:space="0" w:color="auto"/>
              <w:right w:val="single" w:sz="4" w:space="0" w:color="auto"/>
            </w:tcBorders>
            <w:vAlign w:val="center"/>
          </w:tcPr>
          <w:p w14:paraId="1A9167E5" w14:textId="77777777" w:rsidR="005D39E6" w:rsidRPr="00203FC0" w:rsidRDefault="005D39E6" w:rsidP="006B2FD1">
            <w:pPr>
              <w:spacing w:before="40" w:after="40"/>
              <w:jc w:val="center"/>
              <w:rPr>
                <w:sz w:val="22"/>
                <w:szCs w:val="22"/>
              </w:rPr>
            </w:pPr>
            <w:r w:rsidRPr="00203FC0">
              <w:rPr>
                <w:sz w:val="22"/>
                <w:szCs w:val="22"/>
              </w:rPr>
              <w:t xml:space="preserve">11.6 </w:t>
            </w:r>
          </w:p>
        </w:tc>
      </w:tr>
      <w:tr w:rsidR="005D39E6" w:rsidRPr="00203FC0" w14:paraId="3110F4F8" w14:textId="77777777" w:rsidTr="00BF4D74">
        <w:trPr>
          <w:cantSplit/>
        </w:trPr>
        <w:tc>
          <w:tcPr>
            <w:tcW w:w="900" w:type="pct"/>
            <w:tcBorders>
              <w:top w:val="single" w:sz="4" w:space="0" w:color="auto"/>
              <w:left w:val="single" w:sz="4" w:space="0" w:color="auto"/>
              <w:bottom w:val="single" w:sz="4" w:space="0" w:color="auto"/>
              <w:right w:val="single" w:sz="4" w:space="0" w:color="auto"/>
            </w:tcBorders>
            <w:vAlign w:val="center"/>
          </w:tcPr>
          <w:p w14:paraId="070FE1E1" w14:textId="77777777" w:rsidR="005D39E6" w:rsidRPr="00203FC0" w:rsidRDefault="005D39E6" w:rsidP="006B2FD1">
            <w:pPr>
              <w:spacing w:before="40" w:after="40"/>
              <w:jc w:val="center"/>
              <w:rPr>
                <w:rFonts w:eastAsia="TimesNewRoman"/>
                <w:sz w:val="22"/>
                <w:szCs w:val="22"/>
                <w:lang w:eastAsia="ja-JP"/>
              </w:rPr>
            </w:pPr>
            <w:proofErr w:type="spellStart"/>
            <w:r w:rsidRPr="00203FC0">
              <w:rPr>
                <w:rFonts w:eastAsia="TimesNewRoman"/>
                <w:sz w:val="22"/>
                <w:szCs w:val="22"/>
                <w:lang w:eastAsia="ja-JP"/>
              </w:rPr>
              <w:t>BQ.1.1</w:t>
            </w:r>
            <w:proofErr w:type="spellEnd"/>
          </w:p>
          <w:p w14:paraId="0759279E" w14:textId="77777777" w:rsidR="005D39E6" w:rsidRPr="00203FC0" w:rsidRDefault="005D39E6" w:rsidP="006B2FD1">
            <w:pPr>
              <w:spacing w:before="40" w:after="40"/>
              <w:jc w:val="center"/>
              <w:rPr>
                <w:rFonts w:eastAsia="TimesNewRoman"/>
                <w:sz w:val="22"/>
                <w:szCs w:val="22"/>
                <w:lang w:eastAsia="ja-JP"/>
              </w:rPr>
            </w:pPr>
            <w:r w:rsidRPr="00203FC0">
              <w:rPr>
                <w:color w:val="000000" w:themeColor="text1"/>
                <w:sz w:val="22"/>
                <w:szCs w:val="22"/>
              </w:rPr>
              <w:t>(Multiple countries)</w:t>
            </w:r>
          </w:p>
        </w:tc>
        <w:tc>
          <w:tcPr>
            <w:tcW w:w="650" w:type="pct"/>
            <w:tcBorders>
              <w:top w:val="single" w:sz="4" w:space="0" w:color="auto"/>
              <w:left w:val="single" w:sz="4" w:space="0" w:color="auto"/>
              <w:bottom w:val="single" w:sz="4" w:space="0" w:color="auto"/>
              <w:right w:val="single" w:sz="4" w:space="0" w:color="auto"/>
            </w:tcBorders>
            <w:vAlign w:val="center"/>
          </w:tcPr>
          <w:p w14:paraId="025198B1" w14:textId="77777777" w:rsidR="005D39E6" w:rsidRPr="00203FC0" w:rsidRDefault="005D39E6" w:rsidP="006B2FD1">
            <w:pPr>
              <w:spacing w:before="40" w:after="40"/>
              <w:jc w:val="center"/>
              <w:rPr>
                <w:color w:val="000000"/>
                <w:sz w:val="22"/>
                <w:szCs w:val="22"/>
              </w:rPr>
            </w:pPr>
            <w:r w:rsidRPr="00203FC0">
              <w:rPr>
                <w:color w:val="000000" w:themeColor="text1"/>
                <w:sz w:val="22"/>
                <w:szCs w:val="22"/>
              </w:rPr>
              <w:t xml:space="preserve">Omicron </w:t>
            </w:r>
            <w:proofErr w:type="spellStart"/>
            <w:r w:rsidRPr="00203FC0">
              <w:rPr>
                <w:color w:val="000000" w:themeColor="text1"/>
                <w:sz w:val="22"/>
                <w:szCs w:val="22"/>
              </w:rPr>
              <w:t>BQ.1.1</w:t>
            </w:r>
            <w:proofErr w:type="spellEnd"/>
          </w:p>
        </w:tc>
        <w:tc>
          <w:tcPr>
            <w:tcW w:w="2021" w:type="pct"/>
            <w:tcBorders>
              <w:top w:val="single" w:sz="4" w:space="0" w:color="auto"/>
              <w:left w:val="single" w:sz="4" w:space="0" w:color="auto"/>
              <w:bottom w:val="single" w:sz="4" w:space="0" w:color="auto"/>
              <w:right w:val="single" w:sz="4" w:space="0" w:color="auto"/>
            </w:tcBorders>
            <w:vAlign w:val="center"/>
          </w:tcPr>
          <w:p w14:paraId="0F5B6BEF" w14:textId="77777777" w:rsidR="005D39E6" w:rsidRPr="00203FC0" w:rsidRDefault="005D39E6" w:rsidP="006B2FD1">
            <w:pPr>
              <w:spacing w:before="40" w:after="40"/>
              <w:rPr>
                <w:color w:val="000000"/>
                <w:sz w:val="22"/>
                <w:szCs w:val="22"/>
              </w:rPr>
            </w:pPr>
            <w:proofErr w:type="spellStart"/>
            <w:r w:rsidRPr="00203FC0">
              <w:rPr>
                <w:color w:val="000000"/>
                <w:sz w:val="22"/>
                <w:szCs w:val="22"/>
              </w:rPr>
              <w:t>T19</w:t>
            </w:r>
            <w:proofErr w:type="gramStart"/>
            <w:r w:rsidRPr="00203FC0">
              <w:rPr>
                <w:color w:val="000000"/>
                <w:sz w:val="22"/>
                <w:szCs w:val="22"/>
              </w:rPr>
              <w:t>I:del</w:t>
            </w:r>
            <w:proofErr w:type="gramEnd"/>
            <w:r w:rsidRPr="00203FC0">
              <w:rPr>
                <w:color w:val="000000"/>
                <w:sz w:val="22"/>
                <w:szCs w:val="22"/>
              </w:rPr>
              <w:t>24-</w:t>
            </w:r>
            <w:proofErr w:type="gramStart"/>
            <w:r w:rsidRPr="00203FC0">
              <w:rPr>
                <w:color w:val="000000"/>
                <w:sz w:val="22"/>
                <w:szCs w:val="22"/>
              </w:rPr>
              <w:t>26:A</w:t>
            </w:r>
            <w:proofErr w:type="gramEnd"/>
            <w:r w:rsidRPr="00203FC0">
              <w:rPr>
                <w:color w:val="000000"/>
                <w:sz w:val="22"/>
                <w:szCs w:val="22"/>
              </w:rPr>
              <w:t>27</w:t>
            </w:r>
            <w:proofErr w:type="gramStart"/>
            <w:r w:rsidRPr="00203FC0">
              <w:rPr>
                <w:color w:val="000000"/>
                <w:sz w:val="22"/>
                <w:szCs w:val="22"/>
              </w:rPr>
              <w:t>S:del</w:t>
            </w:r>
            <w:proofErr w:type="gramEnd"/>
            <w:r w:rsidRPr="00203FC0">
              <w:rPr>
                <w:color w:val="000000"/>
                <w:sz w:val="22"/>
                <w:szCs w:val="22"/>
              </w:rPr>
              <w:t>69-</w:t>
            </w:r>
            <w:proofErr w:type="gramStart"/>
            <w:r w:rsidRPr="00203FC0">
              <w:rPr>
                <w:color w:val="000000"/>
                <w:sz w:val="22"/>
                <w:szCs w:val="22"/>
              </w:rPr>
              <w:t>70:G</w:t>
            </w:r>
            <w:proofErr w:type="gramEnd"/>
            <w:r w:rsidRPr="00203FC0">
              <w:rPr>
                <w:color w:val="000000"/>
                <w:sz w:val="22"/>
                <w:szCs w:val="22"/>
              </w:rPr>
              <w:t>142D</w:t>
            </w:r>
            <w:proofErr w:type="spellEnd"/>
            <w:r w:rsidRPr="00203FC0">
              <w:rPr>
                <w:color w:val="000000"/>
                <w:sz w:val="22"/>
                <w:szCs w:val="22"/>
              </w:rPr>
              <w:t xml:space="preserve">: </w:t>
            </w:r>
            <w:proofErr w:type="spellStart"/>
            <w:proofErr w:type="gramStart"/>
            <w:r w:rsidRPr="00203FC0">
              <w:rPr>
                <w:color w:val="000000"/>
                <w:sz w:val="22"/>
                <w:szCs w:val="22"/>
              </w:rPr>
              <w:t>V213G:G339D:R346T:S371F</w:t>
            </w:r>
            <w:proofErr w:type="gramEnd"/>
            <w:r w:rsidRPr="00203FC0">
              <w:rPr>
                <w:color w:val="000000"/>
                <w:sz w:val="22"/>
                <w:szCs w:val="22"/>
              </w:rPr>
              <w:t>:S373P</w:t>
            </w:r>
            <w:proofErr w:type="spellEnd"/>
            <w:r w:rsidRPr="00203FC0">
              <w:rPr>
                <w:color w:val="000000"/>
                <w:sz w:val="22"/>
                <w:szCs w:val="22"/>
              </w:rPr>
              <w:t xml:space="preserve">: </w:t>
            </w:r>
            <w:proofErr w:type="spellStart"/>
            <w:proofErr w:type="gramStart"/>
            <w:r w:rsidRPr="00203FC0">
              <w:rPr>
                <w:color w:val="000000"/>
                <w:sz w:val="22"/>
                <w:szCs w:val="22"/>
              </w:rPr>
              <w:t>S375F:T376A:D405N:R408S</w:t>
            </w:r>
            <w:proofErr w:type="gramEnd"/>
            <w:r w:rsidRPr="00203FC0">
              <w:rPr>
                <w:color w:val="000000"/>
                <w:sz w:val="22"/>
                <w:szCs w:val="22"/>
              </w:rPr>
              <w:t>:K417N</w:t>
            </w:r>
            <w:proofErr w:type="spellEnd"/>
            <w:r w:rsidRPr="00203FC0">
              <w:rPr>
                <w:color w:val="000000"/>
                <w:sz w:val="22"/>
                <w:szCs w:val="22"/>
              </w:rPr>
              <w:t xml:space="preserve">: </w:t>
            </w:r>
            <w:proofErr w:type="spellStart"/>
            <w:proofErr w:type="gramStart"/>
            <w:r w:rsidRPr="00203FC0">
              <w:rPr>
                <w:color w:val="000000"/>
                <w:sz w:val="22"/>
                <w:szCs w:val="22"/>
              </w:rPr>
              <w:t>N440K:K444T:L452R:N460K</w:t>
            </w:r>
            <w:proofErr w:type="gramEnd"/>
            <w:r w:rsidRPr="00203FC0">
              <w:rPr>
                <w:color w:val="000000"/>
                <w:sz w:val="22"/>
                <w:szCs w:val="22"/>
              </w:rPr>
              <w:t>:S477N</w:t>
            </w:r>
            <w:proofErr w:type="spellEnd"/>
            <w:r w:rsidRPr="00203FC0">
              <w:rPr>
                <w:color w:val="000000"/>
                <w:sz w:val="22"/>
                <w:szCs w:val="22"/>
              </w:rPr>
              <w:t xml:space="preserve">: </w:t>
            </w:r>
            <w:proofErr w:type="gramStart"/>
            <w:r w:rsidRPr="00203FC0">
              <w:rPr>
                <w:color w:val="000000"/>
                <w:sz w:val="22"/>
                <w:szCs w:val="22"/>
              </w:rPr>
              <w:t>T478K:E484A:F486V:Q498R</w:t>
            </w:r>
            <w:proofErr w:type="gramEnd"/>
            <w:r w:rsidRPr="00203FC0">
              <w:rPr>
                <w:color w:val="000000"/>
                <w:sz w:val="22"/>
                <w:szCs w:val="22"/>
              </w:rPr>
              <w:t>:</w:t>
            </w:r>
            <w:proofErr w:type="gramStart"/>
            <w:r w:rsidRPr="00203FC0">
              <w:rPr>
                <w:color w:val="000000"/>
                <w:sz w:val="22"/>
                <w:szCs w:val="22"/>
              </w:rPr>
              <w:t>N501Y:Y505H:D614G:H655Y</w:t>
            </w:r>
            <w:proofErr w:type="gramEnd"/>
            <w:r w:rsidRPr="00203FC0">
              <w:rPr>
                <w:color w:val="000000"/>
                <w:sz w:val="22"/>
                <w:szCs w:val="22"/>
              </w:rPr>
              <w:t>:</w:t>
            </w:r>
            <w:proofErr w:type="gramStart"/>
            <w:r w:rsidRPr="00203FC0">
              <w:rPr>
                <w:color w:val="000000"/>
                <w:sz w:val="22"/>
                <w:szCs w:val="22"/>
              </w:rPr>
              <w:t>N679K:P681H:N764K:D796Y</w:t>
            </w:r>
            <w:proofErr w:type="gramEnd"/>
            <w:r w:rsidRPr="00203FC0">
              <w:rPr>
                <w:color w:val="000000"/>
                <w:sz w:val="22"/>
                <w:szCs w:val="22"/>
              </w:rPr>
              <w:t>:Q954H:N969K</w:t>
            </w:r>
          </w:p>
        </w:tc>
        <w:tc>
          <w:tcPr>
            <w:tcW w:w="818" w:type="pct"/>
            <w:tcBorders>
              <w:top w:val="single" w:sz="4" w:space="0" w:color="auto"/>
              <w:left w:val="single" w:sz="4" w:space="0" w:color="auto"/>
              <w:bottom w:val="single" w:sz="4" w:space="0" w:color="auto"/>
              <w:right w:val="single" w:sz="4" w:space="0" w:color="auto"/>
            </w:tcBorders>
            <w:vAlign w:val="center"/>
          </w:tcPr>
          <w:p w14:paraId="41487B0E" w14:textId="77777777" w:rsidR="005D39E6" w:rsidRPr="00203FC0" w:rsidRDefault="005D39E6" w:rsidP="006B2FD1">
            <w:pPr>
              <w:spacing w:before="40" w:after="40"/>
              <w:jc w:val="center"/>
              <w:rPr>
                <w:sz w:val="22"/>
                <w:szCs w:val="22"/>
              </w:rPr>
            </w:pPr>
            <w:r w:rsidRPr="00203FC0">
              <w:rPr>
                <w:sz w:val="22"/>
                <w:szCs w:val="22"/>
              </w:rPr>
              <w:t>0.7</w:t>
            </w:r>
          </w:p>
        </w:tc>
        <w:tc>
          <w:tcPr>
            <w:tcW w:w="612" w:type="pct"/>
            <w:tcBorders>
              <w:top w:val="single" w:sz="4" w:space="0" w:color="auto"/>
              <w:left w:val="single" w:sz="4" w:space="0" w:color="auto"/>
              <w:bottom w:val="single" w:sz="4" w:space="0" w:color="auto"/>
              <w:right w:val="single" w:sz="4" w:space="0" w:color="auto"/>
            </w:tcBorders>
            <w:vAlign w:val="center"/>
          </w:tcPr>
          <w:p w14:paraId="14A5A0A7" w14:textId="77777777" w:rsidR="005D39E6" w:rsidRPr="00203FC0" w:rsidRDefault="005D39E6" w:rsidP="006B2FD1">
            <w:pPr>
              <w:spacing w:before="40" w:after="40"/>
              <w:jc w:val="center"/>
              <w:rPr>
                <w:sz w:val="22"/>
                <w:szCs w:val="22"/>
              </w:rPr>
            </w:pPr>
            <w:r w:rsidRPr="00203FC0">
              <w:rPr>
                <w:sz w:val="22"/>
                <w:szCs w:val="22"/>
              </w:rPr>
              <w:t xml:space="preserve">9.2 </w:t>
            </w:r>
          </w:p>
        </w:tc>
      </w:tr>
      <w:tr w:rsidR="005D39E6" w:rsidRPr="00203FC0" w14:paraId="14FC777D" w14:textId="77777777" w:rsidTr="00BF4D74">
        <w:trPr>
          <w:cantSplit/>
        </w:trPr>
        <w:tc>
          <w:tcPr>
            <w:tcW w:w="900" w:type="pct"/>
            <w:tcBorders>
              <w:top w:val="single" w:sz="4" w:space="0" w:color="auto"/>
              <w:left w:val="single" w:sz="4" w:space="0" w:color="auto"/>
              <w:bottom w:val="single" w:sz="4" w:space="0" w:color="auto"/>
              <w:right w:val="single" w:sz="4" w:space="0" w:color="auto"/>
            </w:tcBorders>
            <w:vAlign w:val="center"/>
          </w:tcPr>
          <w:p w14:paraId="7292A0D0" w14:textId="77777777" w:rsidR="005D39E6" w:rsidRPr="00203FC0" w:rsidRDefault="005D39E6" w:rsidP="006B2FD1">
            <w:pPr>
              <w:spacing w:before="40" w:after="40"/>
              <w:jc w:val="center"/>
              <w:rPr>
                <w:rFonts w:eastAsia="TimesNewRoman"/>
                <w:sz w:val="22"/>
                <w:szCs w:val="22"/>
                <w:lang w:eastAsia="ja-JP"/>
              </w:rPr>
            </w:pPr>
            <w:proofErr w:type="spellStart"/>
            <w:r w:rsidRPr="00203FC0">
              <w:rPr>
                <w:rFonts w:eastAsia="TimesNewRoman"/>
                <w:sz w:val="22"/>
                <w:szCs w:val="22"/>
                <w:lang w:eastAsia="ja-JP"/>
              </w:rPr>
              <w:t>XBB</w:t>
            </w:r>
            <w:proofErr w:type="spellEnd"/>
          </w:p>
          <w:p w14:paraId="7E3039C7" w14:textId="77777777" w:rsidR="005D39E6" w:rsidRPr="00203FC0" w:rsidRDefault="005D39E6" w:rsidP="006B2FD1">
            <w:pPr>
              <w:spacing w:before="40" w:after="40"/>
              <w:jc w:val="center"/>
              <w:rPr>
                <w:rFonts w:eastAsia="TimesNewRoman"/>
                <w:sz w:val="22"/>
                <w:szCs w:val="22"/>
                <w:lang w:eastAsia="ja-JP"/>
              </w:rPr>
            </w:pPr>
            <w:r w:rsidRPr="00203FC0">
              <w:rPr>
                <w:color w:val="000000" w:themeColor="text1"/>
                <w:sz w:val="22"/>
                <w:szCs w:val="22"/>
              </w:rPr>
              <w:t>(Multiple countries)</w:t>
            </w:r>
          </w:p>
        </w:tc>
        <w:tc>
          <w:tcPr>
            <w:tcW w:w="650" w:type="pct"/>
            <w:tcBorders>
              <w:top w:val="single" w:sz="4" w:space="0" w:color="auto"/>
              <w:left w:val="single" w:sz="4" w:space="0" w:color="auto"/>
              <w:bottom w:val="single" w:sz="4" w:space="0" w:color="auto"/>
              <w:right w:val="single" w:sz="4" w:space="0" w:color="auto"/>
            </w:tcBorders>
            <w:vAlign w:val="center"/>
          </w:tcPr>
          <w:p w14:paraId="1B258EFE" w14:textId="77777777" w:rsidR="005D39E6" w:rsidRPr="00203FC0" w:rsidRDefault="005D39E6" w:rsidP="006B2FD1">
            <w:pPr>
              <w:spacing w:before="40" w:after="40"/>
              <w:jc w:val="center"/>
              <w:rPr>
                <w:color w:val="000000"/>
                <w:sz w:val="22"/>
                <w:szCs w:val="22"/>
              </w:rPr>
            </w:pPr>
            <w:r w:rsidRPr="00203FC0">
              <w:rPr>
                <w:color w:val="000000" w:themeColor="text1"/>
                <w:sz w:val="22"/>
                <w:szCs w:val="22"/>
              </w:rPr>
              <w:t xml:space="preserve">Omicron </w:t>
            </w:r>
            <w:proofErr w:type="spellStart"/>
            <w:r w:rsidRPr="00203FC0">
              <w:rPr>
                <w:color w:val="000000" w:themeColor="text1"/>
                <w:sz w:val="22"/>
                <w:szCs w:val="22"/>
              </w:rPr>
              <w:t>XBB</w:t>
            </w:r>
            <w:proofErr w:type="spellEnd"/>
          </w:p>
        </w:tc>
        <w:tc>
          <w:tcPr>
            <w:tcW w:w="2021" w:type="pct"/>
            <w:tcBorders>
              <w:top w:val="single" w:sz="4" w:space="0" w:color="auto"/>
              <w:left w:val="single" w:sz="4" w:space="0" w:color="auto"/>
              <w:bottom w:val="single" w:sz="4" w:space="0" w:color="auto"/>
              <w:right w:val="single" w:sz="4" w:space="0" w:color="auto"/>
            </w:tcBorders>
            <w:vAlign w:val="center"/>
          </w:tcPr>
          <w:p w14:paraId="0AEB57F4" w14:textId="77777777" w:rsidR="005D39E6" w:rsidRPr="00203FC0" w:rsidRDefault="005D39E6" w:rsidP="006B2FD1">
            <w:pPr>
              <w:spacing w:before="40" w:after="40"/>
              <w:rPr>
                <w:color w:val="000000"/>
                <w:sz w:val="22"/>
                <w:szCs w:val="22"/>
              </w:rPr>
            </w:pPr>
            <w:proofErr w:type="spellStart"/>
            <w:r w:rsidRPr="00203FC0">
              <w:rPr>
                <w:color w:val="000000"/>
                <w:sz w:val="22"/>
                <w:szCs w:val="22"/>
              </w:rPr>
              <w:t>T19</w:t>
            </w:r>
            <w:proofErr w:type="gramStart"/>
            <w:r w:rsidRPr="00203FC0">
              <w:rPr>
                <w:color w:val="000000"/>
                <w:sz w:val="22"/>
                <w:szCs w:val="22"/>
              </w:rPr>
              <w:t>I:del</w:t>
            </w:r>
            <w:proofErr w:type="gramEnd"/>
            <w:r w:rsidRPr="00203FC0">
              <w:rPr>
                <w:color w:val="000000"/>
                <w:sz w:val="22"/>
                <w:szCs w:val="22"/>
              </w:rPr>
              <w:t>24-</w:t>
            </w:r>
            <w:proofErr w:type="gramStart"/>
            <w:r w:rsidRPr="00203FC0">
              <w:rPr>
                <w:color w:val="000000"/>
                <w:sz w:val="22"/>
                <w:szCs w:val="22"/>
              </w:rPr>
              <w:t>26:A27S:V83A</w:t>
            </w:r>
            <w:proofErr w:type="gramEnd"/>
            <w:r w:rsidRPr="00203FC0">
              <w:rPr>
                <w:color w:val="000000"/>
                <w:sz w:val="22"/>
                <w:szCs w:val="22"/>
              </w:rPr>
              <w:t>:G142D</w:t>
            </w:r>
            <w:proofErr w:type="spellEnd"/>
            <w:r w:rsidRPr="00203FC0">
              <w:rPr>
                <w:color w:val="000000"/>
                <w:sz w:val="22"/>
                <w:szCs w:val="22"/>
              </w:rPr>
              <w:t xml:space="preserve">: </w:t>
            </w:r>
            <w:proofErr w:type="spellStart"/>
            <w:r w:rsidRPr="00203FC0">
              <w:rPr>
                <w:color w:val="000000"/>
                <w:sz w:val="22"/>
                <w:szCs w:val="22"/>
              </w:rPr>
              <w:t>Y144</w:t>
            </w:r>
            <w:proofErr w:type="spellEnd"/>
            <w:proofErr w:type="gramStart"/>
            <w:r w:rsidRPr="00203FC0">
              <w:rPr>
                <w:color w:val="000000"/>
                <w:sz w:val="22"/>
                <w:szCs w:val="22"/>
              </w:rPr>
              <w:t>-:</w:t>
            </w:r>
            <w:proofErr w:type="spellStart"/>
            <w:r w:rsidRPr="00203FC0">
              <w:rPr>
                <w:color w:val="000000"/>
                <w:sz w:val="22"/>
                <w:szCs w:val="22"/>
              </w:rPr>
              <w:t>H146Q:Q183E</w:t>
            </w:r>
            <w:proofErr w:type="gramEnd"/>
            <w:r w:rsidRPr="00203FC0">
              <w:rPr>
                <w:color w:val="000000"/>
                <w:sz w:val="22"/>
                <w:szCs w:val="22"/>
              </w:rPr>
              <w:t>:V213E:G339H</w:t>
            </w:r>
            <w:proofErr w:type="spellEnd"/>
            <w:r w:rsidRPr="00203FC0">
              <w:rPr>
                <w:color w:val="000000"/>
                <w:sz w:val="22"/>
                <w:szCs w:val="22"/>
              </w:rPr>
              <w:t xml:space="preserve">: </w:t>
            </w:r>
            <w:proofErr w:type="spellStart"/>
            <w:proofErr w:type="gramStart"/>
            <w:r w:rsidRPr="00203FC0">
              <w:rPr>
                <w:color w:val="000000"/>
                <w:sz w:val="22"/>
                <w:szCs w:val="22"/>
              </w:rPr>
              <w:t>R346T:L368I:S371F:S373P</w:t>
            </w:r>
            <w:proofErr w:type="gramEnd"/>
            <w:r w:rsidRPr="00203FC0">
              <w:rPr>
                <w:color w:val="000000"/>
                <w:sz w:val="22"/>
                <w:szCs w:val="22"/>
              </w:rPr>
              <w:t>:S375F</w:t>
            </w:r>
            <w:proofErr w:type="spellEnd"/>
            <w:r w:rsidRPr="00203FC0">
              <w:rPr>
                <w:color w:val="000000"/>
                <w:sz w:val="22"/>
                <w:szCs w:val="22"/>
              </w:rPr>
              <w:t xml:space="preserve">: </w:t>
            </w:r>
            <w:proofErr w:type="spellStart"/>
            <w:proofErr w:type="gramStart"/>
            <w:r w:rsidRPr="00203FC0">
              <w:rPr>
                <w:color w:val="000000"/>
                <w:sz w:val="22"/>
                <w:szCs w:val="22"/>
              </w:rPr>
              <w:t>T376A:D405N:R408S:K417N</w:t>
            </w:r>
            <w:proofErr w:type="gramEnd"/>
            <w:r w:rsidRPr="00203FC0">
              <w:rPr>
                <w:color w:val="000000"/>
                <w:sz w:val="22"/>
                <w:szCs w:val="22"/>
              </w:rPr>
              <w:t>:</w:t>
            </w:r>
            <w:proofErr w:type="gramStart"/>
            <w:r w:rsidRPr="00203FC0">
              <w:rPr>
                <w:color w:val="000000"/>
                <w:sz w:val="22"/>
                <w:szCs w:val="22"/>
              </w:rPr>
              <w:t>N440K:V445P:G446S:N460K</w:t>
            </w:r>
            <w:proofErr w:type="gramEnd"/>
            <w:r w:rsidRPr="00203FC0">
              <w:rPr>
                <w:color w:val="000000"/>
                <w:sz w:val="22"/>
                <w:szCs w:val="22"/>
              </w:rPr>
              <w:t>:S477N:T478K</w:t>
            </w:r>
            <w:proofErr w:type="spellEnd"/>
            <w:r w:rsidRPr="00203FC0">
              <w:rPr>
                <w:color w:val="000000"/>
                <w:sz w:val="22"/>
                <w:szCs w:val="22"/>
              </w:rPr>
              <w:t xml:space="preserve">: </w:t>
            </w:r>
            <w:proofErr w:type="spellStart"/>
            <w:proofErr w:type="gramStart"/>
            <w:r w:rsidRPr="00203FC0">
              <w:rPr>
                <w:color w:val="000000"/>
                <w:sz w:val="22"/>
                <w:szCs w:val="22"/>
              </w:rPr>
              <w:t>E484A:F486S:F490S:Q498R</w:t>
            </w:r>
            <w:proofErr w:type="gramEnd"/>
            <w:r w:rsidRPr="00203FC0">
              <w:rPr>
                <w:color w:val="000000"/>
                <w:sz w:val="22"/>
                <w:szCs w:val="22"/>
              </w:rPr>
              <w:t>:N501Y</w:t>
            </w:r>
            <w:proofErr w:type="spellEnd"/>
            <w:r w:rsidRPr="00203FC0">
              <w:rPr>
                <w:color w:val="000000"/>
                <w:sz w:val="22"/>
                <w:szCs w:val="22"/>
              </w:rPr>
              <w:t xml:space="preserve">: </w:t>
            </w:r>
            <w:proofErr w:type="spellStart"/>
            <w:proofErr w:type="gramStart"/>
            <w:r w:rsidRPr="00203FC0">
              <w:rPr>
                <w:color w:val="000000"/>
                <w:sz w:val="22"/>
                <w:szCs w:val="22"/>
              </w:rPr>
              <w:t>Y505H:D614G:H655Y:N679K</w:t>
            </w:r>
            <w:proofErr w:type="gramEnd"/>
            <w:r w:rsidRPr="00203FC0">
              <w:rPr>
                <w:color w:val="000000"/>
                <w:sz w:val="22"/>
                <w:szCs w:val="22"/>
              </w:rPr>
              <w:t>:</w:t>
            </w:r>
            <w:proofErr w:type="gramStart"/>
            <w:r w:rsidRPr="00203FC0">
              <w:rPr>
                <w:color w:val="000000"/>
                <w:sz w:val="22"/>
                <w:szCs w:val="22"/>
              </w:rPr>
              <w:t>P681H:N764K:D796Y:Q954H</w:t>
            </w:r>
            <w:proofErr w:type="gramEnd"/>
            <w:r w:rsidRPr="00203FC0">
              <w:rPr>
                <w:color w:val="000000"/>
                <w:sz w:val="22"/>
                <w:szCs w:val="22"/>
              </w:rPr>
              <w:t>:N969K</w:t>
            </w:r>
            <w:proofErr w:type="spellEnd"/>
          </w:p>
        </w:tc>
        <w:tc>
          <w:tcPr>
            <w:tcW w:w="818" w:type="pct"/>
            <w:tcBorders>
              <w:top w:val="single" w:sz="4" w:space="0" w:color="auto"/>
              <w:left w:val="single" w:sz="4" w:space="0" w:color="auto"/>
              <w:bottom w:val="single" w:sz="4" w:space="0" w:color="auto"/>
              <w:right w:val="single" w:sz="4" w:space="0" w:color="auto"/>
            </w:tcBorders>
            <w:vAlign w:val="center"/>
          </w:tcPr>
          <w:p w14:paraId="0199EF88" w14:textId="77777777" w:rsidR="005D39E6" w:rsidRPr="00203FC0" w:rsidRDefault="005D39E6" w:rsidP="006B2FD1">
            <w:pPr>
              <w:spacing w:before="40" w:after="40"/>
              <w:jc w:val="center"/>
              <w:rPr>
                <w:sz w:val="22"/>
                <w:szCs w:val="22"/>
              </w:rPr>
            </w:pPr>
            <w:r w:rsidRPr="00203FC0">
              <w:rPr>
                <w:sz w:val="22"/>
                <w:szCs w:val="22"/>
              </w:rPr>
              <w:t>0.3</w:t>
            </w:r>
          </w:p>
        </w:tc>
        <w:tc>
          <w:tcPr>
            <w:tcW w:w="612" w:type="pct"/>
            <w:tcBorders>
              <w:top w:val="single" w:sz="4" w:space="0" w:color="auto"/>
              <w:left w:val="single" w:sz="4" w:space="0" w:color="auto"/>
              <w:bottom w:val="single" w:sz="4" w:space="0" w:color="auto"/>
              <w:right w:val="single" w:sz="4" w:space="0" w:color="auto"/>
            </w:tcBorders>
            <w:vAlign w:val="center"/>
          </w:tcPr>
          <w:p w14:paraId="0986D740" w14:textId="77777777" w:rsidR="005D39E6" w:rsidRPr="00203FC0" w:rsidRDefault="005D39E6" w:rsidP="006B2FD1">
            <w:pPr>
              <w:spacing w:before="40" w:after="40"/>
              <w:jc w:val="center"/>
              <w:rPr>
                <w:sz w:val="22"/>
                <w:szCs w:val="22"/>
              </w:rPr>
            </w:pPr>
            <w:r w:rsidRPr="00203FC0">
              <w:rPr>
                <w:sz w:val="22"/>
                <w:szCs w:val="22"/>
              </w:rPr>
              <w:t xml:space="preserve">3.8 </w:t>
            </w:r>
          </w:p>
        </w:tc>
      </w:tr>
      <w:tr w:rsidR="005D39E6" w:rsidRPr="00203FC0" w14:paraId="29236240" w14:textId="77777777" w:rsidTr="00BF4D74">
        <w:trPr>
          <w:cantSplit/>
          <w:trHeight w:val="2051"/>
        </w:trPr>
        <w:tc>
          <w:tcPr>
            <w:tcW w:w="900" w:type="pct"/>
            <w:tcBorders>
              <w:top w:val="single" w:sz="4" w:space="0" w:color="auto"/>
              <w:left w:val="single" w:sz="4" w:space="0" w:color="auto"/>
              <w:bottom w:val="single" w:sz="4" w:space="0" w:color="auto"/>
              <w:right w:val="single" w:sz="4" w:space="0" w:color="auto"/>
            </w:tcBorders>
            <w:vAlign w:val="center"/>
          </w:tcPr>
          <w:p w14:paraId="3480AF18" w14:textId="77777777" w:rsidR="005D39E6" w:rsidRPr="00203FC0" w:rsidRDefault="005D39E6" w:rsidP="006B2FD1">
            <w:pPr>
              <w:spacing w:before="40" w:after="40"/>
              <w:jc w:val="center"/>
              <w:rPr>
                <w:rFonts w:eastAsia="TimesNewRoman"/>
                <w:sz w:val="22"/>
                <w:szCs w:val="22"/>
                <w:lang w:eastAsia="ja-JP"/>
              </w:rPr>
            </w:pPr>
            <w:proofErr w:type="spellStart"/>
            <w:r w:rsidRPr="00203FC0">
              <w:rPr>
                <w:rFonts w:eastAsia="TimesNewRoman"/>
                <w:sz w:val="22"/>
                <w:szCs w:val="22"/>
                <w:lang w:eastAsia="ja-JP"/>
              </w:rPr>
              <w:t>XBB.1</w:t>
            </w:r>
            <w:proofErr w:type="spellEnd"/>
          </w:p>
          <w:p w14:paraId="47CA0226" w14:textId="77777777" w:rsidR="005D39E6" w:rsidRPr="00203FC0" w:rsidRDefault="005D39E6" w:rsidP="006B2FD1">
            <w:pPr>
              <w:spacing w:before="40" w:after="40"/>
              <w:jc w:val="center"/>
              <w:rPr>
                <w:rFonts w:eastAsia="TimesNewRoman"/>
                <w:sz w:val="22"/>
                <w:szCs w:val="22"/>
                <w:lang w:eastAsia="ja-JP"/>
              </w:rPr>
            </w:pPr>
            <w:r w:rsidRPr="00203FC0">
              <w:rPr>
                <w:rFonts w:eastAsia="TimesNewRoman"/>
                <w:sz w:val="22"/>
                <w:szCs w:val="22"/>
                <w:lang w:eastAsia="ja-JP"/>
              </w:rPr>
              <w:t>(Multiple countries)</w:t>
            </w:r>
          </w:p>
        </w:tc>
        <w:tc>
          <w:tcPr>
            <w:tcW w:w="650" w:type="pct"/>
            <w:tcBorders>
              <w:top w:val="single" w:sz="4" w:space="0" w:color="auto"/>
              <w:left w:val="single" w:sz="4" w:space="0" w:color="auto"/>
              <w:bottom w:val="single" w:sz="4" w:space="0" w:color="auto"/>
              <w:right w:val="single" w:sz="4" w:space="0" w:color="auto"/>
            </w:tcBorders>
            <w:vAlign w:val="center"/>
          </w:tcPr>
          <w:p w14:paraId="2BC14682" w14:textId="77777777" w:rsidR="005D39E6" w:rsidRPr="00203FC0" w:rsidRDefault="005D39E6" w:rsidP="006B2FD1">
            <w:pPr>
              <w:spacing w:before="40" w:after="40"/>
              <w:jc w:val="center"/>
              <w:rPr>
                <w:color w:val="000000"/>
                <w:sz w:val="22"/>
                <w:szCs w:val="22"/>
              </w:rPr>
            </w:pPr>
            <w:r w:rsidRPr="00203FC0">
              <w:rPr>
                <w:color w:val="000000" w:themeColor="text1"/>
                <w:sz w:val="22"/>
                <w:szCs w:val="22"/>
              </w:rPr>
              <w:t xml:space="preserve">Omicron </w:t>
            </w:r>
            <w:proofErr w:type="spellStart"/>
            <w:r w:rsidRPr="00203FC0">
              <w:rPr>
                <w:color w:val="000000" w:themeColor="text1"/>
                <w:sz w:val="22"/>
                <w:szCs w:val="22"/>
              </w:rPr>
              <w:t>XBB.1</w:t>
            </w:r>
            <w:proofErr w:type="spellEnd"/>
          </w:p>
        </w:tc>
        <w:tc>
          <w:tcPr>
            <w:tcW w:w="2021" w:type="pct"/>
            <w:tcBorders>
              <w:top w:val="single" w:sz="4" w:space="0" w:color="auto"/>
              <w:left w:val="single" w:sz="4" w:space="0" w:color="auto"/>
              <w:bottom w:val="single" w:sz="4" w:space="0" w:color="auto"/>
              <w:right w:val="single" w:sz="4" w:space="0" w:color="auto"/>
            </w:tcBorders>
            <w:vAlign w:val="center"/>
          </w:tcPr>
          <w:p w14:paraId="30BAAB2A" w14:textId="77777777" w:rsidR="005D39E6" w:rsidRPr="00203FC0" w:rsidRDefault="005D39E6" w:rsidP="006B2FD1">
            <w:pPr>
              <w:spacing w:before="40" w:after="40"/>
              <w:rPr>
                <w:color w:val="000000"/>
                <w:sz w:val="22"/>
                <w:szCs w:val="22"/>
              </w:rPr>
            </w:pPr>
            <w:proofErr w:type="spellStart"/>
            <w:r w:rsidRPr="00203FC0">
              <w:rPr>
                <w:color w:val="000000"/>
                <w:sz w:val="22"/>
                <w:szCs w:val="22"/>
              </w:rPr>
              <w:t>T19</w:t>
            </w:r>
            <w:proofErr w:type="gramStart"/>
            <w:r w:rsidRPr="00203FC0">
              <w:rPr>
                <w:color w:val="000000"/>
                <w:sz w:val="22"/>
                <w:szCs w:val="22"/>
              </w:rPr>
              <w:t>I:del</w:t>
            </w:r>
            <w:proofErr w:type="gramEnd"/>
            <w:r w:rsidRPr="00203FC0">
              <w:rPr>
                <w:color w:val="000000"/>
                <w:sz w:val="22"/>
                <w:szCs w:val="22"/>
              </w:rPr>
              <w:t>24-</w:t>
            </w:r>
            <w:proofErr w:type="gramStart"/>
            <w:r w:rsidRPr="00203FC0">
              <w:rPr>
                <w:color w:val="000000"/>
                <w:sz w:val="22"/>
                <w:szCs w:val="22"/>
              </w:rPr>
              <w:t>26:A27S:V83A</w:t>
            </w:r>
            <w:proofErr w:type="gramEnd"/>
            <w:r w:rsidRPr="00203FC0">
              <w:rPr>
                <w:color w:val="000000"/>
                <w:sz w:val="22"/>
                <w:szCs w:val="22"/>
              </w:rPr>
              <w:t>:G142D</w:t>
            </w:r>
            <w:proofErr w:type="spellEnd"/>
            <w:r w:rsidRPr="00203FC0">
              <w:rPr>
                <w:color w:val="000000"/>
                <w:sz w:val="22"/>
                <w:szCs w:val="22"/>
              </w:rPr>
              <w:t xml:space="preserve">: </w:t>
            </w:r>
            <w:proofErr w:type="spellStart"/>
            <w:r w:rsidRPr="00203FC0">
              <w:rPr>
                <w:color w:val="000000"/>
                <w:sz w:val="22"/>
                <w:szCs w:val="22"/>
              </w:rPr>
              <w:t>Y144</w:t>
            </w:r>
            <w:proofErr w:type="spellEnd"/>
            <w:proofErr w:type="gramStart"/>
            <w:r w:rsidRPr="00203FC0">
              <w:rPr>
                <w:color w:val="000000"/>
                <w:sz w:val="22"/>
                <w:szCs w:val="22"/>
              </w:rPr>
              <w:t>-:</w:t>
            </w:r>
            <w:proofErr w:type="spellStart"/>
            <w:r w:rsidRPr="00203FC0">
              <w:rPr>
                <w:color w:val="000000"/>
                <w:sz w:val="22"/>
                <w:szCs w:val="22"/>
              </w:rPr>
              <w:t>H146Q:Q183E</w:t>
            </w:r>
            <w:proofErr w:type="gramEnd"/>
            <w:r w:rsidRPr="00203FC0">
              <w:rPr>
                <w:color w:val="000000"/>
                <w:sz w:val="22"/>
                <w:szCs w:val="22"/>
              </w:rPr>
              <w:t>:V213E:G252V</w:t>
            </w:r>
            <w:proofErr w:type="spellEnd"/>
            <w:r w:rsidRPr="00203FC0">
              <w:rPr>
                <w:color w:val="000000"/>
                <w:sz w:val="22"/>
                <w:szCs w:val="22"/>
              </w:rPr>
              <w:t xml:space="preserve">: </w:t>
            </w:r>
            <w:proofErr w:type="spellStart"/>
            <w:proofErr w:type="gramStart"/>
            <w:r w:rsidRPr="00203FC0">
              <w:rPr>
                <w:color w:val="000000"/>
                <w:sz w:val="22"/>
                <w:szCs w:val="22"/>
              </w:rPr>
              <w:t>G339H:R346T:L368I:S371F</w:t>
            </w:r>
            <w:proofErr w:type="gramEnd"/>
            <w:r w:rsidRPr="00203FC0">
              <w:rPr>
                <w:color w:val="000000"/>
                <w:sz w:val="22"/>
                <w:szCs w:val="22"/>
              </w:rPr>
              <w:t>:S373P</w:t>
            </w:r>
            <w:proofErr w:type="spellEnd"/>
            <w:r w:rsidRPr="00203FC0">
              <w:rPr>
                <w:color w:val="000000"/>
                <w:sz w:val="22"/>
                <w:szCs w:val="22"/>
              </w:rPr>
              <w:t xml:space="preserve">: </w:t>
            </w:r>
            <w:proofErr w:type="spellStart"/>
            <w:proofErr w:type="gramStart"/>
            <w:r w:rsidRPr="00203FC0">
              <w:rPr>
                <w:color w:val="000000"/>
                <w:sz w:val="22"/>
                <w:szCs w:val="22"/>
              </w:rPr>
              <w:t>S375F:T376A:D405N:R408S</w:t>
            </w:r>
            <w:proofErr w:type="gramEnd"/>
            <w:r w:rsidRPr="00203FC0">
              <w:rPr>
                <w:color w:val="000000"/>
                <w:sz w:val="22"/>
                <w:szCs w:val="22"/>
              </w:rPr>
              <w:t>:K417N</w:t>
            </w:r>
            <w:proofErr w:type="spellEnd"/>
            <w:r w:rsidRPr="00203FC0">
              <w:rPr>
                <w:color w:val="000000"/>
                <w:sz w:val="22"/>
                <w:szCs w:val="22"/>
              </w:rPr>
              <w:t xml:space="preserve">: </w:t>
            </w:r>
            <w:proofErr w:type="spellStart"/>
            <w:proofErr w:type="gramStart"/>
            <w:r w:rsidRPr="00203FC0">
              <w:rPr>
                <w:color w:val="000000"/>
                <w:sz w:val="22"/>
                <w:szCs w:val="22"/>
              </w:rPr>
              <w:t>N440K:V445P:G446S:N460K</w:t>
            </w:r>
            <w:proofErr w:type="gramEnd"/>
            <w:r w:rsidRPr="00203FC0">
              <w:rPr>
                <w:color w:val="000000"/>
                <w:sz w:val="22"/>
                <w:szCs w:val="22"/>
              </w:rPr>
              <w:t>:S477N</w:t>
            </w:r>
            <w:proofErr w:type="spellEnd"/>
            <w:r w:rsidRPr="00203FC0">
              <w:rPr>
                <w:color w:val="000000"/>
                <w:sz w:val="22"/>
                <w:szCs w:val="22"/>
              </w:rPr>
              <w:t xml:space="preserve">: </w:t>
            </w:r>
            <w:proofErr w:type="spellStart"/>
            <w:proofErr w:type="gramStart"/>
            <w:r w:rsidRPr="00203FC0">
              <w:rPr>
                <w:color w:val="000000"/>
                <w:sz w:val="22"/>
                <w:szCs w:val="22"/>
              </w:rPr>
              <w:t>T478K:E484A:F486S:F490S</w:t>
            </w:r>
            <w:proofErr w:type="gramEnd"/>
            <w:r w:rsidRPr="00203FC0">
              <w:rPr>
                <w:color w:val="000000"/>
                <w:sz w:val="22"/>
                <w:szCs w:val="22"/>
              </w:rPr>
              <w:t>:Q498R</w:t>
            </w:r>
            <w:proofErr w:type="spellEnd"/>
            <w:r w:rsidRPr="00203FC0">
              <w:rPr>
                <w:color w:val="000000"/>
                <w:sz w:val="22"/>
                <w:szCs w:val="22"/>
              </w:rPr>
              <w:t xml:space="preserve">: </w:t>
            </w:r>
            <w:proofErr w:type="spellStart"/>
            <w:proofErr w:type="gramStart"/>
            <w:r w:rsidRPr="00203FC0">
              <w:rPr>
                <w:color w:val="000000"/>
                <w:sz w:val="22"/>
                <w:szCs w:val="22"/>
              </w:rPr>
              <w:t>N501Y:Y505H:D614G:H655Y</w:t>
            </w:r>
            <w:proofErr w:type="gramEnd"/>
            <w:r w:rsidRPr="00203FC0">
              <w:rPr>
                <w:color w:val="000000"/>
                <w:sz w:val="22"/>
                <w:szCs w:val="22"/>
              </w:rPr>
              <w:t>:</w:t>
            </w:r>
            <w:proofErr w:type="gramStart"/>
            <w:r w:rsidRPr="00203FC0">
              <w:rPr>
                <w:color w:val="000000"/>
                <w:sz w:val="22"/>
                <w:szCs w:val="22"/>
              </w:rPr>
              <w:t>N679K:P681H:N764K:D796Y</w:t>
            </w:r>
            <w:proofErr w:type="gramEnd"/>
            <w:r w:rsidRPr="00203FC0">
              <w:rPr>
                <w:color w:val="000000"/>
                <w:sz w:val="22"/>
                <w:szCs w:val="22"/>
              </w:rPr>
              <w:t>:Q954H:N969K</w:t>
            </w:r>
            <w:proofErr w:type="spellEnd"/>
          </w:p>
        </w:tc>
        <w:tc>
          <w:tcPr>
            <w:tcW w:w="818" w:type="pct"/>
            <w:tcBorders>
              <w:top w:val="single" w:sz="4" w:space="0" w:color="auto"/>
              <w:left w:val="single" w:sz="4" w:space="0" w:color="auto"/>
              <w:bottom w:val="single" w:sz="4" w:space="0" w:color="auto"/>
              <w:right w:val="single" w:sz="4" w:space="0" w:color="auto"/>
            </w:tcBorders>
            <w:vAlign w:val="center"/>
          </w:tcPr>
          <w:p w14:paraId="04453E1B" w14:textId="77777777" w:rsidR="005D39E6" w:rsidRPr="00203FC0" w:rsidRDefault="005D39E6" w:rsidP="006B2FD1">
            <w:pPr>
              <w:spacing w:before="40" w:after="40"/>
              <w:jc w:val="center"/>
              <w:rPr>
                <w:sz w:val="22"/>
                <w:szCs w:val="22"/>
              </w:rPr>
            </w:pPr>
            <w:r w:rsidRPr="00203FC0">
              <w:rPr>
                <w:sz w:val="22"/>
                <w:szCs w:val="22"/>
              </w:rPr>
              <w:t>0.3</w:t>
            </w:r>
          </w:p>
        </w:tc>
        <w:tc>
          <w:tcPr>
            <w:tcW w:w="612" w:type="pct"/>
            <w:tcBorders>
              <w:top w:val="single" w:sz="4" w:space="0" w:color="auto"/>
              <w:left w:val="single" w:sz="4" w:space="0" w:color="auto"/>
              <w:bottom w:val="single" w:sz="4" w:space="0" w:color="auto"/>
              <w:right w:val="single" w:sz="4" w:space="0" w:color="auto"/>
            </w:tcBorders>
            <w:vAlign w:val="center"/>
          </w:tcPr>
          <w:p w14:paraId="6F6C4F19" w14:textId="77777777" w:rsidR="005D39E6" w:rsidRPr="00203FC0" w:rsidRDefault="005D39E6" w:rsidP="006B2FD1">
            <w:pPr>
              <w:spacing w:before="40" w:after="40"/>
              <w:jc w:val="center"/>
              <w:rPr>
                <w:sz w:val="22"/>
                <w:szCs w:val="22"/>
              </w:rPr>
            </w:pPr>
            <w:r w:rsidRPr="00203FC0">
              <w:rPr>
                <w:sz w:val="22"/>
                <w:szCs w:val="22"/>
              </w:rPr>
              <w:t xml:space="preserve">3.6 </w:t>
            </w:r>
          </w:p>
        </w:tc>
      </w:tr>
      <w:tr w:rsidR="005D39E6" w:rsidRPr="00203FC0" w14:paraId="3B974701" w14:textId="77777777" w:rsidTr="00BF4D74">
        <w:trPr>
          <w:cantSplit/>
          <w:trHeight w:val="2105"/>
        </w:trPr>
        <w:tc>
          <w:tcPr>
            <w:tcW w:w="900" w:type="pct"/>
            <w:tcBorders>
              <w:top w:val="single" w:sz="4" w:space="0" w:color="auto"/>
              <w:left w:val="single" w:sz="4" w:space="0" w:color="auto"/>
              <w:bottom w:val="single" w:sz="4" w:space="0" w:color="auto"/>
              <w:right w:val="single" w:sz="4" w:space="0" w:color="auto"/>
            </w:tcBorders>
            <w:vAlign w:val="center"/>
          </w:tcPr>
          <w:p w14:paraId="4D7D07F1" w14:textId="77777777" w:rsidR="005D39E6" w:rsidRPr="00203FC0" w:rsidRDefault="005D39E6" w:rsidP="006B2FD1">
            <w:pPr>
              <w:spacing w:after="0"/>
              <w:jc w:val="center"/>
              <w:rPr>
                <w:rFonts w:eastAsia="TimesNewRoman"/>
                <w:sz w:val="22"/>
                <w:szCs w:val="22"/>
                <w:lang w:eastAsia="ja-JP"/>
              </w:rPr>
            </w:pPr>
            <w:proofErr w:type="spellStart"/>
            <w:r w:rsidRPr="00203FC0">
              <w:rPr>
                <w:rFonts w:eastAsia="TimesNewRoman"/>
                <w:sz w:val="22"/>
                <w:szCs w:val="22"/>
                <w:lang w:eastAsia="ja-JP"/>
              </w:rPr>
              <w:t>XBB.1.5</w:t>
            </w:r>
            <w:proofErr w:type="spellEnd"/>
            <w:r w:rsidRPr="00203FC0">
              <w:rPr>
                <w:rFonts w:eastAsia="TimesNewRoman"/>
                <w:sz w:val="22"/>
                <w:szCs w:val="22"/>
                <w:lang w:eastAsia="ja-JP"/>
              </w:rPr>
              <w:t>/</w:t>
            </w:r>
            <w:proofErr w:type="spellStart"/>
            <w:r w:rsidRPr="00203FC0">
              <w:rPr>
                <w:rFonts w:eastAsia="TimesNewRoman"/>
                <w:sz w:val="22"/>
                <w:szCs w:val="22"/>
                <w:lang w:eastAsia="ja-JP"/>
              </w:rPr>
              <w:t>XBB.1.9</w:t>
            </w:r>
            <w:proofErr w:type="spellEnd"/>
          </w:p>
          <w:p w14:paraId="50A68875" w14:textId="77777777" w:rsidR="005D39E6" w:rsidRPr="00203FC0" w:rsidRDefault="005D39E6" w:rsidP="006B2FD1">
            <w:pPr>
              <w:spacing w:after="0"/>
              <w:jc w:val="center"/>
              <w:rPr>
                <w:rFonts w:eastAsia="TimesNewRoman"/>
                <w:sz w:val="22"/>
                <w:szCs w:val="22"/>
                <w:lang w:eastAsia="ja-JP"/>
              </w:rPr>
            </w:pPr>
            <w:r w:rsidRPr="00203FC0">
              <w:rPr>
                <w:color w:val="000000" w:themeColor="text1"/>
                <w:sz w:val="22"/>
                <w:szCs w:val="22"/>
              </w:rPr>
              <w:t>(Multiple countries)</w:t>
            </w:r>
          </w:p>
        </w:tc>
        <w:tc>
          <w:tcPr>
            <w:tcW w:w="650" w:type="pct"/>
            <w:tcBorders>
              <w:top w:val="single" w:sz="4" w:space="0" w:color="auto"/>
              <w:left w:val="single" w:sz="4" w:space="0" w:color="auto"/>
              <w:bottom w:val="single" w:sz="4" w:space="0" w:color="auto"/>
              <w:right w:val="single" w:sz="4" w:space="0" w:color="auto"/>
            </w:tcBorders>
            <w:vAlign w:val="center"/>
          </w:tcPr>
          <w:p w14:paraId="1FCDDD87" w14:textId="77777777" w:rsidR="005D39E6" w:rsidRPr="00203FC0" w:rsidRDefault="005D39E6" w:rsidP="006B2FD1">
            <w:pPr>
              <w:spacing w:after="0"/>
              <w:jc w:val="center"/>
              <w:rPr>
                <w:color w:val="000000" w:themeColor="text1"/>
                <w:sz w:val="22"/>
                <w:szCs w:val="22"/>
              </w:rPr>
            </w:pPr>
            <w:r w:rsidRPr="00203FC0">
              <w:rPr>
                <w:color w:val="000000" w:themeColor="text1"/>
                <w:sz w:val="22"/>
                <w:szCs w:val="22"/>
              </w:rPr>
              <w:t xml:space="preserve">Omicron </w:t>
            </w:r>
            <w:proofErr w:type="spellStart"/>
            <w:r w:rsidRPr="00203FC0">
              <w:rPr>
                <w:color w:val="000000" w:themeColor="text1"/>
                <w:sz w:val="22"/>
                <w:szCs w:val="22"/>
              </w:rPr>
              <w:t>XBB.1.5</w:t>
            </w:r>
            <w:proofErr w:type="spellEnd"/>
            <w:r w:rsidRPr="00203FC0">
              <w:rPr>
                <w:color w:val="000000" w:themeColor="text1"/>
                <w:sz w:val="22"/>
                <w:szCs w:val="22"/>
              </w:rPr>
              <w:t>/</w:t>
            </w:r>
            <w:r w:rsidRPr="00203FC0">
              <w:rPr>
                <w:color w:val="000000" w:themeColor="text1"/>
                <w:sz w:val="22"/>
                <w:szCs w:val="22"/>
              </w:rPr>
              <w:br/>
            </w:r>
            <w:proofErr w:type="spellStart"/>
            <w:r w:rsidRPr="00203FC0">
              <w:rPr>
                <w:color w:val="000000" w:themeColor="text1"/>
                <w:sz w:val="22"/>
                <w:szCs w:val="22"/>
              </w:rPr>
              <w:t>XBB.1.9</w:t>
            </w:r>
            <w:proofErr w:type="spellEnd"/>
          </w:p>
        </w:tc>
        <w:tc>
          <w:tcPr>
            <w:tcW w:w="2021" w:type="pct"/>
            <w:tcBorders>
              <w:top w:val="single" w:sz="4" w:space="0" w:color="auto"/>
              <w:left w:val="single" w:sz="4" w:space="0" w:color="auto"/>
              <w:bottom w:val="single" w:sz="4" w:space="0" w:color="auto"/>
              <w:right w:val="single" w:sz="4" w:space="0" w:color="auto"/>
            </w:tcBorders>
            <w:vAlign w:val="center"/>
          </w:tcPr>
          <w:p w14:paraId="37B84289" w14:textId="77777777" w:rsidR="005D39E6" w:rsidRPr="00203FC0" w:rsidRDefault="005D39E6" w:rsidP="006B2FD1">
            <w:pPr>
              <w:spacing w:after="0"/>
              <w:rPr>
                <w:color w:val="000000" w:themeColor="text1"/>
                <w:sz w:val="22"/>
                <w:szCs w:val="22"/>
              </w:rPr>
            </w:pPr>
            <w:proofErr w:type="spellStart"/>
            <w:proofErr w:type="gramStart"/>
            <w:r w:rsidRPr="00203FC0">
              <w:rPr>
                <w:iCs/>
                <w:color w:val="000000" w:themeColor="text1"/>
                <w:sz w:val="22"/>
                <w:szCs w:val="22"/>
              </w:rPr>
              <w:t>T19I:L24S:del</w:t>
            </w:r>
            <w:proofErr w:type="gramEnd"/>
            <w:r w:rsidRPr="00203FC0">
              <w:rPr>
                <w:iCs/>
                <w:color w:val="000000" w:themeColor="text1"/>
                <w:sz w:val="22"/>
                <w:szCs w:val="22"/>
              </w:rPr>
              <w:t>25-</w:t>
            </w:r>
            <w:proofErr w:type="gramStart"/>
            <w:r w:rsidRPr="00203FC0">
              <w:rPr>
                <w:iCs/>
                <w:color w:val="000000" w:themeColor="text1"/>
                <w:sz w:val="22"/>
                <w:szCs w:val="22"/>
              </w:rPr>
              <w:t>27:V83A:G142D</w:t>
            </w:r>
            <w:proofErr w:type="spellEnd"/>
            <w:proofErr w:type="gramEnd"/>
            <w:r w:rsidRPr="00203FC0">
              <w:rPr>
                <w:iCs/>
                <w:color w:val="000000" w:themeColor="text1"/>
                <w:sz w:val="22"/>
                <w:szCs w:val="22"/>
              </w:rPr>
              <w:t xml:space="preserve">: </w:t>
            </w:r>
            <w:proofErr w:type="spellStart"/>
            <w:r w:rsidRPr="00203FC0">
              <w:rPr>
                <w:iCs/>
                <w:color w:val="000000" w:themeColor="text1"/>
                <w:sz w:val="22"/>
                <w:szCs w:val="22"/>
              </w:rPr>
              <w:t>del</w:t>
            </w:r>
            <w:proofErr w:type="gramStart"/>
            <w:r w:rsidRPr="00203FC0">
              <w:rPr>
                <w:iCs/>
                <w:color w:val="000000" w:themeColor="text1"/>
                <w:sz w:val="22"/>
                <w:szCs w:val="22"/>
              </w:rPr>
              <w:t>144:H146Q:Q183E</w:t>
            </w:r>
            <w:proofErr w:type="gramEnd"/>
            <w:r w:rsidRPr="00203FC0">
              <w:rPr>
                <w:iCs/>
                <w:color w:val="000000" w:themeColor="text1"/>
                <w:sz w:val="22"/>
                <w:szCs w:val="22"/>
              </w:rPr>
              <w:t>:</w:t>
            </w:r>
            <w:proofErr w:type="gramStart"/>
            <w:r w:rsidRPr="00203FC0">
              <w:rPr>
                <w:iCs/>
                <w:color w:val="000000" w:themeColor="text1"/>
                <w:sz w:val="22"/>
                <w:szCs w:val="22"/>
              </w:rPr>
              <w:t>V213E:G252V:G339H:R346T</w:t>
            </w:r>
            <w:proofErr w:type="gramEnd"/>
            <w:r w:rsidRPr="00203FC0">
              <w:rPr>
                <w:iCs/>
                <w:color w:val="000000" w:themeColor="text1"/>
                <w:sz w:val="22"/>
                <w:szCs w:val="22"/>
              </w:rPr>
              <w:t>:</w:t>
            </w:r>
            <w:proofErr w:type="gramStart"/>
            <w:r w:rsidRPr="00203FC0">
              <w:rPr>
                <w:iCs/>
                <w:color w:val="000000" w:themeColor="text1"/>
                <w:sz w:val="22"/>
                <w:szCs w:val="22"/>
              </w:rPr>
              <w:t>L368I:S371F:S</w:t>
            </w:r>
            <w:proofErr w:type="gramEnd"/>
            <w:r w:rsidRPr="00203FC0">
              <w:rPr>
                <w:iCs/>
                <w:color w:val="000000" w:themeColor="text1"/>
                <w:sz w:val="22"/>
                <w:szCs w:val="22"/>
              </w:rPr>
              <w:t>373P</w:t>
            </w:r>
            <w:proofErr w:type="spellEnd"/>
            <w:r w:rsidRPr="00203FC0">
              <w:rPr>
                <w:iCs/>
                <w:color w:val="000000" w:themeColor="text1"/>
                <w:sz w:val="22"/>
                <w:szCs w:val="22"/>
              </w:rPr>
              <w:t xml:space="preserve">: </w:t>
            </w:r>
            <w:proofErr w:type="spellStart"/>
            <w:proofErr w:type="gramStart"/>
            <w:r w:rsidRPr="00203FC0">
              <w:rPr>
                <w:iCs/>
                <w:color w:val="000000" w:themeColor="text1"/>
                <w:sz w:val="22"/>
                <w:szCs w:val="22"/>
              </w:rPr>
              <w:t>S375F:T376A:D405N:R408S</w:t>
            </w:r>
            <w:proofErr w:type="gramEnd"/>
            <w:r w:rsidRPr="00203FC0">
              <w:rPr>
                <w:iCs/>
                <w:color w:val="000000" w:themeColor="text1"/>
                <w:sz w:val="22"/>
                <w:szCs w:val="22"/>
              </w:rPr>
              <w:t>:K417N</w:t>
            </w:r>
            <w:proofErr w:type="spellEnd"/>
            <w:r w:rsidRPr="00203FC0">
              <w:rPr>
                <w:iCs/>
                <w:color w:val="000000" w:themeColor="text1"/>
                <w:sz w:val="22"/>
                <w:szCs w:val="22"/>
              </w:rPr>
              <w:t xml:space="preserve">: </w:t>
            </w:r>
            <w:proofErr w:type="spellStart"/>
            <w:proofErr w:type="gramStart"/>
            <w:r w:rsidRPr="00203FC0">
              <w:rPr>
                <w:iCs/>
                <w:color w:val="000000" w:themeColor="text1"/>
                <w:sz w:val="22"/>
                <w:szCs w:val="22"/>
              </w:rPr>
              <w:t>N440K:V445P:G446S:N460K</w:t>
            </w:r>
            <w:proofErr w:type="gramEnd"/>
            <w:r w:rsidRPr="00203FC0">
              <w:rPr>
                <w:iCs/>
                <w:color w:val="000000" w:themeColor="text1"/>
                <w:sz w:val="22"/>
                <w:szCs w:val="22"/>
              </w:rPr>
              <w:t>:S477N</w:t>
            </w:r>
            <w:proofErr w:type="spellEnd"/>
            <w:r w:rsidRPr="00203FC0">
              <w:rPr>
                <w:iCs/>
                <w:color w:val="000000" w:themeColor="text1"/>
                <w:sz w:val="22"/>
                <w:szCs w:val="22"/>
              </w:rPr>
              <w:t xml:space="preserve">: </w:t>
            </w:r>
            <w:proofErr w:type="spellStart"/>
            <w:proofErr w:type="gramStart"/>
            <w:r w:rsidRPr="00203FC0">
              <w:rPr>
                <w:iCs/>
                <w:color w:val="000000" w:themeColor="text1"/>
                <w:sz w:val="22"/>
                <w:szCs w:val="22"/>
              </w:rPr>
              <w:t>T478K:E484A:S486P:F490S</w:t>
            </w:r>
            <w:proofErr w:type="gramEnd"/>
            <w:r w:rsidRPr="00203FC0">
              <w:rPr>
                <w:iCs/>
                <w:color w:val="000000" w:themeColor="text1"/>
                <w:sz w:val="22"/>
                <w:szCs w:val="22"/>
              </w:rPr>
              <w:t>:Q498R</w:t>
            </w:r>
            <w:proofErr w:type="spellEnd"/>
            <w:r w:rsidRPr="00203FC0">
              <w:rPr>
                <w:iCs/>
                <w:color w:val="000000" w:themeColor="text1"/>
                <w:sz w:val="22"/>
                <w:szCs w:val="22"/>
              </w:rPr>
              <w:t xml:space="preserve">: </w:t>
            </w:r>
            <w:proofErr w:type="spellStart"/>
            <w:proofErr w:type="gramStart"/>
            <w:r w:rsidRPr="00203FC0">
              <w:rPr>
                <w:iCs/>
                <w:color w:val="000000" w:themeColor="text1"/>
                <w:sz w:val="22"/>
                <w:szCs w:val="22"/>
              </w:rPr>
              <w:t>N501Y:Y505H:D614G:H655Y</w:t>
            </w:r>
            <w:proofErr w:type="gramEnd"/>
            <w:r w:rsidRPr="00203FC0">
              <w:rPr>
                <w:iCs/>
                <w:color w:val="000000" w:themeColor="text1"/>
                <w:sz w:val="22"/>
                <w:szCs w:val="22"/>
              </w:rPr>
              <w:t>:</w:t>
            </w:r>
            <w:proofErr w:type="gramStart"/>
            <w:r w:rsidRPr="00203FC0">
              <w:rPr>
                <w:iCs/>
                <w:color w:val="000000" w:themeColor="text1"/>
                <w:sz w:val="22"/>
                <w:szCs w:val="22"/>
              </w:rPr>
              <w:t>N679K:P681H:N764K:D796Y</w:t>
            </w:r>
            <w:proofErr w:type="gramEnd"/>
            <w:r w:rsidRPr="00203FC0">
              <w:rPr>
                <w:iCs/>
                <w:color w:val="000000" w:themeColor="text1"/>
                <w:sz w:val="22"/>
                <w:szCs w:val="22"/>
              </w:rPr>
              <w:t>:Q954H:N969K</w:t>
            </w:r>
            <w:proofErr w:type="spellEnd"/>
          </w:p>
        </w:tc>
        <w:tc>
          <w:tcPr>
            <w:tcW w:w="818" w:type="pct"/>
            <w:tcBorders>
              <w:top w:val="single" w:sz="4" w:space="0" w:color="auto"/>
              <w:left w:val="single" w:sz="4" w:space="0" w:color="auto"/>
              <w:bottom w:val="single" w:sz="4" w:space="0" w:color="auto"/>
              <w:right w:val="single" w:sz="4" w:space="0" w:color="auto"/>
            </w:tcBorders>
            <w:vAlign w:val="center"/>
          </w:tcPr>
          <w:p w14:paraId="32DD47FA" w14:textId="77777777" w:rsidR="005D39E6" w:rsidRPr="00203FC0" w:rsidRDefault="005D39E6" w:rsidP="006B2FD1">
            <w:pPr>
              <w:spacing w:after="0"/>
              <w:jc w:val="center"/>
              <w:rPr>
                <w:sz w:val="22"/>
                <w:szCs w:val="22"/>
              </w:rPr>
            </w:pPr>
            <w:r w:rsidRPr="00203FC0">
              <w:rPr>
                <w:sz w:val="22"/>
                <w:szCs w:val="22"/>
              </w:rPr>
              <w:t>0.4</w:t>
            </w:r>
          </w:p>
        </w:tc>
        <w:tc>
          <w:tcPr>
            <w:tcW w:w="612" w:type="pct"/>
            <w:tcBorders>
              <w:top w:val="single" w:sz="4" w:space="0" w:color="auto"/>
              <w:left w:val="single" w:sz="4" w:space="0" w:color="auto"/>
              <w:bottom w:val="single" w:sz="4" w:space="0" w:color="auto"/>
              <w:right w:val="single" w:sz="4" w:space="0" w:color="auto"/>
            </w:tcBorders>
            <w:vAlign w:val="center"/>
          </w:tcPr>
          <w:p w14:paraId="6E1F2339" w14:textId="77777777" w:rsidR="005D39E6" w:rsidRPr="00203FC0" w:rsidRDefault="005D39E6" w:rsidP="006B2FD1">
            <w:pPr>
              <w:spacing w:after="0"/>
              <w:jc w:val="center"/>
              <w:rPr>
                <w:sz w:val="22"/>
                <w:szCs w:val="22"/>
              </w:rPr>
            </w:pPr>
            <w:r w:rsidRPr="00203FC0">
              <w:rPr>
                <w:sz w:val="22"/>
                <w:szCs w:val="22"/>
              </w:rPr>
              <w:t>5.8</w:t>
            </w:r>
          </w:p>
        </w:tc>
      </w:tr>
      <w:tr w:rsidR="005D39E6" w:rsidRPr="00203FC0" w14:paraId="1B710B51" w14:textId="77777777" w:rsidTr="00BF4D74">
        <w:trPr>
          <w:cantSplit/>
          <w:trHeight w:val="2240"/>
        </w:trPr>
        <w:tc>
          <w:tcPr>
            <w:tcW w:w="900" w:type="pct"/>
            <w:tcBorders>
              <w:top w:val="single" w:sz="4" w:space="0" w:color="auto"/>
              <w:left w:val="single" w:sz="4" w:space="0" w:color="auto"/>
              <w:bottom w:val="single" w:sz="4" w:space="0" w:color="auto"/>
              <w:right w:val="single" w:sz="4" w:space="0" w:color="auto"/>
            </w:tcBorders>
            <w:vAlign w:val="center"/>
          </w:tcPr>
          <w:p w14:paraId="358BD099" w14:textId="77777777" w:rsidR="005D39E6" w:rsidRPr="00203FC0" w:rsidRDefault="005D39E6" w:rsidP="006B2FD1">
            <w:pPr>
              <w:spacing w:after="0"/>
              <w:jc w:val="center"/>
              <w:rPr>
                <w:rFonts w:eastAsia="TimesNewRoman"/>
                <w:sz w:val="22"/>
                <w:szCs w:val="22"/>
                <w:lang w:eastAsia="ja-JP"/>
              </w:rPr>
            </w:pPr>
            <w:proofErr w:type="spellStart"/>
            <w:r w:rsidRPr="00203FC0">
              <w:rPr>
                <w:rFonts w:eastAsia="TimesNewRoman"/>
                <w:sz w:val="22"/>
                <w:szCs w:val="22"/>
                <w:lang w:eastAsia="ja-JP"/>
              </w:rPr>
              <w:lastRenderedPageBreak/>
              <w:t>XBB.1.16</w:t>
            </w:r>
            <w:proofErr w:type="spellEnd"/>
          </w:p>
          <w:p w14:paraId="4FCE5240" w14:textId="77777777" w:rsidR="005D39E6" w:rsidRPr="00203FC0" w:rsidRDefault="005D39E6" w:rsidP="006B2FD1">
            <w:pPr>
              <w:spacing w:after="0"/>
              <w:jc w:val="center"/>
              <w:rPr>
                <w:rFonts w:eastAsia="TimesNewRoman"/>
                <w:sz w:val="22"/>
                <w:szCs w:val="22"/>
                <w:lang w:eastAsia="ja-JP"/>
              </w:rPr>
            </w:pPr>
            <w:r w:rsidRPr="00203FC0">
              <w:rPr>
                <w:rFonts w:eastAsia="TimesNewRoman"/>
                <w:sz w:val="22"/>
                <w:szCs w:val="22"/>
                <w:lang w:eastAsia="ja-JP"/>
              </w:rPr>
              <w:t>(India)</w:t>
            </w:r>
          </w:p>
        </w:tc>
        <w:tc>
          <w:tcPr>
            <w:tcW w:w="650" w:type="pct"/>
            <w:tcBorders>
              <w:top w:val="single" w:sz="4" w:space="0" w:color="auto"/>
              <w:left w:val="single" w:sz="4" w:space="0" w:color="auto"/>
              <w:bottom w:val="single" w:sz="4" w:space="0" w:color="auto"/>
              <w:right w:val="single" w:sz="4" w:space="0" w:color="auto"/>
            </w:tcBorders>
            <w:vAlign w:val="center"/>
          </w:tcPr>
          <w:p w14:paraId="393644D5" w14:textId="77777777" w:rsidR="005D39E6" w:rsidRPr="00203FC0" w:rsidRDefault="005D39E6" w:rsidP="006B2FD1">
            <w:pPr>
              <w:spacing w:after="0"/>
              <w:jc w:val="center"/>
              <w:rPr>
                <w:color w:val="000000" w:themeColor="text1"/>
                <w:sz w:val="22"/>
                <w:szCs w:val="22"/>
              </w:rPr>
            </w:pPr>
            <w:r w:rsidRPr="00203FC0">
              <w:rPr>
                <w:color w:val="000000" w:themeColor="text1"/>
                <w:sz w:val="22"/>
                <w:szCs w:val="22"/>
              </w:rPr>
              <w:t xml:space="preserve">Omicron </w:t>
            </w:r>
            <w:proofErr w:type="spellStart"/>
            <w:r w:rsidRPr="00203FC0">
              <w:rPr>
                <w:color w:val="000000" w:themeColor="text1"/>
                <w:sz w:val="22"/>
                <w:szCs w:val="22"/>
              </w:rPr>
              <w:t>XBB.1.16</w:t>
            </w:r>
            <w:proofErr w:type="spellEnd"/>
          </w:p>
        </w:tc>
        <w:tc>
          <w:tcPr>
            <w:tcW w:w="2021" w:type="pct"/>
            <w:tcBorders>
              <w:top w:val="single" w:sz="4" w:space="0" w:color="auto"/>
              <w:left w:val="single" w:sz="4" w:space="0" w:color="auto"/>
              <w:bottom w:val="single" w:sz="4" w:space="0" w:color="auto"/>
              <w:right w:val="single" w:sz="4" w:space="0" w:color="auto"/>
            </w:tcBorders>
            <w:vAlign w:val="center"/>
          </w:tcPr>
          <w:p w14:paraId="71FB6236" w14:textId="77777777" w:rsidR="005D39E6" w:rsidRPr="00203FC0" w:rsidRDefault="005D39E6" w:rsidP="006B2FD1">
            <w:pPr>
              <w:spacing w:after="0"/>
              <w:rPr>
                <w:color w:val="000000" w:themeColor="text1"/>
                <w:sz w:val="22"/>
                <w:szCs w:val="22"/>
              </w:rPr>
            </w:pPr>
            <w:proofErr w:type="spellStart"/>
            <w:r w:rsidRPr="00203FC0">
              <w:rPr>
                <w:iCs/>
                <w:color w:val="000000" w:themeColor="text1"/>
                <w:sz w:val="22"/>
                <w:szCs w:val="22"/>
              </w:rPr>
              <w:t>T19</w:t>
            </w:r>
            <w:proofErr w:type="gramStart"/>
            <w:r w:rsidRPr="00203FC0">
              <w:rPr>
                <w:iCs/>
                <w:color w:val="000000" w:themeColor="text1"/>
                <w:sz w:val="22"/>
                <w:szCs w:val="22"/>
              </w:rPr>
              <w:t>I:del</w:t>
            </w:r>
            <w:proofErr w:type="gramEnd"/>
            <w:r w:rsidRPr="00203FC0">
              <w:rPr>
                <w:iCs/>
                <w:color w:val="000000" w:themeColor="text1"/>
                <w:sz w:val="22"/>
                <w:szCs w:val="22"/>
              </w:rPr>
              <w:t>24-</w:t>
            </w:r>
            <w:proofErr w:type="gramStart"/>
            <w:r w:rsidRPr="00203FC0">
              <w:rPr>
                <w:iCs/>
                <w:color w:val="000000" w:themeColor="text1"/>
                <w:sz w:val="22"/>
                <w:szCs w:val="22"/>
              </w:rPr>
              <w:t>26:A27S:V83A</w:t>
            </w:r>
            <w:proofErr w:type="gramEnd"/>
            <w:r w:rsidRPr="00203FC0">
              <w:rPr>
                <w:iCs/>
                <w:color w:val="000000" w:themeColor="text1"/>
                <w:sz w:val="22"/>
                <w:szCs w:val="22"/>
              </w:rPr>
              <w:t>:G142D</w:t>
            </w:r>
            <w:proofErr w:type="spellEnd"/>
            <w:r w:rsidRPr="00203FC0">
              <w:rPr>
                <w:iCs/>
                <w:color w:val="000000" w:themeColor="text1"/>
                <w:sz w:val="22"/>
                <w:szCs w:val="22"/>
              </w:rPr>
              <w:t xml:space="preserve">: </w:t>
            </w:r>
            <w:proofErr w:type="spellStart"/>
            <w:r w:rsidRPr="00203FC0">
              <w:rPr>
                <w:iCs/>
                <w:color w:val="000000" w:themeColor="text1"/>
                <w:sz w:val="22"/>
                <w:szCs w:val="22"/>
              </w:rPr>
              <w:t>Y144</w:t>
            </w:r>
            <w:proofErr w:type="spellEnd"/>
            <w:proofErr w:type="gramStart"/>
            <w:r w:rsidRPr="00203FC0">
              <w:rPr>
                <w:iCs/>
                <w:color w:val="000000" w:themeColor="text1"/>
                <w:sz w:val="22"/>
                <w:szCs w:val="22"/>
              </w:rPr>
              <w:t>-:</w:t>
            </w:r>
            <w:proofErr w:type="spellStart"/>
            <w:r w:rsidRPr="00203FC0">
              <w:rPr>
                <w:iCs/>
                <w:color w:val="000000" w:themeColor="text1"/>
                <w:sz w:val="22"/>
                <w:szCs w:val="22"/>
              </w:rPr>
              <w:t>H146Q:E180V</w:t>
            </w:r>
            <w:proofErr w:type="gramEnd"/>
            <w:r w:rsidRPr="00203FC0">
              <w:rPr>
                <w:iCs/>
                <w:color w:val="000000" w:themeColor="text1"/>
                <w:sz w:val="22"/>
                <w:szCs w:val="22"/>
              </w:rPr>
              <w:t>:Q183E:V213E</w:t>
            </w:r>
            <w:proofErr w:type="spellEnd"/>
            <w:r w:rsidRPr="00203FC0">
              <w:rPr>
                <w:iCs/>
                <w:color w:val="000000" w:themeColor="text1"/>
                <w:sz w:val="22"/>
                <w:szCs w:val="22"/>
              </w:rPr>
              <w:t xml:space="preserve">: </w:t>
            </w:r>
            <w:proofErr w:type="spellStart"/>
            <w:proofErr w:type="gramStart"/>
            <w:r w:rsidRPr="00203FC0">
              <w:rPr>
                <w:iCs/>
                <w:color w:val="000000" w:themeColor="text1"/>
                <w:sz w:val="22"/>
                <w:szCs w:val="22"/>
              </w:rPr>
              <w:t>G252V:G339H:R346T:L368I</w:t>
            </w:r>
            <w:proofErr w:type="gramEnd"/>
            <w:r w:rsidRPr="00203FC0">
              <w:rPr>
                <w:iCs/>
                <w:color w:val="000000" w:themeColor="text1"/>
                <w:sz w:val="22"/>
                <w:szCs w:val="22"/>
              </w:rPr>
              <w:t>:S371F</w:t>
            </w:r>
            <w:proofErr w:type="spellEnd"/>
            <w:r w:rsidRPr="00203FC0">
              <w:rPr>
                <w:iCs/>
                <w:color w:val="000000" w:themeColor="text1"/>
                <w:sz w:val="22"/>
                <w:szCs w:val="22"/>
              </w:rPr>
              <w:t xml:space="preserve">: </w:t>
            </w:r>
            <w:proofErr w:type="spellStart"/>
            <w:proofErr w:type="gramStart"/>
            <w:r w:rsidRPr="00203FC0">
              <w:rPr>
                <w:iCs/>
                <w:color w:val="000000" w:themeColor="text1"/>
                <w:sz w:val="22"/>
                <w:szCs w:val="22"/>
              </w:rPr>
              <w:t>S373P:S375F:T376A:D405N</w:t>
            </w:r>
            <w:proofErr w:type="gramEnd"/>
            <w:r w:rsidRPr="00203FC0">
              <w:rPr>
                <w:iCs/>
                <w:color w:val="000000" w:themeColor="text1"/>
                <w:sz w:val="22"/>
                <w:szCs w:val="22"/>
              </w:rPr>
              <w:t>:R408S</w:t>
            </w:r>
            <w:proofErr w:type="spellEnd"/>
            <w:r w:rsidRPr="00203FC0">
              <w:rPr>
                <w:iCs/>
                <w:color w:val="000000" w:themeColor="text1"/>
                <w:sz w:val="22"/>
                <w:szCs w:val="22"/>
              </w:rPr>
              <w:t xml:space="preserve">: </w:t>
            </w:r>
            <w:proofErr w:type="spellStart"/>
            <w:proofErr w:type="gramStart"/>
            <w:r w:rsidRPr="00203FC0">
              <w:rPr>
                <w:iCs/>
                <w:color w:val="000000" w:themeColor="text1"/>
                <w:sz w:val="22"/>
                <w:szCs w:val="22"/>
              </w:rPr>
              <w:t>K417N:N440K:V445P:G446S</w:t>
            </w:r>
            <w:proofErr w:type="gramEnd"/>
            <w:r w:rsidRPr="00203FC0">
              <w:rPr>
                <w:iCs/>
                <w:color w:val="000000" w:themeColor="text1"/>
                <w:sz w:val="22"/>
                <w:szCs w:val="22"/>
              </w:rPr>
              <w:t>:</w:t>
            </w:r>
            <w:proofErr w:type="gramStart"/>
            <w:r w:rsidRPr="00203FC0">
              <w:rPr>
                <w:iCs/>
                <w:color w:val="000000" w:themeColor="text1"/>
                <w:sz w:val="22"/>
                <w:szCs w:val="22"/>
              </w:rPr>
              <w:t>N460K:S477N:T</w:t>
            </w:r>
            <w:proofErr w:type="gramEnd"/>
            <w:r w:rsidRPr="00203FC0">
              <w:rPr>
                <w:iCs/>
                <w:color w:val="000000" w:themeColor="text1"/>
                <w:sz w:val="22"/>
                <w:szCs w:val="22"/>
              </w:rPr>
              <w:t>478</w:t>
            </w:r>
            <w:proofErr w:type="gramStart"/>
            <w:r w:rsidRPr="00203FC0">
              <w:rPr>
                <w:iCs/>
                <w:color w:val="000000" w:themeColor="text1"/>
                <w:sz w:val="22"/>
                <w:szCs w:val="22"/>
              </w:rPr>
              <w:t>R,E484A:F486P</w:t>
            </w:r>
            <w:proofErr w:type="gramEnd"/>
            <w:r w:rsidRPr="00203FC0">
              <w:rPr>
                <w:iCs/>
                <w:color w:val="000000" w:themeColor="text1"/>
                <w:sz w:val="22"/>
                <w:szCs w:val="22"/>
              </w:rPr>
              <w:t>:F490S</w:t>
            </w:r>
            <w:proofErr w:type="spellEnd"/>
            <w:r w:rsidRPr="00203FC0">
              <w:rPr>
                <w:iCs/>
                <w:color w:val="000000" w:themeColor="text1"/>
                <w:sz w:val="22"/>
                <w:szCs w:val="22"/>
              </w:rPr>
              <w:t xml:space="preserve">: </w:t>
            </w:r>
            <w:proofErr w:type="gramStart"/>
            <w:r w:rsidRPr="00203FC0">
              <w:rPr>
                <w:iCs/>
                <w:color w:val="000000" w:themeColor="text1"/>
                <w:sz w:val="22"/>
                <w:szCs w:val="22"/>
              </w:rPr>
              <w:t>Q498R:N501Y:Y505H:D614G</w:t>
            </w:r>
            <w:proofErr w:type="gramEnd"/>
            <w:r w:rsidRPr="00203FC0">
              <w:rPr>
                <w:iCs/>
                <w:color w:val="000000" w:themeColor="text1"/>
                <w:sz w:val="22"/>
                <w:szCs w:val="22"/>
              </w:rPr>
              <w:t>:</w:t>
            </w:r>
            <w:proofErr w:type="gramStart"/>
            <w:r w:rsidRPr="00203FC0">
              <w:rPr>
                <w:iCs/>
                <w:color w:val="000000" w:themeColor="text1"/>
                <w:sz w:val="22"/>
                <w:szCs w:val="22"/>
              </w:rPr>
              <w:t>H655Y:N679K:P681H:N764K</w:t>
            </w:r>
            <w:proofErr w:type="gramEnd"/>
            <w:r w:rsidRPr="00203FC0">
              <w:rPr>
                <w:iCs/>
                <w:color w:val="000000" w:themeColor="text1"/>
                <w:sz w:val="22"/>
                <w:szCs w:val="22"/>
              </w:rPr>
              <w:t>:</w:t>
            </w:r>
            <w:proofErr w:type="gramStart"/>
            <w:r w:rsidRPr="00203FC0">
              <w:rPr>
                <w:iCs/>
                <w:color w:val="000000" w:themeColor="text1"/>
                <w:sz w:val="22"/>
                <w:szCs w:val="22"/>
              </w:rPr>
              <w:t>D796Y:Q954H:N</w:t>
            </w:r>
            <w:proofErr w:type="gramEnd"/>
            <w:r w:rsidRPr="00203FC0">
              <w:rPr>
                <w:iCs/>
                <w:color w:val="000000" w:themeColor="text1"/>
                <w:sz w:val="22"/>
                <w:szCs w:val="22"/>
              </w:rPr>
              <w:t>969</w:t>
            </w:r>
          </w:p>
        </w:tc>
        <w:tc>
          <w:tcPr>
            <w:tcW w:w="818" w:type="pct"/>
            <w:tcBorders>
              <w:top w:val="single" w:sz="4" w:space="0" w:color="auto"/>
              <w:left w:val="single" w:sz="4" w:space="0" w:color="auto"/>
              <w:bottom w:val="single" w:sz="4" w:space="0" w:color="auto"/>
              <w:right w:val="single" w:sz="4" w:space="0" w:color="auto"/>
            </w:tcBorders>
            <w:vAlign w:val="center"/>
          </w:tcPr>
          <w:p w14:paraId="53F3B2B8" w14:textId="77777777" w:rsidR="005D39E6" w:rsidRPr="00203FC0" w:rsidRDefault="005D39E6" w:rsidP="006B2FD1">
            <w:pPr>
              <w:spacing w:after="0"/>
              <w:jc w:val="center"/>
              <w:rPr>
                <w:sz w:val="22"/>
                <w:szCs w:val="22"/>
              </w:rPr>
            </w:pPr>
            <w:r w:rsidRPr="00203FC0">
              <w:rPr>
                <w:sz w:val="22"/>
                <w:szCs w:val="22"/>
              </w:rPr>
              <w:t>0.1</w:t>
            </w:r>
          </w:p>
        </w:tc>
        <w:tc>
          <w:tcPr>
            <w:tcW w:w="612" w:type="pct"/>
            <w:tcBorders>
              <w:top w:val="single" w:sz="4" w:space="0" w:color="auto"/>
              <w:left w:val="single" w:sz="4" w:space="0" w:color="auto"/>
              <w:bottom w:val="single" w:sz="4" w:space="0" w:color="auto"/>
              <w:right w:val="single" w:sz="4" w:space="0" w:color="auto"/>
            </w:tcBorders>
            <w:vAlign w:val="center"/>
          </w:tcPr>
          <w:p w14:paraId="471C157C" w14:textId="77777777" w:rsidR="005D39E6" w:rsidRPr="00203FC0" w:rsidRDefault="005D39E6" w:rsidP="006B2FD1">
            <w:pPr>
              <w:spacing w:after="0"/>
              <w:jc w:val="center"/>
              <w:rPr>
                <w:sz w:val="22"/>
                <w:szCs w:val="22"/>
              </w:rPr>
            </w:pPr>
            <w:r w:rsidRPr="00203FC0">
              <w:rPr>
                <w:sz w:val="22"/>
                <w:szCs w:val="22"/>
              </w:rPr>
              <w:t>1.3</w:t>
            </w:r>
          </w:p>
        </w:tc>
      </w:tr>
      <w:tr w:rsidR="005D39E6" w:rsidRPr="00203FC0" w14:paraId="67E153B7" w14:textId="77777777" w:rsidTr="00BF4D74">
        <w:trPr>
          <w:cantSplit/>
          <w:trHeight w:val="2240"/>
        </w:trPr>
        <w:tc>
          <w:tcPr>
            <w:tcW w:w="900" w:type="pct"/>
            <w:tcBorders>
              <w:top w:val="single" w:sz="4" w:space="0" w:color="auto"/>
              <w:left w:val="single" w:sz="4" w:space="0" w:color="auto"/>
              <w:bottom w:val="single" w:sz="4" w:space="0" w:color="auto"/>
              <w:right w:val="single" w:sz="4" w:space="0" w:color="auto"/>
            </w:tcBorders>
            <w:vAlign w:val="center"/>
          </w:tcPr>
          <w:p w14:paraId="5ACBF106" w14:textId="77777777" w:rsidR="005D39E6" w:rsidRPr="00203FC0" w:rsidRDefault="005D39E6" w:rsidP="006B2FD1">
            <w:pPr>
              <w:spacing w:after="0"/>
              <w:jc w:val="center"/>
              <w:rPr>
                <w:rFonts w:eastAsia="TimesNewRoman"/>
                <w:sz w:val="22"/>
                <w:szCs w:val="22"/>
                <w:lang w:eastAsia="ja-JP"/>
              </w:rPr>
            </w:pPr>
            <w:proofErr w:type="spellStart"/>
            <w:r w:rsidRPr="00203FC0">
              <w:rPr>
                <w:rFonts w:eastAsia="TimesNewRoman"/>
                <w:sz w:val="22"/>
                <w:szCs w:val="22"/>
                <w:lang w:eastAsia="ja-JP"/>
              </w:rPr>
              <w:t>XBB.2.3</w:t>
            </w:r>
            <w:proofErr w:type="spellEnd"/>
          </w:p>
          <w:p w14:paraId="5CEA61C6" w14:textId="77777777" w:rsidR="005D39E6" w:rsidRPr="00203FC0" w:rsidRDefault="005D39E6" w:rsidP="006B2FD1">
            <w:pPr>
              <w:spacing w:after="0"/>
              <w:jc w:val="center"/>
              <w:rPr>
                <w:rFonts w:eastAsia="TimesNewRoman"/>
                <w:sz w:val="22"/>
                <w:szCs w:val="22"/>
                <w:lang w:eastAsia="ja-JP"/>
              </w:rPr>
            </w:pPr>
            <w:r w:rsidRPr="00203FC0">
              <w:rPr>
                <w:rFonts w:eastAsia="TimesNewRoman"/>
                <w:sz w:val="22"/>
                <w:szCs w:val="22"/>
                <w:lang w:eastAsia="ja-JP"/>
              </w:rPr>
              <w:t>(Multiple countries)</w:t>
            </w:r>
          </w:p>
        </w:tc>
        <w:tc>
          <w:tcPr>
            <w:tcW w:w="650" w:type="pct"/>
            <w:tcBorders>
              <w:top w:val="single" w:sz="4" w:space="0" w:color="auto"/>
              <w:left w:val="single" w:sz="4" w:space="0" w:color="auto"/>
              <w:bottom w:val="single" w:sz="4" w:space="0" w:color="auto"/>
              <w:right w:val="single" w:sz="4" w:space="0" w:color="auto"/>
            </w:tcBorders>
            <w:vAlign w:val="center"/>
          </w:tcPr>
          <w:p w14:paraId="26B5C6AB" w14:textId="77777777" w:rsidR="005D39E6" w:rsidRPr="00203FC0" w:rsidRDefault="005D39E6" w:rsidP="006B2FD1">
            <w:pPr>
              <w:spacing w:after="0"/>
              <w:jc w:val="center"/>
              <w:rPr>
                <w:color w:val="000000" w:themeColor="text1"/>
                <w:sz w:val="22"/>
                <w:szCs w:val="22"/>
              </w:rPr>
            </w:pPr>
            <w:r w:rsidRPr="00203FC0">
              <w:rPr>
                <w:color w:val="000000" w:themeColor="text1"/>
                <w:sz w:val="22"/>
                <w:szCs w:val="22"/>
              </w:rPr>
              <w:t xml:space="preserve">Omicron </w:t>
            </w:r>
            <w:proofErr w:type="spellStart"/>
            <w:r w:rsidRPr="00203FC0">
              <w:rPr>
                <w:color w:val="000000" w:themeColor="text1"/>
                <w:sz w:val="22"/>
                <w:szCs w:val="22"/>
              </w:rPr>
              <w:t>XBB.2.3</w:t>
            </w:r>
            <w:proofErr w:type="spellEnd"/>
          </w:p>
        </w:tc>
        <w:tc>
          <w:tcPr>
            <w:tcW w:w="2021" w:type="pct"/>
            <w:tcBorders>
              <w:top w:val="single" w:sz="4" w:space="0" w:color="auto"/>
              <w:left w:val="single" w:sz="4" w:space="0" w:color="auto"/>
              <w:bottom w:val="single" w:sz="4" w:space="0" w:color="auto"/>
              <w:right w:val="single" w:sz="4" w:space="0" w:color="auto"/>
            </w:tcBorders>
            <w:vAlign w:val="center"/>
          </w:tcPr>
          <w:p w14:paraId="26934A84" w14:textId="77777777" w:rsidR="005D39E6" w:rsidRPr="00203FC0" w:rsidRDefault="005D39E6" w:rsidP="006B2FD1">
            <w:pPr>
              <w:spacing w:after="0"/>
              <w:rPr>
                <w:iCs/>
                <w:color w:val="000000" w:themeColor="text1"/>
                <w:sz w:val="22"/>
                <w:szCs w:val="22"/>
              </w:rPr>
            </w:pPr>
            <w:proofErr w:type="spellStart"/>
            <w:r w:rsidRPr="00203FC0">
              <w:rPr>
                <w:rFonts w:eastAsia="Arial"/>
                <w:sz w:val="22"/>
                <w:szCs w:val="22"/>
              </w:rPr>
              <w:t>T19I:L24</w:t>
            </w:r>
            <w:proofErr w:type="spellEnd"/>
            <w:proofErr w:type="gramStart"/>
            <w:r w:rsidRPr="00203FC0">
              <w:rPr>
                <w:rFonts w:eastAsia="Arial"/>
                <w:sz w:val="22"/>
                <w:szCs w:val="22"/>
              </w:rPr>
              <w:t>-:</w:t>
            </w:r>
            <w:proofErr w:type="spellStart"/>
            <w:r w:rsidRPr="00203FC0">
              <w:rPr>
                <w:rFonts w:eastAsia="Arial"/>
                <w:sz w:val="22"/>
                <w:szCs w:val="22"/>
              </w:rPr>
              <w:t>P</w:t>
            </w:r>
            <w:proofErr w:type="gramEnd"/>
            <w:r w:rsidRPr="00203FC0">
              <w:rPr>
                <w:rFonts w:eastAsia="Arial"/>
                <w:sz w:val="22"/>
                <w:szCs w:val="22"/>
              </w:rPr>
              <w:t>25</w:t>
            </w:r>
            <w:proofErr w:type="spellEnd"/>
            <w:proofErr w:type="gramStart"/>
            <w:r w:rsidRPr="00203FC0">
              <w:rPr>
                <w:rFonts w:eastAsia="Arial"/>
                <w:sz w:val="22"/>
                <w:szCs w:val="22"/>
              </w:rPr>
              <w:t>-:</w:t>
            </w:r>
            <w:proofErr w:type="spellStart"/>
            <w:r w:rsidRPr="00203FC0">
              <w:rPr>
                <w:rFonts w:eastAsia="Arial"/>
                <w:sz w:val="22"/>
                <w:szCs w:val="22"/>
              </w:rPr>
              <w:t>P</w:t>
            </w:r>
            <w:proofErr w:type="gramEnd"/>
            <w:r w:rsidRPr="00203FC0">
              <w:rPr>
                <w:rFonts w:eastAsia="Arial"/>
                <w:sz w:val="22"/>
                <w:szCs w:val="22"/>
              </w:rPr>
              <w:t>26</w:t>
            </w:r>
            <w:proofErr w:type="spellEnd"/>
            <w:proofErr w:type="gramStart"/>
            <w:r w:rsidRPr="00203FC0">
              <w:rPr>
                <w:rFonts w:eastAsia="Arial"/>
                <w:sz w:val="22"/>
                <w:szCs w:val="22"/>
              </w:rPr>
              <w:t>-:</w:t>
            </w:r>
            <w:proofErr w:type="spellStart"/>
            <w:r w:rsidRPr="00203FC0">
              <w:rPr>
                <w:rFonts w:eastAsia="Arial"/>
                <w:sz w:val="22"/>
                <w:szCs w:val="22"/>
              </w:rPr>
              <w:t>A27S:V83A</w:t>
            </w:r>
            <w:proofErr w:type="spellEnd"/>
            <w:proofErr w:type="gramEnd"/>
            <w:r w:rsidRPr="00203FC0">
              <w:rPr>
                <w:rFonts w:eastAsia="Arial"/>
                <w:sz w:val="22"/>
                <w:szCs w:val="22"/>
              </w:rPr>
              <w:t xml:space="preserve">: </w:t>
            </w:r>
            <w:proofErr w:type="spellStart"/>
            <w:r w:rsidRPr="00203FC0">
              <w:rPr>
                <w:rFonts w:eastAsia="Arial"/>
                <w:sz w:val="22"/>
                <w:szCs w:val="22"/>
              </w:rPr>
              <w:t>G142D:Y144</w:t>
            </w:r>
            <w:proofErr w:type="spellEnd"/>
            <w:proofErr w:type="gramStart"/>
            <w:r w:rsidRPr="00203FC0">
              <w:rPr>
                <w:rFonts w:eastAsia="Arial"/>
                <w:sz w:val="22"/>
                <w:szCs w:val="22"/>
              </w:rPr>
              <w:t>-:</w:t>
            </w:r>
            <w:proofErr w:type="spellStart"/>
            <w:r w:rsidRPr="00203FC0">
              <w:rPr>
                <w:rFonts w:eastAsia="Arial"/>
                <w:sz w:val="22"/>
                <w:szCs w:val="22"/>
              </w:rPr>
              <w:t>H146Q:Q183E</w:t>
            </w:r>
            <w:proofErr w:type="gramEnd"/>
            <w:r w:rsidRPr="00203FC0">
              <w:rPr>
                <w:rFonts w:eastAsia="Arial"/>
                <w:sz w:val="22"/>
                <w:szCs w:val="22"/>
              </w:rPr>
              <w:t>:V213E</w:t>
            </w:r>
            <w:proofErr w:type="spellEnd"/>
            <w:r w:rsidRPr="00203FC0">
              <w:rPr>
                <w:rFonts w:eastAsia="Arial"/>
                <w:sz w:val="22"/>
                <w:szCs w:val="22"/>
              </w:rPr>
              <w:t xml:space="preserve">: </w:t>
            </w:r>
            <w:proofErr w:type="spellStart"/>
            <w:proofErr w:type="gramStart"/>
            <w:r w:rsidRPr="00203FC0">
              <w:rPr>
                <w:rFonts w:eastAsia="Arial"/>
                <w:sz w:val="22"/>
                <w:szCs w:val="22"/>
              </w:rPr>
              <w:t>D253G:G339H:R346T:L368I</w:t>
            </w:r>
            <w:proofErr w:type="gramEnd"/>
            <w:r w:rsidRPr="00203FC0">
              <w:rPr>
                <w:rFonts w:eastAsia="Arial"/>
                <w:sz w:val="22"/>
                <w:szCs w:val="22"/>
              </w:rPr>
              <w:t>:S371F</w:t>
            </w:r>
            <w:proofErr w:type="spellEnd"/>
            <w:r w:rsidRPr="00203FC0">
              <w:rPr>
                <w:rFonts w:eastAsia="Arial"/>
                <w:sz w:val="22"/>
                <w:szCs w:val="22"/>
              </w:rPr>
              <w:t xml:space="preserve">: </w:t>
            </w:r>
            <w:proofErr w:type="spellStart"/>
            <w:proofErr w:type="gramStart"/>
            <w:r w:rsidRPr="00203FC0">
              <w:rPr>
                <w:rFonts w:eastAsia="Arial"/>
                <w:sz w:val="22"/>
                <w:szCs w:val="22"/>
              </w:rPr>
              <w:t>S373P:S375F:T376A:D405N</w:t>
            </w:r>
            <w:proofErr w:type="gramEnd"/>
            <w:r w:rsidRPr="00203FC0">
              <w:rPr>
                <w:rFonts w:eastAsia="Arial"/>
                <w:sz w:val="22"/>
                <w:szCs w:val="22"/>
              </w:rPr>
              <w:t>:R408S</w:t>
            </w:r>
            <w:proofErr w:type="spellEnd"/>
            <w:r w:rsidRPr="00203FC0">
              <w:rPr>
                <w:rFonts w:eastAsia="Arial"/>
                <w:sz w:val="22"/>
                <w:szCs w:val="22"/>
              </w:rPr>
              <w:t xml:space="preserve">: </w:t>
            </w:r>
            <w:proofErr w:type="spellStart"/>
            <w:proofErr w:type="gramStart"/>
            <w:r w:rsidRPr="00203FC0">
              <w:rPr>
                <w:rFonts w:eastAsia="Arial"/>
                <w:sz w:val="22"/>
                <w:szCs w:val="22"/>
              </w:rPr>
              <w:t>K417N:N440K:V445P:G446S</w:t>
            </w:r>
            <w:proofErr w:type="gramEnd"/>
            <w:r w:rsidRPr="00203FC0">
              <w:rPr>
                <w:rFonts w:eastAsia="Arial"/>
                <w:sz w:val="22"/>
                <w:szCs w:val="22"/>
              </w:rPr>
              <w:t>:</w:t>
            </w:r>
            <w:proofErr w:type="gramStart"/>
            <w:r w:rsidRPr="00203FC0">
              <w:rPr>
                <w:rFonts w:eastAsia="Arial"/>
                <w:sz w:val="22"/>
                <w:szCs w:val="22"/>
              </w:rPr>
              <w:t>N460K:S477N:T478K:E484A</w:t>
            </w:r>
            <w:proofErr w:type="gramEnd"/>
            <w:r w:rsidRPr="00203FC0">
              <w:rPr>
                <w:rFonts w:eastAsia="Arial"/>
                <w:sz w:val="22"/>
                <w:szCs w:val="22"/>
              </w:rPr>
              <w:t>:F486P:F490S</w:t>
            </w:r>
            <w:proofErr w:type="spellEnd"/>
            <w:r w:rsidRPr="00203FC0">
              <w:rPr>
                <w:rFonts w:eastAsia="Arial"/>
                <w:sz w:val="22"/>
                <w:szCs w:val="22"/>
              </w:rPr>
              <w:t xml:space="preserve">: </w:t>
            </w:r>
            <w:proofErr w:type="gramStart"/>
            <w:r w:rsidRPr="00203FC0">
              <w:rPr>
                <w:rFonts w:eastAsia="Arial"/>
                <w:sz w:val="22"/>
                <w:szCs w:val="22"/>
              </w:rPr>
              <w:t>Q498R:N501Y:Y505H:P521S</w:t>
            </w:r>
            <w:proofErr w:type="gramEnd"/>
            <w:r w:rsidRPr="00203FC0">
              <w:rPr>
                <w:rFonts w:eastAsia="Arial"/>
                <w:sz w:val="22"/>
                <w:szCs w:val="22"/>
              </w:rPr>
              <w:t>:</w:t>
            </w:r>
            <w:proofErr w:type="gramStart"/>
            <w:r w:rsidRPr="00203FC0">
              <w:rPr>
                <w:rFonts w:eastAsia="Arial"/>
                <w:sz w:val="22"/>
                <w:szCs w:val="22"/>
              </w:rPr>
              <w:t>D614G:H655Y:N679K:P681H</w:t>
            </w:r>
            <w:proofErr w:type="gramEnd"/>
            <w:r w:rsidRPr="00203FC0">
              <w:rPr>
                <w:rFonts w:eastAsia="Arial"/>
                <w:sz w:val="22"/>
                <w:szCs w:val="22"/>
              </w:rPr>
              <w:t>:</w:t>
            </w:r>
            <w:proofErr w:type="gramStart"/>
            <w:r w:rsidRPr="00203FC0">
              <w:rPr>
                <w:rFonts w:eastAsia="Arial"/>
                <w:sz w:val="22"/>
                <w:szCs w:val="22"/>
              </w:rPr>
              <w:t>N764K:D796Y:Q954H:N969K</w:t>
            </w:r>
            <w:proofErr w:type="gramEnd"/>
          </w:p>
        </w:tc>
        <w:tc>
          <w:tcPr>
            <w:tcW w:w="818" w:type="pct"/>
            <w:tcBorders>
              <w:top w:val="single" w:sz="4" w:space="0" w:color="auto"/>
              <w:left w:val="single" w:sz="4" w:space="0" w:color="auto"/>
              <w:bottom w:val="single" w:sz="4" w:space="0" w:color="auto"/>
              <w:right w:val="single" w:sz="4" w:space="0" w:color="auto"/>
            </w:tcBorders>
            <w:vAlign w:val="center"/>
          </w:tcPr>
          <w:p w14:paraId="7B9E6CDC" w14:textId="77777777" w:rsidR="005D39E6" w:rsidRPr="00203FC0" w:rsidRDefault="005D39E6" w:rsidP="006B2FD1">
            <w:pPr>
              <w:spacing w:after="0"/>
              <w:jc w:val="center"/>
              <w:rPr>
                <w:sz w:val="22"/>
                <w:szCs w:val="22"/>
              </w:rPr>
            </w:pPr>
            <w:r w:rsidRPr="00203FC0">
              <w:rPr>
                <w:sz w:val="22"/>
                <w:szCs w:val="22"/>
              </w:rPr>
              <w:t>0.3</w:t>
            </w:r>
          </w:p>
        </w:tc>
        <w:tc>
          <w:tcPr>
            <w:tcW w:w="612" w:type="pct"/>
            <w:tcBorders>
              <w:top w:val="single" w:sz="4" w:space="0" w:color="auto"/>
              <w:left w:val="single" w:sz="4" w:space="0" w:color="auto"/>
              <w:bottom w:val="single" w:sz="4" w:space="0" w:color="auto"/>
              <w:right w:val="single" w:sz="4" w:space="0" w:color="auto"/>
            </w:tcBorders>
            <w:vAlign w:val="center"/>
          </w:tcPr>
          <w:p w14:paraId="07C33BFF" w14:textId="77777777" w:rsidR="005D39E6" w:rsidRPr="00203FC0" w:rsidRDefault="005D39E6" w:rsidP="006B2FD1">
            <w:pPr>
              <w:spacing w:after="0"/>
              <w:jc w:val="center"/>
              <w:rPr>
                <w:sz w:val="22"/>
                <w:szCs w:val="22"/>
              </w:rPr>
            </w:pPr>
            <w:r w:rsidRPr="00203FC0">
              <w:rPr>
                <w:sz w:val="22"/>
                <w:szCs w:val="22"/>
              </w:rPr>
              <w:t>3.4</w:t>
            </w:r>
          </w:p>
        </w:tc>
      </w:tr>
      <w:tr w:rsidR="005D39E6" w:rsidRPr="00203FC0" w14:paraId="0103CD53" w14:textId="77777777" w:rsidTr="00BF4D74">
        <w:trPr>
          <w:cantSplit/>
          <w:trHeight w:val="584"/>
        </w:trPr>
        <w:tc>
          <w:tcPr>
            <w:tcW w:w="900" w:type="pct"/>
            <w:tcBorders>
              <w:top w:val="single" w:sz="4" w:space="0" w:color="auto"/>
              <w:left w:val="single" w:sz="4" w:space="0" w:color="auto"/>
              <w:bottom w:val="single" w:sz="4" w:space="0" w:color="auto"/>
              <w:right w:val="single" w:sz="4" w:space="0" w:color="auto"/>
            </w:tcBorders>
            <w:vAlign w:val="center"/>
          </w:tcPr>
          <w:p w14:paraId="4A558885" w14:textId="77777777" w:rsidR="005D39E6" w:rsidRPr="00203FC0" w:rsidRDefault="005D39E6" w:rsidP="006B2FD1">
            <w:pPr>
              <w:spacing w:after="0"/>
              <w:jc w:val="center"/>
              <w:rPr>
                <w:rFonts w:eastAsia="TimesNewRoman"/>
                <w:sz w:val="22"/>
                <w:szCs w:val="22"/>
                <w:lang w:eastAsia="ja-JP"/>
              </w:rPr>
            </w:pPr>
            <w:proofErr w:type="spellStart"/>
            <w:r w:rsidRPr="00203FC0">
              <w:rPr>
                <w:rFonts w:eastAsia="TimesNewRoman"/>
                <w:sz w:val="22"/>
                <w:szCs w:val="22"/>
                <w:lang w:eastAsia="ja-JP"/>
              </w:rPr>
              <w:t>XBB.1.5.10</w:t>
            </w:r>
            <w:proofErr w:type="spellEnd"/>
            <w:r w:rsidRPr="00203FC0">
              <w:rPr>
                <w:rFonts w:eastAsia="TimesNewRoman"/>
                <w:sz w:val="22"/>
                <w:szCs w:val="22"/>
                <w:lang w:eastAsia="ja-JP"/>
              </w:rPr>
              <w:t>/</w:t>
            </w:r>
            <w:proofErr w:type="spellStart"/>
            <w:r w:rsidRPr="00203FC0">
              <w:rPr>
                <w:rFonts w:eastAsia="TimesNewRoman"/>
                <w:sz w:val="22"/>
                <w:szCs w:val="22"/>
                <w:lang w:eastAsia="ja-JP"/>
              </w:rPr>
              <w:t>EG.5</w:t>
            </w:r>
            <w:proofErr w:type="spellEnd"/>
          </w:p>
          <w:p w14:paraId="4E632584" w14:textId="77777777" w:rsidR="005D39E6" w:rsidRPr="00203FC0" w:rsidRDefault="005D39E6" w:rsidP="006B2FD1">
            <w:pPr>
              <w:spacing w:after="0"/>
              <w:jc w:val="center"/>
              <w:rPr>
                <w:rFonts w:eastAsia="TimesNewRoman"/>
                <w:sz w:val="22"/>
                <w:szCs w:val="22"/>
                <w:lang w:eastAsia="ja-JP"/>
              </w:rPr>
            </w:pPr>
            <w:r w:rsidRPr="00203FC0">
              <w:rPr>
                <w:rFonts w:eastAsia="TimesNewRoman"/>
                <w:sz w:val="22"/>
                <w:szCs w:val="22"/>
                <w:lang w:eastAsia="ja-JP"/>
              </w:rPr>
              <w:t>(Multiple countries)</w:t>
            </w:r>
          </w:p>
        </w:tc>
        <w:tc>
          <w:tcPr>
            <w:tcW w:w="650" w:type="pct"/>
            <w:tcBorders>
              <w:top w:val="single" w:sz="4" w:space="0" w:color="auto"/>
              <w:left w:val="single" w:sz="4" w:space="0" w:color="auto"/>
              <w:bottom w:val="single" w:sz="4" w:space="0" w:color="auto"/>
              <w:right w:val="single" w:sz="4" w:space="0" w:color="auto"/>
            </w:tcBorders>
            <w:vAlign w:val="center"/>
          </w:tcPr>
          <w:p w14:paraId="4CA31291" w14:textId="77777777" w:rsidR="005D39E6" w:rsidRPr="00203FC0" w:rsidRDefault="005D39E6" w:rsidP="006B2FD1">
            <w:pPr>
              <w:spacing w:after="0"/>
              <w:jc w:val="center"/>
              <w:rPr>
                <w:color w:val="000000" w:themeColor="text1"/>
                <w:sz w:val="22"/>
                <w:szCs w:val="22"/>
              </w:rPr>
            </w:pPr>
            <w:r w:rsidRPr="00203FC0">
              <w:rPr>
                <w:color w:val="000000" w:themeColor="text1"/>
                <w:sz w:val="22"/>
                <w:szCs w:val="22"/>
              </w:rPr>
              <w:t xml:space="preserve">Omicron </w:t>
            </w:r>
            <w:proofErr w:type="spellStart"/>
            <w:r w:rsidRPr="00203FC0">
              <w:rPr>
                <w:color w:val="000000" w:themeColor="text1"/>
                <w:sz w:val="22"/>
                <w:szCs w:val="22"/>
              </w:rPr>
              <w:t>XBB.1.5.10</w:t>
            </w:r>
            <w:proofErr w:type="spellEnd"/>
            <w:r w:rsidRPr="00203FC0">
              <w:rPr>
                <w:color w:val="000000" w:themeColor="text1"/>
                <w:sz w:val="22"/>
                <w:szCs w:val="22"/>
              </w:rPr>
              <w:t>/</w:t>
            </w:r>
            <w:r w:rsidRPr="00203FC0">
              <w:rPr>
                <w:color w:val="000000" w:themeColor="text1"/>
                <w:sz w:val="22"/>
                <w:szCs w:val="22"/>
              </w:rPr>
              <w:br/>
            </w:r>
            <w:proofErr w:type="spellStart"/>
            <w:r w:rsidRPr="00203FC0">
              <w:rPr>
                <w:color w:val="000000" w:themeColor="text1"/>
                <w:sz w:val="22"/>
                <w:szCs w:val="22"/>
              </w:rPr>
              <w:t>EG.5</w:t>
            </w:r>
            <w:proofErr w:type="spellEnd"/>
          </w:p>
        </w:tc>
        <w:tc>
          <w:tcPr>
            <w:tcW w:w="2021" w:type="pct"/>
            <w:tcBorders>
              <w:top w:val="single" w:sz="4" w:space="0" w:color="auto"/>
              <w:left w:val="single" w:sz="4" w:space="0" w:color="auto"/>
              <w:bottom w:val="single" w:sz="4" w:space="0" w:color="auto"/>
              <w:right w:val="single" w:sz="4" w:space="0" w:color="auto"/>
            </w:tcBorders>
            <w:vAlign w:val="center"/>
          </w:tcPr>
          <w:p w14:paraId="270C27CF" w14:textId="77777777" w:rsidR="005D39E6" w:rsidRPr="00203FC0" w:rsidRDefault="005D39E6" w:rsidP="006B2FD1">
            <w:pPr>
              <w:spacing w:after="0"/>
              <w:rPr>
                <w:color w:val="000000" w:themeColor="text1"/>
                <w:sz w:val="22"/>
                <w:szCs w:val="22"/>
              </w:rPr>
            </w:pPr>
            <w:proofErr w:type="spellStart"/>
            <w:r w:rsidRPr="00203FC0">
              <w:rPr>
                <w:color w:val="000000" w:themeColor="text1"/>
                <w:sz w:val="22"/>
                <w:szCs w:val="22"/>
              </w:rPr>
              <w:t>XBB.1.5</w:t>
            </w:r>
            <w:proofErr w:type="spellEnd"/>
            <w:r w:rsidRPr="00203FC0">
              <w:rPr>
                <w:color w:val="000000" w:themeColor="text1"/>
                <w:sz w:val="22"/>
                <w:szCs w:val="22"/>
              </w:rPr>
              <w:t xml:space="preserve"> + </w:t>
            </w:r>
            <w:proofErr w:type="spellStart"/>
            <w:r w:rsidRPr="00203FC0">
              <w:rPr>
                <w:color w:val="000000" w:themeColor="text1"/>
                <w:sz w:val="22"/>
                <w:szCs w:val="22"/>
              </w:rPr>
              <w:t>F456L</w:t>
            </w:r>
            <w:proofErr w:type="spellEnd"/>
          </w:p>
        </w:tc>
        <w:tc>
          <w:tcPr>
            <w:tcW w:w="818" w:type="pct"/>
            <w:tcBorders>
              <w:top w:val="single" w:sz="4" w:space="0" w:color="auto"/>
              <w:left w:val="single" w:sz="4" w:space="0" w:color="auto"/>
              <w:bottom w:val="single" w:sz="4" w:space="0" w:color="auto"/>
              <w:right w:val="single" w:sz="4" w:space="0" w:color="auto"/>
            </w:tcBorders>
            <w:vAlign w:val="center"/>
          </w:tcPr>
          <w:p w14:paraId="185FEF97" w14:textId="77777777" w:rsidR="005D39E6" w:rsidRPr="00203FC0" w:rsidRDefault="005D39E6" w:rsidP="006B2FD1">
            <w:pPr>
              <w:spacing w:after="0"/>
              <w:jc w:val="center"/>
              <w:rPr>
                <w:sz w:val="22"/>
                <w:szCs w:val="22"/>
              </w:rPr>
            </w:pPr>
            <w:r w:rsidRPr="00203FC0">
              <w:rPr>
                <w:sz w:val="22"/>
                <w:szCs w:val="22"/>
              </w:rPr>
              <w:t>&gt;50-fold</w:t>
            </w:r>
          </w:p>
        </w:tc>
        <w:tc>
          <w:tcPr>
            <w:tcW w:w="612" w:type="pct"/>
            <w:tcBorders>
              <w:top w:val="single" w:sz="4" w:space="0" w:color="auto"/>
              <w:left w:val="single" w:sz="4" w:space="0" w:color="auto"/>
              <w:bottom w:val="single" w:sz="4" w:space="0" w:color="auto"/>
              <w:right w:val="single" w:sz="4" w:space="0" w:color="auto"/>
            </w:tcBorders>
            <w:vAlign w:val="center"/>
          </w:tcPr>
          <w:p w14:paraId="337740F5" w14:textId="77777777" w:rsidR="005D39E6" w:rsidRPr="00203FC0" w:rsidRDefault="005D39E6" w:rsidP="006B2FD1">
            <w:pPr>
              <w:spacing w:after="0"/>
              <w:jc w:val="center"/>
              <w:rPr>
                <w:sz w:val="22"/>
                <w:szCs w:val="22"/>
              </w:rPr>
            </w:pPr>
            <w:r w:rsidRPr="00203FC0">
              <w:rPr>
                <w:sz w:val="22"/>
                <w:szCs w:val="22"/>
              </w:rPr>
              <w:t>&gt;</w:t>
            </w:r>
            <w:proofErr w:type="spellStart"/>
            <w:r w:rsidRPr="00203FC0">
              <w:rPr>
                <w:sz w:val="22"/>
                <w:szCs w:val="22"/>
              </w:rPr>
              <w:t>1000</w:t>
            </w:r>
            <w:r w:rsidRPr="00203FC0">
              <w:rPr>
                <w:sz w:val="22"/>
                <w:szCs w:val="22"/>
                <w:vertAlign w:val="superscript"/>
              </w:rPr>
              <w:t>c</w:t>
            </w:r>
            <w:proofErr w:type="spellEnd"/>
          </w:p>
        </w:tc>
      </w:tr>
      <w:tr w:rsidR="005D39E6" w:rsidRPr="00203FC0" w14:paraId="13E982FC" w14:textId="77777777" w:rsidTr="00BF4D74">
        <w:trPr>
          <w:cantSplit/>
          <w:trHeight w:val="539"/>
        </w:trPr>
        <w:tc>
          <w:tcPr>
            <w:tcW w:w="900" w:type="pct"/>
            <w:tcBorders>
              <w:top w:val="single" w:sz="4" w:space="0" w:color="auto"/>
              <w:left w:val="single" w:sz="4" w:space="0" w:color="auto"/>
              <w:bottom w:val="single" w:sz="4" w:space="0" w:color="auto"/>
              <w:right w:val="single" w:sz="4" w:space="0" w:color="auto"/>
            </w:tcBorders>
            <w:vAlign w:val="center"/>
          </w:tcPr>
          <w:p w14:paraId="09E8A639" w14:textId="77777777" w:rsidR="005D39E6" w:rsidRPr="00203FC0" w:rsidRDefault="005D39E6" w:rsidP="006B2FD1">
            <w:pPr>
              <w:spacing w:after="0"/>
              <w:jc w:val="center"/>
              <w:rPr>
                <w:rFonts w:eastAsia="TimesNewRoman"/>
                <w:sz w:val="22"/>
                <w:szCs w:val="22"/>
                <w:lang w:eastAsia="ja-JP"/>
              </w:rPr>
            </w:pPr>
            <w:proofErr w:type="spellStart"/>
            <w:r w:rsidRPr="00203FC0">
              <w:rPr>
                <w:rFonts w:eastAsia="TimesNewRoman"/>
                <w:sz w:val="22"/>
                <w:szCs w:val="22"/>
                <w:lang w:eastAsia="ja-JP"/>
              </w:rPr>
              <w:t>EG.5.1</w:t>
            </w:r>
            <w:proofErr w:type="spellEnd"/>
          </w:p>
          <w:p w14:paraId="3D3D8D9C" w14:textId="77777777" w:rsidR="005D39E6" w:rsidRPr="00203FC0" w:rsidRDefault="005D39E6" w:rsidP="006B2FD1">
            <w:pPr>
              <w:spacing w:after="0"/>
              <w:jc w:val="center"/>
              <w:rPr>
                <w:rFonts w:eastAsia="TimesNewRoman"/>
                <w:sz w:val="22"/>
                <w:szCs w:val="22"/>
                <w:lang w:eastAsia="ja-JP"/>
              </w:rPr>
            </w:pPr>
            <w:r w:rsidRPr="00203FC0">
              <w:rPr>
                <w:rFonts w:eastAsia="TimesNewRoman"/>
                <w:sz w:val="22"/>
                <w:szCs w:val="22"/>
                <w:lang w:eastAsia="ja-JP"/>
              </w:rPr>
              <w:t>(Multiple countries)</w:t>
            </w:r>
          </w:p>
        </w:tc>
        <w:tc>
          <w:tcPr>
            <w:tcW w:w="650" w:type="pct"/>
            <w:tcBorders>
              <w:top w:val="single" w:sz="4" w:space="0" w:color="auto"/>
              <w:left w:val="single" w:sz="4" w:space="0" w:color="auto"/>
              <w:bottom w:val="single" w:sz="4" w:space="0" w:color="auto"/>
              <w:right w:val="single" w:sz="4" w:space="0" w:color="auto"/>
            </w:tcBorders>
            <w:vAlign w:val="center"/>
          </w:tcPr>
          <w:p w14:paraId="7D6E61C9" w14:textId="77777777" w:rsidR="005D39E6" w:rsidRPr="00203FC0" w:rsidRDefault="005D39E6" w:rsidP="006B2FD1">
            <w:pPr>
              <w:spacing w:after="0"/>
              <w:jc w:val="center"/>
              <w:rPr>
                <w:color w:val="000000" w:themeColor="text1"/>
                <w:sz w:val="22"/>
                <w:szCs w:val="22"/>
              </w:rPr>
            </w:pPr>
            <w:r w:rsidRPr="00203FC0">
              <w:rPr>
                <w:color w:val="000000" w:themeColor="text1"/>
                <w:sz w:val="22"/>
                <w:szCs w:val="22"/>
              </w:rPr>
              <w:t xml:space="preserve">Omicron </w:t>
            </w:r>
            <w:proofErr w:type="spellStart"/>
            <w:r w:rsidRPr="00203FC0">
              <w:rPr>
                <w:color w:val="000000" w:themeColor="text1"/>
                <w:sz w:val="22"/>
                <w:szCs w:val="22"/>
              </w:rPr>
              <w:t>EG.5.1</w:t>
            </w:r>
            <w:proofErr w:type="spellEnd"/>
          </w:p>
        </w:tc>
        <w:tc>
          <w:tcPr>
            <w:tcW w:w="2021" w:type="pct"/>
            <w:tcBorders>
              <w:top w:val="single" w:sz="4" w:space="0" w:color="auto"/>
              <w:left w:val="single" w:sz="4" w:space="0" w:color="auto"/>
              <w:bottom w:val="single" w:sz="4" w:space="0" w:color="auto"/>
              <w:right w:val="single" w:sz="4" w:space="0" w:color="auto"/>
            </w:tcBorders>
            <w:vAlign w:val="center"/>
          </w:tcPr>
          <w:p w14:paraId="0EAA68E3" w14:textId="77777777" w:rsidR="005D39E6" w:rsidRPr="00203FC0" w:rsidRDefault="005D39E6" w:rsidP="006B2FD1">
            <w:pPr>
              <w:spacing w:after="0"/>
              <w:rPr>
                <w:color w:val="000000" w:themeColor="text1"/>
                <w:sz w:val="22"/>
                <w:szCs w:val="22"/>
              </w:rPr>
            </w:pPr>
            <w:proofErr w:type="spellStart"/>
            <w:r w:rsidRPr="00203FC0">
              <w:rPr>
                <w:rFonts w:eastAsia="Arial"/>
                <w:sz w:val="22"/>
                <w:szCs w:val="22"/>
              </w:rPr>
              <w:t>XBB.1.5</w:t>
            </w:r>
            <w:proofErr w:type="spellEnd"/>
            <w:r w:rsidRPr="00203FC0">
              <w:rPr>
                <w:rFonts w:eastAsia="Arial"/>
                <w:sz w:val="22"/>
                <w:szCs w:val="22"/>
              </w:rPr>
              <w:t xml:space="preserve"> + </w:t>
            </w:r>
            <w:proofErr w:type="spellStart"/>
            <w:r w:rsidRPr="00203FC0">
              <w:rPr>
                <w:rFonts w:eastAsia="Arial"/>
                <w:sz w:val="22"/>
                <w:szCs w:val="22"/>
              </w:rPr>
              <w:t>Q52H</w:t>
            </w:r>
            <w:proofErr w:type="spellEnd"/>
            <w:r w:rsidRPr="00203FC0">
              <w:rPr>
                <w:rFonts w:eastAsia="Arial"/>
                <w:sz w:val="22"/>
                <w:szCs w:val="22"/>
              </w:rPr>
              <w:t xml:space="preserve"> + </w:t>
            </w:r>
            <w:proofErr w:type="spellStart"/>
            <w:r w:rsidRPr="00203FC0">
              <w:rPr>
                <w:rFonts w:eastAsia="Arial"/>
                <w:sz w:val="22"/>
                <w:szCs w:val="22"/>
              </w:rPr>
              <w:t>F456L</w:t>
            </w:r>
            <w:proofErr w:type="spellEnd"/>
          </w:p>
        </w:tc>
        <w:tc>
          <w:tcPr>
            <w:tcW w:w="818" w:type="pct"/>
            <w:tcBorders>
              <w:top w:val="single" w:sz="4" w:space="0" w:color="auto"/>
              <w:left w:val="single" w:sz="4" w:space="0" w:color="auto"/>
              <w:bottom w:val="single" w:sz="4" w:space="0" w:color="auto"/>
              <w:right w:val="single" w:sz="4" w:space="0" w:color="auto"/>
            </w:tcBorders>
            <w:vAlign w:val="center"/>
          </w:tcPr>
          <w:p w14:paraId="3A869286" w14:textId="77777777" w:rsidR="005D39E6" w:rsidRPr="00203FC0" w:rsidRDefault="005D39E6" w:rsidP="006B2FD1">
            <w:pPr>
              <w:spacing w:after="0"/>
              <w:jc w:val="center"/>
              <w:rPr>
                <w:sz w:val="22"/>
                <w:szCs w:val="22"/>
              </w:rPr>
            </w:pPr>
            <w:r w:rsidRPr="00203FC0">
              <w:rPr>
                <w:sz w:val="22"/>
                <w:szCs w:val="22"/>
              </w:rPr>
              <w:t>&gt;50-fold</w:t>
            </w:r>
          </w:p>
        </w:tc>
        <w:tc>
          <w:tcPr>
            <w:tcW w:w="612" w:type="pct"/>
            <w:tcBorders>
              <w:top w:val="single" w:sz="4" w:space="0" w:color="auto"/>
              <w:left w:val="single" w:sz="4" w:space="0" w:color="auto"/>
              <w:bottom w:val="single" w:sz="4" w:space="0" w:color="auto"/>
              <w:right w:val="single" w:sz="4" w:space="0" w:color="auto"/>
            </w:tcBorders>
            <w:vAlign w:val="center"/>
          </w:tcPr>
          <w:p w14:paraId="57AFF226" w14:textId="77777777" w:rsidR="005D39E6" w:rsidRPr="00203FC0" w:rsidRDefault="005D39E6" w:rsidP="006B2FD1">
            <w:pPr>
              <w:spacing w:after="0"/>
              <w:jc w:val="center"/>
              <w:rPr>
                <w:sz w:val="22"/>
                <w:szCs w:val="22"/>
              </w:rPr>
            </w:pPr>
            <w:r w:rsidRPr="00203FC0">
              <w:rPr>
                <w:sz w:val="22"/>
                <w:szCs w:val="22"/>
              </w:rPr>
              <w:t>&gt;</w:t>
            </w:r>
            <w:proofErr w:type="spellStart"/>
            <w:r w:rsidRPr="00203FC0">
              <w:rPr>
                <w:sz w:val="22"/>
                <w:szCs w:val="22"/>
              </w:rPr>
              <w:t>1000</w:t>
            </w:r>
            <w:r w:rsidRPr="00203FC0">
              <w:rPr>
                <w:sz w:val="22"/>
                <w:szCs w:val="22"/>
                <w:vertAlign w:val="superscript"/>
              </w:rPr>
              <w:t>c</w:t>
            </w:r>
            <w:proofErr w:type="spellEnd"/>
          </w:p>
        </w:tc>
      </w:tr>
      <w:tr w:rsidR="005D39E6" w:rsidRPr="00203FC0" w14:paraId="2D2D815E" w14:textId="77777777" w:rsidTr="00BF4D74">
        <w:trPr>
          <w:cantSplit/>
          <w:trHeight w:val="2942"/>
        </w:trPr>
        <w:tc>
          <w:tcPr>
            <w:tcW w:w="900" w:type="pct"/>
            <w:tcBorders>
              <w:top w:val="single" w:sz="4" w:space="0" w:color="auto"/>
              <w:left w:val="single" w:sz="4" w:space="0" w:color="auto"/>
              <w:bottom w:val="single" w:sz="4" w:space="0" w:color="auto"/>
              <w:right w:val="single" w:sz="4" w:space="0" w:color="auto"/>
            </w:tcBorders>
            <w:vAlign w:val="center"/>
          </w:tcPr>
          <w:p w14:paraId="0052B599" w14:textId="77777777" w:rsidR="005D39E6" w:rsidRPr="00203FC0" w:rsidRDefault="005D39E6" w:rsidP="006B2FD1">
            <w:pPr>
              <w:spacing w:after="0"/>
              <w:jc w:val="center"/>
              <w:rPr>
                <w:rFonts w:eastAsia="TimesNewRoman"/>
                <w:sz w:val="22"/>
                <w:szCs w:val="22"/>
                <w:lang w:eastAsia="ja-JP"/>
              </w:rPr>
            </w:pPr>
            <w:proofErr w:type="spellStart"/>
            <w:r w:rsidRPr="00203FC0">
              <w:rPr>
                <w:rFonts w:eastAsia="TimesNewRoman"/>
                <w:sz w:val="22"/>
                <w:szCs w:val="22"/>
                <w:lang w:eastAsia="ja-JP"/>
              </w:rPr>
              <w:t>BA.2.86</w:t>
            </w:r>
            <w:r w:rsidRPr="00203FC0">
              <w:rPr>
                <w:rFonts w:eastAsia="TimesNewRoman"/>
                <w:sz w:val="22"/>
                <w:szCs w:val="22"/>
                <w:vertAlign w:val="superscript"/>
                <w:lang w:eastAsia="ja-JP"/>
              </w:rPr>
              <w:t>d</w:t>
            </w:r>
            <w:proofErr w:type="spellEnd"/>
          </w:p>
          <w:p w14:paraId="000D5CF8" w14:textId="77777777" w:rsidR="005D39E6" w:rsidRPr="00203FC0" w:rsidRDefault="005D39E6" w:rsidP="006B2FD1">
            <w:pPr>
              <w:spacing w:after="0"/>
              <w:jc w:val="center"/>
              <w:rPr>
                <w:rFonts w:eastAsia="TimesNewRoman"/>
                <w:sz w:val="22"/>
                <w:szCs w:val="22"/>
                <w:lang w:eastAsia="ja-JP"/>
              </w:rPr>
            </w:pPr>
            <w:r w:rsidRPr="00203FC0">
              <w:rPr>
                <w:rFonts w:eastAsia="TimesNewRoman"/>
                <w:sz w:val="22"/>
                <w:szCs w:val="22"/>
                <w:lang w:eastAsia="ja-JP"/>
              </w:rPr>
              <w:t>(Multiple countries)</w:t>
            </w:r>
          </w:p>
        </w:tc>
        <w:tc>
          <w:tcPr>
            <w:tcW w:w="650" w:type="pct"/>
            <w:tcBorders>
              <w:top w:val="single" w:sz="4" w:space="0" w:color="auto"/>
              <w:left w:val="single" w:sz="4" w:space="0" w:color="auto"/>
              <w:bottom w:val="single" w:sz="4" w:space="0" w:color="auto"/>
              <w:right w:val="single" w:sz="4" w:space="0" w:color="auto"/>
            </w:tcBorders>
            <w:vAlign w:val="center"/>
          </w:tcPr>
          <w:p w14:paraId="1BB433EB" w14:textId="77777777" w:rsidR="005D39E6" w:rsidRPr="00203FC0" w:rsidRDefault="005D39E6" w:rsidP="006B2FD1">
            <w:pPr>
              <w:spacing w:after="0"/>
              <w:jc w:val="center"/>
              <w:rPr>
                <w:color w:val="000000" w:themeColor="text1"/>
                <w:sz w:val="22"/>
                <w:szCs w:val="22"/>
              </w:rPr>
            </w:pPr>
            <w:r w:rsidRPr="00203FC0">
              <w:rPr>
                <w:color w:val="000000" w:themeColor="text1"/>
                <w:sz w:val="22"/>
                <w:szCs w:val="22"/>
              </w:rPr>
              <w:t xml:space="preserve">Omicron </w:t>
            </w:r>
            <w:proofErr w:type="spellStart"/>
            <w:r w:rsidRPr="00203FC0">
              <w:rPr>
                <w:color w:val="000000" w:themeColor="text1"/>
                <w:sz w:val="22"/>
                <w:szCs w:val="22"/>
              </w:rPr>
              <w:t>BA.2.86</w:t>
            </w:r>
            <w:proofErr w:type="spellEnd"/>
          </w:p>
        </w:tc>
        <w:tc>
          <w:tcPr>
            <w:tcW w:w="2021" w:type="pct"/>
            <w:tcBorders>
              <w:top w:val="single" w:sz="4" w:space="0" w:color="auto"/>
              <w:left w:val="single" w:sz="4" w:space="0" w:color="auto"/>
              <w:bottom w:val="single" w:sz="4" w:space="0" w:color="auto"/>
              <w:right w:val="single" w:sz="4" w:space="0" w:color="auto"/>
            </w:tcBorders>
            <w:vAlign w:val="center"/>
          </w:tcPr>
          <w:p w14:paraId="6B388B75" w14:textId="77777777" w:rsidR="005D39E6" w:rsidRPr="00203FC0" w:rsidRDefault="005D39E6" w:rsidP="006B2FD1">
            <w:pPr>
              <w:shd w:val="clear" w:color="auto" w:fill="FFFFFF" w:themeFill="background1"/>
              <w:spacing w:after="0"/>
              <w:rPr>
                <w:color w:val="000000" w:themeColor="text1"/>
                <w:sz w:val="22"/>
                <w:szCs w:val="22"/>
              </w:rPr>
            </w:pPr>
            <w:proofErr w:type="spellStart"/>
            <w:r w:rsidRPr="00203FC0">
              <w:rPr>
                <w:iCs/>
                <w:sz w:val="22"/>
                <w:szCs w:val="22"/>
              </w:rPr>
              <w:t>T19I:R21T:L24</w:t>
            </w:r>
            <w:proofErr w:type="spellEnd"/>
            <w:r w:rsidRPr="00203FC0">
              <w:rPr>
                <w:iCs/>
                <w:sz w:val="22"/>
                <w:szCs w:val="22"/>
              </w:rPr>
              <w:t>-:</w:t>
            </w:r>
            <w:proofErr w:type="spellStart"/>
            <w:r w:rsidRPr="00203FC0">
              <w:rPr>
                <w:iCs/>
                <w:sz w:val="22"/>
                <w:szCs w:val="22"/>
              </w:rPr>
              <w:t>P25</w:t>
            </w:r>
            <w:proofErr w:type="spellEnd"/>
            <w:r w:rsidRPr="00203FC0">
              <w:rPr>
                <w:iCs/>
                <w:sz w:val="22"/>
                <w:szCs w:val="22"/>
              </w:rPr>
              <w:t>-:</w:t>
            </w:r>
            <w:proofErr w:type="spellStart"/>
            <w:r w:rsidRPr="00203FC0">
              <w:rPr>
                <w:iCs/>
                <w:sz w:val="22"/>
                <w:szCs w:val="22"/>
              </w:rPr>
              <w:t>P26</w:t>
            </w:r>
            <w:proofErr w:type="spellEnd"/>
            <w:r w:rsidRPr="00203FC0">
              <w:rPr>
                <w:iCs/>
                <w:sz w:val="22"/>
                <w:szCs w:val="22"/>
              </w:rPr>
              <w:t>-:</w:t>
            </w:r>
            <w:proofErr w:type="spellStart"/>
            <w:r w:rsidRPr="00203FC0">
              <w:rPr>
                <w:iCs/>
                <w:sz w:val="22"/>
                <w:szCs w:val="22"/>
              </w:rPr>
              <w:t>A27S</w:t>
            </w:r>
            <w:proofErr w:type="spellEnd"/>
            <w:r w:rsidRPr="00203FC0">
              <w:rPr>
                <w:iCs/>
                <w:sz w:val="22"/>
                <w:szCs w:val="22"/>
              </w:rPr>
              <w:t xml:space="preserve">: </w:t>
            </w:r>
            <w:proofErr w:type="spellStart"/>
            <w:r w:rsidRPr="00203FC0">
              <w:rPr>
                <w:iCs/>
                <w:sz w:val="22"/>
                <w:szCs w:val="22"/>
              </w:rPr>
              <w:t>S50L:H69</w:t>
            </w:r>
            <w:proofErr w:type="spellEnd"/>
            <w:r w:rsidRPr="00203FC0">
              <w:rPr>
                <w:iCs/>
                <w:sz w:val="22"/>
                <w:szCs w:val="22"/>
              </w:rPr>
              <w:t>-:</w:t>
            </w:r>
            <w:proofErr w:type="spellStart"/>
            <w:r w:rsidRPr="00203FC0">
              <w:rPr>
                <w:iCs/>
                <w:sz w:val="22"/>
                <w:szCs w:val="22"/>
              </w:rPr>
              <w:t>V70</w:t>
            </w:r>
            <w:proofErr w:type="spellEnd"/>
            <w:r w:rsidRPr="00203FC0">
              <w:rPr>
                <w:iCs/>
                <w:sz w:val="22"/>
                <w:szCs w:val="22"/>
              </w:rPr>
              <w:t>-:</w:t>
            </w:r>
            <w:proofErr w:type="spellStart"/>
            <w:r w:rsidRPr="00203FC0">
              <w:rPr>
                <w:iCs/>
                <w:sz w:val="22"/>
                <w:szCs w:val="22"/>
              </w:rPr>
              <w:t>V127F:G142D:Y144</w:t>
            </w:r>
            <w:proofErr w:type="spellEnd"/>
            <w:r w:rsidRPr="00203FC0">
              <w:rPr>
                <w:iCs/>
                <w:sz w:val="22"/>
                <w:szCs w:val="22"/>
              </w:rPr>
              <w:t xml:space="preserve">-: </w:t>
            </w:r>
            <w:proofErr w:type="spellStart"/>
            <w:r w:rsidRPr="00203FC0">
              <w:rPr>
                <w:iCs/>
                <w:sz w:val="22"/>
                <w:szCs w:val="22"/>
              </w:rPr>
              <w:t>F157S:R158G:N211</w:t>
            </w:r>
            <w:proofErr w:type="spellEnd"/>
            <w:r w:rsidRPr="00203FC0">
              <w:rPr>
                <w:iCs/>
                <w:sz w:val="22"/>
                <w:szCs w:val="22"/>
              </w:rPr>
              <w:t>-:</w:t>
            </w:r>
            <w:proofErr w:type="spellStart"/>
            <w:r w:rsidRPr="00203FC0">
              <w:rPr>
                <w:iCs/>
                <w:sz w:val="22"/>
                <w:szCs w:val="22"/>
              </w:rPr>
              <w:t>L212I:V213G</w:t>
            </w:r>
            <w:proofErr w:type="spellEnd"/>
            <w:r w:rsidRPr="00203FC0">
              <w:rPr>
                <w:iCs/>
                <w:sz w:val="22"/>
                <w:szCs w:val="22"/>
              </w:rPr>
              <w:t xml:space="preserve">: </w:t>
            </w:r>
            <w:proofErr w:type="spellStart"/>
            <w:r w:rsidRPr="00203FC0">
              <w:rPr>
                <w:iCs/>
                <w:sz w:val="22"/>
                <w:szCs w:val="22"/>
              </w:rPr>
              <w:t>L216F:H245N:A264D:I332V:G339H</w:t>
            </w:r>
            <w:proofErr w:type="spellEnd"/>
            <w:r w:rsidRPr="00203FC0">
              <w:rPr>
                <w:iCs/>
                <w:sz w:val="22"/>
                <w:szCs w:val="22"/>
              </w:rPr>
              <w:t xml:space="preserve">: </w:t>
            </w:r>
            <w:proofErr w:type="spellStart"/>
            <w:r w:rsidRPr="00203FC0">
              <w:rPr>
                <w:iCs/>
                <w:sz w:val="22"/>
                <w:szCs w:val="22"/>
              </w:rPr>
              <w:t>K356T:S371F:S373P:S375F:T376A</w:t>
            </w:r>
            <w:proofErr w:type="spellEnd"/>
            <w:r w:rsidRPr="00203FC0">
              <w:rPr>
                <w:iCs/>
                <w:sz w:val="22"/>
                <w:szCs w:val="22"/>
              </w:rPr>
              <w:t xml:space="preserve">: </w:t>
            </w:r>
            <w:proofErr w:type="spellStart"/>
            <w:r w:rsidRPr="00203FC0">
              <w:rPr>
                <w:iCs/>
                <w:sz w:val="22"/>
                <w:szCs w:val="22"/>
              </w:rPr>
              <w:t>R403K:D405N:R408S:K417N:N440K</w:t>
            </w:r>
            <w:proofErr w:type="spellEnd"/>
            <w:r w:rsidRPr="00203FC0">
              <w:rPr>
                <w:iCs/>
                <w:sz w:val="22"/>
                <w:szCs w:val="22"/>
              </w:rPr>
              <w:t xml:space="preserve">: </w:t>
            </w:r>
            <w:proofErr w:type="spellStart"/>
            <w:r w:rsidRPr="00203FC0">
              <w:rPr>
                <w:iCs/>
                <w:sz w:val="22"/>
                <w:szCs w:val="22"/>
              </w:rPr>
              <w:t>V445H:G446S:N450D:L452W:N460K</w:t>
            </w:r>
            <w:proofErr w:type="spellEnd"/>
            <w:r w:rsidRPr="00203FC0">
              <w:rPr>
                <w:iCs/>
                <w:sz w:val="22"/>
                <w:szCs w:val="22"/>
              </w:rPr>
              <w:t xml:space="preserve">: </w:t>
            </w:r>
            <w:proofErr w:type="spellStart"/>
            <w:r w:rsidRPr="00203FC0">
              <w:rPr>
                <w:iCs/>
                <w:sz w:val="22"/>
                <w:szCs w:val="22"/>
              </w:rPr>
              <w:t>S477N:T478K:N481K:V483</w:t>
            </w:r>
            <w:proofErr w:type="spellEnd"/>
            <w:r w:rsidRPr="00203FC0">
              <w:rPr>
                <w:iCs/>
                <w:sz w:val="22"/>
                <w:szCs w:val="22"/>
              </w:rPr>
              <w:t>-:</w:t>
            </w:r>
            <w:proofErr w:type="spellStart"/>
            <w:r w:rsidRPr="00203FC0">
              <w:rPr>
                <w:iCs/>
                <w:sz w:val="22"/>
                <w:szCs w:val="22"/>
              </w:rPr>
              <w:t>E484K</w:t>
            </w:r>
            <w:proofErr w:type="spellEnd"/>
            <w:r w:rsidRPr="00203FC0">
              <w:rPr>
                <w:iCs/>
                <w:sz w:val="22"/>
                <w:szCs w:val="22"/>
              </w:rPr>
              <w:t xml:space="preserve">: </w:t>
            </w:r>
            <w:proofErr w:type="spellStart"/>
            <w:r w:rsidRPr="00203FC0">
              <w:rPr>
                <w:iCs/>
                <w:sz w:val="22"/>
                <w:szCs w:val="22"/>
              </w:rPr>
              <w:t>F486P:Q498R:N501Y:Y505H:E554K:A570V:D614G:P621S:H655Y:I670V</w:t>
            </w:r>
            <w:proofErr w:type="spellEnd"/>
            <w:r w:rsidRPr="00203FC0">
              <w:rPr>
                <w:iCs/>
                <w:sz w:val="22"/>
                <w:szCs w:val="22"/>
              </w:rPr>
              <w:t xml:space="preserve">: </w:t>
            </w:r>
            <w:proofErr w:type="spellStart"/>
            <w:r w:rsidRPr="00203FC0">
              <w:rPr>
                <w:iCs/>
                <w:sz w:val="22"/>
                <w:szCs w:val="22"/>
              </w:rPr>
              <w:t>N679K:P681R:N764K:D796Y:S939F</w:t>
            </w:r>
            <w:proofErr w:type="spellEnd"/>
            <w:r w:rsidRPr="00203FC0">
              <w:rPr>
                <w:iCs/>
                <w:sz w:val="22"/>
                <w:szCs w:val="22"/>
              </w:rPr>
              <w:t xml:space="preserve">: </w:t>
            </w:r>
            <w:proofErr w:type="spellStart"/>
            <w:r w:rsidRPr="00203FC0">
              <w:rPr>
                <w:iCs/>
                <w:sz w:val="22"/>
                <w:szCs w:val="22"/>
              </w:rPr>
              <w:t>Q954H:N969K:P1143L</w:t>
            </w:r>
            <w:proofErr w:type="spellEnd"/>
          </w:p>
        </w:tc>
        <w:tc>
          <w:tcPr>
            <w:tcW w:w="818" w:type="pct"/>
            <w:tcBorders>
              <w:top w:val="single" w:sz="4" w:space="0" w:color="auto"/>
              <w:left w:val="single" w:sz="4" w:space="0" w:color="auto"/>
              <w:bottom w:val="single" w:sz="4" w:space="0" w:color="auto"/>
              <w:right w:val="single" w:sz="4" w:space="0" w:color="auto"/>
            </w:tcBorders>
            <w:vAlign w:val="center"/>
          </w:tcPr>
          <w:p w14:paraId="734AFDD0" w14:textId="77777777" w:rsidR="005D39E6" w:rsidRPr="00203FC0" w:rsidRDefault="005D39E6" w:rsidP="006B2FD1">
            <w:pPr>
              <w:spacing w:after="0"/>
              <w:jc w:val="center"/>
              <w:rPr>
                <w:sz w:val="22"/>
                <w:szCs w:val="22"/>
              </w:rPr>
            </w:pPr>
            <w:r w:rsidRPr="00203FC0">
              <w:rPr>
                <w:sz w:val="22"/>
                <w:szCs w:val="22"/>
              </w:rPr>
              <w:t>0.3</w:t>
            </w:r>
          </w:p>
        </w:tc>
        <w:tc>
          <w:tcPr>
            <w:tcW w:w="612" w:type="pct"/>
            <w:tcBorders>
              <w:top w:val="single" w:sz="4" w:space="0" w:color="auto"/>
              <w:left w:val="single" w:sz="4" w:space="0" w:color="auto"/>
              <w:bottom w:val="single" w:sz="4" w:space="0" w:color="auto"/>
              <w:right w:val="single" w:sz="4" w:space="0" w:color="auto"/>
            </w:tcBorders>
            <w:vAlign w:val="center"/>
          </w:tcPr>
          <w:p w14:paraId="1EF80D93" w14:textId="77777777" w:rsidR="005D39E6" w:rsidRPr="00203FC0" w:rsidRDefault="005D39E6" w:rsidP="006B2FD1">
            <w:pPr>
              <w:spacing w:after="0"/>
              <w:jc w:val="center"/>
              <w:rPr>
                <w:sz w:val="22"/>
                <w:szCs w:val="22"/>
              </w:rPr>
            </w:pPr>
            <w:r w:rsidRPr="00203FC0">
              <w:rPr>
                <w:sz w:val="22"/>
                <w:szCs w:val="22"/>
              </w:rPr>
              <w:t>3.8</w:t>
            </w:r>
          </w:p>
        </w:tc>
      </w:tr>
      <w:tr w:rsidR="005D39E6" w:rsidRPr="00203FC0" w14:paraId="55F873C3" w14:textId="77777777" w:rsidTr="00BF4D74">
        <w:trPr>
          <w:cantSplit/>
          <w:trHeight w:val="1440"/>
        </w:trPr>
        <w:tc>
          <w:tcPr>
            <w:tcW w:w="900" w:type="pct"/>
            <w:tcBorders>
              <w:top w:val="single" w:sz="4" w:space="0" w:color="auto"/>
              <w:left w:val="single" w:sz="4" w:space="0" w:color="auto"/>
              <w:bottom w:val="single" w:sz="4" w:space="0" w:color="auto"/>
              <w:right w:val="single" w:sz="4" w:space="0" w:color="auto"/>
            </w:tcBorders>
            <w:vAlign w:val="center"/>
          </w:tcPr>
          <w:p w14:paraId="45C8B922" w14:textId="77777777" w:rsidR="005D39E6" w:rsidRPr="00203FC0" w:rsidRDefault="005D39E6" w:rsidP="006B2FD1">
            <w:pPr>
              <w:spacing w:after="0"/>
              <w:jc w:val="center"/>
              <w:rPr>
                <w:rFonts w:eastAsia="TimesNewRoman"/>
                <w:sz w:val="22"/>
                <w:szCs w:val="22"/>
                <w:lang w:eastAsia="ja-JP"/>
              </w:rPr>
            </w:pPr>
            <w:proofErr w:type="spellStart"/>
            <w:r w:rsidRPr="00203FC0">
              <w:rPr>
                <w:rFonts w:eastAsia="TimesNewRoman"/>
                <w:sz w:val="22"/>
                <w:szCs w:val="22"/>
                <w:lang w:eastAsia="ja-JP"/>
              </w:rPr>
              <w:lastRenderedPageBreak/>
              <w:t>JN.1</w:t>
            </w:r>
            <w:proofErr w:type="spellEnd"/>
          </w:p>
          <w:p w14:paraId="407319DB" w14:textId="77777777" w:rsidR="005D39E6" w:rsidRPr="00203FC0" w:rsidRDefault="005D39E6" w:rsidP="006B2FD1">
            <w:pPr>
              <w:spacing w:after="0"/>
              <w:jc w:val="center"/>
              <w:rPr>
                <w:rFonts w:eastAsia="TimesNewRoman"/>
                <w:sz w:val="22"/>
                <w:szCs w:val="22"/>
                <w:lang w:eastAsia="ja-JP"/>
              </w:rPr>
            </w:pPr>
            <w:r w:rsidRPr="00203FC0">
              <w:rPr>
                <w:rFonts w:eastAsia="TimesNewRoman"/>
                <w:sz w:val="22"/>
                <w:szCs w:val="22"/>
                <w:lang w:eastAsia="ja-JP"/>
              </w:rPr>
              <w:t>(Multiple countries)</w:t>
            </w:r>
          </w:p>
        </w:tc>
        <w:tc>
          <w:tcPr>
            <w:tcW w:w="650" w:type="pct"/>
            <w:tcBorders>
              <w:top w:val="single" w:sz="4" w:space="0" w:color="auto"/>
              <w:left w:val="single" w:sz="4" w:space="0" w:color="auto"/>
              <w:bottom w:val="single" w:sz="4" w:space="0" w:color="auto"/>
              <w:right w:val="single" w:sz="4" w:space="0" w:color="auto"/>
            </w:tcBorders>
            <w:vAlign w:val="center"/>
          </w:tcPr>
          <w:p w14:paraId="1AB3AB7F" w14:textId="77777777" w:rsidR="005D39E6" w:rsidRPr="00203FC0" w:rsidRDefault="005D39E6" w:rsidP="006B2FD1">
            <w:pPr>
              <w:spacing w:after="0"/>
              <w:jc w:val="center"/>
              <w:rPr>
                <w:color w:val="000000" w:themeColor="text1"/>
                <w:sz w:val="22"/>
                <w:szCs w:val="22"/>
              </w:rPr>
            </w:pPr>
            <w:r w:rsidRPr="00203FC0">
              <w:rPr>
                <w:color w:val="000000" w:themeColor="text1"/>
                <w:sz w:val="22"/>
                <w:szCs w:val="22"/>
              </w:rPr>
              <w:t>Omicron (</w:t>
            </w:r>
            <w:proofErr w:type="spellStart"/>
            <w:r w:rsidRPr="00203FC0">
              <w:rPr>
                <w:color w:val="000000" w:themeColor="text1"/>
                <w:sz w:val="22"/>
                <w:szCs w:val="22"/>
              </w:rPr>
              <w:t>JN.1</w:t>
            </w:r>
            <w:proofErr w:type="spellEnd"/>
            <w:r w:rsidRPr="00203FC0">
              <w:rPr>
                <w:color w:val="000000" w:themeColor="text1"/>
                <w:sz w:val="22"/>
                <w:szCs w:val="22"/>
              </w:rPr>
              <w:t>)</w:t>
            </w:r>
          </w:p>
        </w:tc>
        <w:tc>
          <w:tcPr>
            <w:tcW w:w="2021" w:type="pct"/>
            <w:tcBorders>
              <w:top w:val="single" w:sz="4" w:space="0" w:color="auto"/>
              <w:left w:val="single" w:sz="4" w:space="0" w:color="auto"/>
              <w:bottom w:val="single" w:sz="4" w:space="0" w:color="auto"/>
              <w:right w:val="single" w:sz="4" w:space="0" w:color="auto"/>
            </w:tcBorders>
            <w:vAlign w:val="center"/>
          </w:tcPr>
          <w:p w14:paraId="79C6DECE" w14:textId="77777777" w:rsidR="005D39E6" w:rsidRPr="00203FC0" w:rsidRDefault="005D39E6" w:rsidP="006B2FD1">
            <w:pPr>
              <w:shd w:val="clear" w:color="auto" w:fill="FFFFFF" w:themeFill="background1"/>
              <w:spacing w:after="0"/>
              <w:rPr>
                <w:iCs/>
                <w:sz w:val="22"/>
                <w:szCs w:val="22"/>
              </w:rPr>
            </w:pPr>
            <w:proofErr w:type="spellStart"/>
            <w:r w:rsidRPr="00203FC0">
              <w:rPr>
                <w:iCs/>
                <w:sz w:val="22"/>
                <w:szCs w:val="22"/>
              </w:rPr>
              <w:t>T19I:R21T:L24</w:t>
            </w:r>
            <w:proofErr w:type="spellEnd"/>
            <w:r w:rsidRPr="00203FC0">
              <w:rPr>
                <w:iCs/>
                <w:sz w:val="22"/>
                <w:szCs w:val="22"/>
              </w:rPr>
              <w:t>-:</w:t>
            </w:r>
            <w:proofErr w:type="spellStart"/>
            <w:r w:rsidRPr="00203FC0">
              <w:rPr>
                <w:iCs/>
                <w:sz w:val="22"/>
                <w:szCs w:val="22"/>
              </w:rPr>
              <w:t>P25</w:t>
            </w:r>
            <w:proofErr w:type="spellEnd"/>
            <w:r w:rsidRPr="00203FC0">
              <w:rPr>
                <w:iCs/>
                <w:sz w:val="22"/>
                <w:szCs w:val="22"/>
              </w:rPr>
              <w:t>-:</w:t>
            </w:r>
            <w:proofErr w:type="spellStart"/>
            <w:r w:rsidRPr="00203FC0">
              <w:rPr>
                <w:iCs/>
                <w:sz w:val="22"/>
                <w:szCs w:val="22"/>
              </w:rPr>
              <w:t>P26</w:t>
            </w:r>
            <w:proofErr w:type="spellEnd"/>
            <w:r w:rsidRPr="00203FC0">
              <w:rPr>
                <w:iCs/>
                <w:sz w:val="22"/>
                <w:szCs w:val="22"/>
              </w:rPr>
              <w:t>-:</w:t>
            </w:r>
            <w:proofErr w:type="spellStart"/>
            <w:r w:rsidRPr="00203FC0">
              <w:rPr>
                <w:iCs/>
                <w:sz w:val="22"/>
                <w:szCs w:val="22"/>
              </w:rPr>
              <w:t>A27S</w:t>
            </w:r>
            <w:proofErr w:type="spellEnd"/>
            <w:r w:rsidRPr="00203FC0">
              <w:rPr>
                <w:iCs/>
                <w:sz w:val="22"/>
                <w:szCs w:val="22"/>
              </w:rPr>
              <w:t xml:space="preserve">: </w:t>
            </w:r>
            <w:proofErr w:type="spellStart"/>
            <w:r w:rsidRPr="00203FC0">
              <w:rPr>
                <w:iCs/>
                <w:sz w:val="22"/>
                <w:szCs w:val="22"/>
              </w:rPr>
              <w:t>S50L:H69</w:t>
            </w:r>
            <w:proofErr w:type="spellEnd"/>
            <w:r w:rsidRPr="00203FC0">
              <w:rPr>
                <w:iCs/>
                <w:sz w:val="22"/>
                <w:szCs w:val="22"/>
              </w:rPr>
              <w:t>-:</w:t>
            </w:r>
            <w:proofErr w:type="spellStart"/>
            <w:r w:rsidRPr="00203FC0">
              <w:rPr>
                <w:iCs/>
                <w:sz w:val="22"/>
                <w:szCs w:val="22"/>
              </w:rPr>
              <w:t>V70</w:t>
            </w:r>
            <w:proofErr w:type="spellEnd"/>
            <w:r w:rsidRPr="00203FC0">
              <w:rPr>
                <w:iCs/>
                <w:sz w:val="22"/>
                <w:szCs w:val="22"/>
              </w:rPr>
              <w:t>-:</w:t>
            </w:r>
            <w:proofErr w:type="spellStart"/>
            <w:r w:rsidRPr="00203FC0">
              <w:rPr>
                <w:iCs/>
                <w:sz w:val="22"/>
                <w:szCs w:val="22"/>
              </w:rPr>
              <w:t>V127F:G142D:Y144</w:t>
            </w:r>
            <w:proofErr w:type="spellEnd"/>
            <w:r w:rsidRPr="00203FC0">
              <w:rPr>
                <w:iCs/>
                <w:sz w:val="22"/>
                <w:szCs w:val="22"/>
              </w:rPr>
              <w:t xml:space="preserve">-: </w:t>
            </w:r>
            <w:proofErr w:type="spellStart"/>
            <w:r w:rsidRPr="00203FC0">
              <w:rPr>
                <w:iCs/>
                <w:sz w:val="22"/>
                <w:szCs w:val="22"/>
              </w:rPr>
              <w:t>F157S</w:t>
            </w:r>
            <w:proofErr w:type="spellEnd"/>
            <w:r w:rsidRPr="00203FC0">
              <w:rPr>
                <w:iCs/>
                <w:sz w:val="22"/>
                <w:szCs w:val="22"/>
              </w:rPr>
              <w:t xml:space="preserve">: </w:t>
            </w:r>
            <w:proofErr w:type="spellStart"/>
            <w:r w:rsidRPr="00203FC0">
              <w:rPr>
                <w:iCs/>
                <w:sz w:val="22"/>
                <w:szCs w:val="22"/>
              </w:rPr>
              <w:t>R158G:N211</w:t>
            </w:r>
            <w:proofErr w:type="spellEnd"/>
            <w:r w:rsidRPr="00203FC0">
              <w:rPr>
                <w:iCs/>
                <w:sz w:val="22"/>
                <w:szCs w:val="22"/>
              </w:rPr>
              <w:t>-:</w:t>
            </w:r>
            <w:proofErr w:type="spellStart"/>
            <w:r w:rsidRPr="00203FC0">
              <w:rPr>
                <w:iCs/>
                <w:sz w:val="22"/>
                <w:szCs w:val="22"/>
              </w:rPr>
              <w:t>L212I</w:t>
            </w:r>
            <w:proofErr w:type="spellEnd"/>
            <w:r w:rsidRPr="00203FC0">
              <w:rPr>
                <w:iCs/>
                <w:sz w:val="22"/>
                <w:szCs w:val="22"/>
              </w:rPr>
              <w:t xml:space="preserve">: </w:t>
            </w:r>
            <w:proofErr w:type="spellStart"/>
            <w:r w:rsidRPr="00203FC0">
              <w:rPr>
                <w:iCs/>
                <w:sz w:val="22"/>
                <w:szCs w:val="22"/>
              </w:rPr>
              <w:t>V213G</w:t>
            </w:r>
            <w:proofErr w:type="spellEnd"/>
            <w:r w:rsidRPr="00203FC0">
              <w:rPr>
                <w:iCs/>
                <w:sz w:val="22"/>
                <w:szCs w:val="22"/>
              </w:rPr>
              <w:t xml:space="preserve">: </w:t>
            </w:r>
            <w:proofErr w:type="spellStart"/>
            <w:r w:rsidRPr="00203FC0">
              <w:rPr>
                <w:iCs/>
                <w:sz w:val="22"/>
                <w:szCs w:val="22"/>
              </w:rPr>
              <w:t>L216F:H245N:A264D:I332V:G339H</w:t>
            </w:r>
            <w:proofErr w:type="spellEnd"/>
            <w:r w:rsidRPr="00203FC0">
              <w:rPr>
                <w:iCs/>
                <w:sz w:val="22"/>
                <w:szCs w:val="22"/>
              </w:rPr>
              <w:t xml:space="preserve">: </w:t>
            </w:r>
            <w:proofErr w:type="spellStart"/>
            <w:r w:rsidRPr="00203FC0">
              <w:rPr>
                <w:iCs/>
                <w:sz w:val="22"/>
                <w:szCs w:val="22"/>
              </w:rPr>
              <w:t>K356T:S371F:S373P:S375F:T376A</w:t>
            </w:r>
            <w:proofErr w:type="spellEnd"/>
            <w:r w:rsidRPr="00203FC0">
              <w:rPr>
                <w:iCs/>
                <w:sz w:val="22"/>
                <w:szCs w:val="22"/>
              </w:rPr>
              <w:t xml:space="preserve">: </w:t>
            </w:r>
            <w:proofErr w:type="spellStart"/>
            <w:r w:rsidRPr="00203FC0">
              <w:rPr>
                <w:iCs/>
                <w:sz w:val="22"/>
                <w:szCs w:val="22"/>
              </w:rPr>
              <w:t>R403K:D405N:R408S:K417N:N440K:V445H:G446S:N450D:L452W:L455S</w:t>
            </w:r>
            <w:proofErr w:type="spellEnd"/>
            <w:r w:rsidRPr="00203FC0">
              <w:rPr>
                <w:iCs/>
                <w:sz w:val="22"/>
                <w:szCs w:val="22"/>
              </w:rPr>
              <w:t xml:space="preserve">: </w:t>
            </w:r>
            <w:proofErr w:type="spellStart"/>
            <w:r w:rsidRPr="00203FC0">
              <w:rPr>
                <w:iCs/>
                <w:sz w:val="22"/>
                <w:szCs w:val="22"/>
              </w:rPr>
              <w:t>N460K:S477N:T478K:N481K:V483</w:t>
            </w:r>
            <w:proofErr w:type="spellEnd"/>
            <w:r w:rsidRPr="00203FC0">
              <w:rPr>
                <w:iCs/>
                <w:sz w:val="22"/>
                <w:szCs w:val="22"/>
              </w:rPr>
              <w:t xml:space="preserve">-: </w:t>
            </w:r>
            <w:proofErr w:type="spellStart"/>
            <w:r w:rsidRPr="00203FC0">
              <w:rPr>
                <w:iCs/>
                <w:sz w:val="22"/>
                <w:szCs w:val="22"/>
              </w:rPr>
              <w:t>E484K:F486P:Q498R:N501Y:Y505H</w:t>
            </w:r>
            <w:proofErr w:type="spellEnd"/>
            <w:r w:rsidRPr="00203FC0">
              <w:rPr>
                <w:iCs/>
                <w:sz w:val="22"/>
                <w:szCs w:val="22"/>
              </w:rPr>
              <w:t xml:space="preserve">: </w:t>
            </w:r>
            <w:proofErr w:type="spellStart"/>
            <w:r w:rsidRPr="00203FC0">
              <w:rPr>
                <w:iCs/>
                <w:sz w:val="22"/>
                <w:szCs w:val="22"/>
              </w:rPr>
              <w:t>E554K:A570V:D614G:P621S:H655Y</w:t>
            </w:r>
            <w:proofErr w:type="spellEnd"/>
            <w:r w:rsidRPr="00203FC0">
              <w:rPr>
                <w:iCs/>
                <w:sz w:val="22"/>
                <w:szCs w:val="22"/>
              </w:rPr>
              <w:t xml:space="preserve">: </w:t>
            </w:r>
            <w:proofErr w:type="spellStart"/>
            <w:r w:rsidRPr="00203FC0">
              <w:rPr>
                <w:iCs/>
                <w:sz w:val="22"/>
                <w:szCs w:val="22"/>
              </w:rPr>
              <w:t>I670V</w:t>
            </w:r>
            <w:proofErr w:type="spellEnd"/>
            <w:r w:rsidRPr="00203FC0">
              <w:rPr>
                <w:iCs/>
                <w:sz w:val="22"/>
                <w:szCs w:val="22"/>
              </w:rPr>
              <w:t xml:space="preserve">: </w:t>
            </w:r>
            <w:proofErr w:type="spellStart"/>
            <w:r w:rsidRPr="00203FC0">
              <w:rPr>
                <w:iCs/>
                <w:sz w:val="22"/>
                <w:szCs w:val="22"/>
              </w:rPr>
              <w:t>N679K:P681R:N764K:D796Y</w:t>
            </w:r>
            <w:proofErr w:type="spellEnd"/>
            <w:r w:rsidRPr="00203FC0">
              <w:rPr>
                <w:iCs/>
                <w:sz w:val="22"/>
                <w:szCs w:val="22"/>
              </w:rPr>
              <w:t xml:space="preserve">: </w:t>
            </w:r>
            <w:proofErr w:type="spellStart"/>
            <w:r w:rsidRPr="00203FC0">
              <w:rPr>
                <w:iCs/>
                <w:sz w:val="22"/>
                <w:szCs w:val="22"/>
              </w:rPr>
              <w:t>S939F:Q954H:N969K:P1143L</w:t>
            </w:r>
            <w:proofErr w:type="spellEnd"/>
          </w:p>
        </w:tc>
        <w:tc>
          <w:tcPr>
            <w:tcW w:w="818" w:type="pct"/>
            <w:tcBorders>
              <w:top w:val="single" w:sz="4" w:space="0" w:color="auto"/>
              <w:left w:val="single" w:sz="4" w:space="0" w:color="auto"/>
              <w:bottom w:val="single" w:sz="4" w:space="0" w:color="auto"/>
              <w:right w:val="single" w:sz="4" w:space="0" w:color="auto"/>
            </w:tcBorders>
            <w:vAlign w:val="center"/>
          </w:tcPr>
          <w:p w14:paraId="5D5E8377" w14:textId="77777777" w:rsidR="005D39E6" w:rsidRPr="00203FC0" w:rsidRDefault="005D39E6" w:rsidP="006B2FD1">
            <w:pPr>
              <w:spacing w:after="0"/>
              <w:jc w:val="center"/>
              <w:rPr>
                <w:sz w:val="22"/>
                <w:szCs w:val="22"/>
              </w:rPr>
            </w:pPr>
            <w:r w:rsidRPr="00203FC0">
              <w:rPr>
                <w:sz w:val="22"/>
                <w:szCs w:val="22"/>
              </w:rPr>
              <w:t>6.2</w:t>
            </w:r>
          </w:p>
        </w:tc>
        <w:tc>
          <w:tcPr>
            <w:tcW w:w="612" w:type="pct"/>
            <w:tcBorders>
              <w:top w:val="single" w:sz="4" w:space="0" w:color="auto"/>
              <w:left w:val="single" w:sz="4" w:space="0" w:color="auto"/>
              <w:bottom w:val="single" w:sz="4" w:space="0" w:color="auto"/>
              <w:right w:val="single" w:sz="4" w:space="0" w:color="auto"/>
            </w:tcBorders>
            <w:vAlign w:val="center"/>
          </w:tcPr>
          <w:p w14:paraId="0DE6452C" w14:textId="77777777" w:rsidR="005D39E6" w:rsidRPr="00203FC0" w:rsidRDefault="005D39E6" w:rsidP="006B2FD1">
            <w:pPr>
              <w:spacing w:after="0"/>
              <w:jc w:val="center"/>
              <w:rPr>
                <w:sz w:val="22"/>
                <w:szCs w:val="22"/>
              </w:rPr>
            </w:pPr>
            <w:r w:rsidRPr="00203FC0">
              <w:rPr>
                <w:sz w:val="22"/>
                <w:szCs w:val="22"/>
              </w:rPr>
              <w:t>83.1</w:t>
            </w:r>
          </w:p>
        </w:tc>
      </w:tr>
    </w:tbl>
    <w:bookmarkEnd w:id="12"/>
    <w:p w14:paraId="03CB3BF9" w14:textId="77777777" w:rsidR="00BF4D74" w:rsidRPr="00203FC0" w:rsidRDefault="00BF4D74" w:rsidP="00BF4D74">
      <w:pPr>
        <w:keepLines/>
        <w:numPr>
          <w:ilvl w:val="0"/>
          <w:numId w:val="6"/>
        </w:numPr>
        <w:tabs>
          <w:tab w:val="clear" w:pos="425"/>
          <w:tab w:val="num" w:pos="850"/>
        </w:tabs>
        <w:spacing w:after="0" w:line="240" w:lineRule="auto"/>
        <w:ind w:left="180" w:hanging="186"/>
        <w:rPr>
          <w:sz w:val="18"/>
          <w:szCs w:val="18"/>
        </w:rPr>
      </w:pPr>
      <w:r w:rsidRPr="00203FC0">
        <w:rPr>
          <w:sz w:val="18"/>
          <w:szCs w:val="18"/>
        </w:rPr>
        <w:t xml:space="preserve">Range of reduced </w:t>
      </w:r>
      <w:r w:rsidRPr="00203FC0">
        <w:rPr>
          <w:i/>
          <w:iCs/>
          <w:sz w:val="18"/>
          <w:szCs w:val="18"/>
        </w:rPr>
        <w:t>in vitro</w:t>
      </w:r>
      <w:r w:rsidRPr="00203FC0">
        <w:rPr>
          <w:sz w:val="18"/>
          <w:szCs w:val="18"/>
        </w:rPr>
        <w:t xml:space="preserve"> potency across multiple sets of co-occurring substitutions and/or testing labs using research-grade assays; mean fold change in half maximal inhibitory concentration (</w:t>
      </w:r>
      <w:proofErr w:type="spellStart"/>
      <w:r w:rsidRPr="00203FC0">
        <w:rPr>
          <w:sz w:val="18"/>
          <w:szCs w:val="18"/>
        </w:rPr>
        <w:t>IC</w:t>
      </w:r>
      <w:r w:rsidRPr="00203FC0">
        <w:rPr>
          <w:sz w:val="18"/>
          <w:szCs w:val="18"/>
          <w:vertAlign w:val="subscript"/>
        </w:rPr>
        <w:t>50</w:t>
      </w:r>
      <w:proofErr w:type="spellEnd"/>
      <w:r w:rsidRPr="00203FC0">
        <w:rPr>
          <w:sz w:val="18"/>
          <w:szCs w:val="18"/>
        </w:rPr>
        <w:t>) of monoclonal antibody required for a 50% reduction in infection compared to ancestral reference strain.</w:t>
      </w:r>
    </w:p>
    <w:p w14:paraId="26C878DB" w14:textId="77777777" w:rsidR="00BF4D74" w:rsidRPr="00203FC0" w:rsidRDefault="00BF4D74" w:rsidP="00BF4D74">
      <w:pPr>
        <w:pStyle w:val="TableFootnoteLetter"/>
        <w:numPr>
          <w:ilvl w:val="0"/>
          <w:numId w:val="6"/>
        </w:numPr>
        <w:spacing w:before="0" w:after="0"/>
        <w:ind w:left="180" w:hanging="186"/>
        <w:rPr>
          <w:szCs w:val="18"/>
        </w:rPr>
      </w:pPr>
      <w:bookmarkStart w:id="13" w:name="_Hlk79400938"/>
      <w:proofErr w:type="spellStart"/>
      <w:r w:rsidRPr="00203FC0">
        <w:rPr>
          <w:szCs w:val="18"/>
        </w:rPr>
        <w:t>Pseudoviruses</w:t>
      </w:r>
      <w:proofErr w:type="spellEnd"/>
      <w:r w:rsidRPr="00203FC0">
        <w:rPr>
          <w:szCs w:val="18"/>
        </w:rPr>
        <w:t xml:space="preserve"> expressing the entire SARS-CoV-2 spike variant protein and individual characteristic spike substitutions.</w:t>
      </w:r>
      <w:bookmarkEnd w:id="13"/>
    </w:p>
    <w:p w14:paraId="73D12247" w14:textId="77777777" w:rsidR="00BF4D74" w:rsidRPr="00203FC0" w:rsidRDefault="00BF4D74" w:rsidP="00BF4D74">
      <w:pPr>
        <w:keepLines/>
        <w:numPr>
          <w:ilvl w:val="0"/>
          <w:numId w:val="6"/>
        </w:numPr>
        <w:tabs>
          <w:tab w:val="clear" w:pos="425"/>
          <w:tab w:val="num" w:pos="850"/>
        </w:tabs>
        <w:spacing w:after="0" w:line="240" w:lineRule="auto"/>
        <w:ind w:left="180" w:hanging="186"/>
        <w:rPr>
          <w:sz w:val="18"/>
          <w:szCs w:val="18"/>
        </w:rPr>
      </w:pPr>
      <w:r w:rsidRPr="00203FC0">
        <w:rPr>
          <w:sz w:val="18"/>
          <w:szCs w:val="18"/>
        </w:rPr>
        <w:t>Sipavibart unlikely to be active against this variant.</w:t>
      </w:r>
    </w:p>
    <w:p w14:paraId="391CEAE4" w14:textId="77777777" w:rsidR="00BF4D74" w:rsidRPr="00203FC0" w:rsidRDefault="00BF4D74" w:rsidP="00BF4D74">
      <w:pPr>
        <w:keepLines/>
        <w:numPr>
          <w:ilvl w:val="0"/>
          <w:numId w:val="6"/>
        </w:numPr>
        <w:tabs>
          <w:tab w:val="clear" w:pos="425"/>
          <w:tab w:val="num" w:pos="850"/>
        </w:tabs>
        <w:spacing w:after="0" w:line="240" w:lineRule="auto"/>
        <w:ind w:left="180" w:hanging="186"/>
        <w:rPr>
          <w:sz w:val="18"/>
          <w:szCs w:val="18"/>
        </w:rPr>
      </w:pPr>
      <w:proofErr w:type="spellStart"/>
      <w:r w:rsidRPr="00203FC0">
        <w:rPr>
          <w:sz w:val="18"/>
          <w:szCs w:val="18"/>
        </w:rPr>
        <w:t>BA.2.86</w:t>
      </w:r>
      <w:proofErr w:type="spellEnd"/>
      <w:r w:rsidRPr="00203FC0">
        <w:rPr>
          <w:sz w:val="18"/>
          <w:szCs w:val="18"/>
        </w:rPr>
        <w:t xml:space="preserve"> includes </w:t>
      </w:r>
      <w:proofErr w:type="spellStart"/>
      <w:r w:rsidRPr="00203FC0">
        <w:rPr>
          <w:sz w:val="18"/>
          <w:szCs w:val="18"/>
        </w:rPr>
        <w:t>BA.2.86</w:t>
      </w:r>
      <w:proofErr w:type="spellEnd"/>
      <w:r w:rsidRPr="00203FC0">
        <w:rPr>
          <w:sz w:val="18"/>
          <w:szCs w:val="18"/>
        </w:rPr>
        <w:t xml:space="preserve">, </w:t>
      </w:r>
      <w:proofErr w:type="spellStart"/>
      <w:r w:rsidRPr="00203FC0">
        <w:rPr>
          <w:sz w:val="18"/>
          <w:szCs w:val="18"/>
        </w:rPr>
        <w:t>BA.2.86.1</w:t>
      </w:r>
      <w:proofErr w:type="spellEnd"/>
      <w:r w:rsidRPr="00203FC0">
        <w:rPr>
          <w:sz w:val="18"/>
          <w:szCs w:val="18"/>
        </w:rPr>
        <w:t xml:space="preserve">, </w:t>
      </w:r>
      <w:proofErr w:type="spellStart"/>
      <w:r w:rsidRPr="00203FC0">
        <w:rPr>
          <w:sz w:val="18"/>
          <w:szCs w:val="18"/>
        </w:rPr>
        <w:t>JN.2</w:t>
      </w:r>
      <w:proofErr w:type="spellEnd"/>
      <w:r w:rsidRPr="00203FC0">
        <w:rPr>
          <w:sz w:val="18"/>
          <w:szCs w:val="18"/>
        </w:rPr>
        <w:t xml:space="preserve">, and </w:t>
      </w:r>
      <w:proofErr w:type="spellStart"/>
      <w:r w:rsidRPr="00203FC0">
        <w:rPr>
          <w:sz w:val="18"/>
          <w:szCs w:val="18"/>
        </w:rPr>
        <w:t>JN.3</w:t>
      </w:r>
      <w:proofErr w:type="spellEnd"/>
      <w:r w:rsidRPr="00203FC0">
        <w:rPr>
          <w:sz w:val="18"/>
          <w:szCs w:val="18"/>
        </w:rPr>
        <w:t>, which have the same SARS-CoV-2 spike protein sequence.</w:t>
      </w:r>
    </w:p>
    <w:p w14:paraId="6D7ADD3A" w14:textId="77777777" w:rsidR="00305CAF" w:rsidRPr="00203FC0" w:rsidRDefault="00305CAF" w:rsidP="00305CAF">
      <w:pPr>
        <w:spacing w:after="0" w:line="240" w:lineRule="auto"/>
        <w:rPr>
          <w:rFonts w:asciiTheme="minorHAnsi" w:eastAsia="Calibri" w:hAnsiTheme="minorHAnsi" w:cstheme="minorBidi"/>
          <w:sz w:val="20"/>
          <w:szCs w:val="20"/>
        </w:rPr>
      </w:pPr>
    </w:p>
    <w:p w14:paraId="1D85FCAC" w14:textId="13F95487" w:rsidR="00305CAF" w:rsidRPr="00203FC0" w:rsidRDefault="00305CAF" w:rsidP="00305CAF">
      <w:pPr>
        <w:pStyle w:val="Heading3Unnumbered"/>
        <w:rPr>
          <w:rFonts w:eastAsiaTheme="minorHAnsi"/>
          <w:lang w:val="en-AU"/>
        </w:rPr>
      </w:pPr>
      <w:r w:rsidRPr="00203FC0">
        <w:rPr>
          <w:rFonts w:eastAsiaTheme="minorHAnsi"/>
          <w:lang w:val="en-AU"/>
        </w:rPr>
        <w:t>Pharmacodynamic effects</w:t>
      </w:r>
      <w:r w:rsidR="002B1200" w:rsidRPr="00203FC0">
        <w:rPr>
          <w:rFonts w:eastAsiaTheme="minorHAnsi"/>
          <w:lang w:val="en-AU"/>
        </w:rPr>
        <w:fldChar w:fldCharType="begin"/>
      </w:r>
      <w:r w:rsidR="002B1200" w:rsidRPr="00203FC0">
        <w:rPr>
          <w:rFonts w:eastAsiaTheme="minorHAnsi"/>
          <w:lang w:val="en-AU"/>
        </w:rPr>
        <w:instrText xml:space="preserve"> DOCVARIABLE vault_nd_0fdec42b-c0e8-4e18-8218-aea676fb5827 \* MERGEFORMAT </w:instrText>
      </w:r>
      <w:r w:rsidR="002B1200" w:rsidRPr="00203FC0">
        <w:rPr>
          <w:rFonts w:eastAsiaTheme="minorHAnsi"/>
          <w:lang w:val="en-AU"/>
        </w:rPr>
        <w:fldChar w:fldCharType="separate"/>
      </w:r>
      <w:r w:rsidR="002B1200" w:rsidRPr="00203FC0">
        <w:rPr>
          <w:rFonts w:eastAsiaTheme="minorHAnsi"/>
          <w:lang w:val="en-AU"/>
        </w:rPr>
        <w:t xml:space="preserve"> </w:t>
      </w:r>
      <w:r w:rsidR="002B1200" w:rsidRPr="00203FC0">
        <w:rPr>
          <w:rFonts w:eastAsiaTheme="minorHAnsi"/>
          <w:lang w:val="en-AU"/>
        </w:rPr>
        <w:fldChar w:fldCharType="end"/>
      </w:r>
    </w:p>
    <w:p w14:paraId="4ED5D835" w14:textId="24D72A53" w:rsidR="00305CAF" w:rsidRPr="00203FC0" w:rsidRDefault="00305CAF" w:rsidP="00B6460A">
      <w:pPr>
        <w:pStyle w:val="Paragraph"/>
        <w:rPr>
          <w:rFonts w:eastAsiaTheme="minorHAnsi"/>
          <w:lang w:val="en-AU"/>
        </w:rPr>
      </w:pPr>
      <w:r w:rsidRPr="00203FC0">
        <w:rPr>
          <w:rFonts w:eastAsiaTheme="minorHAnsi"/>
          <w:lang w:val="en-AU"/>
        </w:rPr>
        <w:t>Following a single intramuscular dose of 300</w:t>
      </w:r>
      <w:r w:rsidR="00D85402" w:rsidRPr="00203FC0">
        <w:rPr>
          <w:rFonts w:eastAsiaTheme="minorHAnsi"/>
          <w:lang w:val="en-AU"/>
        </w:rPr>
        <w:t xml:space="preserve"> </w:t>
      </w:r>
      <w:r w:rsidRPr="00203FC0">
        <w:rPr>
          <w:rFonts w:eastAsiaTheme="minorHAnsi"/>
          <w:lang w:val="en-AU"/>
        </w:rPr>
        <w:t xml:space="preserve">mg </w:t>
      </w:r>
      <w:proofErr w:type="spellStart"/>
      <w:r w:rsidRPr="00203FC0">
        <w:rPr>
          <w:rFonts w:eastAsiaTheme="minorHAnsi"/>
          <w:lang w:val="en-AU"/>
        </w:rPr>
        <w:t>sipavibart</w:t>
      </w:r>
      <w:proofErr w:type="spellEnd"/>
      <w:r w:rsidRPr="00203FC0">
        <w:rPr>
          <w:rFonts w:eastAsiaTheme="minorHAnsi"/>
          <w:lang w:val="en-AU"/>
        </w:rPr>
        <w:t xml:space="preserve">, </w:t>
      </w:r>
      <w:proofErr w:type="spellStart"/>
      <w:r w:rsidRPr="00203FC0">
        <w:rPr>
          <w:rFonts w:eastAsiaTheme="minorHAnsi"/>
          <w:lang w:val="en-AU"/>
        </w:rPr>
        <w:t>nAb</w:t>
      </w:r>
      <w:proofErr w:type="spellEnd"/>
      <w:r w:rsidRPr="00203FC0">
        <w:rPr>
          <w:rFonts w:eastAsiaTheme="minorHAnsi"/>
          <w:lang w:val="en-AU"/>
        </w:rPr>
        <w:t xml:space="preserve"> geometric mean titres (GMT) at Days 29, 91, and 181 were higher in the </w:t>
      </w:r>
      <w:proofErr w:type="spellStart"/>
      <w:r w:rsidRPr="00203FC0">
        <w:rPr>
          <w:rFonts w:eastAsiaTheme="minorHAnsi"/>
          <w:lang w:val="en-AU"/>
        </w:rPr>
        <w:t>sipavibart</w:t>
      </w:r>
      <w:proofErr w:type="spellEnd"/>
      <w:r w:rsidRPr="00203FC0">
        <w:rPr>
          <w:rFonts w:eastAsiaTheme="minorHAnsi"/>
          <w:lang w:val="en-AU"/>
        </w:rPr>
        <w:t xml:space="preserve"> group </w:t>
      </w:r>
      <w:r w:rsidR="00DD2A6C" w:rsidRPr="00203FC0">
        <w:rPr>
          <w:rFonts w:eastAsiaTheme="minorHAnsi"/>
          <w:lang w:val="en-AU"/>
        </w:rPr>
        <w:t>against all tested variants versus placebo.</w:t>
      </w:r>
    </w:p>
    <w:p w14:paraId="7CD43F58" w14:textId="3BF6B37E" w:rsidR="00305CAF" w:rsidRPr="00203FC0" w:rsidRDefault="00305CAF" w:rsidP="00305CAF">
      <w:pPr>
        <w:pStyle w:val="Heading3Unnumbered"/>
        <w:rPr>
          <w:rFonts w:eastAsiaTheme="minorHAnsi"/>
          <w:vertAlign w:val="superscript"/>
          <w:lang w:val="en-AU"/>
        </w:rPr>
      </w:pPr>
      <w:r w:rsidRPr="00203FC0">
        <w:rPr>
          <w:rFonts w:eastAsiaTheme="minorHAnsi"/>
          <w:lang w:val="en-AU"/>
        </w:rPr>
        <w:t>Immunogenicity</w:t>
      </w:r>
      <w:r w:rsidR="00875F0F" w:rsidRPr="00203FC0">
        <w:rPr>
          <w:rFonts w:eastAsiaTheme="minorHAnsi"/>
          <w:vertAlign w:val="superscript"/>
          <w:lang w:val="en-AU"/>
        </w:rPr>
        <w:fldChar w:fldCharType="begin"/>
      </w:r>
      <w:r w:rsidR="00875F0F" w:rsidRPr="00203FC0">
        <w:rPr>
          <w:rFonts w:eastAsiaTheme="minorHAnsi"/>
          <w:vertAlign w:val="superscript"/>
          <w:lang w:val="en-AU"/>
        </w:rPr>
        <w:instrText xml:space="preserve"> DOCVARIABLE vault_nd_144995c7-8202-46ba-a170-c32d869a016c \* MERGEFORMAT </w:instrText>
      </w:r>
      <w:r w:rsidR="00875F0F" w:rsidRPr="00203FC0">
        <w:rPr>
          <w:rFonts w:eastAsiaTheme="minorHAnsi"/>
          <w:vertAlign w:val="superscript"/>
          <w:lang w:val="en-AU"/>
        </w:rPr>
        <w:fldChar w:fldCharType="separate"/>
      </w:r>
      <w:r w:rsidR="00875F0F" w:rsidRPr="00203FC0">
        <w:rPr>
          <w:rFonts w:eastAsiaTheme="minorHAnsi"/>
          <w:vertAlign w:val="superscript"/>
          <w:lang w:val="en-AU"/>
        </w:rPr>
        <w:t xml:space="preserve"> </w:t>
      </w:r>
      <w:r w:rsidR="00875F0F" w:rsidRPr="00203FC0">
        <w:rPr>
          <w:rFonts w:eastAsiaTheme="minorHAnsi"/>
          <w:vertAlign w:val="superscript"/>
          <w:lang w:val="en-AU"/>
        </w:rPr>
        <w:fldChar w:fldCharType="end"/>
      </w:r>
    </w:p>
    <w:p w14:paraId="0B2D4430" w14:textId="063D8E31" w:rsidR="00305CAF" w:rsidRPr="00203FC0" w:rsidRDefault="009711DC" w:rsidP="007403BD">
      <w:pPr>
        <w:pStyle w:val="Paragraph"/>
        <w:rPr>
          <w:lang w:val="en-AU"/>
        </w:rPr>
      </w:pPr>
      <w:r w:rsidRPr="00203FC0">
        <w:rPr>
          <w:lang w:val="en-AU"/>
        </w:rPr>
        <w:t xml:space="preserve">Among participants who received </w:t>
      </w:r>
      <w:proofErr w:type="spellStart"/>
      <w:r w:rsidRPr="00203FC0">
        <w:rPr>
          <w:lang w:val="en-AU"/>
        </w:rPr>
        <w:t>sipavibart</w:t>
      </w:r>
      <w:proofErr w:type="spellEnd"/>
      <w:r w:rsidRPr="00203FC0">
        <w:rPr>
          <w:lang w:val="en-AU"/>
        </w:rPr>
        <w:t xml:space="preserve">, 4.8% (29/604) were ADA-positive at any time and 0.8% (5/604) were treatment-emergent-ADA-positive. The low rate of ADA positive participants does not allow for complete assessment of the impact of ADA on the PK and safety of </w:t>
      </w:r>
      <w:proofErr w:type="spellStart"/>
      <w:r w:rsidRPr="00203FC0">
        <w:rPr>
          <w:lang w:val="en-AU"/>
        </w:rPr>
        <w:t>sipavibart</w:t>
      </w:r>
      <w:proofErr w:type="spellEnd"/>
      <w:r w:rsidRPr="00203FC0">
        <w:rPr>
          <w:lang w:val="en-AU"/>
        </w:rPr>
        <w:t>.</w:t>
      </w:r>
    </w:p>
    <w:p w14:paraId="629DA101" w14:textId="193C1FC9" w:rsidR="001A3992" w:rsidRPr="00203FC0" w:rsidRDefault="001A3992" w:rsidP="0026491B">
      <w:pPr>
        <w:pStyle w:val="Heading3Unnumbered"/>
        <w:rPr>
          <w:lang w:val="en-AU"/>
        </w:rPr>
      </w:pPr>
      <w:r w:rsidRPr="00203FC0">
        <w:rPr>
          <w:lang w:val="en-AU"/>
        </w:rPr>
        <w:t>Clinical trials</w:t>
      </w:r>
      <w:r w:rsidR="002B1200" w:rsidRPr="00203FC0">
        <w:rPr>
          <w:lang w:val="en-AU"/>
        </w:rPr>
        <w:fldChar w:fldCharType="begin"/>
      </w:r>
      <w:r w:rsidR="002B1200" w:rsidRPr="00203FC0">
        <w:rPr>
          <w:lang w:val="en-AU"/>
        </w:rPr>
        <w:instrText xml:space="preserve"> DOCVARIABLE vault_nd_1faabd6f-0c4c-4452-80a6-9f3b385770c9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54368CB6" w14:textId="3704DAF1" w:rsidR="00305CAF" w:rsidRPr="00203FC0" w:rsidRDefault="00305CAF" w:rsidP="00305CAF">
      <w:pPr>
        <w:pStyle w:val="Heading4Unnumbered"/>
        <w:rPr>
          <w:lang w:val="en-AU"/>
        </w:rPr>
      </w:pPr>
      <w:r w:rsidRPr="00203FC0">
        <w:rPr>
          <w:lang w:val="en-AU"/>
        </w:rPr>
        <w:t>SUPERNOVA Parent Study, Main Cohort</w:t>
      </w:r>
      <w:r w:rsidR="002B1200" w:rsidRPr="00203FC0">
        <w:rPr>
          <w:lang w:val="en-AU"/>
        </w:rPr>
        <w:fldChar w:fldCharType="begin"/>
      </w:r>
      <w:r w:rsidR="002B1200" w:rsidRPr="00203FC0">
        <w:rPr>
          <w:lang w:val="en-AU"/>
        </w:rPr>
        <w:instrText xml:space="preserve"> DOCVARIABLE vault_nd_de57f48e-2aa3-420f-91c8-64fef4e43a24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49BE9788" w14:textId="0052BD2A" w:rsidR="007403BD" w:rsidRPr="00203FC0" w:rsidRDefault="001F632C" w:rsidP="00312C1B">
      <w:pPr>
        <w:pStyle w:val="Paragraph"/>
        <w:rPr>
          <w:lang w:val="en-AU"/>
        </w:rPr>
      </w:pPr>
      <w:r w:rsidRPr="00203FC0">
        <w:rPr>
          <w:lang w:val="en-AU"/>
        </w:rPr>
        <w:t>The SUPERNOVA Parent Study, Main Cohort, is an ongoing Phase III, randomi</w:t>
      </w:r>
      <w:r w:rsidR="00F46D86">
        <w:rPr>
          <w:lang w:val="en-AU"/>
        </w:rPr>
        <w:t>s</w:t>
      </w:r>
      <w:r w:rsidRPr="00203FC0">
        <w:rPr>
          <w:lang w:val="en-AU"/>
        </w:rPr>
        <w:t xml:space="preserve">ed (1:1), double-blind, comparator-controlled clinical trial studying </w:t>
      </w:r>
      <w:proofErr w:type="spellStart"/>
      <w:r w:rsidRPr="00203FC0">
        <w:rPr>
          <w:lang w:val="en-AU"/>
        </w:rPr>
        <w:t>KAVIGALE</w:t>
      </w:r>
      <w:proofErr w:type="spellEnd"/>
      <w:r w:rsidRPr="00203FC0">
        <w:rPr>
          <w:lang w:val="en-AU"/>
        </w:rPr>
        <w:t xml:space="preserve"> for the pre-exposure prophylaxis of COVID-19 in immunocompromised adults and adolescents ≥12 years of age. A total of 1669 adults and adolescents ≥12 years of age and weighing at least 40 kg were randomised to receive a single dose of </w:t>
      </w:r>
      <w:proofErr w:type="spellStart"/>
      <w:r w:rsidRPr="00203FC0">
        <w:rPr>
          <w:lang w:val="en-AU"/>
        </w:rPr>
        <w:t>KAVIGALE</w:t>
      </w:r>
      <w:proofErr w:type="spellEnd"/>
      <w:r w:rsidRPr="00203FC0">
        <w:rPr>
          <w:lang w:val="en-AU"/>
        </w:rPr>
        <w:t xml:space="preserve"> 300 mg via IM injection and 1666 were randomised to receive comparator (</w:t>
      </w:r>
      <w:proofErr w:type="spellStart"/>
      <w:r w:rsidRPr="00203FC0">
        <w:rPr>
          <w:lang w:val="en-AU"/>
        </w:rPr>
        <w:t>EVUSHELD</w:t>
      </w:r>
      <w:proofErr w:type="spellEnd"/>
      <w:r w:rsidRPr="00203FC0">
        <w:rPr>
          <w:lang w:val="en-AU"/>
        </w:rPr>
        <w:t xml:space="preserve"> or placebo). Participants received a second dose of </w:t>
      </w:r>
      <w:proofErr w:type="spellStart"/>
      <w:r w:rsidR="00373E70" w:rsidRPr="00203FC0">
        <w:rPr>
          <w:lang w:val="en-AU"/>
        </w:rPr>
        <w:t>KAVIGALE</w:t>
      </w:r>
      <w:proofErr w:type="spellEnd"/>
      <w:r w:rsidR="00373E70" w:rsidRPr="00203FC0">
        <w:rPr>
          <w:lang w:val="en-AU"/>
        </w:rPr>
        <w:t xml:space="preserve"> 300 mg or placebo</w:t>
      </w:r>
      <w:r w:rsidRPr="00203FC0">
        <w:rPr>
          <w:lang w:val="en-AU"/>
        </w:rPr>
        <w:t xml:space="preserve"> 6 months after the initial dose.</w:t>
      </w:r>
      <w:r w:rsidR="00C22273" w:rsidRPr="00203FC0">
        <w:rPr>
          <w:lang w:val="en-AU"/>
        </w:rPr>
        <w:t xml:space="preserve"> T</w:t>
      </w:r>
      <w:r w:rsidR="00980B90" w:rsidRPr="00203FC0">
        <w:rPr>
          <w:lang w:val="en-AU"/>
        </w:rPr>
        <w:t>he study excluded participants who received COVID-19 vaccine or with a history of laboratory-confirmed or rapid-test confirmed SARS-CoV-2 infection within 3 months prior to the first visit.</w:t>
      </w:r>
    </w:p>
    <w:p w14:paraId="6D6089D1" w14:textId="380EFA35" w:rsidR="00F01CBA" w:rsidRPr="00203FC0" w:rsidRDefault="007D439F" w:rsidP="00F01CBA">
      <w:pPr>
        <w:pStyle w:val="Paragraph"/>
        <w:keepNext/>
        <w:rPr>
          <w:lang w:val="en-AU"/>
        </w:rPr>
      </w:pPr>
      <w:r w:rsidRPr="00203FC0">
        <w:rPr>
          <w:lang w:val="en-AU"/>
        </w:rPr>
        <w:t xml:space="preserve">The baseline demographics were balanced across the </w:t>
      </w:r>
      <w:proofErr w:type="spellStart"/>
      <w:r w:rsidRPr="00203FC0">
        <w:rPr>
          <w:lang w:val="en-AU"/>
        </w:rPr>
        <w:t>KAVIGALE</w:t>
      </w:r>
      <w:proofErr w:type="spellEnd"/>
      <w:r w:rsidRPr="00203FC0">
        <w:rPr>
          <w:lang w:val="en-AU"/>
        </w:rPr>
        <w:t xml:space="preserve"> and comparator treatment arms. The median age was 60 years (36.3% 65 years of age or older; 15 participants were 12 years to less than 18 years of age), 56.8% of participants were female, 74.1% were White, 6.5% were Asian, </w:t>
      </w:r>
      <w:r w:rsidRPr="00203FC0">
        <w:rPr>
          <w:lang w:val="en-AU"/>
        </w:rPr>
        <w:lastRenderedPageBreak/>
        <w:t>12.1% were Black/African American, and 21.5% were Hispanic/Latino.</w:t>
      </w:r>
      <w:r w:rsidR="00F01CBA" w:rsidRPr="00203FC0">
        <w:rPr>
          <w:lang w:val="en-AU"/>
        </w:rPr>
        <w:t xml:space="preserve"> All participants had at least one immunocompromising clinical condition, including but not limited to:</w:t>
      </w:r>
    </w:p>
    <w:p w14:paraId="4D4D125E" w14:textId="77777777" w:rsidR="00E06A72" w:rsidRPr="00203FC0" w:rsidRDefault="00E06A72" w:rsidP="00E06A72">
      <w:pPr>
        <w:pStyle w:val="Paragraph"/>
        <w:numPr>
          <w:ilvl w:val="0"/>
          <w:numId w:val="19"/>
        </w:numPr>
        <w:rPr>
          <w:lang w:val="en-AU"/>
        </w:rPr>
      </w:pPr>
      <w:r w:rsidRPr="00203FC0">
        <w:rPr>
          <w:lang w:val="en-AU"/>
        </w:rPr>
        <w:t>74.3% Taking immunosuppressive medication</w:t>
      </w:r>
    </w:p>
    <w:p w14:paraId="20C690C5" w14:textId="77777777" w:rsidR="00E06A72" w:rsidRPr="00203FC0" w:rsidRDefault="00E06A72" w:rsidP="00E06A72">
      <w:pPr>
        <w:pStyle w:val="Paragraph"/>
        <w:numPr>
          <w:ilvl w:val="0"/>
          <w:numId w:val="19"/>
        </w:numPr>
        <w:rPr>
          <w:lang w:val="en-AU"/>
        </w:rPr>
      </w:pPr>
      <w:r w:rsidRPr="00203FC0">
        <w:rPr>
          <w:lang w:val="en-AU"/>
        </w:rPr>
        <w:t>15.3% Hematologic malignancy</w:t>
      </w:r>
    </w:p>
    <w:p w14:paraId="7CAC8943" w14:textId="77777777" w:rsidR="00E06A72" w:rsidRPr="00203FC0" w:rsidRDefault="00E06A72" w:rsidP="00E06A72">
      <w:pPr>
        <w:pStyle w:val="Paragraph"/>
        <w:numPr>
          <w:ilvl w:val="0"/>
          <w:numId w:val="19"/>
        </w:numPr>
        <w:rPr>
          <w:lang w:val="en-AU"/>
        </w:rPr>
      </w:pPr>
      <w:r w:rsidRPr="00203FC0">
        <w:rPr>
          <w:lang w:val="en-AU"/>
        </w:rPr>
        <w:t xml:space="preserve">15.1% Moderate/severe secondary immunodeficiencies (predominantly </w:t>
      </w:r>
      <w:proofErr w:type="spellStart"/>
      <w:r w:rsidRPr="00203FC0">
        <w:rPr>
          <w:lang w:val="en-AU"/>
        </w:rPr>
        <w:t>hemodialysis</w:t>
      </w:r>
      <w:proofErr w:type="spellEnd"/>
      <w:r w:rsidRPr="00203FC0">
        <w:rPr>
          <w:lang w:val="en-AU"/>
        </w:rPr>
        <w:t>)</w:t>
      </w:r>
    </w:p>
    <w:p w14:paraId="021ADC49" w14:textId="77777777" w:rsidR="00E06A72" w:rsidRPr="00203FC0" w:rsidRDefault="00E06A72" w:rsidP="00E06A72">
      <w:pPr>
        <w:pStyle w:val="Paragraph"/>
        <w:numPr>
          <w:ilvl w:val="0"/>
          <w:numId w:val="19"/>
        </w:numPr>
        <w:rPr>
          <w:lang w:val="en-AU"/>
        </w:rPr>
      </w:pPr>
      <w:r w:rsidRPr="00203FC0">
        <w:rPr>
          <w:lang w:val="en-AU"/>
        </w:rPr>
        <w:t>14.2% Solid organ transplant</w:t>
      </w:r>
    </w:p>
    <w:p w14:paraId="5B818342" w14:textId="77777777" w:rsidR="00E06A72" w:rsidRPr="00203FC0" w:rsidRDefault="00E06A72" w:rsidP="00E06A72">
      <w:pPr>
        <w:pStyle w:val="Paragraph"/>
        <w:numPr>
          <w:ilvl w:val="0"/>
          <w:numId w:val="19"/>
        </w:numPr>
        <w:rPr>
          <w:lang w:val="en-AU"/>
        </w:rPr>
      </w:pPr>
      <w:r w:rsidRPr="00203FC0">
        <w:rPr>
          <w:lang w:val="en-AU"/>
        </w:rPr>
        <w:t>13.3% Within 1 year of receiving B-cell depleting therapies</w:t>
      </w:r>
    </w:p>
    <w:p w14:paraId="1295514D" w14:textId="77777777" w:rsidR="00E06A72" w:rsidRPr="00203FC0" w:rsidRDefault="00E06A72" w:rsidP="00E06A72">
      <w:pPr>
        <w:pStyle w:val="Paragraph"/>
        <w:numPr>
          <w:ilvl w:val="0"/>
          <w:numId w:val="19"/>
        </w:numPr>
        <w:rPr>
          <w:lang w:val="en-AU"/>
        </w:rPr>
      </w:pPr>
      <w:r w:rsidRPr="00203FC0">
        <w:rPr>
          <w:lang w:val="en-AU"/>
        </w:rPr>
        <w:t>3.4% Solid tumour cancer and on treatment</w:t>
      </w:r>
    </w:p>
    <w:p w14:paraId="055CA4AF" w14:textId="77777777" w:rsidR="00E06A72" w:rsidRPr="00203FC0" w:rsidRDefault="00E06A72" w:rsidP="00E06A72">
      <w:pPr>
        <w:pStyle w:val="Paragraph"/>
        <w:numPr>
          <w:ilvl w:val="0"/>
          <w:numId w:val="19"/>
        </w:numPr>
        <w:rPr>
          <w:lang w:val="en-AU"/>
        </w:rPr>
      </w:pPr>
      <w:r w:rsidRPr="00203FC0">
        <w:rPr>
          <w:lang w:val="en-AU"/>
        </w:rPr>
        <w:t>2.0% Hematopoietic stem-cell transplantation</w:t>
      </w:r>
    </w:p>
    <w:p w14:paraId="4E267968" w14:textId="77777777" w:rsidR="00E06A72" w:rsidRPr="00203FC0" w:rsidRDefault="00E06A72" w:rsidP="00E06A72">
      <w:pPr>
        <w:pStyle w:val="Paragraph"/>
        <w:numPr>
          <w:ilvl w:val="0"/>
          <w:numId w:val="19"/>
        </w:numPr>
        <w:rPr>
          <w:lang w:val="en-AU"/>
        </w:rPr>
      </w:pPr>
      <w:r w:rsidRPr="00203FC0">
        <w:rPr>
          <w:lang w:val="en-AU"/>
        </w:rPr>
        <w:t>1.6% Moderate/severe primary immunodeficiencies</w:t>
      </w:r>
    </w:p>
    <w:p w14:paraId="350C6E96" w14:textId="77777777" w:rsidR="00E06A72" w:rsidRPr="00203FC0" w:rsidRDefault="00E06A72" w:rsidP="00E06A72">
      <w:pPr>
        <w:pStyle w:val="Paragraph"/>
        <w:numPr>
          <w:ilvl w:val="0"/>
          <w:numId w:val="19"/>
        </w:numPr>
        <w:rPr>
          <w:lang w:val="en-AU"/>
        </w:rPr>
      </w:pPr>
      <w:r w:rsidRPr="00203FC0">
        <w:rPr>
          <w:lang w:val="en-AU"/>
        </w:rPr>
        <w:t>1.1% Advanced or untreated HIV infection</w:t>
      </w:r>
    </w:p>
    <w:p w14:paraId="1B0EF42D" w14:textId="1C7739FB" w:rsidR="00E06A72" w:rsidRPr="00203FC0" w:rsidRDefault="00E06A72" w:rsidP="00E06A72">
      <w:pPr>
        <w:pStyle w:val="Paragraph"/>
        <w:numPr>
          <w:ilvl w:val="0"/>
          <w:numId w:val="19"/>
        </w:numPr>
        <w:rPr>
          <w:lang w:val="en-AU"/>
        </w:rPr>
      </w:pPr>
      <w:r w:rsidRPr="00203FC0">
        <w:rPr>
          <w:lang w:val="en-AU"/>
        </w:rPr>
        <w:t>0.3% Received chimeric antigen receptor T-cell therapy</w:t>
      </w:r>
    </w:p>
    <w:p w14:paraId="26E19CE0" w14:textId="1C9C3B5B" w:rsidR="00B96561" w:rsidRPr="00203FC0" w:rsidRDefault="00B96561" w:rsidP="00B96561">
      <w:pPr>
        <w:pStyle w:val="Paragraph"/>
        <w:keepNext/>
        <w:rPr>
          <w:lang w:val="en-AU"/>
        </w:rPr>
      </w:pPr>
      <w:r w:rsidRPr="00203FC0">
        <w:rPr>
          <w:lang w:val="en-AU"/>
        </w:rPr>
        <w:t xml:space="preserve">The study included dual primary efficacy endpoints, comparing the efficacy of </w:t>
      </w:r>
      <w:proofErr w:type="spellStart"/>
      <w:r w:rsidRPr="00203FC0">
        <w:rPr>
          <w:lang w:val="en-AU"/>
        </w:rPr>
        <w:t>KAVIGALE</w:t>
      </w:r>
      <w:proofErr w:type="spellEnd"/>
      <w:r w:rsidRPr="00203FC0">
        <w:rPr>
          <w:lang w:val="en-AU"/>
        </w:rPr>
        <w:t xml:space="preserve"> to comparator in the prevention of symptomatic COVID-19 (1) caused by any SARS-CoV-2 variant up to 181 days post last dose confirmed by RT-PCR and (2) attributable to matched variants (variants that do not contain the </w:t>
      </w:r>
      <w:proofErr w:type="spellStart"/>
      <w:r w:rsidRPr="00203FC0">
        <w:rPr>
          <w:lang w:val="en-AU"/>
        </w:rPr>
        <w:t>F456L</w:t>
      </w:r>
      <w:proofErr w:type="spellEnd"/>
      <w:r w:rsidRPr="00203FC0">
        <w:rPr>
          <w:lang w:val="en-AU"/>
        </w:rPr>
        <w:t xml:space="preserve"> mutation based on viral sequencing data and are expected to be susceptible to </w:t>
      </w:r>
      <w:proofErr w:type="spellStart"/>
      <w:r w:rsidRPr="00203FC0">
        <w:rPr>
          <w:lang w:val="en-AU"/>
        </w:rPr>
        <w:t>sipavibart</w:t>
      </w:r>
      <w:proofErr w:type="spellEnd"/>
      <w:r w:rsidRPr="00203FC0">
        <w:rPr>
          <w:lang w:val="en-AU"/>
        </w:rPr>
        <w:t>) up to 181 days post last dose confirmed by RT-PCR. For each of the dual primary endpoints, a superiority test was performed to compare the relative risk of symptomatic COVID-19 between treatment arms.</w:t>
      </w:r>
    </w:p>
    <w:p w14:paraId="511FD976" w14:textId="0E2E1469" w:rsidR="00FC161E" w:rsidRPr="00203FC0" w:rsidRDefault="00F34988" w:rsidP="00FC161E">
      <w:pPr>
        <w:pStyle w:val="Paragraph"/>
        <w:widowControl w:val="0"/>
        <w:spacing w:after="0"/>
        <w:rPr>
          <w:vertAlign w:val="superscript"/>
          <w:lang w:val="en-AU"/>
        </w:rPr>
      </w:pPr>
      <w:proofErr w:type="spellStart"/>
      <w:r w:rsidRPr="00203FC0">
        <w:rPr>
          <w:lang w:val="en-AU"/>
        </w:rPr>
        <w:t>KAVIGALE</w:t>
      </w:r>
      <w:proofErr w:type="spellEnd"/>
      <w:r w:rsidRPr="00203FC0">
        <w:rPr>
          <w:lang w:val="en-AU"/>
        </w:rPr>
        <w:t xml:space="preserve"> administration resulted in a statistically significant reduction in risk of symptomatic COVID-19 due to any SARS-CoV-2 variant versus comparator (122/1649 [7.4%] events in the </w:t>
      </w:r>
      <w:proofErr w:type="spellStart"/>
      <w:r w:rsidRPr="00203FC0">
        <w:rPr>
          <w:lang w:val="en-AU"/>
        </w:rPr>
        <w:t>sipavibart</w:t>
      </w:r>
      <w:proofErr w:type="spellEnd"/>
      <w:r w:rsidRPr="00203FC0">
        <w:rPr>
          <w:lang w:val="en-AU"/>
        </w:rPr>
        <w:t xml:space="preserve"> arm versus 178/1631 [10.9%] events in the comparator arm) with a relative risk reduction of 34.9% (97.5% CI: 15.0, 50.1; p&lt;0.001).</w:t>
      </w:r>
      <w:r w:rsidR="00301F68" w:rsidRPr="00203FC0">
        <w:rPr>
          <w:lang w:val="en-AU"/>
        </w:rPr>
        <w:t xml:space="preserve"> Reduction in risk of COVID-19 was greater for disease attributed to matched (non-</w:t>
      </w:r>
      <w:proofErr w:type="spellStart"/>
      <w:r w:rsidR="00301F68" w:rsidRPr="00203FC0">
        <w:rPr>
          <w:lang w:val="en-AU"/>
        </w:rPr>
        <w:t>F456L</w:t>
      </w:r>
      <w:proofErr w:type="spellEnd"/>
      <w:r w:rsidR="00301F68" w:rsidRPr="00203FC0">
        <w:rPr>
          <w:lang w:val="en-AU"/>
        </w:rPr>
        <w:t xml:space="preserve"> mutation-containing) SARS-CoV-2 variants versus comparator</w:t>
      </w:r>
      <w:r w:rsidR="00701DF9" w:rsidRPr="00203FC0">
        <w:rPr>
          <w:lang w:val="en-AU"/>
        </w:rPr>
        <w:t xml:space="preserve"> (54/1649 [3.3%] events in the </w:t>
      </w:r>
      <w:proofErr w:type="spellStart"/>
      <w:r w:rsidR="00701DF9" w:rsidRPr="00203FC0">
        <w:rPr>
          <w:lang w:val="en-AU"/>
        </w:rPr>
        <w:t>sipavibart</w:t>
      </w:r>
      <w:proofErr w:type="spellEnd"/>
      <w:r w:rsidR="00701DF9" w:rsidRPr="00203FC0">
        <w:rPr>
          <w:lang w:val="en-AU"/>
        </w:rPr>
        <w:t xml:space="preserve"> arm versus 90/1631 [5.5%] events in the comparator arm) with a relative risk reduction of 42.9% (95% CI: 19.9, 59.3; p=0.001), see </w:t>
      </w:r>
      <w:r w:rsidR="00282E37" w:rsidRPr="00203FC0">
        <w:rPr>
          <w:lang w:val="en-AU"/>
        </w:rPr>
        <w:fldChar w:fldCharType="begin"/>
      </w:r>
      <w:r w:rsidR="00282E37" w:rsidRPr="00203FC0">
        <w:rPr>
          <w:lang w:val="en-AU"/>
        </w:rPr>
        <w:instrText xml:space="preserve"> REF _Ref208322184 \h </w:instrText>
      </w:r>
      <w:r w:rsidR="00282E37" w:rsidRPr="00203FC0">
        <w:rPr>
          <w:lang w:val="en-AU"/>
        </w:rPr>
      </w:r>
      <w:r w:rsidR="00282E37" w:rsidRPr="00203FC0">
        <w:rPr>
          <w:lang w:val="en-AU"/>
        </w:rPr>
        <w:fldChar w:fldCharType="separate"/>
      </w:r>
      <w:r w:rsidR="00282E37" w:rsidRPr="00203FC0">
        <w:rPr>
          <w:lang w:val="en-AU"/>
        </w:rPr>
        <w:t xml:space="preserve">Table </w:t>
      </w:r>
      <w:r w:rsidR="00282E37" w:rsidRPr="00203FC0">
        <w:rPr>
          <w:noProof/>
          <w:lang w:val="en-AU"/>
        </w:rPr>
        <w:t>3</w:t>
      </w:r>
      <w:r w:rsidR="00282E37" w:rsidRPr="00203FC0">
        <w:rPr>
          <w:lang w:val="en-AU"/>
        </w:rPr>
        <w:fldChar w:fldCharType="end"/>
      </w:r>
      <w:r w:rsidR="00701DF9" w:rsidRPr="00203FC0">
        <w:rPr>
          <w:lang w:val="en-AU"/>
        </w:rPr>
        <w:t>. The median follow-up time post-second dose was 61 days (range 1 to 180 days).</w:t>
      </w:r>
      <w:r w:rsidR="00FC161E" w:rsidRPr="00203FC0">
        <w:rPr>
          <w:lang w:val="en-AU"/>
        </w:rPr>
        <w:t xml:space="preserve"> A Kaplan-Meier time to event analysis was conducted to assess the primary endpoint result over time. It shows separation of the </w:t>
      </w:r>
      <w:proofErr w:type="spellStart"/>
      <w:r w:rsidR="00FC161E" w:rsidRPr="00203FC0">
        <w:rPr>
          <w:lang w:val="en-AU"/>
        </w:rPr>
        <w:t>sipavibart</w:t>
      </w:r>
      <w:proofErr w:type="spellEnd"/>
      <w:r w:rsidR="00FC161E" w:rsidRPr="00203FC0">
        <w:rPr>
          <w:lang w:val="en-AU"/>
        </w:rPr>
        <w:t xml:space="preserve"> and comparator curves, suggesting time to first symptomatic COVID-19 event was longer for </w:t>
      </w:r>
      <w:proofErr w:type="spellStart"/>
      <w:r w:rsidR="00FC161E" w:rsidRPr="00203FC0">
        <w:rPr>
          <w:lang w:val="en-AU"/>
        </w:rPr>
        <w:t>sipavibart</w:t>
      </w:r>
      <w:proofErr w:type="spellEnd"/>
      <w:r w:rsidR="00FC161E" w:rsidRPr="00203FC0">
        <w:rPr>
          <w:lang w:val="en-AU"/>
        </w:rPr>
        <w:t xml:space="preserve"> versus comparator, see </w:t>
      </w:r>
      <w:r w:rsidR="00DC0E5A" w:rsidRPr="00203FC0">
        <w:rPr>
          <w:lang w:val="en-AU"/>
        </w:rPr>
        <w:fldChar w:fldCharType="begin"/>
      </w:r>
      <w:r w:rsidR="00DC0E5A" w:rsidRPr="00203FC0">
        <w:rPr>
          <w:lang w:val="en-AU"/>
        </w:rPr>
        <w:instrText xml:space="preserve"> REF _Ref208322378 \h </w:instrText>
      </w:r>
      <w:r w:rsidR="00DC0E5A" w:rsidRPr="00203FC0">
        <w:rPr>
          <w:lang w:val="en-AU"/>
        </w:rPr>
      </w:r>
      <w:r w:rsidR="00DC0E5A" w:rsidRPr="00203FC0">
        <w:rPr>
          <w:lang w:val="en-AU"/>
        </w:rPr>
        <w:fldChar w:fldCharType="separate"/>
      </w:r>
      <w:r w:rsidR="00DC0E5A" w:rsidRPr="00203FC0">
        <w:rPr>
          <w:lang w:val="en-AU"/>
        </w:rPr>
        <w:t xml:space="preserve">Figure </w:t>
      </w:r>
      <w:r w:rsidR="00DC0E5A" w:rsidRPr="00203FC0">
        <w:rPr>
          <w:noProof/>
          <w:lang w:val="en-AU"/>
        </w:rPr>
        <w:t>1</w:t>
      </w:r>
      <w:r w:rsidR="00DC0E5A" w:rsidRPr="00203FC0">
        <w:rPr>
          <w:lang w:val="en-AU"/>
        </w:rPr>
        <w:fldChar w:fldCharType="end"/>
      </w:r>
      <w:r w:rsidR="00FC161E" w:rsidRPr="00203FC0">
        <w:rPr>
          <w:lang w:val="en-AU"/>
        </w:rPr>
        <w:t>.</w:t>
      </w:r>
    </w:p>
    <w:p w14:paraId="38E50DDC" w14:textId="2B94017A" w:rsidR="007D439F" w:rsidRPr="00203FC0" w:rsidRDefault="007D439F" w:rsidP="00312C1B">
      <w:pPr>
        <w:pStyle w:val="Paragraph"/>
        <w:rPr>
          <w:rFonts w:eastAsiaTheme="minorHAnsi"/>
          <w:lang w:val="en-AU"/>
        </w:rPr>
      </w:pPr>
    </w:p>
    <w:p w14:paraId="2FC827C8" w14:textId="58DC6C0D" w:rsidR="00305CAF" w:rsidRPr="00203FC0" w:rsidRDefault="008F00B7" w:rsidP="00282E37">
      <w:pPr>
        <w:pStyle w:val="Caption"/>
        <w:rPr>
          <w:b w:val="0"/>
          <w:bCs/>
          <w:vertAlign w:val="superscript"/>
          <w:lang w:val="en-AU"/>
        </w:rPr>
      </w:pPr>
      <w:bookmarkStart w:id="14" w:name="_Ref208322184"/>
      <w:r w:rsidRPr="00203FC0">
        <w:rPr>
          <w:lang w:val="en-AU"/>
        </w:rPr>
        <w:lastRenderedPageBreak/>
        <w:t xml:space="preserve">Table </w:t>
      </w:r>
      <w:r w:rsidRPr="00203FC0">
        <w:rPr>
          <w:lang w:val="en-AU"/>
        </w:rPr>
        <w:fldChar w:fldCharType="begin"/>
      </w:r>
      <w:r w:rsidRPr="00203FC0">
        <w:rPr>
          <w:lang w:val="en-AU"/>
        </w:rPr>
        <w:instrText xml:space="preserve"> SEQ Table \* ARABIC </w:instrText>
      </w:r>
      <w:r w:rsidRPr="00203FC0">
        <w:rPr>
          <w:lang w:val="en-AU"/>
        </w:rPr>
        <w:fldChar w:fldCharType="separate"/>
      </w:r>
      <w:r w:rsidRPr="00203FC0">
        <w:rPr>
          <w:noProof/>
          <w:lang w:val="en-AU"/>
        </w:rPr>
        <w:t>3</w:t>
      </w:r>
      <w:r w:rsidRPr="00203FC0">
        <w:rPr>
          <w:lang w:val="en-AU"/>
        </w:rPr>
        <w:fldChar w:fldCharType="end"/>
      </w:r>
      <w:bookmarkEnd w:id="14"/>
      <w:r w:rsidR="002377A6" w:rsidRPr="00203FC0">
        <w:rPr>
          <w:bCs/>
          <w:lang w:val="en-AU"/>
        </w:rPr>
        <w:tab/>
      </w:r>
      <w:r w:rsidR="001351B6" w:rsidRPr="00203FC0">
        <w:rPr>
          <w:bCs/>
          <w:lang w:val="en-AU"/>
        </w:rPr>
        <w:t>Relative risk reduction of symptomatic COVID-19</w:t>
      </w:r>
      <w:r w:rsidR="00687CB6">
        <w:rPr>
          <w:bCs/>
          <w:lang w:val="en-AU"/>
        </w:rPr>
        <w:fldChar w:fldCharType="begin"/>
      </w:r>
      <w:r w:rsidR="00687CB6">
        <w:rPr>
          <w:bCs/>
          <w:lang w:val="en-AU"/>
        </w:rPr>
        <w:instrText xml:space="preserve"> DOCVARIABLE vault_nd_bcddef21-7307-43a3-8d3b-d4a383c9ac1c \* MERGEFORMAT </w:instrText>
      </w:r>
      <w:r w:rsidR="00687CB6">
        <w:rPr>
          <w:bCs/>
          <w:lang w:val="en-AU"/>
        </w:rPr>
        <w:fldChar w:fldCharType="separate"/>
      </w:r>
      <w:r w:rsidR="00687CB6">
        <w:rPr>
          <w:bCs/>
          <w:lang w:val="en-AU"/>
        </w:rPr>
        <w:t xml:space="preserve"> </w:t>
      </w:r>
      <w:r w:rsidR="00687CB6">
        <w:rPr>
          <w:bCs/>
          <w:lang w:val="en-AU"/>
        </w:rPr>
        <w:fldChar w:fldCharType="end"/>
      </w:r>
    </w:p>
    <w:p w14:paraId="2CAAE24C" w14:textId="77777777" w:rsidR="00305CAF" w:rsidRPr="00203FC0" w:rsidRDefault="00305CAF" w:rsidP="00305CAF">
      <w:pPr>
        <w:keepNext/>
        <w:widowControl w:val="0"/>
        <w:spacing w:after="0"/>
        <w:rPr>
          <w:b/>
          <w:bCs/>
        </w:rPr>
      </w:pPr>
    </w:p>
    <w:tbl>
      <w:tblPr>
        <w:tblStyle w:val="TableGrid"/>
        <w:tblW w:w="0" w:type="auto"/>
        <w:tblLook w:val="04A0" w:firstRow="1" w:lastRow="0" w:firstColumn="1" w:lastColumn="0" w:noHBand="0" w:noVBand="1"/>
      </w:tblPr>
      <w:tblGrid>
        <w:gridCol w:w="2335"/>
        <w:gridCol w:w="2339"/>
        <w:gridCol w:w="2071"/>
        <w:gridCol w:w="2605"/>
      </w:tblGrid>
      <w:tr w:rsidR="00305CAF" w:rsidRPr="00203FC0" w14:paraId="2C23088B" w14:textId="77777777" w:rsidTr="00A60394">
        <w:tc>
          <w:tcPr>
            <w:tcW w:w="2335" w:type="dxa"/>
          </w:tcPr>
          <w:p w14:paraId="32B851C1" w14:textId="77777777" w:rsidR="00305CAF" w:rsidRPr="00203FC0" w:rsidRDefault="00305CAF" w:rsidP="00F311F5">
            <w:pPr>
              <w:keepNext/>
              <w:widowControl w:val="0"/>
              <w:spacing w:after="0"/>
              <w:rPr>
                <w:b/>
                <w:bCs/>
                <w:sz w:val="22"/>
                <w:szCs w:val="22"/>
                <w:lang w:val="en-AU"/>
              </w:rPr>
            </w:pPr>
          </w:p>
        </w:tc>
        <w:tc>
          <w:tcPr>
            <w:tcW w:w="2339" w:type="dxa"/>
          </w:tcPr>
          <w:p w14:paraId="64253247" w14:textId="77777777" w:rsidR="00305CAF" w:rsidRPr="00203FC0" w:rsidRDefault="00305CAF" w:rsidP="00F311F5">
            <w:pPr>
              <w:keepNext/>
              <w:widowControl w:val="0"/>
              <w:spacing w:after="0"/>
              <w:rPr>
                <w:b/>
                <w:bCs/>
                <w:sz w:val="22"/>
                <w:szCs w:val="22"/>
                <w:lang w:val="en-AU"/>
              </w:rPr>
            </w:pPr>
            <w:r w:rsidRPr="00203FC0">
              <w:rPr>
                <w:b/>
                <w:bCs/>
                <w:sz w:val="22"/>
                <w:szCs w:val="22"/>
                <w:lang w:val="en-AU"/>
              </w:rPr>
              <w:t>N</w:t>
            </w:r>
          </w:p>
        </w:tc>
        <w:tc>
          <w:tcPr>
            <w:tcW w:w="2071" w:type="dxa"/>
          </w:tcPr>
          <w:p w14:paraId="0206AD7B" w14:textId="079B3C08" w:rsidR="00305CAF" w:rsidRPr="00203FC0" w:rsidRDefault="00305CAF" w:rsidP="00F311F5">
            <w:pPr>
              <w:keepNext/>
              <w:widowControl w:val="0"/>
              <w:spacing w:after="0"/>
              <w:rPr>
                <w:b/>
                <w:bCs/>
                <w:sz w:val="22"/>
                <w:szCs w:val="22"/>
                <w:lang w:val="en-AU"/>
              </w:rPr>
            </w:pPr>
            <w:r w:rsidRPr="00203FC0">
              <w:rPr>
                <w:b/>
                <w:bCs/>
                <w:sz w:val="22"/>
                <w:szCs w:val="22"/>
                <w:lang w:val="en-AU"/>
              </w:rPr>
              <w:t>Number of events, n (%)</w:t>
            </w:r>
          </w:p>
        </w:tc>
        <w:tc>
          <w:tcPr>
            <w:tcW w:w="2605" w:type="dxa"/>
          </w:tcPr>
          <w:p w14:paraId="5539F96F" w14:textId="30689220" w:rsidR="00305CAF" w:rsidRPr="00203FC0" w:rsidRDefault="00305CAF" w:rsidP="00F311F5">
            <w:pPr>
              <w:keepNext/>
              <w:widowControl w:val="0"/>
              <w:spacing w:after="0"/>
              <w:rPr>
                <w:b/>
                <w:bCs/>
                <w:sz w:val="22"/>
                <w:szCs w:val="22"/>
                <w:lang w:val="en-AU"/>
              </w:rPr>
            </w:pPr>
            <w:r w:rsidRPr="00203FC0">
              <w:rPr>
                <w:b/>
                <w:bCs/>
                <w:sz w:val="22"/>
                <w:szCs w:val="22"/>
                <w:lang w:val="en-AU"/>
              </w:rPr>
              <w:t>Relative risk reduction, % (CI)</w:t>
            </w:r>
          </w:p>
        </w:tc>
      </w:tr>
      <w:tr w:rsidR="00305CAF" w:rsidRPr="00203FC0" w14:paraId="6AADC16F" w14:textId="77777777" w:rsidTr="00A60394">
        <w:tc>
          <w:tcPr>
            <w:tcW w:w="6745" w:type="dxa"/>
            <w:gridSpan w:val="3"/>
          </w:tcPr>
          <w:p w14:paraId="570B9895" w14:textId="77777777" w:rsidR="00305CAF" w:rsidRPr="00203FC0" w:rsidRDefault="00305CAF" w:rsidP="00F311F5">
            <w:pPr>
              <w:keepNext/>
              <w:widowControl w:val="0"/>
              <w:spacing w:after="0"/>
              <w:rPr>
                <w:b/>
                <w:bCs/>
                <w:sz w:val="22"/>
                <w:szCs w:val="22"/>
                <w:lang w:val="en-AU"/>
              </w:rPr>
            </w:pPr>
            <w:r w:rsidRPr="00203FC0">
              <w:rPr>
                <w:b/>
                <w:bCs/>
                <w:sz w:val="22"/>
                <w:szCs w:val="22"/>
                <w:lang w:val="en-AU"/>
              </w:rPr>
              <w:t>Overall primary efficacy endpoint</w:t>
            </w:r>
          </w:p>
        </w:tc>
        <w:tc>
          <w:tcPr>
            <w:tcW w:w="2605" w:type="dxa"/>
            <w:vMerge w:val="restart"/>
          </w:tcPr>
          <w:p w14:paraId="72E96F08" w14:textId="77777777" w:rsidR="00305CAF" w:rsidRPr="00203FC0" w:rsidRDefault="00305CAF" w:rsidP="00F311F5">
            <w:pPr>
              <w:keepNext/>
              <w:widowControl w:val="0"/>
              <w:spacing w:after="0"/>
              <w:rPr>
                <w:sz w:val="22"/>
                <w:szCs w:val="22"/>
                <w:lang w:val="en-AU"/>
              </w:rPr>
            </w:pPr>
          </w:p>
          <w:p w14:paraId="00557D1F" w14:textId="536A7D13" w:rsidR="00305CAF" w:rsidRPr="00203FC0" w:rsidRDefault="00190C8C" w:rsidP="00F311F5">
            <w:pPr>
              <w:keepNext/>
              <w:widowControl w:val="0"/>
              <w:spacing w:after="0"/>
              <w:rPr>
                <w:sz w:val="22"/>
                <w:szCs w:val="22"/>
                <w:lang w:val="en-AU"/>
              </w:rPr>
            </w:pPr>
            <w:r w:rsidRPr="00203FC0">
              <w:rPr>
                <w:sz w:val="22"/>
                <w:szCs w:val="22"/>
                <w:lang w:val="en-AU"/>
              </w:rPr>
              <w:t>34.9% (97.5% CI: 15.0, 50.1)</w:t>
            </w:r>
          </w:p>
        </w:tc>
      </w:tr>
      <w:tr w:rsidR="00305CAF" w:rsidRPr="00203FC0" w14:paraId="3D983848" w14:textId="77777777" w:rsidTr="00A60394">
        <w:tc>
          <w:tcPr>
            <w:tcW w:w="2335" w:type="dxa"/>
          </w:tcPr>
          <w:p w14:paraId="26E2C1DA" w14:textId="77777777" w:rsidR="00305CAF" w:rsidRPr="00203FC0" w:rsidRDefault="00305CAF" w:rsidP="00F311F5">
            <w:pPr>
              <w:keepNext/>
              <w:widowControl w:val="0"/>
              <w:spacing w:after="0"/>
              <w:rPr>
                <w:sz w:val="22"/>
                <w:szCs w:val="22"/>
                <w:lang w:val="en-AU"/>
              </w:rPr>
            </w:pPr>
            <w:r w:rsidRPr="00203FC0">
              <w:rPr>
                <w:sz w:val="22"/>
                <w:szCs w:val="22"/>
                <w:lang w:val="en-AU"/>
              </w:rPr>
              <w:t>Sipavibart</w:t>
            </w:r>
          </w:p>
        </w:tc>
        <w:tc>
          <w:tcPr>
            <w:tcW w:w="2339" w:type="dxa"/>
          </w:tcPr>
          <w:p w14:paraId="64339A17" w14:textId="4F4989F0" w:rsidR="00305CAF" w:rsidRPr="00203FC0" w:rsidRDefault="00305CAF" w:rsidP="00F311F5">
            <w:pPr>
              <w:keepNext/>
              <w:widowControl w:val="0"/>
              <w:spacing w:after="0"/>
              <w:rPr>
                <w:sz w:val="22"/>
                <w:szCs w:val="22"/>
                <w:lang w:val="en-AU"/>
              </w:rPr>
            </w:pPr>
            <w:r w:rsidRPr="00203FC0">
              <w:rPr>
                <w:sz w:val="22"/>
                <w:szCs w:val="22"/>
                <w:lang w:val="en-AU"/>
              </w:rPr>
              <w:t>16</w:t>
            </w:r>
            <w:r w:rsidR="00716055" w:rsidRPr="00203FC0">
              <w:rPr>
                <w:sz w:val="22"/>
                <w:szCs w:val="22"/>
                <w:lang w:val="en-AU"/>
              </w:rPr>
              <w:t>49</w:t>
            </w:r>
          </w:p>
        </w:tc>
        <w:tc>
          <w:tcPr>
            <w:tcW w:w="2071" w:type="dxa"/>
          </w:tcPr>
          <w:p w14:paraId="2AAB52A7" w14:textId="3A778C38" w:rsidR="00305CAF" w:rsidRPr="00203FC0" w:rsidRDefault="00716055" w:rsidP="00F311F5">
            <w:pPr>
              <w:keepNext/>
              <w:widowControl w:val="0"/>
              <w:spacing w:after="0"/>
              <w:rPr>
                <w:sz w:val="22"/>
                <w:szCs w:val="22"/>
                <w:lang w:val="en-AU"/>
              </w:rPr>
            </w:pPr>
            <w:r w:rsidRPr="00203FC0">
              <w:rPr>
                <w:sz w:val="22"/>
                <w:szCs w:val="22"/>
                <w:lang w:val="en-AU"/>
              </w:rPr>
              <w:t>122</w:t>
            </w:r>
            <w:r w:rsidR="00305CAF" w:rsidRPr="00203FC0">
              <w:rPr>
                <w:sz w:val="22"/>
                <w:szCs w:val="22"/>
                <w:lang w:val="en-AU"/>
              </w:rPr>
              <w:t xml:space="preserve"> (</w:t>
            </w:r>
            <w:r w:rsidRPr="00203FC0">
              <w:rPr>
                <w:sz w:val="22"/>
                <w:szCs w:val="22"/>
                <w:lang w:val="en-AU"/>
              </w:rPr>
              <w:t>7.4</w:t>
            </w:r>
            <w:r w:rsidR="00305CAF" w:rsidRPr="00203FC0">
              <w:rPr>
                <w:sz w:val="22"/>
                <w:szCs w:val="22"/>
                <w:lang w:val="en-AU"/>
              </w:rPr>
              <w:t xml:space="preserve"> %) </w:t>
            </w:r>
          </w:p>
        </w:tc>
        <w:tc>
          <w:tcPr>
            <w:tcW w:w="2605" w:type="dxa"/>
            <w:vMerge/>
          </w:tcPr>
          <w:p w14:paraId="098E9289" w14:textId="77777777" w:rsidR="00305CAF" w:rsidRPr="00203FC0" w:rsidRDefault="00305CAF" w:rsidP="00F311F5">
            <w:pPr>
              <w:keepNext/>
              <w:widowControl w:val="0"/>
              <w:spacing w:after="0"/>
              <w:rPr>
                <w:sz w:val="22"/>
                <w:szCs w:val="22"/>
                <w:lang w:val="en-AU"/>
              </w:rPr>
            </w:pPr>
          </w:p>
        </w:tc>
      </w:tr>
      <w:tr w:rsidR="00305CAF" w:rsidRPr="00203FC0" w14:paraId="58E7FD62" w14:textId="77777777" w:rsidTr="00A60394">
        <w:tc>
          <w:tcPr>
            <w:tcW w:w="2335" w:type="dxa"/>
          </w:tcPr>
          <w:p w14:paraId="13B409EF" w14:textId="0004A03E" w:rsidR="00305CAF" w:rsidRPr="00203FC0" w:rsidRDefault="00305CAF" w:rsidP="00F311F5">
            <w:pPr>
              <w:keepNext/>
              <w:widowControl w:val="0"/>
              <w:spacing w:after="0"/>
              <w:rPr>
                <w:sz w:val="22"/>
                <w:szCs w:val="22"/>
                <w:vertAlign w:val="superscript"/>
                <w:lang w:val="en-AU"/>
              </w:rPr>
            </w:pPr>
            <w:proofErr w:type="spellStart"/>
            <w:r w:rsidRPr="00203FC0">
              <w:rPr>
                <w:sz w:val="22"/>
                <w:szCs w:val="22"/>
                <w:lang w:val="en-AU"/>
              </w:rPr>
              <w:t>Comparator</w:t>
            </w:r>
            <w:r w:rsidR="00847DC6" w:rsidRPr="00203FC0">
              <w:rPr>
                <w:sz w:val="22"/>
                <w:szCs w:val="22"/>
                <w:vertAlign w:val="superscript"/>
                <w:lang w:val="en-AU"/>
              </w:rPr>
              <w:t>a</w:t>
            </w:r>
            <w:proofErr w:type="spellEnd"/>
          </w:p>
        </w:tc>
        <w:tc>
          <w:tcPr>
            <w:tcW w:w="2339" w:type="dxa"/>
          </w:tcPr>
          <w:p w14:paraId="7CEDDF40" w14:textId="51344AE6" w:rsidR="00305CAF" w:rsidRPr="00203FC0" w:rsidRDefault="00305CAF" w:rsidP="00F311F5">
            <w:pPr>
              <w:keepNext/>
              <w:widowControl w:val="0"/>
              <w:spacing w:after="0"/>
              <w:rPr>
                <w:sz w:val="22"/>
                <w:szCs w:val="22"/>
                <w:lang w:val="en-AU"/>
              </w:rPr>
            </w:pPr>
            <w:r w:rsidRPr="00203FC0">
              <w:rPr>
                <w:sz w:val="22"/>
                <w:szCs w:val="22"/>
                <w:lang w:val="en-AU"/>
              </w:rPr>
              <w:t>16</w:t>
            </w:r>
            <w:r w:rsidR="00231565" w:rsidRPr="00203FC0">
              <w:rPr>
                <w:sz w:val="22"/>
                <w:szCs w:val="22"/>
                <w:lang w:val="en-AU"/>
              </w:rPr>
              <w:t>31</w:t>
            </w:r>
          </w:p>
        </w:tc>
        <w:tc>
          <w:tcPr>
            <w:tcW w:w="2071" w:type="dxa"/>
          </w:tcPr>
          <w:p w14:paraId="4C9A9AC0" w14:textId="68220D7C" w:rsidR="00305CAF" w:rsidRPr="00203FC0" w:rsidRDefault="00716055" w:rsidP="00F311F5">
            <w:pPr>
              <w:keepNext/>
              <w:widowControl w:val="0"/>
              <w:spacing w:after="0"/>
              <w:rPr>
                <w:sz w:val="22"/>
                <w:szCs w:val="22"/>
                <w:lang w:val="en-AU"/>
              </w:rPr>
            </w:pPr>
            <w:r w:rsidRPr="00203FC0">
              <w:rPr>
                <w:sz w:val="22"/>
                <w:szCs w:val="22"/>
                <w:lang w:val="en-AU"/>
              </w:rPr>
              <w:t>178</w:t>
            </w:r>
            <w:r w:rsidR="00305CAF" w:rsidRPr="00203FC0">
              <w:rPr>
                <w:sz w:val="22"/>
                <w:szCs w:val="22"/>
                <w:lang w:val="en-AU"/>
              </w:rPr>
              <w:t xml:space="preserve"> (</w:t>
            </w:r>
            <w:r w:rsidRPr="00203FC0">
              <w:rPr>
                <w:sz w:val="22"/>
                <w:szCs w:val="22"/>
                <w:lang w:val="en-AU"/>
              </w:rPr>
              <w:t>10.9</w:t>
            </w:r>
            <w:r w:rsidR="00305CAF" w:rsidRPr="00203FC0">
              <w:rPr>
                <w:sz w:val="22"/>
                <w:szCs w:val="22"/>
                <w:lang w:val="en-AU"/>
              </w:rPr>
              <w:t xml:space="preserve"> %)</w:t>
            </w:r>
          </w:p>
        </w:tc>
        <w:tc>
          <w:tcPr>
            <w:tcW w:w="2605" w:type="dxa"/>
            <w:vMerge/>
          </w:tcPr>
          <w:p w14:paraId="622FA55E" w14:textId="77777777" w:rsidR="00305CAF" w:rsidRPr="00203FC0" w:rsidRDefault="00305CAF" w:rsidP="00F311F5">
            <w:pPr>
              <w:keepNext/>
              <w:widowControl w:val="0"/>
              <w:spacing w:after="0"/>
              <w:rPr>
                <w:sz w:val="22"/>
                <w:szCs w:val="22"/>
                <w:lang w:val="en-AU"/>
              </w:rPr>
            </w:pPr>
          </w:p>
        </w:tc>
      </w:tr>
      <w:tr w:rsidR="00305CAF" w:rsidRPr="00203FC0" w14:paraId="2767A11A" w14:textId="77777777" w:rsidTr="00A60394">
        <w:tc>
          <w:tcPr>
            <w:tcW w:w="6745" w:type="dxa"/>
            <w:gridSpan w:val="3"/>
          </w:tcPr>
          <w:p w14:paraId="56F08A91" w14:textId="77777777" w:rsidR="00305CAF" w:rsidRPr="00203FC0" w:rsidRDefault="00305CAF" w:rsidP="00F311F5">
            <w:pPr>
              <w:keepNext/>
              <w:widowControl w:val="0"/>
              <w:spacing w:after="0"/>
              <w:rPr>
                <w:b/>
                <w:bCs/>
                <w:sz w:val="22"/>
                <w:szCs w:val="22"/>
                <w:lang w:val="en-AU"/>
              </w:rPr>
            </w:pPr>
            <w:r w:rsidRPr="00203FC0">
              <w:rPr>
                <w:b/>
                <w:bCs/>
                <w:sz w:val="22"/>
                <w:szCs w:val="22"/>
                <w:lang w:val="en-AU"/>
              </w:rPr>
              <w:t>Matched variant primary efficacy endpoint</w:t>
            </w:r>
          </w:p>
        </w:tc>
        <w:tc>
          <w:tcPr>
            <w:tcW w:w="2605" w:type="dxa"/>
            <w:vMerge w:val="restart"/>
          </w:tcPr>
          <w:p w14:paraId="6500C114" w14:textId="77777777" w:rsidR="00305CAF" w:rsidRPr="00203FC0" w:rsidRDefault="00305CAF" w:rsidP="00F311F5">
            <w:pPr>
              <w:keepNext/>
              <w:widowControl w:val="0"/>
              <w:spacing w:after="0"/>
              <w:rPr>
                <w:sz w:val="22"/>
                <w:szCs w:val="22"/>
                <w:lang w:val="en-AU"/>
              </w:rPr>
            </w:pPr>
          </w:p>
          <w:p w14:paraId="68FC0563" w14:textId="6D1DA44E" w:rsidR="00305CAF" w:rsidRPr="00203FC0" w:rsidRDefault="00E86E87" w:rsidP="00F311F5">
            <w:pPr>
              <w:keepNext/>
              <w:widowControl w:val="0"/>
              <w:spacing w:after="0"/>
              <w:rPr>
                <w:sz w:val="22"/>
                <w:szCs w:val="22"/>
                <w:lang w:val="en-AU"/>
              </w:rPr>
            </w:pPr>
            <w:r w:rsidRPr="00203FC0">
              <w:rPr>
                <w:sz w:val="22"/>
                <w:szCs w:val="22"/>
                <w:lang w:val="en-AU"/>
              </w:rPr>
              <w:t>42.9%</w:t>
            </w:r>
            <w:r w:rsidR="00FC6397" w:rsidRPr="00203FC0">
              <w:rPr>
                <w:sz w:val="22"/>
                <w:szCs w:val="22"/>
                <w:lang w:val="en-AU"/>
              </w:rPr>
              <w:t xml:space="preserve"> </w:t>
            </w:r>
            <w:r w:rsidRPr="00203FC0">
              <w:rPr>
                <w:sz w:val="22"/>
                <w:szCs w:val="22"/>
                <w:lang w:val="en-AU"/>
              </w:rPr>
              <w:t>(95% CI</w:t>
            </w:r>
            <w:r w:rsidR="008E2D85" w:rsidRPr="00203FC0">
              <w:rPr>
                <w:sz w:val="22"/>
                <w:szCs w:val="22"/>
                <w:lang w:val="en-AU"/>
              </w:rPr>
              <w:t>: 19.9, 59.3)</w:t>
            </w:r>
          </w:p>
        </w:tc>
      </w:tr>
      <w:tr w:rsidR="00305CAF" w:rsidRPr="00203FC0" w14:paraId="18F70044" w14:textId="77777777" w:rsidTr="00A60394">
        <w:tc>
          <w:tcPr>
            <w:tcW w:w="2335" w:type="dxa"/>
          </w:tcPr>
          <w:p w14:paraId="4D9C18C5" w14:textId="77777777" w:rsidR="00305CAF" w:rsidRPr="00203FC0" w:rsidRDefault="00305CAF" w:rsidP="00F311F5">
            <w:pPr>
              <w:keepNext/>
              <w:widowControl w:val="0"/>
              <w:spacing w:after="0"/>
              <w:rPr>
                <w:sz w:val="22"/>
                <w:szCs w:val="22"/>
                <w:vertAlign w:val="superscript"/>
                <w:lang w:val="en-AU"/>
              </w:rPr>
            </w:pPr>
            <w:r w:rsidRPr="00203FC0">
              <w:rPr>
                <w:sz w:val="22"/>
                <w:szCs w:val="22"/>
                <w:lang w:val="en-AU"/>
              </w:rPr>
              <w:t>Sipavibart</w:t>
            </w:r>
          </w:p>
        </w:tc>
        <w:tc>
          <w:tcPr>
            <w:tcW w:w="2339" w:type="dxa"/>
          </w:tcPr>
          <w:p w14:paraId="786F0B7D" w14:textId="7A4B91FD" w:rsidR="00305CAF" w:rsidRPr="00203FC0" w:rsidRDefault="00305CAF" w:rsidP="00F311F5">
            <w:pPr>
              <w:keepNext/>
              <w:widowControl w:val="0"/>
              <w:spacing w:after="0"/>
              <w:rPr>
                <w:sz w:val="22"/>
                <w:szCs w:val="22"/>
                <w:lang w:val="en-AU"/>
              </w:rPr>
            </w:pPr>
            <w:r w:rsidRPr="00203FC0">
              <w:rPr>
                <w:sz w:val="22"/>
                <w:szCs w:val="22"/>
                <w:lang w:val="en-AU"/>
              </w:rPr>
              <w:t>16</w:t>
            </w:r>
            <w:r w:rsidR="00190C8C" w:rsidRPr="00203FC0">
              <w:rPr>
                <w:sz w:val="22"/>
                <w:szCs w:val="22"/>
                <w:lang w:val="en-AU"/>
              </w:rPr>
              <w:t>4</w:t>
            </w:r>
            <w:r w:rsidR="00E86E87" w:rsidRPr="00203FC0">
              <w:rPr>
                <w:sz w:val="22"/>
                <w:szCs w:val="22"/>
                <w:lang w:val="en-AU"/>
              </w:rPr>
              <w:t>9</w:t>
            </w:r>
          </w:p>
        </w:tc>
        <w:tc>
          <w:tcPr>
            <w:tcW w:w="2071" w:type="dxa"/>
          </w:tcPr>
          <w:p w14:paraId="5718B704" w14:textId="604A864E" w:rsidR="00305CAF" w:rsidRPr="00203FC0" w:rsidRDefault="00E86E87" w:rsidP="00F311F5">
            <w:pPr>
              <w:keepNext/>
              <w:widowControl w:val="0"/>
              <w:spacing w:after="0"/>
              <w:rPr>
                <w:sz w:val="22"/>
                <w:szCs w:val="22"/>
                <w:lang w:val="en-AU"/>
              </w:rPr>
            </w:pPr>
            <w:r w:rsidRPr="00203FC0">
              <w:rPr>
                <w:sz w:val="22"/>
                <w:szCs w:val="22"/>
                <w:lang w:val="en-AU"/>
              </w:rPr>
              <w:t>54 (3.3%)</w:t>
            </w:r>
          </w:p>
        </w:tc>
        <w:tc>
          <w:tcPr>
            <w:tcW w:w="2605" w:type="dxa"/>
            <w:vMerge/>
          </w:tcPr>
          <w:p w14:paraId="6A31F0FD" w14:textId="77777777" w:rsidR="00305CAF" w:rsidRPr="00203FC0" w:rsidRDefault="00305CAF" w:rsidP="00F311F5">
            <w:pPr>
              <w:keepNext/>
              <w:widowControl w:val="0"/>
              <w:spacing w:after="0"/>
              <w:rPr>
                <w:b/>
                <w:bCs/>
                <w:sz w:val="22"/>
                <w:szCs w:val="22"/>
                <w:lang w:val="en-AU"/>
              </w:rPr>
            </w:pPr>
          </w:p>
        </w:tc>
      </w:tr>
      <w:tr w:rsidR="00305CAF" w:rsidRPr="00203FC0" w14:paraId="7C324320" w14:textId="77777777" w:rsidTr="00A60394">
        <w:tc>
          <w:tcPr>
            <w:tcW w:w="2335" w:type="dxa"/>
          </w:tcPr>
          <w:p w14:paraId="56D1E8D3" w14:textId="4BE9F3EC" w:rsidR="00305CAF" w:rsidRPr="00203FC0" w:rsidRDefault="00305CAF" w:rsidP="00F311F5">
            <w:pPr>
              <w:keepNext/>
              <w:widowControl w:val="0"/>
              <w:spacing w:after="0"/>
              <w:rPr>
                <w:sz w:val="22"/>
                <w:szCs w:val="22"/>
                <w:vertAlign w:val="superscript"/>
                <w:lang w:val="en-AU"/>
              </w:rPr>
            </w:pPr>
            <w:proofErr w:type="spellStart"/>
            <w:r w:rsidRPr="00203FC0">
              <w:rPr>
                <w:sz w:val="22"/>
                <w:szCs w:val="22"/>
                <w:lang w:val="en-AU"/>
              </w:rPr>
              <w:t>Comparator</w:t>
            </w:r>
            <w:r w:rsidR="00190C8C" w:rsidRPr="00203FC0">
              <w:rPr>
                <w:sz w:val="22"/>
                <w:szCs w:val="22"/>
                <w:vertAlign w:val="superscript"/>
                <w:lang w:val="en-AU"/>
              </w:rPr>
              <w:t>a</w:t>
            </w:r>
            <w:proofErr w:type="spellEnd"/>
          </w:p>
        </w:tc>
        <w:tc>
          <w:tcPr>
            <w:tcW w:w="2339" w:type="dxa"/>
          </w:tcPr>
          <w:p w14:paraId="4DDDC25D" w14:textId="374238E9" w:rsidR="00305CAF" w:rsidRPr="00203FC0" w:rsidRDefault="00305CAF" w:rsidP="00F311F5">
            <w:pPr>
              <w:keepNext/>
              <w:widowControl w:val="0"/>
              <w:spacing w:after="0"/>
              <w:rPr>
                <w:sz w:val="22"/>
                <w:szCs w:val="22"/>
                <w:lang w:val="en-AU"/>
              </w:rPr>
            </w:pPr>
            <w:r w:rsidRPr="00203FC0">
              <w:rPr>
                <w:sz w:val="22"/>
                <w:szCs w:val="22"/>
                <w:lang w:val="en-AU"/>
              </w:rPr>
              <w:t>16</w:t>
            </w:r>
            <w:r w:rsidR="00E86E87" w:rsidRPr="00203FC0">
              <w:rPr>
                <w:sz w:val="22"/>
                <w:szCs w:val="22"/>
                <w:lang w:val="en-AU"/>
              </w:rPr>
              <w:t>31</w:t>
            </w:r>
          </w:p>
        </w:tc>
        <w:tc>
          <w:tcPr>
            <w:tcW w:w="2071" w:type="dxa"/>
          </w:tcPr>
          <w:p w14:paraId="4F765036" w14:textId="07AD9D34" w:rsidR="00305CAF" w:rsidRPr="00203FC0" w:rsidRDefault="00E86E87" w:rsidP="00F311F5">
            <w:pPr>
              <w:keepNext/>
              <w:widowControl w:val="0"/>
              <w:spacing w:after="0"/>
              <w:rPr>
                <w:sz w:val="22"/>
                <w:szCs w:val="22"/>
                <w:lang w:val="en-AU"/>
              </w:rPr>
            </w:pPr>
            <w:r w:rsidRPr="00203FC0">
              <w:rPr>
                <w:sz w:val="22"/>
                <w:szCs w:val="22"/>
                <w:lang w:val="en-AU"/>
              </w:rPr>
              <w:t>90 (5.5%)</w:t>
            </w:r>
          </w:p>
        </w:tc>
        <w:tc>
          <w:tcPr>
            <w:tcW w:w="2605" w:type="dxa"/>
            <w:vMerge/>
          </w:tcPr>
          <w:p w14:paraId="08F00D13" w14:textId="77777777" w:rsidR="00305CAF" w:rsidRPr="00203FC0" w:rsidRDefault="00305CAF" w:rsidP="00F311F5">
            <w:pPr>
              <w:keepNext/>
              <w:widowControl w:val="0"/>
              <w:spacing w:after="0"/>
              <w:rPr>
                <w:b/>
                <w:bCs/>
                <w:sz w:val="22"/>
                <w:szCs w:val="22"/>
                <w:lang w:val="en-AU"/>
              </w:rPr>
            </w:pPr>
          </w:p>
        </w:tc>
      </w:tr>
    </w:tbl>
    <w:p w14:paraId="2F462FCB" w14:textId="77777777" w:rsidR="00305CAF" w:rsidRPr="00203FC0" w:rsidRDefault="00305CAF" w:rsidP="00305CAF">
      <w:pPr>
        <w:keepNext/>
        <w:widowControl w:val="0"/>
        <w:spacing w:after="0"/>
        <w:rPr>
          <w:sz w:val="18"/>
          <w:szCs w:val="18"/>
        </w:rPr>
      </w:pPr>
      <w:r w:rsidRPr="00203FC0">
        <w:rPr>
          <w:sz w:val="18"/>
          <w:szCs w:val="18"/>
        </w:rPr>
        <w:t xml:space="preserve">CI = Confidence Interval, N = number of participants in the analysis. </w:t>
      </w:r>
    </w:p>
    <w:p w14:paraId="185C82A6" w14:textId="2F14C8B8" w:rsidR="002E568E" w:rsidRPr="00203FC0" w:rsidRDefault="00305CAF" w:rsidP="002E568E">
      <w:pPr>
        <w:keepNext/>
        <w:widowControl w:val="0"/>
        <w:spacing w:after="0"/>
        <w:rPr>
          <w:sz w:val="18"/>
          <w:szCs w:val="18"/>
        </w:rPr>
      </w:pPr>
      <w:r w:rsidRPr="00203FC0">
        <w:rPr>
          <w:sz w:val="18"/>
          <w:szCs w:val="18"/>
          <w:vertAlign w:val="superscript"/>
        </w:rPr>
        <w:t>a</w:t>
      </w:r>
      <w:r w:rsidRPr="00203FC0">
        <w:rPr>
          <w:sz w:val="18"/>
          <w:szCs w:val="18"/>
        </w:rPr>
        <w:t xml:space="preserve">     </w:t>
      </w:r>
      <w:r w:rsidR="00AD747C" w:rsidRPr="00203FC0">
        <w:rPr>
          <w:sz w:val="18"/>
          <w:szCs w:val="18"/>
        </w:rPr>
        <w:t xml:space="preserve">Comparator was either </w:t>
      </w:r>
      <w:proofErr w:type="spellStart"/>
      <w:r w:rsidR="00AD747C" w:rsidRPr="00203FC0">
        <w:rPr>
          <w:sz w:val="18"/>
          <w:szCs w:val="18"/>
        </w:rPr>
        <w:t>EVUSHELD</w:t>
      </w:r>
      <w:proofErr w:type="spellEnd"/>
      <w:r w:rsidR="00AD747C" w:rsidRPr="00203FC0">
        <w:rPr>
          <w:sz w:val="18"/>
          <w:szCs w:val="18"/>
        </w:rPr>
        <w:t xml:space="preserve"> 600</w:t>
      </w:r>
      <w:r w:rsidR="00324786" w:rsidRPr="00203FC0">
        <w:rPr>
          <w:sz w:val="18"/>
          <w:szCs w:val="18"/>
        </w:rPr>
        <w:t xml:space="preserve"> </w:t>
      </w:r>
      <w:r w:rsidR="00AD747C" w:rsidRPr="00203FC0">
        <w:rPr>
          <w:sz w:val="18"/>
          <w:szCs w:val="18"/>
        </w:rPr>
        <w:t>mg or placebo.</w:t>
      </w:r>
    </w:p>
    <w:p w14:paraId="4FD9B48B" w14:textId="77777777" w:rsidR="002E568E" w:rsidRPr="00203FC0" w:rsidRDefault="002E568E" w:rsidP="002E568E">
      <w:pPr>
        <w:pStyle w:val="Paragraph"/>
        <w:keepNext/>
        <w:rPr>
          <w:b/>
          <w:bCs/>
          <w:sz w:val="18"/>
          <w:szCs w:val="18"/>
          <w:lang w:val="en-AU"/>
        </w:rPr>
      </w:pPr>
    </w:p>
    <w:p w14:paraId="5BCFEDF2" w14:textId="7CAFDEFC" w:rsidR="002E568E" w:rsidRPr="00203FC0" w:rsidRDefault="00282E37" w:rsidP="00282E37">
      <w:pPr>
        <w:pStyle w:val="Caption"/>
        <w:rPr>
          <w:b w:val="0"/>
          <w:bCs/>
          <w:lang w:val="en-AU"/>
        </w:rPr>
      </w:pPr>
      <w:bookmarkStart w:id="15" w:name="_Ref208322378"/>
      <w:r w:rsidRPr="00203FC0">
        <w:rPr>
          <w:lang w:val="en-AU"/>
        </w:rPr>
        <w:t xml:space="preserve">Figure </w:t>
      </w:r>
      <w:r w:rsidRPr="00203FC0">
        <w:rPr>
          <w:lang w:val="en-AU"/>
        </w:rPr>
        <w:fldChar w:fldCharType="begin"/>
      </w:r>
      <w:r w:rsidRPr="00203FC0">
        <w:rPr>
          <w:lang w:val="en-AU"/>
        </w:rPr>
        <w:instrText xml:space="preserve"> SEQ Figure \* ARABIC </w:instrText>
      </w:r>
      <w:r w:rsidRPr="00203FC0">
        <w:rPr>
          <w:lang w:val="en-AU"/>
        </w:rPr>
        <w:fldChar w:fldCharType="separate"/>
      </w:r>
      <w:r w:rsidRPr="00203FC0">
        <w:rPr>
          <w:noProof/>
          <w:lang w:val="en-AU"/>
        </w:rPr>
        <w:t>1</w:t>
      </w:r>
      <w:r w:rsidRPr="00203FC0">
        <w:rPr>
          <w:lang w:val="en-AU"/>
        </w:rPr>
        <w:fldChar w:fldCharType="end"/>
      </w:r>
      <w:bookmarkEnd w:id="15"/>
      <w:r w:rsidR="002E568E" w:rsidRPr="00203FC0">
        <w:rPr>
          <w:bCs/>
          <w:lang w:val="en-AU"/>
        </w:rPr>
        <w:t>: Kaplan-Meier: Time to first symptomatic COVID-19 cases up to day 361 caused by any variant and matched variant</w:t>
      </w:r>
      <w:r w:rsidR="00687CB6">
        <w:rPr>
          <w:bCs/>
          <w:lang w:val="en-AU"/>
        </w:rPr>
        <w:fldChar w:fldCharType="begin"/>
      </w:r>
      <w:r w:rsidR="00687CB6">
        <w:rPr>
          <w:bCs/>
          <w:lang w:val="en-AU"/>
        </w:rPr>
        <w:instrText xml:space="preserve"> DOCVARIABLE vault_nd_1e03df1b-6c5c-4910-a04f-d3f149746068 \* MERGEFORMAT </w:instrText>
      </w:r>
      <w:r w:rsidR="00687CB6">
        <w:rPr>
          <w:bCs/>
          <w:lang w:val="en-AU"/>
        </w:rPr>
        <w:fldChar w:fldCharType="separate"/>
      </w:r>
      <w:r w:rsidR="00687CB6">
        <w:rPr>
          <w:bCs/>
          <w:lang w:val="en-AU"/>
        </w:rPr>
        <w:t xml:space="preserve"> </w:t>
      </w:r>
      <w:r w:rsidR="00687CB6">
        <w:rPr>
          <w:bCs/>
          <w:lang w:val="en-AU"/>
        </w:rPr>
        <w:fldChar w:fldCharType="end"/>
      </w:r>
    </w:p>
    <w:p w14:paraId="6D0FBCD1" w14:textId="3478C49C" w:rsidR="00305CAF" w:rsidRPr="00203FC0" w:rsidRDefault="006E529C" w:rsidP="00305CAF">
      <w:pPr>
        <w:pStyle w:val="Paragraph"/>
        <w:rPr>
          <w:lang w:val="en-AU"/>
        </w:rPr>
      </w:pPr>
      <w:r w:rsidRPr="006E529C">
        <w:rPr>
          <w:noProof/>
          <w:lang w:val="en-AU"/>
        </w:rPr>
        <w:drawing>
          <wp:inline distT="0" distB="0" distL="0" distR="0" wp14:anchorId="181B7555" wp14:editId="4923C1E7">
            <wp:extent cx="6120130" cy="3636010"/>
            <wp:effectExtent l="0" t="0" r="0" b="2540"/>
            <wp:docPr id="870964995" name="Picture 1" descr="Figure 1: Kaplan-Meier: Time to first symptomatic COVID-19 cases up to day 361 caused by any variant and matched varia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964995" name="Picture 1" descr="Figure 1: Kaplan-Meier: Time to first symptomatic COVID-19 cases up to day 361 caused by any variant and matched variant "/>
                    <pic:cNvPicPr/>
                  </pic:nvPicPr>
                  <pic:blipFill>
                    <a:blip r:embed="rId12"/>
                    <a:stretch>
                      <a:fillRect/>
                    </a:stretch>
                  </pic:blipFill>
                  <pic:spPr>
                    <a:xfrm>
                      <a:off x="0" y="0"/>
                      <a:ext cx="6120130" cy="3636010"/>
                    </a:xfrm>
                    <a:prstGeom prst="rect">
                      <a:avLst/>
                    </a:prstGeom>
                  </pic:spPr>
                </pic:pic>
              </a:graphicData>
            </a:graphic>
          </wp:inline>
        </w:drawing>
      </w:r>
    </w:p>
    <w:p w14:paraId="1504D6DB" w14:textId="1E7170FE" w:rsidR="00305CAF" w:rsidRPr="00203FC0" w:rsidRDefault="00FE3EC4" w:rsidP="008C60D1">
      <w:pPr>
        <w:pStyle w:val="Paragraph"/>
        <w:rPr>
          <w:lang w:val="en-AU"/>
        </w:rPr>
      </w:pPr>
      <w:r w:rsidRPr="00203FC0">
        <w:rPr>
          <w:lang w:val="en-AU"/>
        </w:rPr>
        <w:t>Efficacy was consistent across pre-defined subgroups including immunocompromised condition, age, sex, race, ethnicity, BMI, ECG interpretation, and for participants who had previously taken a COVID</w:t>
      </w:r>
      <w:r w:rsidRPr="00203FC0">
        <w:rPr>
          <w:lang w:val="en-AU"/>
        </w:rPr>
        <w:noBreakHyphen/>
        <w:t xml:space="preserve">19 vaccine (within 6 months of randomisation) and/or </w:t>
      </w:r>
      <w:proofErr w:type="spellStart"/>
      <w:r w:rsidRPr="00203FC0">
        <w:rPr>
          <w:lang w:val="en-AU"/>
        </w:rPr>
        <w:t>EVUSHELD</w:t>
      </w:r>
      <w:proofErr w:type="spellEnd"/>
      <w:r w:rsidRPr="00203FC0">
        <w:rPr>
          <w:lang w:val="en-AU"/>
        </w:rPr>
        <w:t xml:space="preserve"> (within 12 months of randomisation).</w:t>
      </w:r>
    </w:p>
    <w:p w14:paraId="22BF3662" w14:textId="1C62478D" w:rsidR="00BE2CCD" w:rsidRPr="00203FC0" w:rsidRDefault="00BE2CCD" w:rsidP="008C60D1">
      <w:pPr>
        <w:pStyle w:val="Paragraph"/>
        <w:rPr>
          <w:rFonts w:eastAsiaTheme="minorHAnsi"/>
          <w:lang w:val="en-AU"/>
        </w:rPr>
      </w:pPr>
      <w:r w:rsidRPr="00203FC0">
        <w:rPr>
          <w:lang w:val="en-AU"/>
        </w:rPr>
        <w:t xml:space="preserve">The efficacy of </w:t>
      </w:r>
      <w:proofErr w:type="spellStart"/>
      <w:r w:rsidRPr="00203FC0">
        <w:rPr>
          <w:lang w:val="en-AU"/>
        </w:rPr>
        <w:t>KAVIGALE</w:t>
      </w:r>
      <w:proofErr w:type="spellEnd"/>
      <w:r w:rsidRPr="00203FC0">
        <w:rPr>
          <w:lang w:val="en-AU"/>
        </w:rPr>
        <w:t xml:space="preserve"> in the prevention of symptomatic COVID-19 was higher at 3 months post-dose compared to 6 months post-dose. </w:t>
      </w:r>
      <w:r w:rsidRPr="00203FC0">
        <w:rPr>
          <w:szCs w:val="22"/>
          <w:lang w:val="en-AU"/>
        </w:rPr>
        <w:t>Sipavibart demonstrated an overall risk reduction of 41.9% (95% CI: 22.5, 56.5) in the three-month period following an intramuscular dose of 300 mg for all variants. Similarly, in the matched non-</w:t>
      </w:r>
      <w:proofErr w:type="spellStart"/>
      <w:r w:rsidRPr="00203FC0">
        <w:rPr>
          <w:szCs w:val="22"/>
          <w:lang w:val="en-AU"/>
        </w:rPr>
        <w:t>F456L</w:t>
      </w:r>
      <w:proofErr w:type="spellEnd"/>
      <w:r w:rsidRPr="00203FC0">
        <w:rPr>
          <w:szCs w:val="22"/>
          <w:lang w:val="en-AU"/>
        </w:rPr>
        <w:t xml:space="preserve"> analysis, </w:t>
      </w:r>
      <w:proofErr w:type="spellStart"/>
      <w:r w:rsidRPr="00203FC0">
        <w:rPr>
          <w:szCs w:val="22"/>
          <w:lang w:val="en-AU"/>
        </w:rPr>
        <w:t>sipavibart</w:t>
      </w:r>
      <w:proofErr w:type="spellEnd"/>
      <w:r w:rsidRPr="00203FC0">
        <w:rPr>
          <w:szCs w:val="22"/>
          <w:lang w:val="en-AU"/>
        </w:rPr>
        <w:t xml:space="preserve"> demonstrated an overall risk reduction of 60.0% (95% CI: </w:t>
      </w:r>
      <w:r w:rsidR="00373E70" w:rsidRPr="00203FC0">
        <w:rPr>
          <w:szCs w:val="22"/>
          <w:lang w:val="en-AU"/>
        </w:rPr>
        <w:t>3</w:t>
      </w:r>
      <w:r w:rsidRPr="00203FC0">
        <w:rPr>
          <w:szCs w:val="22"/>
          <w:lang w:val="en-AU"/>
        </w:rPr>
        <w:t>6.2, 74.9) in the three-month period following an intramuscular dose of 300 mg.</w:t>
      </w:r>
    </w:p>
    <w:p w14:paraId="75B34461" w14:textId="2CD42272" w:rsidR="001A3992" w:rsidRPr="00687CB6" w:rsidRDefault="007403BD" w:rsidP="00FA4CE7">
      <w:pPr>
        <w:pStyle w:val="Heading2"/>
      </w:pPr>
      <w:bookmarkStart w:id="16" w:name="_Ref208397914"/>
      <w:r w:rsidRPr="00687CB6">
        <w:lastRenderedPageBreak/>
        <w:t>Pharmacokinetic properties</w:t>
      </w:r>
      <w:bookmarkEnd w:id="16"/>
      <w:r w:rsidR="00875F0F" w:rsidRPr="00687CB6">
        <w:fldChar w:fldCharType="begin"/>
      </w:r>
      <w:r w:rsidR="00875F0F" w:rsidRPr="00687CB6">
        <w:instrText xml:space="preserve"> DOCVARIABLE VAULT_ND_26a4fe08-c3e0-4378-b8f3-866194b84b49 \* MERGEFORMAT </w:instrText>
      </w:r>
      <w:r w:rsidR="00875F0F" w:rsidRPr="00687CB6">
        <w:fldChar w:fldCharType="separate"/>
      </w:r>
      <w:r w:rsidR="00875F0F" w:rsidRPr="00687CB6">
        <w:t xml:space="preserve"> </w:t>
      </w:r>
      <w:r w:rsidR="00875F0F" w:rsidRPr="00687CB6">
        <w:fldChar w:fldCharType="end"/>
      </w:r>
    </w:p>
    <w:p w14:paraId="4DC19298" w14:textId="7029D8F7" w:rsidR="0010608F" w:rsidRPr="00203FC0" w:rsidRDefault="0010608F" w:rsidP="0010608F">
      <w:pPr>
        <w:pStyle w:val="Paragraph"/>
        <w:rPr>
          <w:lang w:val="en-AU"/>
        </w:rPr>
      </w:pPr>
      <w:r w:rsidRPr="00203FC0">
        <w:rPr>
          <w:lang w:val="en-AU"/>
        </w:rPr>
        <w:t xml:space="preserve">Following a single dose, </w:t>
      </w:r>
      <w:proofErr w:type="spellStart"/>
      <w:r w:rsidRPr="00203FC0">
        <w:rPr>
          <w:lang w:val="en-AU"/>
        </w:rPr>
        <w:t>sipavibart</w:t>
      </w:r>
      <w:proofErr w:type="spellEnd"/>
      <w:r w:rsidRPr="00203FC0">
        <w:rPr>
          <w:lang w:val="en-AU"/>
        </w:rPr>
        <w:t xml:space="preserve"> demonstrated approximately dose proportional increase in serum exposure as doses increased in the range of 300 mg to 600 mg for IM administration or 300 mg to 1200 mg for IV infusion.</w:t>
      </w:r>
    </w:p>
    <w:p w14:paraId="79533F9C" w14:textId="6A2B5B34" w:rsidR="001A3992" w:rsidRPr="00203FC0" w:rsidRDefault="001A3992" w:rsidP="0026491B">
      <w:pPr>
        <w:pStyle w:val="Heading3Unnumbered"/>
        <w:rPr>
          <w:lang w:val="en-AU"/>
        </w:rPr>
      </w:pPr>
      <w:r w:rsidRPr="00203FC0">
        <w:rPr>
          <w:lang w:val="en-AU"/>
        </w:rPr>
        <w:t>Absorption</w:t>
      </w:r>
      <w:r w:rsidR="002B1200" w:rsidRPr="00203FC0">
        <w:rPr>
          <w:lang w:val="en-AU"/>
        </w:rPr>
        <w:fldChar w:fldCharType="begin"/>
      </w:r>
      <w:r w:rsidR="002B1200" w:rsidRPr="00203FC0">
        <w:rPr>
          <w:lang w:val="en-AU"/>
        </w:rPr>
        <w:instrText xml:space="preserve"> DOCVARIABLE vault_nd_82fd7bd7-37db-470c-baa1-5f1fdea0ae6f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09BC45FA" w14:textId="77777777" w:rsidR="00305CAF" w:rsidRPr="00203FC0" w:rsidRDefault="00305CAF" w:rsidP="00305CAF">
      <w:pPr>
        <w:pStyle w:val="Paragraph"/>
        <w:rPr>
          <w:rFonts w:eastAsiaTheme="minorHAnsi"/>
          <w:lang w:val="en-AU"/>
        </w:rPr>
      </w:pPr>
      <w:r w:rsidRPr="00203FC0">
        <w:rPr>
          <w:rFonts w:eastAsiaTheme="minorHAnsi"/>
          <w:lang w:val="en-AU"/>
        </w:rPr>
        <w:t xml:space="preserve">Following a single 300 mg IM dose of </w:t>
      </w:r>
      <w:proofErr w:type="spellStart"/>
      <w:r w:rsidRPr="00203FC0">
        <w:rPr>
          <w:rFonts w:eastAsiaTheme="minorHAnsi"/>
          <w:lang w:val="en-AU"/>
        </w:rPr>
        <w:t>sipavibart</w:t>
      </w:r>
      <w:proofErr w:type="spellEnd"/>
      <w:r w:rsidRPr="00203FC0">
        <w:rPr>
          <w:rFonts w:eastAsiaTheme="minorHAnsi"/>
          <w:lang w:val="en-AU"/>
        </w:rPr>
        <w:t xml:space="preserve"> in the anterolateral thigh and the gluteal region, the geometric mean (geometric coefficient of variation (CV%)) of the maximum serum concentration (</w:t>
      </w:r>
      <w:proofErr w:type="spellStart"/>
      <w:r w:rsidRPr="00203FC0">
        <w:rPr>
          <w:rFonts w:eastAsiaTheme="minorHAnsi"/>
          <w:lang w:val="en-AU"/>
        </w:rPr>
        <w:t>C</w:t>
      </w:r>
      <w:r w:rsidRPr="00203FC0">
        <w:rPr>
          <w:rFonts w:eastAsiaTheme="minorHAnsi"/>
          <w:vertAlign w:val="subscript"/>
          <w:lang w:val="en-AU"/>
        </w:rPr>
        <w:t>max</w:t>
      </w:r>
      <w:proofErr w:type="spellEnd"/>
      <w:r w:rsidRPr="00203FC0">
        <w:rPr>
          <w:rFonts w:eastAsiaTheme="minorHAnsi"/>
          <w:lang w:val="en-AU"/>
        </w:rPr>
        <w:t xml:space="preserve">) of </w:t>
      </w:r>
      <w:proofErr w:type="spellStart"/>
      <w:r w:rsidRPr="00203FC0">
        <w:rPr>
          <w:rFonts w:eastAsiaTheme="minorHAnsi"/>
          <w:lang w:val="en-AU"/>
        </w:rPr>
        <w:t>sipavibart</w:t>
      </w:r>
      <w:proofErr w:type="spellEnd"/>
      <w:r w:rsidRPr="00203FC0">
        <w:rPr>
          <w:rFonts w:eastAsiaTheme="minorHAnsi"/>
          <w:lang w:val="en-AU"/>
        </w:rPr>
        <w:t xml:space="preserve"> was 48.0 (25.2%) </w:t>
      </w:r>
      <w:proofErr w:type="spellStart"/>
      <w:r w:rsidRPr="00203FC0">
        <w:rPr>
          <w:rFonts w:eastAsiaTheme="minorHAnsi"/>
          <w:lang w:val="en-AU"/>
        </w:rPr>
        <w:t>μg</w:t>
      </w:r>
      <w:proofErr w:type="spellEnd"/>
      <w:r w:rsidRPr="00203FC0">
        <w:rPr>
          <w:rFonts w:eastAsiaTheme="minorHAnsi"/>
          <w:lang w:val="en-AU"/>
        </w:rPr>
        <w:t xml:space="preserve">/mL and 25.4 (51.7%) </w:t>
      </w:r>
      <w:proofErr w:type="spellStart"/>
      <w:r w:rsidRPr="00203FC0">
        <w:rPr>
          <w:rFonts w:eastAsiaTheme="minorHAnsi"/>
          <w:lang w:val="en-AU"/>
        </w:rPr>
        <w:t>μg</w:t>
      </w:r>
      <w:proofErr w:type="spellEnd"/>
      <w:r w:rsidRPr="00203FC0">
        <w:rPr>
          <w:rFonts w:eastAsiaTheme="minorHAnsi"/>
          <w:lang w:val="en-AU"/>
        </w:rPr>
        <w:t xml:space="preserve">/mL, respectively. The corresponding median time (range) to </w:t>
      </w:r>
      <w:proofErr w:type="spellStart"/>
      <w:r w:rsidRPr="00203FC0">
        <w:rPr>
          <w:rFonts w:eastAsiaTheme="minorHAnsi"/>
          <w:lang w:val="en-AU"/>
        </w:rPr>
        <w:t>C</w:t>
      </w:r>
      <w:r w:rsidRPr="00203FC0">
        <w:rPr>
          <w:rFonts w:eastAsiaTheme="minorHAnsi"/>
          <w:vertAlign w:val="subscript"/>
          <w:lang w:val="en-AU"/>
        </w:rPr>
        <w:t>max</w:t>
      </w:r>
      <w:proofErr w:type="spellEnd"/>
      <w:r w:rsidRPr="00203FC0">
        <w:rPr>
          <w:rFonts w:eastAsiaTheme="minorHAnsi"/>
          <w:lang w:val="en-AU"/>
        </w:rPr>
        <w:t xml:space="preserve"> was 7.5 (3.9, 53) and 52.0 (4.9, 86) days. </w:t>
      </w:r>
    </w:p>
    <w:p w14:paraId="16D53681" w14:textId="77777777" w:rsidR="00305CAF" w:rsidRPr="00203FC0" w:rsidRDefault="00305CAF" w:rsidP="00305CAF">
      <w:pPr>
        <w:pStyle w:val="Paragraph"/>
        <w:rPr>
          <w:rFonts w:eastAsiaTheme="minorHAnsi"/>
          <w:lang w:val="en-AU"/>
        </w:rPr>
      </w:pPr>
      <w:r w:rsidRPr="00203FC0">
        <w:rPr>
          <w:rFonts w:eastAsiaTheme="minorHAnsi"/>
          <w:lang w:val="en-AU"/>
        </w:rPr>
        <w:t xml:space="preserve">Based on preliminary population PK analysis, the estimated absolute bioavailability of </w:t>
      </w:r>
      <w:proofErr w:type="spellStart"/>
      <w:r w:rsidRPr="00203FC0">
        <w:rPr>
          <w:rFonts w:eastAsiaTheme="minorHAnsi"/>
          <w:lang w:val="en-AU"/>
        </w:rPr>
        <w:t>sipavibart</w:t>
      </w:r>
      <w:proofErr w:type="spellEnd"/>
      <w:r w:rsidRPr="00203FC0">
        <w:rPr>
          <w:rFonts w:eastAsiaTheme="minorHAnsi"/>
          <w:lang w:val="en-AU"/>
        </w:rPr>
        <w:t xml:space="preserve"> following IM dose administration in the anterolateral thigh and gluteal region is 83.8% and 70.3%, respectively.</w:t>
      </w:r>
    </w:p>
    <w:p w14:paraId="0C98AC90" w14:textId="173DE245" w:rsidR="007403BD" w:rsidRPr="00203FC0" w:rsidRDefault="00305CAF" w:rsidP="00305CAF">
      <w:pPr>
        <w:pStyle w:val="Paragraph"/>
        <w:rPr>
          <w:rFonts w:eastAsiaTheme="minorHAnsi"/>
          <w:lang w:val="en-AU"/>
        </w:rPr>
      </w:pPr>
      <w:r w:rsidRPr="00203FC0">
        <w:rPr>
          <w:rFonts w:eastAsiaTheme="minorHAnsi"/>
          <w:lang w:val="en-AU"/>
        </w:rPr>
        <w:t xml:space="preserve">Following the first dose and the second dose of </w:t>
      </w:r>
      <w:proofErr w:type="spellStart"/>
      <w:r w:rsidRPr="00203FC0">
        <w:rPr>
          <w:rFonts w:eastAsiaTheme="minorHAnsi"/>
          <w:lang w:val="en-AU"/>
        </w:rPr>
        <w:t>300mg</w:t>
      </w:r>
      <w:proofErr w:type="spellEnd"/>
      <w:r w:rsidRPr="00203FC0">
        <w:rPr>
          <w:rFonts w:eastAsiaTheme="minorHAnsi"/>
          <w:lang w:val="en-AU"/>
        </w:rPr>
        <w:t xml:space="preserve"> </w:t>
      </w:r>
      <w:proofErr w:type="spellStart"/>
      <w:r w:rsidRPr="00203FC0">
        <w:rPr>
          <w:rFonts w:eastAsiaTheme="minorHAnsi"/>
          <w:lang w:val="en-AU"/>
        </w:rPr>
        <w:t>sipavibart</w:t>
      </w:r>
      <w:proofErr w:type="spellEnd"/>
      <w:r w:rsidRPr="00203FC0">
        <w:rPr>
          <w:rFonts w:eastAsiaTheme="minorHAnsi"/>
          <w:lang w:val="en-AU"/>
        </w:rPr>
        <w:t xml:space="preserve"> administered intramuscularly in the anterolateral thigh, the geomean serum </w:t>
      </w:r>
      <w:proofErr w:type="spellStart"/>
      <w:r w:rsidRPr="00203FC0">
        <w:rPr>
          <w:rFonts w:eastAsiaTheme="minorHAnsi"/>
          <w:lang w:val="en-AU"/>
        </w:rPr>
        <w:t>sipavibart</w:t>
      </w:r>
      <w:proofErr w:type="spellEnd"/>
      <w:r w:rsidRPr="00203FC0">
        <w:rPr>
          <w:rFonts w:eastAsiaTheme="minorHAnsi"/>
          <w:lang w:val="en-AU"/>
        </w:rPr>
        <w:t xml:space="preserve"> concentrations</w:t>
      </w:r>
      <w:r w:rsidR="0010608F" w:rsidRPr="00203FC0">
        <w:rPr>
          <w:rFonts w:eastAsiaTheme="minorHAnsi"/>
          <w:lang w:val="en-AU"/>
        </w:rPr>
        <w:t xml:space="preserve"> (CV%)</w:t>
      </w:r>
      <w:r w:rsidRPr="00203FC0">
        <w:rPr>
          <w:rFonts w:eastAsiaTheme="minorHAnsi"/>
          <w:lang w:val="en-AU"/>
        </w:rPr>
        <w:t xml:space="preserve"> at one-month post-dose were </w:t>
      </w:r>
      <w:r w:rsidR="0010608F" w:rsidRPr="00203FC0">
        <w:rPr>
          <w:rFonts w:eastAsiaTheme="minorHAnsi"/>
          <w:lang w:val="en-AU"/>
        </w:rPr>
        <w:t>29.8</w:t>
      </w:r>
      <w:r w:rsidR="001F6991" w:rsidRPr="00203FC0">
        <w:rPr>
          <w:rFonts w:eastAsiaTheme="minorHAnsi"/>
          <w:lang w:val="en-AU"/>
        </w:rPr>
        <w:t>(36.2%)</w:t>
      </w:r>
      <w:r w:rsidRPr="00203FC0">
        <w:rPr>
          <w:rFonts w:eastAsiaTheme="minorHAnsi"/>
          <w:lang w:val="en-AU"/>
        </w:rPr>
        <w:t> </w:t>
      </w:r>
      <w:proofErr w:type="spellStart"/>
      <w:r w:rsidRPr="00203FC0">
        <w:rPr>
          <w:rFonts w:eastAsiaTheme="minorHAnsi"/>
          <w:lang w:val="en-AU"/>
        </w:rPr>
        <w:t>μg</w:t>
      </w:r>
      <w:proofErr w:type="spellEnd"/>
      <w:r w:rsidRPr="00203FC0">
        <w:rPr>
          <w:rFonts w:eastAsiaTheme="minorHAnsi"/>
          <w:lang w:val="en-AU"/>
        </w:rPr>
        <w:t xml:space="preserve">/mL and </w:t>
      </w:r>
      <w:r w:rsidR="001F6991" w:rsidRPr="00203FC0">
        <w:rPr>
          <w:rFonts w:eastAsiaTheme="minorHAnsi"/>
          <w:lang w:val="en-AU"/>
        </w:rPr>
        <w:t>30.8(54.3%)</w:t>
      </w:r>
      <w:r w:rsidRPr="00203FC0">
        <w:rPr>
          <w:rFonts w:eastAsiaTheme="minorHAnsi"/>
          <w:lang w:val="en-AU"/>
        </w:rPr>
        <w:t> </w:t>
      </w:r>
      <w:proofErr w:type="spellStart"/>
      <w:r w:rsidRPr="00203FC0">
        <w:rPr>
          <w:rFonts w:eastAsiaTheme="minorHAnsi"/>
          <w:lang w:val="en-AU"/>
        </w:rPr>
        <w:t>μg</w:t>
      </w:r>
      <w:proofErr w:type="spellEnd"/>
      <w:r w:rsidRPr="00203FC0">
        <w:rPr>
          <w:rFonts w:eastAsiaTheme="minorHAnsi"/>
          <w:lang w:val="en-AU"/>
        </w:rPr>
        <w:t>/mL, respectively. Doses were administered 6 months apart.</w:t>
      </w:r>
    </w:p>
    <w:p w14:paraId="5820BE8B" w14:textId="2B2FC006" w:rsidR="001A3992" w:rsidRPr="00203FC0" w:rsidRDefault="001A3992" w:rsidP="0026491B">
      <w:pPr>
        <w:pStyle w:val="Heading3Unnumbered"/>
        <w:rPr>
          <w:lang w:val="en-AU"/>
        </w:rPr>
      </w:pPr>
      <w:r w:rsidRPr="00203FC0">
        <w:rPr>
          <w:lang w:val="en-AU"/>
        </w:rPr>
        <w:t>Distribution</w:t>
      </w:r>
      <w:r w:rsidR="002B1200" w:rsidRPr="00203FC0">
        <w:rPr>
          <w:lang w:val="en-AU"/>
        </w:rPr>
        <w:fldChar w:fldCharType="begin"/>
      </w:r>
      <w:r w:rsidR="002B1200" w:rsidRPr="00203FC0">
        <w:rPr>
          <w:lang w:val="en-AU"/>
        </w:rPr>
        <w:instrText xml:space="preserve"> DOCVARIABLE vault_nd_0da2022a-b2ae-4475-a8ba-453d918edd29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7B3AB71B" w14:textId="77777777" w:rsidR="007403BD" w:rsidRPr="00203FC0" w:rsidRDefault="00305CAF" w:rsidP="003A4D59">
      <w:pPr>
        <w:pStyle w:val="Paragraph"/>
        <w:rPr>
          <w:sz w:val="22"/>
          <w:lang w:val="en-AU"/>
        </w:rPr>
      </w:pPr>
      <w:r w:rsidRPr="00203FC0">
        <w:rPr>
          <w:lang w:val="en-AU"/>
        </w:rPr>
        <w:t xml:space="preserve">The geometric mean (CV%) apparent volume of distribution for </w:t>
      </w:r>
      <w:proofErr w:type="spellStart"/>
      <w:r w:rsidRPr="00203FC0">
        <w:rPr>
          <w:lang w:val="en-AU"/>
        </w:rPr>
        <w:t>sipavibart</w:t>
      </w:r>
      <w:proofErr w:type="spellEnd"/>
      <w:r w:rsidRPr="00203FC0">
        <w:rPr>
          <w:lang w:val="en-AU"/>
        </w:rPr>
        <w:t xml:space="preserve"> was 6.3 (19.4%) L and 7.8 (15.7%) L following a single 300 mg intramuscular administration in the anterolateral thigh and gluteal region, respectively</w:t>
      </w:r>
      <w:r w:rsidRPr="00203FC0">
        <w:rPr>
          <w:sz w:val="22"/>
          <w:lang w:val="en-AU"/>
        </w:rPr>
        <w:t>.</w:t>
      </w:r>
    </w:p>
    <w:p w14:paraId="168F7422" w14:textId="144A9C13" w:rsidR="001A3992" w:rsidRPr="00203FC0" w:rsidRDefault="001A3992" w:rsidP="0026491B">
      <w:pPr>
        <w:pStyle w:val="Heading3Unnumbered"/>
        <w:rPr>
          <w:lang w:val="en-AU"/>
        </w:rPr>
      </w:pPr>
      <w:r w:rsidRPr="00203FC0">
        <w:rPr>
          <w:lang w:val="en-AU"/>
        </w:rPr>
        <w:t>Metabolism</w:t>
      </w:r>
      <w:r w:rsidR="002B1200" w:rsidRPr="00203FC0">
        <w:rPr>
          <w:lang w:val="en-AU"/>
        </w:rPr>
        <w:fldChar w:fldCharType="begin"/>
      </w:r>
      <w:r w:rsidR="002B1200" w:rsidRPr="00203FC0">
        <w:rPr>
          <w:lang w:val="en-AU"/>
        </w:rPr>
        <w:instrText xml:space="preserve"> DOCVARIABLE vault_nd_50e8bf76-738a-4c38-a131-32833e6c79e6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1866F06E" w14:textId="77777777" w:rsidR="007403BD" w:rsidRPr="00203FC0" w:rsidRDefault="003A4D59" w:rsidP="003A4D59">
      <w:pPr>
        <w:pStyle w:val="Paragraph"/>
        <w:rPr>
          <w:lang w:val="en-AU"/>
        </w:rPr>
      </w:pPr>
      <w:r w:rsidRPr="00203FC0">
        <w:rPr>
          <w:lang w:val="en-AU"/>
        </w:rPr>
        <w:t>Sipavibart is expected to be degraded into small peptides and component amino acids via catabolic pathways in the same manner as endogenous IgG antibodies.</w:t>
      </w:r>
    </w:p>
    <w:p w14:paraId="402268A7" w14:textId="1B89AE8F" w:rsidR="001A3992" w:rsidRPr="00203FC0" w:rsidRDefault="001A3992" w:rsidP="0026491B">
      <w:pPr>
        <w:pStyle w:val="Heading3Unnumbered"/>
        <w:rPr>
          <w:lang w:val="en-AU"/>
        </w:rPr>
      </w:pPr>
      <w:r w:rsidRPr="00203FC0">
        <w:rPr>
          <w:lang w:val="en-AU"/>
        </w:rPr>
        <w:t>Excretion</w:t>
      </w:r>
      <w:r w:rsidR="002B1200" w:rsidRPr="00203FC0">
        <w:rPr>
          <w:lang w:val="en-AU"/>
        </w:rPr>
        <w:fldChar w:fldCharType="begin"/>
      </w:r>
      <w:r w:rsidR="002B1200" w:rsidRPr="00203FC0">
        <w:rPr>
          <w:lang w:val="en-AU"/>
        </w:rPr>
        <w:instrText xml:space="preserve"> DOCVARIABLE vault_nd_98f128fa-c7e1-40d5-81b5-594bbdbe5930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0315AD75" w14:textId="40C28B14" w:rsidR="007403BD" w:rsidRPr="00203FC0" w:rsidRDefault="003A4D59" w:rsidP="003A4D59">
      <w:pPr>
        <w:pStyle w:val="Paragraph"/>
        <w:rPr>
          <w:lang w:val="en-AU"/>
        </w:rPr>
      </w:pPr>
      <w:r w:rsidRPr="00203FC0">
        <w:rPr>
          <w:lang w:val="en-AU"/>
        </w:rPr>
        <w:t xml:space="preserve">The geometric mean (CV%) clearance of </w:t>
      </w:r>
      <w:proofErr w:type="spellStart"/>
      <w:r w:rsidRPr="00203FC0">
        <w:rPr>
          <w:lang w:val="en-AU"/>
        </w:rPr>
        <w:t>sipavibart</w:t>
      </w:r>
      <w:proofErr w:type="spellEnd"/>
      <w:r w:rsidRPr="00203FC0">
        <w:rPr>
          <w:lang w:val="en-AU"/>
        </w:rPr>
        <w:t xml:space="preserve"> was 0.053 (43.1%) L/day and 0.063 (47.0%) L/day following 300 mg intramuscular administration in the anterolateral thigh and gluteal region, respectively. The estimated mean terminal elimination half-life (SD) of </w:t>
      </w:r>
      <w:proofErr w:type="spellStart"/>
      <w:r w:rsidRPr="00203FC0">
        <w:rPr>
          <w:lang w:val="en-AU"/>
        </w:rPr>
        <w:t>sipavibart</w:t>
      </w:r>
      <w:proofErr w:type="spellEnd"/>
      <w:r w:rsidRPr="00203FC0">
        <w:rPr>
          <w:lang w:val="en-AU"/>
        </w:rPr>
        <w:t xml:space="preserve"> was 87.3 (26.5) days and 91.0 (27.3) days following a single 300 mg IM dose in the anterolateral thigh and gluteal region, respectively.</w:t>
      </w:r>
    </w:p>
    <w:p w14:paraId="71AC0C5C" w14:textId="31A2F3D4" w:rsidR="003A4D59" w:rsidRPr="00203FC0" w:rsidRDefault="003A4D59" w:rsidP="003A4D59">
      <w:pPr>
        <w:pStyle w:val="Heading3Unnumbered"/>
        <w:rPr>
          <w:lang w:val="en-AU"/>
        </w:rPr>
      </w:pPr>
      <w:r w:rsidRPr="00203FC0">
        <w:rPr>
          <w:lang w:val="en-AU"/>
        </w:rPr>
        <w:t>Special populations</w:t>
      </w:r>
      <w:r w:rsidR="002B1200" w:rsidRPr="00203FC0">
        <w:rPr>
          <w:lang w:val="en-AU"/>
        </w:rPr>
        <w:fldChar w:fldCharType="begin"/>
      </w:r>
      <w:r w:rsidR="002B1200" w:rsidRPr="00203FC0">
        <w:rPr>
          <w:lang w:val="en-AU"/>
        </w:rPr>
        <w:instrText xml:space="preserve"> DOCVARIABLE vault_nd_f096f5d2-5a1d-449f-b956-5087226c997e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706321BA" w14:textId="5A7DDB10" w:rsidR="003A4D59" w:rsidRPr="00203FC0" w:rsidRDefault="003A4D59" w:rsidP="003A4D59">
      <w:pPr>
        <w:pStyle w:val="Heading4Unnumbered"/>
        <w:rPr>
          <w:lang w:val="en-AU"/>
        </w:rPr>
      </w:pPr>
      <w:r w:rsidRPr="00203FC0">
        <w:rPr>
          <w:lang w:val="en-AU"/>
        </w:rPr>
        <w:t>Renal impairment</w:t>
      </w:r>
      <w:r w:rsidR="002B1200" w:rsidRPr="00203FC0">
        <w:rPr>
          <w:lang w:val="en-AU"/>
        </w:rPr>
        <w:fldChar w:fldCharType="begin"/>
      </w:r>
      <w:r w:rsidR="002B1200" w:rsidRPr="00203FC0">
        <w:rPr>
          <w:lang w:val="en-AU"/>
        </w:rPr>
        <w:instrText xml:space="preserve"> DOCVARIABLE vault_nd_d327b37f-6a04-4fc2-8c1e-faf6b1ae5dae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2611DA87" w14:textId="77777777" w:rsidR="003A4D59" w:rsidRPr="00203FC0" w:rsidRDefault="003A4D59" w:rsidP="003A4D59">
      <w:pPr>
        <w:pStyle w:val="Paragraph"/>
        <w:rPr>
          <w:lang w:val="en-AU"/>
        </w:rPr>
      </w:pPr>
      <w:r w:rsidRPr="00203FC0">
        <w:rPr>
          <w:lang w:val="en-AU"/>
        </w:rPr>
        <w:t xml:space="preserve">No specific studies have been conducted to examine the effects of renal impairment on the PK of </w:t>
      </w:r>
      <w:proofErr w:type="spellStart"/>
      <w:r w:rsidRPr="00203FC0">
        <w:rPr>
          <w:lang w:val="en-AU"/>
        </w:rPr>
        <w:t>sipavibart</w:t>
      </w:r>
      <w:proofErr w:type="spellEnd"/>
      <w:r w:rsidRPr="00203FC0">
        <w:rPr>
          <w:lang w:val="en-AU"/>
        </w:rPr>
        <w:t>.</w:t>
      </w:r>
    </w:p>
    <w:p w14:paraId="15F92D8F" w14:textId="77777777" w:rsidR="003A4D59" w:rsidRPr="00203FC0" w:rsidRDefault="003A4D59" w:rsidP="003A4D59">
      <w:pPr>
        <w:pStyle w:val="Paragraph"/>
        <w:rPr>
          <w:lang w:val="en-AU"/>
        </w:rPr>
      </w:pPr>
      <w:r w:rsidRPr="00203FC0">
        <w:rPr>
          <w:lang w:val="en-AU"/>
        </w:rPr>
        <w:t>Sipavibart with a molecular weight (MW) of approximately 148 </w:t>
      </w:r>
      <w:proofErr w:type="spellStart"/>
      <w:r w:rsidRPr="00203FC0">
        <w:rPr>
          <w:lang w:val="en-AU"/>
        </w:rPr>
        <w:t>kDa</w:t>
      </w:r>
      <w:proofErr w:type="spellEnd"/>
      <w:r w:rsidRPr="00203FC0">
        <w:rPr>
          <w:lang w:val="en-AU"/>
        </w:rPr>
        <w:t xml:space="preserve"> is not expected to be excreted intact in the urine as monoclonal antibodies with MW &gt;69 </w:t>
      </w:r>
      <w:proofErr w:type="spellStart"/>
      <w:r w:rsidRPr="00203FC0">
        <w:rPr>
          <w:lang w:val="en-AU"/>
        </w:rPr>
        <w:t>kDa</w:t>
      </w:r>
      <w:proofErr w:type="spellEnd"/>
      <w:r w:rsidRPr="00203FC0">
        <w:rPr>
          <w:lang w:val="en-AU"/>
        </w:rPr>
        <w:t xml:space="preserve"> do not undergo renal excretion. Renal impairment is not expected to significantly affect the exposure of </w:t>
      </w:r>
      <w:proofErr w:type="spellStart"/>
      <w:r w:rsidRPr="00203FC0">
        <w:rPr>
          <w:lang w:val="en-AU"/>
        </w:rPr>
        <w:t>sipavibart</w:t>
      </w:r>
      <w:proofErr w:type="spellEnd"/>
      <w:r w:rsidRPr="00203FC0">
        <w:rPr>
          <w:lang w:val="en-AU"/>
        </w:rPr>
        <w:t>. Similarly, dialysis is not expected to impact the PK.</w:t>
      </w:r>
    </w:p>
    <w:p w14:paraId="1355897D" w14:textId="7AB69E8F" w:rsidR="003A4D59" w:rsidRPr="00203FC0" w:rsidRDefault="003A4D59" w:rsidP="003A4D59">
      <w:pPr>
        <w:pStyle w:val="Heading4Unnumbered"/>
        <w:rPr>
          <w:lang w:val="en-AU"/>
        </w:rPr>
      </w:pPr>
      <w:r w:rsidRPr="00203FC0">
        <w:rPr>
          <w:lang w:val="en-AU"/>
        </w:rPr>
        <w:lastRenderedPageBreak/>
        <w:t>Hepatic impairment</w:t>
      </w:r>
      <w:r w:rsidR="002B1200" w:rsidRPr="00203FC0">
        <w:rPr>
          <w:lang w:val="en-AU"/>
        </w:rPr>
        <w:fldChar w:fldCharType="begin"/>
      </w:r>
      <w:r w:rsidR="002B1200" w:rsidRPr="00203FC0">
        <w:rPr>
          <w:lang w:val="en-AU"/>
        </w:rPr>
        <w:instrText xml:space="preserve"> DOCVARIABLE vault_nd_24bfa8e8-9515-4e41-8ccc-a6f5f3c9e0f0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53883F46" w14:textId="77777777" w:rsidR="003A4D59" w:rsidRPr="00203FC0" w:rsidRDefault="003A4D59" w:rsidP="003A4D59">
      <w:pPr>
        <w:pStyle w:val="Paragraph"/>
        <w:rPr>
          <w:lang w:val="en-AU"/>
        </w:rPr>
      </w:pPr>
      <w:r w:rsidRPr="00203FC0">
        <w:rPr>
          <w:lang w:val="en-AU"/>
        </w:rPr>
        <w:t xml:space="preserve">No specific studies have been conducted to examine the effects of hepatic impairment on the PK of </w:t>
      </w:r>
      <w:proofErr w:type="spellStart"/>
      <w:r w:rsidRPr="00203FC0">
        <w:rPr>
          <w:lang w:val="en-AU"/>
        </w:rPr>
        <w:t>sipavibart</w:t>
      </w:r>
      <w:proofErr w:type="spellEnd"/>
      <w:r w:rsidRPr="00203FC0">
        <w:rPr>
          <w:lang w:val="en-AU"/>
        </w:rPr>
        <w:t xml:space="preserve">. </w:t>
      </w:r>
    </w:p>
    <w:p w14:paraId="2CF0497B" w14:textId="77777777" w:rsidR="003A4D59" w:rsidRPr="00203FC0" w:rsidRDefault="003A4D59" w:rsidP="003A4D59">
      <w:pPr>
        <w:pStyle w:val="Paragraph"/>
        <w:rPr>
          <w:lang w:val="en-AU"/>
        </w:rPr>
      </w:pPr>
      <w:r w:rsidRPr="00203FC0">
        <w:rPr>
          <w:lang w:val="en-AU"/>
        </w:rPr>
        <w:t xml:space="preserve">Sipavibart is expected to be catabolised by multiple tissues through proteolytic degradation into amino acids and recycling into other proteins, therefore hepatic impairment is not expected to affect the PK of </w:t>
      </w:r>
      <w:proofErr w:type="spellStart"/>
      <w:r w:rsidRPr="00203FC0">
        <w:rPr>
          <w:lang w:val="en-AU"/>
        </w:rPr>
        <w:t>sipavibart</w:t>
      </w:r>
      <w:proofErr w:type="spellEnd"/>
      <w:r w:rsidRPr="00203FC0">
        <w:rPr>
          <w:lang w:val="en-AU"/>
        </w:rPr>
        <w:t>.</w:t>
      </w:r>
    </w:p>
    <w:p w14:paraId="193FC07D" w14:textId="025E6539" w:rsidR="003A4D59" w:rsidRPr="00203FC0" w:rsidRDefault="003A4D59" w:rsidP="003A4D59">
      <w:pPr>
        <w:pStyle w:val="Heading4Unnumbered"/>
        <w:rPr>
          <w:lang w:val="en-AU"/>
        </w:rPr>
      </w:pPr>
      <w:r w:rsidRPr="00203FC0">
        <w:rPr>
          <w:lang w:val="en-AU"/>
        </w:rPr>
        <w:t>Immunocompromised condition</w:t>
      </w:r>
      <w:r w:rsidR="002B1200" w:rsidRPr="00203FC0">
        <w:rPr>
          <w:lang w:val="en-AU"/>
        </w:rPr>
        <w:fldChar w:fldCharType="begin"/>
      </w:r>
      <w:r w:rsidR="002B1200" w:rsidRPr="00203FC0">
        <w:rPr>
          <w:lang w:val="en-AU"/>
        </w:rPr>
        <w:instrText xml:space="preserve"> DOCVARIABLE vault_nd_753bb6b7-0239-4ee9-8946-ada1e79bcbfd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3DC835DB" w14:textId="6835A124" w:rsidR="003A4D59" w:rsidRPr="00203FC0" w:rsidRDefault="003A4D59" w:rsidP="003A4D59">
      <w:pPr>
        <w:pStyle w:val="Paragraph"/>
        <w:rPr>
          <w:lang w:val="en-AU"/>
        </w:rPr>
      </w:pPr>
      <w:r w:rsidRPr="00203FC0">
        <w:rPr>
          <w:lang w:val="en-AU"/>
        </w:rPr>
        <w:t xml:space="preserve">No apparent difference in serum </w:t>
      </w:r>
      <w:proofErr w:type="spellStart"/>
      <w:r w:rsidRPr="00203FC0">
        <w:rPr>
          <w:lang w:val="en-AU"/>
        </w:rPr>
        <w:t>sipavibart</w:t>
      </w:r>
      <w:proofErr w:type="spellEnd"/>
      <w:r w:rsidRPr="00203FC0">
        <w:rPr>
          <w:lang w:val="en-AU"/>
        </w:rPr>
        <w:t xml:space="preserve"> exposures was observed in individuals with (n=</w:t>
      </w:r>
      <w:r w:rsidR="002A5B58" w:rsidRPr="00203FC0">
        <w:rPr>
          <w:lang w:val="en-AU"/>
        </w:rPr>
        <w:t>591</w:t>
      </w:r>
      <w:r w:rsidRPr="00203FC0">
        <w:rPr>
          <w:lang w:val="en-AU"/>
        </w:rPr>
        <w:t>) or without (n=</w:t>
      </w:r>
      <w:r w:rsidR="002A5B58" w:rsidRPr="00203FC0">
        <w:rPr>
          <w:lang w:val="en-AU"/>
        </w:rPr>
        <w:t>390</w:t>
      </w:r>
      <w:r w:rsidRPr="00203FC0">
        <w:rPr>
          <w:lang w:val="en-AU"/>
        </w:rPr>
        <w:t>) immunocompromised conditions</w:t>
      </w:r>
      <w:r w:rsidR="00197371" w:rsidRPr="00203FC0">
        <w:rPr>
          <w:lang w:val="en-AU"/>
        </w:rPr>
        <w:t xml:space="preserve"> following the same dose and route of administration.</w:t>
      </w:r>
    </w:p>
    <w:p w14:paraId="44C6E01C" w14:textId="7A5DEA4F" w:rsidR="003A4D59" w:rsidRPr="00203FC0" w:rsidRDefault="003A4D59" w:rsidP="003A4D59">
      <w:pPr>
        <w:pStyle w:val="Heading4Unnumbered"/>
        <w:rPr>
          <w:lang w:val="en-AU"/>
        </w:rPr>
      </w:pPr>
      <w:r w:rsidRPr="00203FC0">
        <w:rPr>
          <w:lang w:val="en-AU"/>
        </w:rPr>
        <w:t>Elderly patients</w:t>
      </w:r>
      <w:r w:rsidR="002B1200" w:rsidRPr="00203FC0">
        <w:rPr>
          <w:lang w:val="en-AU"/>
        </w:rPr>
        <w:fldChar w:fldCharType="begin"/>
      </w:r>
      <w:r w:rsidR="002B1200" w:rsidRPr="00203FC0">
        <w:rPr>
          <w:lang w:val="en-AU"/>
        </w:rPr>
        <w:instrText xml:space="preserve"> DOCVARIABLE vault_nd_3403f97b-279f-4997-b235-c22cc89d0246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1C906BF0" w14:textId="0EC875F7" w:rsidR="003A4D59" w:rsidRPr="00203FC0" w:rsidRDefault="003A4D59" w:rsidP="003A4D59">
      <w:pPr>
        <w:pStyle w:val="Paragraph"/>
        <w:rPr>
          <w:lang w:val="en-AU"/>
        </w:rPr>
      </w:pPr>
      <w:r w:rsidRPr="00203FC0">
        <w:rPr>
          <w:lang w:val="en-AU"/>
        </w:rPr>
        <w:t xml:space="preserve">Exposure to </w:t>
      </w:r>
      <w:proofErr w:type="spellStart"/>
      <w:r w:rsidRPr="00203FC0">
        <w:rPr>
          <w:lang w:val="en-AU"/>
        </w:rPr>
        <w:t>sipavibart</w:t>
      </w:r>
      <w:proofErr w:type="spellEnd"/>
      <w:r w:rsidRPr="00203FC0">
        <w:rPr>
          <w:lang w:val="en-AU"/>
        </w:rPr>
        <w:t xml:space="preserve"> in </w:t>
      </w:r>
      <w:r w:rsidR="002F641C" w:rsidRPr="00203FC0">
        <w:rPr>
          <w:lang w:val="en-AU"/>
        </w:rPr>
        <w:t xml:space="preserve">older adults </w:t>
      </w:r>
      <w:r w:rsidRPr="00203FC0">
        <w:rPr>
          <w:lang w:val="en-AU"/>
        </w:rPr>
        <w:t>≥65 years</w:t>
      </w:r>
      <w:r w:rsidR="002F641C" w:rsidRPr="00203FC0">
        <w:rPr>
          <w:lang w:val="en-AU"/>
        </w:rPr>
        <w:t xml:space="preserve"> of age</w:t>
      </w:r>
      <w:r w:rsidRPr="00203FC0">
        <w:rPr>
          <w:lang w:val="en-AU"/>
        </w:rPr>
        <w:t xml:space="preserve"> </w:t>
      </w:r>
      <w:r w:rsidR="002F641C" w:rsidRPr="00203FC0">
        <w:rPr>
          <w:lang w:val="en-AU"/>
        </w:rPr>
        <w:t>(</w:t>
      </w:r>
      <w:r w:rsidRPr="00203FC0">
        <w:rPr>
          <w:lang w:val="en-AU"/>
        </w:rPr>
        <w:t>n=</w:t>
      </w:r>
      <w:r w:rsidR="002F641C" w:rsidRPr="00203FC0">
        <w:rPr>
          <w:lang w:val="en-AU"/>
        </w:rPr>
        <w:t>217</w:t>
      </w:r>
      <w:r w:rsidRPr="00203FC0">
        <w:rPr>
          <w:lang w:val="en-AU"/>
        </w:rPr>
        <w:t>) was comparable to that in younger adults</w:t>
      </w:r>
      <w:r w:rsidR="002F641C" w:rsidRPr="00203FC0">
        <w:rPr>
          <w:lang w:val="en-AU"/>
        </w:rPr>
        <w:t xml:space="preserve"> 18 to &lt;65 years of age (n</w:t>
      </w:r>
      <w:r w:rsidRPr="00203FC0">
        <w:rPr>
          <w:lang w:val="en-AU"/>
        </w:rPr>
        <w:t>=</w:t>
      </w:r>
      <w:r w:rsidR="002F641C" w:rsidRPr="00203FC0">
        <w:rPr>
          <w:lang w:val="en-AU"/>
        </w:rPr>
        <w:t>323</w:t>
      </w:r>
      <w:r w:rsidRPr="00203FC0">
        <w:rPr>
          <w:lang w:val="en-AU"/>
        </w:rPr>
        <w:t>).</w:t>
      </w:r>
    </w:p>
    <w:p w14:paraId="6B89A0E4" w14:textId="0AA91370" w:rsidR="003A4D59" w:rsidRPr="00203FC0" w:rsidRDefault="003A4D59" w:rsidP="003A4D59">
      <w:pPr>
        <w:pStyle w:val="Heading4Unnumbered"/>
        <w:rPr>
          <w:lang w:val="en-AU"/>
        </w:rPr>
      </w:pPr>
      <w:r w:rsidRPr="00203FC0">
        <w:rPr>
          <w:lang w:val="en-AU"/>
        </w:rPr>
        <w:t>Paediatric population</w:t>
      </w:r>
      <w:r w:rsidR="002B1200" w:rsidRPr="00203FC0">
        <w:rPr>
          <w:lang w:val="en-AU"/>
        </w:rPr>
        <w:fldChar w:fldCharType="begin"/>
      </w:r>
      <w:r w:rsidR="002B1200" w:rsidRPr="00203FC0">
        <w:rPr>
          <w:lang w:val="en-AU"/>
        </w:rPr>
        <w:instrText xml:space="preserve"> DOCVARIABLE vault_nd_d55beeb1-dc1f-45d2-ba6c-ab181ec0bacd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608E5F74" w14:textId="77777777" w:rsidR="003A4D59" w:rsidRPr="00203FC0" w:rsidRDefault="003A4D59" w:rsidP="003A4D59">
      <w:pPr>
        <w:pStyle w:val="Paragraph"/>
        <w:rPr>
          <w:lang w:val="en-AU"/>
        </w:rPr>
      </w:pPr>
      <w:r w:rsidRPr="00203FC0">
        <w:rPr>
          <w:lang w:val="en-AU"/>
        </w:rPr>
        <w:t xml:space="preserve">The recommended dosing regimen is expected to result in comparable serum exposures of </w:t>
      </w:r>
      <w:proofErr w:type="spellStart"/>
      <w:r w:rsidRPr="00203FC0">
        <w:rPr>
          <w:lang w:val="en-AU"/>
        </w:rPr>
        <w:t>sipavibart</w:t>
      </w:r>
      <w:proofErr w:type="spellEnd"/>
      <w:r w:rsidRPr="00203FC0">
        <w:rPr>
          <w:lang w:val="en-AU"/>
        </w:rPr>
        <w:t xml:space="preserve"> in adolescents aged 12 years or older who weigh at least 40 kg as observed in adults, since adults with similar body weight have been included in the clinical studies with </w:t>
      </w:r>
      <w:proofErr w:type="spellStart"/>
      <w:r w:rsidRPr="00203FC0">
        <w:rPr>
          <w:lang w:val="en-AU"/>
        </w:rPr>
        <w:t>sipavibart</w:t>
      </w:r>
      <w:proofErr w:type="spellEnd"/>
      <w:r w:rsidRPr="00203FC0">
        <w:rPr>
          <w:lang w:val="en-AU"/>
        </w:rPr>
        <w:t>.</w:t>
      </w:r>
    </w:p>
    <w:p w14:paraId="50F0DAC7" w14:textId="62A19832" w:rsidR="003A4D59" w:rsidRPr="00203FC0" w:rsidRDefault="004A3E19" w:rsidP="0046643D">
      <w:pPr>
        <w:pStyle w:val="Paragraph"/>
        <w:spacing w:before="240" w:after="0"/>
        <w:rPr>
          <w:b/>
          <w:bCs/>
          <w:i/>
          <w:iCs/>
          <w:lang w:val="en-AU"/>
        </w:rPr>
      </w:pPr>
      <w:r w:rsidRPr="00203FC0">
        <w:rPr>
          <w:b/>
          <w:bCs/>
          <w:i/>
          <w:iCs/>
          <w:lang w:val="en-AU"/>
        </w:rPr>
        <w:t xml:space="preserve">Other special </w:t>
      </w:r>
      <w:r w:rsidR="003214CB" w:rsidRPr="00203FC0">
        <w:rPr>
          <w:b/>
          <w:bCs/>
          <w:i/>
          <w:iCs/>
          <w:lang w:val="en-AU"/>
        </w:rPr>
        <w:t>populations</w:t>
      </w:r>
    </w:p>
    <w:p w14:paraId="1D068320" w14:textId="28813821" w:rsidR="003214CB" w:rsidRPr="00203FC0" w:rsidRDefault="0046643D" w:rsidP="0046643D">
      <w:pPr>
        <w:pStyle w:val="Paragraph"/>
        <w:spacing w:before="240" w:after="0"/>
        <w:rPr>
          <w:lang w:val="en-AU"/>
        </w:rPr>
      </w:pPr>
      <w:r w:rsidRPr="00203FC0">
        <w:rPr>
          <w:lang w:val="en-AU"/>
        </w:rPr>
        <w:t xml:space="preserve">There were no clinically meaningful differences in serum exposures to </w:t>
      </w:r>
      <w:proofErr w:type="spellStart"/>
      <w:r w:rsidRPr="00203FC0">
        <w:rPr>
          <w:lang w:val="en-AU"/>
        </w:rPr>
        <w:t>sipavibart</w:t>
      </w:r>
      <w:proofErr w:type="spellEnd"/>
      <w:r w:rsidRPr="00203FC0">
        <w:rPr>
          <w:lang w:val="en-AU"/>
        </w:rPr>
        <w:t xml:space="preserve"> based on sex, age, race, or ethnicity.</w:t>
      </w:r>
    </w:p>
    <w:p w14:paraId="2B2B78E9" w14:textId="77777777" w:rsidR="0046643D" w:rsidRPr="00203FC0" w:rsidRDefault="0046643D" w:rsidP="0046643D">
      <w:pPr>
        <w:pStyle w:val="Paragraph"/>
        <w:spacing w:before="240" w:after="0"/>
        <w:rPr>
          <w:lang w:val="en-AU"/>
        </w:rPr>
      </w:pPr>
    </w:p>
    <w:p w14:paraId="4305E4E0" w14:textId="79F20D50" w:rsidR="001A3992" w:rsidRPr="00687CB6" w:rsidRDefault="001A3992" w:rsidP="00EE3AC8">
      <w:pPr>
        <w:pStyle w:val="Heading2"/>
        <w:rPr>
          <w:lang w:val="en-AU"/>
        </w:rPr>
      </w:pPr>
      <w:r w:rsidRPr="00687CB6">
        <w:rPr>
          <w:lang w:val="en-AU"/>
        </w:rPr>
        <w:t>Preclinical safety data</w:t>
      </w:r>
      <w:r w:rsidR="002B1200" w:rsidRPr="00687CB6">
        <w:rPr>
          <w:lang w:val="en-AU"/>
        </w:rPr>
        <w:fldChar w:fldCharType="begin"/>
      </w:r>
      <w:r w:rsidR="002B1200" w:rsidRPr="00687CB6">
        <w:rPr>
          <w:lang w:val="en-AU"/>
        </w:rPr>
        <w:instrText xml:space="preserve"> DOCVARIABLE VAULT_ND_cd3807fe-7369-45a4-a11f-69e630f47478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0E4A0DD2" w14:textId="13246BF5" w:rsidR="001A3992" w:rsidRPr="00203FC0" w:rsidRDefault="001A3992" w:rsidP="0026491B">
      <w:pPr>
        <w:pStyle w:val="Heading3Unnumbered"/>
        <w:rPr>
          <w:lang w:val="en-AU"/>
        </w:rPr>
      </w:pPr>
      <w:r w:rsidRPr="00203FC0">
        <w:rPr>
          <w:lang w:val="en-AU"/>
        </w:rPr>
        <w:t>Genotoxicity</w:t>
      </w:r>
      <w:r w:rsidR="002B1200" w:rsidRPr="00203FC0">
        <w:rPr>
          <w:lang w:val="en-AU"/>
        </w:rPr>
        <w:fldChar w:fldCharType="begin"/>
      </w:r>
      <w:r w:rsidR="002B1200" w:rsidRPr="00203FC0">
        <w:rPr>
          <w:lang w:val="en-AU"/>
        </w:rPr>
        <w:instrText xml:space="preserve"> DOCVARIABLE vault_nd_7e97ca32-902a-4edb-af43-6e71deb54813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4A00D7CD" w14:textId="77777777" w:rsidR="007403BD" w:rsidRPr="00203FC0" w:rsidRDefault="003A4D59" w:rsidP="00C04825">
      <w:pPr>
        <w:pStyle w:val="Paragraph"/>
        <w:rPr>
          <w:rFonts w:eastAsiaTheme="minorHAnsi"/>
          <w:lang w:val="en-AU"/>
        </w:rPr>
      </w:pPr>
      <w:r w:rsidRPr="00203FC0">
        <w:rPr>
          <w:rFonts w:eastAsiaTheme="minorHAnsi"/>
          <w:lang w:val="en-AU"/>
        </w:rPr>
        <w:t xml:space="preserve">No genotoxicity studies have been conducted with </w:t>
      </w:r>
      <w:proofErr w:type="spellStart"/>
      <w:r w:rsidRPr="00203FC0">
        <w:rPr>
          <w:rFonts w:eastAsiaTheme="minorHAnsi"/>
          <w:lang w:val="en-AU"/>
        </w:rPr>
        <w:t>sipavibart</w:t>
      </w:r>
      <w:proofErr w:type="spellEnd"/>
      <w:r w:rsidRPr="00203FC0">
        <w:rPr>
          <w:rFonts w:eastAsiaTheme="minorHAnsi"/>
          <w:lang w:val="en-AU"/>
        </w:rPr>
        <w:t>.</w:t>
      </w:r>
    </w:p>
    <w:p w14:paraId="1D63BB40" w14:textId="69920A2C" w:rsidR="001A3992" w:rsidRPr="00203FC0" w:rsidRDefault="001A3992" w:rsidP="0026491B">
      <w:pPr>
        <w:pStyle w:val="Heading3Unnumbered"/>
        <w:rPr>
          <w:lang w:val="en-AU"/>
        </w:rPr>
      </w:pPr>
      <w:r w:rsidRPr="00203FC0">
        <w:rPr>
          <w:lang w:val="en-AU"/>
        </w:rPr>
        <w:t>Carcinogenicity</w:t>
      </w:r>
      <w:r w:rsidR="002B1200" w:rsidRPr="00203FC0">
        <w:rPr>
          <w:lang w:val="en-AU"/>
        </w:rPr>
        <w:fldChar w:fldCharType="begin"/>
      </w:r>
      <w:r w:rsidR="002B1200" w:rsidRPr="00203FC0">
        <w:rPr>
          <w:lang w:val="en-AU"/>
        </w:rPr>
        <w:instrText xml:space="preserve"> DOCVARIABLE vault_nd_1744cbaa-8e58-419c-b532-3c347d6b5ec3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16134FAF" w14:textId="77777777" w:rsidR="007403BD" w:rsidRPr="00203FC0" w:rsidRDefault="003A4D59" w:rsidP="00C04825">
      <w:pPr>
        <w:pStyle w:val="Paragraph"/>
        <w:rPr>
          <w:rFonts w:eastAsiaTheme="minorHAnsi"/>
          <w:lang w:val="en-AU"/>
        </w:rPr>
      </w:pPr>
      <w:r w:rsidRPr="00203FC0">
        <w:rPr>
          <w:rFonts w:eastAsiaTheme="minorHAnsi"/>
          <w:lang w:val="en-AU"/>
        </w:rPr>
        <w:t xml:space="preserve">No carcinogenicity studies have been conducted with </w:t>
      </w:r>
      <w:proofErr w:type="spellStart"/>
      <w:r w:rsidRPr="00203FC0">
        <w:rPr>
          <w:rFonts w:eastAsiaTheme="minorHAnsi"/>
          <w:lang w:val="en-AU"/>
        </w:rPr>
        <w:t>sipavibart</w:t>
      </w:r>
      <w:proofErr w:type="spellEnd"/>
      <w:r w:rsidRPr="00203FC0">
        <w:rPr>
          <w:rFonts w:eastAsiaTheme="minorHAnsi"/>
          <w:lang w:val="en-AU"/>
        </w:rPr>
        <w:t xml:space="preserve">. </w:t>
      </w:r>
    </w:p>
    <w:p w14:paraId="7DE4A059" w14:textId="79DEAAF1" w:rsidR="001A3992" w:rsidRPr="00687CB6" w:rsidRDefault="001A3992" w:rsidP="00EE3AC8">
      <w:pPr>
        <w:pStyle w:val="Heading1"/>
        <w:rPr>
          <w:lang w:val="en-AU"/>
        </w:rPr>
      </w:pPr>
      <w:r w:rsidRPr="00687CB6">
        <w:rPr>
          <w:lang w:val="en-AU"/>
        </w:rPr>
        <w:t>Pharmaceutical particulars</w:t>
      </w:r>
      <w:r w:rsidR="002B1200" w:rsidRPr="00687CB6">
        <w:rPr>
          <w:lang w:val="en-AU"/>
        </w:rPr>
        <w:fldChar w:fldCharType="begin"/>
      </w:r>
      <w:r w:rsidR="002B1200" w:rsidRPr="00687CB6">
        <w:rPr>
          <w:lang w:val="en-AU"/>
        </w:rPr>
        <w:instrText xml:space="preserve"> DOCVARIABLE VAULT_ND_6b79194d-54e7-49c6-a0a1-5c47b5ae7b5a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46E863E1" w14:textId="3E040619" w:rsidR="001A3992" w:rsidRPr="00687CB6" w:rsidRDefault="001A3992" w:rsidP="00EE3AC8">
      <w:pPr>
        <w:pStyle w:val="Heading2"/>
        <w:rPr>
          <w:lang w:val="en-AU"/>
        </w:rPr>
      </w:pPr>
      <w:bookmarkStart w:id="17" w:name="_Ref505768678"/>
      <w:r w:rsidRPr="00687CB6">
        <w:rPr>
          <w:lang w:val="en-AU"/>
        </w:rPr>
        <w:t>List of exci</w:t>
      </w:r>
      <w:r w:rsidR="00795D99" w:rsidRPr="00687CB6">
        <w:rPr>
          <w:lang w:val="en-AU"/>
        </w:rPr>
        <w:t>pients</w:t>
      </w:r>
      <w:bookmarkEnd w:id="17"/>
      <w:r w:rsidRPr="00687CB6">
        <w:rPr>
          <w:lang w:val="en-AU"/>
        </w:rPr>
        <w:fldChar w:fldCharType="begin"/>
      </w:r>
      <w:r w:rsidRPr="00687CB6">
        <w:rPr>
          <w:lang w:val="en-AU"/>
        </w:rPr>
        <w:instrText xml:space="preserve"> DOCVARIABLE VAULT_ND_0b9bbf77-45e0-4acc-a55f-dd4c290d9774 \* MERGEFORMAT </w:instrText>
      </w:r>
      <w:r w:rsidRPr="00687CB6">
        <w:rPr>
          <w:lang w:val="en-AU"/>
        </w:rPr>
        <w:fldChar w:fldCharType="separate"/>
      </w:r>
      <w:r w:rsidR="002B1200" w:rsidRPr="00687CB6">
        <w:rPr>
          <w:lang w:val="en-AU"/>
        </w:rPr>
        <w:t xml:space="preserve"> </w:t>
      </w:r>
      <w:r w:rsidRPr="00687CB6">
        <w:rPr>
          <w:lang w:val="en-AU"/>
        </w:rPr>
        <w:fldChar w:fldCharType="end"/>
      </w:r>
    </w:p>
    <w:p w14:paraId="3589C8BE" w14:textId="6BFE196F" w:rsidR="007A2548" w:rsidRPr="00203FC0" w:rsidRDefault="00EE5E70" w:rsidP="00A31E76">
      <w:pPr>
        <w:spacing w:after="0"/>
      </w:pPr>
      <w:proofErr w:type="spellStart"/>
      <w:r w:rsidRPr="00203FC0">
        <w:t>KAVIGALE</w:t>
      </w:r>
      <w:proofErr w:type="spellEnd"/>
      <w:r w:rsidRPr="00203FC0">
        <w:t xml:space="preserve"> solution for injection/infusion contains the excipients</w:t>
      </w:r>
      <w:r w:rsidR="00A31E76" w:rsidRPr="00203FC0">
        <w:t xml:space="preserve"> h</w:t>
      </w:r>
      <w:r w:rsidR="005679DE" w:rsidRPr="00203FC0">
        <w:t>istidine</w:t>
      </w:r>
      <w:r w:rsidR="00A31E76" w:rsidRPr="00203FC0">
        <w:t>, h</w:t>
      </w:r>
      <w:r w:rsidR="005679DE" w:rsidRPr="00203FC0">
        <w:t>istidine hydrochloride monohydrate</w:t>
      </w:r>
      <w:r w:rsidR="00A31E76" w:rsidRPr="00203FC0">
        <w:t>, a</w:t>
      </w:r>
      <w:r w:rsidR="005679DE" w:rsidRPr="00203FC0">
        <w:t>rginine hydrochloride</w:t>
      </w:r>
      <w:r w:rsidR="00A31E76" w:rsidRPr="00203FC0">
        <w:t>, p</w:t>
      </w:r>
      <w:r w:rsidR="005679DE" w:rsidRPr="00203FC0">
        <w:t>olysorbate 80</w:t>
      </w:r>
      <w:r w:rsidR="00A31E76" w:rsidRPr="00203FC0">
        <w:t xml:space="preserve"> and w</w:t>
      </w:r>
      <w:r w:rsidR="005679DE" w:rsidRPr="00203FC0">
        <w:t>ater for injection</w:t>
      </w:r>
      <w:r w:rsidR="00A75DB4" w:rsidRPr="00203FC0">
        <w:t>s</w:t>
      </w:r>
      <w:r w:rsidR="00A31E76" w:rsidRPr="00203FC0">
        <w:t>.</w:t>
      </w:r>
    </w:p>
    <w:p w14:paraId="01E6F4DF" w14:textId="31EFB5EB" w:rsidR="001A3992" w:rsidRPr="00687CB6" w:rsidRDefault="001A3992" w:rsidP="00EE3AC8">
      <w:pPr>
        <w:pStyle w:val="Heading2"/>
        <w:rPr>
          <w:lang w:val="en-AU"/>
        </w:rPr>
      </w:pPr>
      <w:r w:rsidRPr="00687CB6">
        <w:rPr>
          <w:lang w:val="en-AU"/>
        </w:rPr>
        <w:t>Incompatib</w:t>
      </w:r>
      <w:r w:rsidR="00795D99" w:rsidRPr="00687CB6">
        <w:rPr>
          <w:lang w:val="en-AU"/>
        </w:rPr>
        <w:t>ilities</w:t>
      </w:r>
      <w:r w:rsidR="002B1200" w:rsidRPr="00687CB6">
        <w:rPr>
          <w:lang w:val="en-AU"/>
        </w:rPr>
        <w:fldChar w:fldCharType="begin"/>
      </w:r>
      <w:r w:rsidR="002B1200" w:rsidRPr="00687CB6">
        <w:rPr>
          <w:lang w:val="en-AU"/>
        </w:rPr>
        <w:instrText xml:space="preserve"> DOCVARIABLE VAULT_ND_7046d6eb-6972-4f98-b52e-0baeb538867a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144CCC4E" w14:textId="77777777" w:rsidR="007A2548" w:rsidRPr="00203FC0" w:rsidRDefault="00CB4CC7" w:rsidP="007A2548">
      <w:pPr>
        <w:pStyle w:val="Paragraph"/>
        <w:rPr>
          <w:lang w:val="en-AU"/>
        </w:rPr>
      </w:pPr>
      <w:r w:rsidRPr="00203FC0">
        <w:rPr>
          <w:lang w:val="en-AU"/>
        </w:rPr>
        <w:t>In the absence of compatibility studies, this medicinal product should not be mixed with other medicinal products.</w:t>
      </w:r>
    </w:p>
    <w:p w14:paraId="6BFAD0B2" w14:textId="44AA1C97" w:rsidR="007F1D59" w:rsidRPr="00687CB6" w:rsidRDefault="001A3992" w:rsidP="007F1D59">
      <w:pPr>
        <w:pStyle w:val="Heading2"/>
        <w:rPr>
          <w:lang w:val="en-AU"/>
        </w:rPr>
      </w:pPr>
      <w:r w:rsidRPr="00687CB6">
        <w:rPr>
          <w:lang w:val="en-AU"/>
        </w:rPr>
        <w:lastRenderedPageBreak/>
        <w:t>Shelf life</w:t>
      </w:r>
      <w:r w:rsidR="002B1200" w:rsidRPr="00687CB6">
        <w:rPr>
          <w:lang w:val="en-AU"/>
        </w:rPr>
        <w:fldChar w:fldCharType="begin"/>
      </w:r>
      <w:r w:rsidR="002B1200" w:rsidRPr="00687CB6">
        <w:rPr>
          <w:lang w:val="en-AU"/>
        </w:rPr>
        <w:instrText xml:space="preserve"> DOCVARIABLE VAULT_ND_dfcf37e6-808d-44e0-91e0-9b973f1965ea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321CF670" w14:textId="1DC4DEF6" w:rsidR="007A2548" w:rsidRPr="00203FC0" w:rsidRDefault="007F1D59" w:rsidP="00246C48">
      <w:pPr>
        <w:pStyle w:val="Paragraph"/>
        <w:rPr>
          <w:rFonts w:eastAsiaTheme="minorHAnsi"/>
          <w:lang w:val="en-AU"/>
        </w:rPr>
      </w:pPr>
      <w:r w:rsidRPr="00203FC0">
        <w:rPr>
          <w:rFonts w:eastAsiaTheme="minorHAnsi"/>
          <w:lang w:val="en-AU"/>
        </w:rPr>
        <w:t>In Australia, information on the shelf life can be found on the public summary of the Australian Register of Therapeutic Goods (</w:t>
      </w:r>
      <w:proofErr w:type="spellStart"/>
      <w:r w:rsidRPr="00203FC0">
        <w:rPr>
          <w:rFonts w:eastAsiaTheme="minorHAnsi"/>
          <w:lang w:val="en-AU"/>
        </w:rPr>
        <w:t>ARTG</w:t>
      </w:r>
      <w:proofErr w:type="spellEnd"/>
      <w:r w:rsidRPr="00203FC0">
        <w:rPr>
          <w:rFonts w:eastAsiaTheme="minorHAnsi"/>
          <w:lang w:val="en-AU"/>
        </w:rPr>
        <w:t>). The expiry date can be found on the packaging.</w:t>
      </w:r>
    </w:p>
    <w:p w14:paraId="1C26F55D" w14:textId="47AF845A" w:rsidR="001A3992" w:rsidRPr="00687CB6" w:rsidRDefault="00795D99" w:rsidP="00795D99">
      <w:pPr>
        <w:pStyle w:val="Heading2"/>
        <w:rPr>
          <w:lang w:val="en-AU"/>
        </w:rPr>
      </w:pPr>
      <w:r w:rsidRPr="00687CB6">
        <w:rPr>
          <w:lang w:val="en-AU"/>
        </w:rPr>
        <w:t>Special precautions for storage</w:t>
      </w:r>
      <w:r w:rsidR="002B1200" w:rsidRPr="00687CB6">
        <w:rPr>
          <w:lang w:val="en-AU"/>
        </w:rPr>
        <w:fldChar w:fldCharType="begin"/>
      </w:r>
      <w:r w:rsidR="002B1200" w:rsidRPr="00687CB6">
        <w:rPr>
          <w:lang w:val="en-AU"/>
        </w:rPr>
        <w:instrText xml:space="preserve"> DOCVARIABLE VAULT_ND_65a18c79-8c30-4652-8c69-4306672b0208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1D9FBFFD" w14:textId="24AA4861" w:rsidR="007F1D59" w:rsidRPr="00203FC0" w:rsidRDefault="007F1D59" w:rsidP="007F1D59">
      <w:pPr>
        <w:pStyle w:val="Paragraph"/>
        <w:rPr>
          <w:rFonts w:eastAsiaTheme="minorHAnsi"/>
          <w:lang w:val="en-AU"/>
        </w:rPr>
      </w:pPr>
      <w:r w:rsidRPr="00203FC0">
        <w:rPr>
          <w:rFonts w:eastAsiaTheme="minorHAnsi"/>
          <w:lang w:val="en-AU"/>
        </w:rPr>
        <w:t>Store in a refrigerator (</w:t>
      </w:r>
      <w:proofErr w:type="spellStart"/>
      <w:r w:rsidRPr="00203FC0">
        <w:rPr>
          <w:rFonts w:eastAsiaTheme="minorHAnsi"/>
          <w:lang w:val="en-AU"/>
        </w:rPr>
        <w:t>2°C</w:t>
      </w:r>
      <w:proofErr w:type="spellEnd"/>
      <w:r w:rsidRPr="00203FC0">
        <w:rPr>
          <w:rFonts w:eastAsiaTheme="minorHAnsi"/>
          <w:lang w:val="en-AU"/>
        </w:rPr>
        <w:t xml:space="preserve"> to </w:t>
      </w:r>
      <w:proofErr w:type="spellStart"/>
      <w:r w:rsidRPr="00203FC0">
        <w:rPr>
          <w:rFonts w:eastAsiaTheme="minorHAnsi"/>
          <w:lang w:val="en-AU"/>
        </w:rPr>
        <w:t>8°C</w:t>
      </w:r>
      <w:proofErr w:type="spellEnd"/>
      <w:r w:rsidRPr="00203FC0">
        <w:rPr>
          <w:rFonts w:eastAsiaTheme="minorHAnsi"/>
          <w:lang w:val="en-AU"/>
        </w:rPr>
        <w:t>).</w:t>
      </w:r>
    </w:p>
    <w:p w14:paraId="1495002A" w14:textId="77777777" w:rsidR="007F1D59" w:rsidRPr="00203FC0" w:rsidRDefault="007F1D59" w:rsidP="007F1D59">
      <w:pPr>
        <w:pStyle w:val="Paragraph"/>
        <w:rPr>
          <w:rFonts w:eastAsiaTheme="minorHAnsi"/>
          <w:lang w:val="en-AU"/>
        </w:rPr>
      </w:pPr>
      <w:r w:rsidRPr="00203FC0">
        <w:rPr>
          <w:rFonts w:eastAsiaTheme="minorHAnsi"/>
          <w:lang w:val="en-AU"/>
        </w:rPr>
        <w:t>Do not freeze. Do not shake.</w:t>
      </w:r>
    </w:p>
    <w:p w14:paraId="470CB502" w14:textId="7FF2D827" w:rsidR="0001037D" w:rsidRPr="00203FC0" w:rsidRDefault="0001037D" w:rsidP="0001037D">
      <w:pPr>
        <w:pStyle w:val="Heading3Unnumbered"/>
        <w:rPr>
          <w:lang w:val="en-AU"/>
        </w:rPr>
      </w:pPr>
      <w:r w:rsidRPr="00203FC0">
        <w:rPr>
          <w:lang w:val="en-AU"/>
        </w:rPr>
        <w:t>Storage of prepared syringes and prepared infusion bags</w:t>
      </w:r>
      <w:r w:rsidRPr="00203FC0">
        <w:rPr>
          <w:lang w:val="en-AU"/>
        </w:rPr>
        <w:fldChar w:fldCharType="begin"/>
      </w:r>
      <w:r w:rsidRPr="00203FC0">
        <w:rPr>
          <w:lang w:val="en-AU"/>
        </w:rPr>
        <w:instrText xml:space="preserve"> DOCVARIABLE vault_nd_8ba4c276-03ca-417b-9dae-5f55a6ee4600 \* MERGEFORMAT </w:instrText>
      </w:r>
      <w:r w:rsidRPr="00203FC0">
        <w:rPr>
          <w:lang w:val="en-AU"/>
        </w:rPr>
        <w:fldChar w:fldCharType="separate"/>
      </w:r>
      <w:r w:rsidRPr="00203FC0">
        <w:rPr>
          <w:lang w:val="en-AU"/>
        </w:rPr>
        <w:t xml:space="preserve"> </w:t>
      </w:r>
      <w:r w:rsidRPr="00203FC0">
        <w:rPr>
          <w:lang w:val="en-AU"/>
        </w:rPr>
        <w:fldChar w:fldCharType="end"/>
      </w:r>
    </w:p>
    <w:p w14:paraId="4D88DD86" w14:textId="77777777" w:rsidR="0001037D" w:rsidRPr="00203FC0" w:rsidRDefault="0001037D" w:rsidP="0001037D">
      <w:pPr>
        <w:pStyle w:val="Paragraph"/>
        <w:rPr>
          <w:lang w:val="en-AU"/>
        </w:rPr>
      </w:pPr>
      <w:r w:rsidRPr="00203FC0">
        <w:rPr>
          <w:lang w:val="en-AU"/>
        </w:rPr>
        <w:t>The solution for injection/infusion does not contain a preservative and therefore, the prepared syringe or prepared infusion bag should be administered immediately. If immediate administration is not possible, and the syringe or infusion bag needs to be stored, the total time from vial puncture to administration should not exceed either:</w:t>
      </w:r>
    </w:p>
    <w:p w14:paraId="16A748AE" w14:textId="77777777" w:rsidR="0001037D" w:rsidRPr="00203FC0" w:rsidRDefault="0001037D" w:rsidP="0001037D">
      <w:pPr>
        <w:pStyle w:val="Paragraph"/>
        <w:numPr>
          <w:ilvl w:val="0"/>
          <w:numId w:val="15"/>
        </w:numPr>
        <w:rPr>
          <w:rFonts w:eastAsiaTheme="minorHAnsi"/>
          <w:lang w:val="en-AU"/>
        </w:rPr>
      </w:pPr>
      <w:r w:rsidRPr="00203FC0">
        <w:rPr>
          <w:rFonts w:eastAsiaTheme="minorHAnsi"/>
          <w:lang w:val="en-AU"/>
        </w:rPr>
        <w:t xml:space="preserve">24 hours in a refrigerator at </w:t>
      </w:r>
      <w:proofErr w:type="spellStart"/>
      <w:r w:rsidRPr="00203FC0">
        <w:rPr>
          <w:rFonts w:eastAsiaTheme="minorHAnsi"/>
          <w:lang w:val="en-AU"/>
        </w:rPr>
        <w:t>2ºC</w:t>
      </w:r>
      <w:proofErr w:type="spellEnd"/>
      <w:r w:rsidRPr="00203FC0">
        <w:rPr>
          <w:rFonts w:eastAsiaTheme="minorHAnsi"/>
          <w:lang w:val="en-AU"/>
        </w:rPr>
        <w:t xml:space="preserve"> to </w:t>
      </w:r>
      <w:proofErr w:type="spellStart"/>
      <w:r w:rsidRPr="00203FC0">
        <w:rPr>
          <w:rFonts w:eastAsiaTheme="minorHAnsi"/>
          <w:lang w:val="en-AU"/>
        </w:rPr>
        <w:t>8ºC</w:t>
      </w:r>
      <w:proofErr w:type="spellEnd"/>
    </w:p>
    <w:p w14:paraId="1EC357D1" w14:textId="33A76FE1" w:rsidR="0001037D" w:rsidRPr="00203FC0" w:rsidRDefault="0001037D" w:rsidP="007F1D59">
      <w:pPr>
        <w:pStyle w:val="Paragraph"/>
        <w:numPr>
          <w:ilvl w:val="0"/>
          <w:numId w:val="15"/>
        </w:numPr>
        <w:rPr>
          <w:rFonts w:eastAsiaTheme="minorHAnsi"/>
          <w:lang w:val="en-AU"/>
        </w:rPr>
      </w:pPr>
      <w:r w:rsidRPr="00203FC0">
        <w:rPr>
          <w:rFonts w:eastAsiaTheme="minorHAnsi"/>
          <w:lang w:val="en-AU"/>
        </w:rPr>
        <w:t xml:space="preserve">4 hours at room temperature up to </w:t>
      </w:r>
      <w:proofErr w:type="spellStart"/>
      <w:r w:rsidRPr="00203FC0">
        <w:rPr>
          <w:rFonts w:eastAsiaTheme="minorHAnsi"/>
          <w:lang w:val="en-AU"/>
        </w:rPr>
        <w:t>25ºC</w:t>
      </w:r>
      <w:proofErr w:type="spellEnd"/>
    </w:p>
    <w:p w14:paraId="33340807" w14:textId="1250E9BC" w:rsidR="007F1D59" w:rsidRPr="00203FC0" w:rsidRDefault="007F1D59" w:rsidP="00F93A95">
      <w:pPr>
        <w:pStyle w:val="Paragraph"/>
        <w:rPr>
          <w:rFonts w:eastAsiaTheme="minorHAnsi"/>
          <w:lang w:val="en-AU"/>
        </w:rPr>
      </w:pPr>
      <w:r w:rsidRPr="00203FC0">
        <w:rPr>
          <w:rFonts w:eastAsiaTheme="minorHAnsi"/>
          <w:lang w:val="en-AU"/>
        </w:rPr>
        <w:t>Keep the vial in the original carton to protect from light.</w:t>
      </w:r>
      <w:r w:rsidR="00EE25D4" w:rsidRPr="00203FC0">
        <w:rPr>
          <w:rFonts w:eastAsiaTheme="minorHAnsi"/>
          <w:lang w:val="en-AU"/>
        </w:rPr>
        <w:t xml:space="preserve"> </w:t>
      </w:r>
      <w:r w:rsidR="00F93A95" w:rsidRPr="00203FC0">
        <w:rPr>
          <w:rFonts w:eastAsiaTheme="minorHAnsi"/>
          <w:lang w:val="en-AU"/>
        </w:rPr>
        <w:t xml:space="preserve">Product is for single use in one patient only. Discard any residue after </w:t>
      </w:r>
      <w:r w:rsidR="00E20EE9" w:rsidRPr="00203FC0">
        <w:rPr>
          <w:rFonts w:eastAsiaTheme="minorHAnsi"/>
          <w:lang w:val="en-AU"/>
        </w:rPr>
        <w:t>preparation.</w:t>
      </w:r>
    </w:p>
    <w:p w14:paraId="6E24B3EE" w14:textId="7FF020ED" w:rsidR="001A3992" w:rsidRPr="00687CB6" w:rsidRDefault="001A3992" w:rsidP="00EE3AC8">
      <w:pPr>
        <w:pStyle w:val="Heading2"/>
        <w:rPr>
          <w:lang w:val="en-AU"/>
        </w:rPr>
      </w:pPr>
      <w:r w:rsidRPr="00687CB6">
        <w:rPr>
          <w:lang w:val="en-AU"/>
        </w:rPr>
        <w:t>N</w:t>
      </w:r>
      <w:r w:rsidR="00795D99" w:rsidRPr="00687CB6">
        <w:rPr>
          <w:lang w:val="en-AU"/>
        </w:rPr>
        <w:t>ature and contents of container</w:t>
      </w:r>
      <w:r w:rsidR="002B1200" w:rsidRPr="00687CB6">
        <w:rPr>
          <w:lang w:val="en-AU"/>
        </w:rPr>
        <w:fldChar w:fldCharType="begin"/>
      </w:r>
      <w:r w:rsidR="002B1200" w:rsidRPr="00687CB6">
        <w:rPr>
          <w:lang w:val="en-AU"/>
        </w:rPr>
        <w:instrText xml:space="preserve"> DOCVARIABLE VAULT_ND_ecf59ffb-ec13-4212-b698-8104aef27793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1117A4EE" w14:textId="397BDEE2" w:rsidR="00155F7D" w:rsidRPr="00203FC0" w:rsidRDefault="00155F7D" w:rsidP="00155F7D">
      <w:pPr>
        <w:rPr>
          <w:rFonts w:eastAsiaTheme="minorHAnsi"/>
        </w:rPr>
      </w:pPr>
      <w:r w:rsidRPr="00203FC0">
        <w:rPr>
          <w:rFonts w:eastAsiaTheme="minorHAnsi"/>
        </w:rPr>
        <w:t xml:space="preserve">2 mL of solution for injection/infusion in a clear glass vial closed by a </w:t>
      </w:r>
      <w:proofErr w:type="spellStart"/>
      <w:r w:rsidRPr="00203FC0">
        <w:rPr>
          <w:rFonts w:eastAsiaTheme="minorHAnsi"/>
        </w:rPr>
        <w:t>chlorobutyl</w:t>
      </w:r>
      <w:proofErr w:type="spellEnd"/>
      <w:r w:rsidRPr="00203FC0">
        <w:rPr>
          <w:rFonts w:eastAsiaTheme="minorHAnsi"/>
        </w:rPr>
        <w:t xml:space="preserve"> elastomeric stopper sealed with a light green aluminium flip-off top.</w:t>
      </w:r>
    </w:p>
    <w:p w14:paraId="531EEE7D" w14:textId="4EA43585" w:rsidR="00155F7D" w:rsidRPr="00203FC0" w:rsidRDefault="00F85BDB" w:rsidP="00155F7D">
      <w:pPr>
        <w:spacing w:after="200"/>
        <w:rPr>
          <w:rFonts w:eastAsiaTheme="minorHAnsi"/>
        </w:rPr>
      </w:pPr>
      <w:r w:rsidRPr="00203FC0">
        <w:rPr>
          <w:rFonts w:eastAsiaTheme="minorHAnsi"/>
        </w:rPr>
        <w:t>Each p</w:t>
      </w:r>
      <w:r w:rsidR="00155F7D" w:rsidRPr="00203FC0">
        <w:rPr>
          <w:rFonts w:eastAsiaTheme="minorHAnsi"/>
        </w:rPr>
        <w:t>ack</w:t>
      </w:r>
      <w:r w:rsidRPr="00203FC0">
        <w:rPr>
          <w:rFonts w:eastAsiaTheme="minorHAnsi"/>
        </w:rPr>
        <w:t xml:space="preserve"> contains </w:t>
      </w:r>
      <w:r w:rsidR="00155F7D" w:rsidRPr="00203FC0">
        <w:rPr>
          <w:rFonts w:eastAsiaTheme="minorHAnsi"/>
        </w:rPr>
        <w:t>1 vial.</w:t>
      </w:r>
    </w:p>
    <w:p w14:paraId="64B01BCE" w14:textId="4EAE57B7" w:rsidR="001A3992" w:rsidRPr="00687CB6" w:rsidRDefault="001A3992" w:rsidP="00EE3AC8">
      <w:pPr>
        <w:pStyle w:val="Heading2"/>
        <w:rPr>
          <w:lang w:val="en-AU"/>
        </w:rPr>
      </w:pPr>
      <w:r w:rsidRPr="00687CB6">
        <w:rPr>
          <w:lang w:val="en-AU"/>
        </w:rPr>
        <w:t>S</w:t>
      </w:r>
      <w:r w:rsidR="00795D99" w:rsidRPr="00687CB6">
        <w:rPr>
          <w:lang w:val="en-AU"/>
        </w:rPr>
        <w:t>pecial precautions for disposal</w:t>
      </w:r>
      <w:r w:rsidR="002B1200" w:rsidRPr="00687CB6">
        <w:rPr>
          <w:lang w:val="en-AU"/>
        </w:rPr>
        <w:fldChar w:fldCharType="begin"/>
      </w:r>
      <w:r w:rsidR="002B1200" w:rsidRPr="00687CB6">
        <w:rPr>
          <w:lang w:val="en-AU"/>
        </w:rPr>
        <w:instrText xml:space="preserve"> DOCVARIABLE VAULT_ND_7bb87f82-e2de-4520-af9f-5f8cb2f936af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5327AB57" w14:textId="77777777" w:rsidR="006A727B" w:rsidRPr="00203FC0" w:rsidRDefault="007706C9" w:rsidP="007706C9">
      <w:pPr>
        <w:pStyle w:val="Paragraph"/>
        <w:rPr>
          <w:lang w:val="en-AU"/>
        </w:rPr>
      </w:pPr>
      <w:r w:rsidRPr="00203FC0">
        <w:rPr>
          <w:lang w:val="en-AU"/>
        </w:rPr>
        <w:t>In Australia, any unused medicine or waste material should be disposed of in accordance with local requirements.</w:t>
      </w:r>
    </w:p>
    <w:p w14:paraId="33E50BF6" w14:textId="7BFE5E53" w:rsidR="001A3992" w:rsidRPr="00687CB6" w:rsidRDefault="001A3992" w:rsidP="00EE3AC8">
      <w:pPr>
        <w:pStyle w:val="Heading2"/>
        <w:rPr>
          <w:lang w:val="en-AU"/>
        </w:rPr>
      </w:pPr>
      <w:r w:rsidRPr="00687CB6">
        <w:rPr>
          <w:lang w:val="en-AU"/>
        </w:rPr>
        <w:t>Physicochemical properties</w:t>
      </w:r>
      <w:r w:rsidR="002B1200" w:rsidRPr="00687CB6">
        <w:rPr>
          <w:lang w:val="en-AU"/>
        </w:rPr>
        <w:fldChar w:fldCharType="begin"/>
      </w:r>
      <w:r w:rsidR="002B1200" w:rsidRPr="00687CB6">
        <w:rPr>
          <w:lang w:val="en-AU"/>
        </w:rPr>
        <w:instrText xml:space="preserve"> DOCVARIABLE VAULT_ND_75af3f54-9a4d-473a-91c3-a85745cc1d2a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7508B0A9" w14:textId="13E62E87" w:rsidR="00062AE5" w:rsidRPr="00203FC0" w:rsidRDefault="00062AE5" w:rsidP="00062AE5">
      <w:pPr>
        <w:pStyle w:val="Heading3Unnumbered"/>
        <w:rPr>
          <w:lang w:val="en-AU"/>
        </w:rPr>
      </w:pPr>
      <w:r w:rsidRPr="00203FC0">
        <w:rPr>
          <w:lang w:val="en-AU"/>
        </w:rPr>
        <w:t>Chemical structure</w:t>
      </w:r>
      <w:r w:rsidR="002B1200" w:rsidRPr="00203FC0">
        <w:rPr>
          <w:lang w:val="en-AU"/>
        </w:rPr>
        <w:fldChar w:fldCharType="begin"/>
      </w:r>
      <w:r w:rsidR="002B1200" w:rsidRPr="00203FC0">
        <w:rPr>
          <w:lang w:val="en-AU"/>
        </w:rPr>
        <w:instrText xml:space="preserve"> DOCVARIABLE vault_nd_20e3d30c-d0a7-4826-9da7-904139276ddb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696E2A7E" w14:textId="452384B3" w:rsidR="004C7F1B" w:rsidRPr="00203FC0" w:rsidRDefault="005F0942" w:rsidP="005F0942">
      <w:pPr>
        <w:rPr>
          <w:rFonts w:eastAsiaTheme="minorHAnsi"/>
        </w:rPr>
      </w:pPr>
      <w:r w:rsidRPr="00203FC0">
        <w:rPr>
          <w:rFonts w:eastAsiaTheme="minorHAnsi"/>
        </w:rPr>
        <w:t>Sipavibart is a human immunoglobulin (</w:t>
      </w:r>
      <w:proofErr w:type="spellStart"/>
      <w:r w:rsidRPr="00203FC0">
        <w:rPr>
          <w:rFonts w:eastAsiaTheme="minorHAnsi"/>
        </w:rPr>
        <w:t>IgG1</w:t>
      </w:r>
      <w:proofErr w:type="spellEnd"/>
      <w:r w:rsidRPr="00203FC0">
        <w:rPr>
          <w:rFonts w:eastAsiaTheme="minorHAnsi"/>
        </w:rPr>
        <w:t>) monoclonal antibody produced in Chinese hamster ovary (CHO) cells by recombinant DNA technology.</w:t>
      </w:r>
    </w:p>
    <w:p w14:paraId="42612194" w14:textId="2D537766" w:rsidR="00062AE5" w:rsidRPr="00203FC0" w:rsidRDefault="001A3992" w:rsidP="00062AE5">
      <w:pPr>
        <w:pStyle w:val="Heading3Unnumbered"/>
        <w:rPr>
          <w:lang w:val="en-AU"/>
        </w:rPr>
      </w:pPr>
      <w:r w:rsidRPr="00203FC0">
        <w:rPr>
          <w:lang w:val="en-AU"/>
        </w:rPr>
        <w:t>CAS number</w:t>
      </w:r>
      <w:r w:rsidR="002B1200" w:rsidRPr="00203FC0">
        <w:rPr>
          <w:lang w:val="en-AU"/>
        </w:rPr>
        <w:fldChar w:fldCharType="begin"/>
      </w:r>
      <w:r w:rsidR="002B1200" w:rsidRPr="00203FC0">
        <w:rPr>
          <w:lang w:val="en-AU"/>
        </w:rPr>
        <w:instrText xml:space="preserve"> DOCVARIABLE vault_nd_778585d3-096a-40c9-bda2-206e8322b7da \* MERGEFORMAT </w:instrText>
      </w:r>
      <w:r w:rsidR="002B1200" w:rsidRPr="00203FC0">
        <w:rPr>
          <w:lang w:val="en-AU"/>
        </w:rPr>
        <w:fldChar w:fldCharType="separate"/>
      </w:r>
      <w:r w:rsidR="002B1200" w:rsidRPr="00203FC0">
        <w:rPr>
          <w:lang w:val="en-AU"/>
        </w:rPr>
        <w:t xml:space="preserve"> </w:t>
      </w:r>
      <w:r w:rsidR="002B1200" w:rsidRPr="00203FC0">
        <w:rPr>
          <w:lang w:val="en-AU"/>
        </w:rPr>
        <w:fldChar w:fldCharType="end"/>
      </w:r>
    </w:p>
    <w:p w14:paraId="235203A2" w14:textId="77777777" w:rsidR="006A727B" w:rsidRPr="00203FC0" w:rsidRDefault="005F0942" w:rsidP="005F0942">
      <w:pPr>
        <w:pStyle w:val="Paragraph"/>
        <w:rPr>
          <w:rFonts w:eastAsiaTheme="minorHAnsi"/>
          <w:lang w:val="en-AU"/>
        </w:rPr>
      </w:pPr>
      <w:r w:rsidRPr="00203FC0">
        <w:rPr>
          <w:rFonts w:eastAsiaTheme="minorHAnsi"/>
          <w:lang w:val="en-AU"/>
        </w:rPr>
        <w:t>2768288-97-5</w:t>
      </w:r>
    </w:p>
    <w:p w14:paraId="1C6221AA" w14:textId="6DCD4CFA" w:rsidR="001A3992" w:rsidRPr="00687CB6" w:rsidRDefault="001A3992" w:rsidP="00EE3AC8">
      <w:pPr>
        <w:pStyle w:val="Heading1"/>
        <w:rPr>
          <w:lang w:val="en-AU"/>
        </w:rPr>
      </w:pPr>
      <w:r w:rsidRPr="00687CB6">
        <w:rPr>
          <w:lang w:val="en-AU"/>
        </w:rPr>
        <w:t>Medicine schedule (Poisons Standard)</w:t>
      </w:r>
      <w:r w:rsidR="002B1200" w:rsidRPr="00687CB6">
        <w:rPr>
          <w:lang w:val="en-AU"/>
        </w:rPr>
        <w:fldChar w:fldCharType="begin"/>
      </w:r>
      <w:r w:rsidR="002B1200" w:rsidRPr="00687CB6">
        <w:rPr>
          <w:lang w:val="en-AU"/>
        </w:rPr>
        <w:instrText xml:space="preserve"> DOCVARIABLE VAULT_ND_2e14e737-7d51-4486-a26a-c81c5767b008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7BB238FE" w14:textId="77777777" w:rsidR="0041004D" w:rsidRPr="00203FC0" w:rsidRDefault="0041004D" w:rsidP="002D3489">
      <w:pPr>
        <w:pStyle w:val="Paragraph"/>
        <w:rPr>
          <w:lang w:val="en-AU"/>
        </w:rPr>
      </w:pPr>
      <w:r w:rsidRPr="00203FC0">
        <w:rPr>
          <w:lang w:val="en-AU"/>
        </w:rPr>
        <w:t>Prescription only medicine (Schedule 4)</w:t>
      </w:r>
      <w:r w:rsidR="005F0942" w:rsidRPr="00203FC0">
        <w:rPr>
          <w:lang w:val="en-AU"/>
        </w:rPr>
        <w:t>.</w:t>
      </w:r>
    </w:p>
    <w:p w14:paraId="7F4157FD" w14:textId="16BCAA95" w:rsidR="00285173" w:rsidRPr="00687CB6" w:rsidRDefault="001A3992" w:rsidP="00EE3AC8">
      <w:pPr>
        <w:pStyle w:val="Heading1"/>
        <w:rPr>
          <w:lang w:val="en-AU"/>
        </w:rPr>
      </w:pPr>
      <w:r w:rsidRPr="00687CB6">
        <w:rPr>
          <w:lang w:val="en-AU"/>
        </w:rPr>
        <w:lastRenderedPageBreak/>
        <w:t>Sponsor</w:t>
      </w:r>
      <w:r w:rsidR="002B1200" w:rsidRPr="00687CB6">
        <w:rPr>
          <w:lang w:val="en-AU"/>
        </w:rPr>
        <w:fldChar w:fldCharType="begin"/>
      </w:r>
      <w:r w:rsidR="002B1200" w:rsidRPr="00687CB6">
        <w:rPr>
          <w:lang w:val="en-AU"/>
        </w:rPr>
        <w:instrText xml:space="preserve"> DOCVARIABLE VAULT_ND_8bf130de-0b57-49d9-83a2-c829482fcccf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08D97E86" w14:textId="77777777" w:rsidR="0041004D" w:rsidRPr="00203FC0" w:rsidRDefault="0041004D" w:rsidP="0041004D">
      <w:pPr>
        <w:pStyle w:val="Paragraph"/>
        <w:rPr>
          <w:lang w:val="en-AU"/>
        </w:rPr>
      </w:pPr>
      <w:r w:rsidRPr="00203FC0">
        <w:rPr>
          <w:lang w:val="en-AU"/>
        </w:rPr>
        <w:t>AstraZeneca Pty Ltd</w:t>
      </w:r>
      <w:r w:rsidRPr="00203FC0">
        <w:rPr>
          <w:lang w:val="en-AU"/>
        </w:rPr>
        <w:br/>
        <w:t>ABN 54 009 682 311</w:t>
      </w:r>
      <w:r w:rsidRPr="00203FC0">
        <w:rPr>
          <w:lang w:val="en-AU"/>
        </w:rPr>
        <w:br/>
        <w:t>66 Talavera Road</w:t>
      </w:r>
      <w:r w:rsidRPr="00203FC0">
        <w:rPr>
          <w:lang w:val="en-AU"/>
        </w:rPr>
        <w:br/>
        <w:t>MACQUARIE PARK NSW 2113</w:t>
      </w:r>
    </w:p>
    <w:p w14:paraId="1AD786AA" w14:textId="77777777" w:rsidR="0041004D" w:rsidRPr="00203FC0" w:rsidRDefault="0041004D" w:rsidP="0041004D">
      <w:pPr>
        <w:pStyle w:val="Paragraph"/>
        <w:rPr>
          <w:lang w:val="en-AU"/>
        </w:rPr>
      </w:pPr>
      <w:r w:rsidRPr="00203FC0">
        <w:rPr>
          <w:lang w:val="en-AU"/>
        </w:rPr>
        <w:t>Telephone: 1800 805 342</w:t>
      </w:r>
    </w:p>
    <w:p w14:paraId="5955F322" w14:textId="249BD673" w:rsidR="00285173" w:rsidRPr="00687CB6" w:rsidRDefault="00285173" w:rsidP="00EE3AC8">
      <w:pPr>
        <w:pStyle w:val="Heading1"/>
        <w:rPr>
          <w:lang w:val="en-AU"/>
        </w:rPr>
      </w:pPr>
      <w:r w:rsidRPr="00687CB6">
        <w:rPr>
          <w:lang w:val="en-AU"/>
        </w:rPr>
        <w:t xml:space="preserve">Date of first </w:t>
      </w:r>
      <w:r w:rsidR="00795D99" w:rsidRPr="00687CB6">
        <w:rPr>
          <w:lang w:val="en-AU"/>
        </w:rPr>
        <w:t>approval</w:t>
      </w:r>
      <w:r w:rsidR="002B1200" w:rsidRPr="00687CB6">
        <w:rPr>
          <w:lang w:val="en-AU"/>
        </w:rPr>
        <w:fldChar w:fldCharType="begin"/>
      </w:r>
      <w:r w:rsidR="002B1200" w:rsidRPr="00687CB6">
        <w:rPr>
          <w:lang w:val="en-AU"/>
        </w:rPr>
        <w:instrText xml:space="preserve"> DOCVARIABLE VAULT_ND_810d9e61-b508-4a69-95cf-937c9960c480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515D5537" w14:textId="631A83C2" w:rsidR="00E00336" w:rsidRPr="00203FC0" w:rsidRDefault="008C0DC7" w:rsidP="002D3489">
      <w:pPr>
        <w:pStyle w:val="Paragraph"/>
        <w:rPr>
          <w:lang w:val="en-AU"/>
        </w:rPr>
      </w:pPr>
      <w:r w:rsidRPr="00203FC0">
        <w:rPr>
          <w:lang w:val="en-AU"/>
        </w:rPr>
        <w:t>22 May 2025</w:t>
      </w:r>
    </w:p>
    <w:p w14:paraId="049AEE1C" w14:textId="4D8674AA" w:rsidR="00285173" w:rsidRPr="00687CB6" w:rsidRDefault="00285173" w:rsidP="00EE3AC8">
      <w:pPr>
        <w:pStyle w:val="Heading1"/>
        <w:rPr>
          <w:lang w:val="en-AU"/>
        </w:rPr>
      </w:pPr>
      <w:r w:rsidRPr="00687CB6">
        <w:rPr>
          <w:lang w:val="en-AU"/>
        </w:rPr>
        <w:t>Date o</w:t>
      </w:r>
      <w:r w:rsidR="00795D99" w:rsidRPr="00687CB6">
        <w:rPr>
          <w:lang w:val="en-AU"/>
        </w:rPr>
        <w:t>f revision</w:t>
      </w:r>
      <w:r w:rsidR="002B1200" w:rsidRPr="00687CB6">
        <w:rPr>
          <w:lang w:val="en-AU"/>
        </w:rPr>
        <w:fldChar w:fldCharType="begin"/>
      </w:r>
      <w:r w:rsidR="002B1200" w:rsidRPr="00687CB6">
        <w:rPr>
          <w:lang w:val="en-AU"/>
        </w:rPr>
        <w:instrText xml:space="preserve"> DOCVARIABLE VAULT_ND_4cb2208a-8527-4e4f-8eb3-12206a8350eb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p w14:paraId="46AD5474" w14:textId="4CD42840" w:rsidR="00513B1A" w:rsidRPr="00203FC0" w:rsidRDefault="007A3493" w:rsidP="00513B1A">
      <w:pPr>
        <w:pStyle w:val="Paragraph"/>
        <w:rPr>
          <w:lang w:val="en-AU"/>
        </w:rPr>
      </w:pPr>
      <w:r>
        <w:rPr>
          <w:lang w:val="en-AU"/>
        </w:rPr>
        <w:t>27 Jan 2026</w:t>
      </w:r>
    </w:p>
    <w:p w14:paraId="028DCD65" w14:textId="430757BA" w:rsidR="00285173" w:rsidRPr="00203FC0" w:rsidRDefault="00285173" w:rsidP="0026491B">
      <w:pPr>
        <w:pStyle w:val="Heading2Unnumbered"/>
        <w:rPr>
          <w:lang w:val="en-AU"/>
        </w:rPr>
      </w:pPr>
      <w:r w:rsidRPr="00687CB6">
        <w:rPr>
          <w:lang w:val="en-AU"/>
        </w:rPr>
        <w:t>Summary table of changes</w:t>
      </w:r>
      <w:r w:rsidR="002B1200" w:rsidRPr="00687CB6">
        <w:rPr>
          <w:lang w:val="en-AU"/>
        </w:rPr>
        <w:fldChar w:fldCharType="begin"/>
      </w:r>
      <w:r w:rsidR="002B1200" w:rsidRPr="00687CB6">
        <w:rPr>
          <w:lang w:val="en-AU"/>
        </w:rPr>
        <w:instrText xml:space="preserve"> DOCVARIABLE VAULT_ND_58c69b60-2405-4572-be1f-18c2e5d1b6da \* MERGEFORMAT </w:instrText>
      </w:r>
      <w:r w:rsidR="002B1200" w:rsidRPr="00687CB6">
        <w:rPr>
          <w:lang w:val="en-AU"/>
        </w:rPr>
        <w:fldChar w:fldCharType="separate"/>
      </w:r>
      <w:r w:rsidR="002B1200" w:rsidRPr="00687CB6">
        <w:rPr>
          <w:lang w:val="en-AU"/>
        </w:rPr>
        <w:t xml:space="preserve"> </w:t>
      </w:r>
      <w:r w:rsidR="002B1200" w:rsidRPr="00687CB6">
        <w:rPr>
          <w:lang w:val="en-AU"/>
        </w:rPr>
        <w:fldChar w:fldCharType="end"/>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lt;&lt;Please Add a Table Title Here&gt;&gt;"/>
      </w:tblPr>
      <w:tblGrid>
        <w:gridCol w:w="1129"/>
        <w:gridCol w:w="8509"/>
      </w:tblGrid>
      <w:tr w:rsidR="008A35FB" w:rsidRPr="00203FC0" w14:paraId="6F2B3ECC" w14:textId="77777777" w:rsidTr="008A35FB">
        <w:trPr>
          <w:cantSplit/>
          <w:tblHeader/>
        </w:trPr>
        <w:tc>
          <w:tcPr>
            <w:tcW w:w="1129" w:type="dxa"/>
          </w:tcPr>
          <w:p w14:paraId="150D5AB6" w14:textId="77777777" w:rsidR="008A35FB" w:rsidRPr="00203FC0" w:rsidRDefault="008A35FB" w:rsidP="008A35FB">
            <w:pPr>
              <w:pStyle w:val="TableHead"/>
              <w:jc w:val="left"/>
              <w:rPr>
                <w:lang w:val="en-AU"/>
              </w:rPr>
            </w:pPr>
            <w:r w:rsidRPr="00203FC0">
              <w:rPr>
                <w:lang w:val="en-AU"/>
              </w:rPr>
              <w:t>Section changed</w:t>
            </w:r>
          </w:p>
        </w:tc>
        <w:tc>
          <w:tcPr>
            <w:tcW w:w="8509" w:type="dxa"/>
          </w:tcPr>
          <w:p w14:paraId="3C5DA261" w14:textId="77777777" w:rsidR="008A35FB" w:rsidRPr="00203FC0" w:rsidRDefault="008A35FB" w:rsidP="008A35FB">
            <w:pPr>
              <w:pStyle w:val="TableHead"/>
              <w:jc w:val="left"/>
              <w:rPr>
                <w:lang w:val="en-AU"/>
              </w:rPr>
            </w:pPr>
            <w:r w:rsidRPr="00203FC0">
              <w:rPr>
                <w:lang w:val="en-AU"/>
              </w:rPr>
              <w:t>Summary of new information</w:t>
            </w:r>
          </w:p>
        </w:tc>
      </w:tr>
      <w:tr w:rsidR="001812B5" w:rsidRPr="00203FC0" w14:paraId="5D172186" w14:textId="77777777" w:rsidTr="00257099">
        <w:trPr>
          <w:cantSplit/>
        </w:trPr>
        <w:tc>
          <w:tcPr>
            <w:tcW w:w="1129" w:type="dxa"/>
          </w:tcPr>
          <w:p w14:paraId="691516F6" w14:textId="24FD698E" w:rsidR="001812B5" w:rsidRPr="00203FC0" w:rsidRDefault="00902894" w:rsidP="00257099">
            <w:pPr>
              <w:pStyle w:val="TableLeft"/>
              <w:rPr>
                <w:lang w:val="en-AU"/>
              </w:rPr>
            </w:pPr>
            <w:r w:rsidRPr="00203FC0">
              <w:rPr>
                <w:lang w:val="en-AU"/>
              </w:rPr>
              <w:t>4.4</w:t>
            </w:r>
          </w:p>
        </w:tc>
        <w:tc>
          <w:tcPr>
            <w:tcW w:w="8509" w:type="dxa"/>
          </w:tcPr>
          <w:p w14:paraId="691EC923" w14:textId="28C728FB" w:rsidR="001812B5" w:rsidRPr="00203FC0" w:rsidRDefault="00A80C36" w:rsidP="00257099">
            <w:pPr>
              <w:pStyle w:val="TableLeft"/>
              <w:rPr>
                <w:lang w:val="en-AU"/>
              </w:rPr>
            </w:pPr>
            <w:r>
              <w:rPr>
                <w:lang w:val="en-AU"/>
              </w:rPr>
              <w:t>Additional text for special warnings and precautions to include cardiovascular and/or thromboembolic events.</w:t>
            </w:r>
          </w:p>
        </w:tc>
      </w:tr>
      <w:tr w:rsidR="007D2256" w:rsidRPr="00203FC0" w14:paraId="5528EE53" w14:textId="77777777" w:rsidTr="00257099">
        <w:trPr>
          <w:cantSplit/>
        </w:trPr>
        <w:tc>
          <w:tcPr>
            <w:tcW w:w="1129" w:type="dxa"/>
          </w:tcPr>
          <w:p w14:paraId="52FF3AE4" w14:textId="2653A05A" w:rsidR="007D2256" w:rsidRPr="00203FC0" w:rsidDel="00902894" w:rsidRDefault="007D2256" w:rsidP="00257099">
            <w:pPr>
              <w:pStyle w:val="TableLeft"/>
              <w:rPr>
                <w:lang w:val="en-AU"/>
              </w:rPr>
            </w:pPr>
            <w:r w:rsidRPr="00203FC0">
              <w:rPr>
                <w:lang w:val="en-AU"/>
              </w:rPr>
              <w:t>4.8</w:t>
            </w:r>
          </w:p>
        </w:tc>
        <w:tc>
          <w:tcPr>
            <w:tcW w:w="8509" w:type="dxa"/>
          </w:tcPr>
          <w:p w14:paraId="016AE9C5" w14:textId="77777777" w:rsidR="00A80C36" w:rsidRPr="00A80C36" w:rsidRDefault="00A80C36" w:rsidP="00A80C36">
            <w:pPr>
              <w:pStyle w:val="TableLeft"/>
            </w:pPr>
            <w:r w:rsidRPr="00A80C36">
              <w:t xml:space="preserve">Updated information in Table 1 for the frequency of identified adverse reactions and further clarification of related symptoms. </w:t>
            </w:r>
          </w:p>
          <w:p w14:paraId="24831E2A" w14:textId="29A8DD3C" w:rsidR="00F36170" w:rsidRPr="00A80C36" w:rsidDel="00902894" w:rsidRDefault="00A80C36" w:rsidP="00257099">
            <w:pPr>
              <w:pStyle w:val="TableLeft"/>
            </w:pPr>
            <w:r w:rsidRPr="00A80C36">
              <w:t>A correction to the safety profile for the paediatric population to include 12-year-olds.</w:t>
            </w:r>
          </w:p>
        </w:tc>
      </w:tr>
      <w:tr w:rsidR="005A2E36" w:rsidRPr="00203FC0" w14:paraId="2AAA20C2" w14:textId="77777777" w:rsidTr="00257099">
        <w:trPr>
          <w:cantSplit/>
        </w:trPr>
        <w:tc>
          <w:tcPr>
            <w:tcW w:w="1129" w:type="dxa"/>
          </w:tcPr>
          <w:p w14:paraId="531139AC" w14:textId="21198561" w:rsidR="005A2E36" w:rsidRPr="00203FC0" w:rsidRDefault="005A2E36" w:rsidP="00257099">
            <w:pPr>
              <w:pStyle w:val="TableLeft"/>
              <w:rPr>
                <w:lang w:val="en-AU"/>
              </w:rPr>
            </w:pPr>
            <w:r w:rsidRPr="00203FC0">
              <w:rPr>
                <w:lang w:val="en-AU"/>
              </w:rPr>
              <w:t>5.1</w:t>
            </w:r>
          </w:p>
        </w:tc>
        <w:tc>
          <w:tcPr>
            <w:tcW w:w="8509" w:type="dxa"/>
          </w:tcPr>
          <w:p w14:paraId="56DE5685" w14:textId="05CD8ABD" w:rsidR="005A2E36" w:rsidRPr="00203FC0" w:rsidRDefault="00A80C36" w:rsidP="00257099">
            <w:pPr>
              <w:pStyle w:val="TableLeft"/>
              <w:rPr>
                <w:lang w:val="en-AU"/>
              </w:rPr>
            </w:pPr>
            <w:r>
              <w:rPr>
                <w:lang w:val="en-AU"/>
              </w:rPr>
              <w:t>Minor editorial updates</w:t>
            </w:r>
          </w:p>
        </w:tc>
      </w:tr>
    </w:tbl>
    <w:p w14:paraId="5B6DFB67" w14:textId="77777777" w:rsidR="00513B1A" w:rsidRPr="00203FC0" w:rsidRDefault="00513B1A" w:rsidP="00513B1A">
      <w:pPr>
        <w:pStyle w:val="Paragraph"/>
        <w:rPr>
          <w:lang w:val="en-AU"/>
        </w:rPr>
      </w:pPr>
    </w:p>
    <w:p w14:paraId="25528393" w14:textId="60225D44" w:rsidR="00513B1A" w:rsidRPr="00203FC0" w:rsidRDefault="005B06C9" w:rsidP="00513B1A">
      <w:pPr>
        <w:pStyle w:val="Paragraph"/>
        <w:rPr>
          <w:sz w:val="20"/>
          <w:szCs w:val="20"/>
          <w:lang w:val="en-AU"/>
        </w:rPr>
      </w:pPr>
      <w:proofErr w:type="spellStart"/>
      <w:r w:rsidRPr="00203FC0">
        <w:rPr>
          <w:sz w:val="20"/>
          <w:szCs w:val="20"/>
          <w:lang w:val="en-AU"/>
        </w:rPr>
        <w:t>KAVIGALE</w:t>
      </w:r>
      <w:proofErr w:type="spellEnd"/>
      <w:r w:rsidR="00513B1A" w:rsidRPr="00203FC0">
        <w:rPr>
          <w:sz w:val="20"/>
          <w:szCs w:val="20"/>
          <w:lang w:val="en-AU"/>
        </w:rPr>
        <w:t xml:space="preserve"> is a </w:t>
      </w:r>
      <w:r w:rsidR="004428D2" w:rsidRPr="00203FC0">
        <w:rPr>
          <w:sz w:val="20"/>
          <w:szCs w:val="20"/>
          <w:lang w:val="en-AU"/>
        </w:rPr>
        <w:t xml:space="preserve">registered </w:t>
      </w:r>
      <w:proofErr w:type="gramStart"/>
      <w:r w:rsidR="00513B1A" w:rsidRPr="00203FC0">
        <w:rPr>
          <w:sz w:val="20"/>
          <w:szCs w:val="20"/>
          <w:lang w:val="en-AU"/>
        </w:rPr>
        <w:t>trade mark</w:t>
      </w:r>
      <w:proofErr w:type="gramEnd"/>
      <w:r w:rsidR="00513B1A" w:rsidRPr="00203FC0">
        <w:rPr>
          <w:sz w:val="20"/>
          <w:szCs w:val="20"/>
          <w:lang w:val="en-AU"/>
        </w:rPr>
        <w:t xml:space="preserve"> of the AstraZeneca group of companies</w:t>
      </w:r>
      <w:r w:rsidR="005F1B15" w:rsidRPr="00203FC0">
        <w:rPr>
          <w:sz w:val="20"/>
          <w:szCs w:val="20"/>
          <w:lang w:val="en-AU"/>
        </w:rPr>
        <w:t>.</w:t>
      </w:r>
    </w:p>
    <w:p w14:paraId="698E5A1E" w14:textId="4EE74846" w:rsidR="00513B1A" w:rsidRPr="00203FC0" w:rsidRDefault="00513B1A" w:rsidP="00513B1A">
      <w:pPr>
        <w:pStyle w:val="Paragraph"/>
        <w:rPr>
          <w:sz w:val="20"/>
          <w:szCs w:val="20"/>
          <w:lang w:val="en-AU"/>
        </w:rPr>
      </w:pPr>
      <w:r w:rsidRPr="00203FC0">
        <w:rPr>
          <w:sz w:val="20"/>
          <w:szCs w:val="20"/>
          <w:vertAlign w:val="superscript"/>
          <w:lang w:val="en-AU"/>
        </w:rPr>
        <w:t>©</w:t>
      </w:r>
      <w:r w:rsidRPr="00203FC0">
        <w:rPr>
          <w:sz w:val="20"/>
          <w:szCs w:val="20"/>
          <w:lang w:val="en-AU"/>
        </w:rPr>
        <w:t xml:space="preserve"> AstraZeneca, </w:t>
      </w:r>
      <w:r w:rsidR="005F0942" w:rsidRPr="00203FC0">
        <w:rPr>
          <w:sz w:val="20"/>
          <w:szCs w:val="20"/>
          <w:lang w:val="en-AU"/>
        </w:rPr>
        <w:t>202</w:t>
      </w:r>
      <w:r w:rsidR="007A3493">
        <w:rPr>
          <w:sz w:val="20"/>
          <w:szCs w:val="20"/>
          <w:lang w:val="en-AU"/>
        </w:rPr>
        <w:t>6</w:t>
      </w:r>
    </w:p>
    <w:p w14:paraId="15242830" w14:textId="46065CB9" w:rsidR="008A35FB" w:rsidRPr="00203FC0" w:rsidRDefault="007A3493" w:rsidP="008C0DC7">
      <w:pPr>
        <w:pStyle w:val="Paragraph"/>
        <w:rPr>
          <w:sz w:val="20"/>
          <w:szCs w:val="20"/>
          <w:lang w:val="en-AU"/>
        </w:rPr>
      </w:pPr>
      <w:proofErr w:type="spellStart"/>
      <w:r w:rsidRPr="007A3493">
        <w:rPr>
          <w:sz w:val="20"/>
          <w:szCs w:val="20"/>
          <w:lang w:val="en-AU"/>
        </w:rPr>
        <w:t>VV</w:t>
      </w:r>
      <w:proofErr w:type="spellEnd"/>
      <w:r w:rsidRPr="007A3493">
        <w:rPr>
          <w:sz w:val="20"/>
          <w:szCs w:val="20"/>
          <w:lang w:val="en-AU"/>
        </w:rPr>
        <w:t>-RIM-08912151</w:t>
      </w:r>
      <w:r w:rsidR="008C0DC7" w:rsidRPr="00203FC0">
        <w:rPr>
          <w:sz w:val="20"/>
          <w:szCs w:val="20"/>
          <w:lang w:val="en-AU"/>
        </w:rPr>
        <w:t xml:space="preserve"> v</w:t>
      </w:r>
      <w:r>
        <w:rPr>
          <w:sz w:val="20"/>
          <w:szCs w:val="20"/>
          <w:lang w:val="en-AU"/>
        </w:rPr>
        <w:t xml:space="preserve"> 2.</w:t>
      </w:r>
      <w:r w:rsidR="008C0DC7" w:rsidRPr="00203FC0">
        <w:rPr>
          <w:sz w:val="20"/>
          <w:szCs w:val="20"/>
          <w:lang w:val="en-AU"/>
        </w:rPr>
        <w:t>0</w:t>
      </w:r>
    </w:p>
    <w:sectPr w:rsidR="008A35FB" w:rsidRPr="00203FC0" w:rsidSect="0080644B">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37622" w14:textId="77777777" w:rsidR="004703B7" w:rsidRDefault="004703B7" w:rsidP="001A3992">
      <w:pPr>
        <w:spacing w:after="0" w:line="240" w:lineRule="auto"/>
      </w:pPr>
      <w:r>
        <w:separator/>
      </w:r>
    </w:p>
  </w:endnote>
  <w:endnote w:type="continuationSeparator" w:id="0">
    <w:p w14:paraId="23C6F166" w14:textId="77777777" w:rsidR="004703B7" w:rsidRDefault="004703B7"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3" w:usb1="08070000" w:usb2="00000010" w:usb3="00000000" w:csb0="0002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C20D" w14:textId="16B3CF67" w:rsidR="00AE5620" w:rsidRDefault="00AE5620">
    <w:pPr>
      <w:pStyle w:val="Footer"/>
    </w:pPr>
    <w:r>
      <w:rPr>
        <w:noProof/>
      </w:rPr>
      <mc:AlternateContent>
        <mc:Choice Requires="wps">
          <w:drawing>
            <wp:anchor distT="0" distB="0" distL="0" distR="0" simplePos="0" relativeHeight="251662336" behindDoc="0" locked="0" layoutInCell="1" allowOverlap="1" wp14:anchorId="0B285705" wp14:editId="2A1667ED">
              <wp:simplePos x="635" y="635"/>
              <wp:positionH relativeFrom="page">
                <wp:align>center</wp:align>
              </wp:positionH>
              <wp:positionV relativeFrom="page">
                <wp:align>bottom</wp:align>
              </wp:positionV>
              <wp:extent cx="622300" cy="404495"/>
              <wp:effectExtent l="0" t="0" r="6350" b="0"/>
              <wp:wrapNone/>
              <wp:docPr id="17448859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4A49841D" w14:textId="015E3032" w:rsidR="00AE5620" w:rsidRPr="00AE5620" w:rsidRDefault="00AE5620" w:rsidP="00AE5620">
                          <w:pPr>
                            <w:spacing w:after="0"/>
                            <w:rPr>
                              <w:rFonts w:ascii="Aptos" w:eastAsia="Aptos" w:hAnsi="Aptos" w:cs="Aptos"/>
                              <w:noProof/>
                              <w:color w:val="FF0000"/>
                            </w:rPr>
                          </w:pPr>
                          <w:r w:rsidRPr="00AE562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285705"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4A49841D" w14:textId="015E3032" w:rsidR="00AE5620" w:rsidRPr="00AE5620" w:rsidRDefault="00AE5620" w:rsidP="00AE5620">
                    <w:pPr>
                      <w:spacing w:after="0"/>
                      <w:rPr>
                        <w:rFonts w:ascii="Aptos" w:eastAsia="Aptos" w:hAnsi="Aptos" w:cs="Aptos"/>
                        <w:noProof/>
                        <w:color w:val="FF0000"/>
                      </w:rPr>
                    </w:pPr>
                    <w:r w:rsidRPr="00AE562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B3A2" w14:textId="58436E2D" w:rsidR="00257099" w:rsidRDefault="00257099" w:rsidP="00C85696">
    <w:pPr>
      <w:pStyle w:val="Footer"/>
      <w:jc w:val="center"/>
    </w:pPr>
    <w:r w:rsidRPr="00136256">
      <w:fldChar w:fldCharType="begin"/>
    </w:r>
    <w:r w:rsidRPr="00136256">
      <w:instrText xml:space="preserve"> PAGE </w:instrText>
    </w:r>
    <w:r w:rsidRPr="00136256">
      <w:fldChar w:fldCharType="separate"/>
    </w:r>
    <w:r w:rsidR="008958C0">
      <w:rPr>
        <w:noProof/>
      </w:rPr>
      <w:t>1</w:t>
    </w:r>
    <w:r w:rsidRPr="00136256">
      <w:fldChar w:fldCharType="end"/>
    </w:r>
    <w:r w:rsidRPr="00136256">
      <w:t xml:space="preserve"> </w:t>
    </w:r>
    <w:r>
      <w:t xml:space="preserve">of </w:t>
    </w:r>
    <w:r>
      <w:fldChar w:fldCharType="begin"/>
    </w:r>
    <w:r>
      <w:instrText xml:space="preserve"> NUMPAGES </w:instrText>
    </w:r>
    <w:r>
      <w:fldChar w:fldCharType="separate"/>
    </w:r>
    <w:r w:rsidR="008958C0">
      <w:rPr>
        <w:noProof/>
      </w:rPr>
      <w:t>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E74C" w14:textId="7AE2DC42" w:rsidR="00AE5620" w:rsidRDefault="00AE5620">
    <w:pPr>
      <w:pStyle w:val="Footer"/>
    </w:pPr>
    <w:r>
      <w:rPr>
        <w:noProof/>
      </w:rPr>
      <mc:AlternateContent>
        <mc:Choice Requires="wps">
          <w:drawing>
            <wp:anchor distT="0" distB="0" distL="0" distR="0" simplePos="0" relativeHeight="251661312" behindDoc="0" locked="0" layoutInCell="1" allowOverlap="1" wp14:anchorId="6C28CB15" wp14:editId="1891E9DB">
              <wp:simplePos x="635" y="635"/>
              <wp:positionH relativeFrom="page">
                <wp:align>center</wp:align>
              </wp:positionH>
              <wp:positionV relativeFrom="page">
                <wp:align>bottom</wp:align>
              </wp:positionV>
              <wp:extent cx="622300" cy="404495"/>
              <wp:effectExtent l="0" t="0" r="6350" b="0"/>
              <wp:wrapNone/>
              <wp:docPr id="12707875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18B388D" w14:textId="75052B1F" w:rsidR="00AE5620" w:rsidRPr="00AE5620" w:rsidRDefault="00AE5620" w:rsidP="00AE5620">
                          <w:pPr>
                            <w:spacing w:after="0"/>
                            <w:rPr>
                              <w:rFonts w:ascii="Aptos" w:eastAsia="Aptos" w:hAnsi="Aptos" w:cs="Aptos"/>
                              <w:noProof/>
                              <w:color w:val="FF0000"/>
                            </w:rPr>
                          </w:pPr>
                          <w:r w:rsidRPr="00AE562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28CB15" id="_x0000_t202" coordsize="21600,21600" o:spt="202" path="m,l,21600r21600,l21600,xe">
              <v:stroke joinstyle="miter"/>
              <v:path gradientshapeok="t" o:connecttype="rect"/>
            </v:shapetype>
            <v:shape id="Text Box 4" o:spid="_x0000_s1030" type="#_x0000_t202" alt="OFFICIAL" style="position:absolute;margin-left:0;margin-top:0;width:49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218B388D" w14:textId="75052B1F" w:rsidR="00AE5620" w:rsidRPr="00AE5620" w:rsidRDefault="00AE5620" w:rsidP="00AE5620">
                    <w:pPr>
                      <w:spacing w:after="0"/>
                      <w:rPr>
                        <w:rFonts w:ascii="Aptos" w:eastAsia="Aptos" w:hAnsi="Aptos" w:cs="Aptos"/>
                        <w:noProof/>
                        <w:color w:val="FF0000"/>
                      </w:rPr>
                    </w:pPr>
                    <w:r w:rsidRPr="00AE562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AB3F" w14:textId="77777777" w:rsidR="004703B7" w:rsidRDefault="004703B7" w:rsidP="001A3992">
      <w:pPr>
        <w:spacing w:after="0" w:line="240" w:lineRule="auto"/>
      </w:pPr>
      <w:r>
        <w:separator/>
      </w:r>
    </w:p>
  </w:footnote>
  <w:footnote w:type="continuationSeparator" w:id="0">
    <w:p w14:paraId="5ABE8456" w14:textId="77777777" w:rsidR="004703B7" w:rsidRDefault="004703B7"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7A1E" w14:textId="5C52FC6F" w:rsidR="00AE5620" w:rsidRDefault="00AE5620">
    <w:pPr>
      <w:pStyle w:val="Header"/>
    </w:pPr>
    <w:r>
      <w:rPr>
        <w:noProof/>
      </w:rPr>
      <mc:AlternateContent>
        <mc:Choice Requires="wps">
          <w:drawing>
            <wp:anchor distT="0" distB="0" distL="0" distR="0" simplePos="0" relativeHeight="251659264" behindDoc="0" locked="0" layoutInCell="1" allowOverlap="1" wp14:anchorId="76AB0936" wp14:editId="6894B05A">
              <wp:simplePos x="635" y="635"/>
              <wp:positionH relativeFrom="page">
                <wp:align>center</wp:align>
              </wp:positionH>
              <wp:positionV relativeFrom="page">
                <wp:align>top</wp:align>
              </wp:positionV>
              <wp:extent cx="622300" cy="404495"/>
              <wp:effectExtent l="0" t="0" r="6350" b="14605"/>
              <wp:wrapNone/>
              <wp:docPr id="17959317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6AF9743" w14:textId="394AA627" w:rsidR="00AE5620" w:rsidRPr="00AE5620" w:rsidRDefault="00AE5620" w:rsidP="00AE5620">
                          <w:pPr>
                            <w:spacing w:after="0"/>
                            <w:rPr>
                              <w:rFonts w:ascii="Aptos" w:eastAsia="Aptos" w:hAnsi="Aptos" w:cs="Aptos"/>
                              <w:noProof/>
                              <w:color w:val="FF0000"/>
                            </w:rPr>
                          </w:pPr>
                          <w:r w:rsidRPr="00AE562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AB0936" id="_x0000_t202" coordsize="21600,21600" o:spt="202" path="m,l,21600r21600,l21600,xe">
              <v:stroke joinstyle="miter"/>
              <v:path gradientshapeok="t" o:connecttype="rect"/>
            </v:shapetype>
            <v:shape id="Text Box 2" o:spid="_x0000_s1027" type="#_x0000_t202" alt="OFFICIAL" style="position:absolute;margin-left:0;margin-top:0;width:49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26AF9743" w14:textId="394AA627" w:rsidR="00AE5620" w:rsidRPr="00AE5620" w:rsidRDefault="00AE5620" w:rsidP="00AE5620">
                    <w:pPr>
                      <w:spacing w:after="0"/>
                      <w:rPr>
                        <w:rFonts w:ascii="Aptos" w:eastAsia="Aptos" w:hAnsi="Aptos" w:cs="Aptos"/>
                        <w:noProof/>
                        <w:color w:val="FF0000"/>
                      </w:rPr>
                    </w:pPr>
                    <w:r w:rsidRPr="00AE562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0"/>
      <w:tblW w:w="0" w:type="auto"/>
      <w:shd w:val="clear" w:color="auto" w:fill="E4F2E0"/>
      <w:tblLook w:val="04A0" w:firstRow="1" w:lastRow="0" w:firstColumn="1" w:lastColumn="0" w:noHBand="0" w:noVBand="1"/>
    </w:tblPr>
    <w:tblGrid>
      <w:gridCol w:w="9351"/>
    </w:tblGrid>
    <w:tr w:rsidR="003874D0" w:rsidRPr="003874D0" w14:paraId="1E2CCD6F" w14:textId="77777777" w:rsidTr="003874D0">
      <w:trPr>
        <w:trHeight w:val="1012"/>
      </w:trPr>
      <w:tc>
        <w:tcPr>
          <w:tcW w:w="9351" w:type="dxa"/>
          <w:shd w:val="clear" w:color="auto" w:fill="E4F2E0"/>
        </w:tcPr>
        <w:p w14:paraId="7EC1AB1E" w14:textId="77777777" w:rsidR="003874D0" w:rsidRPr="003874D0" w:rsidRDefault="003874D0" w:rsidP="003874D0">
          <w:pPr>
            <w:tabs>
              <w:tab w:val="center" w:pos="4513"/>
              <w:tab w:val="right" w:pos="9026"/>
            </w:tabs>
            <w:spacing w:after="0"/>
            <w:rPr>
              <w:rFonts w:ascii="Cambria" w:eastAsia="Cambria" w:hAnsi="Cambria"/>
              <w:b/>
              <w:bCs/>
              <w:sz w:val="18"/>
              <w:szCs w:val="18"/>
            </w:rPr>
          </w:pPr>
          <w:bookmarkStart w:id="18" w:name="_Hlk109054010"/>
          <w:proofErr w:type="spellStart"/>
          <w:r w:rsidRPr="003874D0">
            <w:rPr>
              <w:rFonts w:ascii="Cambria" w:eastAsia="Cambria" w:hAnsi="Cambria"/>
              <w:b/>
              <w:bCs/>
              <w:sz w:val="18"/>
              <w:szCs w:val="18"/>
            </w:rPr>
            <w:t>AusPAR</w:t>
          </w:r>
          <w:proofErr w:type="spellEnd"/>
          <w:r w:rsidRPr="003874D0">
            <w:rPr>
              <w:rFonts w:ascii="Cambria" w:eastAsia="Cambria" w:hAnsi="Cambria"/>
              <w:b/>
              <w:bCs/>
              <w:sz w:val="18"/>
              <w:szCs w:val="18"/>
            </w:rPr>
            <w:t xml:space="preserve"> - </w:t>
          </w:r>
          <w:proofErr w:type="spellStart"/>
          <w:r w:rsidRPr="003874D0">
            <w:rPr>
              <w:rFonts w:ascii="Cambria" w:eastAsia="Cambria" w:hAnsi="Cambria"/>
              <w:b/>
              <w:bCs/>
              <w:sz w:val="18"/>
              <w:szCs w:val="18"/>
            </w:rPr>
            <w:t>Kavigale</w:t>
          </w:r>
          <w:proofErr w:type="spellEnd"/>
          <w:r w:rsidRPr="003874D0">
            <w:rPr>
              <w:rFonts w:ascii="Cambria" w:eastAsia="Cambria" w:hAnsi="Cambria"/>
              <w:b/>
              <w:bCs/>
              <w:sz w:val="18"/>
              <w:szCs w:val="18"/>
            </w:rPr>
            <w:t xml:space="preserve"> - Sipavibart - AstraZeneca Pty Ltd - PM-2024-03590-1-2</w:t>
          </w:r>
        </w:p>
        <w:p w14:paraId="66CE94BC" w14:textId="77777777" w:rsidR="003874D0" w:rsidRPr="003874D0" w:rsidRDefault="003874D0" w:rsidP="003874D0">
          <w:pPr>
            <w:tabs>
              <w:tab w:val="center" w:pos="4513"/>
              <w:tab w:val="right" w:pos="9026"/>
            </w:tabs>
            <w:spacing w:after="0"/>
            <w:rPr>
              <w:rFonts w:ascii="Cambria" w:eastAsia="Cambria" w:hAnsi="Cambria"/>
              <w:b/>
              <w:bCs/>
              <w:sz w:val="18"/>
              <w:szCs w:val="18"/>
            </w:rPr>
          </w:pPr>
          <w:r w:rsidRPr="003874D0">
            <w:rPr>
              <w:rFonts w:ascii="Cambria" w:eastAsia="Cambria" w:hAnsi="Cambria"/>
              <w:b/>
              <w:bCs/>
              <w:sz w:val="18"/>
              <w:szCs w:val="18"/>
            </w:rPr>
            <w:t xml:space="preserve">Date of finalisation: 7 April 2026. </w:t>
          </w:r>
          <w:r w:rsidRPr="003874D0">
            <w:rPr>
              <w:rFonts w:ascii="Cambria" w:eastAsia="Cambria" w:hAnsi="Cambria"/>
              <w:b/>
              <w:sz w:val="18"/>
              <w:szCs w:val="18"/>
            </w:rPr>
            <w:t xml:space="preserve">This is the Product Information that was approved with the submission described in this </w:t>
          </w:r>
          <w:proofErr w:type="spellStart"/>
          <w:r w:rsidRPr="003874D0">
            <w:rPr>
              <w:rFonts w:ascii="Cambria" w:eastAsia="Cambria" w:hAnsi="Cambria"/>
              <w:b/>
              <w:sz w:val="18"/>
              <w:szCs w:val="18"/>
            </w:rPr>
            <w:t>AusPAR</w:t>
          </w:r>
          <w:proofErr w:type="spellEnd"/>
          <w:r w:rsidRPr="003874D0">
            <w:rPr>
              <w:rFonts w:ascii="Cambria" w:eastAsia="Cambria" w:hAnsi="Cambria"/>
              <w:b/>
              <w:sz w:val="18"/>
              <w:szCs w:val="18"/>
            </w:rPr>
            <w:t>. It may have been superseded. For the most recent PI, please refer to the TGA website at &lt;</w:t>
          </w:r>
          <w:hyperlink r:id="rId1" w:history="1">
            <w:r w:rsidRPr="003874D0">
              <w:rPr>
                <w:rFonts w:ascii="Cambria" w:eastAsia="Cambria" w:hAnsi="Cambria"/>
                <w:color w:val="0000FF"/>
                <w:sz w:val="18"/>
                <w:szCs w:val="18"/>
                <w:u w:val="single"/>
              </w:rPr>
              <w:t>https://www.tga.gov.au/products/australian-register-therapeutic-goods-artg/product-information-pi</w:t>
            </w:r>
          </w:hyperlink>
          <w:r w:rsidRPr="003874D0">
            <w:rPr>
              <w:rFonts w:ascii="Cambria" w:eastAsia="Cambria" w:hAnsi="Cambria"/>
              <w:b/>
              <w:sz w:val="18"/>
              <w:szCs w:val="18"/>
              <w:u w:val="single"/>
            </w:rPr>
            <w:t>&gt;</w:t>
          </w:r>
        </w:p>
      </w:tc>
    </w:tr>
    <w:bookmarkEnd w:id="18"/>
  </w:tbl>
  <w:p w14:paraId="241E005E" w14:textId="1A6062F9" w:rsidR="00AE5620" w:rsidRPr="003874D0" w:rsidRDefault="00AE5620">
    <w:pPr>
      <w:pStyle w:val="Header"/>
      <w:rPr>
        <w:lang w:val="en-A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FE3C3" w14:textId="24A0E0A1" w:rsidR="00AE5620" w:rsidRDefault="00AE5620">
    <w:pPr>
      <w:pStyle w:val="Header"/>
    </w:pPr>
    <w:r>
      <w:rPr>
        <w:noProof/>
      </w:rPr>
      <mc:AlternateContent>
        <mc:Choice Requires="wps">
          <w:drawing>
            <wp:anchor distT="0" distB="0" distL="0" distR="0" simplePos="0" relativeHeight="251658240" behindDoc="0" locked="0" layoutInCell="1" allowOverlap="1" wp14:anchorId="4AD6365D" wp14:editId="7C4B733F">
              <wp:simplePos x="635" y="635"/>
              <wp:positionH relativeFrom="page">
                <wp:align>center</wp:align>
              </wp:positionH>
              <wp:positionV relativeFrom="page">
                <wp:align>top</wp:align>
              </wp:positionV>
              <wp:extent cx="622300" cy="404495"/>
              <wp:effectExtent l="0" t="0" r="6350" b="14605"/>
              <wp:wrapNone/>
              <wp:docPr id="185422732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7143DE9" w14:textId="5E980828" w:rsidR="00AE5620" w:rsidRPr="00AE5620" w:rsidRDefault="00AE5620" w:rsidP="00AE5620">
                          <w:pPr>
                            <w:spacing w:after="0"/>
                            <w:rPr>
                              <w:rFonts w:ascii="Aptos" w:eastAsia="Aptos" w:hAnsi="Aptos" w:cs="Aptos"/>
                              <w:noProof/>
                              <w:color w:val="FF0000"/>
                            </w:rPr>
                          </w:pPr>
                          <w:r w:rsidRPr="00AE562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D6365D" id="_x0000_t202" coordsize="21600,21600" o:spt="202" path="m,l,21600r21600,l21600,xe">
              <v:stroke joinstyle="miter"/>
              <v:path gradientshapeok="t" o:connecttype="rect"/>
            </v:shapetype>
            <v:shape id="_x0000_s1029"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77143DE9" w14:textId="5E980828" w:rsidR="00AE5620" w:rsidRPr="00AE5620" w:rsidRDefault="00AE5620" w:rsidP="00AE5620">
                    <w:pPr>
                      <w:spacing w:after="0"/>
                      <w:rPr>
                        <w:rFonts w:ascii="Aptos" w:eastAsia="Aptos" w:hAnsi="Aptos" w:cs="Aptos"/>
                        <w:noProof/>
                        <w:color w:val="FF0000"/>
                      </w:rPr>
                    </w:pPr>
                    <w:r w:rsidRPr="00AE5620">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D107B"/>
    <w:multiLevelType w:val="multilevel"/>
    <w:tmpl w:val="241253C8"/>
    <w:name w:val="ListBullet"/>
    <w:lvl w:ilvl="0">
      <w:start w:val="1"/>
      <w:numFmt w:val="bullet"/>
      <w:pStyle w:val="ListBullet"/>
      <w:lvlText w:val=""/>
      <w:lvlJc w:val="left"/>
      <w:pPr>
        <w:ind w:left="425" w:hanging="425"/>
      </w:pPr>
      <w:rPr>
        <w:rFonts w:ascii="Symbol" w:hAnsi="Symbol" w:hint="default"/>
        <w:b w:val="0"/>
        <w:i w:val="0"/>
        <w:caps w:val="0"/>
        <w:sz w:val="24"/>
        <w:u w:val="none"/>
        <w:vertAlign w:val="baseline"/>
      </w:rPr>
    </w:lvl>
    <w:lvl w:ilvl="1">
      <w:start w:val="1"/>
      <w:numFmt w:val="bullet"/>
      <w:pStyle w:val="ListBullet2"/>
      <w:lvlText w:val=""/>
      <w:lvlJc w:val="left"/>
      <w:pPr>
        <w:ind w:left="850" w:hanging="425"/>
      </w:pPr>
      <w:rPr>
        <w:rFonts w:ascii="Symbol" w:hAnsi="Symbol" w:hint="default"/>
        <w:color w:val="auto"/>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1" w15:restartNumberingAfterBreak="0">
    <w:nsid w:val="062556DB"/>
    <w:multiLevelType w:val="multilevel"/>
    <w:tmpl w:val="C6DA3D6A"/>
    <w:name w:val="ListNumber"/>
    <w:lvl w:ilvl="0">
      <w:start w:val="1"/>
      <w:numFmt w:val="decimal"/>
      <w:pStyle w:val="ListNumber"/>
      <w:lvlText w:val="%1"/>
      <w:lvlJc w:val="left"/>
      <w:pPr>
        <w:ind w:left="425" w:hanging="425"/>
      </w:pPr>
      <w:rPr>
        <w:rFonts w:hint="default"/>
        <w:b w:val="0"/>
        <w:i w:val="0"/>
        <w:caps w:val="0"/>
        <w:sz w:val="24"/>
        <w:u w:val="none"/>
        <w:vertAlign w:val="baseline"/>
      </w:rPr>
    </w:lvl>
    <w:lvl w:ilvl="1">
      <w:start w:val="1"/>
      <w:numFmt w:val="lowerLetter"/>
      <w:pStyle w:val="ListNumber2"/>
      <w:lvlText w:val="(%2)"/>
      <w:lvlJc w:val="left"/>
      <w:pPr>
        <w:ind w:left="850" w:hanging="425"/>
      </w:pPr>
      <w:rPr>
        <w:rFonts w:ascii="Times New Roman" w:hAnsi="Times New Roman" w:hint="default"/>
      </w:rPr>
    </w:lvl>
    <w:lvl w:ilvl="2">
      <w:start w:val="1"/>
      <w:numFmt w:val="lowerRoman"/>
      <w:pStyle w:val="ListNumber3"/>
      <w:lvlText w:val="(%3)"/>
      <w:lvlJc w:val="left"/>
      <w:pPr>
        <w:ind w:left="1275" w:hanging="425"/>
      </w:pPr>
      <w:rPr>
        <w:rFonts w:ascii="Times New Roman" w:hAnsi="Times New Roman"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 w15:restartNumberingAfterBreak="0">
    <w:nsid w:val="0B6005BE"/>
    <w:multiLevelType w:val="hybridMultilevel"/>
    <w:tmpl w:val="D38EAABA"/>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4" w15:restartNumberingAfterBreak="0">
    <w:nsid w:val="12A441C1"/>
    <w:multiLevelType w:val="singleLevel"/>
    <w:tmpl w:val="1FA422F0"/>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5" w15:restartNumberingAfterBreak="0">
    <w:nsid w:val="15AE6FEE"/>
    <w:multiLevelType w:val="multilevel"/>
    <w:tmpl w:val="01940AA0"/>
    <w:name w:val="ListBulletSmall1"/>
    <w:lvl w:ilvl="0">
      <w:start w:val="1"/>
      <w:numFmt w:val="bullet"/>
      <w:pStyle w:val="ListBulletSmall"/>
      <w:lvlText w:val="•"/>
      <w:lvlJc w:val="left"/>
      <w:pPr>
        <w:ind w:left="425" w:hanging="425"/>
      </w:pPr>
      <w:rPr>
        <w:rFonts w:ascii="Times New Roman" w:hAnsi="Times New Roman" w:cs="Times New Roman" w:hint="default"/>
        <w:b w:val="0"/>
        <w:i w:val="0"/>
        <w:caps w:val="0"/>
        <w:sz w:val="20"/>
        <w:u w:val="none"/>
        <w:vertAlign w:val="baseline"/>
      </w:rPr>
    </w:lvl>
    <w:lvl w:ilvl="1">
      <w:start w:val="1"/>
      <w:numFmt w:val="bullet"/>
      <w:pStyle w:val="ListBulletSmall2"/>
      <w:lvlText w:val=""/>
      <w:lvlJc w:val="left"/>
      <w:pPr>
        <w:ind w:left="850" w:hanging="425"/>
      </w:pPr>
      <w:rPr>
        <w:rFonts w:ascii="Symbol" w:hAnsi="Symbol" w:hint="default"/>
      </w:rPr>
    </w:lvl>
    <w:lvl w:ilvl="2">
      <w:start w:val="1"/>
      <w:numFmt w:val="none"/>
      <w:lvlText w:val=""/>
      <w:lvlJc w:val="left"/>
      <w:pPr>
        <w:ind w:left="1275" w:hanging="425"/>
      </w:pPr>
      <w:rPr>
        <w:rFonts w:hint="default"/>
      </w:rPr>
    </w:lvl>
    <w:lvl w:ilvl="3">
      <w:start w:val="1"/>
      <w:numFmt w:val="none"/>
      <w:lvlText w:val=""/>
      <w:lvlJc w:val="left"/>
      <w:pPr>
        <w:ind w:left="1700" w:hanging="425"/>
      </w:pPr>
      <w:rPr>
        <w:rFonts w:hint="default"/>
      </w:rPr>
    </w:lvl>
    <w:lvl w:ilvl="4">
      <w:start w:val="1"/>
      <w:numFmt w:val="bullet"/>
      <w:lvlText w:val="o"/>
      <w:lvlJc w:val="left"/>
      <w:pPr>
        <w:tabs>
          <w:tab w:val="num" w:pos="2060"/>
        </w:tabs>
        <w:ind w:left="2125" w:hanging="425"/>
      </w:pPr>
      <w:rPr>
        <w:rFonts w:ascii="Courier New" w:hAnsi="Courier New" w:cs="Courier New" w:hint="default"/>
      </w:rPr>
    </w:lvl>
    <w:lvl w:ilvl="5">
      <w:start w:val="1"/>
      <w:numFmt w:val="bullet"/>
      <w:lvlText w:val=""/>
      <w:lvlJc w:val="left"/>
      <w:pPr>
        <w:tabs>
          <w:tab w:val="num" w:pos="2485"/>
        </w:tabs>
        <w:ind w:left="2550" w:hanging="425"/>
      </w:pPr>
      <w:rPr>
        <w:rFonts w:ascii="Wingdings" w:hAnsi="Wingdings" w:hint="default"/>
      </w:rPr>
    </w:lvl>
    <w:lvl w:ilvl="6">
      <w:start w:val="1"/>
      <w:numFmt w:val="bullet"/>
      <w:lvlText w:val=""/>
      <w:lvlJc w:val="left"/>
      <w:pPr>
        <w:tabs>
          <w:tab w:val="num" w:pos="2910"/>
        </w:tabs>
        <w:ind w:left="2975" w:hanging="425"/>
      </w:pPr>
      <w:rPr>
        <w:rFonts w:ascii="Symbol" w:hAnsi="Symbol" w:hint="default"/>
      </w:rPr>
    </w:lvl>
    <w:lvl w:ilvl="7">
      <w:start w:val="1"/>
      <w:numFmt w:val="bullet"/>
      <w:lvlText w:val="o"/>
      <w:lvlJc w:val="left"/>
      <w:pPr>
        <w:tabs>
          <w:tab w:val="num" w:pos="3335"/>
        </w:tabs>
        <w:ind w:left="3400" w:hanging="425"/>
      </w:pPr>
      <w:rPr>
        <w:rFonts w:ascii="Courier New" w:hAnsi="Courier New" w:cs="Courier New" w:hint="default"/>
      </w:rPr>
    </w:lvl>
    <w:lvl w:ilvl="8">
      <w:start w:val="1"/>
      <w:numFmt w:val="bullet"/>
      <w:lvlText w:val=""/>
      <w:lvlJc w:val="left"/>
      <w:pPr>
        <w:tabs>
          <w:tab w:val="num" w:pos="3760"/>
        </w:tabs>
        <w:ind w:left="3825" w:hanging="425"/>
      </w:pPr>
      <w:rPr>
        <w:rFonts w:ascii="Wingdings" w:hAnsi="Wingdings" w:hint="default"/>
      </w:rPr>
    </w:lvl>
  </w:abstractNum>
  <w:abstractNum w:abstractNumId="6" w15:restartNumberingAfterBreak="0">
    <w:nsid w:val="1B7625C8"/>
    <w:multiLevelType w:val="hybridMultilevel"/>
    <w:tmpl w:val="22E402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0368E6"/>
    <w:multiLevelType w:val="hybridMultilevel"/>
    <w:tmpl w:val="491A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FE18BF"/>
    <w:multiLevelType w:val="hybridMultilevel"/>
    <w:tmpl w:val="122EB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81716E"/>
    <w:multiLevelType w:val="hybridMultilevel"/>
    <w:tmpl w:val="AF7A693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29A72716"/>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32913332"/>
    <w:multiLevelType w:val="multilevel"/>
    <w:tmpl w:val="969A274A"/>
    <w:name w:val="HousestyleHeadings"/>
    <w:lvl w:ilvl="0">
      <w:start w:val="1"/>
      <w:numFmt w:val="decimal"/>
      <w:pStyle w:val="Heading1"/>
      <w:lvlText w:val="%1"/>
      <w:lvlJc w:val="left"/>
      <w:pPr>
        <w:tabs>
          <w:tab w:val="num" w:pos="1134"/>
        </w:tabs>
        <w:ind w:left="1134" w:hanging="1134"/>
      </w:pPr>
      <w:rPr>
        <w:rFonts w:ascii="Times New Roman" w:hAnsi="Times New Roman" w:hint="default"/>
      </w:rPr>
    </w:lvl>
    <w:lvl w:ilvl="1">
      <w:start w:val="1"/>
      <w:numFmt w:val="decimal"/>
      <w:pStyle w:val="Heading2"/>
      <w:lvlText w:val="%1.%2"/>
      <w:lvlJc w:val="left"/>
      <w:pPr>
        <w:tabs>
          <w:tab w:val="num" w:pos="1418"/>
        </w:tabs>
        <w:ind w:left="1418" w:hanging="1134"/>
      </w:pPr>
      <w:rPr>
        <w:rFonts w:ascii="Times New Roman" w:hAnsi="Times New Roman" w:hint="default"/>
      </w:rPr>
    </w:lvl>
    <w:lvl w:ilvl="2">
      <w:start w:val="1"/>
      <w:numFmt w:val="decimal"/>
      <w:pStyle w:val="Heading3"/>
      <w:lvlText w:val="%1.%2.%3"/>
      <w:lvlJc w:val="left"/>
      <w:pPr>
        <w:tabs>
          <w:tab w:val="num" w:pos="1134"/>
        </w:tabs>
        <w:ind w:left="1134" w:hanging="1134"/>
      </w:pPr>
      <w:rPr>
        <w:rFonts w:ascii="Times New Roman" w:hAnsi="Times New Roman" w:hint="default"/>
      </w:rPr>
    </w:lvl>
    <w:lvl w:ilvl="3">
      <w:start w:val="1"/>
      <w:numFmt w:val="decimal"/>
      <w:pStyle w:val="Heading4"/>
      <w:lvlText w:val="%1.%2.%3.%4"/>
      <w:lvlJc w:val="left"/>
      <w:pPr>
        <w:tabs>
          <w:tab w:val="num" w:pos="1134"/>
        </w:tabs>
        <w:ind w:left="1134" w:hanging="1134"/>
      </w:pPr>
      <w:rPr>
        <w:rFonts w:ascii="Times New Roman" w:hAnsi="Times New Roman" w:hint="default"/>
      </w:rPr>
    </w:lvl>
    <w:lvl w:ilvl="4">
      <w:start w:val="1"/>
      <w:numFmt w:val="decimal"/>
      <w:pStyle w:val="Heading5"/>
      <w:lvlText w:val="%1.%2.%3.%4.%5"/>
      <w:lvlJc w:val="left"/>
      <w:pPr>
        <w:tabs>
          <w:tab w:val="num" w:pos="1134"/>
        </w:tabs>
        <w:ind w:left="1134" w:hanging="1134"/>
      </w:pPr>
      <w:rPr>
        <w:rFonts w:ascii="Times New Roman" w:hAnsi="Times New Roman" w:hint="default"/>
      </w:rPr>
    </w:lvl>
    <w:lvl w:ilvl="5">
      <w:start w:val="1"/>
      <w:numFmt w:val="decimal"/>
      <w:pStyle w:val="Heading6"/>
      <w:lvlText w:val="%1.%2.%3.%4.%5.%6"/>
      <w:lvlJc w:val="left"/>
      <w:pPr>
        <w:tabs>
          <w:tab w:val="num" w:pos="1134"/>
        </w:tabs>
        <w:ind w:left="1134" w:hanging="1134"/>
      </w:pPr>
      <w:rPr>
        <w:rFonts w:ascii="Times New Roman" w:hAnsi="Times New Roman" w:hint="default"/>
      </w:rPr>
    </w:lvl>
    <w:lvl w:ilvl="6">
      <w:start w:val="1"/>
      <w:numFmt w:val="decimal"/>
      <w:pStyle w:val="Heading7"/>
      <w:lvlText w:val="%1.%2.%3.%4.%5.%6.%7"/>
      <w:lvlJc w:val="left"/>
      <w:pPr>
        <w:tabs>
          <w:tab w:val="num" w:pos="1134"/>
        </w:tabs>
        <w:ind w:left="1134" w:hanging="1134"/>
      </w:pPr>
      <w:rPr>
        <w:rFonts w:ascii="Times New Roman" w:hAnsi="Times New Roman" w:hint="default"/>
      </w:rPr>
    </w:lvl>
    <w:lvl w:ilvl="7">
      <w:start w:val="1"/>
      <w:numFmt w:val="decimal"/>
      <w:pStyle w:val="Heading8"/>
      <w:lvlText w:val="%1.%2.%3.%4.%5.%6.%7.%8"/>
      <w:lvlJc w:val="left"/>
      <w:pPr>
        <w:tabs>
          <w:tab w:val="num" w:pos="1134"/>
        </w:tabs>
        <w:ind w:left="1134" w:hanging="1134"/>
      </w:pPr>
      <w:rPr>
        <w:rFonts w:ascii="Times New Roman" w:hAnsi="Times New Roman"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38710440"/>
    <w:multiLevelType w:val="hybridMultilevel"/>
    <w:tmpl w:val="E4448A4E"/>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A9E7E4D"/>
    <w:multiLevelType w:val="multilevel"/>
    <w:tmpl w:val="3C1EDB96"/>
    <w:name w:val="Appendix Alpha"/>
    <w:lvl w:ilvl="0">
      <w:start w:val="1"/>
      <w:numFmt w:val="upperLetter"/>
      <w:pStyle w:val="AppendixAlpha"/>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pStyle w:val="AppendixAlphaSub1"/>
      <w:lvlText w:val="%1 %2"/>
      <w:lvlJc w:val="left"/>
      <w:pPr>
        <w:tabs>
          <w:tab w:val="num" w:pos="1134"/>
        </w:tabs>
        <w:ind w:left="1134" w:hanging="1134"/>
      </w:pPr>
      <w:rPr>
        <w:rFonts w:ascii="Times New Roman Bold" w:hAnsi="Times New Roman Bold" w:hint="default"/>
        <w:b/>
        <w:i w:val="0"/>
        <w:sz w:val="26"/>
      </w:rPr>
    </w:lvl>
    <w:lvl w:ilvl="2">
      <w:start w:val="1"/>
      <w:numFmt w:val="decimal"/>
      <w:pStyle w:val="AppendixAlphaSub2"/>
      <w:lvlText w:val="%1 %2.%3"/>
      <w:lvlJc w:val="left"/>
      <w:pPr>
        <w:tabs>
          <w:tab w:val="num" w:pos="1134"/>
        </w:tabs>
        <w:ind w:left="1134" w:hanging="1134"/>
      </w:pPr>
      <w:rPr>
        <w:rFonts w:ascii="Times New Roman Bold" w:hAnsi="Times New Roman Bold" w:hint="default"/>
        <w:b/>
        <w:i w:val="0"/>
        <w:sz w:val="24"/>
      </w:rPr>
    </w:lvl>
    <w:lvl w:ilvl="3">
      <w:start w:val="1"/>
      <w:numFmt w:val="decimal"/>
      <w:pStyle w:val="AppendixAlphaSub3"/>
      <w:lvlText w:val="%1 %2.%3.%4"/>
      <w:lvlJc w:val="left"/>
      <w:pPr>
        <w:tabs>
          <w:tab w:val="num" w:pos="1134"/>
        </w:tabs>
        <w:ind w:left="1134" w:hanging="1134"/>
      </w:pPr>
      <w:rPr>
        <w:rFonts w:ascii="Times New Roman Bold" w:hAnsi="Times New Roman Bold" w:hint="default"/>
        <w:b/>
        <w:i w:val="0"/>
        <w:sz w:val="24"/>
      </w:rPr>
    </w:lvl>
    <w:lvl w:ilvl="4">
      <w:start w:val="1"/>
      <w:numFmt w:val="decimal"/>
      <w:pStyle w:val="AppendixAlphaSub4"/>
      <w:lvlText w:val="%1 %2.%3.%4.%5"/>
      <w:lvlJc w:val="left"/>
      <w:pPr>
        <w:tabs>
          <w:tab w:val="num" w:pos="1134"/>
        </w:tabs>
        <w:ind w:left="1134" w:hanging="1134"/>
      </w:pPr>
      <w:rPr>
        <w:rFonts w:ascii="Times New Roman Bold" w:hAnsi="Times New Roman Bold" w:hint="default"/>
        <w:b/>
        <w:i/>
        <w:sz w:val="24"/>
      </w:rPr>
    </w:lvl>
    <w:lvl w:ilvl="5">
      <w:start w:val="1"/>
      <w:numFmt w:val="none"/>
      <w:lvlText w:val=""/>
      <w:lvlJc w:val="left"/>
      <w:pPr>
        <w:tabs>
          <w:tab w:val="num" w:pos="1985"/>
        </w:tabs>
        <w:ind w:left="992" w:hanging="992"/>
      </w:pPr>
      <w:rPr>
        <w:rFonts w:hint="default"/>
      </w:rPr>
    </w:lvl>
    <w:lvl w:ilvl="6">
      <w:start w:val="1"/>
      <w:numFmt w:val="none"/>
      <w:lvlText w:val=""/>
      <w:lvlJc w:val="left"/>
      <w:pPr>
        <w:tabs>
          <w:tab w:val="num" w:pos="1985"/>
        </w:tabs>
        <w:ind w:left="992" w:hanging="992"/>
      </w:pPr>
      <w:rPr>
        <w:rFonts w:hint="default"/>
      </w:rPr>
    </w:lvl>
    <w:lvl w:ilvl="7">
      <w:start w:val="1"/>
      <w:numFmt w:val="none"/>
      <w:lvlText w:val=""/>
      <w:lvlJc w:val="left"/>
      <w:pPr>
        <w:tabs>
          <w:tab w:val="num" w:pos="1985"/>
        </w:tabs>
        <w:ind w:left="992" w:hanging="992"/>
      </w:pPr>
      <w:rPr>
        <w:rFonts w:hint="default"/>
      </w:rPr>
    </w:lvl>
    <w:lvl w:ilvl="8">
      <w:start w:val="1"/>
      <w:numFmt w:val="none"/>
      <w:lvlText w:val=""/>
      <w:lvlJc w:val="left"/>
      <w:pPr>
        <w:tabs>
          <w:tab w:val="num" w:pos="1985"/>
        </w:tabs>
        <w:ind w:left="992" w:hanging="992"/>
      </w:pPr>
      <w:rPr>
        <w:rFonts w:hint="default"/>
      </w:rPr>
    </w:lvl>
  </w:abstractNum>
  <w:abstractNum w:abstractNumId="14" w15:restartNumberingAfterBreak="0">
    <w:nsid w:val="47E3142E"/>
    <w:multiLevelType w:val="singleLevel"/>
    <w:tmpl w:val="9900FDDE"/>
    <w:lvl w:ilvl="0">
      <w:start w:val="1"/>
      <w:numFmt w:val="decimal"/>
      <w:pStyle w:val="References"/>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5" w15:restartNumberingAfterBreak="0">
    <w:nsid w:val="556F4F4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C07539"/>
    <w:multiLevelType w:val="hybridMultilevel"/>
    <w:tmpl w:val="279282C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2BE70C3"/>
    <w:multiLevelType w:val="multilevel"/>
    <w:tmpl w:val="AD763C14"/>
    <w:name w:val="AppendixNum"/>
    <w:lvl w:ilvl="0">
      <w:start w:val="1"/>
      <w:numFmt w:val="decimal"/>
      <w:pStyle w:val="AppendixNumeric"/>
      <w:lvlText w:val="Appendix %1"/>
      <w:lvlJc w:val="left"/>
      <w:pPr>
        <w:tabs>
          <w:tab w:val="num" w:pos="1701"/>
        </w:tabs>
        <w:ind w:left="1701" w:hanging="1701"/>
      </w:pPr>
      <w:rPr>
        <w:rFonts w:ascii="Times New Roman Bold" w:hAnsi="Times New Roman Bold" w:cs="Times New Roman" w:hint="default"/>
        <w:b/>
        <w:i w:val="0"/>
        <w:caps w:val="0"/>
        <w:sz w:val="28"/>
        <w:u w:val="none"/>
        <w:vertAlign w:val="baseline"/>
      </w:rPr>
    </w:lvl>
    <w:lvl w:ilvl="1">
      <w:start w:val="1"/>
      <w:numFmt w:val="decimal"/>
      <w:lvlText w:val="App %1-%2"/>
      <w:lvlJc w:val="left"/>
      <w:pPr>
        <w:tabs>
          <w:tab w:val="num" w:pos="1134"/>
        </w:tabs>
        <w:ind w:left="1134" w:hanging="1134"/>
      </w:pPr>
      <w:rPr>
        <w:rFonts w:ascii="Times New Roman Bold" w:hAnsi="Times New Roman Bold" w:hint="default"/>
        <w:b/>
        <w:i w:val="0"/>
        <w:sz w:val="28"/>
      </w:rPr>
    </w:lvl>
    <w:lvl w:ilvl="2">
      <w:start w:val="1"/>
      <w:numFmt w:val="decimal"/>
      <w:lvlText w:val="App %1-%3.%2"/>
      <w:lvlJc w:val="left"/>
      <w:pPr>
        <w:tabs>
          <w:tab w:val="num" w:pos="1134"/>
        </w:tabs>
        <w:ind w:left="1134" w:hanging="1134"/>
      </w:pPr>
      <w:rPr>
        <w:rFonts w:ascii="Times New Roman Bold" w:hAnsi="Times New Roman Bold" w:hint="default"/>
        <w:b/>
        <w:i w:val="0"/>
        <w:sz w:val="26"/>
      </w:rPr>
    </w:lvl>
    <w:lvl w:ilvl="3">
      <w:start w:val="1"/>
      <w:numFmt w:val="decimal"/>
      <w:lvlText w:val="App %1-%2.%3.%4"/>
      <w:lvlJc w:val="left"/>
      <w:pPr>
        <w:tabs>
          <w:tab w:val="num" w:pos="1134"/>
        </w:tabs>
        <w:ind w:left="1134" w:hanging="1134"/>
      </w:pPr>
      <w:rPr>
        <w:rFonts w:ascii="Times New Roman Bold" w:hAnsi="Times New Roman Bold" w:hint="default"/>
        <w:b/>
        <w:i w:val="0"/>
        <w:sz w:val="24"/>
      </w:rPr>
    </w:lvl>
    <w:lvl w:ilvl="4">
      <w:start w:val="1"/>
      <w:numFmt w:val="decimal"/>
      <w:lvlText w:val="App %1-%2.%3.%4.%5"/>
      <w:lvlJc w:val="left"/>
      <w:pPr>
        <w:tabs>
          <w:tab w:val="num" w:pos="1134"/>
        </w:tabs>
        <w:ind w:left="1134" w:hanging="1134"/>
      </w:pPr>
      <w:rPr>
        <w:rFonts w:ascii="Times New Roman Bold" w:hAnsi="Times New Roman Bold" w:hint="default"/>
        <w:b/>
        <w:i/>
        <w:sz w:val="24"/>
      </w:rPr>
    </w:lvl>
    <w:lvl w:ilvl="5">
      <w:start w:val="1"/>
      <w:numFmt w:val="none"/>
      <w:lvlText w:val=""/>
      <w:lvlJc w:val="left"/>
      <w:pPr>
        <w:ind w:left="1985" w:hanging="1985"/>
      </w:pPr>
      <w:rPr>
        <w:rFonts w:hint="default"/>
      </w:rPr>
    </w:lvl>
    <w:lvl w:ilvl="6">
      <w:start w:val="1"/>
      <w:numFmt w:val="none"/>
      <w:lvlText w:val=""/>
      <w:lvlJc w:val="left"/>
      <w:pPr>
        <w:ind w:left="1985" w:hanging="1985"/>
      </w:pPr>
      <w:rPr>
        <w:rFonts w:hint="default"/>
      </w:rPr>
    </w:lvl>
    <w:lvl w:ilvl="7">
      <w:start w:val="1"/>
      <w:numFmt w:val="none"/>
      <w:lvlText w:val=""/>
      <w:lvlJc w:val="left"/>
      <w:pPr>
        <w:ind w:left="1985" w:hanging="1985"/>
      </w:pPr>
      <w:rPr>
        <w:rFonts w:hint="default"/>
      </w:rPr>
    </w:lvl>
    <w:lvl w:ilvl="8">
      <w:start w:val="1"/>
      <w:numFmt w:val="none"/>
      <w:lvlText w:val=""/>
      <w:lvlJc w:val="right"/>
      <w:pPr>
        <w:ind w:left="1985" w:hanging="1985"/>
      </w:pPr>
      <w:rPr>
        <w:rFonts w:hint="default"/>
      </w:rPr>
    </w:lvl>
  </w:abstractNum>
  <w:abstractNum w:abstractNumId="18" w15:restartNumberingAfterBreak="0">
    <w:nsid w:val="6358757B"/>
    <w:multiLevelType w:val="hybridMultilevel"/>
    <w:tmpl w:val="5E821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D0661E"/>
    <w:multiLevelType w:val="hybridMultilevel"/>
    <w:tmpl w:val="D0A62A1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17154F"/>
    <w:multiLevelType w:val="hybridMultilevel"/>
    <w:tmpl w:val="5798C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4C030A5"/>
    <w:multiLevelType w:val="multilevel"/>
    <w:tmpl w:val="99C4946C"/>
    <w:name w:val="ListNumberSmall"/>
    <w:lvl w:ilvl="0">
      <w:start w:val="1"/>
      <w:numFmt w:val="decimal"/>
      <w:pStyle w:val="ListNumberSmall"/>
      <w:lvlText w:val="%1"/>
      <w:lvlJc w:val="left"/>
      <w:pPr>
        <w:tabs>
          <w:tab w:val="num" w:pos="425"/>
        </w:tabs>
        <w:ind w:left="425" w:hanging="425"/>
      </w:pPr>
      <w:rPr>
        <w:rFonts w:ascii="Times New Roman" w:hAnsi="Times New Roman" w:hint="default"/>
        <w:sz w:val="20"/>
      </w:rPr>
    </w:lvl>
    <w:lvl w:ilvl="1">
      <w:start w:val="1"/>
      <w:numFmt w:val="lowerLetter"/>
      <w:lvlText w:val="%2."/>
      <w:lvlJc w:val="left"/>
      <w:pPr>
        <w:tabs>
          <w:tab w:val="num" w:pos="851"/>
        </w:tabs>
        <w:ind w:left="851" w:hanging="426"/>
      </w:pPr>
      <w:rPr>
        <w:rFonts w:hint="default"/>
      </w:rPr>
    </w:lvl>
    <w:lvl w:ilvl="2">
      <w:start w:val="1"/>
      <w:numFmt w:val="lowerRoman"/>
      <w:lvlText w:val="%3."/>
      <w:lvlJc w:val="right"/>
      <w:pPr>
        <w:tabs>
          <w:tab w:val="num" w:pos="1276"/>
        </w:tabs>
        <w:ind w:left="1276" w:hanging="425"/>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C9D7603"/>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3485410">
    <w:abstractNumId w:val="17"/>
  </w:num>
  <w:num w:numId="2" w16cid:durableId="630407270">
    <w:abstractNumId w:val="13"/>
  </w:num>
  <w:num w:numId="3" w16cid:durableId="1310019906">
    <w:abstractNumId w:val="11"/>
  </w:num>
  <w:num w:numId="4" w16cid:durableId="388847151">
    <w:abstractNumId w:val="4"/>
  </w:num>
  <w:num w:numId="5" w16cid:durableId="1135682013">
    <w:abstractNumId w:val="14"/>
  </w:num>
  <w:num w:numId="6" w16cid:durableId="278219220">
    <w:abstractNumId w:val="3"/>
  </w:num>
  <w:num w:numId="7" w16cid:durableId="372122178">
    <w:abstractNumId w:val="0"/>
  </w:num>
  <w:num w:numId="8" w16cid:durableId="2090350230">
    <w:abstractNumId w:val="5"/>
  </w:num>
  <w:num w:numId="9" w16cid:durableId="781461031">
    <w:abstractNumId w:val="15"/>
  </w:num>
  <w:num w:numId="10" w16cid:durableId="409696890">
    <w:abstractNumId w:val="22"/>
  </w:num>
  <w:num w:numId="11" w16cid:durableId="2102795662">
    <w:abstractNumId w:val="10"/>
  </w:num>
  <w:num w:numId="12" w16cid:durableId="1467160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1135169">
    <w:abstractNumId w:val="3"/>
  </w:num>
  <w:num w:numId="14" w16cid:durableId="2044010775">
    <w:abstractNumId w:val="21"/>
  </w:num>
  <w:num w:numId="15" w16cid:durableId="346031313">
    <w:abstractNumId w:val="8"/>
  </w:num>
  <w:num w:numId="16" w16cid:durableId="1414275838">
    <w:abstractNumId w:val="18"/>
  </w:num>
  <w:num w:numId="17" w16cid:durableId="1572888966">
    <w:abstractNumId w:val="20"/>
  </w:num>
  <w:num w:numId="18" w16cid:durableId="1155419427">
    <w:abstractNumId w:val="7"/>
  </w:num>
  <w:num w:numId="19" w16cid:durableId="930743186">
    <w:abstractNumId w:val="6"/>
  </w:num>
  <w:num w:numId="20" w16cid:durableId="2035962841">
    <w:abstractNumId w:val="9"/>
  </w:num>
  <w:num w:numId="21" w16cid:durableId="2092509153">
    <w:abstractNumId w:val="12"/>
  </w:num>
  <w:num w:numId="22" w16cid:durableId="1965304844">
    <w:abstractNumId w:val="2"/>
  </w:num>
  <w:num w:numId="23" w16cid:durableId="34307903">
    <w:abstractNumId w:val="16"/>
  </w:num>
  <w:num w:numId="24" w16cid:durableId="195201071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ult_nd_085d011b-2dbd-40db-b766-69fdb8a38485" w:val=" "/>
    <w:docVar w:name="VAULT_ND_089b1abb-b753-4537-8781-80577f3d7a8f" w:val=" "/>
    <w:docVar w:name="VAULT_ND_08e0db50-0b02-4bd9-bb60-28fe38399e37" w:val=" "/>
    <w:docVar w:name="VAULT_ND_0b9bbf77-45e0-4acc-a55f-dd4c290d9774" w:val=" "/>
    <w:docVar w:name="vault_nd_0da2022a-b2ae-4475-a8ba-453d918edd29" w:val=" "/>
    <w:docVar w:name="vault_nd_0fdec42b-c0e8-4e18-8218-aea676fb5827" w:val=" "/>
    <w:docVar w:name="vault_nd_144995c7-8202-46ba-a170-c32d869a016c" w:val=" "/>
    <w:docVar w:name="vault_nd_168efb59-0f23-4208-99b9-172f2f955237" w:val=" "/>
    <w:docVar w:name="vault_nd_1744cbaa-8e58-419c-b532-3c347d6b5ec3" w:val=" "/>
    <w:docVar w:name="vault_nd_188c4b51-6121-489d-b78a-aeaac321cae6" w:val=" "/>
    <w:docVar w:name="vault_nd_19bee05d-4303-4cac-a93b-69361b5ec6f8" w:val=" "/>
    <w:docVar w:name="vault_nd_1e03df1b-6c5c-4910-a04f-d3f149746068" w:val=" "/>
    <w:docVar w:name="vault_nd_1e4fcc3a-93b0-4730-bb2a-257e44531c90" w:val=" "/>
    <w:docVar w:name="vault_nd_1faabd6f-0c4c-4452-80a6-9f3b385770c9" w:val=" "/>
    <w:docVar w:name="vault_nd_20e3d30c-d0a7-4826-9da7-904139276ddb" w:val=" "/>
    <w:docVar w:name="VAULT_ND_21cea653-5c10-4aa5-972e-0e3da862f46c" w:val=" "/>
    <w:docVar w:name="vault_nd_22a02461-029b-4ba0-9570-cdca673cc97e" w:val=" "/>
    <w:docVar w:name="vault_nd_24bfa8e8-9515-4e41-8ccc-a6f5f3c9e0f0" w:val=" "/>
    <w:docVar w:name="VAULT_ND_26a4fe08-c3e0-4378-b8f3-866194b84b49" w:val=" "/>
    <w:docVar w:name="vault_nd_27bfc66c-d595-4c7c-abff-d2b4fc3479b0" w:val=" "/>
    <w:docVar w:name="vault_nd_2a1f84de-34d8-46ec-bff2-ad897758c030" w:val=" "/>
    <w:docVar w:name="VAULT_ND_2a648b95-cc76-43e1-85be-9c7bfd81a18d" w:val=" "/>
    <w:docVar w:name="VAULT_ND_2e14e737-7d51-4486-a26a-c81c5767b008" w:val=" "/>
    <w:docVar w:name="VAULT_ND_2f48e42a-045f-4034-b113-bc3d7b49245a" w:val=" "/>
    <w:docVar w:name="vault_nd_304d1324-f98c-442f-97b1-2903180c8844" w:val=" "/>
    <w:docVar w:name="vault_nd_3403f97b-279f-4997-b235-c22cc89d0246" w:val=" "/>
    <w:docVar w:name="vault_nd_356e1dd5-cdcb-4f6d-b676-80e892ac05c1" w:val=" "/>
    <w:docVar w:name="vault_nd_35caa7b7-4d40-4d58-aca3-1f0ba0f00ab1" w:val=" "/>
    <w:docVar w:name="vault_nd_3a39a8b1-117f-45b3-8ced-7358744cf41c" w:val=" "/>
    <w:docVar w:name="vault_nd_3ac7a00b-10e9-405a-a3dd-8f39e5e4fdfe" w:val=" "/>
    <w:docVar w:name="VAULT_ND_3cf1d36d-a553-4283-b223-f1889e68e9a5" w:val=" "/>
    <w:docVar w:name="VAULT_ND_3f9d1220-1f9e-4f94-a84b-d52140bc59db" w:val=" "/>
    <w:docVar w:name="vault_nd_405edf0e-f914-455d-8e86-c4bf7cb834a0" w:val=" "/>
    <w:docVar w:name="VAULT_ND_457fd95d-c251-42bb-a47c-3adba4b2ba21" w:val=" "/>
    <w:docVar w:name="VAULT_ND_477c6f85-31ca-4883-be38-46340575b2e2" w:val=" "/>
    <w:docVar w:name="vault_nd_4805aff6-4460-4bc4-a58c-c02c31d92581" w:val=" "/>
    <w:docVar w:name="vault_nd_48151bad-12ae-4707-a7af-9f730652db0e" w:val=" "/>
    <w:docVar w:name="VAULT_ND_4cb2208a-8527-4e4f-8eb3-12206a8350eb" w:val=" "/>
    <w:docVar w:name="vault_nd_4cf68026-3d5e-4ef0-9189-7ffdbae7f988" w:val=" "/>
    <w:docVar w:name="vault_nd_50e8bf76-738a-4c38-a131-32833e6c79e6" w:val=" "/>
    <w:docVar w:name="VAULT_ND_549b5407-2ad5-433a-93c2-b7d81adb7886" w:val=" "/>
    <w:docVar w:name="VAULT_ND_54befd6c-2e31-41c4-9466-cb9fe0825b62" w:val=" "/>
    <w:docVar w:name="vault_nd_564220a4-83d7-418c-9701-ab3a2849c42f" w:val=" "/>
    <w:docVar w:name="VAULT_ND_58c69b60-2405-4572-be1f-18c2e5d1b6da" w:val=" "/>
    <w:docVar w:name="VAULT_ND_65a18c79-8c30-4652-8c69-4306672b0208" w:val=" "/>
    <w:docVar w:name="VAULT_ND_691bbb08-6f88-44da-b425-8b0346f8353e" w:val=" "/>
    <w:docVar w:name="VAULT_ND_6b79194d-54e7-49c6-a0a1-5c47b5ae7b5a" w:val=" "/>
    <w:docVar w:name="VAULT_ND_7046d6eb-6972-4f98-b52e-0baeb538867a" w:val=" "/>
    <w:docVar w:name="vault_nd_753bb6b7-0239-4ee9-8946-ada1e79bcbfd" w:val=" "/>
    <w:docVar w:name="VAULT_ND_75af3f54-9a4d-473a-91c3-a85745cc1d2a" w:val=" "/>
    <w:docVar w:name="VAULT_ND_760de6e3-6ca0-4ba4-b4b2-6799fd617dad" w:val=" "/>
    <w:docVar w:name="vault_nd_778585d3-096a-40c9-bda2-206e8322b7da" w:val=" "/>
    <w:docVar w:name="vault_nd_7908c851-57bc-4591-8fc3-d71f39b006a7" w:val=" "/>
    <w:docVar w:name="VAULT_ND_7bb87f82-e2de-4520-af9f-5f8cb2f936af" w:val=" "/>
    <w:docVar w:name="vault_nd_7e97ca32-902a-4edb-af43-6e71deb54813" w:val=" "/>
    <w:docVar w:name="VAULT_ND_7fcc1b45-2b34-47cc-b140-e8ff125ce410" w:val=" "/>
    <w:docVar w:name="VAULT_ND_7ff73ea8-6d4f-447c-8672-464750de142e" w:val=" "/>
    <w:docVar w:name="VAULT_ND_810d9e61-b508-4a69-95cf-937c9960c480" w:val=" "/>
    <w:docVar w:name="vault_nd_82fd7bd7-37db-470c-baa1-5f1fdea0ae6f" w:val=" "/>
    <w:docVar w:name="vault_nd_8925253f-d88d-43a2-b146-fc1c6de1a15d" w:val=" "/>
    <w:docVar w:name="vault_nd_8ba4c276-03ca-417b-9dae-5f55a6ee4600" w:val=" "/>
    <w:docVar w:name="VAULT_ND_8bf130de-0b57-49d9-83a2-c829482fcccf" w:val=" "/>
    <w:docVar w:name="VAULT_ND_8d5e7306-29b7-4489-ad74-83297fe2e01e" w:val=" "/>
    <w:docVar w:name="vault_nd_8ebab64f-27f6-4eff-aee4-113b419220bb" w:val=" "/>
    <w:docVar w:name="vault_nd_904d7c2a-dc3d-46ee-bc7c-6bbfc6d92747" w:val=" "/>
    <w:docVar w:name="vault_nd_90830708-ead4-4226-9d82-10523684d266" w:val=" "/>
    <w:docVar w:name="vault_nd_92f7321d-0099-4fe1-9c76-4baedb95c59e" w:val=" "/>
    <w:docVar w:name="vault_nd_95c51d2b-1f38-450a-adeb-ada1bc3be6a5" w:val=" "/>
    <w:docVar w:name="vault_nd_98f128fa-c7e1-40d5-81b5-594bbdbe5930" w:val=" "/>
    <w:docVar w:name="vault_nd_a9118739-1db1-4a1c-9085-31b19c7bd957" w:val=" "/>
    <w:docVar w:name="VAULT_ND_af20ab52-2ea6-49b2-85b8-f9dd9c770e2a" w:val=" "/>
    <w:docVar w:name="vault_nd_af354dc2-18b7-414e-9c4a-61f8d464b7ee" w:val=" "/>
    <w:docVar w:name="vault_nd_b24b79f7-42d7-4f73-a4f3-832eed604114" w:val=" "/>
    <w:docVar w:name="vault_nd_b393bfec-39c1-4eac-83d3-ed33c760aec5" w:val=" "/>
    <w:docVar w:name="vault_nd_bcddef21-7307-43a3-8d3b-d4a383c9ac1c" w:val=" "/>
    <w:docVar w:name="VAULT_ND_bebdebbc-befe-4ace-ab12-95a1ac4faf2d" w:val=" "/>
    <w:docVar w:name="VAULT_ND_c16765c4-3414-4857-90c9-fc3d3b2e0e48" w:val=" "/>
    <w:docVar w:name="vault_nd_c1e1ee21-f0c3-4b76-b34f-21ac3b724dde" w:val=" "/>
    <w:docVar w:name="VAULT_ND_cd3807fe-7369-45a4-a11f-69e630f47478" w:val=" "/>
    <w:docVar w:name="VAULT_ND_d103ed6d-d7e6-4a9d-a8bd-cf4fe8ce7fdd" w:val=" "/>
    <w:docVar w:name="vault_nd_d327b37f-6a04-4fc2-8c1e-faf6b1ae5dae" w:val=" "/>
    <w:docVar w:name="vault_nd_d55beeb1-dc1f-45d2-ba6c-ab181ec0bacd" w:val=" "/>
    <w:docVar w:name="VAULT_ND_d5b2a189-c67e-4bdf-ae25-9011799890ac" w:val=" "/>
    <w:docVar w:name="vault_nd_ddd529e1-92c7-4f83-ae69-7261de5b2476" w:val=" "/>
    <w:docVar w:name="vault_nd_de57f48e-2aa3-420f-91c8-64fef4e43a24" w:val=" "/>
    <w:docVar w:name="vault_nd_df7f5d18-73b9-430b-93ff-3acbf6cb0918" w:val=" "/>
    <w:docVar w:name="VAULT_ND_dfcf37e6-808d-44e0-91e0-9b973f1965ea" w:val=" "/>
    <w:docVar w:name="vault_nd_e213eaa1-e837-4fff-8d9b-f8e8acc2b22d" w:val=" "/>
    <w:docVar w:name="vault_nd_e312fd2d-e165-40ca-8d6f-7bfb49ec4b4b" w:val=" "/>
    <w:docVar w:name="vault_nd_e79c56ab-7bbb-4c86-a91d-677626dd331d" w:val=" "/>
    <w:docVar w:name="VAULT_ND_e7a41f74-b8ca-482a-932e-08ed5b8ccc53" w:val=" "/>
    <w:docVar w:name="vault_nd_e95829fe-b4e5-41bd-9f86-f2b5b6ab0435" w:val=" "/>
    <w:docVar w:name="VAULT_ND_ecf59ffb-ec13-4212-b698-8104aef27793" w:val=" "/>
    <w:docVar w:name="vault_nd_f096f5d2-5a1d-449f-b956-5087226c997e" w:val=" "/>
    <w:docVar w:name="vault_nd_ff22fc27-0f7a-4c19-8ffd-48db58d06e47" w:val=" "/>
    <w:docVar w:name="VAULT_ND_ffca641a-40f3-4673-b36a-767025ddf6db" w:val=" "/>
  </w:docVars>
  <w:rsids>
    <w:rsidRoot w:val="00BB594D"/>
    <w:rsid w:val="00001687"/>
    <w:rsid w:val="0000178D"/>
    <w:rsid w:val="00003B30"/>
    <w:rsid w:val="00003FD0"/>
    <w:rsid w:val="000100BD"/>
    <w:rsid w:val="0001037D"/>
    <w:rsid w:val="0001090D"/>
    <w:rsid w:val="000163EC"/>
    <w:rsid w:val="00021372"/>
    <w:rsid w:val="000214E2"/>
    <w:rsid w:val="00021A86"/>
    <w:rsid w:val="00021B32"/>
    <w:rsid w:val="000254D1"/>
    <w:rsid w:val="00030882"/>
    <w:rsid w:val="00032179"/>
    <w:rsid w:val="00032F24"/>
    <w:rsid w:val="00033004"/>
    <w:rsid w:val="00042302"/>
    <w:rsid w:val="00043005"/>
    <w:rsid w:val="00043104"/>
    <w:rsid w:val="000614E7"/>
    <w:rsid w:val="00062AE5"/>
    <w:rsid w:val="00063EE1"/>
    <w:rsid w:val="00065FF3"/>
    <w:rsid w:val="00072EA6"/>
    <w:rsid w:val="00073B0B"/>
    <w:rsid w:val="00077A0C"/>
    <w:rsid w:val="0008149A"/>
    <w:rsid w:val="00081BAD"/>
    <w:rsid w:val="00086B4B"/>
    <w:rsid w:val="0009106C"/>
    <w:rsid w:val="000A4F3D"/>
    <w:rsid w:val="000B4616"/>
    <w:rsid w:val="000C3573"/>
    <w:rsid w:val="000C6168"/>
    <w:rsid w:val="000C6FB8"/>
    <w:rsid w:val="000E15D6"/>
    <w:rsid w:val="000E204D"/>
    <w:rsid w:val="000E784A"/>
    <w:rsid w:val="000E7D54"/>
    <w:rsid w:val="000F182F"/>
    <w:rsid w:val="000F3481"/>
    <w:rsid w:val="000F4C37"/>
    <w:rsid w:val="000F5B30"/>
    <w:rsid w:val="000F72B1"/>
    <w:rsid w:val="00100F43"/>
    <w:rsid w:val="00102676"/>
    <w:rsid w:val="0010488E"/>
    <w:rsid w:val="00105A8C"/>
    <w:rsid w:val="0010608F"/>
    <w:rsid w:val="0011022B"/>
    <w:rsid w:val="00112784"/>
    <w:rsid w:val="00113776"/>
    <w:rsid w:val="00113E4A"/>
    <w:rsid w:val="00114ACB"/>
    <w:rsid w:val="00125ABE"/>
    <w:rsid w:val="001275CF"/>
    <w:rsid w:val="001351B6"/>
    <w:rsid w:val="00146FB0"/>
    <w:rsid w:val="001471ED"/>
    <w:rsid w:val="00147D87"/>
    <w:rsid w:val="0015373B"/>
    <w:rsid w:val="00153EAA"/>
    <w:rsid w:val="00155F7D"/>
    <w:rsid w:val="00163F7B"/>
    <w:rsid w:val="0016453C"/>
    <w:rsid w:val="00167EF2"/>
    <w:rsid w:val="00170B91"/>
    <w:rsid w:val="00170FA6"/>
    <w:rsid w:val="00172FBE"/>
    <w:rsid w:val="0017412F"/>
    <w:rsid w:val="00176583"/>
    <w:rsid w:val="001812B5"/>
    <w:rsid w:val="001825DD"/>
    <w:rsid w:val="001908F3"/>
    <w:rsid w:val="00190C8C"/>
    <w:rsid w:val="001914B2"/>
    <w:rsid w:val="001929C2"/>
    <w:rsid w:val="00197371"/>
    <w:rsid w:val="001A3992"/>
    <w:rsid w:val="001B0174"/>
    <w:rsid w:val="001B114A"/>
    <w:rsid w:val="001B2435"/>
    <w:rsid w:val="001B684A"/>
    <w:rsid w:val="001C2E55"/>
    <w:rsid w:val="001C394C"/>
    <w:rsid w:val="001D3AF3"/>
    <w:rsid w:val="001E1E14"/>
    <w:rsid w:val="001E24AF"/>
    <w:rsid w:val="001E2F55"/>
    <w:rsid w:val="001F632C"/>
    <w:rsid w:val="001F6991"/>
    <w:rsid w:val="00203E38"/>
    <w:rsid w:val="00203FC0"/>
    <w:rsid w:val="00204A91"/>
    <w:rsid w:val="00207074"/>
    <w:rsid w:val="00210452"/>
    <w:rsid w:val="00210E94"/>
    <w:rsid w:val="00215288"/>
    <w:rsid w:val="00221F66"/>
    <w:rsid w:val="00222CEC"/>
    <w:rsid w:val="002248F2"/>
    <w:rsid w:val="00231503"/>
    <w:rsid w:val="00231565"/>
    <w:rsid w:val="002321AB"/>
    <w:rsid w:val="002335CD"/>
    <w:rsid w:val="0023453D"/>
    <w:rsid w:val="002346A4"/>
    <w:rsid w:val="00235976"/>
    <w:rsid w:val="002371B4"/>
    <w:rsid w:val="002377A6"/>
    <w:rsid w:val="00246C48"/>
    <w:rsid w:val="00247442"/>
    <w:rsid w:val="00253AEE"/>
    <w:rsid w:val="00256B3B"/>
    <w:rsid w:val="00257099"/>
    <w:rsid w:val="0026491B"/>
    <w:rsid w:val="00266201"/>
    <w:rsid w:val="00273341"/>
    <w:rsid w:val="00276EF7"/>
    <w:rsid w:val="00277B7F"/>
    <w:rsid w:val="002803FC"/>
    <w:rsid w:val="00282E37"/>
    <w:rsid w:val="00285173"/>
    <w:rsid w:val="00286EFF"/>
    <w:rsid w:val="00286FD5"/>
    <w:rsid w:val="002A0506"/>
    <w:rsid w:val="002A5B58"/>
    <w:rsid w:val="002A77D9"/>
    <w:rsid w:val="002B0489"/>
    <w:rsid w:val="002B1200"/>
    <w:rsid w:val="002B5989"/>
    <w:rsid w:val="002C7CA5"/>
    <w:rsid w:val="002D1062"/>
    <w:rsid w:val="002D23D3"/>
    <w:rsid w:val="002D3489"/>
    <w:rsid w:val="002D3A95"/>
    <w:rsid w:val="002D3B87"/>
    <w:rsid w:val="002D4D26"/>
    <w:rsid w:val="002D5968"/>
    <w:rsid w:val="002D5DDA"/>
    <w:rsid w:val="002D6338"/>
    <w:rsid w:val="002E277D"/>
    <w:rsid w:val="002E4923"/>
    <w:rsid w:val="002E568E"/>
    <w:rsid w:val="002E72E5"/>
    <w:rsid w:val="002F641C"/>
    <w:rsid w:val="00300F43"/>
    <w:rsid w:val="00301F68"/>
    <w:rsid w:val="00305CAF"/>
    <w:rsid w:val="00312C1B"/>
    <w:rsid w:val="003141EE"/>
    <w:rsid w:val="003214CB"/>
    <w:rsid w:val="00321BD3"/>
    <w:rsid w:val="00321EA1"/>
    <w:rsid w:val="0032348E"/>
    <w:rsid w:val="003239D3"/>
    <w:rsid w:val="00324786"/>
    <w:rsid w:val="00326420"/>
    <w:rsid w:val="003275F0"/>
    <w:rsid w:val="0033061A"/>
    <w:rsid w:val="00336176"/>
    <w:rsid w:val="00337CDD"/>
    <w:rsid w:val="00341090"/>
    <w:rsid w:val="00341F8F"/>
    <w:rsid w:val="00343B77"/>
    <w:rsid w:val="00345104"/>
    <w:rsid w:val="003475B2"/>
    <w:rsid w:val="00347E90"/>
    <w:rsid w:val="00347F5C"/>
    <w:rsid w:val="003505A3"/>
    <w:rsid w:val="00357625"/>
    <w:rsid w:val="00362F10"/>
    <w:rsid w:val="00365BB3"/>
    <w:rsid w:val="00371A59"/>
    <w:rsid w:val="00373E70"/>
    <w:rsid w:val="00375DF3"/>
    <w:rsid w:val="00376854"/>
    <w:rsid w:val="00376D26"/>
    <w:rsid w:val="00377337"/>
    <w:rsid w:val="003775AB"/>
    <w:rsid w:val="0038635C"/>
    <w:rsid w:val="003874D0"/>
    <w:rsid w:val="00390DCF"/>
    <w:rsid w:val="003936D1"/>
    <w:rsid w:val="00395436"/>
    <w:rsid w:val="0039567A"/>
    <w:rsid w:val="00397382"/>
    <w:rsid w:val="003A21BE"/>
    <w:rsid w:val="003A4931"/>
    <w:rsid w:val="003A4D59"/>
    <w:rsid w:val="003B4174"/>
    <w:rsid w:val="003B7CFF"/>
    <w:rsid w:val="003C72D6"/>
    <w:rsid w:val="003D2AA2"/>
    <w:rsid w:val="003E087D"/>
    <w:rsid w:val="003F6FBD"/>
    <w:rsid w:val="0041004D"/>
    <w:rsid w:val="004111D4"/>
    <w:rsid w:val="00411497"/>
    <w:rsid w:val="0041152B"/>
    <w:rsid w:val="0041161E"/>
    <w:rsid w:val="00412574"/>
    <w:rsid w:val="004219A1"/>
    <w:rsid w:val="00430940"/>
    <w:rsid w:val="004309B0"/>
    <w:rsid w:val="004317E6"/>
    <w:rsid w:val="00431ACD"/>
    <w:rsid w:val="0043621A"/>
    <w:rsid w:val="004428D2"/>
    <w:rsid w:val="0044553A"/>
    <w:rsid w:val="00446EDD"/>
    <w:rsid w:val="00450C66"/>
    <w:rsid w:val="00451CF3"/>
    <w:rsid w:val="00453F48"/>
    <w:rsid w:val="00454C0A"/>
    <w:rsid w:val="004564F5"/>
    <w:rsid w:val="004605DB"/>
    <w:rsid w:val="00461174"/>
    <w:rsid w:val="00462CB8"/>
    <w:rsid w:val="0046643D"/>
    <w:rsid w:val="004703B7"/>
    <w:rsid w:val="00470DC2"/>
    <w:rsid w:val="00473FC9"/>
    <w:rsid w:val="00474FA9"/>
    <w:rsid w:val="00475C1D"/>
    <w:rsid w:val="004841D2"/>
    <w:rsid w:val="00485D67"/>
    <w:rsid w:val="00491DA5"/>
    <w:rsid w:val="00491ED9"/>
    <w:rsid w:val="00491F13"/>
    <w:rsid w:val="004A03F2"/>
    <w:rsid w:val="004A2581"/>
    <w:rsid w:val="004A3E19"/>
    <w:rsid w:val="004B0E75"/>
    <w:rsid w:val="004B104B"/>
    <w:rsid w:val="004B404B"/>
    <w:rsid w:val="004B6062"/>
    <w:rsid w:val="004B6B19"/>
    <w:rsid w:val="004B6E82"/>
    <w:rsid w:val="004B784C"/>
    <w:rsid w:val="004B79D3"/>
    <w:rsid w:val="004C12CF"/>
    <w:rsid w:val="004C1831"/>
    <w:rsid w:val="004C1C67"/>
    <w:rsid w:val="004C2D7D"/>
    <w:rsid w:val="004C7F1B"/>
    <w:rsid w:val="004D5BAA"/>
    <w:rsid w:val="004D6C2A"/>
    <w:rsid w:val="004D6FC6"/>
    <w:rsid w:val="004E17E0"/>
    <w:rsid w:val="004F2B92"/>
    <w:rsid w:val="004F6464"/>
    <w:rsid w:val="004F6D0B"/>
    <w:rsid w:val="00500C97"/>
    <w:rsid w:val="00504D94"/>
    <w:rsid w:val="00506F37"/>
    <w:rsid w:val="00513B1A"/>
    <w:rsid w:val="005162A0"/>
    <w:rsid w:val="00517E97"/>
    <w:rsid w:val="005216CE"/>
    <w:rsid w:val="0052375E"/>
    <w:rsid w:val="005237EB"/>
    <w:rsid w:val="00526334"/>
    <w:rsid w:val="00530E2A"/>
    <w:rsid w:val="00531CD3"/>
    <w:rsid w:val="00532738"/>
    <w:rsid w:val="005358E4"/>
    <w:rsid w:val="00542190"/>
    <w:rsid w:val="0055205A"/>
    <w:rsid w:val="00552364"/>
    <w:rsid w:val="00553386"/>
    <w:rsid w:val="00555A14"/>
    <w:rsid w:val="00556171"/>
    <w:rsid w:val="00556761"/>
    <w:rsid w:val="0056110C"/>
    <w:rsid w:val="00563567"/>
    <w:rsid w:val="00567153"/>
    <w:rsid w:val="005679DE"/>
    <w:rsid w:val="005711EA"/>
    <w:rsid w:val="00571BC3"/>
    <w:rsid w:val="00576794"/>
    <w:rsid w:val="0058138D"/>
    <w:rsid w:val="005822E2"/>
    <w:rsid w:val="00583593"/>
    <w:rsid w:val="00584D27"/>
    <w:rsid w:val="00592669"/>
    <w:rsid w:val="00595A30"/>
    <w:rsid w:val="005A1D68"/>
    <w:rsid w:val="005A2E36"/>
    <w:rsid w:val="005A31F8"/>
    <w:rsid w:val="005A5E87"/>
    <w:rsid w:val="005A5EED"/>
    <w:rsid w:val="005B06C9"/>
    <w:rsid w:val="005B0B28"/>
    <w:rsid w:val="005B3539"/>
    <w:rsid w:val="005B4B17"/>
    <w:rsid w:val="005C0E2D"/>
    <w:rsid w:val="005C27BF"/>
    <w:rsid w:val="005C4DCA"/>
    <w:rsid w:val="005C5EBD"/>
    <w:rsid w:val="005C6A0B"/>
    <w:rsid w:val="005D39E6"/>
    <w:rsid w:val="005D5C1B"/>
    <w:rsid w:val="005E433D"/>
    <w:rsid w:val="005E6B2D"/>
    <w:rsid w:val="005E6B56"/>
    <w:rsid w:val="005E7F53"/>
    <w:rsid w:val="005F0942"/>
    <w:rsid w:val="005F1B15"/>
    <w:rsid w:val="005F34DC"/>
    <w:rsid w:val="005F65BD"/>
    <w:rsid w:val="005F6EFD"/>
    <w:rsid w:val="006018AE"/>
    <w:rsid w:val="006054E1"/>
    <w:rsid w:val="00615B93"/>
    <w:rsid w:val="00616953"/>
    <w:rsid w:val="00617E6E"/>
    <w:rsid w:val="00626361"/>
    <w:rsid w:val="00632F87"/>
    <w:rsid w:val="00635242"/>
    <w:rsid w:val="00641142"/>
    <w:rsid w:val="00644C76"/>
    <w:rsid w:val="00646D3F"/>
    <w:rsid w:val="006536EC"/>
    <w:rsid w:val="00655B3B"/>
    <w:rsid w:val="00665787"/>
    <w:rsid w:val="00666B1E"/>
    <w:rsid w:val="00673C09"/>
    <w:rsid w:val="00681F74"/>
    <w:rsid w:val="00684824"/>
    <w:rsid w:val="00687CB6"/>
    <w:rsid w:val="00691A84"/>
    <w:rsid w:val="00691FE4"/>
    <w:rsid w:val="00692B40"/>
    <w:rsid w:val="00694575"/>
    <w:rsid w:val="00696A2A"/>
    <w:rsid w:val="006A6950"/>
    <w:rsid w:val="006A727B"/>
    <w:rsid w:val="006B4635"/>
    <w:rsid w:val="006B56BE"/>
    <w:rsid w:val="006B6C91"/>
    <w:rsid w:val="006B71E3"/>
    <w:rsid w:val="006D098D"/>
    <w:rsid w:val="006D1D02"/>
    <w:rsid w:val="006D2DDB"/>
    <w:rsid w:val="006D56E5"/>
    <w:rsid w:val="006E0A82"/>
    <w:rsid w:val="006E41B0"/>
    <w:rsid w:val="006E4C1E"/>
    <w:rsid w:val="006E529C"/>
    <w:rsid w:val="006F0476"/>
    <w:rsid w:val="006F322F"/>
    <w:rsid w:val="006F4E22"/>
    <w:rsid w:val="006F6F1B"/>
    <w:rsid w:val="006F6FD7"/>
    <w:rsid w:val="007005DE"/>
    <w:rsid w:val="00700C7A"/>
    <w:rsid w:val="00701DF9"/>
    <w:rsid w:val="007028CE"/>
    <w:rsid w:val="00705CDF"/>
    <w:rsid w:val="0070653E"/>
    <w:rsid w:val="0070729A"/>
    <w:rsid w:val="0070786E"/>
    <w:rsid w:val="00710560"/>
    <w:rsid w:val="00710C53"/>
    <w:rsid w:val="00716055"/>
    <w:rsid w:val="00722381"/>
    <w:rsid w:val="007228AC"/>
    <w:rsid w:val="00723A8D"/>
    <w:rsid w:val="00726332"/>
    <w:rsid w:val="00731FAD"/>
    <w:rsid w:val="0073453B"/>
    <w:rsid w:val="007403BD"/>
    <w:rsid w:val="00743A78"/>
    <w:rsid w:val="007509C8"/>
    <w:rsid w:val="00751B99"/>
    <w:rsid w:val="0075230A"/>
    <w:rsid w:val="00753226"/>
    <w:rsid w:val="00756ED6"/>
    <w:rsid w:val="007679A9"/>
    <w:rsid w:val="00767E72"/>
    <w:rsid w:val="007706C9"/>
    <w:rsid w:val="0077122F"/>
    <w:rsid w:val="00772B0D"/>
    <w:rsid w:val="00774411"/>
    <w:rsid w:val="00774578"/>
    <w:rsid w:val="007771DD"/>
    <w:rsid w:val="00780353"/>
    <w:rsid w:val="00795D99"/>
    <w:rsid w:val="007A2548"/>
    <w:rsid w:val="007A3493"/>
    <w:rsid w:val="007A408C"/>
    <w:rsid w:val="007A5C69"/>
    <w:rsid w:val="007B5431"/>
    <w:rsid w:val="007B64AC"/>
    <w:rsid w:val="007C27F0"/>
    <w:rsid w:val="007C4C93"/>
    <w:rsid w:val="007C619B"/>
    <w:rsid w:val="007C66C8"/>
    <w:rsid w:val="007C6DBC"/>
    <w:rsid w:val="007D0470"/>
    <w:rsid w:val="007D2256"/>
    <w:rsid w:val="007D439F"/>
    <w:rsid w:val="007E03C1"/>
    <w:rsid w:val="007E0CDA"/>
    <w:rsid w:val="007F1D59"/>
    <w:rsid w:val="007F4AED"/>
    <w:rsid w:val="00803D2A"/>
    <w:rsid w:val="0080644B"/>
    <w:rsid w:val="00806C54"/>
    <w:rsid w:val="008073EA"/>
    <w:rsid w:val="00824CF3"/>
    <w:rsid w:val="00832C30"/>
    <w:rsid w:val="0084075C"/>
    <w:rsid w:val="0084169E"/>
    <w:rsid w:val="00844FBB"/>
    <w:rsid w:val="00847DC6"/>
    <w:rsid w:val="008517D7"/>
    <w:rsid w:val="00853346"/>
    <w:rsid w:val="008604EC"/>
    <w:rsid w:val="00861CDC"/>
    <w:rsid w:val="0086317B"/>
    <w:rsid w:val="00866D40"/>
    <w:rsid w:val="0086724F"/>
    <w:rsid w:val="00871FA8"/>
    <w:rsid w:val="00875F0F"/>
    <w:rsid w:val="00875F45"/>
    <w:rsid w:val="00881EA6"/>
    <w:rsid w:val="008856CB"/>
    <w:rsid w:val="0089124D"/>
    <w:rsid w:val="008953AA"/>
    <w:rsid w:val="008958C0"/>
    <w:rsid w:val="008A35FB"/>
    <w:rsid w:val="008A55B1"/>
    <w:rsid w:val="008A5721"/>
    <w:rsid w:val="008B23D2"/>
    <w:rsid w:val="008B7DE2"/>
    <w:rsid w:val="008C01AC"/>
    <w:rsid w:val="008C0DC7"/>
    <w:rsid w:val="008C0E8C"/>
    <w:rsid w:val="008C1709"/>
    <w:rsid w:val="008C4290"/>
    <w:rsid w:val="008C4E73"/>
    <w:rsid w:val="008C60D1"/>
    <w:rsid w:val="008C6D4A"/>
    <w:rsid w:val="008D0EBE"/>
    <w:rsid w:val="008D4B6F"/>
    <w:rsid w:val="008D535E"/>
    <w:rsid w:val="008D65E9"/>
    <w:rsid w:val="008E2511"/>
    <w:rsid w:val="008E2D85"/>
    <w:rsid w:val="008E405B"/>
    <w:rsid w:val="008F00B7"/>
    <w:rsid w:val="008F55C7"/>
    <w:rsid w:val="008F6E90"/>
    <w:rsid w:val="009020C5"/>
    <w:rsid w:val="00902894"/>
    <w:rsid w:val="009041DC"/>
    <w:rsid w:val="00904A02"/>
    <w:rsid w:val="00905FE6"/>
    <w:rsid w:val="00906923"/>
    <w:rsid w:val="00910587"/>
    <w:rsid w:val="009136A7"/>
    <w:rsid w:val="0092261C"/>
    <w:rsid w:val="009227AA"/>
    <w:rsid w:val="00924677"/>
    <w:rsid w:val="009249F4"/>
    <w:rsid w:val="00926FEB"/>
    <w:rsid w:val="009329BE"/>
    <w:rsid w:val="00933604"/>
    <w:rsid w:val="00933A57"/>
    <w:rsid w:val="00935667"/>
    <w:rsid w:val="009367DB"/>
    <w:rsid w:val="00941BE2"/>
    <w:rsid w:val="009578FA"/>
    <w:rsid w:val="00957D1F"/>
    <w:rsid w:val="00960CD5"/>
    <w:rsid w:val="009610F8"/>
    <w:rsid w:val="009613AC"/>
    <w:rsid w:val="00965B36"/>
    <w:rsid w:val="009711DC"/>
    <w:rsid w:val="00972C85"/>
    <w:rsid w:val="00973972"/>
    <w:rsid w:val="00976660"/>
    <w:rsid w:val="00980B90"/>
    <w:rsid w:val="00980F98"/>
    <w:rsid w:val="00981338"/>
    <w:rsid w:val="0098691C"/>
    <w:rsid w:val="00986EEB"/>
    <w:rsid w:val="00991301"/>
    <w:rsid w:val="009A43AD"/>
    <w:rsid w:val="009B37A9"/>
    <w:rsid w:val="009B6216"/>
    <w:rsid w:val="009B7AD2"/>
    <w:rsid w:val="009C0240"/>
    <w:rsid w:val="009C0447"/>
    <w:rsid w:val="009C213E"/>
    <w:rsid w:val="009D22E3"/>
    <w:rsid w:val="009D2B98"/>
    <w:rsid w:val="009D36D0"/>
    <w:rsid w:val="009E014B"/>
    <w:rsid w:val="009E1CD3"/>
    <w:rsid w:val="009E2E2C"/>
    <w:rsid w:val="00A037C2"/>
    <w:rsid w:val="00A05D1A"/>
    <w:rsid w:val="00A070DA"/>
    <w:rsid w:val="00A12C2E"/>
    <w:rsid w:val="00A1352C"/>
    <w:rsid w:val="00A2359E"/>
    <w:rsid w:val="00A243BC"/>
    <w:rsid w:val="00A31E76"/>
    <w:rsid w:val="00A31FAD"/>
    <w:rsid w:val="00A32E10"/>
    <w:rsid w:val="00A42096"/>
    <w:rsid w:val="00A46FB1"/>
    <w:rsid w:val="00A63CF9"/>
    <w:rsid w:val="00A65CEB"/>
    <w:rsid w:val="00A75DB4"/>
    <w:rsid w:val="00A80C36"/>
    <w:rsid w:val="00A81F6C"/>
    <w:rsid w:val="00A8367C"/>
    <w:rsid w:val="00A84B18"/>
    <w:rsid w:val="00A85A82"/>
    <w:rsid w:val="00A96550"/>
    <w:rsid w:val="00AA0B20"/>
    <w:rsid w:val="00AA2415"/>
    <w:rsid w:val="00AA36F4"/>
    <w:rsid w:val="00AA3917"/>
    <w:rsid w:val="00AB18ED"/>
    <w:rsid w:val="00AC23B3"/>
    <w:rsid w:val="00AC533D"/>
    <w:rsid w:val="00AC6D5D"/>
    <w:rsid w:val="00AD1E77"/>
    <w:rsid w:val="00AD251C"/>
    <w:rsid w:val="00AD2953"/>
    <w:rsid w:val="00AD2B13"/>
    <w:rsid w:val="00AD6146"/>
    <w:rsid w:val="00AD747C"/>
    <w:rsid w:val="00AE0CCC"/>
    <w:rsid w:val="00AE3596"/>
    <w:rsid w:val="00AE5620"/>
    <w:rsid w:val="00AF09ED"/>
    <w:rsid w:val="00AF2A69"/>
    <w:rsid w:val="00B11042"/>
    <w:rsid w:val="00B14C54"/>
    <w:rsid w:val="00B20349"/>
    <w:rsid w:val="00B213DF"/>
    <w:rsid w:val="00B2235F"/>
    <w:rsid w:val="00B245B2"/>
    <w:rsid w:val="00B24D41"/>
    <w:rsid w:val="00B25265"/>
    <w:rsid w:val="00B30618"/>
    <w:rsid w:val="00B30A85"/>
    <w:rsid w:val="00B37F42"/>
    <w:rsid w:val="00B4242A"/>
    <w:rsid w:val="00B42721"/>
    <w:rsid w:val="00B4522B"/>
    <w:rsid w:val="00B47F6D"/>
    <w:rsid w:val="00B51365"/>
    <w:rsid w:val="00B52FFE"/>
    <w:rsid w:val="00B61E73"/>
    <w:rsid w:val="00B6460A"/>
    <w:rsid w:val="00B725DC"/>
    <w:rsid w:val="00B76E4A"/>
    <w:rsid w:val="00B7781B"/>
    <w:rsid w:val="00B81DBF"/>
    <w:rsid w:val="00B83576"/>
    <w:rsid w:val="00B9029F"/>
    <w:rsid w:val="00B90944"/>
    <w:rsid w:val="00B9257A"/>
    <w:rsid w:val="00B9273A"/>
    <w:rsid w:val="00B96561"/>
    <w:rsid w:val="00BA3475"/>
    <w:rsid w:val="00BB2244"/>
    <w:rsid w:val="00BB594D"/>
    <w:rsid w:val="00BB6427"/>
    <w:rsid w:val="00BB68D2"/>
    <w:rsid w:val="00BB6EA2"/>
    <w:rsid w:val="00BC35BF"/>
    <w:rsid w:val="00BC460A"/>
    <w:rsid w:val="00BC75FC"/>
    <w:rsid w:val="00BD7066"/>
    <w:rsid w:val="00BE0B7A"/>
    <w:rsid w:val="00BE2A26"/>
    <w:rsid w:val="00BE2CCD"/>
    <w:rsid w:val="00BE6818"/>
    <w:rsid w:val="00BE7E10"/>
    <w:rsid w:val="00BE7E50"/>
    <w:rsid w:val="00BF01AF"/>
    <w:rsid w:val="00BF4D74"/>
    <w:rsid w:val="00BF60EA"/>
    <w:rsid w:val="00BF7034"/>
    <w:rsid w:val="00C01F2D"/>
    <w:rsid w:val="00C02A71"/>
    <w:rsid w:val="00C04825"/>
    <w:rsid w:val="00C073ED"/>
    <w:rsid w:val="00C109C6"/>
    <w:rsid w:val="00C136AF"/>
    <w:rsid w:val="00C14DFC"/>
    <w:rsid w:val="00C160E1"/>
    <w:rsid w:val="00C169F9"/>
    <w:rsid w:val="00C1707F"/>
    <w:rsid w:val="00C175B1"/>
    <w:rsid w:val="00C22273"/>
    <w:rsid w:val="00C22732"/>
    <w:rsid w:val="00C253A8"/>
    <w:rsid w:val="00C26F84"/>
    <w:rsid w:val="00C3242B"/>
    <w:rsid w:val="00C3586D"/>
    <w:rsid w:val="00C420D4"/>
    <w:rsid w:val="00C42626"/>
    <w:rsid w:val="00C456C0"/>
    <w:rsid w:val="00C45BD2"/>
    <w:rsid w:val="00C47106"/>
    <w:rsid w:val="00C55219"/>
    <w:rsid w:val="00C56780"/>
    <w:rsid w:val="00C64C41"/>
    <w:rsid w:val="00C64DE9"/>
    <w:rsid w:val="00C65C43"/>
    <w:rsid w:val="00C7074B"/>
    <w:rsid w:val="00C77EE8"/>
    <w:rsid w:val="00C81457"/>
    <w:rsid w:val="00C8253D"/>
    <w:rsid w:val="00C85696"/>
    <w:rsid w:val="00C85970"/>
    <w:rsid w:val="00C90D0B"/>
    <w:rsid w:val="00C93DE6"/>
    <w:rsid w:val="00C947D5"/>
    <w:rsid w:val="00CA0E38"/>
    <w:rsid w:val="00CA29FC"/>
    <w:rsid w:val="00CA4B19"/>
    <w:rsid w:val="00CA75DD"/>
    <w:rsid w:val="00CB26AA"/>
    <w:rsid w:val="00CB4CC7"/>
    <w:rsid w:val="00CC1C3F"/>
    <w:rsid w:val="00CC374E"/>
    <w:rsid w:val="00CC6BAC"/>
    <w:rsid w:val="00CD026F"/>
    <w:rsid w:val="00CD57CB"/>
    <w:rsid w:val="00CD7AB0"/>
    <w:rsid w:val="00CE09E0"/>
    <w:rsid w:val="00CE4FFC"/>
    <w:rsid w:val="00CE55EE"/>
    <w:rsid w:val="00CF40F6"/>
    <w:rsid w:val="00CF456E"/>
    <w:rsid w:val="00CF79D8"/>
    <w:rsid w:val="00D02597"/>
    <w:rsid w:val="00D063FD"/>
    <w:rsid w:val="00D1476B"/>
    <w:rsid w:val="00D147BE"/>
    <w:rsid w:val="00D233F1"/>
    <w:rsid w:val="00D25B81"/>
    <w:rsid w:val="00D347D7"/>
    <w:rsid w:val="00D357F8"/>
    <w:rsid w:val="00D4316F"/>
    <w:rsid w:val="00D45265"/>
    <w:rsid w:val="00D46DD2"/>
    <w:rsid w:val="00D618BB"/>
    <w:rsid w:val="00D62332"/>
    <w:rsid w:val="00D628EF"/>
    <w:rsid w:val="00D62DC2"/>
    <w:rsid w:val="00D638D5"/>
    <w:rsid w:val="00D64115"/>
    <w:rsid w:val="00D64E1F"/>
    <w:rsid w:val="00D651C3"/>
    <w:rsid w:val="00D732B7"/>
    <w:rsid w:val="00D742EE"/>
    <w:rsid w:val="00D745C5"/>
    <w:rsid w:val="00D7502E"/>
    <w:rsid w:val="00D83E12"/>
    <w:rsid w:val="00D85402"/>
    <w:rsid w:val="00D87240"/>
    <w:rsid w:val="00D87298"/>
    <w:rsid w:val="00DA4F25"/>
    <w:rsid w:val="00DA7485"/>
    <w:rsid w:val="00DB23A1"/>
    <w:rsid w:val="00DB4430"/>
    <w:rsid w:val="00DB4AFE"/>
    <w:rsid w:val="00DB51D2"/>
    <w:rsid w:val="00DC0CE9"/>
    <w:rsid w:val="00DC0E5A"/>
    <w:rsid w:val="00DC1A1B"/>
    <w:rsid w:val="00DC1B67"/>
    <w:rsid w:val="00DD00B3"/>
    <w:rsid w:val="00DD2A6C"/>
    <w:rsid w:val="00DD3FCA"/>
    <w:rsid w:val="00DD4CC8"/>
    <w:rsid w:val="00DD6960"/>
    <w:rsid w:val="00DE2EBA"/>
    <w:rsid w:val="00DE4C28"/>
    <w:rsid w:val="00DE5723"/>
    <w:rsid w:val="00DF1B38"/>
    <w:rsid w:val="00DF3302"/>
    <w:rsid w:val="00E00336"/>
    <w:rsid w:val="00E0137B"/>
    <w:rsid w:val="00E06A72"/>
    <w:rsid w:val="00E06B20"/>
    <w:rsid w:val="00E11216"/>
    <w:rsid w:val="00E13AB7"/>
    <w:rsid w:val="00E13C98"/>
    <w:rsid w:val="00E14D0B"/>
    <w:rsid w:val="00E15B0C"/>
    <w:rsid w:val="00E15DFC"/>
    <w:rsid w:val="00E20EE9"/>
    <w:rsid w:val="00E21C4F"/>
    <w:rsid w:val="00E22112"/>
    <w:rsid w:val="00E225A0"/>
    <w:rsid w:val="00E244C1"/>
    <w:rsid w:val="00E305B2"/>
    <w:rsid w:val="00E30950"/>
    <w:rsid w:val="00E309F2"/>
    <w:rsid w:val="00E34CD7"/>
    <w:rsid w:val="00E45826"/>
    <w:rsid w:val="00E51423"/>
    <w:rsid w:val="00E62C14"/>
    <w:rsid w:val="00E6309A"/>
    <w:rsid w:val="00E63A38"/>
    <w:rsid w:val="00E74A56"/>
    <w:rsid w:val="00E74DCC"/>
    <w:rsid w:val="00E778AA"/>
    <w:rsid w:val="00E80709"/>
    <w:rsid w:val="00E861C9"/>
    <w:rsid w:val="00E86E87"/>
    <w:rsid w:val="00EA0014"/>
    <w:rsid w:val="00EA1CD5"/>
    <w:rsid w:val="00EA26BA"/>
    <w:rsid w:val="00EA6A2F"/>
    <w:rsid w:val="00EA77D0"/>
    <w:rsid w:val="00EB0BC4"/>
    <w:rsid w:val="00EB31CB"/>
    <w:rsid w:val="00EB640C"/>
    <w:rsid w:val="00EC60F8"/>
    <w:rsid w:val="00ED0065"/>
    <w:rsid w:val="00ED27EC"/>
    <w:rsid w:val="00ED328B"/>
    <w:rsid w:val="00ED3B96"/>
    <w:rsid w:val="00ED66DF"/>
    <w:rsid w:val="00ED7503"/>
    <w:rsid w:val="00ED770A"/>
    <w:rsid w:val="00EE05F3"/>
    <w:rsid w:val="00EE1DCE"/>
    <w:rsid w:val="00EE25D4"/>
    <w:rsid w:val="00EE3AC8"/>
    <w:rsid w:val="00EE4F4E"/>
    <w:rsid w:val="00EE5E70"/>
    <w:rsid w:val="00F001AF"/>
    <w:rsid w:val="00F01028"/>
    <w:rsid w:val="00F01CBA"/>
    <w:rsid w:val="00F02A45"/>
    <w:rsid w:val="00F05845"/>
    <w:rsid w:val="00F062E7"/>
    <w:rsid w:val="00F06F31"/>
    <w:rsid w:val="00F075DF"/>
    <w:rsid w:val="00F15A2E"/>
    <w:rsid w:val="00F1755E"/>
    <w:rsid w:val="00F201A9"/>
    <w:rsid w:val="00F23969"/>
    <w:rsid w:val="00F311F5"/>
    <w:rsid w:val="00F338A2"/>
    <w:rsid w:val="00F34988"/>
    <w:rsid w:val="00F36170"/>
    <w:rsid w:val="00F40E54"/>
    <w:rsid w:val="00F43377"/>
    <w:rsid w:val="00F46D86"/>
    <w:rsid w:val="00F46D88"/>
    <w:rsid w:val="00F523D0"/>
    <w:rsid w:val="00F52A40"/>
    <w:rsid w:val="00F66318"/>
    <w:rsid w:val="00F67E1F"/>
    <w:rsid w:val="00F738C4"/>
    <w:rsid w:val="00F80DBD"/>
    <w:rsid w:val="00F840F5"/>
    <w:rsid w:val="00F85BDB"/>
    <w:rsid w:val="00F8729C"/>
    <w:rsid w:val="00F913F9"/>
    <w:rsid w:val="00F91671"/>
    <w:rsid w:val="00F926D2"/>
    <w:rsid w:val="00F9390A"/>
    <w:rsid w:val="00F93A95"/>
    <w:rsid w:val="00F9481E"/>
    <w:rsid w:val="00F952D2"/>
    <w:rsid w:val="00FA27B0"/>
    <w:rsid w:val="00FA4CE7"/>
    <w:rsid w:val="00FA5B22"/>
    <w:rsid w:val="00FA7117"/>
    <w:rsid w:val="00FB0755"/>
    <w:rsid w:val="00FB2BEA"/>
    <w:rsid w:val="00FB42AE"/>
    <w:rsid w:val="00FB79E1"/>
    <w:rsid w:val="00FC161E"/>
    <w:rsid w:val="00FC3D6B"/>
    <w:rsid w:val="00FC6397"/>
    <w:rsid w:val="00FC6AE3"/>
    <w:rsid w:val="00FC6C0D"/>
    <w:rsid w:val="00FD1C31"/>
    <w:rsid w:val="00FD4381"/>
    <w:rsid w:val="00FD61A9"/>
    <w:rsid w:val="00FE1F61"/>
    <w:rsid w:val="00FE3EC4"/>
    <w:rsid w:val="00FE4174"/>
    <w:rsid w:val="00FE62CD"/>
    <w:rsid w:val="00FE677A"/>
    <w:rsid w:val="00FF0137"/>
    <w:rsid w:val="00FF05D5"/>
    <w:rsid w:val="00FF1DD7"/>
    <w:rsid w:val="00FF3268"/>
    <w:rsid w:val="00FF372D"/>
    <w:rsid w:val="00FF4AB3"/>
    <w:rsid w:val="00FF4E1A"/>
    <w:rsid w:val="00FF568B"/>
    <w:rsid w:val="00FF6A12"/>
    <w:rsid w:val="00FF757A"/>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8AEA6"/>
  <w15:docId w15:val="{778099EB-00AB-4231-8059-AC12646E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8" w:unhideWhenUsed="1" w:qFormat="1"/>
    <w:lsdException w:name="heading 6" w:semiHidden="1" w:uiPriority="8" w:unhideWhenUsed="1" w:qFormat="1"/>
    <w:lsdException w:name="heading 7" w:semiHidden="1" w:unhideWhenUsed="1" w:qFormat="1"/>
    <w:lsdException w:name="heading 8" w:semiHidden="1"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69" w:unhideWhenUsed="1"/>
    <w:lsdException w:name="header" w:semiHidden="1" w:uiPriority="29" w:unhideWhenUsed="1"/>
    <w:lsdException w:name="footer" w:semiHidden="1" w:uiPriority="29" w:unhideWhenUsed="1"/>
    <w:lsdException w:name="index heading" w:semiHidden="1" w:unhideWhenUsed="1"/>
    <w:lsdException w:name="caption" w:semiHidden="1" w:uiPriority="49" w:unhideWhenUsed="1" w:qFormat="1"/>
    <w:lsdException w:name="table of figures" w:semiHidden="1" w:uiPriority="40" w:unhideWhenUsed="1"/>
    <w:lsdException w:name="envelope address" w:semiHidden="1" w:uiPriority="69" w:unhideWhenUsed="1"/>
    <w:lsdException w:name="envelope return" w:semiHidden="1" w:uiPriority="69" w:unhideWhenUsed="1"/>
    <w:lsdException w:name="footnote reference" w:semiHidden="1" w:unhideWhenUsed="1"/>
    <w:lsdException w:name="annotation reference" w:semiHidden="1" w:uiPriority="69" w:unhideWhenUsed="1"/>
    <w:lsdException w:name="line number" w:semiHidden="1" w:unhideWhenUsed="1"/>
    <w:lsdException w:name="page number" w:semiHidden="1" w:unhideWhenUsed="1"/>
    <w:lsdException w:name="endnote reference" w:semiHidden="1" w:uiPriority="69" w:unhideWhenUsed="1"/>
    <w:lsdException w:name="endnote text" w:semiHidden="1" w:uiPriority="69"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nhideWhenUsed="1"/>
    <w:lsdException w:name="List Bullet 5" w:semiHidden="1" w:unhideWhenUsed="1"/>
    <w:lsdException w:name="List Number 2" w:semiHidden="1" w:uiPriority="9" w:unhideWhenUsed="1" w:qFormat="1"/>
    <w:lsdException w:name="List Number 3" w:semiHidden="1" w:uiPriority="9" w:unhideWhenUsed="1" w:qFormat="1"/>
    <w:lsdException w:name="List Number 4" w:semiHidden="1" w:unhideWhenUsed="1"/>
    <w:lsdException w:name="List Number 5" w:semiHidden="1" w:unhideWhenUsed="1"/>
    <w:lsdException w:name="Title" w:uiPriority="25" w:qFormat="1"/>
    <w:lsdException w:name="Closing" w:semiHidden="1" w:uiPriority="69" w:unhideWhenUsed="1"/>
    <w:lsdException w:name="Signature" w:semiHidden="1" w:uiPriority="49" w:unhideWhenUsed="1"/>
    <w:lsdException w:name="Default Paragraph Font" w:semiHidden="1" w:uiPriority="1" w:unhideWhenUsed="1"/>
    <w:lsdException w:name="Body Text" w:semiHidden="1" w:uiPriority="69" w:unhideWhenUsed="1"/>
    <w:lsdException w:name="Body Text Indent" w:semiHidden="1" w:uiPriority="6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iPriority="49" w:unhideWhenUsed="1"/>
    <w:lsdException w:name="Date" w:semiHidden="1" w:uiPriority="69" w:unhideWhenUsed="1"/>
    <w:lsdException w:name="Body Text First Indent" w:semiHidden="1" w:uiPriority="69" w:unhideWhenUsed="1"/>
    <w:lsdException w:name="Body Text First Indent 2" w:semiHidden="1" w:uiPriority="69" w:unhideWhenUsed="1"/>
    <w:lsdException w:name="Note Heading" w:semiHidden="1" w:unhideWhenUsed="1"/>
    <w:lsdException w:name="Body Text 2" w:semiHidden="1" w:uiPriority="69" w:unhideWhenUsed="1"/>
    <w:lsdException w:name="Body Text 3" w:semiHidden="1" w:uiPriority="69" w:unhideWhenUsed="1"/>
    <w:lsdException w:name="Body Text Indent 2" w:semiHidden="1" w:uiPriority="69" w:unhideWhenUsed="1"/>
    <w:lsdException w:name="Body Text Indent 3" w:semiHidden="1" w:uiPriority="69"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69" w:qFormat="1"/>
    <w:lsdException w:name="Document Map" w:semiHidden="1" w:uiPriority="69" w:unhideWhenUsed="1"/>
    <w:lsdException w:name="Plain Text" w:semiHidden="1" w:uiPriority="49" w:unhideWhenUsed="1"/>
    <w:lsdException w:name="E-mail Signature" w:semiHidden="1" w:uiPriority="6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6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69"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B7CFF"/>
    <w:pPr>
      <w:spacing w:after="240"/>
    </w:pPr>
    <w:rPr>
      <w:rFonts w:ascii="Times New Roman" w:eastAsia="Times New Roman" w:hAnsi="Times New Roman" w:cs="Times New Roman"/>
      <w:sz w:val="24"/>
      <w:szCs w:val="24"/>
    </w:rPr>
  </w:style>
  <w:style w:type="paragraph" w:styleId="Heading1">
    <w:name w:val="heading 1"/>
    <w:next w:val="Paragraph"/>
    <w:link w:val="Heading1Char"/>
    <w:uiPriority w:val="4"/>
    <w:qFormat/>
    <w:rsid w:val="003B7CFF"/>
    <w:pPr>
      <w:keepNext/>
      <w:keepLines/>
      <w:numPr>
        <w:numId w:val="3"/>
      </w:numPr>
      <w:spacing w:before="240" w:after="240" w:line="240" w:lineRule="auto"/>
      <w:outlineLvl w:val="0"/>
    </w:pPr>
    <w:rPr>
      <w:rFonts w:ascii="Times New Roman" w:eastAsia="Times New Roman" w:hAnsi="Times New Roman" w:cs="Arial"/>
      <w:b/>
      <w:bCs/>
      <w:caps/>
      <w:kern w:val="32"/>
      <w:sz w:val="28"/>
      <w:szCs w:val="28"/>
      <w:lang w:val="en-GB"/>
    </w:rPr>
  </w:style>
  <w:style w:type="paragraph" w:styleId="Heading2">
    <w:name w:val="heading 2"/>
    <w:next w:val="Paragraph"/>
    <w:link w:val="Heading2Char"/>
    <w:uiPriority w:val="4"/>
    <w:qFormat/>
    <w:rsid w:val="00705CDF"/>
    <w:pPr>
      <w:keepNext/>
      <w:keepLines/>
      <w:numPr>
        <w:ilvl w:val="1"/>
        <w:numId w:val="3"/>
      </w:numPr>
      <w:tabs>
        <w:tab w:val="clear" w:pos="1418"/>
        <w:tab w:val="num" w:pos="1134"/>
      </w:tabs>
      <w:spacing w:before="60" w:after="120" w:line="240" w:lineRule="auto"/>
      <w:ind w:left="1134"/>
      <w:outlineLvl w:val="1"/>
    </w:pPr>
    <w:rPr>
      <w:rFonts w:ascii="Times New Roman Bold" w:eastAsia="Times New Roman" w:hAnsi="Times New Roman Bold" w:cs="Arial"/>
      <w:b/>
      <w:bCs/>
      <w:iCs/>
      <w:caps/>
      <w:sz w:val="24"/>
      <w:szCs w:val="26"/>
      <w:lang w:val="en-GB"/>
    </w:rPr>
  </w:style>
  <w:style w:type="paragraph" w:styleId="Heading3">
    <w:name w:val="heading 3"/>
    <w:next w:val="Paragraph"/>
    <w:link w:val="Heading3Char"/>
    <w:uiPriority w:val="4"/>
    <w:qFormat/>
    <w:rsid w:val="003B7CFF"/>
    <w:pPr>
      <w:keepNext/>
      <w:keepLines/>
      <w:numPr>
        <w:ilvl w:val="2"/>
        <w:numId w:val="3"/>
      </w:numPr>
      <w:spacing w:before="60" w:after="120" w:line="240" w:lineRule="auto"/>
      <w:outlineLvl w:val="2"/>
    </w:pPr>
    <w:rPr>
      <w:rFonts w:ascii="Times New Roman" w:eastAsia="Times New Roman" w:hAnsi="Times New Roman" w:cs="Arial"/>
      <w:b/>
      <w:bCs/>
      <w:sz w:val="26"/>
      <w:szCs w:val="24"/>
      <w:lang w:val="en-GB"/>
    </w:rPr>
  </w:style>
  <w:style w:type="paragraph" w:styleId="Heading4">
    <w:name w:val="heading 4"/>
    <w:next w:val="Paragraph"/>
    <w:link w:val="Heading4Char"/>
    <w:uiPriority w:val="4"/>
    <w:qFormat/>
    <w:rsid w:val="003B7CFF"/>
    <w:pPr>
      <w:keepNext/>
      <w:keepLines/>
      <w:numPr>
        <w:ilvl w:val="3"/>
        <w:numId w:val="3"/>
      </w:numPr>
      <w:spacing w:before="60" w:after="60" w:line="240" w:lineRule="auto"/>
      <w:outlineLvl w:val="3"/>
    </w:pPr>
    <w:rPr>
      <w:rFonts w:ascii="Times New Roman" w:eastAsia="Times New Roman" w:hAnsi="Times New Roman" w:cs="Times New Roman"/>
      <w:b/>
      <w:bCs/>
      <w:sz w:val="24"/>
      <w:lang w:val="en-GB"/>
    </w:rPr>
  </w:style>
  <w:style w:type="paragraph" w:styleId="Heading5">
    <w:name w:val="heading 5"/>
    <w:next w:val="Paragraph"/>
    <w:link w:val="Heading5Char"/>
    <w:uiPriority w:val="8"/>
    <w:qFormat/>
    <w:rsid w:val="003B7CFF"/>
    <w:pPr>
      <w:keepNext/>
      <w:keepLines/>
      <w:numPr>
        <w:ilvl w:val="4"/>
        <w:numId w:val="3"/>
      </w:numPr>
      <w:tabs>
        <w:tab w:val="left" w:pos="1440"/>
      </w:tabs>
      <w:spacing w:before="60" w:after="60" w:line="240" w:lineRule="auto"/>
      <w:outlineLvl w:val="4"/>
    </w:pPr>
    <w:rPr>
      <w:rFonts w:ascii="Times New Roman Bold" w:eastAsia="Times New Roman" w:hAnsi="Times New Roman Bold" w:cs="Arial"/>
      <w:b/>
      <w:bCs/>
      <w:iCs/>
      <w:lang w:val="en-US"/>
    </w:rPr>
  </w:style>
  <w:style w:type="paragraph" w:styleId="Heading6">
    <w:name w:val="heading 6"/>
    <w:next w:val="Paragraph"/>
    <w:link w:val="Heading6Char"/>
    <w:uiPriority w:val="8"/>
    <w:qFormat/>
    <w:rsid w:val="003B7CFF"/>
    <w:pPr>
      <w:keepNext/>
      <w:keepLines/>
      <w:numPr>
        <w:ilvl w:val="5"/>
        <w:numId w:val="3"/>
      </w:numPr>
      <w:tabs>
        <w:tab w:val="left" w:pos="1680"/>
      </w:tabs>
      <w:spacing w:before="60" w:after="60" w:line="240" w:lineRule="auto"/>
      <w:outlineLvl w:val="5"/>
    </w:pPr>
    <w:rPr>
      <w:rFonts w:ascii="Times New Roman" w:eastAsia="Times New Roman" w:hAnsi="Times New Roman" w:cs="Arial"/>
      <w:b/>
      <w:bCs/>
      <w:i/>
      <w:lang w:val="en-US"/>
    </w:rPr>
  </w:style>
  <w:style w:type="paragraph" w:styleId="Heading7">
    <w:name w:val="heading 7"/>
    <w:next w:val="Paragraph"/>
    <w:link w:val="Heading7Char"/>
    <w:uiPriority w:val="99"/>
    <w:semiHidden/>
    <w:qFormat/>
    <w:rsid w:val="003B7CFF"/>
    <w:pPr>
      <w:keepNext/>
      <w:keepLines/>
      <w:numPr>
        <w:ilvl w:val="6"/>
        <w:numId w:val="3"/>
      </w:numPr>
      <w:tabs>
        <w:tab w:val="left" w:pos="1920"/>
      </w:tabs>
      <w:spacing w:after="240" w:line="240" w:lineRule="auto"/>
      <w:outlineLvl w:val="6"/>
    </w:pPr>
    <w:rPr>
      <w:rFonts w:ascii="Times New Roman" w:eastAsia="Times New Roman" w:hAnsi="Times New Roman" w:cs="Arial"/>
      <w:i/>
      <w:sz w:val="24"/>
      <w:szCs w:val="24"/>
      <w:lang w:val="en-US"/>
    </w:rPr>
  </w:style>
  <w:style w:type="paragraph" w:styleId="Heading8">
    <w:name w:val="heading 8"/>
    <w:next w:val="Paragraph"/>
    <w:link w:val="Heading8Char"/>
    <w:uiPriority w:val="99"/>
    <w:semiHidden/>
    <w:qFormat/>
    <w:rsid w:val="003B7CFF"/>
    <w:pPr>
      <w:keepNext/>
      <w:keepLines/>
      <w:numPr>
        <w:ilvl w:val="7"/>
        <w:numId w:val="3"/>
      </w:numPr>
      <w:tabs>
        <w:tab w:val="left" w:pos="2160"/>
      </w:tabs>
      <w:spacing w:after="240" w:line="240" w:lineRule="auto"/>
      <w:outlineLvl w:val="7"/>
    </w:pPr>
    <w:rPr>
      <w:rFonts w:ascii="Times New Roman" w:eastAsia="Times New Roman" w:hAnsi="Times New Roman" w:cs="Arial"/>
      <w:i/>
      <w:iCs/>
      <w:sz w:val="24"/>
      <w:szCs w:val="24"/>
      <w:lang w:val="en-US"/>
    </w:rPr>
  </w:style>
  <w:style w:type="paragraph" w:styleId="Heading9">
    <w:name w:val="heading 9"/>
    <w:aliases w:val="-References"/>
    <w:next w:val="Paragraph"/>
    <w:link w:val="Heading9Char"/>
    <w:uiPriority w:val="7"/>
    <w:qFormat/>
    <w:rsid w:val="003B7CFF"/>
    <w:pPr>
      <w:keepNext/>
      <w:keepLines/>
      <w:numPr>
        <w:ilvl w:val="8"/>
        <w:numId w:val="3"/>
      </w:numPr>
      <w:spacing w:before="120" w:after="0" w:line="240" w:lineRule="auto"/>
      <w:outlineLvl w:val="8"/>
    </w:pPr>
    <w:rPr>
      <w:rFonts w:ascii="Times New Roman" w:eastAsia="Times New Roman" w:hAnsi="Times New Roman" w:cs="Arial"/>
      <w:b/>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3B7CFF"/>
    <w:rPr>
      <w:rFonts w:ascii="Times New Roman" w:eastAsia="Times New Roman" w:hAnsi="Times New Roman" w:cs="Arial"/>
      <w:b/>
      <w:bCs/>
      <w:caps/>
      <w:kern w:val="32"/>
      <w:sz w:val="28"/>
      <w:szCs w:val="28"/>
      <w:lang w:val="en-GB"/>
    </w:rPr>
  </w:style>
  <w:style w:type="character" w:customStyle="1" w:styleId="Heading2Char">
    <w:name w:val="Heading 2 Char"/>
    <w:basedOn w:val="DefaultParagraphFont"/>
    <w:link w:val="Heading2"/>
    <w:uiPriority w:val="4"/>
    <w:rsid w:val="00705CDF"/>
    <w:rPr>
      <w:rFonts w:ascii="Times New Roman Bold" w:eastAsia="Times New Roman" w:hAnsi="Times New Roman Bold" w:cs="Arial"/>
      <w:b/>
      <w:bCs/>
      <w:iCs/>
      <w:caps/>
      <w:sz w:val="24"/>
      <w:szCs w:val="26"/>
      <w:lang w:val="en-GB"/>
    </w:rPr>
  </w:style>
  <w:style w:type="character" w:customStyle="1" w:styleId="Heading3Char">
    <w:name w:val="Heading 3 Char"/>
    <w:basedOn w:val="DefaultParagraphFont"/>
    <w:link w:val="Heading3"/>
    <w:uiPriority w:val="4"/>
    <w:rsid w:val="003B7CFF"/>
    <w:rPr>
      <w:rFonts w:ascii="Times New Roman" w:eastAsia="Times New Roman" w:hAnsi="Times New Roman" w:cs="Arial"/>
      <w:b/>
      <w:bCs/>
      <w:sz w:val="26"/>
      <w:szCs w:val="24"/>
      <w:lang w:val="en-GB"/>
    </w:rPr>
  </w:style>
  <w:style w:type="character" w:customStyle="1" w:styleId="Heading4Char">
    <w:name w:val="Heading 4 Char"/>
    <w:basedOn w:val="DefaultParagraphFont"/>
    <w:link w:val="Heading4"/>
    <w:uiPriority w:val="4"/>
    <w:rsid w:val="003B7CFF"/>
    <w:rPr>
      <w:rFonts w:ascii="Times New Roman" w:eastAsia="Times New Roman" w:hAnsi="Times New Roman" w:cs="Times New Roman"/>
      <w:b/>
      <w:bCs/>
      <w:sz w:val="24"/>
      <w:lang w:val="en-GB"/>
    </w:rPr>
  </w:style>
  <w:style w:type="character" w:customStyle="1" w:styleId="Heading5Char">
    <w:name w:val="Heading 5 Char"/>
    <w:basedOn w:val="DefaultParagraphFont"/>
    <w:link w:val="Heading5"/>
    <w:uiPriority w:val="8"/>
    <w:rsid w:val="003B7CFF"/>
    <w:rPr>
      <w:rFonts w:ascii="Times New Roman Bold" w:eastAsia="Times New Roman" w:hAnsi="Times New Roman Bold" w:cs="Arial"/>
      <w:b/>
      <w:bCs/>
      <w:iCs/>
      <w:lang w:val="en-US"/>
    </w:rPr>
  </w:style>
  <w:style w:type="character" w:customStyle="1" w:styleId="Heading6Char">
    <w:name w:val="Heading 6 Char"/>
    <w:basedOn w:val="DefaultParagraphFont"/>
    <w:link w:val="Heading6"/>
    <w:uiPriority w:val="8"/>
    <w:rsid w:val="003B7CFF"/>
    <w:rPr>
      <w:rFonts w:ascii="Times New Roman" w:eastAsia="Times New Roman" w:hAnsi="Times New Roman" w:cs="Arial"/>
      <w:b/>
      <w:bCs/>
      <w:i/>
      <w:lang w:val="en-US"/>
    </w:rPr>
  </w:style>
  <w:style w:type="character" w:customStyle="1" w:styleId="Heading7Char">
    <w:name w:val="Heading 7 Char"/>
    <w:basedOn w:val="DefaultParagraphFont"/>
    <w:link w:val="Heading7"/>
    <w:uiPriority w:val="99"/>
    <w:semiHidden/>
    <w:rsid w:val="003B7CFF"/>
    <w:rPr>
      <w:rFonts w:ascii="Times New Roman" w:eastAsia="Times New Roman" w:hAnsi="Times New Roman" w:cs="Arial"/>
      <w:i/>
      <w:sz w:val="24"/>
      <w:szCs w:val="24"/>
      <w:lang w:val="en-US"/>
    </w:rPr>
  </w:style>
  <w:style w:type="character" w:customStyle="1" w:styleId="Heading8Char">
    <w:name w:val="Heading 8 Char"/>
    <w:basedOn w:val="DefaultParagraphFont"/>
    <w:link w:val="Heading8"/>
    <w:uiPriority w:val="99"/>
    <w:semiHidden/>
    <w:rsid w:val="003B7CFF"/>
    <w:rPr>
      <w:rFonts w:ascii="Times New Roman" w:eastAsia="Times New Roman" w:hAnsi="Times New Roman" w:cs="Arial"/>
      <w:i/>
      <w:iCs/>
      <w:sz w:val="24"/>
      <w:szCs w:val="24"/>
      <w:lang w:val="en-US"/>
    </w:rPr>
  </w:style>
  <w:style w:type="character" w:customStyle="1" w:styleId="Heading9Char">
    <w:name w:val="Heading 9 Char"/>
    <w:aliases w:val="-References Char"/>
    <w:basedOn w:val="DefaultParagraphFont"/>
    <w:link w:val="Heading9"/>
    <w:uiPriority w:val="7"/>
    <w:rsid w:val="003B7CFF"/>
    <w:rPr>
      <w:rFonts w:ascii="Times New Roman" w:eastAsia="Times New Roman" w:hAnsi="Times New Roman" w:cs="Arial"/>
      <w:b/>
      <w:szCs w:val="24"/>
      <w:lang w:val="en-GB"/>
    </w:rPr>
  </w:style>
  <w:style w:type="paragraph" w:styleId="ListParagraph">
    <w:name w:val="List Paragraph"/>
    <w:aliases w:val="Bullet1,Bullet List,Section 5,hyperlink,Hyperlink1,Hyperlink2,Odstavec se seznamem1,Hyperlink11,Bullet 1,Table Legend,Paragraphe de liste,Level 1 Bullet,Sub questions,List Paragraph 1,Bullet 1 2"/>
    <w:basedOn w:val="Normal"/>
    <w:link w:val="ListParagraphChar"/>
    <w:uiPriority w:val="34"/>
    <w:qFormat/>
    <w:rsid w:val="003B7CFF"/>
    <w:pPr>
      <w:contextualSpacing/>
    </w:pPr>
  </w:style>
  <w:style w:type="character" w:styleId="CommentReference">
    <w:name w:val="annotation reference"/>
    <w:uiPriority w:val="69"/>
    <w:semiHidden/>
    <w:rsid w:val="003B7CFF"/>
    <w:rPr>
      <w:sz w:val="16"/>
      <w:szCs w:val="16"/>
    </w:rPr>
  </w:style>
  <w:style w:type="paragraph" w:styleId="CommentText">
    <w:name w:val="annotation text"/>
    <w:basedOn w:val="Normal"/>
    <w:link w:val="CommentTextChar"/>
    <w:uiPriority w:val="69"/>
    <w:semiHidden/>
    <w:rsid w:val="003B7CFF"/>
    <w:rPr>
      <w:sz w:val="20"/>
      <w:szCs w:val="20"/>
    </w:rPr>
  </w:style>
  <w:style w:type="character" w:customStyle="1" w:styleId="CommentTextChar">
    <w:name w:val="Comment Text Char"/>
    <w:basedOn w:val="DefaultParagraphFont"/>
    <w:link w:val="CommentText"/>
    <w:uiPriority w:val="69"/>
    <w:semiHidden/>
    <w:rsid w:val="003B7CFF"/>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rsid w:val="003B7CFF"/>
    <w:rPr>
      <w:sz w:val="20"/>
      <w:szCs w:val="20"/>
    </w:rPr>
  </w:style>
  <w:style w:type="character" w:customStyle="1" w:styleId="FootnoteTextChar">
    <w:name w:val="Footnote Text Char"/>
    <w:basedOn w:val="DefaultParagraphFont"/>
    <w:link w:val="FootnoteText"/>
    <w:uiPriority w:val="99"/>
    <w:rsid w:val="003B7CFF"/>
    <w:rPr>
      <w:rFonts w:ascii="Times New Roman" w:eastAsia="Times New Roman" w:hAnsi="Times New Roman" w:cs="Times New Roman"/>
      <w:sz w:val="20"/>
      <w:szCs w:val="20"/>
      <w:lang w:val="en-GB"/>
    </w:rPr>
  </w:style>
  <w:style w:type="character" w:styleId="FootnoteReference">
    <w:name w:val="footnote reference"/>
    <w:uiPriority w:val="99"/>
    <w:rsid w:val="003B7CFF"/>
    <w:rPr>
      <w:vertAlign w:val="superscript"/>
    </w:rPr>
  </w:style>
  <w:style w:type="paragraph" w:styleId="ListBullet">
    <w:name w:val="List Bullet"/>
    <w:uiPriority w:val="9"/>
    <w:qFormat/>
    <w:rsid w:val="003B7CFF"/>
    <w:pPr>
      <w:numPr>
        <w:numId w:val="7"/>
      </w:numPr>
      <w:spacing w:before="60" w:after="60" w:line="240" w:lineRule="auto"/>
    </w:pPr>
    <w:rPr>
      <w:rFonts w:ascii="Times New Roman" w:eastAsia="Times New Roman" w:hAnsi="Times New Roman" w:cs="Times New Roman"/>
      <w:sz w:val="24"/>
      <w:szCs w:val="20"/>
      <w:lang w:val="en-GB"/>
    </w:rPr>
  </w:style>
  <w:style w:type="character" w:styleId="Hyperlink">
    <w:name w:val="Hyperlink"/>
    <w:uiPriority w:val="99"/>
    <w:rsid w:val="003B7CFF"/>
    <w:rPr>
      <w:color w:val="0000FF"/>
      <w:u w:val="non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Header"/>
    <w:link w:val="FooterChar"/>
    <w:uiPriority w:val="29"/>
    <w:rsid w:val="003B7CFF"/>
  </w:style>
  <w:style w:type="character" w:customStyle="1" w:styleId="FooterChar">
    <w:name w:val="Footer Char"/>
    <w:basedOn w:val="DefaultParagraphFont"/>
    <w:link w:val="Footer"/>
    <w:uiPriority w:val="29"/>
    <w:rsid w:val="003B7C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69"/>
    <w:semiHidden/>
    <w:rsid w:val="003B7CFF"/>
    <w:rPr>
      <w:rFonts w:ascii="Arial Narrow" w:hAnsi="Arial Narrow" w:cs="Tahoma"/>
      <w:sz w:val="18"/>
      <w:szCs w:val="16"/>
    </w:rPr>
  </w:style>
  <w:style w:type="character" w:customStyle="1" w:styleId="BalloonTextChar">
    <w:name w:val="Balloon Text Char"/>
    <w:basedOn w:val="DefaultParagraphFont"/>
    <w:link w:val="BalloonText"/>
    <w:uiPriority w:val="69"/>
    <w:semiHidden/>
    <w:rsid w:val="003B7CFF"/>
    <w:rPr>
      <w:rFonts w:ascii="Arial Narrow" w:eastAsia="Times New Roman" w:hAnsi="Arial Narrow" w:cs="Tahoma"/>
      <w:sz w:val="18"/>
      <w:szCs w:val="16"/>
      <w:lang w:val="en-GB"/>
    </w:rPr>
  </w:style>
  <w:style w:type="paragraph" w:customStyle="1" w:styleId="AppendixNumeric">
    <w:name w:val="Appendix Numeric"/>
    <w:next w:val="Paragraph"/>
    <w:uiPriority w:val="20"/>
    <w:qFormat/>
    <w:rsid w:val="003B7CFF"/>
    <w:pPr>
      <w:pageBreakBefore/>
      <w:numPr>
        <w:numId w:val="1"/>
      </w:numPr>
      <w:tabs>
        <w:tab w:val="clear" w:pos="1701"/>
        <w:tab w:val="num" w:pos="360"/>
      </w:tabs>
      <w:spacing w:after="160" w:line="240" w:lineRule="auto"/>
      <w:ind w:left="0" w:firstLine="0"/>
    </w:pPr>
    <w:rPr>
      <w:rFonts w:ascii="Times New Roman" w:eastAsia="Times New Roman" w:hAnsi="Times New Roman" w:cs="Arial"/>
      <w:b/>
      <w:iCs/>
      <w:snapToGrid w:val="0"/>
      <w:sz w:val="28"/>
      <w:szCs w:val="26"/>
      <w:lang w:val="sv-SE"/>
    </w:rPr>
  </w:style>
  <w:style w:type="paragraph" w:customStyle="1" w:styleId="AppendixAlpha">
    <w:name w:val="Appendix Alpha"/>
    <w:basedOn w:val="AppendixNumeric"/>
    <w:next w:val="Paragraph"/>
    <w:uiPriority w:val="21"/>
    <w:qFormat/>
    <w:rsid w:val="003B7CFF"/>
    <w:pPr>
      <w:keepNext/>
      <w:keepLines/>
      <w:numPr>
        <w:numId w:val="2"/>
      </w:numPr>
      <w:tabs>
        <w:tab w:val="clear" w:pos="1701"/>
        <w:tab w:val="num" w:pos="360"/>
      </w:tabs>
      <w:ind w:left="0" w:firstLine="0"/>
    </w:pPr>
  </w:style>
  <w:style w:type="table" w:styleId="PlainTable1">
    <w:name w:val="Plain Table 1"/>
    <w:basedOn w:val="TableNormal"/>
    <w:uiPriority w:val="41"/>
    <w:rsid w:val="00EE3AC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E3A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pproval">
    <w:name w:val="Approval"/>
    <w:basedOn w:val="Paragraph"/>
    <w:uiPriority w:val="24"/>
    <w:rsid w:val="003B7CFF"/>
  </w:style>
  <w:style w:type="paragraph" w:styleId="BodyText">
    <w:name w:val="Body Text"/>
    <w:basedOn w:val="Normal"/>
    <w:link w:val="BodyTextChar"/>
    <w:uiPriority w:val="69"/>
    <w:semiHidden/>
    <w:rsid w:val="003B7CFF"/>
    <w:pPr>
      <w:spacing w:after="120"/>
    </w:pPr>
  </w:style>
  <w:style w:type="character" w:customStyle="1" w:styleId="BodyTextChar">
    <w:name w:val="Body Text Char"/>
    <w:basedOn w:val="DefaultParagraphFont"/>
    <w:link w:val="BodyText"/>
    <w:uiPriority w:val="69"/>
    <w:semiHidden/>
    <w:rsid w:val="003B7CFF"/>
    <w:rPr>
      <w:rFonts w:ascii="Times New Roman" w:eastAsia="Times New Roman" w:hAnsi="Times New Roman" w:cs="Times New Roman"/>
      <w:sz w:val="24"/>
      <w:szCs w:val="24"/>
      <w:lang w:val="en-GB"/>
    </w:rPr>
  </w:style>
  <w:style w:type="paragraph" w:styleId="BodyText2">
    <w:name w:val="Body Text 2"/>
    <w:basedOn w:val="Normal"/>
    <w:link w:val="BodyText2Char"/>
    <w:uiPriority w:val="69"/>
    <w:semiHidden/>
    <w:rsid w:val="003B7CFF"/>
    <w:pPr>
      <w:spacing w:after="120" w:line="480" w:lineRule="auto"/>
    </w:pPr>
  </w:style>
  <w:style w:type="character" w:customStyle="1" w:styleId="BodyText2Char">
    <w:name w:val="Body Text 2 Char"/>
    <w:basedOn w:val="DefaultParagraphFont"/>
    <w:link w:val="BodyText2"/>
    <w:uiPriority w:val="69"/>
    <w:semiHidden/>
    <w:rsid w:val="003B7CFF"/>
    <w:rPr>
      <w:rFonts w:ascii="Times New Roman" w:eastAsia="Times New Roman" w:hAnsi="Times New Roman" w:cs="Times New Roman"/>
      <w:sz w:val="24"/>
      <w:szCs w:val="24"/>
      <w:lang w:val="en-GB"/>
    </w:rPr>
  </w:style>
  <w:style w:type="paragraph" w:styleId="BodyText3">
    <w:name w:val="Body Text 3"/>
    <w:basedOn w:val="Normal"/>
    <w:link w:val="BodyText3Char"/>
    <w:uiPriority w:val="69"/>
    <w:semiHidden/>
    <w:rsid w:val="003B7CFF"/>
    <w:pPr>
      <w:spacing w:after="120"/>
    </w:pPr>
    <w:rPr>
      <w:sz w:val="16"/>
      <w:szCs w:val="16"/>
    </w:rPr>
  </w:style>
  <w:style w:type="character" w:customStyle="1" w:styleId="BodyText3Char">
    <w:name w:val="Body Text 3 Char"/>
    <w:basedOn w:val="DefaultParagraphFont"/>
    <w:link w:val="BodyText3"/>
    <w:uiPriority w:val="69"/>
    <w:semiHidden/>
    <w:rsid w:val="003B7CFF"/>
    <w:rPr>
      <w:rFonts w:ascii="Times New Roman" w:eastAsia="Times New Roman" w:hAnsi="Times New Roman" w:cs="Times New Roman"/>
      <w:sz w:val="16"/>
      <w:szCs w:val="16"/>
      <w:lang w:val="en-GB"/>
    </w:rPr>
  </w:style>
  <w:style w:type="paragraph" w:styleId="BodyTextFirstIndent">
    <w:name w:val="Body Text First Indent"/>
    <w:basedOn w:val="BodyText"/>
    <w:link w:val="BodyTextFirstIndentChar"/>
    <w:uiPriority w:val="69"/>
    <w:semiHidden/>
    <w:rsid w:val="003B7CFF"/>
    <w:pPr>
      <w:ind w:firstLine="210"/>
    </w:pPr>
  </w:style>
  <w:style w:type="character" w:customStyle="1" w:styleId="BodyTextFirstIndentChar">
    <w:name w:val="Body Text First Indent Char"/>
    <w:basedOn w:val="BodyTextChar"/>
    <w:link w:val="BodyTextFirstIndent"/>
    <w:uiPriority w:val="69"/>
    <w:semiHidden/>
    <w:rsid w:val="003B7CFF"/>
    <w:rPr>
      <w:rFonts w:ascii="Times New Roman" w:eastAsia="Times New Roman" w:hAnsi="Times New Roman" w:cs="Times New Roman"/>
      <w:sz w:val="24"/>
      <w:szCs w:val="24"/>
      <w:lang w:val="en-GB"/>
    </w:rPr>
  </w:style>
  <w:style w:type="paragraph" w:styleId="BodyTextIndent">
    <w:name w:val="Body Text Indent"/>
    <w:basedOn w:val="Normal"/>
    <w:link w:val="BodyTextIndentChar"/>
    <w:uiPriority w:val="69"/>
    <w:semiHidden/>
    <w:rsid w:val="003B7CFF"/>
    <w:pPr>
      <w:spacing w:after="120"/>
      <w:ind w:left="360"/>
    </w:pPr>
  </w:style>
  <w:style w:type="character" w:customStyle="1" w:styleId="BodyTextIndentChar">
    <w:name w:val="Body Text Indent Char"/>
    <w:basedOn w:val="DefaultParagraphFont"/>
    <w:link w:val="BodyTextIndent"/>
    <w:uiPriority w:val="69"/>
    <w:semiHidden/>
    <w:rsid w:val="003B7CFF"/>
    <w:rPr>
      <w:rFonts w:ascii="Times New Roman" w:eastAsia="Times New Roman" w:hAnsi="Times New Roman" w:cs="Times New Roman"/>
      <w:sz w:val="24"/>
      <w:szCs w:val="24"/>
      <w:lang w:val="en-GB"/>
    </w:rPr>
  </w:style>
  <w:style w:type="paragraph" w:styleId="BodyTextFirstIndent2">
    <w:name w:val="Body Text First Indent 2"/>
    <w:basedOn w:val="BodyTextIndent"/>
    <w:link w:val="BodyTextFirstIndent2Char"/>
    <w:uiPriority w:val="69"/>
    <w:semiHidden/>
    <w:rsid w:val="003B7CFF"/>
    <w:pPr>
      <w:ind w:firstLine="210"/>
    </w:pPr>
  </w:style>
  <w:style w:type="character" w:customStyle="1" w:styleId="BodyTextFirstIndent2Char">
    <w:name w:val="Body Text First Indent 2 Char"/>
    <w:basedOn w:val="BodyTextIndentChar"/>
    <w:link w:val="BodyTextFirstIndent2"/>
    <w:uiPriority w:val="69"/>
    <w:semiHidden/>
    <w:rsid w:val="003B7CFF"/>
    <w:rPr>
      <w:rFonts w:ascii="Times New Roman" w:eastAsia="Times New Roman" w:hAnsi="Times New Roman" w:cs="Times New Roman"/>
      <w:sz w:val="24"/>
      <w:szCs w:val="24"/>
      <w:lang w:val="en-GB"/>
    </w:rPr>
  </w:style>
  <w:style w:type="paragraph" w:styleId="BodyTextIndent2">
    <w:name w:val="Body Text Indent 2"/>
    <w:basedOn w:val="Normal"/>
    <w:link w:val="BodyTextIndent2Char"/>
    <w:uiPriority w:val="69"/>
    <w:semiHidden/>
    <w:rsid w:val="003B7CFF"/>
    <w:pPr>
      <w:spacing w:after="120" w:line="480" w:lineRule="auto"/>
      <w:ind w:left="360"/>
    </w:pPr>
  </w:style>
  <w:style w:type="character" w:customStyle="1" w:styleId="BodyTextIndent2Char">
    <w:name w:val="Body Text Indent 2 Char"/>
    <w:basedOn w:val="DefaultParagraphFont"/>
    <w:link w:val="BodyTextIndent2"/>
    <w:uiPriority w:val="69"/>
    <w:semiHidden/>
    <w:rsid w:val="003B7CF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uiPriority w:val="69"/>
    <w:semiHidden/>
    <w:rsid w:val="003B7CFF"/>
    <w:pPr>
      <w:spacing w:after="120"/>
      <w:ind w:left="360"/>
    </w:pPr>
    <w:rPr>
      <w:sz w:val="16"/>
      <w:szCs w:val="16"/>
    </w:rPr>
  </w:style>
  <w:style w:type="character" w:customStyle="1" w:styleId="BodyTextIndent3Char">
    <w:name w:val="Body Text Indent 3 Char"/>
    <w:basedOn w:val="DefaultParagraphFont"/>
    <w:link w:val="BodyTextIndent3"/>
    <w:uiPriority w:val="69"/>
    <w:semiHidden/>
    <w:rsid w:val="003B7CFF"/>
    <w:rPr>
      <w:rFonts w:ascii="Times New Roman" w:eastAsia="Times New Roman" w:hAnsi="Times New Roman" w:cs="Times New Roman"/>
      <w:sz w:val="16"/>
      <w:szCs w:val="16"/>
      <w:lang w:val="en-GB"/>
    </w:rPr>
  </w:style>
  <w:style w:type="numbering" w:styleId="111111">
    <w:name w:val="Outline List 2"/>
    <w:basedOn w:val="NoList"/>
    <w:uiPriority w:val="99"/>
    <w:semiHidden/>
    <w:unhideWhenUsed/>
    <w:rsid w:val="003B7CFF"/>
    <w:pPr>
      <w:numPr>
        <w:numId w:val="9"/>
      </w:numPr>
    </w:pPr>
  </w:style>
  <w:style w:type="numbering" w:styleId="1ai">
    <w:name w:val="Outline List 1"/>
    <w:basedOn w:val="NoList"/>
    <w:uiPriority w:val="99"/>
    <w:semiHidden/>
    <w:unhideWhenUsed/>
    <w:rsid w:val="003B7CFF"/>
    <w:pPr>
      <w:numPr>
        <w:numId w:val="10"/>
      </w:numPr>
    </w:pPr>
  </w:style>
  <w:style w:type="numbering" w:styleId="ArticleSection">
    <w:name w:val="Outline List 3"/>
    <w:basedOn w:val="NoList"/>
    <w:uiPriority w:val="99"/>
    <w:semiHidden/>
    <w:unhideWhenUsed/>
    <w:rsid w:val="003B7CFF"/>
    <w:pPr>
      <w:numPr>
        <w:numId w:val="11"/>
      </w:numPr>
    </w:pPr>
  </w:style>
  <w:style w:type="paragraph" w:styleId="Closing">
    <w:name w:val="Closing"/>
    <w:basedOn w:val="Normal"/>
    <w:link w:val="ClosingChar"/>
    <w:uiPriority w:val="69"/>
    <w:semiHidden/>
    <w:rsid w:val="003B7CFF"/>
    <w:pPr>
      <w:ind w:left="4320"/>
    </w:pPr>
  </w:style>
  <w:style w:type="character" w:customStyle="1" w:styleId="ClosingChar">
    <w:name w:val="Closing Char"/>
    <w:basedOn w:val="DefaultParagraphFont"/>
    <w:link w:val="Closing"/>
    <w:uiPriority w:val="69"/>
    <w:semiHidden/>
    <w:rsid w:val="003B7CFF"/>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69"/>
    <w:semiHidden/>
    <w:rsid w:val="003B7CFF"/>
    <w:rPr>
      <w:b/>
      <w:bCs/>
    </w:rPr>
  </w:style>
  <w:style w:type="character" w:customStyle="1" w:styleId="CommentSubjectChar">
    <w:name w:val="Comment Subject Char"/>
    <w:basedOn w:val="CommentTextChar"/>
    <w:link w:val="CommentSubject"/>
    <w:uiPriority w:val="69"/>
    <w:semiHidden/>
    <w:rsid w:val="003B7CFF"/>
    <w:rPr>
      <w:rFonts w:ascii="Times New Roman" w:eastAsia="Times New Roman" w:hAnsi="Times New Roman" w:cs="Times New Roman"/>
      <w:b/>
      <w:bCs/>
      <w:sz w:val="20"/>
      <w:szCs w:val="20"/>
      <w:lang w:val="en-GB"/>
    </w:rPr>
  </w:style>
  <w:style w:type="paragraph" w:customStyle="1" w:styleId="Confidentiality">
    <w:name w:val="Confidentiality"/>
    <w:uiPriority w:val="24"/>
    <w:rsid w:val="003B7CFF"/>
    <w:pPr>
      <w:spacing w:after="0" w:line="240" w:lineRule="auto"/>
    </w:pPr>
    <w:rPr>
      <w:rFonts w:ascii="Times New Roman" w:eastAsia="Times New Roman" w:hAnsi="Times New Roman" w:cs="Times New Roman"/>
      <w:sz w:val="24"/>
      <w:szCs w:val="20"/>
      <w:lang w:val="en-GB"/>
    </w:rPr>
  </w:style>
  <w:style w:type="paragraph" w:styleId="Date">
    <w:name w:val="Date"/>
    <w:basedOn w:val="Normal"/>
    <w:next w:val="Normal"/>
    <w:link w:val="DateChar"/>
    <w:uiPriority w:val="69"/>
    <w:semiHidden/>
    <w:rsid w:val="003B7CFF"/>
  </w:style>
  <w:style w:type="character" w:customStyle="1" w:styleId="DateChar">
    <w:name w:val="Date Char"/>
    <w:basedOn w:val="DefaultParagraphFont"/>
    <w:link w:val="Date"/>
    <w:uiPriority w:val="69"/>
    <w:semiHidden/>
    <w:rsid w:val="003B7CFF"/>
    <w:rPr>
      <w:rFonts w:ascii="Times New Roman" w:eastAsia="Times New Roman" w:hAnsi="Times New Roman" w:cs="Times New Roman"/>
      <w:sz w:val="24"/>
      <w:szCs w:val="24"/>
      <w:lang w:val="en-GB"/>
    </w:rPr>
  </w:style>
  <w:style w:type="paragraph" w:styleId="DocumentMap">
    <w:name w:val="Document Map"/>
    <w:basedOn w:val="Normal"/>
    <w:link w:val="DocumentMapChar"/>
    <w:uiPriority w:val="69"/>
    <w:semiHidden/>
    <w:rsid w:val="003B7CFF"/>
    <w:pPr>
      <w:shd w:val="clear" w:color="auto" w:fill="000080"/>
    </w:pPr>
    <w:rPr>
      <w:rFonts w:ascii="Tahoma" w:hAnsi="Tahoma" w:cs="Tahoma"/>
    </w:rPr>
  </w:style>
  <w:style w:type="character" w:customStyle="1" w:styleId="DocumentMapChar">
    <w:name w:val="Document Map Char"/>
    <w:basedOn w:val="DefaultParagraphFont"/>
    <w:link w:val="DocumentMap"/>
    <w:uiPriority w:val="69"/>
    <w:semiHidden/>
    <w:rsid w:val="003B7CFF"/>
    <w:rPr>
      <w:rFonts w:ascii="Tahoma" w:eastAsia="Times New Roman" w:hAnsi="Tahoma" w:cs="Tahoma"/>
      <w:sz w:val="24"/>
      <w:szCs w:val="24"/>
      <w:shd w:val="clear" w:color="auto" w:fill="000080"/>
      <w:lang w:val="en-GB"/>
    </w:rPr>
  </w:style>
  <w:style w:type="paragraph" w:styleId="EmailSignature">
    <w:name w:val="E-mail Signature"/>
    <w:basedOn w:val="Normal"/>
    <w:link w:val="EmailSignatureChar"/>
    <w:uiPriority w:val="69"/>
    <w:semiHidden/>
    <w:rsid w:val="003B7CFF"/>
  </w:style>
  <w:style w:type="character" w:customStyle="1" w:styleId="EmailSignatureChar">
    <w:name w:val="Email Signature Char"/>
    <w:basedOn w:val="DefaultParagraphFont"/>
    <w:link w:val="EmailSignature"/>
    <w:uiPriority w:val="69"/>
    <w:semiHidden/>
    <w:rsid w:val="003B7CFF"/>
    <w:rPr>
      <w:rFonts w:ascii="Times New Roman" w:eastAsia="Times New Roman" w:hAnsi="Times New Roman" w:cs="Times New Roman"/>
      <w:sz w:val="24"/>
      <w:szCs w:val="24"/>
      <w:lang w:val="en-GB"/>
    </w:rPr>
  </w:style>
  <w:style w:type="character" w:styleId="Emphasis">
    <w:name w:val="Emphasis"/>
    <w:uiPriority w:val="69"/>
    <w:qFormat/>
    <w:rsid w:val="003B7CFF"/>
    <w:rPr>
      <w:i/>
      <w:iCs/>
    </w:rPr>
  </w:style>
  <w:style w:type="character" w:styleId="EndnoteReference">
    <w:name w:val="endnote reference"/>
    <w:uiPriority w:val="69"/>
    <w:semiHidden/>
    <w:rsid w:val="003B7CFF"/>
    <w:rPr>
      <w:vertAlign w:val="superscript"/>
    </w:rPr>
  </w:style>
  <w:style w:type="paragraph" w:styleId="EndnoteText">
    <w:name w:val="endnote text"/>
    <w:basedOn w:val="Normal"/>
    <w:link w:val="EndnoteTextChar"/>
    <w:uiPriority w:val="69"/>
    <w:semiHidden/>
    <w:rsid w:val="003B7CFF"/>
    <w:rPr>
      <w:sz w:val="20"/>
      <w:szCs w:val="20"/>
    </w:rPr>
  </w:style>
  <w:style w:type="character" w:customStyle="1" w:styleId="EndnoteTextChar">
    <w:name w:val="Endnote Text Char"/>
    <w:basedOn w:val="DefaultParagraphFont"/>
    <w:link w:val="EndnoteText"/>
    <w:uiPriority w:val="69"/>
    <w:semiHidden/>
    <w:rsid w:val="003B7CFF"/>
    <w:rPr>
      <w:rFonts w:ascii="Times New Roman" w:eastAsia="Times New Roman" w:hAnsi="Times New Roman" w:cs="Times New Roman"/>
      <w:sz w:val="20"/>
      <w:szCs w:val="20"/>
      <w:lang w:val="en-GB"/>
    </w:rPr>
  </w:style>
  <w:style w:type="paragraph" w:styleId="EnvelopeAddress">
    <w:name w:val="envelope address"/>
    <w:basedOn w:val="Normal"/>
    <w:uiPriority w:val="69"/>
    <w:semiHidden/>
    <w:rsid w:val="003B7CFF"/>
    <w:pPr>
      <w:framePr w:w="7920" w:h="1980" w:hRule="exact" w:hSpace="180" w:wrap="auto" w:hAnchor="page" w:xAlign="center" w:yAlign="bottom"/>
      <w:ind w:left="2880"/>
    </w:pPr>
    <w:rPr>
      <w:rFonts w:ascii="Arial" w:hAnsi="Arial" w:cs="Arial"/>
    </w:rPr>
  </w:style>
  <w:style w:type="paragraph" w:styleId="EnvelopeReturn">
    <w:name w:val="envelope return"/>
    <w:basedOn w:val="Normal"/>
    <w:uiPriority w:val="69"/>
    <w:semiHidden/>
    <w:rsid w:val="003B7CFF"/>
    <w:rPr>
      <w:rFonts w:ascii="Arial" w:hAnsi="Arial" w:cs="Arial"/>
      <w:sz w:val="20"/>
      <w:szCs w:val="20"/>
    </w:rPr>
  </w:style>
  <w:style w:type="paragraph" w:customStyle="1" w:styleId="Equation">
    <w:name w:val="Equation"/>
    <w:next w:val="Paragraph"/>
    <w:uiPriority w:val="19"/>
    <w:rsid w:val="003B7CFF"/>
    <w:pPr>
      <w:keepLines/>
      <w:spacing w:after="120" w:line="240" w:lineRule="auto"/>
      <w:jc w:val="center"/>
    </w:pPr>
    <w:rPr>
      <w:rFonts w:ascii="Times New Roman" w:eastAsia="Times New Roman" w:hAnsi="Times New Roman" w:cs="Times New Roman"/>
      <w:color w:val="000000"/>
      <w:sz w:val="24"/>
      <w:szCs w:val="24"/>
      <w:lang w:val="en-US"/>
    </w:rPr>
  </w:style>
  <w:style w:type="paragraph" w:customStyle="1" w:styleId="EquationTitle">
    <w:name w:val="Equation Title"/>
    <w:next w:val="Equation"/>
    <w:uiPriority w:val="19"/>
    <w:rsid w:val="003B7CFF"/>
    <w:pPr>
      <w:keepNext/>
      <w:keepLines/>
      <w:spacing w:after="120" w:line="240" w:lineRule="auto"/>
      <w:ind w:left="1134" w:hanging="1134"/>
    </w:pPr>
    <w:rPr>
      <w:rFonts w:ascii="Times New Roman" w:eastAsia="Times New Roman" w:hAnsi="Times New Roman" w:cs="Times New Roman"/>
      <w:b/>
      <w:color w:val="000000"/>
      <w:sz w:val="24"/>
      <w:szCs w:val="24"/>
      <w:lang w:val="en-US"/>
    </w:rPr>
  </w:style>
  <w:style w:type="paragraph" w:customStyle="1" w:styleId="Figure">
    <w:name w:val="Figure"/>
    <w:next w:val="Paragraph"/>
    <w:uiPriority w:val="17"/>
    <w:rsid w:val="003B7CFF"/>
    <w:pPr>
      <w:spacing w:after="240" w:line="240" w:lineRule="auto"/>
      <w:jc w:val="center"/>
    </w:pPr>
    <w:rPr>
      <w:rFonts w:ascii="Times New Roman" w:eastAsia="Times New Roman" w:hAnsi="Times New Roman" w:cs="Times New Roman"/>
      <w:sz w:val="24"/>
      <w:szCs w:val="20"/>
      <w:lang w:val="en-GB"/>
    </w:rPr>
  </w:style>
  <w:style w:type="paragraph" w:customStyle="1" w:styleId="FigureEndofTextTitle">
    <w:name w:val="Figure End of Text Title"/>
    <w:next w:val="Figure"/>
    <w:uiPriority w:val="18"/>
    <w:rsid w:val="003B7CFF"/>
    <w:pPr>
      <w:spacing w:after="120" w:line="240" w:lineRule="auto"/>
    </w:pPr>
    <w:rPr>
      <w:rFonts w:ascii="Times New Roman" w:eastAsia="Times New Roman" w:hAnsi="Times New Roman" w:cs="Arial"/>
      <w:b/>
      <w:bCs/>
      <w:iCs/>
      <w:sz w:val="24"/>
      <w:szCs w:val="48"/>
      <w:lang w:val="en-GB"/>
    </w:rPr>
  </w:style>
  <w:style w:type="paragraph" w:customStyle="1" w:styleId="TableTitle">
    <w:name w:val="Table Title"/>
    <w:next w:val="Paragraph"/>
    <w:uiPriority w:val="10"/>
    <w:qFormat/>
    <w:rsid w:val="003B7CFF"/>
    <w:pPr>
      <w:keepNext/>
      <w:keepLines/>
      <w:tabs>
        <w:tab w:val="left" w:pos="1701"/>
      </w:tabs>
      <w:spacing w:after="120" w:line="240" w:lineRule="auto"/>
      <w:ind w:left="1701" w:hanging="1701"/>
    </w:pPr>
    <w:rPr>
      <w:rFonts w:ascii="Times New Roman" w:eastAsia="Times New Roman" w:hAnsi="Times New Roman" w:cs="Times New Roman"/>
      <w:b/>
      <w:color w:val="000000"/>
      <w:sz w:val="24"/>
      <w:szCs w:val="24"/>
      <w:lang w:val="en-GB"/>
    </w:rPr>
  </w:style>
  <w:style w:type="paragraph" w:customStyle="1" w:styleId="FigureTitle">
    <w:name w:val="Figure Title"/>
    <w:basedOn w:val="TableTitle"/>
    <w:next w:val="Figure"/>
    <w:uiPriority w:val="17"/>
    <w:qFormat/>
    <w:rsid w:val="003B7CFF"/>
  </w:style>
  <w:style w:type="paragraph" w:customStyle="1" w:styleId="FigureSummaryTitle">
    <w:name w:val="Figure Summary Title"/>
    <w:basedOn w:val="FigureTitle"/>
    <w:next w:val="Paragraph"/>
    <w:uiPriority w:val="99"/>
    <w:semiHidden/>
    <w:rsid w:val="003B7CFF"/>
  </w:style>
  <w:style w:type="character" w:styleId="FollowedHyperlink">
    <w:name w:val="FollowedHyperlink"/>
    <w:uiPriority w:val="99"/>
    <w:semiHidden/>
    <w:rsid w:val="003B7CFF"/>
    <w:rPr>
      <w:color w:val="800080"/>
      <w:u w:val="single"/>
    </w:rPr>
  </w:style>
  <w:style w:type="paragraph" w:styleId="Header">
    <w:name w:val="header"/>
    <w:link w:val="HeaderChar"/>
    <w:uiPriority w:val="29"/>
    <w:rsid w:val="003B7CFF"/>
    <w:pPr>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29"/>
    <w:rsid w:val="003B7CFF"/>
    <w:rPr>
      <w:rFonts w:ascii="Times New Roman" w:eastAsia="Times New Roman" w:hAnsi="Times New Roman" w:cs="Times New Roman"/>
      <w:sz w:val="20"/>
      <w:szCs w:val="20"/>
      <w:lang w:val="en-GB"/>
    </w:rPr>
  </w:style>
  <w:style w:type="paragraph" w:customStyle="1" w:styleId="Heading1NoTOC">
    <w:name w:val="Heading 1 No TOC"/>
    <w:basedOn w:val="Heading1"/>
    <w:next w:val="Paragraph"/>
    <w:uiPriority w:val="6"/>
    <w:qFormat/>
    <w:rsid w:val="003B7CFF"/>
    <w:pPr>
      <w:numPr>
        <w:numId w:val="0"/>
      </w:numPr>
      <w:outlineLvl w:val="9"/>
    </w:pPr>
    <w:rPr>
      <w:rFonts w:ascii="Times New Roman Bold" w:hAnsi="Times New Roman Bold"/>
      <w:bCs w:val="0"/>
      <w:szCs w:val="48"/>
    </w:rPr>
  </w:style>
  <w:style w:type="paragraph" w:customStyle="1" w:styleId="Heading1Unnumbered">
    <w:name w:val="Heading 1 Unnumbered"/>
    <w:basedOn w:val="Heading1"/>
    <w:next w:val="Paragraph"/>
    <w:uiPriority w:val="5"/>
    <w:qFormat/>
    <w:rsid w:val="00ED27EC"/>
    <w:pPr>
      <w:numPr>
        <w:numId w:val="0"/>
      </w:numPr>
      <w:tabs>
        <w:tab w:val="left" w:pos="0"/>
        <w:tab w:val="left" w:pos="1134"/>
      </w:tabs>
      <w:jc w:val="center"/>
      <w:outlineLvl w:val="4"/>
    </w:pPr>
    <w:rPr>
      <w:szCs w:val="48"/>
    </w:rPr>
  </w:style>
  <w:style w:type="paragraph" w:customStyle="1" w:styleId="Heading2NoTOC">
    <w:name w:val="Heading 2 No TOC"/>
    <w:basedOn w:val="Heading2"/>
    <w:next w:val="Paragraph"/>
    <w:uiPriority w:val="6"/>
    <w:qFormat/>
    <w:rsid w:val="003B7CFF"/>
    <w:pPr>
      <w:numPr>
        <w:ilvl w:val="0"/>
        <w:numId w:val="0"/>
      </w:numPr>
      <w:outlineLvl w:val="9"/>
    </w:pPr>
  </w:style>
  <w:style w:type="paragraph" w:customStyle="1" w:styleId="Heading2Unnumbered">
    <w:name w:val="Heading 2 Unnumbered"/>
    <w:basedOn w:val="Heading2"/>
    <w:next w:val="Paragraph"/>
    <w:uiPriority w:val="5"/>
    <w:qFormat/>
    <w:rsid w:val="003B7CFF"/>
    <w:pPr>
      <w:numPr>
        <w:ilvl w:val="0"/>
        <w:numId w:val="0"/>
      </w:numPr>
      <w:tabs>
        <w:tab w:val="left" w:pos="1134"/>
      </w:tabs>
      <w:outlineLvl w:val="5"/>
    </w:pPr>
  </w:style>
  <w:style w:type="paragraph" w:customStyle="1" w:styleId="Heading3NoTOC">
    <w:name w:val="Heading 3 No TOC"/>
    <w:basedOn w:val="Heading3"/>
    <w:next w:val="Paragraph"/>
    <w:uiPriority w:val="6"/>
    <w:qFormat/>
    <w:rsid w:val="003B7CFF"/>
    <w:pPr>
      <w:numPr>
        <w:ilvl w:val="0"/>
        <w:numId w:val="0"/>
      </w:numPr>
      <w:outlineLvl w:val="9"/>
    </w:pPr>
    <w:rPr>
      <w:sz w:val="24"/>
      <w:u w:val="single"/>
    </w:rPr>
  </w:style>
  <w:style w:type="paragraph" w:customStyle="1" w:styleId="Heading3Unnumbered">
    <w:name w:val="Heading 3 Unnumbered"/>
    <w:basedOn w:val="Heading3"/>
    <w:next w:val="Paragraph"/>
    <w:uiPriority w:val="5"/>
    <w:qFormat/>
    <w:rsid w:val="00EC60F8"/>
    <w:pPr>
      <w:numPr>
        <w:ilvl w:val="0"/>
        <w:numId w:val="0"/>
      </w:numPr>
      <w:tabs>
        <w:tab w:val="left" w:pos="1134"/>
      </w:tabs>
      <w:outlineLvl w:val="5"/>
    </w:pPr>
    <w:rPr>
      <w:sz w:val="24"/>
    </w:rPr>
  </w:style>
  <w:style w:type="paragraph" w:customStyle="1" w:styleId="Heading4NoTOC">
    <w:name w:val="Heading 4 No TOC"/>
    <w:basedOn w:val="Heading4"/>
    <w:next w:val="Paragraph"/>
    <w:uiPriority w:val="6"/>
    <w:qFormat/>
    <w:rsid w:val="003B7CFF"/>
    <w:pPr>
      <w:numPr>
        <w:ilvl w:val="0"/>
        <w:numId w:val="0"/>
      </w:numPr>
      <w:outlineLvl w:val="9"/>
    </w:pPr>
    <w:rPr>
      <w:b w:val="0"/>
      <w:u w:val="single"/>
    </w:rPr>
  </w:style>
  <w:style w:type="paragraph" w:customStyle="1" w:styleId="Heading4Unnumbered">
    <w:name w:val="Heading 4 Unnumbered"/>
    <w:basedOn w:val="Heading4"/>
    <w:next w:val="Paragraph"/>
    <w:uiPriority w:val="5"/>
    <w:qFormat/>
    <w:rsid w:val="003B7CFF"/>
    <w:pPr>
      <w:numPr>
        <w:ilvl w:val="0"/>
        <w:numId w:val="0"/>
      </w:numPr>
      <w:tabs>
        <w:tab w:val="left" w:pos="1134"/>
      </w:tabs>
      <w:outlineLvl w:val="6"/>
    </w:pPr>
    <w:rPr>
      <w:i/>
    </w:rPr>
  </w:style>
  <w:style w:type="paragraph" w:styleId="Bibliography">
    <w:name w:val="Bibliography"/>
    <w:basedOn w:val="Normal"/>
    <w:next w:val="Normal"/>
    <w:uiPriority w:val="37"/>
    <w:semiHidden/>
    <w:unhideWhenUsed/>
    <w:rsid w:val="003B7CFF"/>
  </w:style>
  <w:style w:type="paragraph" w:styleId="BlockText">
    <w:name w:val="Block Text"/>
    <w:basedOn w:val="Normal"/>
    <w:uiPriority w:val="99"/>
    <w:semiHidden/>
    <w:unhideWhenUsed/>
    <w:rsid w:val="003B7CF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Caption">
    <w:name w:val="caption"/>
    <w:basedOn w:val="TableTitle"/>
    <w:next w:val="Normal"/>
    <w:uiPriority w:val="49"/>
    <w:unhideWhenUsed/>
    <w:qFormat/>
    <w:rsid w:val="003B7CFF"/>
    <w:pPr>
      <w:spacing w:after="0"/>
    </w:pPr>
    <w:rPr>
      <w:rFonts w:ascii="Times New Roman Bold" w:hAnsi="Times New Roman Bold"/>
      <w:iCs/>
      <w:color w:val="auto"/>
      <w:szCs w:val="18"/>
    </w:rPr>
  </w:style>
  <w:style w:type="character" w:styleId="HTMLAcronym">
    <w:name w:val="HTML Acronym"/>
    <w:basedOn w:val="DefaultParagraphFont"/>
    <w:uiPriority w:val="99"/>
    <w:semiHidden/>
    <w:rsid w:val="003B7CFF"/>
  </w:style>
  <w:style w:type="paragraph" w:styleId="HTMLAddress">
    <w:name w:val="HTML Address"/>
    <w:basedOn w:val="Normal"/>
    <w:link w:val="HTMLAddressChar"/>
    <w:uiPriority w:val="99"/>
    <w:semiHidden/>
    <w:rsid w:val="003B7CFF"/>
    <w:rPr>
      <w:i/>
      <w:iCs/>
    </w:rPr>
  </w:style>
  <w:style w:type="character" w:customStyle="1" w:styleId="HTMLAddressChar">
    <w:name w:val="HTML Address Char"/>
    <w:basedOn w:val="DefaultParagraphFont"/>
    <w:link w:val="HTMLAddress"/>
    <w:uiPriority w:val="99"/>
    <w:semiHidden/>
    <w:rsid w:val="003B7CFF"/>
    <w:rPr>
      <w:rFonts w:ascii="Times New Roman" w:eastAsia="Times New Roman" w:hAnsi="Times New Roman" w:cs="Times New Roman"/>
      <w:i/>
      <w:iCs/>
      <w:sz w:val="24"/>
      <w:szCs w:val="24"/>
      <w:lang w:val="en-GB"/>
    </w:rPr>
  </w:style>
  <w:style w:type="character" w:styleId="HTMLCite">
    <w:name w:val="HTML Cite"/>
    <w:uiPriority w:val="99"/>
    <w:semiHidden/>
    <w:rsid w:val="003B7CFF"/>
    <w:rPr>
      <w:i/>
      <w:iCs/>
    </w:rPr>
  </w:style>
  <w:style w:type="character" w:styleId="HTMLCode">
    <w:name w:val="HTML Code"/>
    <w:uiPriority w:val="99"/>
    <w:semiHidden/>
    <w:rsid w:val="003B7CFF"/>
    <w:rPr>
      <w:rFonts w:ascii="Courier New" w:hAnsi="Courier New" w:cs="Courier New"/>
      <w:sz w:val="20"/>
      <w:szCs w:val="20"/>
    </w:rPr>
  </w:style>
  <w:style w:type="character" w:styleId="HTMLDefinition">
    <w:name w:val="HTML Definition"/>
    <w:uiPriority w:val="99"/>
    <w:semiHidden/>
    <w:rsid w:val="003B7CFF"/>
    <w:rPr>
      <w:i/>
      <w:iCs/>
    </w:rPr>
  </w:style>
  <w:style w:type="character" w:styleId="HTMLKeyboard">
    <w:name w:val="HTML Keyboard"/>
    <w:uiPriority w:val="99"/>
    <w:semiHidden/>
    <w:rsid w:val="003B7CFF"/>
    <w:rPr>
      <w:rFonts w:ascii="Courier New" w:hAnsi="Courier New" w:cs="Courier New"/>
      <w:sz w:val="20"/>
      <w:szCs w:val="20"/>
    </w:rPr>
  </w:style>
  <w:style w:type="paragraph" w:styleId="HTMLPreformatted">
    <w:name w:val="HTML Preformatted"/>
    <w:basedOn w:val="Normal"/>
    <w:link w:val="HTMLPreformattedChar"/>
    <w:uiPriority w:val="99"/>
    <w:semiHidden/>
    <w:rsid w:val="003B7CFF"/>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B7CFF"/>
    <w:rPr>
      <w:rFonts w:ascii="Courier New" w:eastAsia="Times New Roman" w:hAnsi="Courier New" w:cs="Courier New"/>
      <w:sz w:val="20"/>
      <w:szCs w:val="20"/>
      <w:lang w:val="en-GB"/>
    </w:rPr>
  </w:style>
  <w:style w:type="character" w:styleId="HTMLSample">
    <w:name w:val="HTML Sample"/>
    <w:uiPriority w:val="99"/>
    <w:semiHidden/>
    <w:rsid w:val="003B7CFF"/>
    <w:rPr>
      <w:rFonts w:ascii="Courier New" w:hAnsi="Courier New" w:cs="Courier New"/>
    </w:rPr>
  </w:style>
  <w:style w:type="character" w:styleId="HTMLTypewriter">
    <w:name w:val="HTML Typewriter"/>
    <w:uiPriority w:val="99"/>
    <w:semiHidden/>
    <w:rsid w:val="003B7CFF"/>
    <w:rPr>
      <w:rFonts w:ascii="Courier New" w:hAnsi="Courier New" w:cs="Courier New"/>
      <w:sz w:val="20"/>
      <w:szCs w:val="20"/>
    </w:rPr>
  </w:style>
  <w:style w:type="character" w:styleId="HTMLVariable">
    <w:name w:val="HTML Variable"/>
    <w:uiPriority w:val="99"/>
    <w:semiHidden/>
    <w:rsid w:val="003B7CFF"/>
    <w:rPr>
      <w:i/>
      <w:iCs/>
    </w:rPr>
  </w:style>
  <w:style w:type="paragraph" w:styleId="Index1">
    <w:name w:val="index 1"/>
    <w:basedOn w:val="Normal"/>
    <w:next w:val="Normal"/>
    <w:uiPriority w:val="99"/>
    <w:semiHidden/>
    <w:rsid w:val="003B7CFF"/>
    <w:pPr>
      <w:ind w:left="240" w:hanging="240"/>
    </w:pPr>
  </w:style>
  <w:style w:type="paragraph" w:styleId="Index2">
    <w:name w:val="index 2"/>
    <w:basedOn w:val="Normal"/>
    <w:next w:val="Normal"/>
    <w:uiPriority w:val="99"/>
    <w:semiHidden/>
    <w:rsid w:val="003B7CFF"/>
    <w:pPr>
      <w:ind w:left="480" w:hanging="240"/>
    </w:pPr>
  </w:style>
  <w:style w:type="paragraph" w:styleId="Index3">
    <w:name w:val="index 3"/>
    <w:basedOn w:val="Normal"/>
    <w:next w:val="Normal"/>
    <w:uiPriority w:val="99"/>
    <w:semiHidden/>
    <w:rsid w:val="003B7CFF"/>
    <w:pPr>
      <w:ind w:left="720" w:hanging="240"/>
    </w:pPr>
  </w:style>
  <w:style w:type="paragraph" w:styleId="Index4">
    <w:name w:val="index 4"/>
    <w:basedOn w:val="Normal"/>
    <w:next w:val="Normal"/>
    <w:uiPriority w:val="99"/>
    <w:semiHidden/>
    <w:rsid w:val="003B7CFF"/>
    <w:pPr>
      <w:ind w:left="960" w:hanging="240"/>
    </w:pPr>
  </w:style>
  <w:style w:type="paragraph" w:styleId="Index5">
    <w:name w:val="index 5"/>
    <w:basedOn w:val="Normal"/>
    <w:next w:val="Normal"/>
    <w:uiPriority w:val="99"/>
    <w:semiHidden/>
    <w:rsid w:val="003B7CFF"/>
    <w:pPr>
      <w:ind w:left="1200" w:hanging="240"/>
    </w:pPr>
  </w:style>
  <w:style w:type="paragraph" w:styleId="Index6">
    <w:name w:val="index 6"/>
    <w:basedOn w:val="Normal"/>
    <w:next w:val="Normal"/>
    <w:uiPriority w:val="99"/>
    <w:semiHidden/>
    <w:rsid w:val="003B7CFF"/>
    <w:pPr>
      <w:ind w:left="1440" w:hanging="240"/>
    </w:pPr>
  </w:style>
  <w:style w:type="paragraph" w:styleId="Index7">
    <w:name w:val="index 7"/>
    <w:basedOn w:val="Normal"/>
    <w:next w:val="Normal"/>
    <w:uiPriority w:val="99"/>
    <w:semiHidden/>
    <w:rsid w:val="003B7CFF"/>
    <w:pPr>
      <w:ind w:left="1680" w:hanging="240"/>
    </w:pPr>
  </w:style>
  <w:style w:type="paragraph" w:styleId="Index8">
    <w:name w:val="index 8"/>
    <w:basedOn w:val="Normal"/>
    <w:next w:val="Normal"/>
    <w:uiPriority w:val="99"/>
    <w:semiHidden/>
    <w:rsid w:val="003B7CFF"/>
    <w:pPr>
      <w:ind w:left="1920" w:hanging="240"/>
    </w:pPr>
  </w:style>
  <w:style w:type="paragraph" w:styleId="Index9">
    <w:name w:val="index 9"/>
    <w:basedOn w:val="Normal"/>
    <w:next w:val="Normal"/>
    <w:uiPriority w:val="99"/>
    <w:semiHidden/>
    <w:rsid w:val="003B7CFF"/>
    <w:pPr>
      <w:ind w:left="2160" w:hanging="240"/>
    </w:pPr>
  </w:style>
  <w:style w:type="paragraph" w:styleId="IndexHeading">
    <w:name w:val="index heading"/>
    <w:basedOn w:val="Normal"/>
    <w:next w:val="Index1"/>
    <w:uiPriority w:val="99"/>
    <w:semiHidden/>
    <w:rsid w:val="003B7CFF"/>
    <w:rPr>
      <w:rFonts w:ascii="Arial" w:hAnsi="Arial" w:cs="Arial"/>
      <w:b/>
      <w:bCs/>
    </w:rPr>
  </w:style>
  <w:style w:type="character" w:customStyle="1" w:styleId="Instructions">
    <w:name w:val="Instructions"/>
    <w:uiPriority w:val="22"/>
    <w:qFormat/>
    <w:rsid w:val="003B7CFF"/>
    <w:rPr>
      <w:i/>
      <w:vanish/>
      <w:color w:val="008080"/>
    </w:rPr>
  </w:style>
  <w:style w:type="character" w:styleId="LineNumber">
    <w:name w:val="line number"/>
    <w:basedOn w:val="DefaultParagraphFont"/>
    <w:uiPriority w:val="99"/>
    <w:semiHidden/>
    <w:rsid w:val="003B7CFF"/>
  </w:style>
  <w:style w:type="paragraph" w:styleId="List">
    <w:name w:val="List"/>
    <w:basedOn w:val="Normal"/>
    <w:uiPriority w:val="99"/>
    <w:semiHidden/>
    <w:rsid w:val="003B7CFF"/>
    <w:pPr>
      <w:ind w:left="360" w:hanging="360"/>
    </w:pPr>
  </w:style>
  <w:style w:type="paragraph" w:styleId="List2">
    <w:name w:val="List 2"/>
    <w:basedOn w:val="Normal"/>
    <w:uiPriority w:val="99"/>
    <w:semiHidden/>
    <w:rsid w:val="003B7CFF"/>
    <w:pPr>
      <w:ind w:left="720" w:hanging="360"/>
    </w:pPr>
  </w:style>
  <w:style w:type="paragraph" w:styleId="List3">
    <w:name w:val="List 3"/>
    <w:basedOn w:val="Normal"/>
    <w:uiPriority w:val="99"/>
    <w:semiHidden/>
    <w:rsid w:val="003B7CFF"/>
    <w:pPr>
      <w:ind w:left="1080" w:hanging="360"/>
    </w:pPr>
  </w:style>
  <w:style w:type="paragraph" w:styleId="List4">
    <w:name w:val="List 4"/>
    <w:basedOn w:val="Normal"/>
    <w:uiPriority w:val="99"/>
    <w:semiHidden/>
    <w:rsid w:val="003B7CFF"/>
    <w:pPr>
      <w:ind w:left="1440" w:hanging="360"/>
    </w:pPr>
  </w:style>
  <w:style w:type="paragraph" w:styleId="List5">
    <w:name w:val="List 5"/>
    <w:basedOn w:val="Normal"/>
    <w:uiPriority w:val="99"/>
    <w:semiHidden/>
    <w:rsid w:val="003B7CFF"/>
    <w:pPr>
      <w:ind w:left="1800" w:hanging="360"/>
    </w:pPr>
  </w:style>
  <w:style w:type="paragraph" w:styleId="ListBullet2">
    <w:name w:val="List Bullet 2"/>
    <w:basedOn w:val="Normal"/>
    <w:uiPriority w:val="9"/>
    <w:qFormat/>
    <w:rsid w:val="003B7CFF"/>
    <w:pPr>
      <w:numPr>
        <w:ilvl w:val="1"/>
        <w:numId w:val="7"/>
      </w:numPr>
      <w:spacing w:before="60" w:after="60"/>
    </w:pPr>
  </w:style>
  <w:style w:type="paragraph" w:styleId="ListBullet3">
    <w:name w:val="List Bullet 3"/>
    <w:basedOn w:val="Normal"/>
    <w:uiPriority w:val="9"/>
    <w:qFormat/>
    <w:rsid w:val="003B7CFF"/>
    <w:pPr>
      <w:numPr>
        <w:ilvl w:val="2"/>
        <w:numId w:val="7"/>
      </w:numPr>
      <w:spacing w:before="60" w:after="60"/>
    </w:pPr>
  </w:style>
  <w:style w:type="paragraph" w:styleId="ListBullet4">
    <w:name w:val="List Bullet 4"/>
    <w:basedOn w:val="Normal"/>
    <w:uiPriority w:val="99"/>
    <w:semiHidden/>
    <w:rsid w:val="003B7CFF"/>
    <w:pPr>
      <w:numPr>
        <w:ilvl w:val="3"/>
        <w:numId w:val="7"/>
      </w:numPr>
      <w:spacing w:before="60" w:after="60"/>
    </w:pPr>
  </w:style>
  <w:style w:type="paragraph" w:styleId="ListBullet5">
    <w:name w:val="List Bullet 5"/>
    <w:basedOn w:val="Normal"/>
    <w:uiPriority w:val="99"/>
    <w:semiHidden/>
    <w:rsid w:val="003B7CFF"/>
    <w:pPr>
      <w:tabs>
        <w:tab w:val="num" w:pos="1800"/>
      </w:tabs>
      <w:spacing w:after="60"/>
      <w:ind w:left="1797" w:hanging="357"/>
    </w:pPr>
  </w:style>
  <w:style w:type="paragraph" w:customStyle="1" w:styleId="ListBulletSmall">
    <w:name w:val="List Bullet Small"/>
    <w:basedOn w:val="ListBullet"/>
    <w:uiPriority w:val="9"/>
    <w:qFormat/>
    <w:rsid w:val="003B7CFF"/>
    <w:pPr>
      <w:numPr>
        <w:numId w:val="8"/>
      </w:numPr>
      <w:spacing w:before="40" w:after="40"/>
    </w:pPr>
    <w:rPr>
      <w:sz w:val="20"/>
      <w:szCs w:val="48"/>
    </w:rPr>
  </w:style>
  <w:style w:type="paragraph" w:customStyle="1" w:styleId="ListBulletSmall2">
    <w:name w:val="List Bullet Small 2"/>
    <w:basedOn w:val="ListBullet2"/>
    <w:uiPriority w:val="9"/>
    <w:qFormat/>
    <w:rsid w:val="003B7CFF"/>
    <w:pPr>
      <w:numPr>
        <w:numId w:val="8"/>
      </w:numPr>
      <w:spacing w:before="40" w:after="40"/>
    </w:pPr>
    <w:rPr>
      <w:sz w:val="20"/>
      <w:szCs w:val="48"/>
    </w:rPr>
  </w:style>
  <w:style w:type="paragraph" w:styleId="ListContinue">
    <w:name w:val="List Continue"/>
    <w:basedOn w:val="Normal"/>
    <w:uiPriority w:val="99"/>
    <w:semiHidden/>
    <w:rsid w:val="003B7CFF"/>
    <w:pPr>
      <w:spacing w:after="120"/>
      <w:ind w:left="360"/>
    </w:pPr>
  </w:style>
  <w:style w:type="paragraph" w:styleId="ListContinue2">
    <w:name w:val="List Continue 2"/>
    <w:basedOn w:val="Normal"/>
    <w:uiPriority w:val="99"/>
    <w:semiHidden/>
    <w:rsid w:val="003B7CFF"/>
    <w:pPr>
      <w:spacing w:after="120"/>
      <w:ind w:left="720"/>
    </w:pPr>
  </w:style>
  <w:style w:type="paragraph" w:styleId="ListContinue3">
    <w:name w:val="List Continue 3"/>
    <w:basedOn w:val="Normal"/>
    <w:uiPriority w:val="99"/>
    <w:semiHidden/>
    <w:rsid w:val="003B7CFF"/>
    <w:pPr>
      <w:spacing w:after="120"/>
      <w:ind w:left="1080"/>
    </w:pPr>
  </w:style>
  <w:style w:type="paragraph" w:styleId="ListContinue4">
    <w:name w:val="List Continue 4"/>
    <w:basedOn w:val="Normal"/>
    <w:uiPriority w:val="99"/>
    <w:semiHidden/>
    <w:rsid w:val="003B7CFF"/>
    <w:pPr>
      <w:spacing w:after="120"/>
      <w:ind w:left="1440"/>
    </w:pPr>
  </w:style>
  <w:style w:type="paragraph" w:styleId="ListContinue5">
    <w:name w:val="List Continue 5"/>
    <w:basedOn w:val="Normal"/>
    <w:uiPriority w:val="99"/>
    <w:semiHidden/>
    <w:rsid w:val="003B7CFF"/>
    <w:pPr>
      <w:spacing w:after="120"/>
      <w:ind w:left="1800"/>
    </w:pPr>
  </w:style>
  <w:style w:type="paragraph" w:customStyle="1" w:styleId="ListEnd">
    <w:name w:val="List End"/>
    <w:next w:val="Paragraph"/>
    <w:uiPriority w:val="10"/>
    <w:qFormat/>
    <w:rsid w:val="003B7CFF"/>
    <w:pPr>
      <w:spacing w:after="0" w:line="240" w:lineRule="auto"/>
    </w:pPr>
    <w:rPr>
      <w:rFonts w:ascii="Times New Roman" w:eastAsia="Times New Roman" w:hAnsi="Times New Roman" w:cs="Times New Roman"/>
      <w:sz w:val="24"/>
      <w:szCs w:val="20"/>
      <w:lang w:val="en-GB"/>
    </w:rPr>
  </w:style>
  <w:style w:type="paragraph" w:customStyle="1" w:styleId="ListHyphen">
    <w:name w:val="List Hyphen"/>
    <w:uiPriority w:val="99"/>
    <w:semiHidden/>
    <w:rsid w:val="003B7CFF"/>
    <w:pPr>
      <w:numPr>
        <w:numId w:val="4"/>
      </w:numPr>
      <w:spacing w:after="0" w:line="240" w:lineRule="auto"/>
    </w:pPr>
    <w:rPr>
      <w:rFonts w:ascii="Times New Roman" w:eastAsia="Times New Roman" w:hAnsi="Times New Roman" w:cs="Times New Roman"/>
      <w:sz w:val="24"/>
      <w:szCs w:val="20"/>
      <w:lang w:val="en-US"/>
    </w:rPr>
  </w:style>
  <w:style w:type="paragraph" w:styleId="ListNumber">
    <w:name w:val="List Number"/>
    <w:basedOn w:val="Normal"/>
    <w:uiPriority w:val="9"/>
    <w:qFormat/>
    <w:rsid w:val="003B7CFF"/>
    <w:pPr>
      <w:numPr>
        <w:numId w:val="12"/>
      </w:numPr>
      <w:spacing w:before="60" w:after="60"/>
    </w:pPr>
  </w:style>
  <w:style w:type="paragraph" w:styleId="ListNumber2">
    <w:name w:val="List Number 2"/>
    <w:basedOn w:val="ListNumber"/>
    <w:uiPriority w:val="9"/>
    <w:qFormat/>
    <w:rsid w:val="003B7CFF"/>
    <w:pPr>
      <w:numPr>
        <w:ilvl w:val="1"/>
      </w:numPr>
    </w:pPr>
  </w:style>
  <w:style w:type="paragraph" w:styleId="ListNumber3">
    <w:name w:val="List Number 3"/>
    <w:basedOn w:val="ListNumber"/>
    <w:uiPriority w:val="9"/>
    <w:qFormat/>
    <w:rsid w:val="003B7CFF"/>
    <w:pPr>
      <w:numPr>
        <w:ilvl w:val="2"/>
      </w:numPr>
    </w:pPr>
  </w:style>
  <w:style w:type="paragraph" w:styleId="ListNumber4">
    <w:name w:val="List Number 4"/>
    <w:basedOn w:val="Normal"/>
    <w:uiPriority w:val="99"/>
    <w:semiHidden/>
    <w:rsid w:val="003B7CFF"/>
    <w:pPr>
      <w:tabs>
        <w:tab w:val="num" w:pos="1440"/>
      </w:tabs>
      <w:spacing w:after="60"/>
      <w:ind w:left="1434" w:hanging="357"/>
    </w:pPr>
  </w:style>
  <w:style w:type="paragraph" w:styleId="ListNumber5">
    <w:name w:val="List Number 5"/>
    <w:basedOn w:val="Normal"/>
    <w:uiPriority w:val="99"/>
    <w:semiHidden/>
    <w:rsid w:val="003B7CFF"/>
    <w:pPr>
      <w:tabs>
        <w:tab w:val="num" w:pos="1800"/>
      </w:tabs>
      <w:spacing w:after="60"/>
      <w:ind w:left="1797" w:hanging="357"/>
    </w:pPr>
  </w:style>
  <w:style w:type="paragraph" w:styleId="MacroText">
    <w:name w:val="macro"/>
    <w:link w:val="MacroTextChar"/>
    <w:uiPriority w:val="99"/>
    <w:semiHidden/>
    <w:rsid w:val="003B7C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US"/>
    </w:rPr>
  </w:style>
  <w:style w:type="character" w:customStyle="1" w:styleId="MacroTextChar">
    <w:name w:val="Macro Text Char"/>
    <w:basedOn w:val="DefaultParagraphFont"/>
    <w:link w:val="MacroText"/>
    <w:uiPriority w:val="99"/>
    <w:semiHidden/>
    <w:rsid w:val="003B7CFF"/>
    <w:rPr>
      <w:rFonts w:ascii="Courier New" w:eastAsia="Times New Roman" w:hAnsi="Courier New" w:cs="Courier New"/>
      <w:sz w:val="20"/>
      <w:szCs w:val="20"/>
      <w:lang w:val="en-US"/>
    </w:rPr>
  </w:style>
  <w:style w:type="paragraph" w:styleId="MessageHeader">
    <w:name w:val="Message Header"/>
    <w:basedOn w:val="Normal"/>
    <w:link w:val="MessageHeaderChar"/>
    <w:uiPriority w:val="99"/>
    <w:semiHidden/>
    <w:rsid w:val="003B7CF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uiPriority w:val="99"/>
    <w:semiHidden/>
    <w:rsid w:val="003B7CFF"/>
    <w:rPr>
      <w:rFonts w:ascii="Arial" w:eastAsia="Times New Roman" w:hAnsi="Arial" w:cs="Arial"/>
      <w:sz w:val="24"/>
      <w:szCs w:val="24"/>
      <w:shd w:val="pct20" w:color="auto" w:fill="auto"/>
      <w:lang w:val="en-GB"/>
    </w:rPr>
  </w:style>
  <w:style w:type="paragraph" w:styleId="NormalWeb">
    <w:name w:val="Normal (Web)"/>
    <w:basedOn w:val="Normal"/>
    <w:uiPriority w:val="99"/>
    <w:semiHidden/>
    <w:rsid w:val="003B7CFF"/>
  </w:style>
  <w:style w:type="paragraph" w:styleId="NormalIndent">
    <w:name w:val="Normal Indent"/>
    <w:basedOn w:val="Normal"/>
    <w:uiPriority w:val="99"/>
    <w:semiHidden/>
    <w:rsid w:val="003B7CFF"/>
    <w:pPr>
      <w:ind w:left="720"/>
    </w:pPr>
  </w:style>
  <w:style w:type="paragraph" w:styleId="NoteHeading">
    <w:name w:val="Note Heading"/>
    <w:basedOn w:val="Normal"/>
    <w:next w:val="Normal"/>
    <w:link w:val="NoteHeadingChar"/>
    <w:uiPriority w:val="99"/>
    <w:semiHidden/>
    <w:rsid w:val="003B7CFF"/>
  </w:style>
  <w:style w:type="character" w:customStyle="1" w:styleId="NoteHeadingChar">
    <w:name w:val="Note Heading Char"/>
    <w:basedOn w:val="DefaultParagraphFont"/>
    <w:link w:val="NoteHeading"/>
    <w:uiPriority w:val="99"/>
    <w:semiHidden/>
    <w:rsid w:val="003B7CFF"/>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rsid w:val="003B7CFF"/>
  </w:style>
  <w:style w:type="character" w:styleId="PlaceholderText">
    <w:name w:val="Placeholder Text"/>
    <w:basedOn w:val="DefaultParagraphFont"/>
    <w:uiPriority w:val="99"/>
    <w:semiHidden/>
    <w:rsid w:val="003B7CFF"/>
    <w:rPr>
      <w:color w:val="808080"/>
    </w:rPr>
  </w:style>
  <w:style w:type="paragraph" w:styleId="PlainText">
    <w:name w:val="Plain Text"/>
    <w:basedOn w:val="Normal"/>
    <w:link w:val="PlainTextChar"/>
    <w:uiPriority w:val="49"/>
    <w:semiHidden/>
    <w:rsid w:val="003B7CFF"/>
    <w:rPr>
      <w:rFonts w:ascii="Courier New" w:hAnsi="Courier New" w:cs="Courier New"/>
      <w:sz w:val="20"/>
      <w:szCs w:val="20"/>
    </w:rPr>
  </w:style>
  <w:style w:type="character" w:customStyle="1" w:styleId="PlainTextChar">
    <w:name w:val="Plain Text Char"/>
    <w:basedOn w:val="DefaultParagraphFont"/>
    <w:link w:val="PlainText"/>
    <w:uiPriority w:val="49"/>
    <w:semiHidden/>
    <w:rsid w:val="003B7CFF"/>
    <w:rPr>
      <w:rFonts w:ascii="Courier New" w:eastAsia="Times New Roman" w:hAnsi="Courier New" w:cs="Courier New"/>
      <w:sz w:val="20"/>
      <w:szCs w:val="20"/>
      <w:lang w:val="en-GB"/>
    </w:rPr>
  </w:style>
  <w:style w:type="paragraph" w:customStyle="1" w:styleId="References">
    <w:name w:val="References"/>
    <w:uiPriority w:val="24"/>
    <w:rsid w:val="003B7CFF"/>
    <w:pPr>
      <w:numPr>
        <w:numId w:val="5"/>
      </w:numPr>
      <w:tabs>
        <w:tab w:val="clear" w:pos="360"/>
        <w:tab w:val="left" w:pos="425"/>
      </w:tabs>
      <w:spacing w:after="240" w:line="240" w:lineRule="auto"/>
      <w:ind w:left="425" w:hanging="425"/>
    </w:pPr>
    <w:rPr>
      <w:rFonts w:ascii="Times New Roman" w:eastAsia="Times New Roman" w:hAnsi="Times New Roman" w:cs="Arial"/>
      <w:bCs/>
      <w:kern w:val="32"/>
      <w:sz w:val="24"/>
      <w:szCs w:val="24"/>
      <w:lang w:val="en-GB"/>
    </w:rPr>
  </w:style>
  <w:style w:type="paragraph" w:styleId="Salutation">
    <w:name w:val="Salutation"/>
    <w:basedOn w:val="Normal"/>
    <w:next w:val="Normal"/>
    <w:link w:val="SalutationChar"/>
    <w:uiPriority w:val="49"/>
    <w:semiHidden/>
    <w:rsid w:val="003B7CFF"/>
  </w:style>
  <w:style w:type="character" w:customStyle="1" w:styleId="SalutationChar">
    <w:name w:val="Salutation Char"/>
    <w:basedOn w:val="DefaultParagraphFont"/>
    <w:link w:val="Salutation"/>
    <w:uiPriority w:val="49"/>
    <w:semiHidden/>
    <w:rsid w:val="003B7CFF"/>
    <w:rPr>
      <w:rFonts w:ascii="Times New Roman" w:eastAsia="Times New Roman" w:hAnsi="Times New Roman" w:cs="Times New Roman"/>
      <w:sz w:val="24"/>
      <w:szCs w:val="24"/>
      <w:lang w:val="en-GB"/>
    </w:rPr>
  </w:style>
  <w:style w:type="paragraph" w:customStyle="1" w:styleId="Sequence">
    <w:name w:val="Sequence"/>
    <w:basedOn w:val="Normal"/>
    <w:next w:val="Paragraph"/>
    <w:uiPriority w:val="24"/>
    <w:rsid w:val="003B7CFF"/>
    <w:pPr>
      <w:keepNext/>
      <w:spacing w:after="0" w:line="240" w:lineRule="auto"/>
    </w:pPr>
    <w:rPr>
      <w:rFonts w:ascii="Courier New" w:hAnsi="Courier New"/>
      <w:sz w:val="20"/>
    </w:rPr>
  </w:style>
  <w:style w:type="paragraph" w:styleId="Signature">
    <w:name w:val="Signature"/>
    <w:basedOn w:val="Normal"/>
    <w:link w:val="SignatureChar"/>
    <w:uiPriority w:val="49"/>
    <w:semiHidden/>
    <w:rsid w:val="003B7CFF"/>
    <w:pPr>
      <w:ind w:left="4320"/>
    </w:pPr>
  </w:style>
  <w:style w:type="character" w:customStyle="1" w:styleId="SignatureChar">
    <w:name w:val="Signature Char"/>
    <w:basedOn w:val="DefaultParagraphFont"/>
    <w:link w:val="Signature"/>
    <w:uiPriority w:val="49"/>
    <w:semiHidden/>
    <w:rsid w:val="003B7CFF"/>
    <w:rPr>
      <w:rFonts w:ascii="Times New Roman" w:eastAsia="Times New Roman" w:hAnsi="Times New Roman" w:cs="Times New Roman"/>
      <w:sz w:val="24"/>
      <w:szCs w:val="24"/>
      <w:lang w:val="en-GB"/>
    </w:rPr>
  </w:style>
  <w:style w:type="character" w:styleId="Strong">
    <w:name w:val="Strong"/>
    <w:uiPriority w:val="49"/>
    <w:qFormat/>
    <w:rsid w:val="003B7CFF"/>
    <w:rPr>
      <w:b/>
      <w:bCs/>
    </w:rPr>
  </w:style>
  <w:style w:type="paragraph" w:styleId="Subtitle">
    <w:name w:val="Subtitle"/>
    <w:basedOn w:val="Normal"/>
    <w:next w:val="Normal"/>
    <w:link w:val="SubtitleChar"/>
    <w:uiPriority w:val="99"/>
    <w:rsid w:val="003B7C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B7CFF"/>
    <w:rPr>
      <w:rFonts w:eastAsiaTheme="minorEastAsia"/>
      <w:color w:val="5A5A5A" w:themeColor="text1" w:themeTint="A5"/>
      <w:spacing w:val="15"/>
      <w:lang w:val="en-GB"/>
    </w:rPr>
  </w:style>
  <w:style w:type="table" w:styleId="TableGridLight">
    <w:name w:val="Grid Table Light"/>
    <w:basedOn w:val="TableNormal"/>
    <w:uiPriority w:val="40"/>
    <w:rsid w:val="00EE3A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AHeading">
    <w:name w:val="toa heading"/>
    <w:basedOn w:val="Normal"/>
    <w:next w:val="Normal"/>
    <w:uiPriority w:val="99"/>
    <w:semiHidden/>
    <w:unhideWhenUsed/>
    <w:rsid w:val="00EE3AC8"/>
    <w:pPr>
      <w:spacing w:before="120"/>
    </w:pPr>
    <w:rPr>
      <w:rFonts w:asciiTheme="majorHAnsi" w:eastAsiaTheme="majorEastAsia" w:hAnsiTheme="majorHAnsi" w:cstheme="majorBidi"/>
      <w:b/>
      <w:bCs/>
    </w:rPr>
  </w:style>
  <w:style w:type="character" w:styleId="UnresolvedMention">
    <w:name w:val="Unresolved Mention"/>
    <w:basedOn w:val="DefaultParagraphFont"/>
    <w:uiPriority w:val="99"/>
    <w:semiHidden/>
    <w:unhideWhenUsed/>
    <w:rsid w:val="00EE3AC8"/>
    <w:rPr>
      <w:color w:val="808080"/>
      <w:shd w:val="clear" w:color="auto" w:fill="E6E6E6"/>
    </w:rPr>
  </w:style>
  <w:style w:type="paragraph" w:customStyle="1" w:styleId="TableCenter">
    <w:name w:val="Table Center"/>
    <w:basedOn w:val="Normal"/>
    <w:uiPriority w:val="12"/>
    <w:qFormat/>
    <w:rsid w:val="00C85970"/>
    <w:pPr>
      <w:spacing w:before="40" w:after="40" w:line="240" w:lineRule="auto"/>
      <w:jc w:val="center"/>
    </w:pPr>
    <w:rPr>
      <w:sz w:val="20"/>
    </w:rPr>
  </w:style>
  <w:style w:type="paragraph" w:customStyle="1" w:styleId="TableEndofTextTitle">
    <w:name w:val="Table End of Text Title"/>
    <w:next w:val="Paragraph"/>
    <w:uiPriority w:val="11"/>
    <w:qFormat/>
    <w:rsid w:val="003B7CFF"/>
    <w:pPr>
      <w:spacing w:after="120" w:line="240" w:lineRule="auto"/>
    </w:pPr>
    <w:rPr>
      <w:rFonts w:ascii="Times New Roman" w:eastAsia="Times New Roman" w:hAnsi="Times New Roman" w:cs="Times New Roman"/>
      <w:b/>
      <w:sz w:val="24"/>
      <w:szCs w:val="24"/>
      <w:lang w:val="en-GB"/>
    </w:rPr>
  </w:style>
  <w:style w:type="paragraph" w:customStyle="1" w:styleId="TableFixedWidth">
    <w:name w:val="Table Fixed Width"/>
    <w:uiPriority w:val="15"/>
    <w:qFormat/>
    <w:rsid w:val="003B7CFF"/>
    <w:pPr>
      <w:spacing w:after="0" w:line="240" w:lineRule="auto"/>
    </w:pPr>
    <w:rPr>
      <w:rFonts w:ascii="Courier New" w:eastAsia="Times New Roman" w:hAnsi="Courier New" w:cs="Times New Roman"/>
      <w:sz w:val="20"/>
      <w:szCs w:val="20"/>
      <w:lang w:val="en-GB"/>
    </w:rPr>
  </w:style>
  <w:style w:type="paragraph" w:styleId="NoSpacing">
    <w:name w:val="No Spacing"/>
    <w:uiPriority w:val="1"/>
    <w:qFormat/>
    <w:rsid w:val="003B7CFF"/>
    <w:pPr>
      <w:spacing w:after="0" w:line="240" w:lineRule="auto"/>
    </w:pPr>
    <w:rPr>
      <w:rFonts w:ascii="Times New Roman" w:eastAsia="Times New Roman" w:hAnsi="Times New Roman" w:cs="Times New Roman"/>
      <w:sz w:val="24"/>
      <w:szCs w:val="24"/>
      <w:lang w:val="en-GB"/>
    </w:rPr>
  </w:style>
  <w:style w:type="paragraph" w:customStyle="1" w:styleId="TableFootnoteInfo">
    <w:name w:val="Table Footnote Info"/>
    <w:basedOn w:val="Normal"/>
    <w:uiPriority w:val="14"/>
    <w:qFormat/>
    <w:rsid w:val="00DF3302"/>
    <w:pPr>
      <w:keepLines/>
      <w:spacing w:before="40" w:after="40" w:line="240" w:lineRule="auto"/>
    </w:pPr>
    <w:rPr>
      <w:sz w:val="18"/>
      <w:szCs w:val="48"/>
    </w:rPr>
  </w:style>
  <w:style w:type="paragraph" w:customStyle="1" w:styleId="TableFootnoteLetter">
    <w:name w:val="Table Footnote Letter"/>
    <w:basedOn w:val="Normal"/>
    <w:uiPriority w:val="99"/>
    <w:rsid w:val="00DF3302"/>
    <w:pPr>
      <w:keepLines/>
      <w:numPr>
        <w:numId w:val="13"/>
      </w:numPr>
      <w:spacing w:before="40" w:after="40" w:line="240" w:lineRule="auto"/>
    </w:pPr>
    <w:rPr>
      <w:sz w:val="18"/>
      <w:szCs w:val="20"/>
    </w:rPr>
  </w:style>
  <w:style w:type="paragraph" w:styleId="IntenseQuote">
    <w:name w:val="Intense Quote"/>
    <w:basedOn w:val="Normal"/>
    <w:next w:val="Normal"/>
    <w:link w:val="IntenseQuoteChar"/>
    <w:uiPriority w:val="30"/>
    <w:qFormat/>
    <w:rsid w:val="003B7CF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B7CFF"/>
    <w:rPr>
      <w:rFonts w:ascii="Times New Roman" w:eastAsia="Times New Roman" w:hAnsi="Times New Roman" w:cs="Times New Roman"/>
      <w:i/>
      <w:iCs/>
      <w:color w:val="4F81BD" w:themeColor="accent1"/>
      <w:sz w:val="24"/>
      <w:szCs w:val="24"/>
      <w:lang w:val="en-GB"/>
    </w:rPr>
  </w:style>
  <w:style w:type="table" w:styleId="LightList">
    <w:name w:val="Light List"/>
    <w:basedOn w:val="TableNormal"/>
    <w:uiPriority w:val="61"/>
    <w:rsid w:val="003B7CFF"/>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Head">
    <w:name w:val="Table Head"/>
    <w:basedOn w:val="TableText"/>
    <w:uiPriority w:val="11"/>
    <w:qFormat/>
    <w:rsid w:val="003B7CFF"/>
    <w:rPr>
      <w:b/>
      <w:szCs w:val="48"/>
    </w:rPr>
  </w:style>
  <w:style w:type="paragraph" w:customStyle="1" w:styleId="TableLeft">
    <w:name w:val="Table Left"/>
    <w:uiPriority w:val="12"/>
    <w:qFormat/>
    <w:rsid w:val="00C85970"/>
    <w:pPr>
      <w:spacing w:before="40" w:after="40" w:line="240" w:lineRule="auto"/>
    </w:pPr>
    <w:rPr>
      <w:rFonts w:ascii="Times New Roman" w:eastAsia="Times New Roman" w:hAnsi="Times New Roman" w:cs="Arial"/>
      <w:bCs/>
      <w:kern w:val="32"/>
      <w:sz w:val="20"/>
      <w:szCs w:val="24"/>
      <w:lang w:val="en-GB"/>
    </w:rPr>
  </w:style>
  <w:style w:type="paragraph" w:styleId="TableofFigures">
    <w:name w:val="table of figures"/>
    <w:basedOn w:val="Normal"/>
    <w:next w:val="Paragraph"/>
    <w:uiPriority w:val="40"/>
    <w:rsid w:val="003B7CFF"/>
    <w:pPr>
      <w:tabs>
        <w:tab w:val="left" w:pos="1701"/>
        <w:tab w:val="right" w:leader="dot" w:pos="9000"/>
      </w:tabs>
      <w:spacing w:before="60" w:after="0"/>
      <w:ind w:left="1701" w:right="357" w:hanging="1701"/>
    </w:pPr>
  </w:style>
  <w:style w:type="table" w:styleId="TableGrid">
    <w:name w:val="Table Grid"/>
    <w:basedOn w:val="TableNormal"/>
    <w:uiPriority w:val="39"/>
    <w:rsid w:val="003B7CFF"/>
    <w:pPr>
      <w:spacing w:after="0" w:line="240" w:lineRule="auto"/>
    </w:pPr>
    <w:rPr>
      <w:rFonts w:eastAsiaTheme="minorEastAsia"/>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Continued">
    <w:name w:val="Table Title Continued"/>
    <w:basedOn w:val="Normal"/>
    <w:uiPriority w:val="10"/>
    <w:qFormat/>
    <w:rsid w:val="003B7CFF"/>
    <w:pPr>
      <w:spacing w:after="120"/>
    </w:pPr>
    <w:rPr>
      <w:b/>
    </w:rPr>
  </w:style>
  <w:style w:type="paragraph" w:styleId="Title">
    <w:name w:val="Title"/>
    <w:link w:val="TitleChar"/>
    <w:uiPriority w:val="25"/>
    <w:rsid w:val="003B7CFF"/>
    <w:pPr>
      <w:spacing w:before="240" w:after="240" w:line="240" w:lineRule="auto"/>
      <w:jc w:val="center"/>
    </w:pPr>
    <w:rPr>
      <w:rFonts w:ascii="Times New Roman" w:eastAsia="Times New Roman" w:hAnsi="Times New Roman" w:cs="Arial"/>
      <w:b/>
      <w:bCs/>
      <w:kern w:val="28"/>
      <w:sz w:val="32"/>
      <w:szCs w:val="32"/>
      <w:lang w:val="en-GB"/>
    </w:rPr>
  </w:style>
  <w:style w:type="character" w:customStyle="1" w:styleId="TitleChar">
    <w:name w:val="Title Char"/>
    <w:basedOn w:val="DefaultParagraphFont"/>
    <w:link w:val="Title"/>
    <w:uiPriority w:val="25"/>
    <w:rsid w:val="003B7CFF"/>
    <w:rPr>
      <w:rFonts w:ascii="Times New Roman" w:eastAsia="Times New Roman" w:hAnsi="Times New Roman" w:cs="Arial"/>
      <w:b/>
      <w:bCs/>
      <w:kern w:val="28"/>
      <w:sz w:val="32"/>
      <w:szCs w:val="32"/>
      <w:lang w:val="en-GB"/>
    </w:rPr>
  </w:style>
  <w:style w:type="paragraph" w:styleId="TOC1">
    <w:name w:val="toc 1"/>
    <w:next w:val="Paragraph"/>
    <w:uiPriority w:val="39"/>
    <w:rsid w:val="003B7CFF"/>
    <w:pPr>
      <w:tabs>
        <w:tab w:val="left" w:pos="1134"/>
        <w:tab w:val="right" w:leader="dot" w:pos="9000"/>
      </w:tabs>
      <w:spacing w:before="120" w:after="0" w:line="240" w:lineRule="auto"/>
      <w:ind w:left="1134" w:right="357" w:hanging="1134"/>
    </w:pPr>
    <w:rPr>
      <w:rFonts w:ascii="Times New Roman" w:eastAsia="Times New Roman" w:hAnsi="Times New Roman" w:cs="Times New Roman"/>
      <w:caps/>
      <w:sz w:val="24"/>
      <w:szCs w:val="20"/>
      <w:lang w:val="en-GB"/>
    </w:rPr>
  </w:style>
  <w:style w:type="paragraph" w:styleId="TOC2">
    <w:name w:val="toc 2"/>
    <w:basedOn w:val="TOC1"/>
    <w:next w:val="Paragraph"/>
    <w:uiPriority w:val="39"/>
    <w:rsid w:val="003B7CFF"/>
    <w:pPr>
      <w:spacing w:before="60"/>
    </w:pPr>
    <w:rPr>
      <w:caps w:val="0"/>
      <w:szCs w:val="24"/>
    </w:rPr>
  </w:style>
  <w:style w:type="paragraph" w:styleId="TOC3">
    <w:name w:val="toc 3"/>
    <w:basedOn w:val="TOC1"/>
    <w:next w:val="Paragraph"/>
    <w:uiPriority w:val="39"/>
    <w:rsid w:val="003B7CFF"/>
    <w:pPr>
      <w:spacing w:before="0"/>
    </w:pPr>
    <w:rPr>
      <w:caps w:val="0"/>
      <w:szCs w:val="24"/>
    </w:rPr>
  </w:style>
  <w:style w:type="paragraph" w:styleId="TOC4">
    <w:name w:val="toc 4"/>
    <w:basedOn w:val="Normal"/>
    <w:next w:val="Paragraph"/>
    <w:uiPriority w:val="39"/>
    <w:rsid w:val="003B7CFF"/>
    <w:pPr>
      <w:tabs>
        <w:tab w:val="left" w:pos="1134"/>
        <w:tab w:val="right" w:leader="dot" w:pos="9000"/>
      </w:tabs>
      <w:spacing w:after="0" w:line="240" w:lineRule="auto"/>
      <w:ind w:left="1134" w:right="357" w:hanging="1134"/>
    </w:pPr>
  </w:style>
  <w:style w:type="paragraph" w:styleId="TOC5">
    <w:name w:val="toc 5"/>
    <w:basedOn w:val="TOC1"/>
    <w:next w:val="Normal"/>
    <w:uiPriority w:val="39"/>
    <w:rsid w:val="003B7CFF"/>
    <w:pPr>
      <w:tabs>
        <w:tab w:val="clear" w:pos="1134"/>
      </w:tabs>
      <w:ind w:left="0" w:firstLine="0"/>
    </w:pPr>
    <w:rPr>
      <w:noProof/>
    </w:rPr>
  </w:style>
  <w:style w:type="paragraph" w:styleId="TOC6">
    <w:name w:val="toc 6"/>
    <w:basedOn w:val="TOC2"/>
    <w:next w:val="Normal"/>
    <w:uiPriority w:val="39"/>
    <w:rsid w:val="003B7CFF"/>
    <w:pPr>
      <w:tabs>
        <w:tab w:val="clear" w:pos="1134"/>
      </w:tabs>
      <w:ind w:left="0" w:firstLine="0"/>
    </w:pPr>
    <w:rPr>
      <w:noProof/>
    </w:rPr>
  </w:style>
  <w:style w:type="paragraph" w:styleId="TOC7">
    <w:name w:val="toc 7"/>
    <w:basedOn w:val="Normal"/>
    <w:next w:val="Normal"/>
    <w:uiPriority w:val="39"/>
    <w:rsid w:val="003B7CFF"/>
    <w:pPr>
      <w:tabs>
        <w:tab w:val="right" w:leader="dot" w:pos="9000"/>
      </w:tabs>
      <w:spacing w:after="0" w:line="240" w:lineRule="auto"/>
      <w:ind w:right="357"/>
    </w:pPr>
    <w:rPr>
      <w:noProof/>
    </w:rPr>
  </w:style>
  <w:style w:type="paragraph" w:styleId="TOC8">
    <w:name w:val="toc 8"/>
    <w:basedOn w:val="TOC7"/>
    <w:next w:val="Normal"/>
    <w:uiPriority w:val="39"/>
    <w:rsid w:val="003B7CFF"/>
    <w:rPr>
      <w:i/>
    </w:rPr>
  </w:style>
  <w:style w:type="paragraph" w:styleId="TOC9">
    <w:name w:val="toc 9"/>
    <w:basedOn w:val="Normal"/>
    <w:next w:val="Normal"/>
    <w:uiPriority w:val="39"/>
    <w:rsid w:val="003B7CFF"/>
    <w:pPr>
      <w:tabs>
        <w:tab w:val="left" w:pos="1134"/>
        <w:tab w:val="right" w:leader="dot" w:pos="9000"/>
      </w:tabs>
      <w:ind w:left="1134" w:right="360" w:hanging="1134"/>
    </w:pPr>
  </w:style>
  <w:style w:type="paragraph" w:styleId="TOCHeading">
    <w:name w:val="TOC Heading"/>
    <w:basedOn w:val="TOCTitle"/>
    <w:next w:val="Normal"/>
    <w:uiPriority w:val="39"/>
    <w:rsid w:val="003B7CFF"/>
    <w:pPr>
      <w:spacing w:after="0"/>
    </w:pPr>
    <w:rPr>
      <w:rFonts w:asciiTheme="majorHAnsi" w:eastAsiaTheme="majorEastAsia" w:hAnsiTheme="majorHAnsi" w:cstheme="majorBidi"/>
      <w:bCs w:val="0"/>
      <w:caps w:val="0"/>
      <w:kern w:val="0"/>
      <w:szCs w:val="32"/>
    </w:rPr>
  </w:style>
  <w:style w:type="paragraph" w:customStyle="1" w:styleId="TOCSection">
    <w:name w:val="TOC Section"/>
    <w:basedOn w:val="Heading1"/>
    <w:uiPriority w:val="25"/>
    <w:rsid w:val="003B7CFF"/>
    <w:pPr>
      <w:numPr>
        <w:numId w:val="0"/>
      </w:numPr>
      <w:tabs>
        <w:tab w:val="left" w:pos="0"/>
        <w:tab w:val="left" w:pos="480"/>
      </w:tabs>
      <w:spacing w:after="120"/>
      <w:outlineLvl w:val="9"/>
    </w:pPr>
  </w:style>
  <w:style w:type="paragraph" w:customStyle="1" w:styleId="TOCTitle">
    <w:name w:val="TOC Title"/>
    <w:basedOn w:val="Title"/>
    <w:next w:val="TOC1"/>
    <w:uiPriority w:val="25"/>
    <w:rsid w:val="003B7CFF"/>
    <w:pPr>
      <w:pageBreakBefore/>
      <w:jc w:val="left"/>
    </w:pPr>
    <w:rPr>
      <w:caps/>
      <w:sz w:val="28"/>
      <w:szCs w:val="28"/>
    </w:rPr>
  </w:style>
  <w:style w:type="character" w:customStyle="1" w:styleId="UserTips">
    <w:name w:val="User Tips"/>
    <w:uiPriority w:val="22"/>
    <w:rsid w:val="003B7CFF"/>
    <w:rPr>
      <w:i/>
      <w:vanish/>
      <w:color w:val="FF0000"/>
    </w:rPr>
  </w:style>
  <w:style w:type="paragraph" w:customStyle="1" w:styleId="AppendixAlphaSub1">
    <w:name w:val="Appendix Alpha Sub 1"/>
    <w:basedOn w:val="AppendixAlpha"/>
    <w:next w:val="Paragraph"/>
    <w:uiPriority w:val="21"/>
    <w:qFormat/>
    <w:rsid w:val="003B7CFF"/>
    <w:pPr>
      <w:pageBreakBefore w:val="0"/>
      <w:numPr>
        <w:ilvl w:val="1"/>
      </w:numPr>
      <w:spacing w:before="120"/>
    </w:pPr>
  </w:style>
  <w:style w:type="paragraph" w:styleId="Quote">
    <w:name w:val="Quote"/>
    <w:basedOn w:val="Normal"/>
    <w:next w:val="Normal"/>
    <w:link w:val="QuoteChar"/>
    <w:uiPriority w:val="29"/>
    <w:qFormat/>
    <w:rsid w:val="003B7C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B7CFF"/>
    <w:rPr>
      <w:rFonts w:ascii="Times New Roman" w:eastAsia="Times New Roman" w:hAnsi="Times New Roman" w:cs="Times New Roman"/>
      <w:i/>
      <w:iCs/>
      <w:color w:val="404040" w:themeColor="text1" w:themeTint="BF"/>
      <w:sz w:val="24"/>
      <w:szCs w:val="24"/>
      <w:lang w:val="en-GB"/>
    </w:rPr>
  </w:style>
  <w:style w:type="paragraph" w:customStyle="1" w:styleId="AppendixAlphaSub2">
    <w:name w:val="Appendix Alpha Sub 2"/>
    <w:basedOn w:val="AppendixAlphaSub1"/>
    <w:next w:val="Paragraph"/>
    <w:uiPriority w:val="21"/>
    <w:unhideWhenUsed/>
    <w:qFormat/>
    <w:rsid w:val="003B7CFF"/>
    <w:pPr>
      <w:numPr>
        <w:ilvl w:val="2"/>
      </w:numPr>
    </w:pPr>
    <w:rPr>
      <w:sz w:val="26"/>
    </w:rPr>
  </w:style>
  <w:style w:type="paragraph" w:customStyle="1" w:styleId="AppendixAlphaSub3">
    <w:name w:val="Appendix Alpha Sub 3"/>
    <w:basedOn w:val="AppendixAlphaSub1"/>
    <w:next w:val="Paragraph"/>
    <w:uiPriority w:val="21"/>
    <w:unhideWhenUsed/>
    <w:qFormat/>
    <w:rsid w:val="003B7CFF"/>
    <w:pPr>
      <w:numPr>
        <w:ilvl w:val="3"/>
      </w:numPr>
    </w:pPr>
    <w:rPr>
      <w:sz w:val="24"/>
    </w:rPr>
  </w:style>
  <w:style w:type="paragraph" w:customStyle="1" w:styleId="AppendixAlphaSub4">
    <w:name w:val="Appendix Alpha Sub 4"/>
    <w:basedOn w:val="AppendixAlphaSub1"/>
    <w:next w:val="Paragraph"/>
    <w:uiPriority w:val="21"/>
    <w:unhideWhenUsed/>
    <w:qFormat/>
    <w:rsid w:val="003B7CFF"/>
    <w:pPr>
      <w:numPr>
        <w:ilvl w:val="4"/>
      </w:numPr>
      <w:spacing w:after="60"/>
    </w:pPr>
    <w:rPr>
      <w:i/>
      <w:sz w:val="24"/>
    </w:rPr>
  </w:style>
  <w:style w:type="paragraph" w:customStyle="1" w:styleId="ListNumberSmall">
    <w:name w:val="List Number Small"/>
    <w:basedOn w:val="ListBulletSmall"/>
    <w:uiPriority w:val="9"/>
    <w:qFormat/>
    <w:rsid w:val="003B7CFF"/>
    <w:pPr>
      <w:numPr>
        <w:numId w:val="14"/>
      </w:numPr>
      <w:tabs>
        <w:tab w:val="left" w:pos="425"/>
      </w:tabs>
    </w:pPr>
  </w:style>
  <w:style w:type="paragraph" w:customStyle="1" w:styleId="TableHidden">
    <w:name w:val="Table Hidden"/>
    <w:basedOn w:val="Paragraph"/>
    <w:uiPriority w:val="23"/>
    <w:qFormat/>
    <w:rsid w:val="003B7CFF"/>
    <w:rPr>
      <w:vanish/>
    </w:rPr>
  </w:style>
  <w:style w:type="paragraph" w:customStyle="1" w:styleId="FigureTitleContinued">
    <w:name w:val="Figure Title Continued"/>
    <w:basedOn w:val="FigureTitle"/>
    <w:uiPriority w:val="17"/>
    <w:qFormat/>
    <w:rsid w:val="003B7CFF"/>
    <w:rPr>
      <w:lang w:val="sv-SE"/>
    </w:rPr>
  </w:style>
  <w:style w:type="paragraph" w:customStyle="1" w:styleId="Z-LineL1">
    <w:name w:val="Z-Line L 1"/>
    <w:basedOn w:val="Normal"/>
    <w:uiPriority w:val="42"/>
    <w:rsid w:val="003B7CFF"/>
    <w:pPr>
      <w:spacing w:before="60" w:after="0" w:line="240" w:lineRule="auto"/>
    </w:pPr>
    <w:rPr>
      <w:sz w:val="20"/>
      <w:szCs w:val="20"/>
    </w:rPr>
  </w:style>
  <w:style w:type="paragraph" w:customStyle="1" w:styleId="Z-LineL2">
    <w:name w:val="Z-Line L 2"/>
    <w:basedOn w:val="Normal"/>
    <w:uiPriority w:val="42"/>
    <w:rsid w:val="003B7CFF"/>
    <w:pPr>
      <w:spacing w:before="60" w:after="0" w:line="240" w:lineRule="auto"/>
    </w:pPr>
    <w:rPr>
      <w:sz w:val="20"/>
      <w:szCs w:val="20"/>
    </w:rPr>
  </w:style>
  <w:style w:type="paragraph" w:customStyle="1" w:styleId="Z-LineL3">
    <w:name w:val="Z-Line L 3"/>
    <w:basedOn w:val="Normal"/>
    <w:uiPriority w:val="42"/>
    <w:rsid w:val="003B7CFF"/>
    <w:pPr>
      <w:spacing w:before="60" w:after="0" w:line="240" w:lineRule="auto"/>
    </w:pPr>
    <w:rPr>
      <w:sz w:val="20"/>
      <w:szCs w:val="20"/>
    </w:rPr>
  </w:style>
  <w:style w:type="paragraph" w:customStyle="1" w:styleId="Z-LineL4">
    <w:name w:val="Z-Line L 4"/>
    <w:basedOn w:val="Normal"/>
    <w:uiPriority w:val="42"/>
    <w:rsid w:val="003B7CFF"/>
    <w:pPr>
      <w:spacing w:before="60" w:after="0" w:line="240" w:lineRule="auto"/>
    </w:pPr>
    <w:rPr>
      <w:sz w:val="20"/>
      <w:szCs w:val="20"/>
    </w:rPr>
  </w:style>
  <w:style w:type="paragraph" w:customStyle="1" w:styleId="Z-LineR1">
    <w:name w:val="Z-Line R 1"/>
    <w:basedOn w:val="Normal"/>
    <w:uiPriority w:val="42"/>
    <w:rsid w:val="003B7CFF"/>
    <w:pPr>
      <w:spacing w:before="60" w:after="0" w:line="240" w:lineRule="auto"/>
    </w:pPr>
    <w:rPr>
      <w:sz w:val="20"/>
      <w:szCs w:val="20"/>
    </w:rPr>
  </w:style>
  <w:style w:type="paragraph" w:customStyle="1" w:styleId="Z-LineR2">
    <w:name w:val="Z-Line R 2"/>
    <w:basedOn w:val="Normal"/>
    <w:uiPriority w:val="42"/>
    <w:rsid w:val="003B7CFF"/>
    <w:pPr>
      <w:spacing w:before="60" w:after="0" w:line="240" w:lineRule="auto"/>
    </w:pPr>
    <w:rPr>
      <w:sz w:val="20"/>
      <w:szCs w:val="20"/>
    </w:rPr>
  </w:style>
  <w:style w:type="paragraph" w:customStyle="1" w:styleId="Z-LineR3">
    <w:name w:val="Z-Line R 3"/>
    <w:basedOn w:val="Normal"/>
    <w:uiPriority w:val="42"/>
    <w:rsid w:val="003B7CFF"/>
    <w:pPr>
      <w:spacing w:before="60" w:after="0" w:line="240" w:lineRule="auto"/>
    </w:pPr>
    <w:rPr>
      <w:sz w:val="20"/>
      <w:szCs w:val="20"/>
    </w:rPr>
  </w:style>
  <w:style w:type="paragraph" w:customStyle="1" w:styleId="Z-LineR4">
    <w:name w:val="Z-Line R 4"/>
    <w:basedOn w:val="Normal"/>
    <w:uiPriority w:val="42"/>
    <w:rsid w:val="003B7CFF"/>
    <w:pPr>
      <w:spacing w:after="60" w:line="240" w:lineRule="auto"/>
    </w:pPr>
    <w:rPr>
      <w:sz w:val="20"/>
      <w:szCs w:val="20"/>
    </w:rPr>
  </w:style>
  <w:style w:type="paragraph" w:customStyle="1" w:styleId="Z-DocumentName">
    <w:name w:val="Z-Document Name"/>
    <w:basedOn w:val="Z-LineL1"/>
    <w:uiPriority w:val="42"/>
    <w:qFormat/>
    <w:rsid w:val="003B7CFF"/>
    <w:rPr>
      <w:b/>
    </w:rPr>
  </w:style>
  <w:style w:type="character" w:styleId="BookTitle">
    <w:name w:val="Book Title"/>
    <w:basedOn w:val="DefaultParagraphFont"/>
    <w:uiPriority w:val="33"/>
    <w:qFormat/>
    <w:rsid w:val="00EE3AC8"/>
    <w:rPr>
      <w:b/>
      <w:bCs/>
      <w:i/>
      <w:iCs/>
      <w:spacing w:val="5"/>
    </w:rPr>
  </w:style>
  <w:style w:type="table" w:styleId="ColourfulGrid">
    <w:name w:val="Colorful Grid"/>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EE3AC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EE3AC8"/>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EE3AC8"/>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E3AC8"/>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EE3AC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E3AC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E3AC8"/>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E3AC8"/>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E3AC8"/>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E3AC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E3AC8"/>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E3A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E3AC8"/>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E3AC8"/>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E3AC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E3AC8"/>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E3AC8"/>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E3AC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E3AC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EE3AC8"/>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EE3AC8"/>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EE3AC8"/>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EE3AC8"/>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EE3AC8"/>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EE3AC8"/>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EE3AC8"/>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EE3AC8"/>
    <w:rPr>
      <w:color w:val="2B579A"/>
      <w:shd w:val="clear" w:color="auto" w:fill="E6E6E6"/>
    </w:rPr>
  </w:style>
  <w:style w:type="character" w:styleId="IntenseEmphasis">
    <w:name w:val="Intense Emphasis"/>
    <w:basedOn w:val="DefaultParagraphFont"/>
    <w:uiPriority w:val="21"/>
    <w:qFormat/>
    <w:rsid w:val="00EE3AC8"/>
    <w:rPr>
      <w:i/>
      <w:iCs/>
      <w:color w:val="4F81BD" w:themeColor="accent1"/>
    </w:rPr>
  </w:style>
  <w:style w:type="character" w:styleId="IntenseReference">
    <w:name w:val="Intense Reference"/>
    <w:basedOn w:val="DefaultParagraphFont"/>
    <w:uiPriority w:val="32"/>
    <w:qFormat/>
    <w:rsid w:val="00EE3AC8"/>
    <w:rPr>
      <w:b/>
      <w:bCs/>
      <w:smallCaps/>
      <w:color w:val="4F81BD" w:themeColor="accent1"/>
      <w:spacing w:val="5"/>
    </w:rPr>
  </w:style>
  <w:style w:type="table" w:styleId="LightGrid-Accent1">
    <w:name w:val="Light Grid Accent 1"/>
    <w:basedOn w:val="TableNormal"/>
    <w:uiPriority w:val="62"/>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1">
    <w:name w:val="Light List Accent 1"/>
    <w:basedOn w:val="TableNormal"/>
    <w:uiPriority w:val="61"/>
    <w:semiHidden/>
    <w:unhideWhenUsed/>
    <w:rsid w:val="00EE3AC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E3AC8"/>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E3AC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E3AC8"/>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E3AC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E3AC8"/>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E3AC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E3AC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E3AC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E3AC8"/>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E3AC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E3AC8"/>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E3AC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E3AC8"/>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E3AC8"/>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E3AC8"/>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E3AC8"/>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E3AC8"/>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E3AC8"/>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E3AC8"/>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E3AC8"/>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E3AC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E3AC8"/>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E3AC8"/>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E3AC8"/>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E3AC8"/>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E3AC8"/>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E3AC8"/>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E3A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E3AC8"/>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E3AC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E3AC8"/>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E3AC8"/>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E3AC8"/>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E3AC8"/>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E3AC8"/>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E3AC8"/>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E3AC8"/>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E3AC8"/>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E3AC8"/>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E3AC8"/>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E3AC8"/>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EE3AC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EE3AC8"/>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EE3AC8"/>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EE3AC8"/>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EE3AC8"/>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EE3AC8"/>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EE3AC8"/>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EE3AC8"/>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EE3AC8"/>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EE3AC8"/>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EE3AC8"/>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EE3AC8"/>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EE3AC8"/>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EE3AC8"/>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E3AC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E3AC8"/>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E3AC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E3AC8"/>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E3AC8"/>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E3AC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E3AC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E3AC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E3AC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E3AC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E3AC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EE3AC8"/>
    <w:rPr>
      <w:color w:val="2B579A"/>
      <w:shd w:val="clear" w:color="auto" w:fill="E6E6E6"/>
    </w:rPr>
  </w:style>
  <w:style w:type="table" w:styleId="PlainTable3">
    <w:name w:val="Plain Table 3"/>
    <w:basedOn w:val="TableNormal"/>
    <w:uiPriority w:val="43"/>
    <w:rsid w:val="00EE3A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E3AC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E3AC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EE3AC8"/>
    <w:rPr>
      <w:u w:val="dotted"/>
    </w:rPr>
  </w:style>
  <w:style w:type="character" w:styleId="SubtleEmphasis">
    <w:name w:val="Subtle Emphasis"/>
    <w:basedOn w:val="DefaultParagraphFont"/>
    <w:uiPriority w:val="19"/>
    <w:qFormat/>
    <w:rsid w:val="00EE3AC8"/>
    <w:rPr>
      <w:i/>
      <w:iCs/>
      <w:color w:val="404040" w:themeColor="text1" w:themeTint="BF"/>
    </w:rPr>
  </w:style>
  <w:style w:type="character" w:styleId="SubtleReference">
    <w:name w:val="Subtle Reference"/>
    <w:basedOn w:val="DefaultParagraphFont"/>
    <w:uiPriority w:val="31"/>
    <w:qFormat/>
    <w:rsid w:val="00EE3AC8"/>
    <w:rPr>
      <w:smallCaps/>
      <w:color w:val="5A5A5A" w:themeColor="text1" w:themeTint="A5"/>
    </w:rPr>
  </w:style>
  <w:style w:type="paragraph" w:customStyle="1" w:styleId="Paragraph">
    <w:name w:val="Paragraph"/>
    <w:link w:val="ParagraphChar"/>
    <w:qFormat/>
    <w:rsid w:val="00F913F9"/>
    <w:pPr>
      <w:spacing w:after="240" w:line="240" w:lineRule="auto"/>
    </w:pPr>
    <w:rPr>
      <w:rFonts w:ascii="Times New Roman" w:eastAsia="Times New Roman" w:hAnsi="Times New Roman" w:cs="Times New Roman"/>
      <w:sz w:val="24"/>
      <w:szCs w:val="24"/>
      <w:lang w:val="en-GB"/>
    </w:rPr>
  </w:style>
  <w:style w:type="character" w:customStyle="1" w:styleId="ParagraphChar">
    <w:name w:val="Paragraph Char"/>
    <w:basedOn w:val="DefaultParagraphFont"/>
    <w:link w:val="Paragraph"/>
    <w:qFormat/>
    <w:rsid w:val="00F913F9"/>
    <w:rPr>
      <w:rFonts w:ascii="Times New Roman" w:eastAsia="Times New Roman" w:hAnsi="Times New Roman" w:cs="Times New Roman"/>
      <w:sz w:val="24"/>
      <w:szCs w:val="24"/>
      <w:lang w:val="en-GB"/>
    </w:rPr>
  </w:style>
  <w:style w:type="table" w:styleId="Table3Deffects1">
    <w:name w:val="Table 3D effects 1"/>
    <w:basedOn w:val="TableNormal"/>
    <w:semiHidden/>
    <w:rsid w:val="003B7CFF"/>
    <w:pPr>
      <w:spacing w:after="0" w:line="240" w:lineRule="auto"/>
    </w:pPr>
    <w:rPr>
      <w:rFonts w:ascii="Times New Roman" w:eastAsia="Times New Roman" w:hAnsi="Times New Roman" w:cs="Times New Roman"/>
      <w:sz w:val="20"/>
      <w:szCs w:val="20"/>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7CFF"/>
    <w:pPr>
      <w:spacing w:after="0" w:line="240" w:lineRule="auto"/>
    </w:pPr>
    <w:rPr>
      <w:rFonts w:ascii="Times New Roman" w:eastAsia="Times New Roman" w:hAnsi="Times New Roman" w:cs="Times New Roman"/>
      <w:color w:val="000080"/>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rsid w:val="003B7CFF"/>
    <w:pPr>
      <w:spacing w:after="0" w:line="240" w:lineRule="auto"/>
    </w:pPr>
    <w:rPr>
      <w:rFonts w:ascii="Times New Roman" w:eastAsia="Times New Roman" w:hAnsi="Times New Roman" w:cs="Times New Roman"/>
      <w:color w:val="FFFFFF"/>
      <w:sz w:val="20"/>
      <w:szCs w:val="20"/>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Text">
    <w:name w:val="Table Text"/>
    <w:semiHidden/>
    <w:rsid w:val="003B7CFF"/>
    <w:pPr>
      <w:spacing w:before="40" w:after="40" w:line="240" w:lineRule="auto"/>
      <w:jc w:val="center"/>
    </w:pPr>
    <w:rPr>
      <w:rFonts w:ascii="Times New Roman" w:eastAsia="Times New Roman" w:hAnsi="Times New Roman" w:cs="Times New Roman"/>
      <w:sz w:val="20"/>
      <w:szCs w:val="20"/>
      <w:lang w:val="en-GB"/>
    </w:rPr>
  </w:style>
  <w:style w:type="table" w:styleId="TableGrid1">
    <w:name w:val="Table Grid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7CFF"/>
    <w:pPr>
      <w:spacing w:after="0" w:line="240" w:lineRule="auto"/>
    </w:pPr>
    <w:rPr>
      <w:rFonts w:ascii="Times New Roman" w:eastAsia="Times New Roman" w:hAnsi="Times New Roman" w:cs="Times New Roman"/>
      <w:b/>
      <w:bCs/>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B7CFF"/>
    <w:pPr>
      <w:ind w:left="240" w:hanging="240"/>
    </w:pPr>
  </w:style>
  <w:style w:type="table" w:styleId="TableProfessional">
    <w:name w:val="Table Professional"/>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TableRowHead">
    <w:name w:val="Table Row Head"/>
    <w:basedOn w:val="TableText"/>
    <w:semiHidden/>
    <w:rsid w:val="003B7CFF"/>
    <w:pPr>
      <w:tabs>
        <w:tab w:val="left" w:pos="360"/>
      </w:tabs>
      <w:jc w:val="left"/>
    </w:pPr>
  </w:style>
  <w:style w:type="table" w:styleId="TableSimple1">
    <w:name w:val="Table Simp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7CFF"/>
    <w:pPr>
      <w:spacing w:after="0" w:line="240" w:lineRule="auto"/>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SummaryHead">
    <w:name w:val="Table Summary Head"/>
    <w:basedOn w:val="TableText"/>
    <w:semiHidden/>
    <w:rsid w:val="003B7CFF"/>
  </w:style>
  <w:style w:type="paragraph" w:customStyle="1" w:styleId="TableSummaryTitle">
    <w:name w:val="Table Summary Title"/>
    <w:basedOn w:val="TableTitle"/>
    <w:next w:val="TableHead"/>
    <w:semiHidden/>
    <w:rsid w:val="003B7CFF"/>
    <w:pPr>
      <w:pageBreakBefore/>
    </w:pPr>
  </w:style>
  <w:style w:type="table" w:styleId="TableTheme">
    <w:name w:val="Table Theme"/>
    <w:basedOn w:val="TableNormal"/>
    <w:semiHidden/>
    <w:rsid w:val="003B7CF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7CFF"/>
    <w:pPr>
      <w:spacing w:after="0" w:line="240" w:lineRule="auto"/>
    </w:pPr>
    <w:rPr>
      <w:rFonts w:ascii="Times New Roman" w:eastAsia="Times New Roman" w:hAnsi="Times New Roman" w:cs="Times New Roman"/>
      <w:sz w:val="20"/>
      <w:szCs w:val="20"/>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2B0489"/>
    <w:pPr>
      <w:spacing w:after="0" w:line="240" w:lineRule="auto"/>
    </w:pPr>
    <w:rPr>
      <w:rFonts w:ascii="Times New Roman" w:eastAsia="Times New Roman" w:hAnsi="Times New Roman" w:cs="Times New Roman"/>
      <w:sz w:val="24"/>
      <w:szCs w:val="24"/>
      <w:lang w:val="en-GB"/>
    </w:rPr>
  </w:style>
  <w:style w:type="character" w:customStyle="1" w:styleId="ListParagraphChar">
    <w:name w:val="List Paragraph Char"/>
    <w:aliases w:val="Bullet1 Char,Bullet List Char,Section 5 Char,hyperlink Char,Hyperlink1 Char,Hyperlink2 Char,Odstavec se seznamem1 Char,Hyperlink11 Char,Bullet 1 Char,Table Legend Char,Paragraphe de liste Char,Level 1 Bullet Char,Sub questions Char"/>
    <w:link w:val="ListParagraph"/>
    <w:uiPriority w:val="34"/>
    <w:locked/>
    <w:rsid w:val="00E06A72"/>
    <w:rPr>
      <w:rFonts w:ascii="Times New Roman" w:eastAsia="Times New Roman" w:hAnsi="Times New Roman" w:cs="Times New Roman"/>
      <w:sz w:val="24"/>
      <w:szCs w:val="24"/>
      <w:lang w:val="en-GB"/>
    </w:rPr>
  </w:style>
  <w:style w:type="table" w:customStyle="1" w:styleId="TableGrid10">
    <w:name w:val="Table Grid1"/>
    <w:basedOn w:val="TableNormal"/>
    <w:next w:val="TableGrid"/>
    <w:uiPriority w:val="59"/>
    <w:rsid w:val="003874D0"/>
    <w:pPr>
      <w:spacing w:after="0" w:line="240" w:lineRule="auto"/>
    </w:pPr>
    <w:rPr>
      <w:rFonts w:eastAsia="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6273">
      <w:bodyDiv w:val="1"/>
      <w:marLeft w:val="0"/>
      <w:marRight w:val="0"/>
      <w:marTop w:val="0"/>
      <w:marBottom w:val="0"/>
      <w:divBdr>
        <w:top w:val="none" w:sz="0" w:space="0" w:color="auto"/>
        <w:left w:val="none" w:sz="0" w:space="0" w:color="auto"/>
        <w:bottom w:val="none" w:sz="0" w:space="0" w:color="auto"/>
        <w:right w:val="none" w:sz="0" w:space="0" w:color="auto"/>
      </w:divBdr>
    </w:div>
    <w:div w:id="100921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2.xml><?xml version="1.0" encoding="utf-8"?>
<?mso-contentType ?>
<SharedContentType xmlns="Microsoft.SharePoint.Taxonomy.ContentTypeSync" SourceId="1ee89e71-04cd-405e-9ca3-99e020c1694d" ContentTypeId="0x0101" PreviousValue="false" LastSyncTimeStamp="2018-05-28T08:22:36.137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EE48CE552A414386F0D7E3904B7CFA" ma:contentTypeVersion="7" ma:contentTypeDescription="Create a new document." ma:contentTypeScope="" ma:versionID="c39423cce60554efc8537f0e67d2e535">
  <xsd:schema xmlns:xsd="http://www.w3.org/2001/XMLSchema" xmlns:xs="http://www.w3.org/2001/XMLSchema" xmlns:p="http://schemas.microsoft.com/office/2006/metadata/properties" xmlns:ns2="44a56295-c29e-4898-8136-a54736c65b82" xmlns:ns3="431b9158-4c4d-4cdf-a866-cc60e40a2853" xmlns:ns4="1789bcfa-60cb-40fa-bb08-3974bfa54c5d" targetNamespace="http://schemas.microsoft.com/office/2006/metadata/properties" ma:root="true" ma:fieldsID="0969df8c4ed4efcaf7027e30061d48eb" ns2:_="" ns3:_="" ns4:_="">
    <xsd:import namespace="44a56295-c29e-4898-8136-a54736c65b82"/>
    <xsd:import namespace="431b9158-4c4d-4cdf-a866-cc60e40a2853"/>
    <xsd:import namespace="1789bcfa-60cb-40fa-bb08-3974bfa54c5d"/>
    <xsd:element name="properties">
      <xsd:complexType>
        <xsd:sequence>
          <xsd:element name="documentManagement">
            <xsd:complexType>
              <xsd:all>
                <xsd:element ref="ns2:Descriptions" minOccurs="0"/>
                <xsd:element ref="ns2:Keyword" minOccurs="0"/>
                <xsd:element ref="ns3:SharedWithUsers" minOccurs="0"/>
                <xsd:element ref="ns3:SharedWithDetails" minOccurs="0"/>
                <xsd:element ref="ns4:MediaServiceMetadata" minOccurs="0"/>
                <xsd:element ref="ns4:MediaServiceFastMetadata" minOccurs="0"/>
                <xsd:element ref="ns4:MediaServiceSearchProperties" minOccurs="0"/>
                <xsd:element ref="ns4:MediaServiceObjectDetectorVersion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b9158-4c4d-4cdf-a866-cc60e40a28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89bcfa-60cb-40fa-bb08-3974bfa54c5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B9FD8-A523-43A3-94B2-80C828DC6B38}">
  <ds:schemaRefs>
    <ds:schemaRef ds:uri="http://schemas.microsoft.com/office/2006/metadata/properties"/>
    <ds:schemaRef ds:uri="http://schemas.microsoft.com/office/infopath/2007/PartnerControls"/>
    <ds:schemaRef ds:uri="44a56295-c29e-4898-8136-a54736c65b82"/>
  </ds:schemaRefs>
</ds:datastoreItem>
</file>

<file path=customXml/itemProps2.xml><?xml version="1.0" encoding="utf-8"?>
<ds:datastoreItem xmlns:ds="http://schemas.openxmlformats.org/officeDocument/2006/customXml" ds:itemID="{91F441F9-CA39-4FAC-A097-D5DE1AE2E451}">
  <ds:schemaRefs>
    <ds:schemaRef ds:uri="Microsoft.SharePoint.Taxonomy.ContentTypeSync"/>
  </ds:schemaRefs>
</ds:datastoreItem>
</file>

<file path=customXml/itemProps3.xml><?xml version="1.0" encoding="utf-8"?>
<ds:datastoreItem xmlns:ds="http://schemas.openxmlformats.org/officeDocument/2006/customXml" ds:itemID="{A0E1E821-E87D-4254-A539-BA82DD6B9D23}">
  <ds:schemaRefs>
    <ds:schemaRef ds:uri="http://schemas.microsoft.com/sharepoint/v3/contenttype/forms"/>
  </ds:schemaRefs>
</ds:datastoreItem>
</file>

<file path=customXml/itemProps4.xml><?xml version="1.0" encoding="utf-8"?>
<ds:datastoreItem xmlns:ds="http://schemas.openxmlformats.org/officeDocument/2006/customXml" ds:itemID="{B42BEAF0-9C3F-4641-94CF-524BD357B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431b9158-4c4d-4cdf-a866-cc60e40a2853"/>
    <ds:schemaRef ds:uri="1789bcfa-60cb-40fa-bb08-3974bfa54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F156FC-897D-4ED6-B796-EA0F6C4C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18</Pages>
  <Words>4809</Words>
  <Characters>30690</Characters>
  <Application>Microsoft Office Word</Application>
  <DocSecurity>0</DocSecurity>
  <Lines>746</Lines>
  <Paragraphs>375</Paragraphs>
  <ScaleCrop>false</ScaleCrop>
  <HeadingPairs>
    <vt:vector size="2" baseType="variant">
      <vt:variant>
        <vt:lpstr>Title</vt:lpstr>
      </vt:variant>
      <vt:variant>
        <vt:i4>1</vt:i4>
      </vt:variant>
    </vt:vector>
  </HeadingPairs>
  <TitlesOfParts>
    <vt:vector size="1" baseType="lpstr">
      <vt:lpstr>Attachment: Product information for Kavigale</vt:lpstr>
    </vt:vector>
  </TitlesOfParts>
  <Company/>
  <LinksUpToDate>false</LinksUpToDate>
  <CharactersWithSpaces>35245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Kavigale</dc:title>
  <dc:subject>Prescription medicines</dc:subject>
  <dc:creator>AstraZeneca Pty Ltd</dc:creator>
  <cp:lastPrinted>2017-11-13T05:13:00Z</cp:lastPrinted>
  <dcterms:created xsi:type="dcterms:W3CDTF">2026-04-10T03:13:00Z</dcterms:created>
  <dcterms:modified xsi:type="dcterms:W3CDTF">2026-04-10T03:31:00Z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ingCaptions">
    <vt:lpwstr>No</vt:lpwstr>
  </property>
  <property fmtid="{D5CDD505-2E9C-101B-9397-08002B2CF9AE}" pid="3" name="Prefix">
    <vt:lpwstr/>
  </property>
  <property fmtid="{D5CDD505-2E9C-101B-9397-08002B2CF9AE}" pid="4" name="ANGEL_Document_ID">
    <vt:lpwstr>ANGEL_DocID</vt:lpwstr>
  </property>
  <property fmtid="{D5CDD505-2E9C-101B-9397-08002B2CF9AE}" pid="5" name="ANGEL_Document_Status">
    <vt:lpwstr>ANGEL_Status </vt:lpwstr>
  </property>
  <property fmtid="{D5CDD505-2E9C-101B-9397-08002B2CF9AE}" pid="6" name="ANGEL_PPN">
    <vt:lpwstr>ANGEL_PPN</vt:lpwstr>
  </property>
  <property fmtid="{D5CDD505-2E9C-101B-9397-08002B2CF9AE}" pid="7" name="ANGEL_Product">
    <vt:lpwstr>ProductName</vt:lpwstr>
  </property>
  <property fmtid="{D5CDD505-2E9C-101B-9397-08002B2CF9AE}" pid="8" name="ANGEL_Study_Code">
    <vt:lpwstr>StudyCode</vt:lpwstr>
  </property>
  <property fmtid="{D5CDD505-2E9C-101B-9397-08002B2CF9AE}" pid="9" name="ANGEL_DosageForm">
    <vt:lpwstr>DosageForm</vt:lpwstr>
  </property>
  <property fmtid="{D5CDD505-2E9C-101B-9397-08002B2CF9AE}" pid="10" name="ANGEL_Version">
    <vt:lpwstr>ANGEL_Version</vt:lpwstr>
  </property>
  <property fmtid="{D5CDD505-2E9C-101B-9397-08002B2CF9AE}" pid="11" name="ANGEL_DocumentName">
    <vt:lpwstr>ANGEL_DocumentName</vt:lpwstr>
  </property>
  <property fmtid="{D5CDD505-2E9C-101B-9397-08002B2CF9AE}" pid="12" name="ContentTypeId">
    <vt:lpwstr>0x0101004FEE48CE552A414386F0D7E3904B7CFA</vt:lpwstr>
  </property>
  <property fmtid="{D5CDD505-2E9C-101B-9397-08002B2CF9AE}" pid="13" name="ClassificationContentMarkingHeaderShapeIds">
    <vt:lpwstr>6e85437d,ab45fd6,39df8ad8</vt:lpwstr>
  </property>
  <property fmtid="{D5CDD505-2E9C-101B-9397-08002B2CF9AE}" pid="14" name="ClassificationContentMarkingHeaderFontProps">
    <vt:lpwstr>#ff0000,12,Aptos</vt:lpwstr>
  </property>
  <property fmtid="{D5CDD505-2E9C-101B-9397-08002B2CF9AE}" pid="15" name="ClassificationContentMarkingHeaderText">
    <vt:lpwstr>OFFICIAL</vt:lpwstr>
  </property>
  <property fmtid="{D5CDD505-2E9C-101B-9397-08002B2CF9AE}" pid="16" name="ClassificationContentMarkingFooterShapeIds">
    <vt:lpwstr>793115e,6800d8b4,2168b425</vt:lpwstr>
  </property>
  <property fmtid="{D5CDD505-2E9C-101B-9397-08002B2CF9AE}" pid="17" name="ClassificationContentMarkingFooterFontProps">
    <vt:lpwstr>#ff0000,12,Aptos</vt:lpwstr>
  </property>
  <property fmtid="{D5CDD505-2E9C-101B-9397-08002B2CF9AE}" pid="18" name="ClassificationContentMarkingFooterText">
    <vt:lpwstr>OFFICIAL</vt:lpwstr>
  </property>
  <property fmtid="{D5CDD505-2E9C-101B-9397-08002B2CF9AE}" pid="19" name="MSIP_Label_7cd3e8b9-ffed-43a8-b7f4-cc2fa0382d36_Enabled">
    <vt:lpwstr>true</vt:lpwstr>
  </property>
  <property fmtid="{D5CDD505-2E9C-101B-9397-08002B2CF9AE}" pid="20" name="MSIP_Label_7cd3e8b9-ffed-43a8-b7f4-cc2fa0382d36_SetDate">
    <vt:lpwstr>2026-04-07T02:59:21Z</vt:lpwstr>
  </property>
  <property fmtid="{D5CDD505-2E9C-101B-9397-08002B2CF9AE}" pid="21" name="MSIP_Label_7cd3e8b9-ffed-43a8-b7f4-cc2fa0382d36_Method">
    <vt:lpwstr>Privileged</vt:lpwstr>
  </property>
  <property fmtid="{D5CDD505-2E9C-101B-9397-08002B2CF9AE}" pid="22" name="MSIP_Label_7cd3e8b9-ffed-43a8-b7f4-cc2fa0382d36_Name">
    <vt:lpwstr>O</vt:lpwstr>
  </property>
  <property fmtid="{D5CDD505-2E9C-101B-9397-08002B2CF9AE}" pid="23" name="MSIP_Label_7cd3e8b9-ffed-43a8-b7f4-cc2fa0382d36_SiteId">
    <vt:lpwstr>34a3929c-73cf-4954-abfe-147dc3517892</vt:lpwstr>
  </property>
  <property fmtid="{D5CDD505-2E9C-101B-9397-08002B2CF9AE}" pid="24" name="MSIP_Label_7cd3e8b9-ffed-43a8-b7f4-cc2fa0382d36_ActionId">
    <vt:lpwstr>84fa0f89-5eb0-42ee-a0ce-155c48f08c3d</vt:lpwstr>
  </property>
  <property fmtid="{D5CDD505-2E9C-101B-9397-08002B2CF9AE}" pid="25" name="MSIP_Label_7cd3e8b9-ffed-43a8-b7f4-cc2fa0382d36_ContentBits">
    <vt:lpwstr>3</vt:lpwstr>
  </property>
  <property fmtid="{D5CDD505-2E9C-101B-9397-08002B2CF9AE}" pid="26" name="MSIP_Label_7cd3e8b9-ffed-43a8-b7f4-cc2fa0382d36_Tag">
    <vt:lpwstr>10, 0, 1, 1</vt:lpwstr>
  </property>
</Properties>
</file>