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7DAED422" w:rsidR="00F02AEC" w:rsidRPr="00215D48" w:rsidRDefault="00346EC2" w:rsidP="00DC60F5">
            <w:pPr>
              <w:pStyle w:val="Title"/>
            </w:pPr>
            <w:r w:rsidRPr="00346EC2">
              <w:t xml:space="preserve">Australian Public Assessment Report for </w:t>
            </w:r>
            <w:r w:rsidR="00A2376F" w:rsidRPr="00A2376F">
              <w:t>D</w:t>
            </w:r>
            <w:r w:rsidR="00A2376F">
              <w:t>ostiva</w:t>
            </w:r>
            <w:r w:rsidR="00DC60F5">
              <w:t>, Denolia, Deskeltia, Dexeva</w:t>
            </w:r>
          </w:p>
        </w:tc>
      </w:tr>
      <w:tr w:rsidR="00F02AEC" w:rsidRPr="00215D48" w14:paraId="318A40A3" w14:textId="77777777" w:rsidTr="00346EC2">
        <w:trPr>
          <w:trHeight w:val="995"/>
        </w:trPr>
        <w:tc>
          <w:tcPr>
            <w:tcW w:w="8720" w:type="dxa"/>
          </w:tcPr>
          <w:p w14:paraId="1AA7C701" w14:textId="7009A60A" w:rsidR="00F02AEC" w:rsidRPr="00215D48" w:rsidRDefault="00346EC2" w:rsidP="007452E8">
            <w:pPr>
              <w:pStyle w:val="Subtitle"/>
              <w:ind w:left="0"/>
            </w:pPr>
            <w:r w:rsidRPr="00346EC2">
              <w:t xml:space="preserve">Active ingredient: </w:t>
            </w:r>
            <w:r w:rsidR="00005E55">
              <w:t>D</w:t>
            </w:r>
            <w:r w:rsidR="00F67DB8" w:rsidRPr="00F67DB8">
              <w:t>enosumab</w:t>
            </w:r>
          </w:p>
        </w:tc>
      </w:tr>
      <w:tr w:rsidR="00346EC2" w:rsidRPr="00215D48" w14:paraId="362CCAE4" w14:textId="77777777" w:rsidTr="007452E8">
        <w:trPr>
          <w:trHeight w:val="1916"/>
        </w:trPr>
        <w:tc>
          <w:tcPr>
            <w:tcW w:w="8720" w:type="dxa"/>
          </w:tcPr>
          <w:p w14:paraId="709C45C0" w14:textId="016DB079" w:rsidR="00346EC2" w:rsidRPr="00215D48" w:rsidRDefault="00346EC2" w:rsidP="007452E8">
            <w:pPr>
              <w:pStyle w:val="Subtitle"/>
              <w:ind w:left="0"/>
            </w:pPr>
            <w:r w:rsidRPr="00346EC2">
              <w:t xml:space="preserve">Sponsor: </w:t>
            </w:r>
            <w:r w:rsidR="00D65CF2">
              <w:t xml:space="preserve">Accord </w:t>
            </w:r>
            <w:r w:rsidR="00002E43">
              <w:t>H</w:t>
            </w:r>
            <w:r w:rsidR="00D65CF2">
              <w:t>ealthcare Pty Ltd</w:t>
            </w:r>
          </w:p>
        </w:tc>
      </w:tr>
      <w:tr w:rsidR="00F02AEC" w:rsidRPr="00215D48" w14:paraId="37F2AA1F" w14:textId="77777777" w:rsidTr="007452E8">
        <w:tc>
          <w:tcPr>
            <w:tcW w:w="8720" w:type="dxa"/>
          </w:tcPr>
          <w:p w14:paraId="1FDE8DCD" w14:textId="3F961CBD" w:rsidR="00F02AEC" w:rsidRPr="00215D48" w:rsidRDefault="00F02AEC" w:rsidP="007452E8">
            <w:pPr>
              <w:pStyle w:val="Date"/>
            </w:pPr>
            <w:r w:rsidRPr="00215D48">
              <w:t>M</w:t>
            </w:r>
            <w:r w:rsidR="00D65CF2">
              <w:t>arch 2026</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C5AA80A" w:rsidR="00175CD8" w:rsidRPr="00346EC2" w:rsidRDefault="00F02AEC" w:rsidP="00346EC2">
      <w:pPr>
        <w:pStyle w:val="LegalCopy"/>
        <w:rPr>
          <w:rFonts w:cs="Arial"/>
        </w:rPr>
      </w:pPr>
      <w:r w:rsidRPr="00215D48">
        <w:rPr>
          <w:rFonts w:cs="Arial"/>
        </w:rPr>
        <w:t>© Commonwealth of Australia 20</w:t>
      </w:r>
      <w:r>
        <w:rPr>
          <w:rFonts w:cs="Arial"/>
        </w:rPr>
        <w:t>2</w:t>
      </w:r>
      <w:r w:rsidR="00005E55">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0C5432"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529C9D98" w14:textId="7D7543D9" w:rsidR="00121437"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26984768" w:history="1">
            <w:r w:rsidR="00121437" w:rsidRPr="001124BE">
              <w:rPr>
                <w:rStyle w:val="Hyperlink"/>
                <w:noProof/>
              </w:rPr>
              <w:t>List of abbreviations</w:t>
            </w:r>
            <w:r w:rsidR="00121437">
              <w:rPr>
                <w:noProof/>
                <w:webHidden/>
              </w:rPr>
              <w:tab/>
            </w:r>
            <w:r w:rsidR="00121437">
              <w:rPr>
                <w:noProof/>
                <w:webHidden/>
              </w:rPr>
              <w:fldChar w:fldCharType="begin"/>
            </w:r>
            <w:r w:rsidR="00121437">
              <w:rPr>
                <w:noProof/>
                <w:webHidden/>
              </w:rPr>
              <w:instrText xml:space="preserve"> PAGEREF _Toc226984768 \h </w:instrText>
            </w:r>
            <w:r w:rsidR="00121437">
              <w:rPr>
                <w:noProof/>
                <w:webHidden/>
              </w:rPr>
            </w:r>
            <w:r w:rsidR="00121437">
              <w:rPr>
                <w:noProof/>
                <w:webHidden/>
              </w:rPr>
              <w:fldChar w:fldCharType="separate"/>
            </w:r>
            <w:r w:rsidR="00121437">
              <w:rPr>
                <w:noProof/>
                <w:webHidden/>
              </w:rPr>
              <w:t>4</w:t>
            </w:r>
            <w:r w:rsidR="00121437">
              <w:rPr>
                <w:noProof/>
                <w:webHidden/>
              </w:rPr>
              <w:fldChar w:fldCharType="end"/>
            </w:r>
          </w:hyperlink>
        </w:p>
        <w:p w14:paraId="5D56BAC5" w14:textId="4B6867D4" w:rsidR="00121437" w:rsidRDefault="0012143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6984769" w:history="1">
            <w:r w:rsidRPr="001124BE">
              <w:rPr>
                <w:rStyle w:val="Hyperlink"/>
                <w:noProof/>
              </w:rPr>
              <w:t>Product submission</w:t>
            </w:r>
            <w:r>
              <w:rPr>
                <w:noProof/>
                <w:webHidden/>
              </w:rPr>
              <w:tab/>
            </w:r>
            <w:r>
              <w:rPr>
                <w:noProof/>
                <w:webHidden/>
              </w:rPr>
              <w:fldChar w:fldCharType="begin"/>
            </w:r>
            <w:r>
              <w:rPr>
                <w:noProof/>
                <w:webHidden/>
              </w:rPr>
              <w:instrText xml:space="preserve"> PAGEREF _Toc226984769 \h </w:instrText>
            </w:r>
            <w:r>
              <w:rPr>
                <w:noProof/>
                <w:webHidden/>
              </w:rPr>
            </w:r>
            <w:r>
              <w:rPr>
                <w:noProof/>
                <w:webHidden/>
              </w:rPr>
              <w:fldChar w:fldCharType="separate"/>
            </w:r>
            <w:r>
              <w:rPr>
                <w:noProof/>
                <w:webHidden/>
              </w:rPr>
              <w:t>6</w:t>
            </w:r>
            <w:r>
              <w:rPr>
                <w:noProof/>
                <w:webHidden/>
              </w:rPr>
              <w:fldChar w:fldCharType="end"/>
            </w:r>
          </w:hyperlink>
        </w:p>
        <w:p w14:paraId="6347ED48" w14:textId="3CA13F4F"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70" w:history="1">
            <w:r w:rsidRPr="001124BE">
              <w:rPr>
                <w:rStyle w:val="Hyperlink"/>
                <w:noProof/>
                <w:lang w:eastAsia="en-AU"/>
              </w:rPr>
              <w:t xml:space="preserve">Submission </w:t>
            </w:r>
            <w:r w:rsidRPr="001124BE">
              <w:rPr>
                <w:rStyle w:val="Hyperlink"/>
                <w:noProof/>
              </w:rPr>
              <w:t>details</w:t>
            </w:r>
            <w:r>
              <w:rPr>
                <w:noProof/>
                <w:webHidden/>
              </w:rPr>
              <w:tab/>
            </w:r>
            <w:r>
              <w:rPr>
                <w:noProof/>
                <w:webHidden/>
              </w:rPr>
              <w:fldChar w:fldCharType="begin"/>
            </w:r>
            <w:r>
              <w:rPr>
                <w:noProof/>
                <w:webHidden/>
              </w:rPr>
              <w:instrText xml:space="preserve"> PAGEREF _Toc226984770 \h </w:instrText>
            </w:r>
            <w:r>
              <w:rPr>
                <w:noProof/>
                <w:webHidden/>
              </w:rPr>
            </w:r>
            <w:r>
              <w:rPr>
                <w:noProof/>
                <w:webHidden/>
              </w:rPr>
              <w:fldChar w:fldCharType="separate"/>
            </w:r>
            <w:r>
              <w:rPr>
                <w:noProof/>
                <w:webHidden/>
              </w:rPr>
              <w:t>6</w:t>
            </w:r>
            <w:r>
              <w:rPr>
                <w:noProof/>
                <w:webHidden/>
              </w:rPr>
              <w:fldChar w:fldCharType="end"/>
            </w:r>
          </w:hyperlink>
        </w:p>
        <w:p w14:paraId="5966DB91" w14:textId="41EA02BD"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71" w:history="1">
            <w:r w:rsidRPr="001124BE">
              <w:rPr>
                <w:rStyle w:val="Hyperlink"/>
                <w:noProof/>
              </w:rPr>
              <w:t>Product background</w:t>
            </w:r>
            <w:r>
              <w:rPr>
                <w:noProof/>
                <w:webHidden/>
              </w:rPr>
              <w:tab/>
            </w:r>
            <w:r>
              <w:rPr>
                <w:noProof/>
                <w:webHidden/>
              </w:rPr>
              <w:fldChar w:fldCharType="begin"/>
            </w:r>
            <w:r>
              <w:rPr>
                <w:noProof/>
                <w:webHidden/>
              </w:rPr>
              <w:instrText xml:space="preserve"> PAGEREF _Toc226984771 \h </w:instrText>
            </w:r>
            <w:r>
              <w:rPr>
                <w:noProof/>
                <w:webHidden/>
              </w:rPr>
            </w:r>
            <w:r>
              <w:rPr>
                <w:noProof/>
                <w:webHidden/>
              </w:rPr>
              <w:fldChar w:fldCharType="separate"/>
            </w:r>
            <w:r>
              <w:rPr>
                <w:noProof/>
                <w:webHidden/>
              </w:rPr>
              <w:t>8</w:t>
            </w:r>
            <w:r>
              <w:rPr>
                <w:noProof/>
                <w:webHidden/>
              </w:rPr>
              <w:fldChar w:fldCharType="end"/>
            </w:r>
          </w:hyperlink>
        </w:p>
        <w:p w14:paraId="5A021F8B" w14:textId="18EC4180"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72" w:history="1">
            <w:r w:rsidRPr="001124BE">
              <w:rPr>
                <w:rStyle w:val="Hyperlink"/>
                <w:noProof/>
              </w:rPr>
              <w:t>Disease or condition</w:t>
            </w:r>
            <w:r>
              <w:rPr>
                <w:noProof/>
                <w:webHidden/>
              </w:rPr>
              <w:tab/>
            </w:r>
            <w:r>
              <w:rPr>
                <w:noProof/>
                <w:webHidden/>
              </w:rPr>
              <w:fldChar w:fldCharType="begin"/>
            </w:r>
            <w:r>
              <w:rPr>
                <w:noProof/>
                <w:webHidden/>
              </w:rPr>
              <w:instrText xml:space="preserve"> PAGEREF _Toc226984772 \h </w:instrText>
            </w:r>
            <w:r>
              <w:rPr>
                <w:noProof/>
                <w:webHidden/>
              </w:rPr>
            </w:r>
            <w:r>
              <w:rPr>
                <w:noProof/>
                <w:webHidden/>
              </w:rPr>
              <w:fldChar w:fldCharType="separate"/>
            </w:r>
            <w:r>
              <w:rPr>
                <w:noProof/>
                <w:webHidden/>
              </w:rPr>
              <w:t>9</w:t>
            </w:r>
            <w:r>
              <w:rPr>
                <w:noProof/>
                <w:webHidden/>
              </w:rPr>
              <w:fldChar w:fldCharType="end"/>
            </w:r>
          </w:hyperlink>
        </w:p>
        <w:p w14:paraId="1E80F77B" w14:textId="304F6FF9"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73" w:history="1">
            <w:r w:rsidRPr="001124BE">
              <w:rPr>
                <w:rStyle w:val="Hyperlink"/>
                <w:noProof/>
              </w:rPr>
              <w:t>Current treatment options</w:t>
            </w:r>
            <w:r>
              <w:rPr>
                <w:noProof/>
                <w:webHidden/>
              </w:rPr>
              <w:tab/>
            </w:r>
            <w:r>
              <w:rPr>
                <w:noProof/>
                <w:webHidden/>
              </w:rPr>
              <w:fldChar w:fldCharType="begin"/>
            </w:r>
            <w:r>
              <w:rPr>
                <w:noProof/>
                <w:webHidden/>
              </w:rPr>
              <w:instrText xml:space="preserve"> PAGEREF _Toc226984773 \h </w:instrText>
            </w:r>
            <w:r>
              <w:rPr>
                <w:noProof/>
                <w:webHidden/>
              </w:rPr>
            </w:r>
            <w:r>
              <w:rPr>
                <w:noProof/>
                <w:webHidden/>
              </w:rPr>
              <w:fldChar w:fldCharType="separate"/>
            </w:r>
            <w:r>
              <w:rPr>
                <w:noProof/>
                <w:webHidden/>
              </w:rPr>
              <w:t>10</w:t>
            </w:r>
            <w:r>
              <w:rPr>
                <w:noProof/>
                <w:webHidden/>
              </w:rPr>
              <w:fldChar w:fldCharType="end"/>
            </w:r>
          </w:hyperlink>
        </w:p>
        <w:p w14:paraId="54A2F74F" w14:textId="50C7F656"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74" w:history="1">
            <w:r w:rsidRPr="001124BE">
              <w:rPr>
                <w:rStyle w:val="Hyperlink"/>
                <w:noProof/>
              </w:rPr>
              <w:t>Clinical rationale</w:t>
            </w:r>
            <w:r>
              <w:rPr>
                <w:noProof/>
                <w:webHidden/>
              </w:rPr>
              <w:tab/>
            </w:r>
            <w:r>
              <w:rPr>
                <w:noProof/>
                <w:webHidden/>
              </w:rPr>
              <w:fldChar w:fldCharType="begin"/>
            </w:r>
            <w:r>
              <w:rPr>
                <w:noProof/>
                <w:webHidden/>
              </w:rPr>
              <w:instrText xml:space="preserve"> PAGEREF _Toc226984774 \h </w:instrText>
            </w:r>
            <w:r>
              <w:rPr>
                <w:noProof/>
                <w:webHidden/>
              </w:rPr>
            </w:r>
            <w:r>
              <w:rPr>
                <w:noProof/>
                <w:webHidden/>
              </w:rPr>
              <w:fldChar w:fldCharType="separate"/>
            </w:r>
            <w:r>
              <w:rPr>
                <w:noProof/>
                <w:webHidden/>
              </w:rPr>
              <w:t>11</w:t>
            </w:r>
            <w:r>
              <w:rPr>
                <w:noProof/>
                <w:webHidden/>
              </w:rPr>
              <w:fldChar w:fldCharType="end"/>
            </w:r>
          </w:hyperlink>
        </w:p>
        <w:p w14:paraId="0AF6726F" w14:textId="5CE7C85E"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75" w:history="1">
            <w:r w:rsidRPr="001124BE">
              <w:rPr>
                <w:rStyle w:val="Hyperlink"/>
                <w:noProof/>
              </w:rPr>
              <w:t>Regulatory status</w:t>
            </w:r>
            <w:r>
              <w:rPr>
                <w:noProof/>
                <w:webHidden/>
              </w:rPr>
              <w:tab/>
            </w:r>
            <w:r>
              <w:rPr>
                <w:noProof/>
                <w:webHidden/>
              </w:rPr>
              <w:fldChar w:fldCharType="begin"/>
            </w:r>
            <w:r>
              <w:rPr>
                <w:noProof/>
                <w:webHidden/>
              </w:rPr>
              <w:instrText xml:space="preserve"> PAGEREF _Toc226984775 \h </w:instrText>
            </w:r>
            <w:r>
              <w:rPr>
                <w:noProof/>
                <w:webHidden/>
              </w:rPr>
            </w:r>
            <w:r>
              <w:rPr>
                <w:noProof/>
                <w:webHidden/>
              </w:rPr>
              <w:fldChar w:fldCharType="separate"/>
            </w:r>
            <w:r>
              <w:rPr>
                <w:noProof/>
                <w:webHidden/>
              </w:rPr>
              <w:t>12</w:t>
            </w:r>
            <w:r>
              <w:rPr>
                <w:noProof/>
                <w:webHidden/>
              </w:rPr>
              <w:fldChar w:fldCharType="end"/>
            </w:r>
          </w:hyperlink>
        </w:p>
        <w:p w14:paraId="2B90D2E9" w14:textId="402A27C4"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76" w:history="1">
            <w:r w:rsidRPr="001124BE">
              <w:rPr>
                <w:rStyle w:val="Hyperlink"/>
                <w:noProof/>
              </w:rPr>
              <w:t>Australian regulatory status</w:t>
            </w:r>
            <w:r>
              <w:rPr>
                <w:noProof/>
                <w:webHidden/>
              </w:rPr>
              <w:tab/>
            </w:r>
            <w:r>
              <w:rPr>
                <w:noProof/>
                <w:webHidden/>
              </w:rPr>
              <w:fldChar w:fldCharType="begin"/>
            </w:r>
            <w:r>
              <w:rPr>
                <w:noProof/>
                <w:webHidden/>
              </w:rPr>
              <w:instrText xml:space="preserve"> PAGEREF _Toc226984776 \h </w:instrText>
            </w:r>
            <w:r>
              <w:rPr>
                <w:noProof/>
                <w:webHidden/>
              </w:rPr>
            </w:r>
            <w:r>
              <w:rPr>
                <w:noProof/>
                <w:webHidden/>
              </w:rPr>
              <w:fldChar w:fldCharType="separate"/>
            </w:r>
            <w:r>
              <w:rPr>
                <w:noProof/>
                <w:webHidden/>
              </w:rPr>
              <w:t>12</w:t>
            </w:r>
            <w:r>
              <w:rPr>
                <w:noProof/>
                <w:webHidden/>
              </w:rPr>
              <w:fldChar w:fldCharType="end"/>
            </w:r>
          </w:hyperlink>
        </w:p>
        <w:p w14:paraId="6DF7EC2A" w14:textId="575444F1"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77" w:history="1">
            <w:r w:rsidRPr="001124BE">
              <w:rPr>
                <w:rStyle w:val="Hyperlink"/>
                <w:noProof/>
              </w:rPr>
              <w:t>International regulatory status</w:t>
            </w:r>
            <w:r>
              <w:rPr>
                <w:noProof/>
                <w:webHidden/>
              </w:rPr>
              <w:tab/>
            </w:r>
            <w:r>
              <w:rPr>
                <w:noProof/>
                <w:webHidden/>
              </w:rPr>
              <w:fldChar w:fldCharType="begin"/>
            </w:r>
            <w:r>
              <w:rPr>
                <w:noProof/>
                <w:webHidden/>
              </w:rPr>
              <w:instrText xml:space="preserve"> PAGEREF _Toc226984777 \h </w:instrText>
            </w:r>
            <w:r>
              <w:rPr>
                <w:noProof/>
                <w:webHidden/>
              </w:rPr>
            </w:r>
            <w:r>
              <w:rPr>
                <w:noProof/>
                <w:webHidden/>
              </w:rPr>
              <w:fldChar w:fldCharType="separate"/>
            </w:r>
            <w:r>
              <w:rPr>
                <w:noProof/>
                <w:webHidden/>
              </w:rPr>
              <w:t>13</w:t>
            </w:r>
            <w:r>
              <w:rPr>
                <w:noProof/>
                <w:webHidden/>
              </w:rPr>
              <w:fldChar w:fldCharType="end"/>
            </w:r>
          </w:hyperlink>
        </w:p>
        <w:p w14:paraId="5B2BF7F3" w14:textId="463D125C" w:rsidR="00121437" w:rsidRDefault="0012143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6984778" w:history="1">
            <w:r w:rsidRPr="001124BE">
              <w:rPr>
                <w:rStyle w:val="Hyperlink"/>
                <w:noProof/>
              </w:rPr>
              <w:t>Registration timeline</w:t>
            </w:r>
            <w:r>
              <w:rPr>
                <w:noProof/>
                <w:webHidden/>
              </w:rPr>
              <w:tab/>
            </w:r>
            <w:r>
              <w:rPr>
                <w:noProof/>
                <w:webHidden/>
              </w:rPr>
              <w:fldChar w:fldCharType="begin"/>
            </w:r>
            <w:r>
              <w:rPr>
                <w:noProof/>
                <w:webHidden/>
              </w:rPr>
              <w:instrText xml:space="preserve"> PAGEREF _Toc226984778 \h </w:instrText>
            </w:r>
            <w:r>
              <w:rPr>
                <w:noProof/>
                <w:webHidden/>
              </w:rPr>
            </w:r>
            <w:r>
              <w:rPr>
                <w:noProof/>
                <w:webHidden/>
              </w:rPr>
              <w:fldChar w:fldCharType="separate"/>
            </w:r>
            <w:r>
              <w:rPr>
                <w:noProof/>
                <w:webHidden/>
              </w:rPr>
              <w:t>13</w:t>
            </w:r>
            <w:r>
              <w:rPr>
                <w:noProof/>
                <w:webHidden/>
              </w:rPr>
              <w:fldChar w:fldCharType="end"/>
            </w:r>
          </w:hyperlink>
        </w:p>
        <w:p w14:paraId="40D4064F" w14:textId="11643E54" w:rsidR="00121437" w:rsidRDefault="0012143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6984779" w:history="1">
            <w:r w:rsidRPr="001124BE">
              <w:rPr>
                <w:rStyle w:val="Hyperlink"/>
                <w:noProof/>
              </w:rPr>
              <w:t>Assessment overview</w:t>
            </w:r>
            <w:r>
              <w:rPr>
                <w:noProof/>
                <w:webHidden/>
              </w:rPr>
              <w:tab/>
            </w:r>
            <w:r>
              <w:rPr>
                <w:noProof/>
                <w:webHidden/>
              </w:rPr>
              <w:fldChar w:fldCharType="begin"/>
            </w:r>
            <w:r>
              <w:rPr>
                <w:noProof/>
                <w:webHidden/>
              </w:rPr>
              <w:instrText xml:space="preserve"> PAGEREF _Toc226984779 \h </w:instrText>
            </w:r>
            <w:r>
              <w:rPr>
                <w:noProof/>
                <w:webHidden/>
              </w:rPr>
            </w:r>
            <w:r>
              <w:rPr>
                <w:noProof/>
                <w:webHidden/>
              </w:rPr>
              <w:fldChar w:fldCharType="separate"/>
            </w:r>
            <w:r>
              <w:rPr>
                <w:noProof/>
                <w:webHidden/>
              </w:rPr>
              <w:t>13</w:t>
            </w:r>
            <w:r>
              <w:rPr>
                <w:noProof/>
                <w:webHidden/>
              </w:rPr>
              <w:fldChar w:fldCharType="end"/>
            </w:r>
          </w:hyperlink>
        </w:p>
        <w:p w14:paraId="2102E728" w14:textId="1E1AE750"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80" w:history="1">
            <w:r w:rsidRPr="001124BE">
              <w:rPr>
                <w:rStyle w:val="Hyperlink"/>
                <w:noProof/>
              </w:rPr>
              <w:t>Quality evaluation summary</w:t>
            </w:r>
            <w:r>
              <w:rPr>
                <w:noProof/>
                <w:webHidden/>
              </w:rPr>
              <w:tab/>
            </w:r>
            <w:r>
              <w:rPr>
                <w:noProof/>
                <w:webHidden/>
              </w:rPr>
              <w:fldChar w:fldCharType="begin"/>
            </w:r>
            <w:r>
              <w:rPr>
                <w:noProof/>
                <w:webHidden/>
              </w:rPr>
              <w:instrText xml:space="preserve"> PAGEREF _Toc226984780 \h </w:instrText>
            </w:r>
            <w:r>
              <w:rPr>
                <w:noProof/>
                <w:webHidden/>
              </w:rPr>
            </w:r>
            <w:r>
              <w:rPr>
                <w:noProof/>
                <w:webHidden/>
              </w:rPr>
              <w:fldChar w:fldCharType="separate"/>
            </w:r>
            <w:r>
              <w:rPr>
                <w:noProof/>
                <w:webHidden/>
              </w:rPr>
              <w:t>13</w:t>
            </w:r>
            <w:r>
              <w:rPr>
                <w:noProof/>
                <w:webHidden/>
              </w:rPr>
              <w:fldChar w:fldCharType="end"/>
            </w:r>
          </w:hyperlink>
        </w:p>
        <w:p w14:paraId="076AB6F0" w14:textId="77483EC4"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81" w:history="1">
            <w:r w:rsidRPr="001124BE">
              <w:rPr>
                <w:rStyle w:val="Hyperlink"/>
                <w:noProof/>
              </w:rPr>
              <w:t>Nonclinical evaluation summary</w:t>
            </w:r>
            <w:r>
              <w:rPr>
                <w:noProof/>
                <w:webHidden/>
              </w:rPr>
              <w:tab/>
            </w:r>
            <w:r>
              <w:rPr>
                <w:noProof/>
                <w:webHidden/>
              </w:rPr>
              <w:fldChar w:fldCharType="begin"/>
            </w:r>
            <w:r>
              <w:rPr>
                <w:noProof/>
                <w:webHidden/>
              </w:rPr>
              <w:instrText xml:space="preserve"> PAGEREF _Toc226984781 \h </w:instrText>
            </w:r>
            <w:r>
              <w:rPr>
                <w:noProof/>
                <w:webHidden/>
              </w:rPr>
            </w:r>
            <w:r>
              <w:rPr>
                <w:noProof/>
                <w:webHidden/>
              </w:rPr>
              <w:fldChar w:fldCharType="separate"/>
            </w:r>
            <w:r>
              <w:rPr>
                <w:noProof/>
                <w:webHidden/>
              </w:rPr>
              <w:t>14</w:t>
            </w:r>
            <w:r>
              <w:rPr>
                <w:noProof/>
                <w:webHidden/>
              </w:rPr>
              <w:fldChar w:fldCharType="end"/>
            </w:r>
          </w:hyperlink>
        </w:p>
        <w:p w14:paraId="23F8BAA7" w14:textId="0130EE84"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82" w:history="1">
            <w:r w:rsidRPr="001124BE">
              <w:rPr>
                <w:rStyle w:val="Hyperlink"/>
                <w:noProof/>
              </w:rPr>
              <w:t>Clinical evaluation summary</w:t>
            </w:r>
            <w:r>
              <w:rPr>
                <w:noProof/>
                <w:webHidden/>
              </w:rPr>
              <w:tab/>
            </w:r>
            <w:r>
              <w:rPr>
                <w:noProof/>
                <w:webHidden/>
              </w:rPr>
              <w:fldChar w:fldCharType="begin"/>
            </w:r>
            <w:r>
              <w:rPr>
                <w:noProof/>
                <w:webHidden/>
              </w:rPr>
              <w:instrText xml:space="preserve"> PAGEREF _Toc226984782 \h </w:instrText>
            </w:r>
            <w:r>
              <w:rPr>
                <w:noProof/>
                <w:webHidden/>
              </w:rPr>
            </w:r>
            <w:r>
              <w:rPr>
                <w:noProof/>
                <w:webHidden/>
              </w:rPr>
              <w:fldChar w:fldCharType="separate"/>
            </w:r>
            <w:r>
              <w:rPr>
                <w:noProof/>
                <w:webHidden/>
              </w:rPr>
              <w:t>14</w:t>
            </w:r>
            <w:r>
              <w:rPr>
                <w:noProof/>
                <w:webHidden/>
              </w:rPr>
              <w:fldChar w:fldCharType="end"/>
            </w:r>
          </w:hyperlink>
        </w:p>
        <w:p w14:paraId="181D6B9E" w14:textId="6BC81E0D"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83" w:history="1">
            <w:r w:rsidRPr="001124BE">
              <w:rPr>
                <w:rStyle w:val="Hyperlink"/>
                <w:noProof/>
              </w:rPr>
              <w:t>Summary of clinical studies</w:t>
            </w:r>
            <w:r>
              <w:rPr>
                <w:noProof/>
                <w:webHidden/>
              </w:rPr>
              <w:tab/>
            </w:r>
            <w:r>
              <w:rPr>
                <w:noProof/>
                <w:webHidden/>
              </w:rPr>
              <w:fldChar w:fldCharType="begin"/>
            </w:r>
            <w:r>
              <w:rPr>
                <w:noProof/>
                <w:webHidden/>
              </w:rPr>
              <w:instrText xml:space="preserve"> PAGEREF _Toc226984783 \h </w:instrText>
            </w:r>
            <w:r>
              <w:rPr>
                <w:noProof/>
                <w:webHidden/>
              </w:rPr>
            </w:r>
            <w:r>
              <w:rPr>
                <w:noProof/>
                <w:webHidden/>
              </w:rPr>
              <w:fldChar w:fldCharType="separate"/>
            </w:r>
            <w:r>
              <w:rPr>
                <w:noProof/>
                <w:webHidden/>
              </w:rPr>
              <w:t>14</w:t>
            </w:r>
            <w:r>
              <w:rPr>
                <w:noProof/>
                <w:webHidden/>
              </w:rPr>
              <w:fldChar w:fldCharType="end"/>
            </w:r>
          </w:hyperlink>
        </w:p>
        <w:p w14:paraId="3BB642CC" w14:textId="6534EBD9"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84" w:history="1">
            <w:r w:rsidRPr="001124BE">
              <w:rPr>
                <w:rStyle w:val="Hyperlink"/>
                <w:noProof/>
              </w:rPr>
              <w:t>Pharmacokinetics</w:t>
            </w:r>
            <w:r>
              <w:rPr>
                <w:noProof/>
                <w:webHidden/>
              </w:rPr>
              <w:tab/>
            </w:r>
            <w:r>
              <w:rPr>
                <w:noProof/>
                <w:webHidden/>
              </w:rPr>
              <w:fldChar w:fldCharType="begin"/>
            </w:r>
            <w:r>
              <w:rPr>
                <w:noProof/>
                <w:webHidden/>
              </w:rPr>
              <w:instrText xml:space="preserve"> PAGEREF _Toc226984784 \h </w:instrText>
            </w:r>
            <w:r>
              <w:rPr>
                <w:noProof/>
                <w:webHidden/>
              </w:rPr>
            </w:r>
            <w:r>
              <w:rPr>
                <w:noProof/>
                <w:webHidden/>
              </w:rPr>
              <w:fldChar w:fldCharType="separate"/>
            </w:r>
            <w:r>
              <w:rPr>
                <w:noProof/>
                <w:webHidden/>
              </w:rPr>
              <w:t>15</w:t>
            </w:r>
            <w:r>
              <w:rPr>
                <w:noProof/>
                <w:webHidden/>
              </w:rPr>
              <w:fldChar w:fldCharType="end"/>
            </w:r>
          </w:hyperlink>
        </w:p>
        <w:p w14:paraId="5A2D6100" w14:textId="142B3AF4"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85" w:history="1">
            <w:r w:rsidRPr="001124BE">
              <w:rPr>
                <w:rStyle w:val="Hyperlink"/>
                <w:noProof/>
              </w:rPr>
              <w:t>Efficacy</w:t>
            </w:r>
            <w:r>
              <w:rPr>
                <w:noProof/>
                <w:webHidden/>
              </w:rPr>
              <w:tab/>
            </w:r>
            <w:r>
              <w:rPr>
                <w:noProof/>
                <w:webHidden/>
              </w:rPr>
              <w:fldChar w:fldCharType="begin"/>
            </w:r>
            <w:r>
              <w:rPr>
                <w:noProof/>
                <w:webHidden/>
              </w:rPr>
              <w:instrText xml:space="preserve"> PAGEREF _Toc226984785 \h </w:instrText>
            </w:r>
            <w:r>
              <w:rPr>
                <w:noProof/>
                <w:webHidden/>
              </w:rPr>
            </w:r>
            <w:r>
              <w:rPr>
                <w:noProof/>
                <w:webHidden/>
              </w:rPr>
              <w:fldChar w:fldCharType="separate"/>
            </w:r>
            <w:r>
              <w:rPr>
                <w:noProof/>
                <w:webHidden/>
              </w:rPr>
              <w:t>15</w:t>
            </w:r>
            <w:r>
              <w:rPr>
                <w:noProof/>
                <w:webHidden/>
              </w:rPr>
              <w:fldChar w:fldCharType="end"/>
            </w:r>
          </w:hyperlink>
        </w:p>
        <w:p w14:paraId="19EF357D" w14:textId="50DA59B1"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86" w:history="1">
            <w:r w:rsidRPr="001124BE">
              <w:rPr>
                <w:rStyle w:val="Hyperlink"/>
                <w:noProof/>
                <w:lang w:eastAsia="en-AU"/>
              </w:rPr>
              <w:t xml:space="preserve">Risk management </w:t>
            </w:r>
            <w:r w:rsidRPr="001124BE">
              <w:rPr>
                <w:rStyle w:val="Hyperlink"/>
                <w:noProof/>
              </w:rPr>
              <w:t>plan</w:t>
            </w:r>
            <w:r>
              <w:rPr>
                <w:noProof/>
                <w:webHidden/>
              </w:rPr>
              <w:tab/>
            </w:r>
            <w:r>
              <w:rPr>
                <w:noProof/>
                <w:webHidden/>
              </w:rPr>
              <w:fldChar w:fldCharType="begin"/>
            </w:r>
            <w:r>
              <w:rPr>
                <w:noProof/>
                <w:webHidden/>
              </w:rPr>
              <w:instrText xml:space="preserve"> PAGEREF _Toc226984786 \h </w:instrText>
            </w:r>
            <w:r>
              <w:rPr>
                <w:noProof/>
                <w:webHidden/>
              </w:rPr>
            </w:r>
            <w:r>
              <w:rPr>
                <w:noProof/>
                <w:webHidden/>
              </w:rPr>
              <w:fldChar w:fldCharType="separate"/>
            </w:r>
            <w:r>
              <w:rPr>
                <w:noProof/>
                <w:webHidden/>
              </w:rPr>
              <w:t>18</w:t>
            </w:r>
            <w:r>
              <w:rPr>
                <w:noProof/>
                <w:webHidden/>
              </w:rPr>
              <w:fldChar w:fldCharType="end"/>
            </w:r>
          </w:hyperlink>
        </w:p>
        <w:p w14:paraId="08E3B2E3" w14:textId="681268BF"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87" w:history="1">
            <w:r w:rsidRPr="001124BE">
              <w:rPr>
                <w:rStyle w:val="Hyperlink"/>
                <w:noProof/>
              </w:rPr>
              <w:t>Risk-benefit analysis</w:t>
            </w:r>
            <w:r>
              <w:rPr>
                <w:noProof/>
                <w:webHidden/>
              </w:rPr>
              <w:tab/>
            </w:r>
            <w:r>
              <w:rPr>
                <w:noProof/>
                <w:webHidden/>
              </w:rPr>
              <w:fldChar w:fldCharType="begin"/>
            </w:r>
            <w:r>
              <w:rPr>
                <w:noProof/>
                <w:webHidden/>
              </w:rPr>
              <w:instrText xml:space="preserve"> PAGEREF _Toc226984787 \h </w:instrText>
            </w:r>
            <w:r>
              <w:rPr>
                <w:noProof/>
                <w:webHidden/>
              </w:rPr>
            </w:r>
            <w:r>
              <w:rPr>
                <w:noProof/>
                <w:webHidden/>
              </w:rPr>
              <w:fldChar w:fldCharType="separate"/>
            </w:r>
            <w:r>
              <w:rPr>
                <w:noProof/>
                <w:webHidden/>
              </w:rPr>
              <w:t>21</w:t>
            </w:r>
            <w:r>
              <w:rPr>
                <w:noProof/>
                <w:webHidden/>
              </w:rPr>
              <w:fldChar w:fldCharType="end"/>
            </w:r>
          </w:hyperlink>
        </w:p>
        <w:p w14:paraId="225263F7" w14:textId="09603CD4"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88" w:history="1">
            <w:r w:rsidRPr="001124BE">
              <w:rPr>
                <w:rStyle w:val="Hyperlink"/>
                <w:noProof/>
              </w:rPr>
              <w:t>Delegate’s considerations</w:t>
            </w:r>
            <w:r>
              <w:rPr>
                <w:noProof/>
                <w:webHidden/>
              </w:rPr>
              <w:tab/>
            </w:r>
            <w:r>
              <w:rPr>
                <w:noProof/>
                <w:webHidden/>
              </w:rPr>
              <w:fldChar w:fldCharType="begin"/>
            </w:r>
            <w:r>
              <w:rPr>
                <w:noProof/>
                <w:webHidden/>
              </w:rPr>
              <w:instrText xml:space="preserve"> PAGEREF _Toc226984788 \h </w:instrText>
            </w:r>
            <w:r>
              <w:rPr>
                <w:noProof/>
                <w:webHidden/>
              </w:rPr>
            </w:r>
            <w:r>
              <w:rPr>
                <w:noProof/>
                <w:webHidden/>
              </w:rPr>
              <w:fldChar w:fldCharType="separate"/>
            </w:r>
            <w:r>
              <w:rPr>
                <w:noProof/>
                <w:webHidden/>
              </w:rPr>
              <w:t>21</w:t>
            </w:r>
            <w:r>
              <w:rPr>
                <w:noProof/>
                <w:webHidden/>
              </w:rPr>
              <w:fldChar w:fldCharType="end"/>
            </w:r>
          </w:hyperlink>
        </w:p>
        <w:p w14:paraId="4DD1C8BB" w14:textId="40DB687B" w:rsidR="00121437" w:rsidRDefault="00121437">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6984789" w:history="1">
            <w:r w:rsidRPr="001124BE">
              <w:rPr>
                <w:rStyle w:val="Hyperlink"/>
                <w:noProof/>
              </w:rPr>
              <w:t>Conclusions</w:t>
            </w:r>
            <w:r>
              <w:rPr>
                <w:noProof/>
                <w:webHidden/>
              </w:rPr>
              <w:tab/>
            </w:r>
            <w:r>
              <w:rPr>
                <w:noProof/>
                <w:webHidden/>
              </w:rPr>
              <w:fldChar w:fldCharType="begin"/>
            </w:r>
            <w:r>
              <w:rPr>
                <w:noProof/>
                <w:webHidden/>
              </w:rPr>
              <w:instrText xml:space="preserve"> PAGEREF _Toc226984789 \h </w:instrText>
            </w:r>
            <w:r>
              <w:rPr>
                <w:noProof/>
                <w:webHidden/>
              </w:rPr>
            </w:r>
            <w:r>
              <w:rPr>
                <w:noProof/>
                <w:webHidden/>
              </w:rPr>
              <w:fldChar w:fldCharType="separate"/>
            </w:r>
            <w:r>
              <w:rPr>
                <w:noProof/>
                <w:webHidden/>
              </w:rPr>
              <w:t>21</w:t>
            </w:r>
            <w:r>
              <w:rPr>
                <w:noProof/>
                <w:webHidden/>
              </w:rPr>
              <w:fldChar w:fldCharType="end"/>
            </w:r>
          </w:hyperlink>
        </w:p>
        <w:p w14:paraId="040E8B26" w14:textId="195A8071" w:rsidR="00121437" w:rsidRDefault="0012143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6984790" w:history="1">
            <w:r w:rsidRPr="001124BE">
              <w:rPr>
                <w:rStyle w:val="Hyperlink"/>
                <w:noProof/>
              </w:rPr>
              <w:t>Assessment outcome</w:t>
            </w:r>
            <w:r>
              <w:rPr>
                <w:noProof/>
                <w:webHidden/>
              </w:rPr>
              <w:tab/>
            </w:r>
            <w:r>
              <w:rPr>
                <w:noProof/>
                <w:webHidden/>
              </w:rPr>
              <w:fldChar w:fldCharType="begin"/>
            </w:r>
            <w:r>
              <w:rPr>
                <w:noProof/>
                <w:webHidden/>
              </w:rPr>
              <w:instrText xml:space="preserve"> PAGEREF _Toc226984790 \h </w:instrText>
            </w:r>
            <w:r>
              <w:rPr>
                <w:noProof/>
                <w:webHidden/>
              </w:rPr>
            </w:r>
            <w:r>
              <w:rPr>
                <w:noProof/>
                <w:webHidden/>
              </w:rPr>
              <w:fldChar w:fldCharType="separate"/>
            </w:r>
            <w:r>
              <w:rPr>
                <w:noProof/>
                <w:webHidden/>
              </w:rPr>
              <w:t>21</w:t>
            </w:r>
            <w:r>
              <w:rPr>
                <w:noProof/>
                <w:webHidden/>
              </w:rPr>
              <w:fldChar w:fldCharType="end"/>
            </w:r>
          </w:hyperlink>
        </w:p>
        <w:p w14:paraId="3CFCE2C8" w14:textId="159BCE68"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91" w:history="1">
            <w:r w:rsidRPr="001124BE">
              <w:rPr>
                <w:rStyle w:val="Hyperlink"/>
                <w:noProof/>
              </w:rPr>
              <w:t>Specific conditions of registration</w:t>
            </w:r>
            <w:r>
              <w:rPr>
                <w:noProof/>
                <w:webHidden/>
              </w:rPr>
              <w:tab/>
            </w:r>
            <w:r>
              <w:rPr>
                <w:noProof/>
                <w:webHidden/>
              </w:rPr>
              <w:fldChar w:fldCharType="begin"/>
            </w:r>
            <w:r>
              <w:rPr>
                <w:noProof/>
                <w:webHidden/>
              </w:rPr>
              <w:instrText xml:space="preserve"> PAGEREF _Toc226984791 \h </w:instrText>
            </w:r>
            <w:r>
              <w:rPr>
                <w:noProof/>
                <w:webHidden/>
              </w:rPr>
            </w:r>
            <w:r>
              <w:rPr>
                <w:noProof/>
                <w:webHidden/>
              </w:rPr>
              <w:fldChar w:fldCharType="separate"/>
            </w:r>
            <w:r>
              <w:rPr>
                <w:noProof/>
                <w:webHidden/>
              </w:rPr>
              <w:t>22</w:t>
            </w:r>
            <w:r>
              <w:rPr>
                <w:noProof/>
                <w:webHidden/>
              </w:rPr>
              <w:fldChar w:fldCharType="end"/>
            </w:r>
          </w:hyperlink>
        </w:p>
        <w:p w14:paraId="4C94F26A" w14:textId="566D465B" w:rsidR="00121437" w:rsidRDefault="00121437">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6984792" w:history="1">
            <w:r w:rsidRPr="001124BE">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_Toc226984792 \h </w:instrText>
            </w:r>
            <w:r>
              <w:rPr>
                <w:noProof/>
                <w:webHidden/>
              </w:rPr>
            </w:r>
            <w:r>
              <w:rPr>
                <w:noProof/>
                <w:webHidden/>
              </w:rPr>
              <w:fldChar w:fldCharType="separate"/>
            </w:r>
            <w:r>
              <w:rPr>
                <w:noProof/>
                <w:webHidden/>
              </w:rPr>
              <w:t>23</w:t>
            </w:r>
            <w:r>
              <w:rPr>
                <w:noProof/>
                <w:webHidden/>
              </w:rPr>
              <w:fldChar w:fldCharType="end"/>
            </w:r>
          </w:hyperlink>
        </w:p>
        <w:p w14:paraId="77659F2D" w14:textId="0924AB98"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626059">
      <w:pPr>
        <w:pStyle w:val="Heading2"/>
      </w:pPr>
      <w:bookmarkStart w:id="0" w:name="_Toc98931917"/>
      <w:bookmarkStart w:id="1" w:name="_Toc103679287"/>
      <w:bookmarkStart w:id="2" w:name="_Toc226984768"/>
      <w:bookmarkStart w:id="3" w:name="_Toc323739589"/>
      <w:bookmarkStart w:id="4" w:name="_Toc356305216"/>
      <w:r>
        <w:lastRenderedPageBreak/>
        <w:t xml:space="preserve">List of </w:t>
      </w:r>
      <w:r w:rsidRPr="00626059">
        <w:t>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07A94E9E" w:rsidR="00324B33" w:rsidRPr="00D01DDB" w:rsidRDefault="00324B33" w:rsidP="00324B33">
            <w:pPr>
              <w:rPr>
                <w:szCs w:val="22"/>
              </w:rPr>
            </w:pPr>
            <w:r w:rsidRPr="00D01DDB">
              <w:rPr>
                <w:szCs w:val="22"/>
              </w:rPr>
              <w:t>ACM</w:t>
            </w:r>
          </w:p>
        </w:tc>
        <w:tc>
          <w:tcPr>
            <w:tcW w:w="3800" w:type="pct"/>
          </w:tcPr>
          <w:p w14:paraId="4F24A873" w14:textId="0539B5FB"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324B33" w:rsidRPr="00D01DDB" w14:paraId="35340A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8B9F80" w14:textId="287DC0CA" w:rsidR="00324B33" w:rsidRPr="00D01DDB" w:rsidRDefault="00324B33" w:rsidP="00324B33">
            <w:pPr>
              <w:rPr>
                <w:szCs w:val="22"/>
              </w:rPr>
            </w:pPr>
            <w:r w:rsidRPr="00D01DDB">
              <w:rPr>
                <w:szCs w:val="22"/>
              </w:rPr>
              <w:t>ACV</w:t>
            </w:r>
          </w:p>
        </w:tc>
        <w:tc>
          <w:tcPr>
            <w:tcW w:w="3800" w:type="pct"/>
          </w:tcPr>
          <w:p w14:paraId="5072E244" w14:textId="7B59D1A8"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Vaccines</w:t>
            </w:r>
          </w:p>
        </w:tc>
      </w:tr>
      <w:tr w:rsidR="007C29CA" w:rsidRPr="00D01DDB" w14:paraId="01E44DF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5B76B5B" w14:textId="6A6550A5" w:rsidR="007C29CA" w:rsidRPr="00D01DDB" w:rsidRDefault="007C29CA" w:rsidP="00324B33">
            <w:pPr>
              <w:rPr>
                <w:szCs w:val="22"/>
              </w:rPr>
            </w:pPr>
            <w:r>
              <w:rPr>
                <w:szCs w:val="22"/>
              </w:rPr>
              <w:t>AE(s)</w:t>
            </w:r>
          </w:p>
        </w:tc>
        <w:tc>
          <w:tcPr>
            <w:tcW w:w="3800" w:type="pct"/>
          </w:tcPr>
          <w:p w14:paraId="489E7466" w14:textId="3F42268A" w:rsidR="007C29CA" w:rsidRPr="00D01DDB" w:rsidRDefault="007C29C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Adverse event(s)</w:t>
            </w:r>
          </w:p>
        </w:tc>
      </w:tr>
      <w:tr w:rsidR="00C87ADC" w:rsidRPr="00D01DDB" w14:paraId="067055C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D171C5" w14:textId="7B9F8B5B" w:rsidR="00C87ADC" w:rsidRPr="00D01DDB" w:rsidRDefault="00C87ADC" w:rsidP="00324B33">
            <w:pPr>
              <w:rPr>
                <w:szCs w:val="22"/>
              </w:rPr>
            </w:pPr>
            <w:r>
              <w:rPr>
                <w:szCs w:val="22"/>
              </w:rPr>
              <w:t>AIHW</w:t>
            </w:r>
          </w:p>
        </w:tc>
        <w:tc>
          <w:tcPr>
            <w:tcW w:w="3800" w:type="pct"/>
          </w:tcPr>
          <w:p w14:paraId="250686DB" w14:textId="03108EA2" w:rsidR="00C87ADC" w:rsidRPr="00D01DDB" w:rsidRDefault="00C87ADC" w:rsidP="00324B33">
            <w:pPr>
              <w:cnfStyle w:val="000000000000" w:firstRow="0" w:lastRow="0" w:firstColumn="0" w:lastColumn="0" w:oddVBand="0" w:evenVBand="0" w:oddHBand="0" w:evenHBand="0" w:firstRowFirstColumn="0" w:firstRowLastColumn="0" w:lastRowFirstColumn="0" w:lastRowLastColumn="0"/>
              <w:rPr>
                <w:szCs w:val="22"/>
              </w:rPr>
            </w:pPr>
            <w:r w:rsidRPr="00C87ADC">
              <w:rPr>
                <w:szCs w:val="22"/>
              </w:rPr>
              <w:t>Australian Institute of Health and Welfare</w:t>
            </w:r>
          </w:p>
        </w:tc>
      </w:tr>
      <w:tr w:rsidR="00C87ADC" w:rsidRPr="00D01DDB" w14:paraId="2B1ECAE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7F59B49" w14:textId="5EDCC677" w:rsidR="00C87ADC" w:rsidRPr="00D01DDB" w:rsidRDefault="00265D07" w:rsidP="00324B33">
            <w:pPr>
              <w:rPr>
                <w:szCs w:val="22"/>
              </w:rPr>
            </w:pPr>
            <w:r>
              <w:rPr>
                <w:szCs w:val="22"/>
              </w:rPr>
              <w:t>ANCOVA</w:t>
            </w:r>
          </w:p>
        </w:tc>
        <w:tc>
          <w:tcPr>
            <w:tcW w:w="3800" w:type="pct"/>
          </w:tcPr>
          <w:p w14:paraId="7452E4C2" w14:textId="3C0DA16F" w:rsidR="00C87ADC" w:rsidRPr="00D01DDB" w:rsidRDefault="00000B13" w:rsidP="00324B33">
            <w:pPr>
              <w:cnfStyle w:val="000000000000" w:firstRow="0" w:lastRow="0" w:firstColumn="0" w:lastColumn="0" w:oddVBand="0" w:evenVBand="0" w:oddHBand="0" w:evenHBand="0" w:firstRowFirstColumn="0" w:firstRowLastColumn="0" w:lastRowFirstColumn="0" w:lastRowLastColumn="0"/>
              <w:rPr>
                <w:szCs w:val="22"/>
              </w:rPr>
            </w:pPr>
            <w:r w:rsidRPr="00000B13">
              <w:rPr>
                <w:szCs w:val="22"/>
              </w:rPr>
              <w:t>Analysis of covariance</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324B33"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324B33" w:rsidRPr="00D01DDB" w:rsidRDefault="00324B33" w:rsidP="00324B33">
            <w:pPr>
              <w:rPr>
                <w:szCs w:val="22"/>
              </w:rPr>
            </w:pPr>
            <w:r w:rsidRPr="00D01DDB">
              <w:rPr>
                <w:szCs w:val="22"/>
              </w:rPr>
              <w:t>ASA</w:t>
            </w:r>
          </w:p>
        </w:tc>
        <w:tc>
          <w:tcPr>
            <w:tcW w:w="3800" w:type="pct"/>
          </w:tcPr>
          <w:p w14:paraId="4E6F5284" w14:textId="21C063B1"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sidR="00873D7A">
              <w:rPr>
                <w:szCs w:val="22"/>
              </w:rPr>
              <w:noBreakHyphen/>
            </w:r>
            <w:r w:rsidRPr="00D01DDB">
              <w:rPr>
                <w:szCs w:val="22"/>
              </w:rPr>
              <w:t>specific annex</w:t>
            </w:r>
          </w:p>
        </w:tc>
      </w:tr>
      <w:tr w:rsidR="004F343B" w:rsidRPr="00D01DDB" w14:paraId="365FCB1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9BD07BE" w14:textId="12475C88" w:rsidR="004F343B" w:rsidRPr="00D01DDB" w:rsidRDefault="004F343B" w:rsidP="00324B33">
            <w:pPr>
              <w:rPr>
                <w:szCs w:val="22"/>
              </w:rPr>
            </w:pPr>
            <w:r>
              <w:rPr>
                <w:szCs w:val="22"/>
              </w:rPr>
              <w:t>AU</w:t>
            </w:r>
          </w:p>
        </w:tc>
        <w:tc>
          <w:tcPr>
            <w:tcW w:w="3800" w:type="pct"/>
          </w:tcPr>
          <w:p w14:paraId="23DED360" w14:textId="588D355A" w:rsidR="004F343B" w:rsidRPr="00D01DDB" w:rsidRDefault="004F343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Australia</w:t>
            </w:r>
            <w:r w:rsidR="0032407C">
              <w:rPr>
                <w:szCs w:val="22"/>
              </w:rPr>
              <w:t>(n)</w:t>
            </w:r>
          </w:p>
        </w:tc>
      </w:tr>
      <w:tr w:rsidR="00E801F8" w:rsidRPr="00D01DDB" w14:paraId="3346091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6C70D9C" w14:textId="6B6600E3" w:rsidR="00E801F8" w:rsidRPr="00D01DDB" w:rsidRDefault="007D382A" w:rsidP="00324B33">
            <w:pPr>
              <w:rPr>
                <w:szCs w:val="22"/>
              </w:rPr>
            </w:pPr>
            <w:r w:rsidRPr="007D382A">
              <w:rPr>
                <w:szCs w:val="22"/>
              </w:rPr>
              <w:t>AUC</w:t>
            </w:r>
            <w:r w:rsidRPr="007D382A">
              <w:rPr>
                <w:szCs w:val="22"/>
                <w:vertAlign w:val="subscript"/>
              </w:rPr>
              <w:t>0-CT</w:t>
            </w:r>
          </w:p>
        </w:tc>
        <w:tc>
          <w:tcPr>
            <w:tcW w:w="3800" w:type="pct"/>
          </w:tcPr>
          <w:p w14:paraId="7D61FD79" w14:textId="73B79AAE" w:rsidR="00E801F8" w:rsidRPr="00D01DDB" w:rsidRDefault="00163858" w:rsidP="00324B33">
            <w:pPr>
              <w:cnfStyle w:val="000000000000" w:firstRow="0" w:lastRow="0" w:firstColumn="0" w:lastColumn="0" w:oddVBand="0" w:evenVBand="0" w:oddHBand="0" w:evenHBand="0" w:firstRowFirstColumn="0" w:firstRowLastColumn="0" w:lastRowFirstColumn="0" w:lastRowLastColumn="0"/>
              <w:rPr>
                <w:szCs w:val="22"/>
              </w:rPr>
            </w:pPr>
            <w:r w:rsidRPr="00163858">
              <w:rPr>
                <w:szCs w:val="22"/>
              </w:rPr>
              <w:t>Area under serum concentration versus time curve from time zero to the</w:t>
            </w:r>
            <w:r w:rsidR="000C23A0" w:rsidRPr="000C23A0">
              <w:rPr>
                <w:color w:val="auto"/>
                <w:szCs w:val="22"/>
                <w:lang w:eastAsia="en-US"/>
              </w:rPr>
              <w:t xml:space="preserve"> </w:t>
            </w:r>
            <w:r w:rsidR="000C23A0" w:rsidRPr="000C23A0">
              <w:rPr>
                <w:szCs w:val="22"/>
              </w:rPr>
              <w:t>cutoff time</w:t>
            </w:r>
            <w:r w:rsidR="000C23A0">
              <w:rPr>
                <w:szCs w:val="22"/>
              </w:rPr>
              <w:t>.</w:t>
            </w:r>
          </w:p>
        </w:tc>
      </w:tr>
      <w:tr w:rsidR="00BA546E" w:rsidRPr="00D01DDB" w14:paraId="53F5E4B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C7F6F0" w14:textId="1B5303E3" w:rsidR="00BA546E" w:rsidRPr="007D382A" w:rsidRDefault="00BA546E" w:rsidP="00324B33">
            <w:pPr>
              <w:rPr>
                <w:szCs w:val="22"/>
              </w:rPr>
            </w:pPr>
            <w:r w:rsidRPr="00BA546E">
              <w:rPr>
                <w:szCs w:val="22"/>
              </w:rPr>
              <w:t>AUC</w:t>
            </w:r>
            <w:r w:rsidRPr="00BA546E">
              <w:rPr>
                <w:szCs w:val="22"/>
                <w:vertAlign w:val="subscript"/>
              </w:rPr>
              <w:t>0-t</w:t>
            </w:r>
          </w:p>
        </w:tc>
        <w:tc>
          <w:tcPr>
            <w:tcW w:w="3800" w:type="pct"/>
          </w:tcPr>
          <w:p w14:paraId="60591134" w14:textId="0F2C99B1" w:rsidR="00BA546E" w:rsidRPr="00D01DDB" w:rsidRDefault="00147238" w:rsidP="00324B33">
            <w:pPr>
              <w:cnfStyle w:val="000000000000" w:firstRow="0" w:lastRow="0" w:firstColumn="0" w:lastColumn="0" w:oddVBand="0" w:evenVBand="0" w:oddHBand="0" w:evenHBand="0" w:firstRowFirstColumn="0" w:firstRowLastColumn="0" w:lastRowFirstColumn="0" w:lastRowLastColumn="0"/>
              <w:rPr>
                <w:szCs w:val="22"/>
              </w:rPr>
            </w:pPr>
            <w:r w:rsidRPr="00147238">
              <w:rPr>
                <w:szCs w:val="22"/>
              </w:rPr>
              <w:t>Area under concentration-time curve from time zero to the time of last measurable concentration</w:t>
            </w:r>
            <w:r w:rsidR="00E45D4C" w:rsidRPr="00E45D4C">
              <w:rPr>
                <w:color w:val="auto"/>
                <w:szCs w:val="22"/>
                <w:lang w:eastAsia="en-US"/>
              </w:rPr>
              <w:t xml:space="preserve"> </w:t>
            </w:r>
            <w:r w:rsidR="00E45D4C" w:rsidRPr="00E45D4C">
              <w:rPr>
                <w:szCs w:val="22"/>
              </w:rPr>
              <w:t>as calculated by linear trapezoidal method</w:t>
            </w:r>
          </w:p>
        </w:tc>
      </w:tr>
      <w:tr w:rsidR="00E801F8" w:rsidRPr="00D01DDB" w14:paraId="0713DDC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4DDF400" w14:textId="203E3A12" w:rsidR="00E801F8" w:rsidRPr="00D01DDB" w:rsidRDefault="00691D1B" w:rsidP="00324B33">
            <w:pPr>
              <w:rPr>
                <w:szCs w:val="22"/>
              </w:rPr>
            </w:pPr>
            <w:r w:rsidRPr="00691D1B">
              <w:rPr>
                <w:szCs w:val="22"/>
              </w:rPr>
              <w:t>AUC</w:t>
            </w:r>
            <w:r w:rsidRPr="00691D1B">
              <w:rPr>
                <w:szCs w:val="22"/>
                <w:vertAlign w:val="subscript"/>
              </w:rPr>
              <w:t>CT-t</w:t>
            </w:r>
          </w:p>
        </w:tc>
        <w:tc>
          <w:tcPr>
            <w:tcW w:w="3800" w:type="pct"/>
          </w:tcPr>
          <w:p w14:paraId="01E69CA4" w14:textId="737231A1" w:rsidR="00E801F8" w:rsidRPr="00D01DDB" w:rsidRDefault="00E22560" w:rsidP="00324B33">
            <w:pPr>
              <w:cnfStyle w:val="000000000000" w:firstRow="0" w:lastRow="0" w:firstColumn="0" w:lastColumn="0" w:oddVBand="0" w:evenVBand="0" w:oddHBand="0" w:evenHBand="0" w:firstRowFirstColumn="0" w:firstRowLastColumn="0" w:lastRowFirstColumn="0" w:lastRowLastColumn="0"/>
              <w:rPr>
                <w:szCs w:val="22"/>
              </w:rPr>
            </w:pPr>
            <w:r w:rsidRPr="00E22560">
              <w:rPr>
                <w:szCs w:val="22"/>
              </w:rPr>
              <w:t>Area under the serum concentration versus time curve from cutoff time to the last measurable concentration</w:t>
            </w:r>
          </w:p>
        </w:tc>
      </w:tr>
      <w:tr w:rsidR="00E801F8" w:rsidRPr="00D01DDB" w14:paraId="6A6325F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8A3981" w14:textId="1E802331" w:rsidR="00E801F8" w:rsidRPr="00D01DDB" w:rsidRDefault="00691D1B" w:rsidP="00324B33">
            <w:pPr>
              <w:rPr>
                <w:szCs w:val="22"/>
              </w:rPr>
            </w:pPr>
            <w:r w:rsidRPr="00691D1B">
              <w:rPr>
                <w:szCs w:val="22"/>
              </w:rPr>
              <w:t>AUC</w:t>
            </w:r>
            <w:r w:rsidRPr="00691D1B">
              <w:rPr>
                <w:szCs w:val="22"/>
                <w:vertAlign w:val="subscript"/>
              </w:rPr>
              <w:t>0-∞</w:t>
            </w:r>
          </w:p>
        </w:tc>
        <w:tc>
          <w:tcPr>
            <w:tcW w:w="3800" w:type="pct"/>
          </w:tcPr>
          <w:p w14:paraId="15CCBC5E" w14:textId="50019E94" w:rsidR="00E801F8" w:rsidRPr="00D01DDB" w:rsidRDefault="0056595C" w:rsidP="00324B33">
            <w:pPr>
              <w:cnfStyle w:val="000000000000" w:firstRow="0" w:lastRow="0" w:firstColumn="0" w:lastColumn="0" w:oddVBand="0" w:evenVBand="0" w:oddHBand="0" w:evenHBand="0" w:firstRowFirstColumn="0" w:firstRowLastColumn="0" w:lastRowFirstColumn="0" w:lastRowLastColumn="0"/>
              <w:rPr>
                <w:szCs w:val="22"/>
              </w:rPr>
            </w:pPr>
            <w:r w:rsidRPr="0056595C">
              <w:rPr>
                <w:szCs w:val="22"/>
              </w:rPr>
              <w:t>Area under the concentration time curve from time zero to infinity</w:t>
            </w:r>
          </w:p>
        </w:tc>
      </w:tr>
      <w:tr w:rsidR="009C0C60" w:rsidRPr="00D01DDB" w14:paraId="5432031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981F48" w14:textId="6B416645" w:rsidR="009C0C60" w:rsidRPr="00691D1B" w:rsidRDefault="00BF2A94" w:rsidP="00324B33">
            <w:pPr>
              <w:rPr>
                <w:szCs w:val="22"/>
              </w:rPr>
            </w:pPr>
            <w:r w:rsidRPr="00BF2A94">
              <w:rPr>
                <w:szCs w:val="22"/>
              </w:rPr>
              <w:t>AUEC</w:t>
            </w:r>
            <w:r w:rsidRPr="00BF2A94">
              <w:rPr>
                <w:szCs w:val="22"/>
                <w:vertAlign w:val="subscript"/>
              </w:rPr>
              <w:t>0-t</w:t>
            </w:r>
          </w:p>
        </w:tc>
        <w:tc>
          <w:tcPr>
            <w:tcW w:w="3800" w:type="pct"/>
          </w:tcPr>
          <w:p w14:paraId="33F4DF94" w14:textId="2F45957B" w:rsidR="009C0C60" w:rsidRPr="0056595C" w:rsidRDefault="005202D3" w:rsidP="00324B33">
            <w:pPr>
              <w:cnfStyle w:val="000000000000" w:firstRow="0" w:lastRow="0" w:firstColumn="0" w:lastColumn="0" w:oddVBand="0" w:evenVBand="0" w:oddHBand="0" w:evenHBand="0" w:firstRowFirstColumn="0" w:firstRowLastColumn="0" w:lastRowFirstColumn="0" w:lastRowLastColumn="0"/>
              <w:rPr>
                <w:szCs w:val="22"/>
              </w:rPr>
            </w:pPr>
            <w:r w:rsidRPr="005202D3">
              <w:rPr>
                <w:szCs w:val="22"/>
              </w:rPr>
              <w:t>Area under the concentration versus time curve from time zero to the last measurable concentration</w:t>
            </w:r>
          </w:p>
        </w:tc>
      </w:tr>
      <w:tr w:rsidR="0050797F" w:rsidRPr="00D01DDB" w14:paraId="2D7168C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077D41D" w14:textId="47A7E5B5" w:rsidR="0050797F" w:rsidRPr="00691D1B" w:rsidRDefault="0050797F" w:rsidP="00324B33">
            <w:pPr>
              <w:rPr>
                <w:szCs w:val="22"/>
              </w:rPr>
            </w:pPr>
            <w:r>
              <w:rPr>
                <w:szCs w:val="22"/>
              </w:rPr>
              <w:t>BALP</w:t>
            </w:r>
          </w:p>
        </w:tc>
        <w:tc>
          <w:tcPr>
            <w:tcW w:w="3800" w:type="pct"/>
          </w:tcPr>
          <w:p w14:paraId="0011297E" w14:textId="27D9DFD1" w:rsidR="0050797F" w:rsidRPr="0056595C" w:rsidRDefault="0050797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B</w:t>
            </w:r>
            <w:r w:rsidRPr="0050797F">
              <w:rPr>
                <w:szCs w:val="22"/>
              </w:rPr>
              <w:t>one-specific alkaline phosphatase</w:t>
            </w:r>
          </w:p>
        </w:tc>
      </w:tr>
      <w:tr w:rsidR="005422DE" w:rsidRPr="00D01DDB" w14:paraId="602AFC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4BEC8CE" w14:textId="0AEDFABF" w:rsidR="005422DE" w:rsidRPr="00D01DDB" w:rsidRDefault="005422DE" w:rsidP="00324B33">
            <w:pPr>
              <w:rPr>
                <w:szCs w:val="22"/>
              </w:rPr>
            </w:pPr>
            <w:r>
              <w:rPr>
                <w:szCs w:val="22"/>
              </w:rPr>
              <w:t>BMD</w:t>
            </w:r>
          </w:p>
        </w:tc>
        <w:tc>
          <w:tcPr>
            <w:tcW w:w="3800" w:type="pct"/>
          </w:tcPr>
          <w:p w14:paraId="462A4F24" w14:textId="2D3C8A56" w:rsidR="005422DE" w:rsidRPr="00D01DDB" w:rsidRDefault="005422D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B</w:t>
            </w:r>
            <w:r w:rsidRPr="005422DE">
              <w:rPr>
                <w:szCs w:val="22"/>
              </w:rPr>
              <w:t>one mineral density</w:t>
            </w:r>
          </w:p>
        </w:tc>
      </w:tr>
      <w:tr w:rsidR="00BC3E5A" w:rsidRPr="00D01DDB" w14:paraId="60304E7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2D35778" w14:textId="32AE0752" w:rsidR="00BC3E5A" w:rsidRDefault="00BC3E5A" w:rsidP="00324B33">
            <w:pPr>
              <w:rPr>
                <w:szCs w:val="22"/>
              </w:rPr>
            </w:pPr>
            <w:r>
              <w:rPr>
                <w:szCs w:val="22"/>
              </w:rPr>
              <w:t>BPD</w:t>
            </w:r>
          </w:p>
        </w:tc>
        <w:tc>
          <w:tcPr>
            <w:tcW w:w="3800" w:type="pct"/>
          </w:tcPr>
          <w:p w14:paraId="70CF6A5C" w14:textId="6F61BCF9" w:rsidR="00BC3E5A" w:rsidRDefault="00BC3E5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Biosimilar </w:t>
            </w:r>
            <w:r w:rsidR="008B7D8C">
              <w:rPr>
                <w:szCs w:val="22"/>
              </w:rPr>
              <w:t>product development</w:t>
            </w:r>
          </w:p>
        </w:tc>
      </w:tr>
      <w:tr w:rsidR="00B415E6" w:rsidRPr="00D01DDB" w14:paraId="4413F9F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0F5D05" w14:textId="0201D7FF" w:rsidR="00B415E6" w:rsidRPr="00D01DDB" w:rsidRDefault="00B415E6" w:rsidP="00B415E6">
            <w:pPr>
              <w:rPr>
                <w:szCs w:val="22"/>
              </w:rPr>
            </w:pPr>
            <w:r w:rsidRPr="005E5382">
              <w:rPr>
                <w:szCs w:val="22"/>
              </w:rPr>
              <w:t>CFB</w:t>
            </w:r>
          </w:p>
        </w:tc>
        <w:tc>
          <w:tcPr>
            <w:tcW w:w="3800" w:type="pct"/>
          </w:tcPr>
          <w:p w14:paraId="22702A50" w14:textId="7D1CF2D2" w:rsidR="00B415E6" w:rsidRPr="00D01DDB" w:rsidRDefault="00B415E6" w:rsidP="00B415E6">
            <w:pPr>
              <w:cnfStyle w:val="000000000000" w:firstRow="0" w:lastRow="0" w:firstColumn="0" w:lastColumn="0" w:oddVBand="0" w:evenVBand="0" w:oddHBand="0" w:evenHBand="0" w:firstRowFirstColumn="0" w:firstRowLastColumn="0" w:lastRowFirstColumn="0" w:lastRowLastColumn="0"/>
              <w:rPr>
                <w:szCs w:val="22"/>
              </w:rPr>
            </w:pPr>
            <w:r w:rsidRPr="00B415E6">
              <w:rPr>
                <w:szCs w:val="22"/>
              </w:rPr>
              <w:t>Change from baseline</w:t>
            </w:r>
          </w:p>
        </w:tc>
      </w:tr>
      <w:tr w:rsidR="00736FBC" w:rsidRPr="00D01DDB" w14:paraId="64D6F40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E25BFD" w14:textId="03D53C28" w:rsidR="00736FBC" w:rsidRPr="005E5382" w:rsidRDefault="00736FBC" w:rsidP="00B415E6">
            <w:pPr>
              <w:rPr>
                <w:szCs w:val="22"/>
              </w:rPr>
            </w:pPr>
            <w:r>
              <w:rPr>
                <w:szCs w:val="22"/>
              </w:rPr>
              <w:t>CI</w:t>
            </w:r>
          </w:p>
        </w:tc>
        <w:tc>
          <w:tcPr>
            <w:tcW w:w="3800" w:type="pct"/>
          </w:tcPr>
          <w:p w14:paraId="17EFC7F6" w14:textId="2471A4A3" w:rsidR="00736FBC" w:rsidRPr="00B415E6" w:rsidRDefault="00736FBC" w:rsidP="00B415E6">
            <w:pPr>
              <w:cnfStyle w:val="000000000000" w:firstRow="0" w:lastRow="0" w:firstColumn="0" w:lastColumn="0" w:oddVBand="0" w:evenVBand="0" w:oddHBand="0" w:evenHBand="0" w:firstRowFirstColumn="0" w:firstRowLastColumn="0" w:lastRowFirstColumn="0" w:lastRowLastColumn="0"/>
              <w:rPr>
                <w:szCs w:val="22"/>
              </w:rPr>
            </w:pPr>
            <w:r>
              <w:rPr>
                <w:szCs w:val="22"/>
              </w:rPr>
              <w:t>Confidence interval</w:t>
            </w:r>
          </w:p>
        </w:tc>
      </w:tr>
      <w:tr w:rsidR="00B415E6" w:rsidRPr="00D01DDB" w14:paraId="45353BE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20DA62A" w14:textId="78B86D2C" w:rsidR="00B415E6" w:rsidRPr="00D01DDB" w:rsidRDefault="00B415E6" w:rsidP="00B415E6">
            <w:pPr>
              <w:rPr>
                <w:szCs w:val="22"/>
              </w:rPr>
            </w:pPr>
            <w:r w:rsidRPr="003B3BD2">
              <w:rPr>
                <w:szCs w:val="22"/>
              </w:rPr>
              <w:t>C</w:t>
            </w:r>
            <w:r w:rsidRPr="003B3BD2">
              <w:rPr>
                <w:szCs w:val="22"/>
                <w:vertAlign w:val="subscript"/>
              </w:rPr>
              <w:t>max</w:t>
            </w:r>
          </w:p>
        </w:tc>
        <w:tc>
          <w:tcPr>
            <w:tcW w:w="3800" w:type="pct"/>
          </w:tcPr>
          <w:p w14:paraId="10AC8349" w14:textId="56412A11" w:rsidR="00B415E6" w:rsidRPr="00D01DDB" w:rsidRDefault="00B415E6" w:rsidP="00B415E6">
            <w:pPr>
              <w:cnfStyle w:val="000000000000" w:firstRow="0" w:lastRow="0" w:firstColumn="0" w:lastColumn="0" w:oddVBand="0" w:evenVBand="0" w:oddHBand="0" w:evenHBand="0" w:firstRowFirstColumn="0" w:firstRowLastColumn="0" w:lastRowFirstColumn="0" w:lastRowLastColumn="0"/>
              <w:rPr>
                <w:szCs w:val="22"/>
              </w:rPr>
            </w:pPr>
            <w:r w:rsidRPr="000C0AE1">
              <w:rPr>
                <w:szCs w:val="22"/>
              </w:rPr>
              <w:t>Maximum concentration</w:t>
            </w:r>
          </w:p>
        </w:tc>
      </w:tr>
      <w:tr w:rsidR="00B415E6"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B415E6" w:rsidRPr="00D01DDB" w:rsidRDefault="00B415E6" w:rsidP="00B415E6">
            <w:pPr>
              <w:rPr>
                <w:szCs w:val="22"/>
              </w:rPr>
            </w:pPr>
            <w:r w:rsidRPr="00D01DDB">
              <w:rPr>
                <w:szCs w:val="22"/>
              </w:rPr>
              <w:t>CMI</w:t>
            </w:r>
          </w:p>
        </w:tc>
        <w:tc>
          <w:tcPr>
            <w:tcW w:w="3800" w:type="pct"/>
          </w:tcPr>
          <w:p w14:paraId="5D8C9DF5" w14:textId="60C23379" w:rsidR="00B415E6" w:rsidRPr="00D01DDB" w:rsidRDefault="00B415E6" w:rsidP="00B415E6">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246B3B" w:rsidRPr="00D01DDB" w14:paraId="34D74CA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2C3BCA4" w14:textId="45B07207" w:rsidR="00246B3B" w:rsidRPr="00D01DDB" w:rsidRDefault="00246B3B" w:rsidP="00B415E6">
            <w:pPr>
              <w:rPr>
                <w:szCs w:val="22"/>
              </w:rPr>
            </w:pPr>
            <w:r>
              <w:rPr>
                <w:szCs w:val="22"/>
              </w:rPr>
              <w:t>CTX</w:t>
            </w:r>
          </w:p>
        </w:tc>
        <w:tc>
          <w:tcPr>
            <w:tcW w:w="3800" w:type="pct"/>
          </w:tcPr>
          <w:p w14:paraId="6A28A88E" w14:textId="1D13631E" w:rsidR="00246B3B" w:rsidRPr="00D01DDB" w:rsidRDefault="00246B3B" w:rsidP="00B415E6">
            <w:pPr>
              <w:cnfStyle w:val="000000000000" w:firstRow="0" w:lastRow="0" w:firstColumn="0" w:lastColumn="0" w:oddVBand="0" w:evenVBand="0" w:oddHBand="0" w:evenHBand="0" w:firstRowFirstColumn="0" w:firstRowLastColumn="0" w:lastRowFirstColumn="0" w:lastRowLastColumn="0"/>
              <w:rPr>
                <w:szCs w:val="22"/>
              </w:rPr>
            </w:pPr>
            <w:r w:rsidRPr="00246B3B">
              <w:rPr>
                <w:szCs w:val="22"/>
              </w:rPr>
              <w:t>C-telopeptide of collagen type 1</w:t>
            </w:r>
          </w:p>
        </w:tc>
      </w:tr>
      <w:tr w:rsidR="00B415E6"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B415E6" w:rsidRPr="00D01DDB" w:rsidRDefault="00B415E6" w:rsidP="00B415E6">
            <w:pPr>
              <w:rPr>
                <w:szCs w:val="22"/>
              </w:rPr>
            </w:pPr>
            <w:r w:rsidRPr="00D01DDB">
              <w:rPr>
                <w:szCs w:val="22"/>
              </w:rPr>
              <w:t>DLP</w:t>
            </w:r>
          </w:p>
        </w:tc>
        <w:tc>
          <w:tcPr>
            <w:tcW w:w="3800" w:type="pct"/>
          </w:tcPr>
          <w:p w14:paraId="26109D0B" w14:textId="4AE8F60A" w:rsidR="00B415E6" w:rsidRPr="00D01DDB" w:rsidRDefault="00B415E6" w:rsidP="00B415E6">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B415E6" w:rsidRPr="00D01DDB" w14:paraId="1802867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8A15B58" w14:textId="6BC46729" w:rsidR="00B415E6" w:rsidRPr="00D01DDB" w:rsidRDefault="00B415E6" w:rsidP="00B415E6">
            <w:pPr>
              <w:rPr>
                <w:szCs w:val="22"/>
              </w:rPr>
            </w:pPr>
            <w:r>
              <w:rPr>
                <w:szCs w:val="22"/>
              </w:rPr>
              <w:t>DPD</w:t>
            </w:r>
          </w:p>
        </w:tc>
        <w:tc>
          <w:tcPr>
            <w:tcW w:w="3800" w:type="pct"/>
          </w:tcPr>
          <w:p w14:paraId="3139F897" w14:textId="113BC099" w:rsidR="00B415E6" w:rsidRPr="00D01DDB" w:rsidRDefault="00B415E6" w:rsidP="00B415E6">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D</w:t>
            </w:r>
            <w:r w:rsidRPr="008C01C5">
              <w:rPr>
                <w:szCs w:val="22"/>
              </w:rPr>
              <w:t>eoxypyridionoline</w:t>
            </w:r>
            <w:proofErr w:type="spellEnd"/>
            <w:r w:rsidRPr="008C01C5">
              <w:rPr>
                <w:szCs w:val="22"/>
              </w:rPr>
              <w:t xml:space="preserve"> </w:t>
            </w:r>
          </w:p>
        </w:tc>
      </w:tr>
      <w:tr w:rsidR="00B415E6" w:rsidRPr="00D01DDB" w14:paraId="1B8BAE3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4F83A73" w14:textId="297F0AD3" w:rsidR="00B415E6" w:rsidRDefault="00B415E6" w:rsidP="00B415E6">
            <w:pPr>
              <w:rPr>
                <w:szCs w:val="22"/>
              </w:rPr>
            </w:pPr>
            <w:r w:rsidRPr="00A75B1C">
              <w:rPr>
                <w:szCs w:val="22"/>
              </w:rPr>
              <w:t>DXA</w:t>
            </w:r>
          </w:p>
        </w:tc>
        <w:tc>
          <w:tcPr>
            <w:tcW w:w="3800" w:type="pct"/>
          </w:tcPr>
          <w:p w14:paraId="01E72539" w14:textId="29420393" w:rsidR="00B415E6" w:rsidRPr="008C01C5" w:rsidRDefault="00B415E6" w:rsidP="00B415E6">
            <w:pPr>
              <w:cnfStyle w:val="000000000000" w:firstRow="0" w:lastRow="0" w:firstColumn="0" w:lastColumn="0" w:oddVBand="0" w:evenVBand="0" w:oddHBand="0" w:evenHBand="0" w:firstRowFirstColumn="0" w:firstRowLastColumn="0" w:lastRowFirstColumn="0" w:lastRowLastColumn="0"/>
              <w:rPr>
                <w:szCs w:val="22"/>
              </w:rPr>
            </w:pPr>
            <w:r>
              <w:rPr>
                <w:szCs w:val="22"/>
              </w:rPr>
              <w:t>D</w:t>
            </w:r>
            <w:r w:rsidRPr="00874627">
              <w:rPr>
                <w:szCs w:val="22"/>
              </w:rPr>
              <w:t>ual-energy X-ray absorptiometry</w:t>
            </w:r>
            <w:r>
              <w:rPr>
                <w:szCs w:val="22"/>
              </w:rPr>
              <w:t xml:space="preserve"> (scan)</w:t>
            </w:r>
          </w:p>
        </w:tc>
      </w:tr>
      <w:tr w:rsidR="00B415E6" w:rsidRPr="00D01DDB" w14:paraId="6FC9C6D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FDE61B" w14:textId="1953FE57" w:rsidR="00B415E6" w:rsidRPr="00D01DDB" w:rsidRDefault="00B415E6" w:rsidP="00B415E6">
            <w:pPr>
              <w:rPr>
                <w:szCs w:val="22"/>
              </w:rPr>
            </w:pPr>
            <w:r>
              <w:rPr>
                <w:szCs w:val="22"/>
              </w:rPr>
              <w:t>EMA</w:t>
            </w:r>
          </w:p>
        </w:tc>
        <w:tc>
          <w:tcPr>
            <w:tcW w:w="3800" w:type="pct"/>
          </w:tcPr>
          <w:p w14:paraId="107190B9" w14:textId="265B684F" w:rsidR="00B415E6" w:rsidRPr="00D01DDB" w:rsidRDefault="00B415E6" w:rsidP="00B415E6">
            <w:pPr>
              <w:cnfStyle w:val="000000000000" w:firstRow="0" w:lastRow="0" w:firstColumn="0" w:lastColumn="0" w:oddVBand="0" w:evenVBand="0" w:oddHBand="0" w:evenHBand="0" w:firstRowFirstColumn="0" w:firstRowLastColumn="0" w:lastRowFirstColumn="0" w:lastRowLastColumn="0"/>
              <w:rPr>
                <w:szCs w:val="22"/>
              </w:rPr>
            </w:pPr>
            <w:r>
              <w:rPr>
                <w:szCs w:val="22"/>
              </w:rPr>
              <w:t>European Medicines Agency</w:t>
            </w:r>
          </w:p>
        </w:tc>
      </w:tr>
      <w:tr w:rsidR="00BA2A5A" w:rsidRPr="00D01DDB" w14:paraId="2A9D3745" w14:textId="77777777" w:rsidTr="001678A6">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683D829F" w14:textId="7207DF1C" w:rsidR="00BA2A5A" w:rsidRDefault="00BA2A5A" w:rsidP="00BA2A5A">
            <w:pPr>
              <w:rPr>
                <w:szCs w:val="22"/>
              </w:rPr>
            </w:pPr>
            <w:r w:rsidRPr="0039120E">
              <w:t>E</w:t>
            </w:r>
            <w:r w:rsidRPr="0039120E">
              <w:rPr>
                <w:vertAlign w:val="subscript"/>
              </w:rPr>
              <w:t>max</w:t>
            </w:r>
          </w:p>
        </w:tc>
        <w:tc>
          <w:tcPr>
            <w:tcW w:w="3800" w:type="pct"/>
            <w:shd w:val="clear" w:color="auto" w:fill="auto"/>
          </w:tcPr>
          <w:p w14:paraId="1AC8F64A" w14:textId="33071D19" w:rsidR="00BA2A5A"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39120E">
              <w:t>Maximum % reduction from baseline</w:t>
            </w:r>
          </w:p>
        </w:tc>
      </w:tr>
      <w:tr w:rsidR="00BA2A5A" w:rsidRPr="00D01DDB" w14:paraId="65F4703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011CE7" w14:textId="3086859D" w:rsidR="00BA2A5A" w:rsidRPr="00D01DDB" w:rsidRDefault="00BA2A5A" w:rsidP="00BA2A5A">
            <w:pPr>
              <w:rPr>
                <w:szCs w:val="22"/>
              </w:rPr>
            </w:pPr>
            <w:r>
              <w:rPr>
                <w:szCs w:val="22"/>
              </w:rPr>
              <w:t>EU</w:t>
            </w:r>
          </w:p>
        </w:tc>
        <w:tc>
          <w:tcPr>
            <w:tcW w:w="3800" w:type="pct"/>
          </w:tcPr>
          <w:p w14:paraId="23BEB362" w14:textId="02842DC8"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European Union</w:t>
            </w:r>
          </w:p>
        </w:tc>
      </w:tr>
      <w:tr w:rsidR="00BA2A5A" w:rsidRPr="00D01DDB" w14:paraId="5A14D9D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F7BF3D" w14:textId="7C41F22D" w:rsidR="00BA2A5A" w:rsidRDefault="00BA2A5A" w:rsidP="00BA2A5A">
            <w:pPr>
              <w:rPr>
                <w:szCs w:val="22"/>
              </w:rPr>
            </w:pPr>
            <w:r>
              <w:rPr>
                <w:szCs w:val="22"/>
              </w:rPr>
              <w:t>FDA</w:t>
            </w:r>
          </w:p>
        </w:tc>
        <w:tc>
          <w:tcPr>
            <w:tcW w:w="3800" w:type="pct"/>
          </w:tcPr>
          <w:p w14:paraId="1E706D11" w14:textId="3C08BB2E" w:rsidR="00BA2A5A"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Food and Drug Administration (USA)</w:t>
            </w:r>
          </w:p>
        </w:tc>
      </w:tr>
      <w:tr w:rsidR="00BA2A5A" w:rsidRPr="00D01DDB" w14:paraId="30AAE9B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297565" w14:textId="1EF514A8" w:rsidR="00BA2A5A" w:rsidRDefault="00BA2A5A" w:rsidP="00BA2A5A">
            <w:pPr>
              <w:rPr>
                <w:szCs w:val="22"/>
              </w:rPr>
            </w:pPr>
            <w:r>
              <w:rPr>
                <w:szCs w:val="22"/>
              </w:rPr>
              <w:lastRenderedPageBreak/>
              <w:t>GCP</w:t>
            </w:r>
          </w:p>
        </w:tc>
        <w:tc>
          <w:tcPr>
            <w:tcW w:w="3800" w:type="pct"/>
          </w:tcPr>
          <w:p w14:paraId="0B896316" w14:textId="353CA7C3" w:rsidR="00BA2A5A"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Good clinical practice</w:t>
            </w:r>
          </w:p>
        </w:tc>
      </w:tr>
      <w:tr w:rsidR="00BA2A5A" w:rsidRPr="00D01DDB" w14:paraId="29A2F5D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FDFB804" w14:textId="6EDE4F09" w:rsidR="00BA2A5A" w:rsidRDefault="00BA2A5A" w:rsidP="00BA2A5A">
            <w:pPr>
              <w:rPr>
                <w:szCs w:val="22"/>
              </w:rPr>
            </w:pPr>
            <w:r>
              <w:rPr>
                <w:szCs w:val="22"/>
              </w:rPr>
              <w:t>ITT</w:t>
            </w:r>
          </w:p>
        </w:tc>
        <w:tc>
          <w:tcPr>
            <w:tcW w:w="3800" w:type="pct"/>
          </w:tcPr>
          <w:p w14:paraId="24A3593B" w14:textId="1E68D213" w:rsidR="00BA2A5A"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8F5B63">
              <w:rPr>
                <w:szCs w:val="22"/>
              </w:rPr>
              <w:t>Intent-to-treat</w:t>
            </w:r>
          </w:p>
        </w:tc>
      </w:tr>
      <w:tr w:rsidR="00BA2A5A" w:rsidRPr="00D01DDB" w14:paraId="0157FAE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D8F49A" w14:textId="2A301058" w:rsidR="00BA2A5A" w:rsidRPr="00D01DDB" w:rsidRDefault="00BA2A5A" w:rsidP="00BA2A5A">
            <w:pPr>
              <w:rPr>
                <w:szCs w:val="22"/>
              </w:rPr>
            </w:pPr>
            <w:r>
              <w:rPr>
                <w:szCs w:val="22"/>
              </w:rPr>
              <w:t>LS</w:t>
            </w:r>
          </w:p>
        </w:tc>
        <w:tc>
          <w:tcPr>
            <w:tcW w:w="3800" w:type="pct"/>
          </w:tcPr>
          <w:p w14:paraId="772C80D9" w14:textId="45483F56"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Lumbar spine</w:t>
            </w:r>
          </w:p>
        </w:tc>
      </w:tr>
      <w:tr w:rsidR="00BA2A5A" w:rsidRPr="00D01DDB" w14:paraId="093FB28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233E16" w14:textId="6BAF9424" w:rsidR="00BA2A5A" w:rsidRDefault="00BA2A5A" w:rsidP="00BA2A5A">
            <w:pPr>
              <w:rPr>
                <w:szCs w:val="22"/>
              </w:rPr>
            </w:pPr>
            <w:r w:rsidRPr="00A00A56">
              <w:rPr>
                <w:szCs w:val="22"/>
              </w:rPr>
              <w:t>LSM</w:t>
            </w:r>
          </w:p>
        </w:tc>
        <w:tc>
          <w:tcPr>
            <w:tcW w:w="3800" w:type="pct"/>
          </w:tcPr>
          <w:p w14:paraId="31118C4A" w14:textId="42A01624" w:rsidR="00BA2A5A"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1F515B">
              <w:rPr>
                <w:szCs w:val="22"/>
              </w:rPr>
              <w:t>Least squares mean</w:t>
            </w:r>
          </w:p>
        </w:tc>
      </w:tr>
      <w:tr w:rsidR="00BA2A5A" w:rsidRPr="00D01DDB" w14:paraId="6622D44B" w14:textId="77777777" w:rsidTr="001678A6">
        <w:trPr>
          <w:trHeight w:val="386"/>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tcPr>
          <w:p w14:paraId="566BEDA5" w14:textId="62CA7434" w:rsidR="00BA2A5A" w:rsidRPr="00A00A56" w:rsidRDefault="00BA2A5A" w:rsidP="00BA2A5A">
            <w:pPr>
              <w:rPr>
                <w:szCs w:val="22"/>
              </w:rPr>
            </w:pPr>
            <w:r>
              <w:t>P1NP</w:t>
            </w:r>
          </w:p>
        </w:tc>
        <w:tc>
          <w:tcPr>
            <w:tcW w:w="3800" w:type="pct"/>
            <w:shd w:val="clear" w:color="auto" w:fill="auto"/>
          </w:tcPr>
          <w:p w14:paraId="0588A4B1" w14:textId="0BD8D612" w:rsidR="00BA2A5A" w:rsidRPr="001F515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lang w:eastAsia="ja-JP"/>
              </w:rPr>
              <w:t>P</w:t>
            </w:r>
            <w:r w:rsidRPr="00174A49">
              <w:rPr>
                <w:lang w:eastAsia="ja-JP"/>
              </w:rPr>
              <w:t>rocollagen-type 1 N-terminal-</w:t>
            </w:r>
            <w:proofErr w:type="spellStart"/>
            <w:r w:rsidRPr="00174A49">
              <w:rPr>
                <w:lang w:eastAsia="ja-JP"/>
              </w:rPr>
              <w:t>propeptide</w:t>
            </w:r>
            <w:proofErr w:type="spellEnd"/>
          </w:p>
        </w:tc>
      </w:tr>
      <w:tr w:rsidR="00BA2A5A" w:rsidRPr="00D01DDB" w14:paraId="5834A32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04F6C31" w14:textId="06B1B447" w:rsidR="00BA2A5A" w:rsidRPr="00A00A56" w:rsidRDefault="00BA2A5A" w:rsidP="00BA2A5A">
            <w:pPr>
              <w:rPr>
                <w:szCs w:val="22"/>
              </w:rPr>
            </w:pPr>
            <w:r>
              <w:rPr>
                <w:szCs w:val="22"/>
              </w:rPr>
              <w:t>PD</w:t>
            </w:r>
          </w:p>
        </w:tc>
        <w:tc>
          <w:tcPr>
            <w:tcW w:w="3800" w:type="pct"/>
          </w:tcPr>
          <w:p w14:paraId="31F67D60" w14:textId="18CE2133" w:rsidR="00BA2A5A"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P</w:t>
            </w:r>
            <w:r w:rsidRPr="00E05046">
              <w:rPr>
                <w:szCs w:val="22"/>
              </w:rPr>
              <w:t>harmacodynamics</w:t>
            </w:r>
          </w:p>
        </w:tc>
      </w:tr>
      <w:tr w:rsidR="00BA2A5A"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BA2A5A" w:rsidRPr="00D01DDB" w:rsidRDefault="00BA2A5A" w:rsidP="00BA2A5A">
            <w:pPr>
              <w:rPr>
                <w:szCs w:val="22"/>
              </w:rPr>
            </w:pPr>
            <w:r w:rsidRPr="00D01DDB">
              <w:rPr>
                <w:szCs w:val="22"/>
              </w:rPr>
              <w:t>PI</w:t>
            </w:r>
          </w:p>
        </w:tc>
        <w:tc>
          <w:tcPr>
            <w:tcW w:w="3800" w:type="pct"/>
          </w:tcPr>
          <w:p w14:paraId="354B5DB5" w14:textId="3DAE38C1"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BA2A5A" w:rsidRPr="00D01DDB" w14:paraId="0E711E6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9DF4A7F" w14:textId="61387F05" w:rsidR="00BA2A5A" w:rsidRPr="00D01DDB" w:rsidRDefault="00BA2A5A" w:rsidP="00BA2A5A">
            <w:pPr>
              <w:rPr>
                <w:szCs w:val="22"/>
              </w:rPr>
            </w:pPr>
            <w:r>
              <w:rPr>
                <w:szCs w:val="22"/>
              </w:rPr>
              <w:t>PK</w:t>
            </w:r>
          </w:p>
        </w:tc>
        <w:tc>
          <w:tcPr>
            <w:tcW w:w="3800" w:type="pct"/>
          </w:tcPr>
          <w:p w14:paraId="2639B212" w14:textId="20139C8B"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CA6152">
              <w:rPr>
                <w:szCs w:val="22"/>
              </w:rPr>
              <w:t>Pharmacokinetic</w:t>
            </w:r>
            <w:r>
              <w:rPr>
                <w:szCs w:val="22"/>
              </w:rPr>
              <w:t>s</w:t>
            </w:r>
          </w:p>
        </w:tc>
      </w:tr>
      <w:tr w:rsidR="00BA2A5A" w:rsidRPr="00D01DDB" w14:paraId="7C661E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7180077" w14:textId="1613DA6A" w:rsidR="00BA2A5A" w:rsidRDefault="00BA2A5A" w:rsidP="00BA2A5A">
            <w:pPr>
              <w:rPr>
                <w:szCs w:val="22"/>
              </w:rPr>
            </w:pPr>
            <w:r>
              <w:rPr>
                <w:szCs w:val="22"/>
              </w:rPr>
              <w:t>PP</w:t>
            </w:r>
          </w:p>
        </w:tc>
        <w:tc>
          <w:tcPr>
            <w:tcW w:w="3800" w:type="pct"/>
          </w:tcPr>
          <w:p w14:paraId="2ED6AAE0" w14:textId="74AB2220" w:rsidR="00BA2A5A" w:rsidRPr="00CA6152"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B56A6E">
              <w:rPr>
                <w:szCs w:val="22"/>
              </w:rPr>
              <w:t>Per Protocol Set</w:t>
            </w:r>
          </w:p>
        </w:tc>
      </w:tr>
      <w:tr w:rsidR="00BA2A5A" w:rsidRPr="00D01DDB" w14:paraId="7F0A0C7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E60587B" w14:textId="162BC2C3" w:rsidR="00BA2A5A" w:rsidRDefault="00BA2A5A" w:rsidP="00BA2A5A">
            <w:pPr>
              <w:rPr>
                <w:szCs w:val="22"/>
              </w:rPr>
            </w:pPr>
            <w:r>
              <w:rPr>
                <w:szCs w:val="22"/>
              </w:rPr>
              <w:t>PPQ</w:t>
            </w:r>
          </w:p>
        </w:tc>
        <w:tc>
          <w:tcPr>
            <w:tcW w:w="3800" w:type="pct"/>
          </w:tcPr>
          <w:p w14:paraId="312F4F82" w14:textId="55D4F7B6" w:rsidR="00BA2A5A" w:rsidRPr="00CA6152"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004114">
              <w:rPr>
                <w:szCs w:val="22"/>
              </w:rPr>
              <w:t>Process Performance Qualification</w:t>
            </w:r>
          </w:p>
        </w:tc>
      </w:tr>
      <w:tr w:rsidR="00BA2A5A"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BA2A5A" w:rsidRPr="00D01DDB" w:rsidRDefault="00BA2A5A" w:rsidP="00BA2A5A">
            <w:pPr>
              <w:rPr>
                <w:szCs w:val="22"/>
              </w:rPr>
            </w:pPr>
            <w:r w:rsidRPr="00D01DDB">
              <w:rPr>
                <w:szCs w:val="22"/>
              </w:rPr>
              <w:t>PSUR</w:t>
            </w:r>
          </w:p>
        </w:tc>
        <w:tc>
          <w:tcPr>
            <w:tcW w:w="3800" w:type="pct"/>
          </w:tcPr>
          <w:p w14:paraId="4A97D112" w14:textId="3DC38D82"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BA2A5A" w:rsidRPr="00D01DDB" w14:paraId="60C3915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120A955" w14:textId="52EFB5C3" w:rsidR="00BA2A5A" w:rsidRPr="00D01DDB" w:rsidRDefault="00BA2A5A" w:rsidP="00BA2A5A">
            <w:pPr>
              <w:rPr>
                <w:szCs w:val="22"/>
              </w:rPr>
            </w:pPr>
            <w:r>
              <w:rPr>
                <w:szCs w:val="22"/>
              </w:rPr>
              <w:t>PYD</w:t>
            </w:r>
          </w:p>
        </w:tc>
        <w:tc>
          <w:tcPr>
            <w:tcW w:w="3800" w:type="pct"/>
          </w:tcPr>
          <w:p w14:paraId="2D0CD7E7" w14:textId="1989074B"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P</w:t>
            </w:r>
            <w:r w:rsidRPr="008C01C5">
              <w:rPr>
                <w:szCs w:val="22"/>
              </w:rPr>
              <w:t>yridinoline</w:t>
            </w:r>
            <w:proofErr w:type="spellEnd"/>
          </w:p>
        </w:tc>
      </w:tr>
      <w:tr w:rsidR="00BA2A5A" w:rsidRPr="00D01DDB" w14:paraId="3031E4C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4A9D5AF" w14:textId="374D7178" w:rsidR="00BA2A5A" w:rsidRPr="00D01DDB" w:rsidRDefault="00BA2A5A" w:rsidP="00BA2A5A">
            <w:pPr>
              <w:rPr>
                <w:szCs w:val="22"/>
              </w:rPr>
            </w:pPr>
            <w:r>
              <w:rPr>
                <w:szCs w:val="22"/>
              </w:rPr>
              <w:t>RANK</w:t>
            </w:r>
          </w:p>
        </w:tc>
        <w:tc>
          <w:tcPr>
            <w:tcW w:w="3800" w:type="pct"/>
          </w:tcPr>
          <w:p w14:paraId="3277923C" w14:textId="3106DDB7"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E12F63">
              <w:rPr>
                <w:szCs w:val="22"/>
              </w:rPr>
              <w:t>Receptor activator of nuclear factor kappa-β</w:t>
            </w:r>
          </w:p>
        </w:tc>
      </w:tr>
      <w:tr w:rsidR="00BA2A5A" w:rsidRPr="00D01DDB" w14:paraId="3E2BBD1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E82742E" w14:textId="6F747624" w:rsidR="00BA2A5A" w:rsidRPr="00D01DDB" w:rsidRDefault="00BA2A5A" w:rsidP="00BA2A5A">
            <w:pPr>
              <w:rPr>
                <w:szCs w:val="22"/>
              </w:rPr>
            </w:pPr>
            <w:r>
              <w:rPr>
                <w:szCs w:val="22"/>
              </w:rPr>
              <w:t>RANKL</w:t>
            </w:r>
          </w:p>
        </w:tc>
        <w:tc>
          <w:tcPr>
            <w:tcW w:w="3800" w:type="pct"/>
          </w:tcPr>
          <w:p w14:paraId="5DAFD92F" w14:textId="61E539EA"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R</w:t>
            </w:r>
            <w:r w:rsidRPr="00EA1733">
              <w:rPr>
                <w:szCs w:val="22"/>
              </w:rPr>
              <w:t>eceptor activator of nuclear factor kappa-</w:t>
            </w:r>
            <w:r w:rsidRPr="00E12F63">
              <w:rPr>
                <w:szCs w:val="22"/>
              </w:rPr>
              <w:t>β</w:t>
            </w:r>
            <w:r w:rsidRPr="00EA1733">
              <w:rPr>
                <w:szCs w:val="22"/>
              </w:rPr>
              <w:t xml:space="preserve"> ligand</w:t>
            </w:r>
          </w:p>
        </w:tc>
      </w:tr>
      <w:tr w:rsidR="00BA2A5A"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BA2A5A" w:rsidRPr="00D01DDB" w:rsidRDefault="00BA2A5A" w:rsidP="00BA2A5A">
            <w:pPr>
              <w:rPr>
                <w:szCs w:val="22"/>
              </w:rPr>
            </w:pPr>
            <w:r w:rsidRPr="00D01DDB">
              <w:rPr>
                <w:szCs w:val="22"/>
              </w:rPr>
              <w:t>RMP</w:t>
            </w:r>
          </w:p>
        </w:tc>
        <w:tc>
          <w:tcPr>
            <w:tcW w:w="3800" w:type="pct"/>
          </w:tcPr>
          <w:p w14:paraId="2C862F75" w14:textId="2355E842"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BA2A5A" w:rsidRPr="00D01DDB" w14:paraId="5522C23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0D113A" w14:textId="6D2A18C4" w:rsidR="00BA2A5A" w:rsidRPr="00D01DDB" w:rsidRDefault="00BA2A5A" w:rsidP="00BA2A5A">
            <w:pPr>
              <w:rPr>
                <w:szCs w:val="22"/>
              </w:rPr>
            </w:pPr>
            <w:r w:rsidRPr="00A410CA">
              <w:rPr>
                <w:szCs w:val="22"/>
              </w:rPr>
              <w:t>SE-HPLC</w:t>
            </w:r>
          </w:p>
        </w:tc>
        <w:tc>
          <w:tcPr>
            <w:tcW w:w="3800" w:type="pct"/>
          </w:tcPr>
          <w:p w14:paraId="205AC420" w14:textId="18E879F1"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S</w:t>
            </w:r>
            <w:r w:rsidRPr="0097074D">
              <w:rPr>
                <w:szCs w:val="22"/>
              </w:rPr>
              <w:t>ize exclusion high-performance liquid chromatography </w:t>
            </w:r>
          </w:p>
        </w:tc>
      </w:tr>
      <w:tr w:rsidR="00BA2A5A" w:rsidRPr="00D01DDB" w14:paraId="2C07BCC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A6639D2" w14:textId="042B8C0F" w:rsidR="00BA2A5A" w:rsidRPr="00D01DDB" w:rsidRDefault="00BA2A5A" w:rsidP="00BA2A5A">
            <w:pPr>
              <w:rPr>
                <w:szCs w:val="22"/>
              </w:rPr>
            </w:pPr>
            <w:r>
              <w:rPr>
                <w:szCs w:val="22"/>
              </w:rPr>
              <w:t>SERMs</w:t>
            </w:r>
          </w:p>
        </w:tc>
        <w:tc>
          <w:tcPr>
            <w:tcW w:w="3800" w:type="pct"/>
          </w:tcPr>
          <w:p w14:paraId="3EC52420" w14:textId="7E26B0B2"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S</w:t>
            </w:r>
            <w:r w:rsidRPr="0022156A">
              <w:rPr>
                <w:szCs w:val="22"/>
              </w:rPr>
              <w:t>elective estrogen-receptor modulators</w:t>
            </w:r>
          </w:p>
        </w:tc>
      </w:tr>
      <w:tr w:rsidR="00BA2A5A"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BA2A5A" w:rsidRPr="00D01DDB" w:rsidRDefault="00BA2A5A" w:rsidP="00BA2A5A">
            <w:pPr>
              <w:rPr>
                <w:szCs w:val="22"/>
              </w:rPr>
            </w:pPr>
            <w:r w:rsidRPr="00D01DDB">
              <w:rPr>
                <w:szCs w:val="22"/>
              </w:rPr>
              <w:t>TGA</w:t>
            </w:r>
          </w:p>
        </w:tc>
        <w:tc>
          <w:tcPr>
            <w:tcW w:w="3800" w:type="pct"/>
          </w:tcPr>
          <w:p w14:paraId="29EA6BA3" w14:textId="6F99059F"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BA2A5A" w:rsidRPr="00D01DDB" w14:paraId="18943C4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0C771C" w14:textId="77F0E25A" w:rsidR="00BA2A5A" w:rsidRPr="00D01DDB" w:rsidRDefault="00BA2A5A" w:rsidP="00BA2A5A">
            <w:pPr>
              <w:rPr>
                <w:szCs w:val="22"/>
              </w:rPr>
            </w:pPr>
            <w:r>
              <w:rPr>
                <w:szCs w:val="22"/>
              </w:rPr>
              <w:t>TNF</w:t>
            </w:r>
          </w:p>
        </w:tc>
        <w:tc>
          <w:tcPr>
            <w:tcW w:w="3800" w:type="pct"/>
          </w:tcPr>
          <w:p w14:paraId="50423FBE" w14:textId="13C52CB0"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T</w:t>
            </w:r>
            <w:r w:rsidRPr="00391F36">
              <w:rPr>
                <w:szCs w:val="22"/>
              </w:rPr>
              <w:t>umour necrosis factor</w:t>
            </w:r>
          </w:p>
        </w:tc>
      </w:tr>
      <w:tr w:rsidR="00BA2A5A" w:rsidRPr="00D01DDB" w14:paraId="1796521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452AAA" w14:textId="37DA046D" w:rsidR="00BA2A5A" w:rsidRPr="00D01DDB" w:rsidRDefault="00BA2A5A" w:rsidP="00BA2A5A">
            <w:pPr>
              <w:rPr>
                <w:szCs w:val="22"/>
              </w:rPr>
            </w:pPr>
            <w:r>
              <w:rPr>
                <w:szCs w:val="22"/>
              </w:rPr>
              <w:t>TNFR</w:t>
            </w:r>
          </w:p>
        </w:tc>
        <w:tc>
          <w:tcPr>
            <w:tcW w:w="3800" w:type="pct"/>
          </w:tcPr>
          <w:p w14:paraId="1A82662B" w14:textId="13EDC97B"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T</w:t>
            </w:r>
            <w:r w:rsidRPr="00E244E9">
              <w:rPr>
                <w:szCs w:val="22"/>
              </w:rPr>
              <w:t>umour necrosis factor receptor</w:t>
            </w:r>
          </w:p>
        </w:tc>
      </w:tr>
      <w:tr w:rsidR="00BA2A5A" w:rsidRPr="00D01DDB" w14:paraId="7DEFF8C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DACBC0" w14:textId="6FF79E7B" w:rsidR="00BA2A5A" w:rsidRPr="00D01DDB" w:rsidRDefault="00BA2A5A" w:rsidP="00BA2A5A">
            <w:pPr>
              <w:rPr>
                <w:szCs w:val="22"/>
              </w:rPr>
            </w:pPr>
            <w:r>
              <w:rPr>
                <w:szCs w:val="22"/>
              </w:rPr>
              <w:t>US(A)</w:t>
            </w:r>
          </w:p>
        </w:tc>
        <w:tc>
          <w:tcPr>
            <w:tcW w:w="3800" w:type="pct"/>
          </w:tcPr>
          <w:p w14:paraId="28C7395A" w14:textId="4CDA515E" w:rsidR="00BA2A5A" w:rsidRPr="00D01DDB" w:rsidRDefault="00BA2A5A" w:rsidP="00BA2A5A">
            <w:pPr>
              <w:cnfStyle w:val="000000000000" w:firstRow="0" w:lastRow="0" w:firstColumn="0" w:lastColumn="0" w:oddVBand="0" w:evenVBand="0" w:oddHBand="0" w:evenHBand="0" w:firstRowFirstColumn="0" w:firstRowLastColumn="0" w:lastRowFirstColumn="0" w:lastRowLastColumn="0"/>
              <w:rPr>
                <w:szCs w:val="22"/>
              </w:rPr>
            </w:pPr>
            <w:r>
              <w:rPr>
                <w:szCs w:val="22"/>
              </w:rPr>
              <w:t>United States (of America)</w:t>
            </w:r>
          </w:p>
        </w:tc>
      </w:tr>
    </w:tbl>
    <w:p w14:paraId="02FB1F38" w14:textId="77777777" w:rsidR="00324B33" w:rsidRPr="00FD119B" w:rsidRDefault="00324B33" w:rsidP="00626059">
      <w:r w:rsidRPr="00FD119B">
        <w:br w:type="page"/>
      </w:r>
    </w:p>
    <w:p w14:paraId="44C2A39C" w14:textId="77777777" w:rsidR="00324B33" w:rsidRDefault="00324B33" w:rsidP="00324B33">
      <w:pPr>
        <w:pStyle w:val="Heading2"/>
      </w:pPr>
      <w:bookmarkStart w:id="5" w:name="_Toc103679288"/>
      <w:bookmarkStart w:id="6" w:name="_Toc226984769"/>
      <w:r>
        <w:lastRenderedPageBreak/>
        <w:t>Product submission</w:t>
      </w:r>
      <w:bookmarkEnd w:id="5"/>
      <w:bookmarkEnd w:id="6"/>
    </w:p>
    <w:p w14:paraId="21D559DF" w14:textId="77777777" w:rsidR="00324B33" w:rsidRDefault="00324B33" w:rsidP="00626059">
      <w:pPr>
        <w:pStyle w:val="Heading3"/>
        <w:rPr>
          <w:lang w:eastAsia="en-AU"/>
        </w:rPr>
      </w:pPr>
      <w:bookmarkStart w:id="7" w:name="_Toc247691502"/>
      <w:bookmarkStart w:id="8" w:name="_Toc314842483"/>
      <w:bookmarkStart w:id="9" w:name="_Toc103679289"/>
      <w:bookmarkStart w:id="10" w:name="_Toc226984770"/>
      <w:r>
        <w:rPr>
          <w:lang w:eastAsia="en-AU"/>
        </w:rPr>
        <w:t xml:space="preserve">Submission </w:t>
      </w:r>
      <w:r w:rsidRPr="00626059">
        <w:t>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1E4F5F60" w:rsidR="00324B33" w:rsidRPr="00BD5DBD" w:rsidRDefault="00324B33" w:rsidP="007452E8">
            <w:pPr>
              <w:rPr>
                <w:i/>
                <w:szCs w:val="22"/>
              </w:rPr>
            </w:pPr>
            <w:r w:rsidRPr="00BD5DBD">
              <w:rPr>
                <w:i/>
                <w:szCs w:val="22"/>
              </w:rPr>
              <w:t>Type of submission:</w:t>
            </w:r>
          </w:p>
        </w:tc>
        <w:tc>
          <w:tcPr>
            <w:tcW w:w="3423" w:type="pct"/>
          </w:tcPr>
          <w:p w14:paraId="4F07C303" w14:textId="56F7F418" w:rsidR="00324B33" w:rsidRPr="00BD5DBD" w:rsidRDefault="00324B33" w:rsidP="007452E8">
            <w:pPr>
              <w:rPr>
                <w:szCs w:val="22"/>
              </w:rPr>
            </w:pPr>
            <w:r w:rsidRPr="00BD5DBD">
              <w:rPr>
                <w:szCs w:val="22"/>
              </w:rPr>
              <w:t xml:space="preserve">New </w:t>
            </w:r>
            <w:r w:rsidR="00B90897">
              <w:rPr>
                <w:szCs w:val="22"/>
              </w:rPr>
              <w:t>biosimilar</w:t>
            </w:r>
            <w:r w:rsidRPr="00BD5DBD">
              <w:rPr>
                <w:szCs w:val="22"/>
              </w:rPr>
              <w:t xml:space="preserve"> entity</w:t>
            </w:r>
          </w:p>
        </w:tc>
      </w:tr>
      <w:tr w:rsidR="00324B33" w:rsidRPr="00BD5DBD" w14:paraId="13482B61" w14:textId="77777777" w:rsidTr="00F865A7">
        <w:tc>
          <w:tcPr>
            <w:tcW w:w="1577" w:type="pct"/>
          </w:tcPr>
          <w:p w14:paraId="2C427FCF" w14:textId="47AE740E" w:rsidR="00324B33" w:rsidRPr="00BD5DBD" w:rsidRDefault="00324B33" w:rsidP="007452E8">
            <w:pPr>
              <w:rPr>
                <w:i/>
                <w:szCs w:val="22"/>
              </w:rPr>
            </w:pPr>
            <w:r w:rsidRPr="00BD5DBD">
              <w:rPr>
                <w:i/>
                <w:szCs w:val="22"/>
              </w:rPr>
              <w:t>Product name</w:t>
            </w:r>
            <w:r w:rsidR="001E2CF6">
              <w:rPr>
                <w:i/>
                <w:szCs w:val="22"/>
              </w:rPr>
              <w:t>s</w:t>
            </w:r>
            <w:r w:rsidRPr="00BD5DBD">
              <w:rPr>
                <w:i/>
                <w:szCs w:val="22"/>
              </w:rPr>
              <w:t>:</w:t>
            </w:r>
          </w:p>
        </w:tc>
        <w:tc>
          <w:tcPr>
            <w:tcW w:w="3423" w:type="pct"/>
          </w:tcPr>
          <w:p w14:paraId="0E2DEF76" w14:textId="1301A287" w:rsidR="00324B33" w:rsidRPr="00BD5DBD" w:rsidRDefault="001E2CF6" w:rsidP="007452E8">
            <w:pPr>
              <w:rPr>
                <w:szCs w:val="22"/>
              </w:rPr>
            </w:pPr>
            <w:r w:rsidRPr="001E2CF6">
              <w:rPr>
                <w:szCs w:val="22"/>
              </w:rPr>
              <w:t>Dostiva, Denolia, Deskeltia, Dexeva</w:t>
            </w:r>
          </w:p>
        </w:tc>
      </w:tr>
      <w:tr w:rsidR="00324B33" w:rsidRPr="00BD5DBD" w14:paraId="01255B5B" w14:textId="77777777" w:rsidTr="00F865A7">
        <w:tc>
          <w:tcPr>
            <w:tcW w:w="1577" w:type="pct"/>
          </w:tcPr>
          <w:p w14:paraId="52B4F3D7" w14:textId="2A018BCF" w:rsidR="00324B33" w:rsidRPr="00BD5DBD" w:rsidRDefault="00324B33" w:rsidP="007452E8">
            <w:pPr>
              <w:rPr>
                <w:i/>
                <w:szCs w:val="22"/>
              </w:rPr>
            </w:pPr>
            <w:r w:rsidRPr="00BD5DBD">
              <w:rPr>
                <w:i/>
                <w:szCs w:val="22"/>
              </w:rPr>
              <w:t>Active ingredient:</w:t>
            </w:r>
          </w:p>
        </w:tc>
        <w:tc>
          <w:tcPr>
            <w:tcW w:w="3423" w:type="pct"/>
          </w:tcPr>
          <w:p w14:paraId="02FB6383" w14:textId="3B8A1CD5" w:rsidR="00324B33" w:rsidRPr="00BD5DBD" w:rsidRDefault="001E2CF6" w:rsidP="007452E8">
            <w:pPr>
              <w:rPr>
                <w:szCs w:val="22"/>
              </w:rPr>
            </w:pPr>
            <w:r>
              <w:rPr>
                <w:szCs w:val="22"/>
              </w:rPr>
              <w:t>Denosumab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015C2C4B"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463F9E7A" w:rsidR="00AE1947" w:rsidRPr="00BD5DBD" w:rsidRDefault="00B80A95" w:rsidP="001678A6">
            <w:pPr>
              <w:rPr>
                <w:szCs w:val="22"/>
              </w:rPr>
            </w:pPr>
            <w:r>
              <w:rPr>
                <w:szCs w:val="22"/>
              </w:rPr>
              <w:t>19 September 2025</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5D7452CC" w:rsidR="00324B33" w:rsidRPr="00BD5DBD" w:rsidRDefault="007F5E76" w:rsidP="007452E8">
            <w:pPr>
              <w:rPr>
                <w:szCs w:val="22"/>
              </w:rPr>
            </w:pPr>
            <w:r>
              <w:rPr>
                <w:szCs w:val="22"/>
              </w:rPr>
              <w:t>31 October 2025</w:t>
            </w:r>
          </w:p>
        </w:tc>
      </w:tr>
      <w:tr w:rsidR="00324B33" w:rsidRPr="00BD5DBD" w14:paraId="547E08D7" w14:textId="77777777" w:rsidTr="00F865A7">
        <w:tc>
          <w:tcPr>
            <w:tcW w:w="1577" w:type="pct"/>
          </w:tcPr>
          <w:p w14:paraId="5030EF30" w14:textId="5B59B534" w:rsidR="00324B33" w:rsidRPr="00BD5DBD" w:rsidRDefault="00324B33" w:rsidP="007452E8">
            <w:pPr>
              <w:rPr>
                <w:i/>
                <w:szCs w:val="22"/>
              </w:rPr>
            </w:pPr>
            <w:r w:rsidRPr="00BD5DBD">
              <w:rPr>
                <w:i/>
                <w:szCs w:val="22"/>
              </w:rPr>
              <w:t>ARTG numbers:</w:t>
            </w:r>
          </w:p>
        </w:tc>
        <w:tc>
          <w:tcPr>
            <w:tcW w:w="3423" w:type="pct"/>
          </w:tcPr>
          <w:p w14:paraId="0054E912" w14:textId="481BD81E" w:rsidR="00324B33" w:rsidRPr="00A52124" w:rsidRDefault="005C59A5" w:rsidP="00A52124">
            <w:pPr>
              <w:rPr>
                <w:szCs w:val="22"/>
              </w:rPr>
            </w:pPr>
            <w:r w:rsidRPr="00A52124">
              <w:rPr>
                <w:szCs w:val="22"/>
              </w:rPr>
              <w:t>450305</w:t>
            </w:r>
            <w:r w:rsidR="008B741D" w:rsidRPr="00A52124">
              <w:rPr>
                <w:szCs w:val="22"/>
              </w:rPr>
              <w:t xml:space="preserve">, </w:t>
            </w:r>
            <w:r w:rsidRPr="005C59A5">
              <w:rPr>
                <w:szCs w:val="22"/>
              </w:rPr>
              <w:t>450306</w:t>
            </w:r>
            <w:r w:rsidR="008B741D" w:rsidRPr="00A52124">
              <w:rPr>
                <w:szCs w:val="22"/>
              </w:rPr>
              <w:t xml:space="preserve">, </w:t>
            </w:r>
            <w:r w:rsidRPr="005C59A5">
              <w:rPr>
                <w:szCs w:val="22"/>
              </w:rPr>
              <w:t>450307</w:t>
            </w:r>
            <w:r w:rsidR="00A52124" w:rsidRPr="00A52124">
              <w:rPr>
                <w:szCs w:val="22"/>
              </w:rPr>
              <w:t xml:space="preserve">, </w:t>
            </w:r>
            <w:r w:rsidRPr="005C59A5">
              <w:rPr>
                <w:szCs w:val="22"/>
              </w:rPr>
              <w:t>450308</w:t>
            </w:r>
            <w:r w:rsidR="00A52124">
              <w:rPr>
                <w:szCs w:val="22"/>
              </w:rPr>
              <w:t>.</w:t>
            </w:r>
          </w:p>
        </w:tc>
      </w:tr>
      <w:tr w:rsidR="00324B33" w:rsidRPr="00BD5DBD" w14:paraId="7618393F" w14:textId="77777777" w:rsidTr="00F865A7">
        <w:tc>
          <w:tcPr>
            <w:tcW w:w="1577" w:type="pct"/>
          </w:tcPr>
          <w:p w14:paraId="6C24CEB6" w14:textId="6A7FE944" w:rsidR="00E47E0C" w:rsidRPr="00BD5DBD" w:rsidRDefault="00324B33" w:rsidP="007452E8">
            <w:pPr>
              <w:rPr>
                <w:rStyle w:val="Hyperlink"/>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FF3C6A2" w14:textId="0F9A63B6" w:rsidR="00324B33" w:rsidRPr="00BD5DBD" w:rsidRDefault="00324B33" w:rsidP="007452E8">
            <w:pPr>
              <w:rPr>
                <w:szCs w:val="22"/>
              </w:rPr>
            </w:pPr>
            <w:r w:rsidRPr="0050594C">
              <w:rPr>
                <w:szCs w:val="22"/>
              </w:rPr>
              <w:t>No</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49284F4D" w14:textId="77777777" w:rsidR="009C524B" w:rsidRDefault="00E32041" w:rsidP="00512EBC">
            <w:pPr>
              <w:rPr>
                <w:szCs w:val="22"/>
              </w:rPr>
            </w:pPr>
            <w:r>
              <w:rPr>
                <w:szCs w:val="22"/>
              </w:rPr>
              <w:t>Accord Healthcare Pty Ltd</w:t>
            </w:r>
          </w:p>
          <w:p w14:paraId="24F44050" w14:textId="6F3ECA71" w:rsidR="00512EBC" w:rsidRDefault="00512EBC" w:rsidP="00512EBC">
            <w:pPr>
              <w:rPr>
                <w:szCs w:val="22"/>
                <w:lang w:val="en-US"/>
              </w:rPr>
            </w:pPr>
            <w:r w:rsidRPr="00512EBC">
              <w:rPr>
                <w:szCs w:val="22"/>
                <w:lang w:val="en-US"/>
              </w:rPr>
              <w:t>Level 24, 570 Bourke Street</w:t>
            </w:r>
          </w:p>
          <w:p w14:paraId="45C090D0" w14:textId="2C571CAF" w:rsidR="00512EBC" w:rsidRPr="00512EBC" w:rsidRDefault="00512EBC" w:rsidP="00512EBC">
            <w:pPr>
              <w:rPr>
                <w:szCs w:val="22"/>
                <w:lang w:val="en-US"/>
              </w:rPr>
            </w:pPr>
            <w:r w:rsidRPr="00512EBC">
              <w:rPr>
                <w:szCs w:val="22"/>
                <w:lang w:val="en-US"/>
              </w:rPr>
              <w:t>Melbourne</w:t>
            </w:r>
          </w:p>
          <w:p w14:paraId="07805195" w14:textId="77777777" w:rsidR="00512EBC" w:rsidRPr="00512EBC" w:rsidRDefault="00512EBC" w:rsidP="00512EBC">
            <w:pPr>
              <w:rPr>
                <w:szCs w:val="22"/>
                <w:lang w:val="en-US"/>
              </w:rPr>
            </w:pPr>
            <w:r w:rsidRPr="00512EBC">
              <w:rPr>
                <w:szCs w:val="22"/>
                <w:lang w:val="en-US"/>
              </w:rPr>
              <w:t>VIC 3000</w:t>
            </w:r>
          </w:p>
          <w:p w14:paraId="68DD94B0" w14:textId="56FC719E" w:rsidR="00E32041" w:rsidRPr="00BD5DBD" w:rsidRDefault="00512EBC" w:rsidP="007452E8">
            <w:pPr>
              <w:rPr>
                <w:szCs w:val="22"/>
              </w:rPr>
            </w:pPr>
            <w:r>
              <w:rPr>
                <w:szCs w:val="22"/>
              </w:rPr>
              <w:t>Australia</w:t>
            </w:r>
          </w:p>
        </w:tc>
      </w:tr>
      <w:tr w:rsidR="00E32041" w:rsidRPr="00BD5DBD" w14:paraId="5322B989" w14:textId="77777777" w:rsidTr="00F865A7">
        <w:tc>
          <w:tcPr>
            <w:tcW w:w="1577" w:type="pct"/>
          </w:tcPr>
          <w:p w14:paraId="24F217E3" w14:textId="728D3E47" w:rsidR="00E32041" w:rsidRPr="00BD5DBD" w:rsidRDefault="00E32041" w:rsidP="00E32041">
            <w:pPr>
              <w:rPr>
                <w:i/>
                <w:szCs w:val="22"/>
              </w:rPr>
            </w:pPr>
            <w:r w:rsidRPr="00BD5DBD">
              <w:rPr>
                <w:i/>
                <w:szCs w:val="22"/>
              </w:rPr>
              <w:t>Dose forms:</w:t>
            </w:r>
          </w:p>
        </w:tc>
        <w:tc>
          <w:tcPr>
            <w:tcW w:w="3423" w:type="pct"/>
          </w:tcPr>
          <w:p w14:paraId="1B77CF7F" w14:textId="29B2EC06" w:rsidR="008B741D" w:rsidRPr="008B741D" w:rsidRDefault="008B741D" w:rsidP="008B741D">
            <w:r w:rsidRPr="008B741D">
              <w:rPr>
                <w:b/>
                <w:bCs/>
              </w:rPr>
              <w:t xml:space="preserve">450305 </w:t>
            </w:r>
            <w:r w:rsidRPr="008B741D">
              <w:t>– Dostiva (denosumab) 70</w:t>
            </w:r>
            <w:r w:rsidR="00595E8E">
              <w:t xml:space="preserve"> </w:t>
            </w:r>
            <w:r w:rsidRPr="008B741D">
              <w:t>mg/</w:t>
            </w:r>
            <w:r w:rsidR="00F868D1">
              <w:t xml:space="preserve"> </w:t>
            </w:r>
            <w:r w:rsidRPr="008B741D">
              <w:t>mL (120</w:t>
            </w:r>
            <w:r w:rsidR="00F868D1">
              <w:t xml:space="preserve"> </w:t>
            </w:r>
            <w:r w:rsidRPr="008B741D">
              <w:t>mg/1.7</w:t>
            </w:r>
            <w:r w:rsidR="00F868D1">
              <w:t xml:space="preserve"> </w:t>
            </w:r>
            <w:r w:rsidRPr="008B741D">
              <w:t>mL) solution for injection vial</w:t>
            </w:r>
          </w:p>
          <w:p w14:paraId="5E600DB5" w14:textId="396DA36C" w:rsidR="008B741D" w:rsidRPr="008B741D" w:rsidRDefault="008B741D" w:rsidP="008B741D">
            <w:r w:rsidRPr="008B741D">
              <w:rPr>
                <w:b/>
                <w:bCs/>
              </w:rPr>
              <w:t xml:space="preserve">450306 </w:t>
            </w:r>
            <w:r w:rsidRPr="008B741D">
              <w:t>– Denolia (denosumab) 60</w:t>
            </w:r>
            <w:r w:rsidR="002D6904">
              <w:t xml:space="preserve"> </w:t>
            </w:r>
            <w:r w:rsidRPr="008B741D">
              <w:t>mg/1</w:t>
            </w:r>
            <w:r w:rsidR="002D6904">
              <w:t xml:space="preserve"> </w:t>
            </w:r>
            <w:r w:rsidRPr="008B741D">
              <w:t>mL solution for injection prefilled syringe with automatic needle guard</w:t>
            </w:r>
          </w:p>
          <w:p w14:paraId="25FAB90A" w14:textId="3E233EBA" w:rsidR="008B741D" w:rsidRPr="008B741D" w:rsidRDefault="008B741D" w:rsidP="008B741D">
            <w:r w:rsidRPr="008B741D">
              <w:rPr>
                <w:b/>
                <w:bCs/>
              </w:rPr>
              <w:t xml:space="preserve">450307 </w:t>
            </w:r>
            <w:r w:rsidRPr="008B741D">
              <w:t>– Deskeltia (denosumab) 60</w:t>
            </w:r>
            <w:r w:rsidR="002D6904">
              <w:t xml:space="preserve"> </w:t>
            </w:r>
            <w:r w:rsidRPr="008B741D">
              <w:t>mg/1</w:t>
            </w:r>
            <w:r w:rsidR="002D6904">
              <w:t xml:space="preserve"> </w:t>
            </w:r>
            <w:r w:rsidRPr="008B741D">
              <w:t>mL solution for injection prefilled syringe with automatic needle guard</w:t>
            </w:r>
          </w:p>
          <w:p w14:paraId="768B254C" w14:textId="4E3F52E5" w:rsidR="00E21D54" w:rsidRPr="00BD5DBD" w:rsidRDefault="008B741D" w:rsidP="008B741D">
            <w:r w:rsidRPr="005C59A5">
              <w:rPr>
                <w:b/>
                <w:bCs/>
              </w:rPr>
              <w:t>450308</w:t>
            </w:r>
            <w:r w:rsidRPr="005C59A5">
              <w:t xml:space="preserve"> </w:t>
            </w:r>
            <w:r w:rsidRPr="008B741D">
              <w:t>–</w:t>
            </w:r>
            <w:r w:rsidRPr="005C59A5">
              <w:t xml:space="preserve"> D</w:t>
            </w:r>
            <w:r w:rsidRPr="008B741D">
              <w:t>exeva (</w:t>
            </w:r>
            <w:r w:rsidRPr="005C59A5">
              <w:t>denosumab</w:t>
            </w:r>
            <w:r w:rsidRPr="008B741D">
              <w:t>)</w:t>
            </w:r>
            <w:r w:rsidRPr="005C59A5">
              <w:t xml:space="preserve"> 70</w:t>
            </w:r>
            <w:r w:rsidR="002D6904">
              <w:t xml:space="preserve"> </w:t>
            </w:r>
            <w:r w:rsidRPr="005C59A5">
              <w:t>mg/</w:t>
            </w:r>
            <w:r w:rsidR="002D6904">
              <w:t xml:space="preserve"> </w:t>
            </w:r>
            <w:r w:rsidRPr="005C59A5">
              <w:t>mL (120</w:t>
            </w:r>
            <w:r w:rsidR="002D6904">
              <w:t xml:space="preserve"> </w:t>
            </w:r>
            <w:r w:rsidRPr="005C59A5">
              <w:t>mg/1.7</w:t>
            </w:r>
            <w:r w:rsidR="002D6904">
              <w:t xml:space="preserve"> </w:t>
            </w:r>
            <w:r w:rsidRPr="005C59A5">
              <w:t>mL) solution for</w:t>
            </w:r>
            <w:r w:rsidRPr="008B741D">
              <w:t xml:space="preserve"> injection vial</w:t>
            </w:r>
          </w:p>
        </w:tc>
      </w:tr>
      <w:tr w:rsidR="00E32041" w:rsidRPr="00BD5DBD" w14:paraId="34B07BA6" w14:textId="77777777" w:rsidTr="00F865A7">
        <w:tc>
          <w:tcPr>
            <w:tcW w:w="1577" w:type="pct"/>
          </w:tcPr>
          <w:p w14:paraId="1C039224" w14:textId="6ABBBA97" w:rsidR="00E32041" w:rsidRPr="00BD5DBD" w:rsidRDefault="00E32041" w:rsidP="00E32041">
            <w:pPr>
              <w:rPr>
                <w:i/>
                <w:szCs w:val="22"/>
              </w:rPr>
            </w:pPr>
            <w:r w:rsidRPr="00BD5DBD">
              <w:rPr>
                <w:i/>
                <w:szCs w:val="22"/>
              </w:rPr>
              <w:t>Containers:</w:t>
            </w:r>
          </w:p>
        </w:tc>
        <w:tc>
          <w:tcPr>
            <w:tcW w:w="3423" w:type="pct"/>
          </w:tcPr>
          <w:p w14:paraId="27F5052C" w14:textId="56E94AA9" w:rsidR="007E0593" w:rsidRDefault="005B36CC" w:rsidP="007E0593">
            <w:pPr>
              <w:pStyle w:val="ListBullet"/>
              <w:rPr>
                <w:lang w:val="en-US"/>
              </w:rPr>
            </w:pPr>
            <w:r>
              <w:rPr>
                <w:rFonts w:eastAsia="Calibri" w:cs="Calibri"/>
                <w:lang w:val="en-US"/>
              </w:rPr>
              <w:t>A</w:t>
            </w:r>
            <w:r w:rsidRPr="005B36CC">
              <w:rPr>
                <w:rFonts w:ascii="Calibri" w:eastAsia="Calibri" w:hAnsi="Calibri" w:cs="Calibri"/>
                <w:lang w:val="en-US"/>
              </w:rPr>
              <w:t xml:space="preserve"> </w:t>
            </w:r>
            <w:r w:rsidRPr="005B36CC">
              <w:rPr>
                <w:lang w:val="en-US"/>
              </w:rPr>
              <w:t xml:space="preserve">single-use pre-filled syringe </w:t>
            </w:r>
            <w:r w:rsidR="00B30664">
              <w:rPr>
                <w:lang w:val="en-US"/>
              </w:rPr>
              <w:t>(PFS)</w:t>
            </w:r>
          </w:p>
          <w:p w14:paraId="500A42C6" w14:textId="4EE207BD" w:rsidR="005B36CC" w:rsidRPr="00BD5DBD" w:rsidRDefault="00954FE3" w:rsidP="007E0593">
            <w:pPr>
              <w:pStyle w:val="ListBullet"/>
            </w:pPr>
            <w:r w:rsidRPr="00B63A6B">
              <w:t>A single-use 2 mL Type 1 glass vial.</w:t>
            </w:r>
          </w:p>
        </w:tc>
      </w:tr>
      <w:tr w:rsidR="00E32041" w:rsidRPr="00BD5DBD" w14:paraId="176B6773" w14:textId="77777777" w:rsidTr="00F865A7">
        <w:tc>
          <w:tcPr>
            <w:tcW w:w="1577" w:type="pct"/>
          </w:tcPr>
          <w:p w14:paraId="71846159" w14:textId="6BB4C298" w:rsidR="00E32041" w:rsidRPr="00BD5DBD" w:rsidRDefault="00E32041" w:rsidP="00E32041">
            <w:pPr>
              <w:rPr>
                <w:i/>
                <w:szCs w:val="22"/>
              </w:rPr>
            </w:pPr>
            <w:r w:rsidRPr="00BD5DBD">
              <w:rPr>
                <w:i/>
                <w:szCs w:val="22"/>
              </w:rPr>
              <w:t>Pack sizes:</w:t>
            </w:r>
          </w:p>
        </w:tc>
        <w:tc>
          <w:tcPr>
            <w:tcW w:w="3423" w:type="pct"/>
          </w:tcPr>
          <w:p w14:paraId="7E978F8F" w14:textId="0A416751" w:rsidR="00E32041" w:rsidRPr="00BD5DBD" w:rsidRDefault="00A90987" w:rsidP="00EB6E6B">
            <w:pPr>
              <w:pStyle w:val="ListBullet"/>
              <w:numPr>
                <w:ilvl w:val="0"/>
                <w:numId w:val="0"/>
              </w:numPr>
              <w:ind w:left="360" w:hanging="360"/>
            </w:pPr>
            <w:r>
              <w:rPr>
                <w:lang w:val="en-US"/>
              </w:rPr>
              <w:t>One</w:t>
            </w:r>
            <w:r w:rsidR="008141CE" w:rsidRPr="008141CE">
              <w:rPr>
                <w:lang w:val="en-US"/>
              </w:rPr>
              <w:t xml:space="preserve"> pre-filled syringe</w:t>
            </w:r>
            <w:r w:rsidR="003C2DE2">
              <w:rPr>
                <w:lang w:val="en-US"/>
              </w:rPr>
              <w:t>, or</w:t>
            </w:r>
            <w:r w:rsidR="00EB6E6B">
              <w:rPr>
                <w:lang w:val="en-US"/>
              </w:rPr>
              <w:t xml:space="preserve"> </w:t>
            </w:r>
            <w:r w:rsidR="00BD0942">
              <w:rPr>
                <w:lang w:val="en-US"/>
              </w:rPr>
              <w:t xml:space="preserve">one </w:t>
            </w:r>
            <w:r w:rsidR="00EB6E6B">
              <w:rPr>
                <w:lang w:val="en-US"/>
              </w:rPr>
              <w:t xml:space="preserve">glass </w:t>
            </w:r>
            <w:r w:rsidR="003C2DE2" w:rsidRPr="003C2DE2">
              <w:t>vial.</w:t>
            </w:r>
          </w:p>
        </w:tc>
      </w:tr>
      <w:tr w:rsidR="00E32041" w:rsidRPr="00BD5DBD" w14:paraId="19A2544A" w14:textId="77777777" w:rsidTr="00F865A7">
        <w:tc>
          <w:tcPr>
            <w:tcW w:w="1577" w:type="pct"/>
          </w:tcPr>
          <w:p w14:paraId="0E6C5C0E" w14:textId="7DB3FC66" w:rsidR="00E32041" w:rsidRPr="00BD5DBD" w:rsidRDefault="00E32041" w:rsidP="00E32041">
            <w:pPr>
              <w:rPr>
                <w:i/>
                <w:szCs w:val="22"/>
              </w:rPr>
            </w:pPr>
            <w:r w:rsidRPr="00BD5DBD">
              <w:rPr>
                <w:i/>
                <w:szCs w:val="22"/>
              </w:rPr>
              <w:t>Approved therapeutic use for the current submission:</w:t>
            </w:r>
          </w:p>
        </w:tc>
        <w:tc>
          <w:tcPr>
            <w:tcW w:w="3423" w:type="pct"/>
          </w:tcPr>
          <w:p w14:paraId="5DBC3F74" w14:textId="185DFD46" w:rsidR="00927CC2" w:rsidRPr="00927CC2" w:rsidRDefault="00927CC2" w:rsidP="00927CC2">
            <w:r w:rsidRPr="00927CC2">
              <w:t xml:space="preserve">The approved indications for </w:t>
            </w:r>
            <w:r w:rsidRPr="00927CC2">
              <w:rPr>
                <w:b/>
                <w:bCs/>
              </w:rPr>
              <w:t>D</w:t>
            </w:r>
            <w:r w:rsidR="00BD0942">
              <w:rPr>
                <w:b/>
                <w:bCs/>
              </w:rPr>
              <w:t>ostiva</w:t>
            </w:r>
            <w:r w:rsidRPr="00927CC2">
              <w:rPr>
                <w:b/>
                <w:bCs/>
              </w:rPr>
              <w:t xml:space="preserve"> </w:t>
            </w:r>
            <w:r w:rsidRPr="00927CC2">
              <w:t xml:space="preserve">and </w:t>
            </w:r>
            <w:r w:rsidRPr="00927CC2">
              <w:rPr>
                <w:b/>
                <w:bCs/>
              </w:rPr>
              <w:t>D</w:t>
            </w:r>
            <w:r w:rsidR="00BD0942">
              <w:rPr>
                <w:b/>
                <w:bCs/>
              </w:rPr>
              <w:t>exeva</w:t>
            </w:r>
            <w:r w:rsidRPr="00927CC2">
              <w:t xml:space="preserve"> are:</w:t>
            </w:r>
          </w:p>
          <w:p w14:paraId="05D5F9A5" w14:textId="6C9F571B" w:rsidR="00927CC2" w:rsidRPr="00927CC2" w:rsidRDefault="00927CC2" w:rsidP="00CA314C">
            <w:pPr>
              <w:rPr>
                <w:i/>
                <w:iCs/>
              </w:rPr>
            </w:pPr>
            <w:r w:rsidRPr="00927CC2">
              <w:rPr>
                <w:i/>
                <w:iCs/>
              </w:rPr>
              <w:t>Prevention of skeletal related events in patients with multiple myeloma and in</w:t>
            </w:r>
            <w:r w:rsidR="00557364">
              <w:rPr>
                <w:i/>
                <w:iCs/>
              </w:rPr>
              <w:t xml:space="preserve"> </w:t>
            </w:r>
            <w:r w:rsidRPr="00927CC2">
              <w:rPr>
                <w:i/>
                <w:iCs/>
              </w:rPr>
              <w:t>patients with bone metastases from solid tumours.</w:t>
            </w:r>
          </w:p>
          <w:p w14:paraId="5A825700" w14:textId="12417169" w:rsidR="00927CC2" w:rsidRPr="00927CC2" w:rsidRDefault="00927CC2" w:rsidP="00CA314C">
            <w:pPr>
              <w:rPr>
                <w:i/>
                <w:iCs/>
              </w:rPr>
            </w:pPr>
            <w:r w:rsidRPr="00927CC2">
              <w:rPr>
                <w:i/>
                <w:iCs/>
              </w:rPr>
              <w:t>Treatment of giant cell tumour of bone in adults or skeletally mature adolescents</w:t>
            </w:r>
            <w:r w:rsidR="00557364">
              <w:rPr>
                <w:i/>
                <w:iCs/>
              </w:rPr>
              <w:t xml:space="preserve"> </w:t>
            </w:r>
            <w:r w:rsidRPr="00927CC2">
              <w:rPr>
                <w:i/>
                <w:iCs/>
              </w:rPr>
              <w:t>that is recurrent, or unresectable, or resectable but associated with severe morbidity.</w:t>
            </w:r>
          </w:p>
          <w:p w14:paraId="1AB14E8B" w14:textId="77777777" w:rsidR="00E32041" w:rsidRDefault="00927CC2" w:rsidP="00CA314C">
            <w:pPr>
              <w:rPr>
                <w:i/>
                <w:iCs/>
              </w:rPr>
            </w:pPr>
            <w:r w:rsidRPr="00927CC2">
              <w:rPr>
                <w:i/>
                <w:iCs/>
              </w:rPr>
              <w:t>Treatment of hypercalcaemia of malignancy that is refractory to intravenous</w:t>
            </w:r>
            <w:r w:rsidR="00557364">
              <w:rPr>
                <w:i/>
                <w:iCs/>
              </w:rPr>
              <w:t xml:space="preserve"> </w:t>
            </w:r>
            <w:r w:rsidRPr="00557364">
              <w:rPr>
                <w:i/>
                <w:iCs/>
              </w:rPr>
              <w:t>bisphosphonate.</w:t>
            </w:r>
          </w:p>
          <w:p w14:paraId="22939A62" w14:textId="012BAC49" w:rsidR="00190838" w:rsidRPr="00190838" w:rsidRDefault="00190838" w:rsidP="00190838">
            <w:r w:rsidRPr="00190838">
              <w:lastRenderedPageBreak/>
              <w:t xml:space="preserve">The approved indications for </w:t>
            </w:r>
            <w:r w:rsidRPr="00190838">
              <w:rPr>
                <w:b/>
                <w:bCs/>
              </w:rPr>
              <w:t>D</w:t>
            </w:r>
            <w:r w:rsidR="00BD0942">
              <w:rPr>
                <w:b/>
                <w:bCs/>
              </w:rPr>
              <w:t>enolia</w:t>
            </w:r>
            <w:r w:rsidRPr="00190838">
              <w:t xml:space="preserve"> and </w:t>
            </w:r>
            <w:r w:rsidRPr="00190838">
              <w:rPr>
                <w:b/>
                <w:bCs/>
              </w:rPr>
              <w:t>D</w:t>
            </w:r>
            <w:r w:rsidR="00BD0942">
              <w:rPr>
                <w:b/>
                <w:bCs/>
              </w:rPr>
              <w:t>eskeltia</w:t>
            </w:r>
            <w:r w:rsidRPr="00190838">
              <w:t xml:space="preserve"> are:</w:t>
            </w:r>
          </w:p>
          <w:p w14:paraId="0E219A34" w14:textId="1FFDEF34" w:rsidR="00190838" w:rsidRPr="00190838" w:rsidRDefault="00190838" w:rsidP="00CA314C">
            <w:pPr>
              <w:rPr>
                <w:i/>
                <w:iCs/>
              </w:rPr>
            </w:pPr>
            <w:r w:rsidRPr="00190838">
              <w:rPr>
                <w:i/>
                <w:iCs/>
              </w:rPr>
              <w:t>The treatment of osteoporosis in postmenopausal women. D</w:t>
            </w:r>
            <w:r w:rsidR="0017599E">
              <w:rPr>
                <w:i/>
                <w:iCs/>
              </w:rPr>
              <w:t>enolia</w:t>
            </w:r>
            <w:r w:rsidRPr="00190838">
              <w:rPr>
                <w:i/>
                <w:iCs/>
              </w:rPr>
              <w:t xml:space="preserve"> significantly</w:t>
            </w:r>
            <w:r>
              <w:rPr>
                <w:i/>
                <w:iCs/>
              </w:rPr>
              <w:t xml:space="preserve"> </w:t>
            </w:r>
            <w:r w:rsidRPr="00190838">
              <w:rPr>
                <w:i/>
                <w:iCs/>
              </w:rPr>
              <w:t>reduces the risk of vertebral, non-vertebral and hip fractures.</w:t>
            </w:r>
          </w:p>
          <w:p w14:paraId="4F956810" w14:textId="4A090F69" w:rsidR="00190838" w:rsidRPr="00190838" w:rsidRDefault="00190838" w:rsidP="00CA314C">
            <w:pPr>
              <w:rPr>
                <w:i/>
                <w:iCs/>
              </w:rPr>
            </w:pPr>
            <w:r w:rsidRPr="00190838">
              <w:rPr>
                <w:i/>
                <w:iCs/>
              </w:rPr>
              <w:t>Treatment to increase bone mass in men with osteopaenia receiving androgen</w:t>
            </w:r>
            <w:r>
              <w:rPr>
                <w:i/>
                <w:iCs/>
              </w:rPr>
              <w:t xml:space="preserve"> </w:t>
            </w:r>
            <w:r w:rsidRPr="00190838">
              <w:rPr>
                <w:i/>
                <w:iCs/>
              </w:rPr>
              <w:t>deprivation therapy for non-metastatic prostate cancer (see section 5.1</w:t>
            </w:r>
            <w:r>
              <w:rPr>
                <w:i/>
                <w:iCs/>
              </w:rPr>
              <w:t xml:space="preserve"> </w:t>
            </w:r>
            <w:r w:rsidRPr="00190838">
              <w:rPr>
                <w:i/>
                <w:iCs/>
              </w:rPr>
              <w:t>Pharmacodynamic properties, Clinical trials).</w:t>
            </w:r>
          </w:p>
          <w:p w14:paraId="15F519C6" w14:textId="0581D720" w:rsidR="00190838" w:rsidRPr="00190838" w:rsidRDefault="00190838" w:rsidP="00CA314C">
            <w:pPr>
              <w:rPr>
                <w:i/>
                <w:iCs/>
              </w:rPr>
            </w:pPr>
            <w:r w:rsidRPr="00190838">
              <w:rPr>
                <w:i/>
                <w:iCs/>
              </w:rPr>
              <w:t>Treatment to increase bone mass in men with osteoporosis at increased risk of</w:t>
            </w:r>
            <w:r>
              <w:rPr>
                <w:i/>
                <w:iCs/>
              </w:rPr>
              <w:t xml:space="preserve"> </w:t>
            </w:r>
            <w:r w:rsidRPr="00190838">
              <w:rPr>
                <w:i/>
                <w:iCs/>
              </w:rPr>
              <w:t>fracture.</w:t>
            </w:r>
          </w:p>
          <w:p w14:paraId="6E143E2E" w14:textId="4E7E0F57" w:rsidR="00557364" w:rsidRPr="00BD5DBD" w:rsidRDefault="00190838" w:rsidP="00510BB2">
            <w:r w:rsidRPr="00190838">
              <w:rPr>
                <w:i/>
                <w:iCs/>
              </w:rPr>
              <w:t>Treatment to increase bone mass in women and men at increased risk of fracture due</w:t>
            </w:r>
            <w:r>
              <w:rPr>
                <w:i/>
                <w:iCs/>
              </w:rPr>
              <w:t xml:space="preserve"> </w:t>
            </w:r>
            <w:r w:rsidRPr="00190838">
              <w:rPr>
                <w:i/>
                <w:iCs/>
              </w:rPr>
              <w:t>to long-term systemic glucocorticoid therapy.</w:t>
            </w:r>
          </w:p>
        </w:tc>
      </w:tr>
      <w:tr w:rsidR="00E32041" w:rsidRPr="00BD5DBD" w14:paraId="5AFDEED3" w14:textId="77777777" w:rsidTr="00F865A7">
        <w:tc>
          <w:tcPr>
            <w:tcW w:w="1577" w:type="pct"/>
          </w:tcPr>
          <w:p w14:paraId="03884BD1" w14:textId="059068C1" w:rsidR="00E32041" w:rsidRPr="00BD5DBD" w:rsidRDefault="00E32041" w:rsidP="00E32041">
            <w:pPr>
              <w:rPr>
                <w:i/>
                <w:szCs w:val="22"/>
              </w:rPr>
            </w:pPr>
            <w:r w:rsidRPr="00BD5DBD">
              <w:rPr>
                <w:i/>
                <w:szCs w:val="22"/>
              </w:rPr>
              <w:lastRenderedPageBreak/>
              <w:t>Route of administration:</w:t>
            </w:r>
          </w:p>
        </w:tc>
        <w:tc>
          <w:tcPr>
            <w:tcW w:w="3423" w:type="pct"/>
          </w:tcPr>
          <w:p w14:paraId="1ED1357E" w14:textId="537D87D5" w:rsidR="00E32041" w:rsidRPr="00BD5DBD" w:rsidRDefault="00691E27" w:rsidP="00B63A6B">
            <w:r>
              <w:rPr>
                <w:lang w:val="en-US"/>
              </w:rPr>
              <w:t>S</w:t>
            </w:r>
            <w:r w:rsidRPr="00691E27">
              <w:rPr>
                <w:lang w:val="en-US"/>
              </w:rPr>
              <w:t>ubcutaneous (SC) injection</w:t>
            </w:r>
          </w:p>
        </w:tc>
      </w:tr>
      <w:tr w:rsidR="00E32041" w:rsidRPr="00BD5DBD" w14:paraId="70D7E9FA" w14:textId="77777777" w:rsidTr="00F865A7">
        <w:tc>
          <w:tcPr>
            <w:tcW w:w="1577" w:type="pct"/>
          </w:tcPr>
          <w:p w14:paraId="5ABFFC80" w14:textId="77777777" w:rsidR="00E32041" w:rsidRPr="00BD5DBD" w:rsidRDefault="00E32041" w:rsidP="00E32041">
            <w:pPr>
              <w:rPr>
                <w:i/>
                <w:szCs w:val="22"/>
              </w:rPr>
            </w:pPr>
            <w:r w:rsidRPr="00BD5DBD">
              <w:rPr>
                <w:i/>
                <w:szCs w:val="22"/>
              </w:rPr>
              <w:t>Dosage:</w:t>
            </w:r>
          </w:p>
        </w:tc>
        <w:tc>
          <w:tcPr>
            <w:tcW w:w="3423" w:type="pct"/>
          </w:tcPr>
          <w:p w14:paraId="4BD4ECF7" w14:textId="51976F52" w:rsidR="00E32041" w:rsidRDefault="00546598" w:rsidP="00546598">
            <w:pPr>
              <w:rPr>
                <w:lang w:val="en-US"/>
              </w:rPr>
            </w:pPr>
            <w:r w:rsidRPr="00546598">
              <w:rPr>
                <w:lang w:val="en-US"/>
              </w:rPr>
              <w:t xml:space="preserve">The recommended dose of </w:t>
            </w:r>
            <w:r w:rsidRPr="00F72A62">
              <w:rPr>
                <w:b/>
                <w:bCs/>
                <w:lang w:val="en-US"/>
              </w:rPr>
              <w:t>D</w:t>
            </w:r>
            <w:r w:rsidR="00EF3C31" w:rsidRPr="00F72A62">
              <w:rPr>
                <w:b/>
                <w:bCs/>
                <w:lang w:val="en-US"/>
              </w:rPr>
              <w:t>enolia</w:t>
            </w:r>
            <w:r w:rsidR="00FB4B4F">
              <w:rPr>
                <w:b/>
                <w:bCs/>
                <w:lang w:val="en-US"/>
              </w:rPr>
              <w:t>, Desk</w:t>
            </w:r>
            <w:r w:rsidR="003F314C">
              <w:rPr>
                <w:b/>
                <w:bCs/>
                <w:lang w:val="en-US"/>
              </w:rPr>
              <w:t>eltia</w:t>
            </w:r>
            <w:r w:rsidRPr="00546598">
              <w:rPr>
                <w:lang w:val="en-US"/>
              </w:rPr>
              <w:t xml:space="preserve"> is a single subcutaneous (SC) injection of 60 mg, once every 6 months</w:t>
            </w:r>
            <w:r>
              <w:rPr>
                <w:lang w:val="en-US"/>
              </w:rPr>
              <w:t>.</w:t>
            </w:r>
          </w:p>
          <w:p w14:paraId="42A6AF7D" w14:textId="171884B6" w:rsidR="00E90F07" w:rsidRDefault="00E90F07" w:rsidP="00546598">
            <w:pPr>
              <w:rPr>
                <w:lang w:val="en-US"/>
              </w:rPr>
            </w:pPr>
            <w:r w:rsidRPr="00E90F07">
              <w:rPr>
                <w:lang w:val="en-US"/>
              </w:rPr>
              <w:t xml:space="preserve">If </w:t>
            </w:r>
            <w:r w:rsidRPr="00E90F07">
              <w:rPr>
                <w:b/>
                <w:bCs/>
                <w:lang w:val="en-US"/>
              </w:rPr>
              <w:t>Denolia, Deskeltia</w:t>
            </w:r>
            <w:r w:rsidRPr="00E90F07">
              <w:rPr>
                <w:lang w:val="en-US"/>
              </w:rPr>
              <w:t xml:space="preserve"> treatment is discontinued, consider transitioning to an alternative antiresorptive therapy</w:t>
            </w:r>
            <w:r>
              <w:rPr>
                <w:lang w:val="en-US"/>
              </w:rPr>
              <w:t>.</w:t>
            </w:r>
          </w:p>
          <w:p w14:paraId="1E28B5A5" w14:textId="3CA75BC1" w:rsidR="007058AA" w:rsidRDefault="00874F64" w:rsidP="00EF3C31">
            <w:r w:rsidRPr="00874F64">
              <w:t xml:space="preserve">The recommended dose of </w:t>
            </w:r>
            <w:r w:rsidRPr="00874F64">
              <w:rPr>
                <w:b/>
                <w:bCs/>
              </w:rPr>
              <w:t>Dexeva</w:t>
            </w:r>
            <w:r w:rsidR="00D75AF8">
              <w:rPr>
                <w:b/>
                <w:bCs/>
              </w:rPr>
              <w:t>, Dostiva</w:t>
            </w:r>
            <w:r w:rsidRPr="00874F64">
              <w:t xml:space="preserve"> </w:t>
            </w:r>
            <w:r w:rsidR="003A2645">
              <w:t xml:space="preserve">for the prevention of skeletal related events </w:t>
            </w:r>
            <w:r w:rsidRPr="00874F64">
              <w:t>is 120 mg administered as a single subcutaneous injection once every 4 weeks into the thigh, abdomen or upper arm.</w:t>
            </w:r>
          </w:p>
          <w:p w14:paraId="25A12DD9" w14:textId="09928213" w:rsidR="00EF3C31" w:rsidRPr="00EF3C31" w:rsidRDefault="0047519C" w:rsidP="00EF3C31">
            <w:r w:rsidRPr="00874F64">
              <w:rPr>
                <w:b/>
                <w:bCs/>
              </w:rPr>
              <w:t>D</w:t>
            </w:r>
            <w:r w:rsidRPr="0047519C">
              <w:rPr>
                <w:b/>
                <w:bCs/>
              </w:rPr>
              <w:t>exeva, Dostiva</w:t>
            </w:r>
            <w:r>
              <w:rPr>
                <w:b/>
                <w:bCs/>
              </w:rPr>
              <w:t>:</w:t>
            </w:r>
            <w:r w:rsidRPr="00874F64">
              <w:t xml:space="preserve"> </w:t>
            </w:r>
            <w:r w:rsidR="007058AA">
              <w:t>F</w:t>
            </w:r>
            <w:r w:rsidR="00EF3C31" w:rsidRPr="00EF3C31">
              <w:t xml:space="preserve">or the treatment of giant cell tumour of bone and </w:t>
            </w:r>
            <w:r w:rsidR="00701DBB">
              <w:t>h</w:t>
            </w:r>
            <w:r w:rsidR="00EF3C31" w:rsidRPr="00EF3C31">
              <w:t>ypercalcaemia of malignancy</w:t>
            </w:r>
            <w:r w:rsidR="00227CC6">
              <w:t xml:space="preserve"> is</w:t>
            </w:r>
            <w:r w:rsidR="00EF3C31" w:rsidRPr="00EF3C31">
              <w:t xml:space="preserve"> 120 mg </w:t>
            </w:r>
            <w:r w:rsidR="00227CC6">
              <w:t xml:space="preserve">administered as a single subcutaneous injection once every 4 weeks </w:t>
            </w:r>
            <w:r w:rsidR="00227CC6" w:rsidRPr="00874F64">
              <w:t>into the thigh, abdomen or upper arm</w:t>
            </w:r>
            <w:r w:rsidR="00227CC6" w:rsidRPr="00EF3C31">
              <w:t xml:space="preserve"> </w:t>
            </w:r>
            <w:r w:rsidR="00227CC6">
              <w:t xml:space="preserve">with a loading dose of 120 mg </w:t>
            </w:r>
            <w:r w:rsidR="00EF3C31" w:rsidRPr="00EF3C31">
              <w:t>on days 8 and 15 of the initial 4-week treatment period.</w:t>
            </w:r>
          </w:p>
          <w:p w14:paraId="784C8230" w14:textId="3F67DF44" w:rsidR="00546598" w:rsidRPr="00546598" w:rsidRDefault="00546598" w:rsidP="00546598">
            <w:pPr>
              <w:rPr>
                <w:lang w:val="en-US"/>
              </w:rPr>
            </w:pPr>
            <w:r w:rsidRPr="00546598">
              <w:rPr>
                <w:lang w:val="en-US"/>
              </w:rPr>
              <w:t>Administration should be performed by an individual who has been adequately trained in injection techniques.</w:t>
            </w:r>
          </w:p>
          <w:p w14:paraId="3D0B2D5C" w14:textId="6E29920D" w:rsidR="00E32041" w:rsidRPr="00BD5DBD" w:rsidRDefault="00E32041" w:rsidP="00B63A6B">
            <w:r w:rsidRPr="00BD5DBD">
              <w:t xml:space="preserve">For further information regarding dosage, </w:t>
            </w:r>
            <w:r>
              <w:t xml:space="preserve">such as dosage modifications to manage adverse reactions, </w:t>
            </w:r>
            <w:r w:rsidRPr="00BD5DBD">
              <w:t>refer to the Product Information.</w:t>
            </w:r>
          </w:p>
        </w:tc>
      </w:tr>
      <w:tr w:rsidR="00E32041" w:rsidRPr="00BD5DBD" w14:paraId="7B7BB6AE" w14:textId="77777777" w:rsidTr="00F865A7">
        <w:tc>
          <w:tcPr>
            <w:tcW w:w="1577" w:type="pct"/>
          </w:tcPr>
          <w:p w14:paraId="3A76AFF7" w14:textId="7C436DD9" w:rsidR="00E32041" w:rsidRPr="00F8083B" w:rsidRDefault="00E32041" w:rsidP="00E32041">
            <w:r w:rsidRPr="00BD5DBD">
              <w:rPr>
                <w:i/>
                <w:szCs w:val="22"/>
              </w:rPr>
              <w:t>Pregnancy category:</w:t>
            </w:r>
          </w:p>
        </w:tc>
        <w:tc>
          <w:tcPr>
            <w:tcW w:w="3423" w:type="pct"/>
          </w:tcPr>
          <w:p w14:paraId="473F4660" w14:textId="77777777" w:rsidR="00CF30D6" w:rsidRDefault="00CF30D6" w:rsidP="00CF30D6">
            <w:pPr>
              <w:rPr>
                <w:lang w:val="en-US"/>
              </w:rPr>
            </w:pPr>
            <w:r w:rsidRPr="00CF30D6">
              <w:rPr>
                <w:lang w:val="en-US"/>
              </w:rPr>
              <w:t>Pregnancy Category: D</w:t>
            </w:r>
          </w:p>
          <w:p w14:paraId="5CE8553C" w14:textId="77777777" w:rsidR="00FC233D" w:rsidRPr="00FC233D" w:rsidRDefault="00FC233D" w:rsidP="00FC233D">
            <w:pPr>
              <w:rPr>
                <w:lang w:val="en-US"/>
              </w:rPr>
            </w:pPr>
            <w:r w:rsidRPr="00FC233D">
              <w:rPr>
                <w:lang w:val="en-US"/>
              </w:rPr>
              <w:t>There are no adequate and well-controlled studies of denosumab in pregnant women. Denosumab is contraindicated for use during pregnancy and in women trying to get pregnant.</w:t>
            </w:r>
          </w:p>
          <w:p w14:paraId="581ABB7B" w14:textId="77777777" w:rsidR="00FC233D" w:rsidRPr="00FC233D" w:rsidRDefault="00FC233D" w:rsidP="00FC233D">
            <w:pPr>
              <w:rPr>
                <w:lang w:val="en-US"/>
              </w:rPr>
            </w:pPr>
            <w:r w:rsidRPr="00FC233D">
              <w:rPr>
                <w:lang w:val="en-US"/>
              </w:rPr>
              <w:t>Premenopausal women with reproductive potential should be advised of the potential effects of denosumab in pregnancy. Contraception should be discussed. Women should be advised not to become pregnant during and for at least 5 months after treatment with denosumab.</w:t>
            </w:r>
          </w:p>
          <w:p w14:paraId="76497789" w14:textId="634DC28C" w:rsidR="00E32041" w:rsidRPr="00BD5DBD" w:rsidRDefault="00E32041" w:rsidP="00E32041">
            <w:pPr>
              <w:rPr>
                <w:szCs w:val="22"/>
              </w:rPr>
            </w:pPr>
            <w:r w:rsidRPr="00BD5DBD">
              <w:rPr>
                <w:szCs w:val="22"/>
              </w:rPr>
              <w:t xml:space="preserve">The use of any medicine during pregnancy requires careful consideration of both risks and benefits by the treating health professional. </w:t>
            </w:r>
            <w:r>
              <w:rPr>
                <w:szCs w:val="22"/>
              </w:rPr>
              <w:t xml:space="preserve">The </w:t>
            </w:r>
            <w:hyperlink r:id="rId16" w:history="1">
              <w:r w:rsidRPr="00065FDF">
                <w:rPr>
                  <w:rStyle w:val="Hyperlink"/>
                  <w:szCs w:val="22"/>
                </w:rPr>
                <w:t>pregnancy database</w:t>
              </w:r>
            </w:hyperlink>
            <w:r>
              <w:t xml:space="preserve"> </w:t>
            </w:r>
            <w:r w:rsidRPr="00BD5DBD">
              <w:rPr>
                <w:szCs w:val="22"/>
              </w:rPr>
              <w:t xml:space="preserve">must not be used as the </w:t>
            </w:r>
            <w:r w:rsidRPr="00BD5DBD">
              <w:rPr>
                <w:szCs w:val="22"/>
              </w:rPr>
              <w:lastRenderedPageBreak/>
              <w:t xml:space="preserve">sole basis of decision making in the use of medicines during pregnancy. The TGA does not provide advice on the use of medicines in pregnancy for specific cases. More information is available from </w:t>
            </w:r>
            <w:hyperlink r:id="rId17" w:history="1">
              <w:r w:rsidRPr="00C059D0">
                <w:rPr>
                  <w:rStyle w:val="Hyperlink"/>
                  <w:szCs w:val="22"/>
                </w:rPr>
                <w:t>obstetric drug information services</w:t>
              </w:r>
            </w:hyperlink>
            <w:r w:rsidRPr="00BD5DBD">
              <w:rPr>
                <w:szCs w:val="22"/>
              </w:rPr>
              <w:t xml:space="preserve"> in your </w:t>
            </w:r>
            <w:r>
              <w:rPr>
                <w:szCs w:val="22"/>
              </w:rPr>
              <w:t>s</w:t>
            </w:r>
            <w:r w:rsidRPr="00BD5DBD">
              <w:rPr>
                <w:szCs w:val="22"/>
              </w:rPr>
              <w:t xml:space="preserve">tate or </w:t>
            </w:r>
            <w:r>
              <w:rPr>
                <w:szCs w:val="22"/>
              </w:rPr>
              <w:t>t</w:t>
            </w:r>
            <w:r w:rsidRPr="00BD5DBD">
              <w:rPr>
                <w:szCs w:val="22"/>
              </w:rPr>
              <w:t>erritory.</w:t>
            </w:r>
          </w:p>
        </w:tc>
      </w:tr>
    </w:tbl>
    <w:p w14:paraId="51F2479F" w14:textId="1E34B277" w:rsidR="00324B33" w:rsidRDefault="00324B33" w:rsidP="00626059">
      <w:pPr>
        <w:pStyle w:val="Heading3"/>
      </w:pPr>
      <w:bookmarkStart w:id="11" w:name="_Toc247691503"/>
      <w:bookmarkStart w:id="12" w:name="_Toc314842484"/>
      <w:bookmarkStart w:id="13" w:name="_Toc103679290"/>
      <w:bookmarkStart w:id="14" w:name="_Toc226984771"/>
      <w:r>
        <w:lastRenderedPageBreak/>
        <w:t>Product background</w:t>
      </w:r>
      <w:bookmarkEnd w:id="11"/>
      <w:bookmarkEnd w:id="12"/>
      <w:bookmarkEnd w:id="13"/>
      <w:bookmarkEnd w:id="14"/>
    </w:p>
    <w:p w14:paraId="59BF31D1" w14:textId="60EAD884" w:rsidR="001500A8" w:rsidRPr="00065839" w:rsidRDefault="00324B33" w:rsidP="00626059">
      <w:r w:rsidRPr="00065839">
        <w:t xml:space="preserve">This AusPAR describes the submission by </w:t>
      </w:r>
      <w:r w:rsidR="00D25924">
        <w:t xml:space="preserve">Accord Healthcare </w:t>
      </w:r>
      <w:r w:rsidRPr="00065839">
        <w:t xml:space="preserve">to register </w:t>
      </w:r>
      <w:r w:rsidR="00A1570C" w:rsidRPr="00A1570C">
        <w:t>Dostiva</w:t>
      </w:r>
      <w:r w:rsidR="00EC6500">
        <w:t xml:space="preserve"> and </w:t>
      </w:r>
      <w:r w:rsidR="00EC6500" w:rsidRPr="00EC6500">
        <w:t>Dexeva</w:t>
      </w:r>
      <w:r w:rsidR="00A1570C" w:rsidRPr="00A1570C">
        <w:t xml:space="preserve"> </w:t>
      </w:r>
      <w:r w:rsidR="00EC6500" w:rsidRPr="00EC6500">
        <w:t xml:space="preserve">(denosumab) </w:t>
      </w:r>
      <w:r w:rsidR="003F60C4" w:rsidRPr="005C59A5">
        <w:t>70</w:t>
      </w:r>
      <w:r w:rsidR="002D6904">
        <w:t xml:space="preserve"> </w:t>
      </w:r>
      <w:r w:rsidR="003F60C4" w:rsidRPr="005C59A5">
        <w:t>mg/mL (120</w:t>
      </w:r>
      <w:r w:rsidR="002D6904">
        <w:t xml:space="preserve"> </w:t>
      </w:r>
      <w:r w:rsidR="003F60C4" w:rsidRPr="005C59A5">
        <w:t>mg/1.7</w:t>
      </w:r>
      <w:r w:rsidR="00595E8E">
        <w:t xml:space="preserve"> </w:t>
      </w:r>
      <w:r w:rsidR="003F60C4" w:rsidRPr="005C59A5">
        <w:t>mL) solution for</w:t>
      </w:r>
      <w:r w:rsidR="003F60C4" w:rsidRPr="003F60C4">
        <w:t xml:space="preserve"> injection vial</w:t>
      </w:r>
      <w:r w:rsidR="003F60C4">
        <w:t xml:space="preserve">, </w:t>
      </w:r>
      <w:r w:rsidR="00EC6500">
        <w:t xml:space="preserve">and </w:t>
      </w:r>
      <w:r w:rsidR="00A1570C" w:rsidRPr="00A1570C">
        <w:t>Denolia</w:t>
      </w:r>
      <w:r w:rsidR="00EC6500">
        <w:t xml:space="preserve"> and</w:t>
      </w:r>
      <w:r w:rsidR="00A1570C" w:rsidRPr="00A1570C">
        <w:t xml:space="preserve"> Deskeltia </w:t>
      </w:r>
      <w:r w:rsidR="00A1570C">
        <w:t>(denosumab)</w:t>
      </w:r>
      <w:r w:rsidR="0053709D" w:rsidRPr="005C59A5">
        <w:t xml:space="preserve"> 60</w:t>
      </w:r>
      <w:r w:rsidR="002D6904">
        <w:t xml:space="preserve"> </w:t>
      </w:r>
      <w:r w:rsidR="0053709D" w:rsidRPr="005C59A5">
        <w:t>mg/1</w:t>
      </w:r>
      <w:r w:rsidR="00595E8E">
        <w:t xml:space="preserve"> </w:t>
      </w:r>
      <w:r w:rsidR="0053709D" w:rsidRPr="005C59A5">
        <w:t>mL solution for injection prefilled</w:t>
      </w:r>
      <w:r w:rsidR="0053709D" w:rsidRPr="0053709D">
        <w:t xml:space="preserve"> </w:t>
      </w:r>
      <w:r w:rsidR="0053709D" w:rsidRPr="005C59A5">
        <w:t>syringe with automatic needle guard</w:t>
      </w:r>
      <w:r w:rsidR="0053709D" w:rsidRPr="0053709D">
        <w:t xml:space="preserve"> </w:t>
      </w:r>
      <w:r w:rsidRPr="00065839">
        <w:t>for the following proposed</w:t>
      </w:r>
      <w:r w:rsidR="00074AD9">
        <w:t xml:space="preserve"> </w:t>
      </w:r>
      <w:r w:rsidRPr="00570FEA">
        <w:t>indication:</w:t>
      </w:r>
      <w:r w:rsidR="00D63760" w:rsidRPr="00570FEA">
        <w:rPr>
          <w:vertAlign w:val="superscript"/>
        </w:rPr>
        <w:footnoteReference w:id="1"/>
      </w:r>
    </w:p>
    <w:p w14:paraId="1523449F" w14:textId="1CC0108A" w:rsidR="00C33DB2" w:rsidRPr="00626059" w:rsidRDefault="00C33DB2" w:rsidP="00626059">
      <w:pPr>
        <w:pStyle w:val="ListBullet"/>
        <w:numPr>
          <w:ilvl w:val="0"/>
          <w:numId w:val="0"/>
        </w:numPr>
        <w:ind w:left="360"/>
        <w:rPr>
          <w:b/>
          <w:bCs/>
        </w:rPr>
      </w:pPr>
      <w:r w:rsidRPr="00626059">
        <w:rPr>
          <w:b/>
          <w:bCs/>
        </w:rPr>
        <w:t>Denolia and Deskeltia (</w:t>
      </w:r>
      <w:r w:rsidR="005B6F7F" w:rsidRPr="00626059">
        <w:rPr>
          <w:b/>
          <w:bCs/>
        </w:rPr>
        <w:t>d</w:t>
      </w:r>
      <w:r w:rsidRPr="00626059">
        <w:rPr>
          <w:b/>
          <w:bCs/>
        </w:rPr>
        <w:t>enosumab)</w:t>
      </w:r>
    </w:p>
    <w:p w14:paraId="6F795305" w14:textId="5936794B" w:rsidR="00507FB3" w:rsidRPr="00626059" w:rsidRDefault="00507FB3" w:rsidP="00626059">
      <w:pPr>
        <w:pStyle w:val="ListBullet2"/>
        <w:numPr>
          <w:ilvl w:val="0"/>
          <w:numId w:val="0"/>
        </w:numPr>
        <w:ind w:left="850"/>
        <w:rPr>
          <w:i/>
          <w:iCs/>
        </w:rPr>
      </w:pPr>
      <w:r w:rsidRPr="00626059">
        <w:rPr>
          <w:i/>
          <w:iCs/>
        </w:rPr>
        <w:t xml:space="preserve">The treatment of osteoporosis in postmenopausal women. </w:t>
      </w:r>
      <w:proofErr w:type="spellStart"/>
      <w:r w:rsidR="00FF623D" w:rsidRPr="00626059">
        <w:rPr>
          <w:i/>
          <w:iCs/>
        </w:rPr>
        <w:t>Denolia</w:t>
      </w:r>
      <w:proofErr w:type="spellEnd"/>
      <w:r w:rsidR="00FF623D" w:rsidRPr="00626059">
        <w:rPr>
          <w:i/>
          <w:iCs/>
        </w:rPr>
        <w:t>/</w:t>
      </w:r>
      <w:proofErr w:type="spellStart"/>
      <w:r w:rsidR="00FF623D" w:rsidRPr="00626059">
        <w:rPr>
          <w:i/>
          <w:iCs/>
        </w:rPr>
        <w:t>Deskeltia</w:t>
      </w:r>
      <w:proofErr w:type="spellEnd"/>
      <w:r w:rsidR="00FF623D" w:rsidRPr="00626059">
        <w:rPr>
          <w:i/>
          <w:iCs/>
        </w:rPr>
        <w:t xml:space="preserve"> </w:t>
      </w:r>
      <w:r w:rsidRPr="00626059">
        <w:rPr>
          <w:i/>
          <w:iCs/>
        </w:rPr>
        <w:t>significantly reduces the risk of vertebral, non-vertebral and hip fractures.</w:t>
      </w:r>
    </w:p>
    <w:p w14:paraId="1C72EC6B" w14:textId="77777777" w:rsidR="00507FB3" w:rsidRPr="00626059" w:rsidRDefault="00507FB3" w:rsidP="00626059">
      <w:pPr>
        <w:pStyle w:val="ListBullet2"/>
        <w:numPr>
          <w:ilvl w:val="0"/>
          <w:numId w:val="0"/>
        </w:numPr>
        <w:ind w:left="850"/>
        <w:rPr>
          <w:i/>
          <w:iCs/>
        </w:rPr>
      </w:pPr>
      <w:r w:rsidRPr="00626059">
        <w:rPr>
          <w:i/>
          <w:iCs/>
        </w:rPr>
        <w:t>Treatment to increase bone mass in men with osteopaenia receiving androgen deprivation therapy for non-metastatic prostate cancer (see section 5.1 Pharmacodynamic properties, Clinical trials).</w:t>
      </w:r>
    </w:p>
    <w:p w14:paraId="7FE47340" w14:textId="77777777" w:rsidR="00507FB3" w:rsidRPr="00626059" w:rsidRDefault="00507FB3" w:rsidP="00626059">
      <w:pPr>
        <w:pStyle w:val="ListBullet2"/>
        <w:numPr>
          <w:ilvl w:val="0"/>
          <w:numId w:val="0"/>
        </w:numPr>
        <w:ind w:left="850"/>
        <w:rPr>
          <w:i/>
          <w:iCs/>
        </w:rPr>
      </w:pPr>
      <w:r w:rsidRPr="00626059">
        <w:rPr>
          <w:i/>
          <w:iCs/>
        </w:rPr>
        <w:t>Treatment to increase bone mass in men with osteoporosis at increased risk of fracture.</w:t>
      </w:r>
    </w:p>
    <w:p w14:paraId="2C22D76C" w14:textId="60E63662" w:rsidR="00507FB3" w:rsidRPr="00626059" w:rsidRDefault="00507FB3" w:rsidP="00626059">
      <w:pPr>
        <w:pStyle w:val="ListBullet2"/>
        <w:numPr>
          <w:ilvl w:val="0"/>
          <w:numId w:val="0"/>
        </w:numPr>
        <w:ind w:left="850"/>
        <w:rPr>
          <w:i/>
          <w:iCs/>
        </w:rPr>
      </w:pPr>
      <w:r w:rsidRPr="00626059">
        <w:rPr>
          <w:i/>
          <w:iCs/>
        </w:rPr>
        <w:t>Treatment to increase bone mass in women and men at increased risk of fracture due to long-term systemic glucocorticoid therapy</w:t>
      </w:r>
      <w:r w:rsidR="00626059">
        <w:rPr>
          <w:i/>
          <w:iCs/>
        </w:rPr>
        <w:t>.</w:t>
      </w:r>
    </w:p>
    <w:p w14:paraId="43107E8D" w14:textId="6AD3B179" w:rsidR="00C33DB2" w:rsidRPr="00626059" w:rsidRDefault="00C33DB2" w:rsidP="00626059">
      <w:pPr>
        <w:pStyle w:val="ListBullet"/>
        <w:numPr>
          <w:ilvl w:val="0"/>
          <w:numId w:val="0"/>
        </w:numPr>
        <w:ind w:left="360"/>
        <w:rPr>
          <w:b/>
          <w:bCs/>
        </w:rPr>
      </w:pPr>
      <w:proofErr w:type="spellStart"/>
      <w:r w:rsidRPr="00626059">
        <w:rPr>
          <w:b/>
          <w:bCs/>
        </w:rPr>
        <w:t>Dostiva</w:t>
      </w:r>
      <w:proofErr w:type="spellEnd"/>
      <w:r w:rsidRPr="00626059">
        <w:rPr>
          <w:b/>
          <w:bCs/>
        </w:rPr>
        <w:t xml:space="preserve"> and </w:t>
      </w:r>
      <w:proofErr w:type="spellStart"/>
      <w:r w:rsidRPr="00626059">
        <w:rPr>
          <w:b/>
          <w:bCs/>
        </w:rPr>
        <w:t>Dexeva</w:t>
      </w:r>
      <w:proofErr w:type="spellEnd"/>
      <w:r w:rsidRPr="00626059">
        <w:rPr>
          <w:b/>
          <w:bCs/>
        </w:rPr>
        <w:t xml:space="preserve"> (denosumab)</w:t>
      </w:r>
    </w:p>
    <w:p w14:paraId="0966F0A6" w14:textId="30840453" w:rsidR="00AB2A07" w:rsidRPr="00626059" w:rsidRDefault="00AB2A07" w:rsidP="00626059">
      <w:pPr>
        <w:pStyle w:val="ListBullet2"/>
        <w:numPr>
          <w:ilvl w:val="0"/>
          <w:numId w:val="0"/>
        </w:numPr>
        <w:ind w:left="850"/>
        <w:rPr>
          <w:i/>
          <w:iCs/>
        </w:rPr>
      </w:pPr>
      <w:r w:rsidRPr="00626059">
        <w:rPr>
          <w:i/>
          <w:iCs/>
        </w:rPr>
        <w:t>Prevention of skeletal related events in patients with multiple myeloma and in patients with</w:t>
      </w:r>
      <w:r w:rsidR="005B6F7F" w:rsidRPr="00626059">
        <w:rPr>
          <w:i/>
          <w:iCs/>
        </w:rPr>
        <w:t xml:space="preserve"> </w:t>
      </w:r>
      <w:r w:rsidRPr="00626059">
        <w:rPr>
          <w:i/>
          <w:iCs/>
        </w:rPr>
        <w:t>bone</w:t>
      </w:r>
      <w:r w:rsidR="005B6F7F" w:rsidRPr="00626059">
        <w:rPr>
          <w:i/>
          <w:iCs/>
        </w:rPr>
        <w:t xml:space="preserve"> </w:t>
      </w:r>
      <w:r w:rsidRPr="00626059">
        <w:rPr>
          <w:i/>
          <w:iCs/>
        </w:rPr>
        <w:t>metastases from solid tumours.</w:t>
      </w:r>
    </w:p>
    <w:p w14:paraId="4D2ACFC5" w14:textId="77777777" w:rsidR="00AB2A07" w:rsidRPr="00626059" w:rsidRDefault="00AB2A07" w:rsidP="00626059">
      <w:pPr>
        <w:pStyle w:val="ListBullet2"/>
        <w:numPr>
          <w:ilvl w:val="0"/>
          <w:numId w:val="0"/>
        </w:numPr>
        <w:ind w:left="850"/>
        <w:rPr>
          <w:i/>
          <w:iCs/>
        </w:rPr>
      </w:pPr>
      <w:r w:rsidRPr="00626059">
        <w:rPr>
          <w:i/>
          <w:iCs/>
        </w:rPr>
        <w:t>Treatment of giant cell tumour of bone in adults or skeletally mature adolescents that is recurrent, or unresectable, or resectable but associated with severe morbidity.</w:t>
      </w:r>
    </w:p>
    <w:p w14:paraId="0D59167B" w14:textId="7AC14628" w:rsidR="00C33DB2" w:rsidRPr="00626059" w:rsidRDefault="00AB2A07" w:rsidP="00626059">
      <w:pPr>
        <w:pStyle w:val="ListBullet2"/>
        <w:numPr>
          <w:ilvl w:val="0"/>
          <w:numId w:val="0"/>
        </w:numPr>
        <w:ind w:left="850"/>
        <w:rPr>
          <w:i/>
          <w:iCs/>
        </w:rPr>
      </w:pPr>
      <w:r w:rsidRPr="00626059">
        <w:rPr>
          <w:i/>
          <w:iCs/>
        </w:rPr>
        <w:t>Treatment of hypercalcaemia of malignancy that is refractory to intravenous bisphosphonate</w:t>
      </w:r>
      <w:r w:rsidR="00626059">
        <w:rPr>
          <w:i/>
          <w:iCs/>
        </w:rPr>
        <w:t>.</w:t>
      </w:r>
    </w:p>
    <w:p w14:paraId="73FC6E40" w14:textId="1E0788D9" w:rsidR="00EE7DAF" w:rsidRDefault="00AC05D2" w:rsidP="00626059">
      <w:pPr>
        <w:rPr>
          <w:rFonts w:eastAsia="Cambria" w:cs="Times New Roman"/>
          <w:szCs w:val="22"/>
          <w:lang w:eastAsia="ja-JP"/>
        </w:rPr>
      </w:pPr>
      <w:r w:rsidRPr="00715480">
        <w:t xml:space="preserve">This is a Category 1 Type A application is for </w:t>
      </w:r>
      <w:r w:rsidRPr="00715480">
        <w:rPr>
          <w:rFonts w:hint="eastAsia"/>
        </w:rPr>
        <w:t>four</w:t>
      </w:r>
      <w:r w:rsidRPr="00715480">
        <w:t xml:space="preserve"> new</w:t>
      </w:r>
      <w:r w:rsidRPr="00715480">
        <w:rPr>
          <w:rFonts w:hint="eastAsia"/>
        </w:rPr>
        <w:t xml:space="preserve"> biosimilar</w:t>
      </w:r>
      <w:r w:rsidRPr="00715480">
        <w:t xml:space="preserve"> products</w:t>
      </w:r>
      <w:r w:rsidR="00715480" w:rsidRPr="00715480">
        <w:t xml:space="preserve">. </w:t>
      </w:r>
      <w:r w:rsidRPr="00715480">
        <w:t>The innovator</w:t>
      </w:r>
      <w:r w:rsidRPr="00F15977">
        <w:rPr>
          <w:lang w:eastAsia="ko-KR"/>
        </w:rPr>
        <w:t xml:space="preserve"> products are </w:t>
      </w:r>
      <w:r>
        <w:rPr>
          <w:lang w:eastAsia="ko-KR"/>
        </w:rPr>
        <w:t>P</w:t>
      </w:r>
      <w:r w:rsidR="00722AF4">
        <w:rPr>
          <w:lang w:eastAsia="ko-KR"/>
        </w:rPr>
        <w:t>rolia</w:t>
      </w:r>
      <w:r w:rsidRPr="00F15977">
        <w:rPr>
          <w:lang w:eastAsia="ko-KR"/>
        </w:rPr>
        <w:t xml:space="preserve"> </w:t>
      </w:r>
      <w:r w:rsidR="00722AF4">
        <w:rPr>
          <w:lang w:eastAsia="ko-KR"/>
        </w:rPr>
        <w:t>(</w:t>
      </w:r>
      <w:r w:rsidRPr="00F15977">
        <w:rPr>
          <w:lang w:eastAsia="ko-KR"/>
        </w:rPr>
        <w:t xml:space="preserve">denosumab </w:t>
      </w:r>
      <w:proofErr w:type="spellStart"/>
      <w:r w:rsidRPr="00F15977">
        <w:rPr>
          <w:lang w:eastAsia="ko-KR"/>
        </w:rPr>
        <w:t>rch</w:t>
      </w:r>
      <w:proofErr w:type="spellEnd"/>
      <w:r w:rsidRPr="00F15977">
        <w:rPr>
          <w:lang w:eastAsia="ko-KR"/>
        </w:rPr>
        <w:t>) 60</w:t>
      </w:r>
      <w:r w:rsidR="00595E8E">
        <w:rPr>
          <w:lang w:eastAsia="ko-KR"/>
        </w:rPr>
        <w:t xml:space="preserve"> </w:t>
      </w:r>
      <w:r w:rsidRPr="00F15977">
        <w:rPr>
          <w:lang w:eastAsia="ko-KR"/>
        </w:rPr>
        <w:t>mg/1</w:t>
      </w:r>
      <w:r w:rsidR="00595E8E">
        <w:rPr>
          <w:lang w:eastAsia="ko-KR"/>
        </w:rPr>
        <w:t xml:space="preserve"> </w:t>
      </w:r>
      <w:r w:rsidRPr="00F15977">
        <w:rPr>
          <w:lang w:eastAsia="ko-KR"/>
        </w:rPr>
        <w:t>mL solution for</w:t>
      </w:r>
      <w:r>
        <w:rPr>
          <w:rFonts w:hint="eastAsia"/>
          <w:lang w:eastAsia="ko-KR"/>
        </w:rPr>
        <w:t xml:space="preserve"> </w:t>
      </w:r>
      <w:r w:rsidRPr="00F15977">
        <w:rPr>
          <w:lang w:eastAsia="ko-KR"/>
        </w:rPr>
        <w:t>injection prefilled syringe with automatic needle guard</w:t>
      </w:r>
      <w:r w:rsidR="009750B5">
        <w:rPr>
          <w:rStyle w:val="FootnoteReference"/>
          <w:lang w:eastAsia="ko-KR"/>
        </w:rPr>
        <w:footnoteReference w:id="2"/>
      </w:r>
      <w:r w:rsidRPr="00F15977">
        <w:rPr>
          <w:lang w:eastAsia="ko-KR"/>
        </w:rPr>
        <w:t xml:space="preserve"> and </w:t>
      </w:r>
      <w:proofErr w:type="spellStart"/>
      <w:r>
        <w:rPr>
          <w:lang w:eastAsia="ko-KR"/>
        </w:rPr>
        <w:t>X</w:t>
      </w:r>
      <w:r w:rsidR="00722AF4">
        <w:rPr>
          <w:lang w:eastAsia="ko-KR"/>
        </w:rPr>
        <w:t>geva</w:t>
      </w:r>
      <w:proofErr w:type="spellEnd"/>
      <w:r w:rsidRPr="00F15977">
        <w:rPr>
          <w:lang w:eastAsia="ko-KR"/>
        </w:rPr>
        <w:t xml:space="preserve"> </w:t>
      </w:r>
      <w:r w:rsidR="00722AF4">
        <w:rPr>
          <w:lang w:eastAsia="ko-KR"/>
        </w:rPr>
        <w:t>(</w:t>
      </w:r>
      <w:r w:rsidRPr="00F15977">
        <w:rPr>
          <w:lang w:eastAsia="ko-KR"/>
        </w:rPr>
        <w:t>denosumab</w:t>
      </w:r>
      <w:r>
        <w:rPr>
          <w:rFonts w:hint="eastAsia"/>
          <w:lang w:eastAsia="ko-KR"/>
        </w:rPr>
        <w:t xml:space="preserve"> </w:t>
      </w:r>
      <w:proofErr w:type="spellStart"/>
      <w:r w:rsidRPr="00F15977">
        <w:rPr>
          <w:lang w:eastAsia="ko-KR"/>
        </w:rPr>
        <w:t>rch</w:t>
      </w:r>
      <w:proofErr w:type="spellEnd"/>
      <w:r w:rsidRPr="00F15977">
        <w:rPr>
          <w:lang w:eastAsia="ko-KR"/>
        </w:rPr>
        <w:t>) 70</w:t>
      </w:r>
      <w:r w:rsidR="00595E8E">
        <w:rPr>
          <w:lang w:eastAsia="ko-KR"/>
        </w:rPr>
        <w:t xml:space="preserve"> </w:t>
      </w:r>
      <w:r w:rsidRPr="00F15977">
        <w:rPr>
          <w:lang w:eastAsia="ko-KR"/>
        </w:rPr>
        <w:t>mg/</w:t>
      </w:r>
      <w:r w:rsidR="00595E8E">
        <w:rPr>
          <w:lang w:eastAsia="ko-KR"/>
        </w:rPr>
        <w:t xml:space="preserve"> </w:t>
      </w:r>
      <w:r w:rsidRPr="00F15977">
        <w:rPr>
          <w:lang w:eastAsia="ko-KR"/>
        </w:rPr>
        <w:t>mL (120</w:t>
      </w:r>
      <w:r w:rsidR="00595E8E">
        <w:rPr>
          <w:lang w:eastAsia="ko-KR"/>
        </w:rPr>
        <w:t xml:space="preserve"> </w:t>
      </w:r>
      <w:r w:rsidRPr="00F15977">
        <w:rPr>
          <w:lang w:eastAsia="ko-KR"/>
        </w:rPr>
        <w:t>mg/1.7</w:t>
      </w:r>
      <w:r w:rsidR="00595E8E">
        <w:rPr>
          <w:lang w:eastAsia="ko-KR"/>
        </w:rPr>
        <w:t xml:space="preserve"> </w:t>
      </w:r>
      <w:r w:rsidRPr="00F15977">
        <w:rPr>
          <w:lang w:eastAsia="ko-KR"/>
        </w:rPr>
        <w:t>mL) solution for injection vial</w:t>
      </w:r>
      <w:r w:rsidR="00722AF4">
        <w:rPr>
          <w:lang w:eastAsia="ko-KR"/>
        </w:rPr>
        <w:t>.</w:t>
      </w:r>
      <w:r w:rsidR="00C22697">
        <w:rPr>
          <w:rStyle w:val="FootnoteReference"/>
          <w:lang w:eastAsia="ko-KR"/>
        </w:rPr>
        <w:footnoteReference w:id="3"/>
      </w:r>
    </w:p>
    <w:p w14:paraId="0875EFB9" w14:textId="2219AED9" w:rsidR="007839E4" w:rsidRPr="007839E4" w:rsidRDefault="00622601" w:rsidP="00626059">
      <w:pPr>
        <w:rPr>
          <w:lang w:eastAsia="ko-KR"/>
        </w:rPr>
      </w:pPr>
      <w:r>
        <w:rPr>
          <w:lang w:eastAsia="ko-KR"/>
        </w:rPr>
        <w:t xml:space="preserve">Subsequently, </w:t>
      </w:r>
      <w:r w:rsidR="00EE7DAF" w:rsidRPr="00EE7DAF">
        <w:rPr>
          <w:lang w:eastAsia="ko-KR"/>
        </w:rPr>
        <w:t>D</w:t>
      </w:r>
      <w:r w:rsidR="007C3015">
        <w:rPr>
          <w:lang w:eastAsia="ko-KR"/>
        </w:rPr>
        <w:t>enolia</w:t>
      </w:r>
      <w:r w:rsidR="00EE7DAF" w:rsidRPr="00EE7DAF">
        <w:rPr>
          <w:lang w:eastAsia="ko-KR"/>
        </w:rPr>
        <w:t xml:space="preserve"> and </w:t>
      </w:r>
      <w:r w:rsidR="007C3015">
        <w:rPr>
          <w:lang w:eastAsia="ko-KR"/>
        </w:rPr>
        <w:t>Deskeltia</w:t>
      </w:r>
      <w:r w:rsidR="00491BBB">
        <w:rPr>
          <w:lang w:eastAsia="ko-KR"/>
        </w:rPr>
        <w:t xml:space="preserve"> </w:t>
      </w:r>
      <w:r w:rsidR="00EE7DAF" w:rsidRPr="00EE7DAF">
        <w:rPr>
          <w:lang w:eastAsia="ko-KR"/>
        </w:rPr>
        <w:t>have the same formulation and presentation as Prolia (60</w:t>
      </w:r>
      <w:r w:rsidR="00595E8E">
        <w:rPr>
          <w:lang w:eastAsia="ko-KR"/>
        </w:rPr>
        <w:t xml:space="preserve"> </w:t>
      </w:r>
      <w:r w:rsidR="00EE7DAF" w:rsidRPr="00EE7DAF">
        <w:rPr>
          <w:lang w:eastAsia="ko-KR"/>
        </w:rPr>
        <w:t>mg/1</w:t>
      </w:r>
      <w:r w:rsidR="00595E8E">
        <w:rPr>
          <w:lang w:eastAsia="ko-KR"/>
        </w:rPr>
        <w:t xml:space="preserve"> </w:t>
      </w:r>
      <w:r w:rsidR="00EE7DAF" w:rsidRPr="00EE7DAF">
        <w:rPr>
          <w:lang w:eastAsia="ko-KR"/>
        </w:rPr>
        <w:t>mL solution for injection prefilled syringe with automatic needle guard)</w:t>
      </w:r>
      <w:r w:rsidR="007C3015">
        <w:rPr>
          <w:lang w:eastAsia="ko-KR"/>
        </w:rPr>
        <w:t xml:space="preserve">. </w:t>
      </w:r>
      <w:r w:rsidR="00B83A17">
        <w:rPr>
          <w:lang w:eastAsia="ko-KR"/>
        </w:rPr>
        <w:t xml:space="preserve">While Dostiva (formally known as </w:t>
      </w:r>
      <w:proofErr w:type="spellStart"/>
      <w:r w:rsidR="00EE7DAF" w:rsidRPr="00EE7DAF">
        <w:rPr>
          <w:lang w:eastAsia="ko-KR"/>
        </w:rPr>
        <w:t>D</w:t>
      </w:r>
      <w:r w:rsidR="00B83A17">
        <w:rPr>
          <w:lang w:eastAsia="ko-KR"/>
        </w:rPr>
        <w:t>enogeva</w:t>
      </w:r>
      <w:proofErr w:type="spellEnd"/>
      <w:r w:rsidR="00B83A17">
        <w:rPr>
          <w:lang w:eastAsia="ko-KR"/>
        </w:rPr>
        <w:t>)</w:t>
      </w:r>
      <w:r w:rsidR="00EE7DAF" w:rsidRPr="00EE7DAF">
        <w:rPr>
          <w:lang w:eastAsia="ko-KR"/>
        </w:rPr>
        <w:t xml:space="preserve"> and </w:t>
      </w:r>
      <w:proofErr w:type="spellStart"/>
      <w:r w:rsidR="00EE7DAF" w:rsidRPr="00EE7DAF">
        <w:rPr>
          <w:lang w:eastAsia="ko-KR"/>
        </w:rPr>
        <w:t>DEXEVA</w:t>
      </w:r>
      <w:proofErr w:type="spellEnd"/>
      <w:r w:rsidR="00EE7DAF" w:rsidRPr="00EE7DAF">
        <w:rPr>
          <w:lang w:eastAsia="ko-KR"/>
        </w:rPr>
        <w:t xml:space="preserve"> have the same formulation as Xgeva (70</w:t>
      </w:r>
      <w:r w:rsidR="00595E8E">
        <w:rPr>
          <w:lang w:eastAsia="ko-KR"/>
        </w:rPr>
        <w:t xml:space="preserve"> </w:t>
      </w:r>
      <w:r w:rsidR="00EE7DAF" w:rsidRPr="00EE7DAF">
        <w:rPr>
          <w:lang w:eastAsia="ko-KR"/>
        </w:rPr>
        <w:t>mg/</w:t>
      </w:r>
      <w:r w:rsidR="00595E8E">
        <w:rPr>
          <w:lang w:eastAsia="ko-KR"/>
        </w:rPr>
        <w:t xml:space="preserve"> </w:t>
      </w:r>
      <w:r w:rsidR="00EE7DAF" w:rsidRPr="00EE7DAF">
        <w:rPr>
          <w:lang w:eastAsia="ko-KR"/>
        </w:rPr>
        <w:t>mL (120</w:t>
      </w:r>
      <w:r w:rsidR="00595E8E">
        <w:rPr>
          <w:lang w:eastAsia="ko-KR"/>
        </w:rPr>
        <w:t xml:space="preserve"> </w:t>
      </w:r>
      <w:r w:rsidR="00EE7DAF" w:rsidRPr="00EE7DAF">
        <w:rPr>
          <w:lang w:eastAsia="ko-KR"/>
        </w:rPr>
        <w:t>mg/1.7</w:t>
      </w:r>
      <w:r w:rsidR="00595E8E">
        <w:rPr>
          <w:lang w:eastAsia="ko-KR"/>
        </w:rPr>
        <w:t xml:space="preserve"> </w:t>
      </w:r>
      <w:r w:rsidR="00EE7DAF" w:rsidRPr="00EE7DAF">
        <w:rPr>
          <w:lang w:eastAsia="ko-KR"/>
        </w:rPr>
        <w:t>mL) solution for injection vial.</w:t>
      </w:r>
    </w:p>
    <w:p w14:paraId="1E63A2AE" w14:textId="5FCD6C6F" w:rsidR="00CB6813" w:rsidRDefault="00005DFC" w:rsidP="00CB6813">
      <w:pPr>
        <w:pStyle w:val="Heading4"/>
      </w:pPr>
      <w:bookmarkStart w:id="15" w:name="_Toc226984772"/>
      <w:bookmarkStart w:id="16" w:name="_Toc314842485"/>
      <w:bookmarkStart w:id="17" w:name="_Toc247691504"/>
      <w:r>
        <w:lastRenderedPageBreak/>
        <w:t>D</w:t>
      </w:r>
      <w:r w:rsidR="00CB6813" w:rsidRPr="00C12D65">
        <w:t>isease</w:t>
      </w:r>
      <w:r w:rsidR="006428C5">
        <w:t xml:space="preserve"> or condition</w:t>
      </w:r>
      <w:bookmarkEnd w:id="15"/>
    </w:p>
    <w:p w14:paraId="353166A6" w14:textId="0FA8016D" w:rsidR="00F47201" w:rsidRPr="00F47201" w:rsidRDefault="00F47201" w:rsidP="00626059">
      <w:r w:rsidRPr="00F47201">
        <w:t xml:space="preserve">Osteoporosis </w:t>
      </w:r>
      <w:r w:rsidR="00F3206C" w:rsidRPr="00F3206C">
        <w:t>is characterised by both low bone mineral density (BMD) and microarchitectural deterioration of bone tissue, leading to decreased bone strength, increased bone fragility and a consequent increase in fracture risk.</w:t>
      </w:r>
      <w:r w:rsidRPr="00F47201">
        <w:rPr>
          <w:vertAlign w:val="superscript"/>
        </w:rPr>
        <w:footnoteReference w:id="4"/>
      </w:r>
      <w:r w:rsidRPr="00F47201">
        <w:t xml:space="preserve"> Bone morphogenesis and remodelling </w:t>
      </w:r>
      <w:r w:rsidR="005621F0" w:rsidRPr="00F47201">
        <w:t>involve</w:t>
      </w:r>
      <w:r w:rsidRPr="00F47201">
        <w:t xml:space="preserve"> the combined activities of osteoblast-mediated bone formation and osteoclast-mediated bone resorption. Bone remodelling can be divided into three stages based on the dynamic activities of osteoblasts and osteoclasts.</w:t>
      </w:r>
      <w:r w:rsidRPr="00F47201">
        <w:rPr>
          <w:vertAlign w:val="superscript"/>
        </w:rPr>
        <w:footnoteReference w:id="5"/>
      </w:r>
      <w:r w:rsidRPr="00F47201">
        <w:t xml:space="preserve"> The initial stage is the differentiation of osteoclast precursor cells, activation of osteoclasts and bone resorption. Osteoclast apoptosis occurs in the intermediate stage, during which osteoblasts accumulate and differentiate to form new bone in the bone lacuna. In the final stage, bone resorption is completed through osteogenesis and mineralisation.</w:t>
      </w:r>
      <w:r w:rsidR="00626059">
        <w:t xml:space="preserve"> </w:t>
      </w:r>
      <w:r w:rsidRPr="00F47201">
        <w:t>The control and regulation of osteoclast activation and differentiation is achieved by a family of biologically related tumour necrosis factor (TNF) receptor (</w:t>
      </w:r>
      <w:proofErr w:type="spellStart"/>
      <w:r w:rsidRPr="00F47201">
        <w:t>TNFR</w:t>
      </w:r>
      <w:proofErr w:type="spellEnd"/>
      <w:r w:rsidRPr="00F47201">
        <w:t xml:space="preserve">)/TNF-like proteins including </w:t>
      </w:r>
      <w:proofErr w:type="spellStart"/>
      <w:r w:rsidRPr="00F47201">
        <w:t>osteoprotegerin</w:t>
      </w:r>
      <w:proofErr w:type="spellEnd"/>
      <w:r w:rsidRPr="00F47201">
        <w:t>, RANK and RANKL.</w:t>
      </w:r>
      <w:r w:rsidRPr="00F47201">
        <w:rPr>
          <w:vertAlign w:val="superscript"/>
        </w:rPr>
        <w:footnoteReference w:id="6"/>
      </w:r>
    </w:p>
    <w:p w14:paraId="433BBFAD" w14:textId="5915DBDD" w:rsidR="00F47201" w:rsidRPr="00F47201" w:rsidRDefault="00F47201" w:rsidP="00F47201">
      <w:r w:rsidRPr="00F47201">
        <w:t>Osteoclast is also affected by hormonal routes such as oestrogen.</w:t>
      </w:r>
      <w:r w:rsidR="00626059">
        <w:t xml:space="preserve"> </w:t>
      </w:r>
      <w:r w:rsidRPr="00F47201">
        <w:t>Oestrogen inhibits activity and survival of the osteoclasts, which is responsible for the high rate of osteoporosis in postmenopausal women.</w:t>
      </w:r>
      <w:r w:rsidRPr="00F47201">
        <w:rPr>
          <w:vertAlign w:val="superscript"/>
        </w:rPr>
        <w:footnoteReference w:id="7"/>
      </w:r>
      <w:r w:rsidRPr="00F47201">
        <w:t xml:space="preserve"> There are other risk factors such as cancer, which can lead to bone loss due to direct effects of cancer cells on the skeleton, as well as detrimental effects of cancer-specific therapies on bone cells.</w:t>
      </w:r>
      <w:r w:rsidRPr="00F47201">
        <w:rPr>
          <w:vertAlign w:val="superscript"/>
        </w:rPr>
        <w:footnoteReference w:id="8"/>
      </w:r>
      <w:r w:rsidRPr="00F47201">
        <w:t xml:space="preserve"> Of note, malignancies also commonly lead to hypercalcaemia through various mechanisms (including osteolytic process) which requires similar pharmacological therapies used for osteoporosis.</w:t>
      </w:r>
      <w:r w:rsidRPr="00F47201">
        <w:rPr>
          <w:vertAlign w:val="superscript"/>
        </w:rPr>
        <w:footnoteReference w:id="9"/>
      </w:r>
      <w:r w:rsidRPr="00F47201">
        <w:t xml:space="preserve"> </w:t>
      </w:r>
    </w:p>
    <w:p w14:paraId="663533BA" w14:textId="27B75EE5" w:rsidR="00F47201" w:rsidRPr="00F47201" w:rsidRDefault="00F47201" w:rsidP="00221E21">
      <w:r w:rsidRPr="00F47201">
        <w:t>Osteoporosis imposes a significant health burden in Australia and worldwide. The Australian Institute of Health and Welfare (AIHW) estimated that approximately 924,000 Australians (3.8% of the total population) were affected by osteoporosis or osteopenia, although there is likely to be a significant underestimation</w:t>
      </w:r>
      <w:r w:rsidR="003667E0">
        <w:t>.</w:t>
      </w:r>
      <w:r w:rsidRPr="00F47201">
        <w:rPr>
          <w:vertAlign w:val="superscript"/>
        </w:rPr>
        <w:footnoteReference w:id="10"/>
      </w:r>
      <w:r w:rsidR="00626059">
        <w:t xml:space="preserve"> </w:t>
      </w:r>
      <w:r w:rsidR="0009273B">
        <w:t xml:space="preserve">Furthermore, </w:t>
      </w:r>
      <w:r w:rsidRPr="00F47201">
        <w:t>a study analys</w:t>
      </w:r>
      <w:r w:rsidR="00127ADD">
        <w:t>ing</w:t>
      </w:r>
      <w:r w:rsidRPr="00F47201">
        <w:t xml:space="preserve"> the burden of osteoporosis in Australia between 2012-2022, </w:t>
      </w:r>
      <w:r w:rsidR="00127ADD">
        <w:t xml:space="preserve">concluded </w:t>
      </w:r>
      <w:r w:rsidRPr="00F47201">
        <w:t>66% of those over 50 years of age (approximately 4.74 million people) were thought to be affected by osteoporosis and osteopenia.</w:t>
      </w:r>
      <w:r w:rsidRPr="00F47201">
        <w:rPr>
          <w:vertAlign w:val="superscript"/>
        </w:rPr>
        <w:footnoteReference w:id="11"/>
      </w:r>
      <w:r w:rsidR="00626059">
        <w:t xml:space="preserve"> </w:t>
      </w:r>
      <w:r w:rsidRPr="00F47201">
        <w:t>Over the 10-year period, it was estimated that approximately 1.6 million cases of fractures were attributable to osteoporosis and osteopenia.</w:t>
      </w:r>
      <w:r w:rsidR="00626059">
        <w:t xml:space="preserve"> </w:t>
      </w:r>
      <w:r w:rsidRPr="00F47201">
        <w:t>Osteoporotic fractures occur most frequently in the vertebrae, carpals, hips, pelvis and upper arms.</w:t>
      </w:r>
      <w:r w:rsidRPr="00F47201">
        <w:rPr>
          <w:vertAlign w:val="superscript"/>
        </w:rPr>
        <w:footnoteReference w:id="12"/>
      </w:r>
      <w:r w:rsidRPr="00F47201">
        <w:t xml:space="preserve"> Many patients require long-term nursing home care, which would leave a significant burden on the patient’s family and society.</w:t>
      </w:r>
    </w:p>
    <w:p w14:paraId="2A3A7265" w14:textId="205577AD" w:rsidR="00432543" w:rsidRDefault="002671D2" w:rsidP="00626059">
      <w:r w:rsidRPr="002671D2">
        <w:t xml:space="preserve">Osteoporosis is a ‘silent disease’ as deterioration of skeletal tissue proceeds with no symptoms until a symptomatic fracture occurs. Thus, the condition is under-recognised with affected </w:t>
      </w:r>
      <w:r w:rsidRPr="002671D2">
        <w:lastRenderedPageBreak/>
        <w:t xml:space="preserve">individuals undertreated. </w:t>
      </w:r>
      <w:r w:rsidRPr="002671D2">
        <w:rPr>
          <w:vertAlign w:val="superscript"/>
        </w:rPr>
        <w:footnoteReference w:id="13"/>
      </w:r>
      <w:r w:rsidR="008C0959">
        <w:t xml:space="preserve"> </w:t>
      </w:r>
      <w:r w:rsidR="00F47201" w:rsidRPr="00F47201">
        <w:t>The total direct and indirect cost towards osteoporosis, osteopenia and fractures was estimated to be around $33.6 billion in Australia between 2012 and 2022.</w:t>
      </w:r>
      <w:r w:rsidR="00F47201" w:rsidRPr="00F47201">
        <w:rPr>
          <w:vertAlign w:val="superscript"/>
        </w:rPr>
        <w:t>8</w:t>
      </w:r>
      <w:r w:rsidR="00F47201" w:rsidRPr="00F47201">
        <w:t xml:space="preserve"> In </w:t>
      </w:r>
      <w:r w:rsidR="00432543" w:rsidRPr="00432543">
        <w:t>the US, the total costs of treatment for osteoporotic fractures were estimated to be $17 billion in 2003 and is predicted to exceed $25 billion by the year 2025.</w:t>
      </w:r>
      <w:r w:rsidR="00432543" w:rsidRPr="00432543">
        <w:rPr>
          <w:vertAlign w:val="superscript"/>
        </w:rPr>
        <w:footnoteReference w:id="14"/>
      </w:r>
    </w:p>
    <w:p w14:paraId="146F9F66" w14:textId="175654A1" w:rsidR="00AC602D" w:rsidRPr="00AC602D" w:rsidRDefault="00AC602D" w:rsidP="00AC602D">
      <w:r w:rsidRPr="00AC602D">
        <w:t>Based on the WHO definition of osteoporosis and osteopenia</w:t>
      </w:r>
      <w:r>
        <w:t xml:space="preserve"> (Table 1)</w:t>
      </w:r>
      <w:r w:rsidRPr="00AC602D">
        <w:t xml:space="preserve">, approximately 3% of men and 13% of women in Australia aged 50–69 years are osteoporotic, rising to 13% and 43% for men and women aged &gt;70 years. Fifty-five per cent of men and 49% of women between 50 and 69 years of age are osteogenic, with a similar prevalence in those aged &gt;70 years. By 2022, approximately 72% of women and 62% of men aged &gt;50 years will have osteoporosis or osteopenia based on WHO criteria. </w:t>
      </w:r>
      <w:r w:rsidRPr="00AC602D">
        <w:rPr>
          <w:vertAlign w:val="superscript"/>
        </w:rPr>
        <w:t>5,</w:t>
      </w:r>
      <w:r w:rsidRPr="00AC602D">
        <w:rPr>
          <w:vertAlign w:val="superscript"/>
        </w:rPr>
        <w:footnoteReference w:id="15"/>
      </w:r>
    </w:p>
    <w:p w14:paraId="5646FD62" w14:textId="0E98506F" w:rsidR="00537B9C" w:rsidRPr="00537B9C" w:rsidRDefault="00537B9C" w:rsidP="00626059">
      <w:pPr>
        <w:pStyle w:val="TableTitle"/>
      </w:pPr>
      <w:r w:rsidRPr="00537B9C">
        <w:t>Table 1</w:t>
      </w:r>
      <w:r w:rsidR="002D7833">
        <w:t>.</w:t>
      </w:r>
      <w:r w:rsidRPr="00537B9C">
        <w:t xml:space="preserve"> WHO definitions of osteoporosis and </w:t>
      </w:r>
      <w:r w:rsidRPr="00626059">
        <w:t>osteopenia</w:t>
      </w:r>
      <w:r w:rsidR="002D7833">
        <w:t>.</w:t>
      </w:r>
      <w:r w:rsidRPr="00537B9C">
        <w:t xml:space="preserve"> </w:t>
      </w:r>
      <w:r w:rsidRPr="00537B9C">
        <w:rPr>
          <w:vertAlign w:val="superscript"/>
        </w:rPr>
        <w:footnoteReference w:id="16"/>
      </w:r>
    </w:p>
    <w:tbl>
      <w:tblPr>
        <w:tblStyle w:val="TableTGAblue2023"/>
        <w:tblW w:w="0" w:type="auto"/>
        <w:tblLook w:val="04A0" w:firstRow="1" w:lastRow="0" w:firstColumn="1" w:lastColumn="0" w:noHBand="0" w:noVBand="1"/>
      </w:tblPr>
      <w:tblGrid>
        <w:gridCol w:w="1980"/>
        <w:gridCol w:w="3260"/>
        <w:gridCol w:w="3820"/>
      </w:tblGrid>
      <w:tr w:rsidR="00AB0936" w14:paraId="70A16C8C" w14:textId="77777777" w:rsidTr="00E17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B8B78AE" w14:textId="28D7260A" w:rsidR="00AB0936" w:rsidRPr="00E174EC" w:rsidRDefault="00E174EC" w:rsidP="00121437">
            <w:r w:rsidRPr="00E174EC">
              <w:t>World Health Organisation Definitions</w:t>
            </w:r>
            <w:r w:rsidR="00EE413B">
              <w:t>: osteoporosis and osteopenia</w:t>
            </w:r>
          </w:p>
        </w:tc>
      </w:tr>
      <w:tr w:rsidR="00AB0936" w14:paraId="67B05969" w14:textId="77777777" w:rsidTr="00D9409C">
        <w:tc>
          <w:tcPr>
            <w:cnfStyle w:val="001000000000" w:firstRow="0" w:lastRow="0" w:firstColumn="1" w:lastColumn="0" w:oddVBand="0" w:evenVBand="0" w:oddHBand="0" w:evenHBand="0" w:firstRowFirstColumn="0" w:firstRowLastColumn="0" w:lastRowFirstColumn="0" w:lastRowLastColumn="0"/>
            <w:tcW w:w="1980" w:type="dxa"/>
          </w:tcPr>
          <w:p w14:paraId="7BCE1FAE" w14:textId="2F7DBCBD" w:rsidR="00AB0936" w:rsidRDefault="00AB0936" w:rsidP="00121437">
            <w:r>
              <w:t>Normal BMD</w:t>
            </w:r>
          </w:p>
        </w:tc>
        <w:tc>
          <w:tcPr>
            <w:tcW w:w="3260" w:type="dxa"/>
          </w:tcPr>
          <w:p w14:paraId="2DA25AE9" w14:textId="3B20B5BF" w:rsidR="00AB0936" w:rsidRDefault="00E174EC" w:rsidP="00121437">
            <w:pPr>
              <w:cnfStyle w:val="000000000000" w:firstRow="0" w:lastRow="0" w:firstColumn="0" w:lastColumn="0" w:oddVBand="0" w:evenVBand="0" w:oddHBand="0" w:evenHBand="0" w:firstRowFirstColumn="0" w:firstRowLastColumn="0" w:lastRowFirstColumn="0" w:lastRowLastColumn="0"/>
            </w:pPr>
            <w:r>
              <w:t>T-score</w:t>
            </w:r>
            <w:r w:rsidR="007464C3">
              <w:t xml:space="preserve">: </w:t>
            </w:r>
            <w:r w:rsidR="009B0F39">
              <w:t>-</w:t>
            </w:r>
            <w:r w:rsidR="007464C3">
              <w:t>1.0 or above</w:t>
            </w:r>
          </w:p>
        </w:tc>
        <w:tc>
          <w:tcPr>
            <w:tcW w:w="3820" w:type="dxa"/>
          </w:tcPr>
          <w:p w14:paraId="48866A7F" w14:textId="4528824E" w:rsidR="00AB0936" w:rsidRDefault="006A2F9D" w:rsidP="00121437">
            <w:pPr>
              <w:cnfStyle w:val="000000000000" w:firstRow="0" w:lastRow="0" w:firstColumn="0" w:lastColumn="0" w:oddVBand="0" w:evenVBand="0" w:oddHBand="0" w:evenHBand="0" w:firstRowFirstColumn="0" w:firstRowLastColumn="0" w:lastRowFirstColumn="0" w:lastRowLastColumn="0"/>
            </w:pPr>
            <w:r w:rsidRPr="006A2F9D">
              <w:t>A value for BMD within 1 SD of the young adult reference mean.</w:t>
            </w:r>
          </w:p>
        </w:tc>
      </w:tr>
      <w:tr w:rsidR="00AB0936" w14:paraId="0538E4C6" w14:textId="77777777" w:rsidTr="00D9409C">
        <w:tc>
          <w:tcPr>
            <w:cnfStyle w:val="001000000000" w:firstRow="0" w:lastRow="0" w:firstColumn="1" w:lastColumn="0" w:oddVBand="0" w:evenVBand="0" w:oddHBand="0" w:evenHBand="0" w:firstRowFirstColumn="0" w:firstRowLastColumn="0" w:lastRowFirstColumn="0" w:lastRowLastColumn="0"/>
            <w:tcW w:w="1980" w:type="dxa"/>
          </w:tcPr>
          <w:p w14:paraId="7362F1B9" w14:textId="2F30622F" w:rsidR="00AB0936" w:rsidRDefault="00AB0936" w:rsidP="00121437">
            <w:r>
              <w:t>Osteopenia</w:t>
            </w:r>
          </w:p>
        </w:tc>
        <w:tc>
          <w:tcPr>
            <w:tcW w:w="3260" w:type="dxa"/>
          </w:tcPr>
          <w:p w14:paraId="35E04B95" w14:textId="0520170B" w:rsidR="00AB0936" w:rsidRDefault="007464C3" w:rsidP="00121437">
            <w:pPr>
              <w:cnfStyle w:val="000000000000" w:firstRow="0" w:lastRow="0" w:firstColumn="0" w:lastColumn="0" w:oddVBand="0" w:evenVBand="0" w:oddHBand="0" w:evenHBand="0" w:firstRowFirstColumn="0" w:firstRowLastColumn="0" w:lastRowFirstColumn="0" w:lastRowLastColumn="0"/>
            </w:pPr>
            <w:r>
              <w:t>T-score:</w:t>
            </w:r>
            <w:r w:rsidR="007D2561">
              <w:t xml:space="preserve"> </w:t>
            </w:r>
            <w:r w:rsidR="00A37D9F">
              <w:t xml:space="preserve">between </w:t>
            </w:r>
            <w:r w:rsidR="009B0F39">
              <w:t>-</w:t>
            </w:r>
            <w:r>
              <w:t xml:space="preserve">1.0 </w:t>
            </w:r>
            <w:r w:rsidR="00D9409C">
              <w:t xml:space="preserve">and </w:t>
            </w:r>
            <w:r w:rsidR="009B0F39">
              <w:t>-</w:t>
            </w:r>
            <w:r w:rsidR="00D9409C">
              <w:t>2.5</w:t>
            </w:r>
          </w:p>
        </w:tc>
        <w:tc>
          <w:tcPr>
            <w:tcW w:w="3820" w:type="dxa"/>
          </w:tcPr>
          <w:p w14:paraId="78C052E4" w14:textId="65640408" w:rsidR="00AB0936" w:rsidRDefault="006A2F9D" w:rsidP="00121437">
            <w:pPr>
              <w:cnfStyle w:val="000000000000" w:firstRow="0" w:lastRow="0" w:firstColumn="0" w:lastColumn="0" w:oddVBand="0" w:evenVBand="0" w:oddHBand="0" w:evenHBand="0" w:firstRowFirstColumn="0" w:firstRowLastColumn="0" w:lastRowFirstColumn="0" w:lastRowLastColumn="0"/>
            </w:pPr>
            <w:r w:rsidRPr="006A2F9D">
              <w:t>A value for BMD</w:t>
            </w:r>
            <w:r w:rsidR="00FD58D6">
              <w:t xml:space="preserve"> more than</w:t>
            </w:r>
            <w:r w:rsidRPr="006A2F9D">
              <w:t xml:space="preserve"> 1 SD</w:t>
            </w:r>
            <w:r w:rsidR="009B0F39">
              <w:t xml:space="preserve"> below the </w:t>
            </w:r>
            <w:r w:rsidRPr="006A2F9D">
              <w:t>young adult reference mean</w:t>
            </w:r>
            <w:r w:rsidR="000C7953">
              <w:t>, but less than 2.5 SD below the value.</w:t>
            </w:r>
          </w:p>
        </w:tc>
      </w:tr>
      <w:tr w:rsidR="00AB0936" w14:paraId="1BB26362" w14:textId="77777777" w:rsidTr="00D9409C">
        <w:tc>
          <w:tcPr>
            <w:cnfStyle w:val="001000000000" w:firstRow="0" w:lastRow="0" w:firstColumn="1" w:lastColumn="0" w:oddVBand="0" w:evenVBand="0" w:oddHBand="0" w:evenHBand="0" w:firstRowFirstColumn="0" w:firstRowLastColumn="0" w:lastRowFirstColumn="0" w:lastRowLastColumn="0"/>
            <w:tcW w:w="1980" w:type="dxa"/>
          </w:tcPr>
          <w:p w14:paraId="72AD41CA" w14:textId="7F2A49A1" w:rsidR="00AB0936" w:rsidRDefault="00AB0936" w:rsidP="00121437">
            <w:r>
              <w:t>Osteoporosis</w:t>
            </w:r>
          </w:p>
        </w:tc>
        <w:tc>
          <w:tcPr>
            <w:tcW w:w="3260" w:type="dxa"/>
          </w:tcPr>
          <w:p w14:paraId="7BC1D59F" w14:textId="4E973B4A" w:rsidR="00AB0936" w:rsidRDefault="007464C3" w:rsidP="00121437">
            <w:pPr>
              <w:cnfStyle w:val="000000000000" w:firstRow="0" w:lastRow="0" w:firstColumn="0" w:lastColumn="0" w:oddVBand="0" w:evenVBand="0" w:oddHBand="0" w:evenHBand="0" w:firstRowFirstColumn="0" w:firstRowLastColumn="0" w:lastRowFirstColumn="0" w:lastRowLastColumn="0"/>
            </w:pPr>
            <w:r>
              <w:t>T-score:</w:t>
            </w:r>
            <w:r w:rsidR="007D2561">
              <w:t xml:space="preserve"> </w:t>
            </w:r>
            <w:r w:rsidR="00F40C96">
              <w:t xml:space="preserve">less than </w:t>
            </w:r>
            <w:r w:rsidR="007D2561">
              <w:t xml:space="preserve">-2.5 </w:t>
            </w:r>
          </w:p>
        </w:tc>
        <w:tc>
          <w:tcPr>
            <w:tcW w:w="3820" w:type="dxa"/>
          </w:tcPr>
          <w:p w14:paraId="562D1CB0" w14:textId="71FC2B3C" w:rsidR="00AB0936" w:rsidRDefault="000B536D" w:rsidP="00121437">
            <w:pPr>
              <w:cnfStyle w:val="000000000000" w:firstRow="0" w:lastRow="0" w:firstColumn="0" w:lastColumn="0" w:oddVBand="0" w:evenVBand="0" w:oddHBand="0" w:evenHBand="0" w:firstRowFirstColumn="0" w:firstRowLastColumn="0" w:lastRowFirstColumn="0" w:lastRowLastColumn="0"/>
            </w:pPr>
            <w:r>
              <w:t xml:space="preserve">A value for </w:t>
            </w:r>
            <w:r w:rsidR="0008281A">
              <w:t xml:space="preserve">BMD </w:t>
            </w:r>
            <w:r w:rsidR="0087329B">
              <w:t xml:space="preserve">2.5 </w:t>
            </w:r>
            <w:r>
              <w:t xml:space="preserve">SD </w:t>
            </w:r>
            <w:r w:rsidR="0087329B">
              <w:t>or more below young adult mean.</w:t>
            </w:r>
          </w:p>
        </w:tc>
      </w:tr>
    </w:tbl>
    <w:p w14:paraId="255E083A" w14:textId="4C700841" w:rsidR="00CB6813" w:rsidRDefault="00CB6813" w:rsidP="00CB6813">
      <w:pPr>
        <w:pStyle w:val="Heading4"/>
      </w:pPr>
      <w:bookmarkStart w:id="18" w:name="_Toc226984773"/>
      <w:r>
        <w:t>Current treatment options</w:t>
      </w:r>
      <w:bookmarkEnd w:id="18"/>
    </w:p>
    <w:p w14:paraId="1C97B8CA" w14:textId="319D6A32" w:rsidR="0022156A" w:rsidRDefault="0022156A" w:rsidP="00626059">
      <w:r w:rsidRPr="0022156A">
        <w:t>Management of osteoporosis usually requires multifaceted approach involving pharmacological and non-pharmacological therapies.</w:t>
      </w:r>
      <w:r w:rsidR="00626059">
        <w:t xml:space="preserve"> </w:t>
      </w:r>
      <w:r w:rsidRPr="0022156A">
        <w:t>Non-pharmacological therapies include lifestyle changes including physical activity and weight bearing exercises, as well as cessation of smoking.</w:t>
      </w:r>
      <w:r w:rsidR="00626059">
        <w:t xml:space="preserve"> </w:t>
      </w:r>
      <w:r w:rsidRPr="0022156A">
        <w:t>Dietary supplements such as calcium and vitamin D are also commonly recommended.</w:t>
      </w:r>
    </w:p>
    <w:p w14:paraId="26D2220C" w14:textId="77777777" w:rsidR="009260C5" w:rsidRPr="009260C5" w:rsidRDefault="009260C5" w:rsidP="009260C5">
      <w:r w:rsidRPr="009260C5">
        <w:t xml:space="preserve">Pharmacological approaches to prevention and treatment may be divided as follows: </w:t>
      </w:r>
      <w:r w:rsidRPr="009260C5">
        <w:rPr>
          <w:vertAlign w:val="superscript"/>
        </w:rPr>
        <w:footnoteReference w:id="17"/>
      </w:r>
    </w:p>
    <w:p w14:paraId="6670EDFD" w14:textId="77777777" w:rsidR="009260C5" w:rsidRPr="009260C5" w:rsidRDefault="009260C5" w:rsidP="00626059">
      <w:pPr>
        <w:pStyle w:val="ListBullet"/>
      </w:pPr>
      <w:r w:rsidRPr="009260C5">
        <w:t xml:space="preserve">antiresorptive therapy (inhibits osteoclast activity) </w:t>
      </w:r>
    </w:p>
    <w:p w14:paraId="1566F5A1" w14:textId="33153DE6" w:rsidR="009260C5" w:rsidRPr="009260C5" w:rsidRDefault="009260C5" w:rsidP="00626059">
      <w:pPr>
        <w:pStyle w:val="ListBullet2"/>
      </w:pPr>
      <w:r w:rsidRPr="009260C5">
        <w:t>bisphosphonates (</w:t>
      </w:r>
      <w:proofErr w:type="spellStart"/>
      <w:r w:rsidRPr="009260C5">
        <w:t>eg</w:t>
      </w:r>
      <w:proofErr w:type="spellEnd"/>
      <w:r w:rsidRPr="009260C5">
        <w:t xml:space="preserve"> alendronate, risedronate, zoledronate/zoledronic acid)</w:t>
      </w:r>
    </w:p>
    <w:p w14:paraId="29E9D87D" w14:textId="50F45FB8" w:rsidR="009260C5" w:rsidRPr="009260C5" w:rsidRDefault="009260C5" w:rsidP="00626059">
      <w:pPr>
        <w:pStyle w:val="ListBullet2"/>
      </w:pPr>
      <w:r w:rsidRPr="009260C5">
        <w:t>denosumab</w:t>
      </w:r>
    </w:p>
    <w:p w14:paraId="0B22F354" w14:textId="4A08F467" w:rsidR="009260C5" w:rsidRPr="009260C5" w:rsidRDefault="009260C5" w:rsidP="00626059">
      <w:pPr>
        <w:pStyle w:val="ListBullet2"/>
      </w:pPr>
      <w:r w:rsidRPr="009260C5">
        <w:t>menopausal hormone therapy (</w:t>
      </w:r>
      <w:proofErr w:type="spellStart"/>
      <w:r w:rsidRPr="009260C5">
        <w:t>eg</w:t>
      </w:r>
      <w:proofErr w:type="spellEnd"/>
      <w:r w:rsidRPr="009260C5">
        <w:t xml:space="preserve"> oestrogen, tibolone)</w:t>
      </w:r>
    </w:p>
    <w:p w14:paraId="56DD8EAB" w14:textId="5494F619" w:rsidR="009260C5" w:rsidRPr="009260C5" w:rsidRDefault="009260C5" w:rsidP="00626059">
      <w:pPr>
        <w:pStyle w:val="ListBullet2"/>
      </w:pPr>
      <w:r w:rsidRPr="009260C5">
        <w:t>selective oestrogen receptor modulators (</w:t>
      </w:r>
      <w:proofErr w:type="gramStart"/>
      <w:r w:rsidRPr="009260C5">
        <w:t>SERMs;</w:t>
      </w:r>
      <w:proofErr w:type="gramEnd"/>
      <w:r w:rsidRPr="009260C5">
        <w:t xml:space="preserve"> </w:t>
      </w:r>
      <w:proofErr w:type="spellStart"/>
      <w:r w:rsidRPr="009260C5">
        <w:t>eg</w:t>
      </w:r>
      <w:proofErr w:type="spellEnd"/>
      <w:r w:rsidRPr="009260C5">
        <w:t xml:space="preserve"> raloxifene)</w:t>
      </w:r>
    </w:p>
    <w:p w14:paraId="0CB715F5" w14:textId="18499763" w:rsidR="009260C5" w:rsidRPr="009260C5" w:rsidRDefault="009260C5" w:rsidP="00626059">
      <w:pPr>
        <w:pStyle w:val="ListBullet"/>
      </w:pPr>
      <w:r w:rsidRPr="009260C5">
        <w:t>osteoanabolic therapy (predominant stimulatory effect on osteoblasts)</w:t>
      </w:r>
    </w:p>
    <w:p w14:paraId="66D217B1" w14:textId="3EBC0E8B" w:rsidR="009260C5" w:rsidRPr="009260C5" w:rsidRDefault="009260C5" w:rsidP="00626059">
      <w:pPr>
        <w:pStyle w:val="ListBullet2"/>
      </w:pPr>
      <w:r w:rsidRPr="009260C5">
        <w:t>teriparatide</w:t>
      </w:r>
    </w:p>
    <w:p w14:paraId="24E3CA47" w14:textId="77777777" w:rsidR="009260C5" w:rsidRPr="009260C5" w:rsidRDefault="009260C5" w:rsidP="00626059">
      <w:pPr>
        <w:pStyle w:val="ListBullet2"/>
      </w:pPr>
      <w:r w:rsidRPr="009260C5">
        <w:lastRenderedPageBreak/>
        <w:t>romosozumab (also inhibits osteoclast activity)</w:t>
      </w:r>
    </w:p>
    <w:p w14:paraId="0398EC23" w14:textId="322343C9" w:rsidR="0022156A" w:rsidRDefault="0022156A" w:rsidP="00626059">
      <w:r w:rsidRPr="0022156A">
        <w:t>For pharmacological therapies, bisphosphonate has been widely used as the first-line treatment of osteoporosis.</w:t>
      </w:r>
      <w:r w:rsidR="00626059">
        <w:t xml:space="preserve"> </w:t>
      </w:r>
      <w:r w:rsidRPr="0022156A">
        <w:t>Bisphosphonate is known to work by reducing osteoclast-mediated bone resorption.</w:t>
      </w:r>
      <w:r w:rsidRPr="0022156A">
        <w:rPr>
          <w:vertAlign w:val="superscript"/>
        </w:rPr>
        <w:footnoteReference w:id="18"/>
      </w:r>
      <w:r w:rsidRPr="0022156A">
        <w:t xml:space="preserve"> Several randomised trials have shown the benefit of oral and intravenous bisphosphonates in reducing the risk of fractures.</w:t>
      </w:r>
      <w:r w:rsidRPr="0022156A">
        <w:rPr>
          <w:vertAlign w:val="superscript"/>
        </w:rPr>
        <w:footnoteReference w:id="19"/>
      </w:r>
      <w:r w:rsidRPr="0022156A">
        <w:rPr>
          <w:vertAlign w:val="superscript"/>
        </w:rPr>
        <w:t>,</w:t>
      </w:r>
      <w:r w:rsidRPr="0022156A">
        <w:rPr>
          <w:vertAlign w:val="superscript"/>
        </w:rPr>
        <w:footnoteReference w:id="20"/>
      </w:r>
      <w:r w:rsidRPr="0022156A">
        <w:t xml:space="preserve"> Bisphosphonate is considered relatively safe, however known to be associated with rare but serious adverse events such as osteonecrosis of the jaw and atypical femoral fractures. Bisphosphonate is cleared by kidneys and should be avoided in those with poor renal function. Oral bisphosphonate is administered weekly or monthly (depending on the product), while intravenous bisphosphonate can be given yearly. Adherence to oral bisphosphonate can be low, with less than 40% of those who are prescribed still taking it after 1 year.</w:t>
      </w:r>
      <w:r w:rsidRPr="0022156A">
        <w:rPr>
          <w:vertAlign w:val="superscript"/>
        </w:rPr>
        <w:footnoteReference w:id="21"/>
      </w:r>
    </w:p>
    <w:p w14:paraId="1CA7AA86" w14:textId="0729C9B8" w:rsidR="0022156A" w:rsidRPr="0022156A" w:rsidRDefault="0022156A" w:rsidP="00626059">
      <w:r w:rsidRPr="0022156A">
        <w:t>Denosumab is the first biologic therapy approved to treat osteoporosis. Denosumab inhibits bone resorption by binding to the RANKL, thereby preventing the differentiation of osteoclast precursor cells to osteoclasts. Unlike bisphosphonates, denosumab can be used in women with compromised renal function. In a large trial (FREEDOM study), it was shown that the relative risks of fracture in those receiving denosumab vs placebo were 68%, 40%, 20%, and 16% for radiographic vertebral, hip, nonvertebral, and wrist fractures, respectively, along with increased BMD.</w:t>
      </w:r>
      <w:r w:rsidRPr="0022156A">
        <w:rPr>
          <w:vertAlign w:val="superscript"/>
        </w:rPr>
        <w:footnoteReference w:id="22"/>
      </w:r>
      <w:r w:rsidRPr="0022156A">
        <w:rPr>
          <w:vertAlign w:val="superscript"/>
        </w:rPr>
        <w:t>,</w:t>
      </w:r>
      <w:r w:rsidRPr="0022156A">
        <w:rPr>
          <w:vertAlign w:val="superscript"/>
        </w:rPr>
        <w:footnoteReference w:id="23"/>
      </w:r>
      <w:r w:rsidR="00626059">
        <w:t xml:space="preserve"> </w:t>
      </w:r>
      <w:r w:rsidRPr="0022156A">
        <w:t>As with bisphosphonates, rare cases of atypical femoral fractures and osteonecrosis of the jaw have been observed with denosumab treatment.</w:t>
      </w:r>
    </w:p>
    <w:p w14:paraId="674585CF" w14:textId="2AFF5CB2" w:rsidR="0022156A" w:rsidRPr="0022156A" w:rsidRDefault="0022156A" w:rsidP="00626059">
      <w:r w:rsidRPr="0022156A">
        <w:t>Teriparatide is an anabolic agent that works primarily by increasing bone formation.</w:t>
      </w:r>
      <w:r w:rsidR="00626059">
        <w:t xml:space="preserve"> </w:t>
      </w:r>
      <w:r w:rsidRPr="0022156A">
        <w:t>Teriparatide is administered by daily self-injection. Teriparatide has been shown to increase the incidence of osteosarcoma in rats, and its use is restricted to up to 2 years as a precautionary measure.</w:t>
      </w:r>
      <w:r w:rsidRPr="0022156A">
        <w:rPr>
          <w:vertAlign w:val="superscript"/>
        </w:rPr>
        <w:footnoteReference w:id="24"/>
      </w:r>
      <w:r w:rsidRPr="0022156A">
        <w:t xml:space="preserve"> Teriparatide is also contraindicated in individuals with severe renal failure.</w:t>
      </w:r>
    </w:p>
    <w:p w14:paraId="712B39B4" w14:textId="6038F850" w:rsidR="0022156A" w:rsidRPr="0022156A" w:rsidRDefault="0022156A" w:rsidP="00626059">
      <w:r w:rsidRPr="0022156A">
        <w:t>Oestrogen and selective estrogen-receptor modulators (SERMs) are also used particularly for postmenopausal osteoporosis.</w:t>
      </w:r>
      <w:r w:rsidR="00AA7658">
        <w:t xml:space="preserve"> </w:t>
      </w:r>
      <w:r w:rsidRPr="0022156A">
        <w:t>However, evidence for these treatments in terms of preventing nonvertebral and hip fractures are rather limited. In addition, these treatments are known to be associated with several adverse events including thrombosis (including deep vein thrombosis and pulmonary embolism) and therefore are not recommended as a first-line therapy for osteoporosis.</w:t>
      </w:r>
      <w:r w:rsidRPr="0022156A">
        <w:rPr>
          <w:vertAlign w:val="superscript"/>
        </w:rPr>
        <w:footnoteReference w:id="25"/>
      </w:r>
    </w:p>
    <w:p w14:paraId="37C47E09" w14:textId="14D3762D" w:rsidR="00CB6813" w:rsidRDefault="00CB6813" w:rsidP="00626059">
      <w:pPr>
        <w:pStyle w:val="Heading4"/>
      </w:pPr>
      <w:bookmarkStart w:id="19" w:name="_Toc226984774"/>
      <w:r>
        <w:t>C</w:t>
      </w:r>
      <w:r w:rsidRPr="00DE1344">
        <w:t xml:space="preserve">linical </w:t>
      </w:r>
      <w:r w:rsidRPr="00626059">
        <w:t>rational</w:t>
      </w:r>
      <w:r w:rsidR="0025785B" w:rsidRPr="00626059">
        <w:t>e</w:t>
      </w:r>
      <w:bookmarkEnd w:id="19"/>
    </w:p>
    <w:p w14:paraId="4FE62F4B" w14:textId="43F90E77" w:rsidR="00B35D99" w:rsidRPr="00B35D99" w:rsidRDefault="00B35D99" w:rsidP="00626059">
      <w:r w:rsidRPr="00B35D99">
        <w:t xml:space="preserve">Denosumab is a human monoclonal Immunoglobulin </w:t>
      </w:r>
      <w:proofErr w:type="spellStart"/>
      <w:r w:rsidRPr="00B35D99">
        <w:t>G2</w:t>
      </w:r>
      <w:proofErr w:type="spellEnd"/>
      <w:r w:rsidRPr="00B35D99">
        <w:t xml:space="preserve"> (</w:t>
      </w:r>
      <w:proofErr w:type="spellStart"/>
      <w:r w:rsidRPr="00B35D99">
        <w:t>IgG2</w:t>
      </w:r>
      <w:proofErr w:type="spellEnd"/>
      <w:r w:rsidRPr="00B35D99">
        <w:t>) antibody.</w:t>
      </w:r>
      <w:r w:rsidR="00626059">
        <w:t xml:space="preserve"> </w:t>
      </w:r>
    </w:p>
    <w:p w14:paraId="4CB13194" w14:textId="5D63AFC2" w:rsidR="00B35D99" w:rsidRPr="00B35D99" w:rsidRDefault="00B35D99" w:rsidP="00650CB2">
      <w:r w:rsidRPr="00B35D99">
        <w:t>Denosumab is an inhibitor of receptor activator of nuclear factor kappa-β ligand (RANKL).</w:t>
      </w:r>
      <w:r w:rsidR="00626059">
        <w:t xml:space="preserve"> </w:t>
      </w:r>
      <w:r w:rsidRPr="00B35D99">
        <w:t>RANKL is a transmembrane or soluble protein essential for the formation, function, and survival of osteoclasts, the cells responsible for bone resorption.</w:t>
      </w:r>
      <w:r w:rsidR="00626059">
        <w:t xml:space="preserve"> </w:t>
      </w:r>
      <w:r w:rsidRPr="00B35D99">
        <w:t xml:space="preserve">Denosumab binds to RANKL with high </w:t>
      </w:r>
      <w:r w:rsidRPr="00B35D99">
        <w:lastRenderedPageBreak/>
        <w:t>affinity and specificity, thereby preventing the activation of its receptor, RANK, on the surface of osteoclast precursors and osteoclasts.</w:t>
      </w:r>
      <w:r w:rsidR="00626059">
        <w:t xml:space="preserve"> </w:t>
      </w:r>
      <w:r w:rsidRPr="00B35D99">
        <w:t>Prevention of the RANKL/RANK interaction inhibits osteoclast formation, function and survival, thereby decreasing bone resorption and increasing bone mass and strength in both cortical and trabecular bone.</w:t>
      </w:r>
    </w:p>
    <w:p w14:paraId="21A4CB9D" w14:textId="52B4C3E3" w:rsidR="00D076B8" w:rsidRPr="0093260B" w:rsidRDefault="00D076B8" w:rsidP="004C7DE8">
      <w:pPr>
        <w:pStyle w:val="Heading5"/>
      </w:pPr>
      <w:r w:rsidRPr="004C7DE8">
        <w:t>Bone metastasis from solid tumours</w:t>
      </w:r>
    </w:p>
    <w:p w14:paraId="4A240E58" w14:textId="77777777" w:rsidR="00D076B8" w:rsidRPr="00D076B8" w:rsidRDefault="00D076B8" w:rsidP="004C7DE8">
      <w:r w:rsidRPr="00D076B8">
        <w:t>RANKL exists as a transmembrane or soluble protein. RANKL is essential for the formation, function and survival of osteoclasts, the sole cell type responsible for bone resorption.</w:t>
      </w:r>
    </w:p>
    <w:p w14:paraId="64470FCF" w14:textId="10EEEDB2" w:rsidR="00D076B8" w:rsidRPr="00D076B8" w:rsidRDefault="00D076B8" w:rsidP="004C7DE8">
      <w:r w:rsidRPr="00D076B8">
        <w:t>Increased osteoclast activity, stimulated by RANKL, is a key mediator of bone destruction in bone disease in metastatic tumours and multiple myeloma. Denosumab binds with high affinity and specificity to RANKL, preventing RANKL from activating its only receptor, RANK, on the surface of osteoclasts and their precursors. Prevention of RANKL-RANK interaction results in reduced osteoclast numbers and function and thereby decreases bone resorption and cancer-induced bone destruction.</w:t>
      </w:r>
    </w:p>
    <w:p w14:paraId="15366573" w14:textId="1401B5D9" w:rsidR="00D076B8" w:rsidRPr="00D076B8" w:rsidRDefault="00D076B8" w:rsidP="004C7DE8">
      <w:r w:rsidRPr="00D076B8">
        <w:t xml:space="preserve">RANKL inhibition resulted in reduced bone lesions and delayed formation of </w:t>
      </w:r>
      <w:r w:rsidRPr="00D076B8">
        <w:rPr>
          <w:iCs/>
        </w:rPr>
        <w:t xml:space="preserve">de novo </w:t>
      </w:r>
      <w:r w:rsidRPr="00D076B8">
        <w:t xml:space="preserve">bone metastases in some nonclinical models. RANKL inhibition reduced skeletal tumour </w:t>
      </w:r>
      <w:r w:rsidR="00A45F10" w:rsidRPr="00D076B8">
        <w:t>growth,</w:t>
      </w:r>
      <w:r w:rsidRPr="00D076B8">
        <w:t xml:space="preserve"> and this effect was additive when combined with other anticancer therapies.</w:t>
      </w:r>
    </w:p>
    <w:p w14:paraId="62DE99CF" w14:textId="77777777" w:rsidR="00D076B8" w:rsidRPr="0093260B" w:rsidRDefault="00D076B8" w:rsidP="004C7DE8">
      <w:pPr>
        <w:pStyle w:val="Heading5"/>
      </w:pPr>
      <w:r w:rsidRPr="0093260B">
        <w:t>Giant cell tumour of bone</w:t>
      </w:r>
    </w:p>
    <w:p w14:paraId="10BF7A69" w14:textId="77777777" w:rsidR="00D076B8" w:rsidRPr="00D076B8" w:rsidRDefault="00D076B8" w:rsidP="004C7DE8">
      <w:r w:rsidRPr="00D076B8">
        <w:t>Giant cell tumours of bone are characterised by stromal cells expressing RANKL and osteoclast-like giant cells expressing RANK. In patients with giant cell tumour of bone, denosumab binds to RANKL, significantly reducing or eliminating osteoclast-like giant cells. Consequently, osteolysis is reduced and proliferative tumour stroma can be replaced with non-proliferative, differentiated, woven new bone which may show an increase in density.</w:t>
      </w:r>
    </w:p>
    <w:p w14:paraId="1CC7CA50" w14:textId="77777777" w:rsidR="00D076B8" w:rsidRPr="0093260B" w:rsidRDefault="00D076B8" w:rsidP="004C7DE8">
      <w:pPr>
        <w:pStyle w:val="Heading5"/>
      </w:pPr>
      <w:r w:rsidRPr="0093260B">
        <w:t>Hypercalcaemia of malignancy refractory to intravenous bisphosphonates</w:t>
      </w:r>
    </w:p>
    <w:p w14:paraId="7DF99339" w14:textId="00E67FD5" w:rsidR="00D076B8" w:rsidRPr="00D076B8" w:rsidRDefault="00D076B8" w:rsidP="004C7DE8">
      <w:r w:rsidRPr="00D076B8">
        <w:t xml:space="preserve">The primary aetiology of both skeletal and humoral hypercalcaemia of malignancy is increased bone resorption, which leads to elevated calcium concentrations in the extracellular fluid. The increase in bone resorption is initiated by the release of signalling molecules such as </w:t>
      </w:r>
      <w:proofErr w:type="spellStart"/>
      <w:r w:rsidRPr="00D076B8">
        <w:t>PTHrP</w:t>
      </w:r>
      <w:proofErr w:type="spellEnd"/>
      <w:r w:rsidRPr="00D076B8">
        <w:t>, prostaglandins, and cytokine by malignant and stromal cells. These molecules stimulate osteoblasts and other stromal cells to express</w:t>
      </w:r>
      <w:r w:rsidR="0093260B">
        <w:t xml:space="preserve"> </w:t>
      </w:r>
      <w:r w:rsidRPr="00D076B8">
        <w:t>RANKL, which upon binding its receptor RANK upregulates osteoclast recruitment and differentiation and thus bone resorption, with a resultant increase in calcium concentrations of the extracellular fluid and serum. Denosumab binds to RANKL preventing RANK/RANKL mediated osteoclast formation, function, and survival thereby lowering serum calcium levels.</w:t>
      </w:r>
    </w:p>
    <w:p w14:paraId="0D615854" w14:textId="77777777" w:rsidR="00324B33" w:rsidRPr="003F31A2" w:rsidRDefault="00324B33" w:rsidP="004C7DE8">
      <w:pPr>
        <w:pStyle w:val="Heading3"/>
      </w:pPr>
      <w:bookmarkStart w:id="20" w:name="_Toc103679291"/>
      <w:bookmarkStart w:id="21" w:name="_Toc226984775"/>
      <w:r>
        <w:t xml:space="preserve">Regulatory </w:t>
      </w:r>
      <w:r w:rsidRPr="004C7DE8">
        <w:t>status</w:t>
      </w:r>
      <w:bookmarkEnd w:id="16"/>
      <w:bookmarkEnd w:id="17"/>
      <w:bookmarkEnd w:id="20"/>
      <w:bookmarkEnd w:id="21"/>
    </w:p>
    <w:p w14:paraId="72C889D6" w14:textId="7E200950" w:rsidR="0017005C" w:rsidRPr="00BD5DBD" w:rsidRDefault="0017005C" w:rsidP="004C7DE8">
      <w:pPr>
        <w:pStyle w:val="Heading4"/>
      </w:pPr>
      <w:bookmarkStart w:id="22" w:name="_Toc226984776"/>
      <w:r w:rsidRPr="00BD5DBD">
        <w:t>Australian regulatory</w:t>
      </w:r>
      <w:r>
        <w:t xml:space="preserve"> </w:t>
      </w:r>
      <w:r w:rsidRPr="004C7DE8">
        <w:t>sta</w:t>
      </w:r>
      <w:r w:rsidR="0025785B" w:rsidRPr="004C7DE8">
        <w:t>t</w:t>
      </w:r>
      <w:r w:rsidRPr="004C7DE8">
        <w:t>us</w:t>
      </w:r>
      <w:bookmarkEnd w:id="22"/>
    </w:p>
    <w:p w14:paraId="6A8633FA" w14:textId="53BCA394" w:rsidR="00324B33" w:rsidRDefault="00324B33" w:rsidP="004C7DE8">
      <w:r w:rsidRPr="00BD5DBD">
        <w:t xml:space="preserve">This product is considered a </w:t>
      </w:r>
      <w:r w:rsidR="008C754C" w:rsidRPr="00BD5DBD">
        <w:t xml:space="preserve">new </w:t>
      </w:r>
      <w:r w:rsidRPr="00BD5DBD">
        <w:t>biosimilar medicine for Australian regulatory purposes.</w:t>
      </w:r>
    </w:p>
    <w:p w14:paraId="7269E703" w14:textId="4170FB21" w:rsidR="006C2D1A" w:rsidRPr="000C3EF3" w:rsidRDefault="006C2D1A" w:rsidP="004C7DE8">
      <w:pPr>
        <w:rPr>
          <w:lang w:eastAsia="ja-JP"/>
        </w:rPr>
      </w:pPr>
      <w:r>
        <w:rPr>
          <w:lang w:eastAsia="ja-JP"/>
        </w:rPr>
        <w:t>The reference denosumab products P</w:t>
      </w:r>
      <w:r w:rsidR="000B1915">
        <w:rPr>
          <w:lang w:eastAsia="ja-JP"/>
        </w:rPr>
        <w:t>rolia</w:t>
      </w:r>
      <w:r>
        <w:rPr>
          <w:lang w:eastAsia="ja-JP"/>
        </w:rPr>
        <w:t xml:space="preserve"> and X</w:t>
      </w:r>
      <w:r w:rsidR="000B1915">
        <w:rPr>
          <w:lang w:eastAsia="ja-JP"/>
        </w:rPr>
        <w:t>geva</w:t>
      </w:r>
      <w:r>
        <w:rPr>
          <w:lang w:eastAsia="ja-JP"/>
        </w:rPr>
        <w:t xml:space="preserve"> were first approved in Australia </w:t>
      </w:r>
      <w:r w:rsidR="00DC05C3">
        <w:rPr>
          <w:lang w:eastAsia="ja-JP"/>
        </w:rPr>
        <w:t>on</w:t>
      </w:r>
      <w:r>
        <w:rPr>
          <w:lang w:eastAsia="ja-JP"/>
        </w:rPr>
        <w:t xml:space="preserve"> </w:t>
      </w:r>
      <w:r w:rsidR="00324C01">
        <w:rPr>
          <w:lang w:eastAsia="ja-JP"/>
        </w:rPr>
        <w:t xml:space="preserve">22 </w:t>
      </w:r>
      <w:r>
        <w:rPr>
          <w:lang w:eastAsia="ja-JP"/>
        </w:rPr>
        <w:t xml:space="preserve">June 2010 and </w:t>
      </w:r>
      <w:r w:rsidR="00324C01">
        <w:rPr>
          <w:lang w:eastAsia="ja-JP"/>
        </w:rPr>
        <w:t xml:space="preserve">8 </w:t>
      </w:r>
      <w:r>
        <w:rPr>
          <w:lang w:eastAsia="ja-JP"/>
        </w:rPr>
        <w:t>September 2011, respectively.</w:t>
      </w:r>
      <w:r w:rsidR="00626059">
        <w:rPr>
          <w:lang w:eastAsia="ja-JP"/>
        </w:rPr>
        <w:t xml:space="preserve"> </w:t>
      </w:r>
      <w:r>
        <w:rPr>
          <w:lang w:eastAsia="ja-JP"/>
        </w:rPr>
        <w:t xml:space="preserve">There are </w:t>
      </w:r>
      <w:r w:rsidR="00737976">
        <w:rPr>
          <w:lang w:eastAsia="ja-JP"/>
        </w:rPr>
        <w:t>several</w:t>
      </w:r>
      <w:r>
        <w:rPr>
          <w:lang w:eastAsia="ja-JP"/>
        </w:rPr>
        <w:t xml:space="preserve"> other denosumab products </w:t>
      </w:r>
      <w:r w:rsidR="002E6849">
        <w:rPr>
          <w:lang w:eastAsia="ja-JP"/>
        </w:rPr>
        <w:t xml:space="preserve">registered </w:t>
      </w:r>
      <w:r>
        <w:rPr>
          <w:lang w:eastAsia="ja-JP"/>
        </w:rPr>
        <w:t>on the ARTG.</w:t>
      </w:r>
      <w:r>
        <w:rPr>
          <w:rStyle w:val="FootnoteReference"/>
          <w:lang w:eastAsia="ja-JP"/>
        </w:rPr>
        <w:footnoteReference w:id="26"/>
      </w:r>
    </w:p>
    <w:p w14:paraId="546C1031" w14:textId="4EF98FA1" w:rsidR="0017005C" w:rsidRDefault="00131B1B" w:rsidP="004C7DE8">
      <w:pPr>
        <w:pStyle w:val="Heading4"/>
      </w:pPr>
      <w:bookmarkStart w:id="23" w:name="_Toc226984777"/>
      <w:r>
        <w:lastRenderedPageBreak/>
        <w:t xml:space="preserve">International </w:t>
      </w:r>
      <w:r w:rsidR="0017005C" w:rsidRPr="00BD5DBD">
        <w:t>regulatory</w:t>
      </w:r>
      <w:r w:rsidR="0017005C">
        <w:t xml:space="preserve"> </w:t>
      </w:r>
      <w:r w:rsidR="0017005C" w:rsidRPr="004C7DE8">
        <w:t>status</w:t>
      </w:r>
      <w:bookmarkEnd w:id="23"/>
    </w:p>
    <w:p w14:paraId="02E90E03" w14:textId="3505FABD" w:rsidR="008F4A62" w:rsidRPr="004C7DE8" w:rsidRDefault="008F4A62" w:rsidP="004C7DE8">
      <w:r w:rsidRPr="00BD5DBD">
        <w:t xml:space="preserve">At the time the TGA considered this submission, </w:t>
      </w:r>
      <w:r w:rsidR="00195B10" w:rsidRPr="00BD5DBD">
        <w:t>similar submission</w:t>
      </w:r>
      <w:r w:rsidR="00195B10">
        <w:t>s</w:t>
      </w:r>
      <w:r w:rsidRPr="00BD5DBD">
        <w:t xml:space="preserve"> had been approved in </w:t>
      </w:r>
      <w:r w:rsidR="00B420A1">
        <w:t xml:space="preserve">the European Union (EU) </w:t>
      </w:r>
      <w:r w:rsidR="00A54108">
        <w:t xml:space="preserve">on 26 </w:t>
      </w:r>
      <w:r w:rsidR="00FF623D">
        <w:t xml:space="preserve">May </w:t>
      </w:r>
      <w:r w:rsidR="00A54108">
        <w:t xml:space="preserve">2025, </w:t>
      </w:r>
      <w:r w:rsidR="00195B10">
        <w:t xml:space="preserve">and the </w:t>
      </w:r>
      <w:r w:rsidR="00A54108">
        <w:t xml:space="preserve">United Kingdom (UK) </w:t>
      </w:r>
      <w:r w:rsidR="00195B10">
        <w:t xml:space="preserve">on </w:t>
      </w:r>
      <w:r w:rsidR="00A54108">
        <w:t>30 June 2025 (</w:t>
      </w:r>
      <w:proofErr w:type="spellStart"/>
      <w:r w:rsidR="00A54108">
        <w:t>Osvyrti</w:t>
      </w:r>
      <w:proofErr w:type="spellEnd"/>
      <w:r w:rsidR="00A54108">
        <w:t>)</w:t>
      </w:r>
      <w:r w:rsidR="00F677A9">
        <w:t xml:space="preserve">, </w:t>
      </w:r>
      <w:r w:rsidR="00654D42">
        <w:t xml:space="preserve">and </w:t>
      </w:r>
      <w:r w:rsidR="00F677A9">
        <w:t>4 July 2025 (</w:t>
      </w:r>
      <w:proofErr w:type="spellStart"/>
      <w:r w:rsidR="00F677A9">
        <w:t>Jubereq</w:t>
      </w:r>
      <w:proofErr w:type="spellEnd"/>
      <w:r w:rsidR="00F677A9">
        <w:t>)</w:t>
      </w:r>
      <w:r w:rsidRPr="00BD5DBD">
        <w:t xml:space="preserve">. A similar submission was under consideration in </w:t>
      </w:r>
      <w:r w:rsidR="00654D42">
        <w:t>the United States (US)</w:t>
      </w:r>
      <w:r w:rsidRPr="00BD5DBD">
        <w:t xml:space="preserve"> (submitted on </w:t>
      </w:r>
      <w:r w:rsidR="00C04349">
        <w:t>11 March 2024)</w:t>
      </w:r>
      <w:r w:rsidR="00D44EA3">
        <w:t>,</w:t>
      </w:r>
      <w:r w:rsidR="00C04349">
        <w:t xml:space="preserve"> under th</w:t>
      </w:r>
      <w:r w:rsidR="00274DC9">
        <w:t xml:space="preserve">e </w:t>
      </w:r>
      <w:r w:rsidR="000E08FD">
        <w:t>trade</w:t>
      </w:r>
      <w:r w:rsidR="00876213">
        <w:t xml:space="preserve"> </w:t>
      </w:r>
      <w:r w:rsidR="00274DC9">
        <w:t>names</w:t>
      </w:r>
      <w:r w:rsidR="00D44EA3" w:rsidRPr="00D44EA3">
        <w:rPr>
          <w:rFonts w:ascii="Roboto" w:hAnsi="Roboto"/>
          <w:color w:val="111111"/>
          <w:shd w:val="clear" w:color="auto" w:fill="FFFFFF"/>
        </w:rPr>
        <w:t xml:space="preserve"> </w:t>
      </w:r>
      <w:proofErr w:type="spellStart"/>
      <w:r w:rsidR="00D44EA3" w:rsidRPr="00D44EA3">
        <w:t>Osvyrti</w:t>
      </w:r>
      <w:proofErr w:type="spellEnd"/>
      <w:r w:rsidR="00D44EA3" w:rsidRPr="00D44EA3">
        <w:t xml:space="preserve"> and </w:t>
      </w:r>
      <w:proofErr w:type="spellStart"/>
      <w:r w:rsidR="00D44EA3" w:rsidRPr="00D44EA3">
        <w:t>Jubereq</w:t>
      </w:r>
      <w:proofErr w:type="spellEnd"/>
      <w:r w:rsidRPr="00BD5DBD">
        <w:t>.</w:t>
      </w:r>
    </w:p>
    <w:p w14:paraId="6D92589C" w14:textId="142111F4" w:rsidR="00324B33" w:rsidRDefault="002E6849" w:rsidP="004C7DE8">
      <w:pPr>
        <w:pStyle w:val="Heading2"/>
      </w:pPr>
      <w:bookmarkStart w:id="24" w:name="_Toc504480011"/>
      <w:bookmarkStart w:id="25" w:name="_Toc103679293"/>
      <w:bookmarkStart w:id="26" w:name="_Toc226984778"/>
      <w:r>
        <w:t>R</w:t>
      </w:r>
      <w:r w:rsidR="00324B33">
        <w:t xml:space="preserve">egistration </w:t>
      </w:r>
      <w:r w:rsidR="00324B33" w:rsidRPr="004C7DE8">
        <w:t>timeline</w:t>
      </w:r>
      <w:bookmarkEnd w:id="24"/>
      <w:bookmarkEnd w:id="25"/>
      <w:bookmarkEnd w:id="26"/>
    </w:p>
    <w:p w14:paraId="225E3D87" w14:textId="1F3070CE" w:rsidR="00324B33" w:rsidRPr="00BD5DBD" w:rsidRDefault="00324B33" w:rsidP="004C7DE8">
      <w:r w:rsidRPr="00BD5DBD">
        <w:t>The following table captures the key steps and dates for this submission.</w:t>
      </w:r>
    </w:p>
    <w:p w14:paraId="6BB76942" w14:textId="49C62989" w:rsidR="00477C4E" w:rsidRPr="00BD5DBD" w:rsidRDefault="00477C4E" w:rsidP="004C7DE8">
      <w:pPr>
        <w:rPr>
          <w:szCs w:val="22"/>
        </w:rPr>
      </w:pPr>
      <w:r w:rsidRPr="00BD5DBD">
        <w:rPr>
          <w:szCs w:val="22"/>
        </w:rPr>
        <w:t xml:space="preserve">This submission was evaluated under the </w:t>
      </w:r>
      <w:hyperlink r:id="rId18" w:history="1">
        <w:r w:rsidRPr="00BD5DBD">
          <w:rPr>
            <w:rStyle w:val="Hyperlink"/>
            <w:szCs w:val="22"/>
          </w:rPr>
          <w:t>standard prescription medicines registration process</w:t>
        </w:r>
      </w:hyperlink>
      <w:r w:rsidRPr="00BD5DBD">
        <w:rPr>
          <w:szCs w:val="22"/>
        </w:rPr>
        <w:t>.</w:t>
      </w:r>
    </w:p>
    <w:p w14:paraId="5263E729" w14:textId="36002E8A" w:rsidR="005B02A2" w:rsidRPr="003C1192" w:rsidRDefault="00324B33" w:rsidP="004C7DE8">
      <w:pPr>
        <w:pStyle w:val="TableTitle"/>
        <w:rPr>
          <w:iCs/>
        </w:rPr>
      </w:pPr>
      <w:r w:rsidRPr="002C1232">
        <w:t xml:space="preserve">Table </w:t>
      </w:r>
      <w:r w:rsidR="008B1CB5">
        <w:fldChar w:fldCharType="begin"/>
      </w:r>
      <w:r w:rsidR="008B1CB5">
        <w:instrText xml:space="preserve"> SEQ Table \* ARABIC </w:instrText>
      </w:r>
      <w:r w:rsidR="008B1CB5">
        <w:fldChar w:fldCharType="separate"/>
      </w:r>
      <w:r w:rsidR="008B1CB5" w:rsidRPr="002C1232">
        <w:t>2</w:t>
      </w:r>
      <w:r w:rsidR="008B1CB5">
        <w:fldChar w:fldCharType="end"/>
      </w:r>
      <w:r w:rsidR="009F5BBE">
        <w:t>.</w:t>
      </w:r>
      <w:r w:rsidRPr="002C1232">
        <w:t xml:space="preserve"> Timeline for Submission </w:t>
      </w:r>
      <w:r w:rsidRPr="004C7DE8">
        <w:t>PM</w:t>
      </w:r>
      <w:r w:rsidRPr="002C1232">
        <w:t>-202</w:t>
      </w:r>
      <w:r w:rsidR="00A4402F">
        <w:t>4-</w:t>
      </w:r>
      <w:r w:rsidR="009D1C93">
        <w:t>02065-1-5</w:t>
      </w:r>
      <w:r w:rsidR="00BD0ECE">
        <w:t>.</w:t>
      </w:r>
    </w:p>
    <w:tbl>
      <w:tblPr>
        <w:tblStyle w:val="TableTGAblue2023"/>
        <w:tblW w:w="8784" w:type="dxa"/>
        <w:tblLook w:val="04A0" w:firstRow="1" w:lastRow="0" w:firstColumn="1" w:lastColumn="0" w:noHBand="0" w:noVBand="1"/>
      </w:tblPr>
      <w:tblGrid>
        <w:gridCol w:w="5665"/>
        <w:gridCol w:w="3119"/>
      </w:tblGrid>
      <w:tr w:rsidR="00324B33" w:rsidRPr="00D01DDB" w14:paraId="6C59BE9C" w14:textId="77777777" w:rsidTr="001A0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A148C7">
            <w:r w:rsidRPr="00D01DDB">
              <w:t>Description</w:t>
            </w:r>
          </w:p>
        </w:tc>
        <w:tc>
          <w:tcPr>
            <w:tcW w:w="3119" w:type="dxa"/>
          </w:tcPr>
          <w:p w14:paraId="79AFDC4B" w14:textId="05792035" w:rsidR="00324B33" w:rsidRPr="00D01DDB" w:rsidRDefault="00324B33" w:rsidP="00A148C7">
            <w:pPr>
              <w:cnfStyle w:val="100000000000" w:firstRow="1" w:lastRow="0" w:firstColumn="0" w:lastColumn="0" w:oddVBand="0" w:evenVBand="0" w:oddHBand="0" w:evenHBand="0" w:firstRowFirstColumn="0" w:firstRowLastColumn="0" w:lastRowFirstColumn="0" w:lastRowLastColumn="0"/>
            </w:pPr>
            <w:r w:rsidRPr="00D01DDB">
              <w:t>Date</w:t>
            </w:r>
          </w:p>
        </w:tc>
      </w:tr>
      <w:tr w:rsidR="00324B33" w:rsidRPr="00D01DDB" w14:paraId="23610C53" w14:textId="77777777" w:rsidTr="001A0280">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A148C7">
            <w:r w:rsidRPr="00E679D1">
              <w:t>Submission dossier accepted and first round evaluation commenced</w:t>
            </w:r>
          </w:p>
        </w:tc>
        <w:tc>
          <w:tcPr>
            <w:tcW w:w="3119" w:type="dxa"/>
          </w:tcPr>
          <w:p w14:paraId="2963D9D8" w14:textId="0087803E" w:rsidR="00324B33" w:rsidRPr="00D01DDB" w:rsidRDefault="001A0280" w:rsidP="00A148C7">
            <w:pPr>
              <w:cnfStyle w:val="000000000000" w:firstRow="0" w:lastRow="0" w:firstColumn="0" w:lastColumn="0" w:oddVBand="0" w:evenVBand="0" w:oddHBand="0" w:evenHBand="0" w:firstRowFirstColumn="0" w:firstRowLastColumn="0" w:lastRowFirstColumn="0" w:lastRowLastColumn="0"/>
            </w:pPr>
            <w:r>
              <w:t>1 July 2024</w:t>
            </w:r>
          </w:p>
        </w:tc>
      </w:tr>
      <w:tr w:rsidR="00803926" w:rsidRPr="00D01DDB" w14:paraId="16D13F79" w14:textId="77777777" w:rsidTr="001A0280">
        <w:tc>
          <w:tcPr>
            <w:cnfStyle w:val="001000000000" w:firstRow="0" w:lastRow="0" w:firstColumn="1" w:lastColumn="0" w:oddVBand="0" w:evenVBand="0" w:oddHBand="0" w:evenHBand="0" w:firstRowFirstColumn="0" w:firstRowLastColumn="0" w:lastRowFirstColumn="0" w:lastRowLastColumn="0"/>
            <w:tcW w:w="5665" w:type="dxa"/>
          </w:tcPr>
          <w:p w14:paraId="6858B45A" w14:textId="615A218B" w:rsidR="00803926" w:rsidRPr="00E679D1" w:rsidDel="00C62B1C" w:rsidRDefault="00803926" w:rsidP="00A148C7">
            <w:r>
              <w:t>Evaluation completed</w:t>
            </w:r>
            <w:r w:rsidR="005775D0">
              <w:t xml:space="preserve"> (End of round </w:t>
            </w:r>
            <w:r w:rsidR="00C00844">
              <w:t>2)</w:t>
            </w:r>
          </w:p>
        </w:tc>
        <w:tc>
          <w:tcPr>
            <w:tcW w:w="3119" w:type="dxa"/>
          </w:tcPr>
          <w:p w14:paraId="2E0BD403" w14:textId="25978988" w:rsidR="00803926" w:rsidRPr="00D01DDB" w:rsidRDefault="0033756A" w:rsidP="00A148C7">
            <w:pPr>
              <w:cnfStyle w:val="000000000000" w:firstRow="0" w:lastRow="0" w:firstColumn="0" w:lastColumn="0" w:oddVBand="0" w:evenVBand="0" w:oddHBand="0" w:evenHBand="0" w:firstRowFirstColumn="0" w:firstRowLastColumn="0" w:lastRowFirstColumn="0" w:lastRowLastColumn="0"/>
            </w:pPr>
            <w:r>
              <w:t>6 June 2025</w:t>
            </w:r>
          </w:p>
        </w:tc>
      </w:tr>
      <w:tr w:rsidR="00324B33" w:rsidRPr="00D01DDB" w14:paraId="6E5D32FE" w14:textId="77777777" w:rsidTr="001A0280">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A148C7">
            <w:r w:rsidRPr="00E679D1">
              <w:t>Registration decision (Outcome)</w:t>
            </w:r>
          </w:p>
        </w:tc>
        <w:tc>
          <w:tcPr>
            <w:tcW w:w="3119" w:type="dxa"/>
          </w:tcPr>
          <w:p w14:paraId="62987ABD" w14:textId="047B5FD3" w:rsidR="00324B33" w:rsidRPr="00D01DDB" w:rsidRDefault="00D656DA" w:rsidP="00A148C7">
            <w:pPr>
              <w:cnfStyle w:val="000000000000" w:firstRow="0" w:lastRow="0" w:firstColumn="0" w:lastColumn="0" w:oddVBand="0" w:evenVBand="0" w:oddHBand="0" w:evenHBand="0" w:firstRowFirstColumn="0" w:firstRowLastColumn="0" w:lastRowFirstColumn="0" w:lastRowLastColumn="0"/>
            </w:pPr>
            <w:r>
              <w:t>19 September 2025</w:t>
            </w:r>
          </w:p>
        </w:tc>
      </w:tr>
      <w:tr w:rsidR="00324B33" w:rsidRPr="00D01DDB" w14:paraId="6DDCDDA4" w14:textId="77777777" w:rsidTr="001A0280">
        <w:tc>
          <w:tcPr>
            <w:cnfStyle w:val="001000000000" w:firstRow="0" w:lastRow="0" w:firstColumn="1" w:lastColumn="0" w:oddVBand="0" w:evenVBand="0" w:oddHBand="0" w:evenHBand="0" w:firstRowFirstColumn="0" w:firstRowLastColumn="0" w:lastRowFirstColumn="0" w:lastRowLastColumn="0"/>
            <w:tcW w:w="5665" w:type="dxa"/>
          </w:tcPr>
          <w:p w14:paraId="192FD19D" w14:textId="15C8F20B" w:rsidR="00324B33" w:rsidRPr="00E679D1" w:rsidRDefault="00C00844" w:rsidP="00A148C7">
            <w:r>
              <w:t>R</w:t>
            </w:r>
            <w:r w:rsidR="0013132F" w:rsidRPr="00E679D1">
              <w:t xml:space="preserve">egistration </w:t>
            </w:r>
            <w:r w:rsidR="005C4B46" w:rsidRPr="00E679D1">
              <w:t xml:space="preserve">in </w:t>
            </w:r>
            <w:r w:rsidR="0013132F" w:rsidRPr="00E679D1">
              <w:t xml:space="preserve">the </w:t>
            </w:r>
            <w:proofErr w:type="spellStart"/>
            <w:r w:rsidR="0013132F" w:rsidRPr="00E679D1">
              <w:t>ARTG</w:t>
            </w:r>
            <w:proofErr w:type="spellEnd"/>
            <w:r w:rsidR="0013132F" w:rsidRPr="00E679D1">
              <w:t xml:space="preserve"> completed</w:t>
            </w:r>
          </w:p>
        </w:tc>
        <w:tc>
          <w:tcPr>
            <w:tcW w:w="3119" w:type="dxa"/>
          </w:tcPr>
          <w:p w14:paraId="5A8923FD" w14:textId="60BB8647" w:rsidR="00324B33" w:rsidRPr="00D01DDB" w:rsidRDefault="00B26AD5" w:rsidP="00A148C7">
            <w:pPr>
              <w:cnfStyle w:val="000000000000" w:firstRow="0" w:lastRow="0" w:firstColumn="0" w:lastColumn="0" w:oddVBand="0" w:evenVBand="0" w:oddHBand="0" w:evenHBand="0" w:firstRowFirstColumn="0" w:firstRowLastColumn="0" w:lastRowFirstColumn="0" w:lastRowLastColumn="0"/>
            </w:pPr>
            <w:r>
              <w:t>31 October 2025</w:t>
            </w:r>
          </w:p>
        </w:tc>
      </w:tr>
      <w:tr w:rsidR="00324B33" w:rsidRPr="00D01DDB" w14:paraId="56D922E2" w14:textId="77777777" w:rsidTr="001A0280">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A148C7">
            <w:r w:rsidRPr="00E679D1">
              <w:t>Number of working days from submission dossier acceptance to registration decision*</w:t>
            </w:r>
          </w:p>
        </w:tc>
        <w:tc>
          <w:tcPr>
            <w:tcW w:w="3119" w:type="dxa"/>
          </w:tcPr>
          <w:p w14:paraId="5BAF9FA1" w14:textId="5972AFE0" w:rsidR="00324B33" w:rsidRPr="00D01DDB" w:rsidRDefault="008057E9" w:rsidP="00A148C7">
            <w:pPr>
              <w:cnfStyle w:val="000000000000" w:firstRow="0" w:lastRow="0" w:firstColumn="0" w:lastColumn="0" w:oddVBand="0" w:evenVBand="0" w:oddHBand="0" w:evenHBand="0" w:firstRowFirstColumn="0" w:firstRowLastColumn="0" w:lastRowFirstColumn="0" w:lastRowLastColumn="0"/>
            </w:pPr>
            <w:r>
              <w:t>23</w:t>
            </w:r>
            <w:r w:rsidR="00D7218D">
              <w:t>6</w:t>
            </w:r>
          </w:p>
        </w:tc>
      </w:tr>
    </w:tbl>
    <w:p w14:paraId="7B02554C" w14:textId="77777777" w:rsidR="00433318" w:rsidRDefault="00433318" w:rsidP="00A148C7">
      <w:pPr>
        <w:pStyle w:val="TableDescription"/>
      </w:pPr>
      <w:r>
        <w:t>*</w:t>
      </w:r>
      <w:r w:rsidRPr="00BF3774">
        <w:t xml:space="preserve">Statutory </w:t>
      </w:r>
      <w:r>
        <w:t xml:space="preserve">timeframe for </w:t>
      </w:r>
      <w:r w:rsidRPr="00A148C7">
        <w:t>standard</w:t>
      </w:r>
      <w:r>
        <w:t xml:space="preserve"> submissions is 255 working days</w:t>
      </w:r>
    </w:p>
    <w:p w14:paraId="220925F1" w14:textId="2B5F527D" w:rsidR="00C22214" w:rsidRPr="00792A32" w:rsidRDefault="00083763" w:rsidP="00A148C7">
      <w:pPr>
        <w:pStyle w:val="Heading2"/>
      </w:pPr>
      <w:bookmarkStart w:id="27" w:name="_Toc196046504"/>
      <w:bookmarkStart w:id="28" w:name="_Toc247691527"/>
      <w:bookmarkStart w:id="29" w:name="_Toc314842510"/>
      <w:bookmarkStart w:id="30" w:name="_Toc103679294"/>
      <w:bookmarkStart w:id="31" w:name="_Toc226984779"/>
      <w:r>
        <w:t xml:space="preserve">Assessment </w:t>
      </w:r>
      <w:r w:rsidR="00C22214" w:rsidRPr="00A148C7">
        <w:t>overview</w:t>
      </w:r>
      <w:bookmarkEnd w:id="27"/>
      <w:bookmarkEnd w:id="28"/>
      <w:bookmarkEnd w:id="29"/>
      <w:bookmarkEnd w:id="30"/>
      <w:bookmarkEnd w:id="31"/>
    </w:p>
    <w:p w14:paraId="540151FC" w14:textId="77777777" w:rsidR="00C22214" w:rsidRPr="00BD5DBD" w:rsidRDefault="00C22214" w:rsidP="00A148C7">
      <w:bookmarkStart w:id="32" w:name="_Toc247691528"/>
      <w:bookmarkStart w:id="33" w:name="_Toc314842511"/>
      <w:r w:rsidRPr="00BD5DBD">
        <w:t>A summary of the TGA’s assessment for this submission is provided below.</w:t>
      </w:r>
    </w:p>
    <w:p w14:paraId="37F5A1C0" w14:textId="5D3D5FE0" w:rsidR="00C22214" w:rsidRDefault="00095C6A" w:rsidP="00A148C7">
      <w:pPr>
        <w:pStyle w:val="Heading3"/>
      </w:pPr>
      <w:bookmarkStart w:id="34" w:name="_Toc103679295"/>
      <w:bookmarkStart w:id="35" w:name="_Toc226984780"/>
      <w:r>
        <w:t>Q</w:t>
      </w:r>
      <w:r w:rsidR="00C22214">
        <w:t>uality</w:t>
      </w:r>
      <w:bookmarkEnd w:id="32"/>
      <w:bookmarkEnd w:id="33"/>
      <w:bookmarkEnd w:id="34"/>
      <w:r w:rsidR="007E6443">
        <w:t xml:space="preserve"> evaluation</w:t>
      </w:r>
      <w:r>
        <w:t xml:space="preserve"> </w:t>
      </w:r>
      <w:r w:rsidRPr="00A148C7">
        <w:t>summary</w:t>
      </w:r>
      <w:bookmarkEnd w:id="35"/>
    </w:p>
    <w:p w14:paraId="5D0EECC0" w14:textId="78D0D5D4" w:rsidR="002928CA" w:rsidRDefault="00144EE8" w:rsidP="00A148C7">
      <w:pPr>
        <w:rPr>
          <w:lang w:val="en-US"/>
        </w:rPr>
      </w:pPr>
      <w:r w:rsidRPr="00144EE8">
        <w:t>Denosumab</w:t>
      </w:r>
      <w:r w:rsidR="000F506E" w:rsidRPr="000F506E">
        <w:t xml:space="preserve"> </w:t>
      </w:r>
      <w:r w:rsidR="000F506E">
        <w:t>(</w:t>
      </w:r>
      <w:r w:rsidR="000F506E" w:rsidRPr="00443C8B">
        <w:t>INTP23.1</w:t>
      </w:r>
      <w:r w:rsidRPr="00144EE8">
        <w:t>) is a full-length human monoclonal antibody that belongs to the IgG2 class</w:t>
      </w:r>
      <w:r w:rsidR="00FB4C5F">
        <w:t>,</w:t>
      </w:r>
      <w:r w:rsidR="00AB7858" w:rsidRPr="00AB7858">
        <w:rPr>
          <w:lang w:val="en-US"/>
        </w:rPr>
        <w:t xml:space="preserve"> produced in a mammalian cell line (Chinese hamster ovary cells) by recombinant DNA technology.</w:t>
      </w:r>
      <w:r w:rsidR="00FB4C5F">
        <w:rPr>
          <w:lang w:val="en-US"/>
        </w:rPr>
        <w:t xml:space="preserve"> </w:t>
      </w:r>
      <w:r w:rsidR="002928CA" w:rsidRPr="002928CA">
        <w:rPr>
          <w:lang w:val="en-US"/>
        </w:rPr>
        <w:t xml:space="preserve">Each </w:t>
      </w:r>
      <w:r w:rsidR="00823B95">
        <w:rPr>
          <w:lang w:val="en-US"/>
        </w:rPr>
        <w:t>vial</w:t>
      </w:r>
      <w:r w:rsidR="00FF1E3E">
        <w:rPr>
          <w:lang w:val="en-US"/>
        </w:rPr>
        <w:t xml:space="preserve"> </w:t>
      </w:r>
      <w:r w:rsidR="007B0EC2" w:rsidRPr="007B0EC2">
        <w:t>contains a deliverable dose of 120 mg denosumab in 1.7 mL of solution (70 mg/</w:t>
      </w:r>
      <w:r w:rsidR="00F9086A">
        <w:t xml:space="preserve"> </w:t>
      </w:r>
      <w:r w:rsidR="007B0EC2" w:rsidRPr="007B0EC2">
        <w:t>mL).</w:t>
      </w:r>
      <w:r w:rsidR="007B0EC2">
        <w:t xml:space="preserve"> Each </w:t>
      </w:r>
      <w:r w:rsidR="002928CA" w:rsidRPr="002928CA">
        <w:rPr>
          <w:lang w:val="en-US"/>
        </w:rPr>
        <w:t>1 mL single-use pre-filled syringe contains 60 mg denosumab.</w:t>
      </w:r>
    </w:p>
    <w:p w14:paraId="0759501B" w14:textId="0E9786DA" w:rsidR="002D4F28" w:rsidRPr="002928CA" w:rsidRDefault="002D4F28" w:rsidP="00A148C7">
      <w:pPr>
        <w:rPr>
          <w:lang w:val="en-US"/>
        </w:rPr>
      </w:pPr>
      <w:r w:rsidRPr="002D4F28">
        <w:t>D</w:t>
      </w:r>
      <w:r w:rsidR="00D54152">
        <w:t>enosumab (INTP23.1)</w:t>
      </w:r>
      <w:r w:rsidRPr="002D4F28">
        <w:t xml:space="preserve"> is supplied as a sterile, preservative-free, clear, colourless to pale yellow solution for injection at pH 5.2.</w:t>
      </w:r>
      <w:r w:rsidR="00DF3AB3">
        <w:t xml:space="preserve"> </w:t>
      </w:r>
      <w:r w:rsidRPr="002D4F28">
        <w:t>The solution may contain trace amounts of translucent to white proteinaceous particles.</w:t>
      </w:r>
    </w:p>
    <w:p w14:paraId="2E378CEB" w14:textId="37D97646" w:rsidR="00AB40C4" w:rsidRPr="00AB40C4" w:rsidRDefault="00AB40C4" w:rsidP="00A148C7">
      <w:r w:rsidRPr="00AB40C4">
        <w:t>In terms of stability conclusions, all parameters for the drug substance remained within stability specifications at -20 ±5 °C over 24 months for developmental and phase-III clinical batches, as well as 6 months for</w:t>
      </w:r>
      <w:r w:rsidR="00542DD9" w:rsidRPr="00542DD9">
        <w:rPr>
          <w:rFonts w:eastAsia="Times New Roman" w:cs="Times New Roman"/>
          <w:lang w:eastAsia="en-AU"/>
        </w:rPr>
        <w:t xml:space="preserve"> </w:t>
      </w:r>
      <w:r w:rsidR="00542DD9" w:rsidRPr="00542DD9">
        <w:t>Process Performance Qualification (</w:t>
      </w:r>
      <w:r w:rsidRPr="00542DD9">
        <w:t>PPQ</w:t>
      </w:r>
      <w:r w:rsidR="00542DD9" w:rsidRPr="00542DD9">
        <w:t>)</w:t>
      </w:r>
      <w:r w:rsidRPr="00542DD9">
        <w:t xml:space="preserve"> batches</w:t>
      </w:r>
      <w:r w:rsidRPr="00AB40C4">
        <w:t>. No discernible trends indicating quality changes were noted during this period. For the accelerated condition (5 ± 3 °C), similar results were observed after 6 months, with all stability results staying within specifications.</w:t>
      </w:r>
    </w:p>
    <w:p w14:paraId="5CCAF0A5" w14:textId="4CFF69AC" w:rsidR="00AB40C4" w:rsidRPr="00AB40C4" w:rsidRDefault="00AB40C4" w:rsidP="00A148C7">
      <w:r w:rsidRPr="00AB40C4">
        <w:t xml:space="preserve">The stress condition analysis showed compliance with acceptance criteria for physical appearance, pH, protein concentration, SE-HPLC, and relative potency for up to 28 days, with only minor changes observed in impurities and no significant alterations in protein oxidation or </w:t>
      </w:r>
      <w:r w:rsidRPr="00AB40C4">
        <w:lastRenderedPageBreak/>
        <w:t>purity. Furthermore, testing for photostability revealed that exposure to high light intensity did not significantly affect the drug substance's quality. Although Denosumab is photosensitive, it is not subjected to conditions likely to cause degradation during its production process.</w:t>
      </w:r>
    </w:p>
    <w:p w14:paraId="462D9B35" w14:textId="1337F697" w:rsidR="00443C8B" w:rsidRPr="00443C8B" w:rsidRDefault="00443C8B" w:rsidP="00A148C7">
      <w:r w:rsidRPr="00443C8B">
        <w:t>The sponsor initially proposed a 24-month shelf life for the product when stored between 2°C and 8°C. However,</w:t>
      </w:r>
      <w:r w:rsidR="009D0507">
        <w:t xml:space="preserve"> a </w:t>
      </w:r>
      <w:r w:rsidRPr="00443C8B">
        <w:t>complete dataset to support this claim</w:t>
      </w:r>
      <w:r w:rsidR="009D0507">
        <w:t xml:space="preserve"> was not submitted</w:t>
      </w:r>
      <w:r w:rsidRPr="00443C8B">
        <w:t>. Furthermore, only 6 months of initial long-term stability data from full-scale commercial batches were provided.</w:t>
      </w:r>
    </w:p>
    <w:p w14:paraId="6AEFFB4D" w14:textId="41841FE5" w:rsidR="00C055B1" w:rsidRDefault="00443C8B" w:rsidP="00A148C7">
      <w:pPr>
        <w:rPr>
          <w:lang w:val="en-US"/>
        </w:rPr>
      </w:pPr>
      <w:r w:rsidRPr="00443C8B">
        <w:t>This data covered a period of up to 12 months under long-term storage conditions of 5 ± 3°C.</w:t>
      </w:r>
      <w:r w:rsidR="00437E8A">
        <w:t xml:space="preserve"> </w:t>
      </w:r>
      <w:r w:rsidRPr="00443C8B">
        <w:t xml:space="preserve">The submitted data indicate that all tested batches met the established specification acceptance criteria at all provided time points, and no significant trends were observed. Based on the currently available data, a </w:t>
      </w:r>
      <w:r w:rsidR="00650319">
        <w:t>24</w:t>
      </w:r>
      <w:r w:rsidRPr="00443C8B">
        <w:t>-month shelf life for the drug product can be supported.</w:t>
      </w:r>
      <w:r w:rsidR="00A15D00" w:rsidRPr="00C055B1">
        <w:t xml:space="preserve"> Therefore, i</w:t>
      </w:r>
      <w:r w:rsidR="00C055B1" w:rsidRPr="00C055B1">
        <w:t>t</w:t>
      </w:r>
      <w:r w:rsidR="00A15D00" w:rsidRPr="00C055B1">
        <w:rPr>
          <w:lang w:val="en-US"/>
        </w:rPr>
        <w:t xml:space="preserve"> is recommended to</w:t>
      </w:r>
      <w:r w:rsidR="00C055B1">
        <w:rPr>
          <w:lang w:val="en-US"/>
        </w:rPr>
        <w:t>:</w:t>
      </w:r>
    </w:p>
    <w:p w14:paraId="47EDC50D" w14:textId="7A4A2056" w:rsidR="00C055B1" w:rsidRPr="00A148C7" w:rsidRDefault="00A15D00" w:rsidP="00A148C7">
      <w:pPr>
        <w:pStyle w:val="ListBullet"/>
      </w:pPr>
      <w:r w:rsidRPr="00A148C7">
        <w:t xml:space="preserve">store pre-filled syringes in a refrigerator at </w:t>
      </w:r>
      <w:proofErr w:type="spellStart"/>
      <w:r w:rsidRPr="00A148C7">
        <w:t>2°C</w:t>
      </w:r>
      <w:proofErr w:type="spellEnd"/>
      <w:r w:rsidRPr="00A148C7">
        <w:t xml:space="preserve"> to </w:t>
      </w:r>
      <w:proofErr w:type="spellStart"/>
      <w:r w:rsidRPr="00A148C7">
        <w:t>8°C</w:t>
      </w:r>
      <w:proofErr w:type="spellEnd"/>
      <w:r w:rsidRPr="00A148C7">
        <w:t xml:space="preserve"> in the original carton</w:t>
      </w:r>
      <w:r w:rsidR="003E5345" w:rsidRPr="00A148C7">
        <w:t>,</w:t>
      </w:r>
    </w:p>
    <w:p w14:paraId="1A24BD7E" w14:textId="62D0AB57" w:rsidR="003E5345" w:rsidRPr="00A148C7" w:rsidRDefault="003E5345" w:rsidP="00A148C7">
      <w:pPr>
        <w:pStyle w:val="ListBullet"/>
      </w:pPr>
      <w:r w:rsidRPr="00A148C7">
        <w:t>d</w:t>
      </w:r>
      <w:r w:rsidR="00A15D00" w:rsidRPr="00A148C7">
        <w:t>o not freeze</w:t>
      </w:r>
      <w:r w:rsidRPr="00A148C7">
        <w:t>,</w:t>
      </w:r>
    </w:p>
    <w:p w14:paraId="419942B2" w14:textId="6E4C495F" w:rsidR="003E5345" w:rsidRPr="00A148C7" w:rsidRDefault="003E5345" w:rsidP="00A148C7">
      <w:pPr>
        <w:pStyle w:val="ListBullet"/>
      </w:pPr>
      <w:r w:rsidRPr="00A148C7">
        <w:t>p</w:t>
      </w:r>
      <w:r w:rsidR="00A15D00" w:rsidRPr="00A148C7">
        <w:t>rotect from direct ligh</w:t>
      </w:r>
      <w:r w:rsidR="00B33E83" w:rsidRPr="00A148C7">
        <w:t>t</w:t>
      </w:r>
      <w:r w:rsidRPr="00A148C7">
        <w:t>,</w:t>
      </w:r>
    </w:p>
    <w:p w14:paraId="70B3C006" w14:textId="08C78D7D" w:rsidR="0021146D" w:rsidRPr="00A148C7" w:rsidRDefault="003E5345" w:rsidP="00A148C7">
      <w:pPr>
        <w:pStyle w:val="ListBullet"/>
      </w:pPr>
      <w:r w:rsidRPr="00A148C7">
        <w:t>d</w:t>
      </w:r>
      <w:r w:rsidR="00A15D00" w:rsidRPr="00A148C7">
        <w:t>o not excessively shake the pre-filled syringe</w:t>
      </w:r>
      <w:r w:rsidRPr="00A148C7">
        <w:t>, and</w:t>
      </w:r>
    </w:p>
    <w:p w14:paraId="67CD09AE" w14:textId="06D9E85C" w:rsidR="00A15D00" w:rsidRPr="00A148C7" w:rsidRDefault="0021146D" w:rsidP="00A148C7">
      <w:pPr>
        <w:pStyle w:val="ListBullet"/>
      </w:pPr>
      <w:r w:rsidRPr="00A148C7">
        <w:t>d</w:t>
      </w:r>
      <w:r w:rsidR="00A15D00" w:rsidRPr="00A148C7">
        <w:t>o not expose to temperatures above 25 °C.</w:t>
      </w:r>
    </w:p>
    <w:p w14:paraId="3FF9544B" w14:textId="25FF76A1" w:rsidR="00A15D00" w:rsidRPr="00A15D00" w:rsidRDefault="00A15D00" w:rsidP="00A148C7">
      <w:pPr>
        <w:rPr>
          <w:lang w:val="en-US"/>
        </w:rPr>
      </w:pPr>
      <w:r w:rsidRPr="00A15D00">
        <w:rPr>
          <w:lang w:val="en-US"/>
        </w:rPr>
        <w:t xml:space="preserve">If removed from the refrigerator, </w:t>
      </w:r>
      <w:r w:rsidR="009C65B0">
        <w:rPr>
          <w:lang w:val="en-US"/>
        </w:rPr>
        <w:t>d</w:t>
      </w:r>
      <w:r w:rsidR="009C65B0" w:rsidRPr="009C65B0">
        <w:t>enosumab (INTP23.1)</w:t>
      </w:r>
      <w:r w:rsidR="009C65B0" w:rsidRPr="002D4F28">
        <w:t xml:space="preserve"> </w:t>
      </w:r>
      <w:r w:rsidRPr="00A15D00">
        <w:rPr>
          <w:lang w:val="en-US"/>
        </w:rPr>
        <w:t>should be kept at room temperature (up to 25 °C) in the original container and must be used within 30 days.</w:t>
      </w:r>
    </w:p>
    <w:p w14:paraId="2192F8AA" w14:textId="77777777" w:rsidR="00443C8B" w:rsidRPr="00443C8B" w:rsidRDefault="00443C8B" w:rsidP="00A148C7">
      <w:r w:rsidRPr="00443C8B">
        <w:t>Regarding biosimilarity, similarity studies were conducted in accordance with CHMP/437/04, ICH Q5E, TGA guidance document Biosimilar medicines regulation (Version 2.2, April 2018) and EMA/CHMP/BWP/247713/2012. The results of all tests demonstrated that INTP23.1 denosumab is highly similar to US-Prolia/Xgeva, EU- Prolia/Xgeva and AU-Prolia/Xgeva in all (physicochemical and biological) attributes studied.</w:t>
      </w:r>
    </w:p>
    <w:p w14:paraId="71741E86" w14:textId="40F8224C" w:rsidR="008312BE" w:rsidRPr="008312BE" w:rsidRDefault="008312BE" w:rsidP="00A148C7">
      <w:r w:rsidRPr="008312BE">
        <w:t>There are no objections to the registration of this product from sterility</w:t>
      </w:r>
      <w:r w:rsidR="00D046E9">
        <w:t xml:space="preserve">, </w:t>
      </w:r>
      <w:r w:rsidRPr="008312BE">
        <w:t>endotoxin, container safety and viral safety related aspects.</w:t>
      </w:r>
      <w:r w:rsidR="00626059">
        <w:t xml:space="preserve"> </w:t>
      </w:r>
      <w:r w:rsidRPr="008312BE">
        <w:t>Overall, sufficient evidence has been provided to demonstrate that the risks related to the manufacturing quality of D</w:t>
      </w:r>
      <w:r w:rsidR="00855373">
        <w:t>eskeltia</w:t>
      </w:r>
      <w:r w:rsidRPr="008312BE">
        <w:t>, D</w:t>
      </w:r>
      <w:r w:rsidR="00855373">
        <w:t>enolia</w:t>
      </w:r>
      <w:r w:rsidRPr="008312BE">
        <w:t>, D</w:t>
      </w:r>
      <w:r w:rsidR="00855373">
        <w:t>ostiva</w:t>
      </w:r>
      <w:r w:rsidR="00D046E9">
        <w:t xml:space="preserve"> </w:t>
      </w:r>
      <w:r w:rsidRPr="008312BE">
        <w:t>and D</w:t>
      </w:r>
      <w:r w:rsidR="00D046E9">
        <w:t>exeva</w:t>
      </w:r>
      <w:r w:rsidRPr="008312BE">
        <w:t xml:space="preserve"> have been controlled to an acceptable level.</w:t>
      </w:r>
    </w:p>
    <w:p w14:paraId="2BE90AAE" w14:textId="35796FD3" w:rsidR="00C22214" w:rsidRDefault="00C22214" w:rsidP="00A148C7">
      <w:pPr>
        <w:pStyle w:val="Heading3"/>
      </w:pPr>
      <w:bookmarkStart w:id="36" w:name="_Toc314842512"/>
      <w:bookmarkStart w:id="37" w:name="_Toc103679296"/>
      <w:bookmarkStart w:id="38" w:name="_Toc226984781"/>
      <w:r>
        <w:t>Nonclinical</w:t>
      </w:r>
      <w:bookmarkEnd w:id="36"/>
      <w:bookmarkEnd w:id="37"/>
      <w:r w:rsidR="007E6443">
        <w:t xml:space="preserve"> evaluation</w:t>
      </w:r>
      <w:r w:rsidR="00095C6A">
        <w:t xml:space="preserve"> </w:t>
      </w:r>
      <w:r w:rsidR="00095C6A" w:rsidRPr="00A148C7">
        <w:t>summary</w:t>
      </w:r>
      <w:bookmarkEnd w:id="38"/>
    </w:p>
    <w:p w14:paraId="15C51A23" w14:textId="798ABB9B" w:rsidR="008804CF" w:rsidRPr="00BD5DBD" w:rsidRDefault="008804CF" w:rsidP="00A148C7">
      <w:pPr>
        <w:rPr>
          <w:b/>
          <w:bCs/>
        </w:rPr>
      </w:pPr>
      <w:bookmarkStart w:id="39" w:name="_Toc247691530"/>
      <w:bookmarkStart w:id="40" w:name="_Toc314842513"/>
      <w:bookmarkStart w:id="41" w:name="_Toc103679297"/>
      <w:r w:rsidRPr="00BD5DBD">
        <w:t>No new nonclinical data or further nonclinical evaluation were required for this submission.</w:t>
      </w:r>
      <w:r w:rsidR="008C754C" w:rsidRPr="00BD5DBD">
        <w:t xml:space="preserve"> </w:t>
      </w:r>
      <w:r w:rsidRPr="00BD5DBD">
        <w:t>The TGA considers that previously submitted and evaluated data satisfactorily address nonclinical aspects of safety/efficacy relating to this submission</w:t>
      </w:r>
      <w:r w:rsidR="00F865A7" w:rsidRPr="00BD5DBD">
        <w:t>.</w:t>
      </w:r>
      <w:r w:rsidR="00301D9A">
        <w:rPr>
          <w:rStyle w:val="FootnoteReference"/>
          <w:szCs w:val="22"/>
        </w:rPr>
        <w:footnoteReference w:id="27"/>
      </w:r>
      <w:r w:rsidR="003B7728" w:rsidRPr="003B7728">
        <w:rPr>
          <w:vertAlign w:val="superscript"/>
        </w:rPr>
        <w:t>,</w:t>
      </w:r>
      <w:r w:rsidR="002936DF">
        <w:rPr>
          <w:rStyle w:val="FootnoteReference"/>
          <w:szCs w:val="22"/>
        </w:rPr>
        <w:footnoteReference w:id="28"/>
      </w:r>
    </w:p>
    <w:p w14:paraId="35B580A5" w14:textId="40B226DC" w:rsidR="00C22214" w:rsidRDefault="00C22214" w:rsidP="00A148C7">
      <w:pPr>
        <w:pStyle w:val="Heading3"/>
      </w:pPr>
      <w:bookmarkStart w:id="42" w:name="_Toc226984782"/>
      <w:r>
        <w:t>Clinical</w:t>
      </w:r>
      <w:bookmarkEnd w:id="39"/>
      <w:bookmarkEnd w:id="40"/>
      <w:bookmarkEnd w:id="41"/>
      <w:r w:rsidR="00095C6A">
        <w:t xml:space="preserve"> </w:t>
      </w:r>
      <w:r w:rsidR="00095C6A" w:rsidRPr="00A148C7">
        <w:t>evaluation</w:t>
      </w:r>
      <w:r w:rsidR="00095C6A">
        <w:t xml:space="preserve"> </w:t>
      </w:r>
      <w:r w:rsidR="00095C6A" w:rsidRPr="00A148C7">
        <w:t>summary</w:t>
      </w:r>
      <w:bookmarkEnd w:id="42"/>
    </w:p>
    <w:p w14:paraId="32B0DEDA" w14:textId="77777777" w:rsidR="00C22214" w:rsidRPr="00433318" w:rsidRDefault="00C22214" w:rsidP="00A148C7">
      <w:pPr>
        <w:pStyle w:val="Heading4"/>
      </w:pPr>
      <w:bookmarkStart w:id="43" w:name="_Toc98931928"/>
      <w:bookmarkStart w:id="44" w:name="_Toc226984783"/>
      <w:r>
        <w:t xml:space="preserve">Summary of clinical </w:t>
      </w:r>
      <w:r w:rsidRPr="00A148C7">
        <w:t>studies</w:t>
      </w:r>
      <w:bookmarkEnd w:id="43"/>
      <w:bookmarkEnd w:id="44"/>
    </w:p>
    <w:p w14:paraId="2BF0A0F4" w14:textId="588EC68A" w:rsidR="00A12A66" w:rsidRDefault="00A12A66" w:rsidP="00A148C7">
      <w:r>
        <w:t>Two clinical studies were submitted to support the proposed denosumab products.</w:t>
      </w:r>
    </w:p>
    <w:p w14:paraId="495B70A1" w14:textId="77777777" w:rsidR="00A12A66" w:rsidRPr="00017612" w:rsidRDefault="00A12A66" w:rsidP="00A148C7">
      <w:pPr>
        <w:pStyle w:val="Heading5"/>
      </w:pPr>
      <w:r w:rsidRPr="00017612">
        <w:lastRenderedPageBreak/>
        <w:t>Study 0568-19</w:t>
      </w:r>
    </w:p>
    <w:p w14:paraId="53FCAEF9" w14:textId="5B94256B" w:rsidR="00A12A66" w:rsidRDefault="00A12A66" w:rsidP="00A148C7">
      <w:pPr>
        <w:rPr>
          <w:lang w:eastAsia="ja-JP"/>
        </w:rPr>
      </w:pPr>
      <w:r>
        <w:t xml:space="preserve">Study 0568-19 was a </w:t>
      </w:r>
      <w:r>
        <w:rPr>
          <w:lang w:eastAsia="ja-JP"/>
        </w:rPr>
        <w:t>randomized, double-blind, three-arm, balanced, single-dose, parallel-group study comparing pharmacokinetics</w:t>
      </w:r>
      <w:r w:rsidR="00AD20E0">
        <w:rPr>
          <w:lang w:eastAsia="ja-JP"/>
        </w:rPr>
        <w:t xml:space="preserve"> (PK)</w:t>
      </w:r>
      <w:r>
        <w:rPr>
          <w:lang w:eastAsia="ja-JP"/>
        </w:rPr>
        <w:t xml:space="preserve"> and pharmacodynamics </w:t>
      </w:r>
      <w:r w:rsidR="00AD20E0">
        <w:rPr>
          <w:lang w:eastAsia="ja-JP"/>
        </w:rPr>
        <w:t xml:space="preserve">(PD) </w:t>
      </w:r>
      <w:r>
        <w:rPr>
          <w:lang w:eastAsia="ja-JP"/>
        </w:rPr>
        <w:t>of Intas Denosumab (120 mg/1.7 mL) of Intas Pharmaceuticals Limited, India with Xgeva</w:t>
      </w:r>
      <w:r w:rsidR="004A2F26">
        <w:rPr>
          <w:vertAlign w:val="superscript"/>
          <w:lang w:eastAsia="ja-JP"/>
        </w:rPr>
        <w:t xml:space="preserve"> </w:t>
      </w:r>
      <w:r>
        <w:rPr>
          <w:lang w:eastAsia="ja-JP"/>
        </w:rPr>
        <w:t>of Amgen Inc., USA and Xgeva of Amgen Europe B.V., The Netherlands in normal, healthy, adult human male subjects.</w:t>
      </w:r>
    </w:p>
    <w:p w14:paraId="1FD1622C" w14:textId="77777777" w:rsidR="00A12A66" w:rsidRDefault="00A12A66" w:rsidP="00A148C7">
      <w:pPr>
        <w:rPr>
          <w:lang w:eastAsia="ko-KR"/>
        </w:rPr>
      </w:pPr>
      <w:r>
        <w:rPr>
          <w:lang w:eastAsia="ko-KR"/>
        </w:rPr>
        <w:t>Regarding pharmacokinetic biosimilarity, t</w:t>
      </w:r>
      <w:r w:rsidRPr="00CD03F8">
        <w:rPr>
          <w:lang w:eastAsia="ko-KR"/>
        </w:rPr>
        <w:t>he</w:t>
      </w:r>
      <w:r>
        <w:rPr>
          <w:rFonts w:hint="eastAsia"/>
          <w:lang w:eastAsia="ko-KR"/>
        </w:rPr>
        <w:t xml:space="preserve"> </w:t>
      </w:r>
      <w:r w:rsidRPr="00CD03F8">
        <w:rPr>
          <w:lang w:eastAsia="ko-KR"/>
        </w:rPr>
        <w:t xml:space="preserve">90% CIs of the geometric LSM ratios, derived from the analysis on the ln-transformed </w:t>
      </w:r>
      <w:r w:rsidRPr="00323BE0">
        <w:rPr>
          <w:rFonts w:asciiTheme="minorHAnsi" w:eastAsia="TimesNewRoman" w:hAnsiTheme="minorHAnsi" w:cs="TimesNewRoman"/>
        </w:rPr>
        <w:t>C</w:t>
      </w:r>
      <w:r w:rsidRPr="00163D51">
        <w:rPr>
          <w:rFonts w:asciiTheme="minorHAnsi" w:eastAsia="TimesNewRoman" w:hAnsiTheme="minorHAnsi" w:cs="TimesNewRoman"/>
          <w:vertAlign w:val="subscript"/>
        </w:rPr>
        <w:t>max</w:t>
      </w:r>
      <w:r w:rsidRPr="00CD03F8">
        <w:rPr>
          <w:lang w:eastAsia="ko-KR"/>
        </w:rPr>
        <w:t>,</w:t>
      </w:r>
      <w:r>
        <w:rPr>
          <w:rFonts w:hint="eastAsia"/>
          <w:lang w:eastAsia="ko-KR"/>
        </w:rPr>
        <w:t xml:space="preserve"> </w:t>
      </w:r>
      <w:r w:rsidRPr="00323BE0">
        <w:rPr>
          <w:rFonts w:asciiTheme="minorHAnsi" w:eastAsia="TimesNewRoman" w:hAnsiTheme="minorHAnsi" w:cs="TimesNewRoman"/>
        </w:rPr>
        <w:t>AUC</w:t>
      </w:r>
      <w:r w:rsidRPr="00163D51">
        <w:rPr>
          <w:rFonts w:asciiTheme="minorHAnsi" w:eastAsia="TimesNewRoman" w:hAnsiTheme="minorHAnsi" w:cs="TimesNewRoman"/>
          <w:vertAlign w:val="subscript"/>
        </w:rPr>
        <w:t>0-t</w:t>
      </w:r>
      <w:r w:rsidRPr="00CD03F8">
        <w:rPr>
          <w:lang w:eastAsia="ko-KR"/>
        </w:rPr>
        <w:t xml:space="preserve">, partial AUC’s </w:t>
      </w:r>
      <w:r w:rsidRPr="00323BE0">
        <w:rPr>
          <w:rFonts w:asciiTheme="minorHAnsi" w:eastAsia="TimesNewRoman" w:hAnsiTheme="minorHAnsi" w:cs="TimesNewRoman"/>
        </w:rPr>
        <w:t>AUC</w:t>
      </w:r>
      <w:r w:rsidRPr="00163D51">
        <w:rPr>
          <w:rFonts w:asciiTheme="minorHAnsi" w:eastAsia="TimesNewRoman" w:hAnsiTheme="minorHAnsi" w:cs="TimesNewRoman"/>
          <w:vertAlign w:val="subscript"/>
        </w:rPr>
        <w:t>0-CT</w:t>
      </w:r>
      <w:r w:rsidRPr="00CD03F8">
        <w:rPr>
          <w:lang w:eastAsia="ko-KR"/>
        </w:rPr>
        <w:t xml:space="preserve"> and </w:t>
      </w:r>
      <w:r w:rsidRPr="00323BE0">
        <w:rPr>
          <w:rFonts w:asciiTheme="minorHAnsi" w:eastAsia="TimesNewRoman" w:hAnsiTheme="minorHAnsi" w:cs="TimesNewRoman"/>
        </w:rPr>
        <w:t>AUC</w:t>
      </w:r>
      <w:r w:rsidRPr="00163D51">
        <w:rPr>
          <w:rFonts w:asciiTheme="minorHAnsi" w:eastAsia="TimesNewRoman" w:hAnsiTheme="minorHAnsi" w:cs="TimesNewRoman"/>
          <w:vertAlign w:val="subscript"/>
        </w:rPr>
        <w:t>CT-t</w:t>
      </w:r>
      <w:r w:rsidRPr="00CD03F8">
        <w:rPr>
          <w:lang w:eastAsia="ko-KR"/>
        </w:rPr>
        <w:t xml:space="preserve"> and </w:t>
      </w:r>
      <w:r w:rsidRPr="00323BE0">
        <w:rPr>
          <w:rFonts w:asciiTheme="minorHAnsi" w:eastAsia="TimesNewRoman" w:hAnsiTheme="minorHAnsi" w:cs="TimesNewRoman"/>
        </w:rPr>
        <w:t>AUC</w:t>
      </w:r>
      <w:r w:rsidRPr="00557936">
        <w:rPr>
          <w:rFonts w:asciiTheme="minorHAnsi" w:eastAsia="TimesNewRoman" w:hAnsiTheme="minorHAnsi" w:cs="TimesNewRoman"/>
          <w:vertAlign w:val="subscript"/>
        </w:rPr>
        <w:t>0-∞</w:t>
      </w:r>
      <w:r w:rsidRPr="00CD03F8">
        <w:rPr>
          <w:lang w:eastAsia="ko-KR"/>
        </w:rPr>
        <w:t xml:space="preserve"> of Intas denosumab relative to Xgeva</w:t>
      </w:r>
      <w:r>
        <w:rPr>
          <w:rFonts w:hint="eastAsia"/>
          <w:lang w:eastAsia="ko-KR"/>
        </w:rPr>
        <w:t xml:space="preserve"> </w:t>
      </w:r>
      <w:r w:rsidRPr="00CD03F8">
        <w:rPr>
          <w:lang w:eastAsia="ko-KR"/>
        </w:rPr>
        <w:t>(US) and Xgeva (EU) were within the acceptance range of 80.00% to 125.00%</w:t>
      </w:r>
      <w:r>
        <w:rPr>
          <w:lang w:eastAsia="ko-KR"/>
        </w:rPr>
        <w:t xml:space="preserve"> in Study 0568-19</w:t>
      </w:r>
      <w:r w:rsidRPr="00CD03F8">
        <w:rPr>
          <w:lang w:eastAsia="ko-KR"/>
        </w:rPr>
        <w:t>.</w:t>
      </w:r>
    </w:p>
    <w:p w14:paraId="7EE59BCF" w14:textId="77777777" w:rsidR="00A12A66" w:rsidRPr="00017612" w:rsidRDefault="00A12A66" w:rsidP="00A148C7">
      <w:pPr>
        <w:pStyle w:val="Heading5"/>
      </w:pPr>
      <w:r w:rsidRPr="00017612">
        <w:t>Study 0774-19</w:t>
      </w:r>
    </w:p>
    <w:p w14:paraId="49975227" w14:textId="197D3DFF" w:rsidR="00A12A66" w:rsidRPr="000275CD" w:rsidRDefault="00A12A66" w:rsidP="00A148C7">
      <w:r w:rsidRPr="000275CD">
        <w:t>Study 0774-19 was a randomised, double-blind, active-controlled, parallel-arm, multicentre study</w:t>
      </w:r>
      <w:r w:rsidRPr="005F5F5D">
        <w:rPr>
          <w:rFonts w:asciiTheme="minorHAnsi" w:hAnsiTheme="minorHAnsi"/>
        </w:rPr>
        <w:t xml:space="preserve"> </w:t>
      </w:r>
      <w:r w:rsidRPr="000275CD">
        <w:t>designed to compare the pharmacokinetics, pharmacodynamics, safety, immunogenicity, and clinical efficacy of denosumab of Intas (60 mg/mL) with Prolia in postmenopausal women with osteoporosis.</w:t>
      </w:r>
    </w:p>
    <w:p w14:paraId="4D37890B" w14:textId="77777777" w:rsidR="00A12A66" w:rsidRPr="004F234A" w:rsidRDefault="00A12A66" w:rsidP="00A148C7">
      <w:pPr>
        <w:pStyle w:val="Heading4"/>
      </w:pPr>
      <w:bookmarkStart w:id="45" w:name="_Toc226984784"/>
      <w:r w:rsidRPr="004F234A">
        <w:t>Pharmacokinetics</w:t>
      </w:r>
      <w:bookmarkEnd w:id="45"/>
    </w:p>
    <w:p w14:paraId="43302E63" w14:textId="484B4A5B" w:rsidR="00E3521A" w:rsidRPr="00E3521A" w:rsidRDefault="00E3521A" w:rsidP="00A148C7">
      <w:bookmarkStart w:id="46" w:name="_Toc188952247"/>
      <w:r w:rsidRPr="00E3521A">
        <w:t>The 90% confidence interval for pharmacokinetic parameters C</w:t>
      </w:r>
      <w:r w:rsidRPr="00E3521A">
        <w:rPr>
          <w:vertAlign w:val="subscript"/>
        </w:rPr>
        <w:t>max</w:t>
      </w:r>
      <w:r w:rsidRPr="00E3521A">
        <w:t>, AUC</w:t>
      </w:r>
      <w:r w:rsidRPr="00E3521A">
        <w:rPr>
          <w:vertAlign w:val="subscript"/>
        </w:rPr>
        <w:t>0-t</w:t>
      </w:r>
      <w:r w:rsidRPr="00E3521A">
        <w:t xml:space="preserve"> and AUC</w:t>
      </w:r>
      <w:r w:rsidRPr="00E3521A">
        <w:rPr>
          <w:vertAlign w:val="subscript"/>
        </w:rPr>
        <w:t>0-∞</w:t>
      </w:r>
      <w:r w:rsidRPr="00E3521A">
        <w:t xml:space="preserve"> were found to be within the prespecified bioequivalence limits of (80.00, 125.00) in Study 0774-19</w:t>
      </w:r>
      <w:r w:rsidR="007D5AEF">
        <w:t xml:space="preserve"> (Table 3)</w:t>
      </w:r>
      <w:r w:rsidRPr="00E3521A">
        <w:t>.</w:t>
      </w:r>
    </w:p>
    <w:p w14:paraId="2C7F3E47" w14:textId="4ECC11EB" w:rsidR="00071E84" w:rsidRPr="00071E84" w:rsidRDefault="00071E84" w:rsidP="00A148C7">
      <w:pPr>
        <w:pStyle w:val="TableTitle"/>
      </w:pPr>
      <w:r w:rsidRPr="00071E84">
        <w:t xml:space="preserve">Table </w:t>
      </w:r>
      <w:r w:rsidR="007D5AEF">
        <w:t>3.</w:t>
      </w:r>
      <w:r w:rsidRPr="00071E84">
        <w:t xml:space="preserve"> Study 0774-19 - </w:t>
      </w:r>
      <w:r w:rsidRPr="00A148C7">
        <w:t>Summary</w:t>
      </w:r>
      <w:r w:rsidRPr="00071E84">
        <w:t xml:space="preserve"> statistics of pharmacokinetic parameters for Denosumab after first dose (N=261)</w:t>
      </w:r>
      <w:bookmarkEnd w:id="46"/>
      <w:r w:rsidR="004A2C9A">
        <w:t>.</w:t>
      </w:r>
    </w:p>
    <w:p w14:paraId="4EE9DF74" w14:textId="2EA83125" w:rsidR="00A12A66" w:rsidRDefault="00592970" w:rsidP="00A148C7">
      <w:r w:rsidRPr="00657295">
        <w:rPr>
          <w:noProof/>
          <w:lang w:val="en-IN" w:eastAsia="en-IN"/>
        </w:rPr>
        <w:drawing>
          <wp:inline distT="0" distB="0" distL="0" distR="0" wp14:anchorId="05722180" wp14:editId="32FC4626">
            <wp:extent cx="5731510" cy="1094105"/>
            <wp:effectExtent l="0" t="0" r="2540" b="0"/>
            <wp:docPr id="1186547725" name="Picture 1" descr="Table 3. Study 0774-19 - Summary statistics of pharmacokinetic parameters for Denosumab after first dose (N=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47725" name="Picture 1" descr="Table 3. Study 0774-19 - Summary statistics of pharmacokinetic parameters for Denosumab after first dose (N=261)."/>
                    <pic:cNvPicPr/>
                  </pic:nvPicPr>
                  <pic:blipFill>
                    <a:blip r:embed="rId19"/>
                    <a:stretch>
                      <a:fillRect/>
                    </a:stretch>
                  </pic:blipFill>
                  <pic:spPr>
                    <a:xfrm>
                      <a:off x="0" y="0"/>
                      <a:ext cx="5731510" cy="1094105"/>
                    </a:xfrm>
                    <a:prstGeom prst="rect">
                      <a:avLst/>
                    </a:prstGeom>
                  </pic:spPr>
                </pic:pic>
              </a:graphicData>
            </a:graphic>
          </wp:inline>
        </w:drawing>
      </w:r>
    </w:p>
    <w:p w14:paraId="703967E3" w14:textId="77777777" w:rsidR="004844C3" w:rsidRPr="004844C3" w:rsidRDefault="004844C3" w:rsidP="001B3B45">
      <w:pPr>
        <w:pStyle w:val="Heading4"/>
      </w:pPr>
      <w:bookmarkStart w:id="47" w:name="_Toc226984785"/>
      <w:r w:rsidRPr="00A148C7">
        <w:t>Efficacy</w:t>
      </w:r>
      <w:bookmarkEnd w:id="47"/>
    </w:p>
    <w:p w14:paraId="48B6F57F" w14:textId="726E2653" w:rsidR="004844C3" w:rsidRPr="004844C3" w:rsidRDefault="004844C3" w:rsidP="001B3B45">
      <w:r w:rsidRPr="004844C3">
        <w:t>The clinical efficacy objective of the study</w:t>
      </w:r>
      <w:r w:rsidR="00E14184">
        <w:t xml:space="preserve"> was</w:t>
      </w:r>
      <w:r w:rsidR="00CC28AC">
        <w:t xml:space="preserve"> t</w:t>
      </w:r>
      <w:r w:rsidRPr="004844C3">
        <w:t>o compare the efficacy of treatment with denosumab and denosumab-ref in postmenopausal women with osteoporosis.</w:t>
      </w:r>
    </w:p>
    <w:p w14:paraId="2DF4D21E" w14:textId="232E4AB4" w:rsidR="004844C3" w:rsidRPr="004844C3" w:rsidRDefault="004844C3" w:rsidP="001B3B45">
      <w:r w:rsidRPr="004844C3">
        <w:t xml:space="preserve">The primary efficacy endpoint for Study No. 0774-19 is percent change from baseline in BMD for lumbar spine (LS-BMD) </w:t>
      </w:r>
      <w:r w:rsidRPr="00565900">
        <w:t>measured by DXA at month 12</w:t>
      </w:r>
      <w:r w:rsidRPr="004844C3">
        <w:t xml:space="preserve">, which was agreed by </w:t>
      </w:r>
      <w:r w:rsidR="00664F3D">
        <w:t xml:space="preserve">the </w:t>
      </w:r>
      <w:r w:rsidRPr="004844C3">
        <w:t xml:space="preserve">FDA during the </w:t>
      </w:r>
      <w:r w:rsidRPr="00BC3E5A">
        <w:t>BPD Type</w:t>
      </w:r>
      <w:r w:rsidRPr="004844C3">
        <w:t xml:space="preserve"> 2 meeting held on 03 February 2020 and in scientific advice by EMA on 12 December 2019 (EMA/CHMP/SAWP/653442/2019).</w:t>
      </w:r>
    </w:p>
    <w:p w14:paraId="242D9F98" w14:textId="3E9FA146" w:rsidR="004844C3" w:rsidRPr="004844C3" w:rsidRDefault="004844C3" w:rsidP="001B3B45">
      <w:r w:rsidRPr="004844C3">
        <w:t>Lumbar spine was chosen for assessment of BMD according to the guideline and study results of Prolia.</w:t>
      </w:r>
      <w:r w:rsidR="00626059">
        <w:t xml:space="preserve"> </w:t>
      </w:r>
      <w:r w:rsidRPr="004844C3">
        <w:t>It was recommended that measurements of BMD are mandatory at those sites where osteoporotic fractures most commonly occur, i.e., the spine (L1 to L2 or L2 to L4) and the hip.</w:t>
      </w:r>
    </w:p>
    <w:p w14:paraId="055043C5" w14:textId="62172E59" w:rsidR="004844C3" w:rsidRPr="004844C3" w:rsidRDefault="004844C3" w:rsidP="001B3B45">
      <w:r w:rsidRPr="004844C3">
        <w:t xml:space="preserve">Summary statistics of change from baseline to 12 months for BMD of lumbar spine for Main phase PP set are presented in Table </w:t>
      </w:r>
      <w:r w:rsidR="002712B0">
        <w:t>4</w:t>
      </w:r>
      <w:r w:rsidRPr="004844C3">
        <w:t>.</w:t>
      </w:r>
    </w:p>
    <w:p w14:paraId="73447CDC" w14:textId="30DFE1CA" w:rsidR="004844C3" w:rsidRPr="001B3B45" w:rsidRDefault="004844C3" w:rsidP="001B3B45">
      <w:pPr>
        <w:pStyle w:val="TableTitle"/>
      </w:pPr>
      <w:bookmarkStart w:id="48" w:name="_Ref188534286"/>
      <w:bookmarkStart w:id="49" w:name="_Toc188952264"/>
      <w:r w:rsidRPr="001B3B45">
        <w:lastRenderedPageBreak/>
        <w:t>Table</w:t>
      </w:r>
      <w:bookmarkEnd w:id="48"/>
      <w:r w:rsidRPr="001B3B45">
        <w:t xml:space="preserve"> </w:t>
      </w:r>
      <w:r w:rsidR="002712B0" w:rsidRPr="001B3B45">
        <w:t>4.</w:t>
      </w:r>
      <w:r w:rsidRPr="001B3B45">
        <w:t xml:space="preserve"> Study 0774-19</w:t>
      </w:r>
      <w:r w:rsidRPr="001B3B45">
        <w:rPr>
          <w:rFonts w:hint="eastAsia"/>
        </w:rPr>
        <w:t xml:space="preserve"> </w:t>
      </w:r>
      <w:r w:rsidRPr="001B3B45">
        <w:t>-</w:t>
      </w:r>
      <w:r w:rsidRPr="001B3B45">
        <w:rPr>
          <w:rFonts w:hint="eastAsia"/>
        </w:rPr>
        <w:t xml:space="preserve"> </w:t>
      </w:r>
      <w:r w:rsidRPr="001B3B45">
        <w:t>Summary statistics for %</w:t>
      </w:r>
      <w:proofErr w:type="spellStart"/>
      <w:r w:rsidRPr="001B3B45">
        <w:t>CFB</w:t>
      </w:r>
      <w:proofErr w:type="spellEnd"/>
      <w:r w:rsidRPr="001B3B45">
        <w:t xml:space="preserve"> in BMD of lumbar spine (Main phase, PP set, N=465)</w:t>
      </w:r>
      <w:bookmarkEnd w:id="49"/>
      <w:r w:rsidR="00204F9E" w:rsidRPr="001B3B45">
        <w:t>.</w:t>
      </w:r>
    </w:p>
    <w:p w14:paraId="708C67DD" w14:textId="2EDD04EC" w:rsidR="00A12A66" w:rsidRDefault="00F63A7A" w:rsidP="001B3B45">
      <w:r>
        <w:rPr>
          <w:noProof/>
          <w:lang w:val="en-IN" w:eastAsia="en-IN"/>
        </w:rPr>
        <w:drawing>
          <wp:inline distT="0" distB="0" distL="0" distR="0" wp14:anchorId="7012A6C6" wp14:editId="2218C2C5">
            <wp:extent cx="5724525" cy="2442845"/>
            <wp:effectExtent l="0" t="0" r="9525" b="0"/>
            <wp:docPr id="2031540435" name="Picture 11" descr="Table 4. Study 0774-19 - Summary statistics for %CFB in BMD of lumbar spine (Main phase, PP set, N=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40435" name="Picture 11" descr="Table 4. Study 0774-19 - Summary statistics for %CFB in BMD of lumbar spine (Main phase, PP set, N=4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4525" cy="2442845"/>
                    </a:xfrm>
                    <a:prstGeom prst="rect">
                      <a:avLst/>
                    </a:prstGeom>
                    <a:noFill/>
                    <a:ln>
                      <a:noFill/>
                    </a:ln>
                  </pic:spPr>
                </pic:pic>
              </a:graphicData>
            </a:graphic>
          </wp:inline>
        </w:drawing>
      </w:r>
    </w:p>
    <w:p w14:paraId="14B55A9B" w14:textId="0E7A438F" w:rsidR="000B260F" w:rsidRPr="000B260F" w:rsidRDefault="000B260F" w:rsidP="001B3B45">
      <w:r w:rsidRPr="000B260F">
        <w:t>The 95% confidence interval for the percentage change in BMD from baseline to 12 month was found to be within acceptance range (-1.45 to 1.45) for PP set.</w:t>
      </w:r>
      <w:r w:rsidR="00626059">
        <w:t xml:space="preserve"> </w:t>
      </w:r>
    </w:p>
    <w:p w14:paraId="0C61B18C" w14:textId="42D1BCD6" w:rsidR="000B260F" w:rsidRPr="000B260F" w:rsidRDefault="000B260F" w:rsidP="001B3B45">
      <w:r w:rsidRPr="000B260F">
        <w:t xml:space="preserve">Summary statistics of change from baseline to 12 months for BMD of lumbar spine for Main phase ITT set are presented in Table </w:t>
      </w:r>
      <w:r w:rsidR="008D5596">
        <w:t>5</w:t>
      </w:r>
      <w:r w:rsidRPr="000B260F">
        <w:t>.</w:t>
      </w:r>
    </w:p>
    <w:p w14:paraId="4F457489" w14:textId="2D3F18CE" w:rsidR="00C33138" w:rsidRPr="00C33138" w:rsidRDefault="00C33138" w:rsidP="001B3B45">
      <w:pPr>
        <w:pStyle w:val="TableTitle"/>
      </w:pPr>
      <w:bookmarkStart w:id="50" w:name="_Ref188534912"/>
      <w:bookmarkStart w:id="51" w:name="_Toc188952265"/>
      <w:r w:rsidRPr="00C33138">
        <w:t>Table</w:t>
      </w:r>
      <w:bookmarkEnd w:id="50"/>
      <w:r w:rsidRPr="00C33138">
        <w:t xml:space="preserve"> </w:t>
      </w:r>
      <w:r w:rsidR="002712B0">
        <w:t>5.</w:t>
      </w:r>
      <w:r w:rsidRPr="00C33138">
        <w:t xml:space="preserve"> Study 0774-19</w:t>
      </w:r>
      <w:r w:rsidRPr="00C33138">
        <w:rPr>
          <w:rFonts w:hint="eastAsia"/>
        </w:rPr>
        <w:t xml:space="preserve"> </w:t>
      </w:r>
      <w:r w:rsidRPr="00C33138">
        <w:t>-</w:t>
      </w:r>
      <w:r w:rsidRPr="00C33138">
        <w:rPr>
          <w:rFonts w:hint="eastAsia"/>
        </w:rPr>
        <w:t xml:space="preserve"> </w:t>
      </w:r>
      <w:r w:rsidRPr="00C33138">
        <w:t xml:space="preserve">Summary statistics </w:t>
      </w:r>
      <w:r w:rsidRPr="001B3B45">
        <w:t>for</w:t>
      </w:r>
      <w:r w:rsidRPr="00C33138">
        <w:t xml:space="preserve"> %CFB in BMD of lumbar spine (Main phase, ITT set, N=552)</w:t>
      </w:r>
      <w:bookmarkEnd w:id="51"/>
      <w:r w:rsidR="008748CA">
        <w:t>.</w:t>
      </w:r>
    </w:p>
    <w:p w14:paraId="3B31FAE9" w14:textId="14F9C315" w:rsidR="004844C3" w:rsidRDefault="00B72C6A" w:rsidP="001B3B45">
      <w:r>
        <w:rPr>
          <w:rFonts w:hint="eastAsia"/>
          <w:noProof/>
          <w:lang w:val="en-IN" w:eastAsia="en-IN"/>
        </w:rPr>
        <w:drawing>
          <wp:inline distT="0" distB="0" distL="0" distR="0" wp14:anchorId="4CBDC0E3" wp14:editId="62CB08AD">
            <wp:extent cx="5724525" cy="2459355"/>
            <wp:effectExtent l="0" t="0" r="9525" b="0"/>
            <wp:docPr id="24765601" name="Picture 12" descr="Table 5. Study 0774-19 - Summary statistics for %CFB in BMD of lumbar spine (Main phase, ITT set, N=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5601" name="Picture 12" descr="Table 5. Study 0774-19 - Summary statistics for %CFB in BMD of lumbar spine (Main phase, ITT set, N=5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4525" cy="2459355"/>
                    </a:xfrm>
                    <a:prstGeom prst="rect">
                      <a:avLst/>
                    </a:prstGeom>
                    <a:noFill/>
                    <a:ln>
                      <a:noFill/>
                    </a:ln>
                  </pic:spPr>
                </pic:pic>
              </a:graphicData>
            </a:graphic>
          </wp:inline>
        </w:drawing>
      </w:r>
    </w:p>
    <w:p w14:paraId="38FFCFA7" w14:textId="56D8F780" w:rsidR="009B6299" w:rsidRPr="009B6299" w:rsidRDefault="009B6299" w:rsidP="001B3B45">
      <w:pPr>
        <w:rPr>
          <w:lang w:eastAsia="ko-KR"/>
        </w:rPr>
      </w:pPr>
      <w:r w:rsidRPr="009B6299">
        <w:rPr>
          <w:lang w:eastAsia="ko-KR"/>
        </w:rPr>
        <w:t>The 95% confidence interval for the percentage change in BMD from baseline to 12 month is found to be within the acceptance range (-1.45 to 1.45) for ITT set.</w:t>
      </w:r>
    </w:p>
    <w:p w14:paraId="20D5A1AF" w14:textId="77777777" w:rsidR="009B6299" w:rsidRPr="009B6299" w:rsidRDefault="009B6299" w:rsidP="001B3B45">
      <w:pPr>
        <w:pStyle w:val="Heading5"/>
        <w:rPr>
          <w:rFonts w:eastAsia="Cambria"/>
        </w:rPr>
      </w:pPr>
      <w:r w:rsidRPr="009B6299">
        <w:rPr>
          <w:rFonts w:eastAsia="Cambria"/>
        </w:rPr>
        <w:t>Evaluator’s overall conclusions on pharmacokinetics</w:t>
      </w:r>
    </w:p>
    <w:p w14:paraId="3EA86AA6" w14:textId="645D1435" w:rsidR="009B6299" w:rsidRPr="009B6299" w:rsidRDefault="009B6299" w:rsidP="001B3B45">
      <w:r w:rsidRPr="009B6299">
        <w:t>In the current submission, the PK data was obtained from two clinical studies: 0568-19 and 0774-19.</w:t>
      </w:r>
    </w:p>
    <w:p w14:paraId="5E10455C" w14:textId="144DA820" w:rsidR="009B6299" w:rsidRPr="009B6299" w:rsidRDefault="009B6299" w:rsidP="001B3B45">
      <w:r w:rsidRPr="009B6299">
        <w:t>Study 0568-19 was a phase 1 study performed in healthy male volunteers.</w:t>
      </w:r>
      <w:r w:rsidR="00626059">
        <w:t xml:space="preserve"> </w:t>
      </w:r>
      <w:r w:rsidRPr="009B6299">
        <w:t>The main purpose of the study was to compare the PK of the Intas Denosumab (120 mg/1.7 mL) with the PK of the reference product, X</w:t>
      </w:r>
      <w:r w:rsidR="00A00A56">
        <w:t>geva</w:t>
      </w:r>
      <w:r w:rsidRPr="009B6299">
        <w:t xml:space="preserve"> (US and EU products).</w:t>
      </w:r>
      <w:r w:rsidR="00626059">
        <w:t xml:space="preserve"> </w:t>
      </w:r>
      <w:r w:rsidRPr="009B6299">
        <w:t xml:space="preserve">In the 234 participants (78 in each group), the 90% CIs of the </w:t>
      </w:r>
      <w:r w:rsidRPr="00F944F9">
        <w:t>geometric LSM ratios derived</w:t>
      </w:r>
      <w:r w:rsidRPr="009B6299">
        <w:t xml:space="preserve"> from the analysis on the ln-transformed denosumab PK parameters, C</w:t>
      </w:r>
      <w:r w:rsidRPr="00A00A56">
        <w:rPr>
          <w:vertAlign w:val="subscript"/>
        </w:rPr>
        <w:t>max</w:t>
      </w:r>
      <w:r w:rsidRPr="009B6299">
        <w:t>, AUC</w:t>
      </w:r>
      <w:r w:rsidRPr="00A00A56">
        <w:rPr>
          <w:vertAlign w:val="subscript"/>
        </w:rPr>
        <w:t xml:space="preserve">0-t </w:t>
      </w:r>
      <w:r w:rsidRPr="009B6299">
        <w:t>and AUC</w:t>
      </w:r>
      <w:r w:rsidRPr="00A00A56">
        <w:rPr>
          <w:vertAlign w:val="subscript"/>
        </w:rPr>
        <w:t>0-∞</w:t>
      </w:r>
      <w:r w:rsidRPr="009B6299">
        <w:t xml:space="preserve"> of Intas denosumab relative to Xgeva (US</w:t>
      </w:r>
      <w:r w:rsidR="008B54FD">
        <w:t xml:space="preserve"> product</w:t>
      </w:r>
      <w:r w:rsidRPr="009B6299">
        <w:t>), and Xgeva (EU</w:t>
      </w:r>
      <w:r w:rsidR="008B54FD">
        <w:t xml:space="preserve"> product</w:t>
      </w:r>
      <w:r w:rsidRPr="009B6299">
        <w:t>) were within the acceptance range of 80.00% to 125.00%.</w:t>
      </w:r>
    </w:p>
    <w:p w14:paraId="3141B935" w14:textId="5269B632" w:rsidR="009B6299" w:rsidRPr="009B6299" w:rsidRDefault="009B6299" w:rsidP="001B3B45">
      <w:r w:rsidRPr="009B6299">
        <w:lastRenderedPageBreak/>
        <w:t>Study 0774 was a phase 3 study performed in 552 postmenopausal women with confirmed osteoporosis as diagnosed by DXA of the lumbar vertebrae.</w:t>
      </w:r>
      <w:r w:rsidR="00626059">
        <w:t xml:space="preserve"> </w:t>
      </w:r>
      <w:r w:rsidRPr="009B6299">
        <w:t>The subjects were randomly assigned 1:1 to receive either Denosumab or Prolia.</w:t>
      </w:r>
      <w:r w:rsidR="00626059">
        <w:t xml:space="preserve"> </w:t>
      </w:r>
      <w:r w:rsidRPr="009B6299">
        <w:t>The PK parameters (</w:t>
      </w:r>
      <w:proofErr w:type="spellStart"/>
      <w:r w:rsidRPr="009B6299">
        <w:t>C</w:t>
      </w:r>
      <w:r w:rsidRPr="009B6299">
        <w:rPr>
          <w:vertAlign w:val="subscript"/>
        </w:rPr>
        <w:t>max</w:t>
      </w:r>
      <w:proofErr w:type="spellEnd"/>
      <w:r w:rsidRPr="009B6299">
        <w:t xml:space="preserve">, </w:t>
      </w:r>
      <w:proofErr w:type="spellStart"/>
      <w:r w:rsidRPr="009B6299">
        <w:t>AUC</w:t>
      </w:r>
      <w:r w:rsidRPr="009B6299">
        <w:rPr>
          <w:vertAlign w:val="subscript"/>
        </w:rPr>
        <w:t>0</w:t>
      </w:r>
      <w:proofErr w:type="spellEnd"/>
      <w:r w:rsidRPr="009B6299">
        <w:rPr>
          <w:vertAlign w:val="subscript"/>
        </w:rPr>
        <w:t>-t</w:t>
      </w:r>
      <w:r w:rsidRPr="009B6299">
        <w:t xml:space="preserve"> and </w:t>
      </w:r>
      <w:proofErr w:type="spellStart"/>
      <w:r w:rsidRPr="009B6299">
        <w:t>AUC</w:t>
      </w:r>
      <w:r w:rsidRPr="009B6299">
        <w:rPr>
          <w:vertAlign w:val="subscript"/>
        </w:rPr>
        <w:t>0</w:t>
      </w:r>
      <w:proofErr w:type="spellEnd"/>
      <w:r w:rsidRPr="009B6299">
        <w:rPr>
          <w:vertAlign w:val="subscript"/>
        </w:rPr>
        <w:t>-∞</w:t>
      </w:r>
      <w:r w:rsidRPr="009B6299">
        <w:t>) were found comparable between Denosumab and Prolia, with the 90% confidence intervals within the prespecified bioequivalence limits of (80.00%, 125.00%).</w:t>
      </w:r>
    </w:p>
    <w:p w14:paraId="416AF77A" w14:textId="77777777" w:rsidR="009B6299" w:rsidRPr="009B6299" w:rsidRDefault="009B6299" w:rsidP="001B3B45">
      <w:r w:rsidRPr="009B6299">
        <w:t>Overall, these two studies supported the bioequivalence of Intas denosumab with their reference counterparts in terms of pharmacokinetics.</w:t>
      </w:r>
    </w:p>
    <w:p w14:paraId="322FC64B" w14:textId="77777777" w:rsidR="009B6299" w:rsidRPr="009B6299" w:rsidRDefault="009B6299" w:rsidP="001B3B45">
      <w:pPr>
        <w:pStyle w:val="Heading5"/>
        <w:rPr>
          <w:rFonts w:eastAsia="Cambria"/>
        </w:rPr>
      </w:pPr>
      <w:r w:rsidRPr="009B6299">
        <w:rPr>
          <w:rFonts w:eastAsia="Cambria"/>
        </w:rPr>
        <w:t>Evaluator’s overall conclusions on pharmacodynamics</w:t>
      </w:r>
    </w:p>
    <w:p w14:paraId="6DD6F4C0" w14:textId="2F86383F" w:rsidR="009B6299" w:rsidRPr="009B6299" w:rsidRDefault="009B6299" w:rsidP="001B3B45">
      <w:r w:rsidRPr="009B6299">
        <w:t>Pharmacodynamic</w:t>
      </w:r>
      <w:r w:rsidR="00763A22">
        <w:t xml:space="preserve"> (PD)</w:t>
      </w:r>
      <w:r w:rsidRPr="009B6299">
        <w:t xml:space="preserve"> assessments were made in both Study 0568-19 and Study 0774-19.</w:t>
      </w:r>
      <w:r w:rsidR="00626059">
        <w:t xml:space="preserve"> </w:t>
      </w:r>
      <w:r w:rsidRPr="009B6299">
        <w:t xml:space="preserve">In these studies, the PD markers </w:t>
      </w:r>
      <w:r w:rsidRPr="00E21A75">
        <w:t>included serum CTX and P1NP following the first dose of denosumab.</w:t>
      </w:r>
      <w:r w:rsidR="00626059">
        <w:t xml:space="preserve"> </w:t>
      </w:r>
      <w:r w:rsidRPr="00E21A75">
        <w:t>Based on these assessments, the serum concentrations of these PD</w:t>
      </w:r>
      <w:r w:rsidRPr="009B6299">
        <w:t xml:space="preserve"> markers were comparable between the sponsor’s products and their counterparts (i.e. reference products), with the 90% CIs of the ln-</w:t>
      </w:r>
      <w:r w:rsidRPr="006D54A5">
        <w:t>transformed Emax, AUEC</w:t>
      </w:r>
      <w:r w:rsidRPr="006D54A5">
        <w:rPr>
          <w:vertAlign w:val="subscript"/>
        </w:rPr>
        <w:t xml:space="preserve">0-t </w:t>
      </w:r>
      <w:r w:rsidRPr="006D54A5">
        <w:t>within the acceptance</w:t>
      </w:r>
      <w:r w:rsidRPr="009B6299">
        <w:t xml:space="preserve"> criteria of 80.00% - 125.00%.</w:t>
      </w:r>
    </w:p>
    <w:p w14:paraId="6A784ADB" w14:textId="77946FCE" w:rsidR="009B6299" w:rsidRPr="009B6299" w:rsidRDefault="009B6299" w:rsidP="001B3B45">
      <w:r w:rsidRPr="009B6299">
        <w:t>In Studies 0568-19 and 0774-19, only CTX and P1NP were assessed as PD biomarkers, whereas there are other biomarkers of bone turnover such as bone-specific alkaline phosphatase (</w:t>
      </w:r>
      <w:proofErr w:type="spellStart"/>
      <w:r w:rsidRPr="009B6299">
        <w:t>BALP</w:t>
      </w:r>
      <w:proofErr w:type="spellEnd"/>
      <w:r w:rsidRPr="009B6299">
        <w:t xml:space="preserve">), </w:t>
      </w:r>
      <w:proofErr w:type="spellStart"/>
      <w:r w:rsidRPr="009B6299">
        <w:t>deoxypyridionoline</w:t>
      </w:r>
      <w:proofErr w:type="spellEnd"/>
      <w:r w:rsidRPr="009B6299">
        <w:t xml:space="preserve"> (</w:t>
      </w:r>
      <w:proofErr w:type="spellStart"/>
      <w:r w:rsidRPr="009B6299">
        <w:t>DPD</w:t>
      </w:r>
      <w:proofErr w:type="spellEnd"/>
      <w:r w:rsidRPr="009B6299">
        <w:t xml:space="preserve">), or </w:t>
      </w:r>
      <w:proofErr w:type="spellStart"/>
      <w:r w:rsidRPr="009B6299">
        <w:t>pyridinoline</w:t>
      </w:r>
      <w:proofErr w:type="spellEnd"/>
      <w:r w:rsidRPr="009B6299">
        <w:t xml:space="preserve"> (PYD).</w:t>
      </w:r>
      <w:r w:rsidR="00626059">
        <w:t xml:space="preserve"> </w:t>
      </w:r>
      <w:r w:rsidRPr="009B6299">
        <w:t xml:space="preserve">It is presumed that </w:t>
      </w:r>
      <w:proofErr w:type="spellStart"/>
      <w:r w:rsidRPr="009B6299">
        <w:t>CTX</w:t>
      </w:r>
      <w:proofErr w:type="spellEnd"/>
      <w:r w:rsidRPr="009B6299">
        <w:t xml:space="preserve"> and </w:t>
      </w:r>
      <w:proofErr w:type="spellStart"/>
      <w:r w:rsidRPr="009B6299">
        <w:t>P1NP</w:t>
      </w:r>
      <w:proofErr w:type="spellEnd"/>
      <w:r w:rsidRPr="009B6299">
        <w:t xml:space="preserve"> were chosen to be consistent with the FREEDOM trial that took place as a part of the initial denosumab development.</w:t>
      </w:r>
    </w:p>
    <w:p w14:paraId="23DC9CFC" w14:textId="77777777" w:rsidR="009B6299" w:rsidRPr="009B6299" w:rsidRDefault="009B6299" w:rsidP="001B3B45">
      <w:r w:rsidRPr="009B6299">
        <w:t>Overall, the PD assessment is supportive of the bioequivalence of the sponsor’s and reference products.</w:t>
      </w:r>
    </w:p>
    <w:p w14:paraId="617F38D3" w14:textId="77777777" w:rsidR="009B6299" w:rsidRPr="009B6299" w:rsidRDefault="009B6299" w:rsidP="001B3B45">
      <w:pPr>
        <w:pStyle w:val="Heading5"/>
        <w:rPr>
          <w:rFonts w:eastAsia="Cambria"/>
        </w:rPr>
      </w:pPr>
      <w:r w:rsidRPr="009B6299">
        <w:rPr>
          <w:rFonts w:eastAsia="Cambria"/>
        </w:rPr>
        <w:t>Evaluator’s conclusions on clinical efficacy</w:t>
      </w:r>
    </w:p>
    <w:p w14:paraId="5906D8C4" w14:textId="7145FEB9" w:rsidR="009B6299" w:rsidRPr="009B6299" w:rsidRDefault="009B6299" w:rsidP="001B3B45">
      <w:r w:rsidRPr="009B6299">
        <w:t>The clinical efficacy was assessed in the pivotal study 0774-19.</w:t>
      </w:r>
      <w:r w:rsidR="00626059">
        <w:t xml:space="preserve"> </w:t>
      </w:r>
      <w:r w:rsidRPr="009B6299">
        <w:t>In this study, the clinical efficacy was assessed in postmenopausal women with osteoporosis (</w:t>
      </w:r>
      <w:r w:rsidRPr="009244CC">
        <w:t>based on the DXA assessment</w:t>
      </w:r>
      <w:r w:rsidRPr="009B6299">
        <w:t xml:space="preserve"> in the lumbar vertebrae). The study compared the efficacy of the sponsor's product (Denosumab) with that of the reference product (Prolia).</w:t>
      </w:r>
    </w:p>
    <w:p w14:paraId="76B6C5B8" w14:textId="1D7F3A99" w:rsidR="009B6299" w:rsidRPr="009B6299" w:rsidRDefault="009B6299" w:rsidP="001B3B45">
      <w:r w:rsidRPr="009B6299">
        <w:t xml:space="preserve">The primary </w:t>
      </w:r>
      <w:r w:rsidRPr="009244CC">
        <w:t>endpoint was the %CFB in the BMD</w:t>
      </w:r>
      <w:r w:rsidRPr="009B6299">
        <w:t xml:space="preserve"> score at 12 months, which showed that 95% CI of the %CFB was -1.42 to 1.03; this narrowly met the prespecified equivalence margin of (-1.45%, +1.45%).</w:t>
      </w:r>
      <w:r w:rsidR="00626059">
        <w:t xml:space="preserve"> </w:t>
      </w:r>
      <w:r w:rsidRPr="009B6299">
        <w:t>Descriptive statistics for mean %CFB in BMD score for the lumbar spine, femoral neck and total hip were generally comparable at the 12 months (Main phase) and 18 months (Extension phase) were generally comparable between the two groups.</w:t>
      </w:r>
    </w:p>
    <w:p w14:paraId="5CCC20F9" w14:textId="22740062" w:rsidR="009B6299" w:rsidRPr="009B6299" w:rsidRDefault="009B6299" w:rsidP="001B3B45">
      <w:r w:rsidRPr="009B6299">
        <w:t xml:space="preserve">In the Main </w:t>
      </w:r>
      <w:r w:rsidR="00686C83">
        <w:t>p</w:t>
      </w:r>
      <w:r w:rsidRPr="009B6299">
        <w:t xml:space="preserve">hase of the study, there was only </w:t>
      </w:r>
      <w:r w:rsidR="00583D41">
        <w:t>one</w:t>
      </w:r>
      <w:r w:rsidRPr="009B6299">
        <w:t xml:space="preserve"> episode of fracture (upper limb fracture) in the Denosumab group, and none in the Prolia group.</w:t>
      </w:r>
      <w:r w:rsidR="00626059">
        <w:t xml:space="preserve"> </w:t>
      </w:r>
      <w:r w:rsidRPr="009B6299">
        <w:t xml:space="preserve">The number </w:t>
      </w:r>
      <w:proofErr w:type="gramStart"/>
      <w:r w:rsidRPr="009B6299">
        <w:t>is considered to be</w:t>
      </w:r>
      <w:proofErr w:type="gramEnd"/>
      <w:r w:rsidRPr="009B6299">
        <w:t xml:space="preserve"> too low for an objective comparison.</w:t>
      </w:r>
    </w:p>
    <w:p w14:paraId="1E19D77C" w14:textId="39BF7A49" w:rsidR="009B6299" w:rsidRPr="009B6299" w:rsidRDefault="009B6299" w:rsidP="001B3B45">
      <w:r w:rsidRPr="009B6299">
        <w:t>Overall, the study met the primary objective by meeting the pre-specified criteria in the form of the %CFB in the BMD score.</w:t>
      </w:r>
      <w:r w:rsidR="00626059">
        <w:t xml:space="preserve"> </w:t>
      </w:r>
      <w:r w:rsidRPr="009B6299">
        <w:t>The study could not conclusively assess whether this leads to a comparable reduction in the risk of clinical fracture, as the study was not designed to address this issue.</w:t>
      </w:r>
    </w:p>
    <w:p w14:paraId="606C8085" w14:textId="33D06881" w:rsidR="009B6299" w:rsidRPr="009B6299" w:rsidRDefault="009B6299" w:rsidP="001B3B45">
      <w:r w:rsidRPr="009B6299">
        <w:t>It should also be noted that the study may have a questionable applicability in the Australian context.</w:t>
      </w:r>
      <w:r w:rsidR="00626059">
        <w:t xml:space="preserve"> </w:t>
      </w:r>
      <w:r w:rsidRPr="009B6299">
        <w:t>Most (94.6%) patients were Indian and only a small subset (5.4%) of patients were Georgian.</w:t>
      </w:r>
    </w:p>
    <w:p w14:paraId="3D8B4B4E" w14:textId="0EC4E86A" w:rsidR="009B6299" w:rsidRPr="009B6299" w:rsidRDefault="009B6299" w:rsidP="001B3B45">
      <w:r w:rsidRPr="009B6299">
        <w:t>The pathogenesis of osteoporosis and its complications (e.g. fractures) are affected by genetics, environment, lifestyle (e.g. diet, supplements, exercise) monitoring and support (e.g. family, services).</w:t>
      </w:r>
      <w:r w:rsidR="00626059">
        <w:t xml:space="preserve"> </w:t>
      </w:r>
      <w:r w:rsidRPr="009B6299">
        <w:t>There are reports that suggest that Caucasian women are more likely to have osteoporosis and osteoporotic fractures.</w:t>
      </w:r>
      <w:r w:rsidR="00626059">
        <w:t xml:space="preserve"> </w:t>
      </w:r>
      <w:r w:rsidRPr="009B6299">
        <w:t xml:space="preserve">As such, the clinical evaluator considers that a more </w:t>
      </w:r>
      <w:r w:rsidRPr="009B6299">
        <w:lastRenderedPageBreak/>
        <w:t>comprehensive clinical assessment of fractures over a longer period in a wider set of jurisdictions would have been helpful in validating the clinical efficacy.</w:t>
      </w:r>
    </w:p>
    <w:p w14:paraId="23D4B2C6" w14:textId="77777777" w:rsidR="009B6299" w:rsidRPr="009B6299" w:rsidRDefault="009B6299" w:rsidP="001B3B45">
      <w:pPr>
        <w:pStyle w:val="Heading5"/>
        <w:rPr>
          <w:rFonts w:eastAsia="Cambria"/>
        </w:rPr>
      </w:pPr>
      <w:r w:rsidRPr="009B6299">
        <w:rPr>
          <w:rFonts w:eastAsia="Cambria"/>
        </w:rPr>
        <w:t>Evaluator’s overall conclusions on clinical safety</w:t>
      </w:r>
    </w:p>
    <w:p w14:paraId="31DB1BB0" w14:textId="76CBD466" w:rsidR="009B6299" w:rsidRPr="009B6299" w:rsidRDefault="009B6299" w:rsidP="001B3B45">
      <w:pPr>
        <w:rPr>
          <w:lang w:eastAsia="ja-JP"/>
        </w:rPr>
      </w:pPr>
      <w:r w:rsidRPr="009B6299">
        <w:rPr>
          <w:lang w:eastAsia="ja-JP"/>
        </w:rPr>
        <w:t>Clinical safety was assessed in the two clinical studies 0568-19 and 0774-19.</w:t>
      </w:r>
    </w:p>
    <w:p w14:paraId="3DC20CE6" w14:textId="2E6B253C" w:rsidR="009B6299" w:rsidRPr="009B6299" w:rsidRDefault="009B6299" w:rsidP="001B3B45">
      <w:pPr>
        <w:rPr>
          <w:lang w:eastAsia="ja-JP"/>
        </w:rPr>
      </w:pPr>
      <w:r w:rsidRPr="009B6299">
        <w:rPr>
          <w:lang w:eastAsia="ja-JP"/>
        </w:rPr>
        <w:t xml:space="preserve">In Study 0568-19, a total of 234 healthy male volunteers were dosed with either </w:t>
      </w:r>
      <w:proofErr w:type="spellStart"/>
      <w:r w:rsidRPr="009B6299">
        <w:rPr>
          <w:lang w:eastAsia="ja-JP"/>
        </w:rPr>
        <w:t>Intas</w:t>
      </w:r>
      <w:proofErr w:type="spellEnd"/>
      <w:r w:rsidRPr="009B6299">
        <w:rPr>
          <w:lang w:eastAsia="ja-JP"/>
        </w:rPr>
        <w:t>-Denosumab, US-</w:t>
      </w:r>
      <w:proofErr w:type="spellStart"/>
      <w:r w:rsidRPr="009B6299">
        <w:rPr>
          <w:lang w:eastAsia="ja-JP"/>
        </w:rPr>
        <w:t>Xgeva</w:t>
      </w:r>
      <w:proofErr w:type="spellEnd"/>
      <w:r w:rsidRPr="009B6299">
        <w:rPr>
          <w:lang w:eastAsia="ja-JP"/>
        </w:rPr>
        <w:t>, and EU-</w:t>
      </w:r>
      <w:proofErr w:type="spellStart"/>
      <w:r w:rsidRPr="009B6299">
        <w:rPr>
          <w:lang w:eastAsia="ja-JP"/>
        </w:rPr>
        <w:t>Xgeva</w:t>
      </w:r>
      <w:proofErr w:type="spellEnd"/>
      <w:r w:rsidRPr="009B6299">
        <w:rPr>
          <w:lang w:eastAsia="ja-JP"/>
        </w:rPr>
        <w:t>.</w:t>
      </w:r>
      <w:r w:rsidR="00626059">
        <w:rPr>
          <w:lang w:eastAsia="ja-JP"/>
        </w:rPr>
        <w:t xml:space="preserve"> </w:t>
      </w:r>
      <w:r w:rsidRPr="009B6299">
        <w:rPr>
          <w:lang w:eastAsia="ja-JP"/>
        </w:rPr>
        <w:t xml:space="preserve">The incidence and severity of </w:t>
      </w:r>
      <w:r w:rsidR="007C29CA">
        <w:rPr>
          <w:lang w:eastAsia="ja-JP"/>
        </w:rPr>
        <w:t>adverse events (</w:t>
      </w:r>
      <w:r w:rsidRPr="009B6299">
        <w:rPr>
          <w:lang w:eastAsia="ja-JP"/>
        </w:rPr>
        <w:t>AEs</w:t>
      </w:r>
      <w:r w:rsidR="007C29CA">
        <w:rPr>
          <w:lang w:eastAsia="ja-JP"/>
        </w:rPr>
        <w:t>)</w:t>
      </w:r>
      <w:r w:rsidRPr="009B6299">
        <w:rPr>
          <w:lang w:eastAsia="ja-JP"/>
        </w:rPr>
        <w:t xml:space="preserve"> were generally consistent in all three groups.</w:t>
      </w:r>
      <w:r w:rsidR="00626059">
        <w:rPr>
          <w:lang w:eastAsia="ja-JP"/>
        </w:rPr>
        <w:t xml:space="preserve"> </w:t>
      </w:r>
      <w:r w:rsidRPr="009B6299">
        <w:rPr>
          <w:lang w:eastAsia="ja-JP"/>
        </w:rPr>
        <w:t>The most common AE was hypercalcaemia.</w:t>
      </w:r>
      <w:r w:rsidR="00626059">
        <w:rPr>
          <w:lang w:eastAsia="ja-JP"/>
        </w:rPr>
        <w:t xml:space="preserve"> </w:t>
      </w:r>
      <w:r w:rsidRPr="009B6299">
        <w:rPr>
          <w:lang w:eastAsia="ja-JP"/>
        </w:rPr>
        <w:t xml:space="preserve">There were 10 significant AEs (including two from the Test Product group), nine of which </w:t>
      </w:r>
      <w:proofErr w:type="gramStart"/>
      <w:r w:rsidRPr="009B6299">
        <w:rPr>
          <w:lang w:eastAsia="ja-JP"/>
        </w:rPr>
        <w:t>were considered to be</w:t>
      </w:r>
      <w:proofErr w:type="gramEnd"/>
      <w:r w:rsidRPr="009B6299">
        <w:rPr>
          <w:lang w:eastAsia="ja-JP"/>
        </w:rPr>
        <w:t xml:space="preserve"> unlikely in terms of causality, and one that </w:t>
      </w:r>
      <w:proofErr w:type="gramStart"/>
      <w:r w:rsidRPr="009B6299">
        <w:rPr>
          <w:lang w:eastAsia="ja-JP"/>
        </w:rPr>
        <w:t>was considered to be</w:t>
      </w:r>
      <w:proofErr w:type="gramEnd"/>
      <w:r w:rsidRPr="009B6299">
        <w:rPr>
          <w:lang w:eastAsia="ja-JP"/>
        </w:rPr>
        <w:t xml:space="preserve"> possibly related (Platelet count decreased, Reference Product R1 group).</w:t>
      </w:r>
    </w:p>
    <w:p w14:paraId="5875A4DA" w14:textId="1AE44BD1" w:rsidR="009B6299" w:rsidRPr="009B6299" w:rsidRDefault="009B6299" w:rsidP="001B3B45">
      <w:pPr>
        <w:rPr>
          <w:lang w:eastAsia="ja-JP"/>
        </w:rPr>
      </w:pPr>
      <w:r w:rsidRPr="009B6299">
        <w:rPr>
          <w:lang w:eastAsia="ja-JP"/>
        </w:rPr>
        <w:t>In Study 0774-19, a total of 552 postmenopausal women with osteoporosis were included in Treatment Period of the study and 123 patients were re-randomised in Transition-extension Period of the study.</w:t>
      </w:r>
      <w:r w:rsidR="00626059">
        <w:rPr>
          <w:lang w:eastAsia="ja-JP"/>
        </w:rPr>
        <w:t xml:space="preserve"> </w:t>
      </w:r>
      <w:r w:rsidRPr="009B6299">
        <w:rPr>
          <w:lang w:eastAsia="ja-JP"/>
        </w:rPr>
        <w:t xml:space="preserve">65.9% of the participants reported at least </w:t>
      </w:r>
      <w:r w:rsidR="006E4680">
        <w:rPr>
          <w:lang w:eastAsia="ja-JP"/>
        </w:rPr>
        <w:t>one</w:t>
      </w:r>
      <w:r w:rsidRPr="009B6299">
        <w:rPr>
          <w:lang w:eastAsia="ja-JP"/>
        </w:rPr>
        <w:t xml:space="preserve"> AE during the Treatment Period, and the proportion was balanced between the Test and Reference Arms (65.2% and 66.7%, respectively).</w:t>
      </w:r>
      <w:r w:rsidR="00626059">
        <w:rPr>
          <w:lang w:eastAsia="ja-JP"/>
        </w:rPr>
        <w:t xml:space="preserve"> </w:t>
      </w:r>
      <w:r w:rsidRPr="009B6299">
        <w:rPr>
          <w:lang w:eastAsia="ja-JP"/>
        </w:rPr>
        <w:t>Most of the AEs (808 out of 830 AEs) were mild, and 4 were severe in nature.</w:t>
      </w:r>
      <w:r w:rsidR="00626059">
        <w:rPr>
          <w:lang w:eastAsia="ja-JP"/>
        </w:rPr>
        <w:t xml:space="preserve"> </w:t>
      </w:r>
      <w:r w:rsidRPr="009B6299">
        <w:rPr>
          <w:lang w:eastAsia="ja-JP"/>
        </w:rPr>
        <w:t>Most (776 AEs) recovered without sequelae.</w:t>
      </w:r>
      <w:r w:rsidR="00626059">
        <w:rPr>
          <w:lang w:eastAsia="ja-JP"/>
        </w:rPr>
        <w:t xml:space="preserve"> </w:t>
      </w:r>
      <w:r w:rsidRPr="009B6299">
        <w:rPr>
          <w:lang w:eastAsia="ja-JP"/>
        </w:rPr>
        <w:t>The incidence of AEs was much less in the Transition-extension period, and most (98 out of 99 AEs) were mild in nature.</w:t>
      </w:r>
      <w:r w:rsidR="00626059">
        <w:rPr>
          <w:lang w:eastAsia="ja-JP"/>
        </w:rPr>
        <w:t xml:space="preserve"> </w:t>
      </w:r>
      <w:r w:rsidRPr="009B6299">
        <w:rPr>
          <w:lang w:eastAsia="ja-JP"/>
        </w:rPr>
        <w:t>The types of AEs (by preferred term) were generally balanced between the two groups with hypocalcaemia being the most common AE, which is likely to have been exacerbated by denosumab.</w:t>
      </w:r>
      <w:r w:rsidR="00626059">
        <w:rPr>
          <w:lang w:eastAsia="ja-JP"/>
        </w:rPr>
        <w:t xml:space="preserve"> </w:t>
      </w:r>
      <w:r w:rsidRPr="009B6299">
        <w:rPr>
          <w:lang w:eastAsia="ja-JP"/>
        </w:rPr>
        <w:t xml:space="preserve">There was </w:t>
      </w:r>
      <w:r w:rsidR="006E4680">
        <w:rPr>
          <w:lang w:eastAsia="ja-JP"/>
        </w:rPr>
        <w:t>one</w:t>
      </w:r>
      <w:r w:rsidRPr="009B6299">
        <w:rPr>
          <w:lang w:eastAsia="ja-JP"/>
        </w:rPr>
        <w:t xml:space="preserve"> death in the Reference </w:t>
      </w:r>
      <w:r w:rsidR="006E4680">
        <w:rPr>
          <w:lang w:eastAsia="ja-JP"/>
        </w:rPr>
        <w:t>G</w:t>
      </w:r>
      <w:r w:rsidRPr="009B6299">
        <w:rPr>
          <w:lang w:eastAsia="ja-JP"/>
        </w:rPr>
        <w:t>roup during the Treatment period and an additional death in the Test group, neither of which was considered to related to the study treatments.</w:t>
      </w:r>
    </w:p>
    <w:p w14:paraId="34421C1C" w14:textId="2147CBA7" w:rsidR="009B6299" w:rsidRPr="009B6299" w:rsidRDefault="009B6299" w:rsidP="001B3B45">
      <w:pPr>
        <w:rPr>
          <w:lang w:eastAsia="ja-JP"/>
        </w:rPr>
      </w:pPr>
      <w:r w:rsidRPr="009B6299">
        <w:rPr>
          <w:lang w:eastAsia="ja-JP"/>
        </w:rPr>
        <w:t>Overall, the safety profiles of the sponsor's Denosumab and Prolia appear to be comparable.</w:t>
      </w:r>
      <w:r w:rsidR="00626059">
        <w:rPr>
          <w:lang w:eastAsia="ja-JP"/>
        </w:rPr>
        <w:t xml:space="preserve"> </w:t>
      </w:r>
      <w:r w:rsidRPr="009B6299">
        <w:rPr>
          <w:lang w:eastAsia="ja-JP"/>
        </w:rPr>
        <w:t>It should be noted that the follow-up periods were relatively short, and the number of subjects were too low for detection and rare events.</w:t>
      </w:r>
    </w:p>
    <w:p w14:paraId="2858B006" w14:textId="77777777" w:rsidR="00C22214" w:rsidRDefault="00C22214" w:rsidP="001B3B45">
      <w:pPr>
        <w:pStyle w:val="Heading3"/>
        <w:rPr>
          <w:lang w:eastAsia="en-AU"/>
        </w:rPr>
      </w:pPr>
      <w:bookmarkStart w:id="52" w:name="_Toc314842514"/>
      <w:bookmarkStart w:id="53" w:name="_Toc103679298"/>
      <w:bookmarkStart w:id="54" w:name="_Toc226984786"/>
      <w:r>
        <w:rPr>
          <w:lang w:eastAsia="en-AU"/>
        </w:rPr>
        <w:t xml:space="preserve">Risk management </w:t>
      </w:r>
      <w:r w:rsidRPr="001B3B45">
        <w:t>plan</w:t>
      </w:r>
      <w:bookmarkEnd w:id="52"/>
      <w:bookmarkEnd w:id="53"/>
      <w:bookmarkEnd w:id="54"/>
    </w:p>
    <w:p w14:paraId="7989681A" w14:textId="5FF8F5EC" w:rsidR="002B6728" w:rsidRPr="002B6728" w:rsidRDefault="002B6728" w:rsidP="001B3B45">
      <w:bookmarkStart w:id="55" w:name="_Toc247691531"/>
      <w:bookmarkStart w:id="56" w:name="_Toc314842515"/>
      <w:r w:rsidRPr="002B6728">
        <w:t xml:space="preserve">The Denolia/Deskeltia EU-Risk Management Plan (RMP) version 1.0 </w:t>
      </w:r>
      <w:r w:rsidR="008706A6">
        <w:t>(</w:t>
      </w:r>
      <w:r w:rsidRPr="002B6728">
        <w:t xml:space="preserve">dated 22 February 2024, data lock point 01 February 2024), with Australia-Specific Annex (ASA) version 1.2 </w:t>
      </w:r>
      <w:r w:rsidR="008706A6">
        <w:t>(</w:t>
      </w:r>
      <w:r w:rsidRPr="002B6728">
        <w:t>dated 03 March 2025), and Dostiva/Dexeva EU-Risk Management Plan (RMP) version 2.0</w:t>
      </w:r>
      <w:r w:rsidR="008706A6">
        <w:t xml:space="preserve"> (</w:t>
      </w:r>
      <w:r w:rsidRPr="002B6728">
        <w:t xml:space="preserve">dated 23 August 2024, data lock point 06 August 2024), with Australia-Specific Annex (ASA) version 1.2 </w:t>
      </w:r>
      <w:r w:rsidR="008706A6">
        <w:t>(</w:t>
      </w:r>
      <w:r w:rsidRPr="002B6728">
        <w:t>dated 03 March 2025) have been reviewed.</w:t>
      </w:r>
    </w:p>
    <w:p w14:paraId="68EEAB41" w14:textId="6AEB402E" w:rsidR="002B6728" w:rsidRPr="002B6728" w:rsidRDefault="002B6728" w:rsidP="001B3B45">
      <w:r w:rsidRPr="002B6728">
        <w:t>The proposed summary of safety concerns and their associated risk monitoring and mitigation strategies for Denolia/ Deskeltia are summarised below:</w:t>
      </w:r>
    </w:p>
    <w:p w14:paraId="56B51A93" w14:textId="2B9E1729" w:rsidR="006A277A" w:rsidRDefault="00C22214" w:rsidP="001B3B45">
      <w:pPr>
        <w:pStyle w:val="TableTitle"/>
      </w:pPr>
      <w:bookmarkStart w:id="57" w:name="_Ref97629131"/>
      <w:r>
        <w:t xml:space="preserve">Table </w:t>
      </w:r>
      <w:bookmarkEnd w:id="57"/>
      <w:r w:rsidR="00A54A06">
        <w:t>6</w:t>
      </w:r>
      <w:r w:rsidR="00A54A06">
        <w:rPr>
          <w:noProof/>
        </w:rPr>
        <w:t>.</w:t>
      </w:r>
      <w:r>
        <w:t xml:space="preserve"> Summary of safety concerns</w:t>
      </w:r>
      <w:r w:rsidR="00A54A06" w:rsidRPr="00A54A06">
        <w:rPr>
          <w:rFonts w:eastAsiaTheme="minorHAnsi" w:cstheme="minorBidi"/>
          <w:b w:val="0"/>
        </w:rPr>
        <w:t xml:space="preserve"> </w:t>
      </w:r>
      <w:r w:rsidR="00A54A06" w:rsidRPr="00A54A06">
        <w:t xml:space="preserve">for </w:t>
      </w:r>
      <w:proofErr w:type="spellStart"/>
      <w:r w:rsidR="00A54A06" w:rsidRPr="001B3B45">
        <w:t>Denolia</w:t>
      </w:r>
      <w:proofErr w:type="spellEnd"/>
      <w:r w:rsidR="00A54A06" w:rsidRPr="00A54A06">
        <w:t xml:space="preserve">/ </w:t>
      </w:r>
      <w:proofErr w:type="spellStart"/>
      <w:r w:rsidR="00A54A06" w:rsidRPr="00A54A06">
        <w:t>Deskeltia</w:t>
      </w:r>
      <w:proofErr w:type="spellEnd"/>
      <w:r w:rsidR="00A54A06">
        <w:t>.</w:t>
      </w:r>
    </w:p>
    <w:tbl>
      <w:tblPr>
        <w:tblStyle w:val="TableTGAblue2023"/>
        <w:tblW w:w="9629" w:type="dxa"/>
        <w:tblLayout w:type="fixed"/>
        <w:tblLook w:val="04A0" w:firstRow="1" w:lastRow="0" w:firstColumn="1" w:lastColumn="0" w:noHBand="0" w:noVBand="1"/>
      </w:tblPr>
      <w:tblGrid>
        <w:gridCol w:w="1555"/>
        <w:gridCol w:w="2976"/>
        <w:gridCol w:w="1134"/>
        <w:gridCol w:w="1418"/>
        <w:gridCol w:w="1134"/>
        <w:gridCol w:w="1412"/>
      </w:tblGrid>
      <w:tr w:rsidR="00C32314" w:rsidRPr="009508BA" w14:paraId="679C335C" w14:textId="77777777" w:rsidTr="001B3B45">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tcPr>
          <w:p w14:paraId="71C7DC6C" w14:textId="77777777" w:rsidR="00C32314" w:rsidRPr="00CF7D55" w:rsidRDefault="00C32314" w:rsidP="001B3B45">
            <w:r w:rsidRPr="00CF7D55">
              <w:t>Summary of safety concerns</w:t>
            </w:r>
          </w:p>
        </w:tc>
        <w:tc>
          <w:tcPr>
            <w:tcW w:w="2552" w:type="dxa"/>
            <w:gridSpan w:val="2"/>
          </w:tcPr>
          <w:p w14:paraId="1B600DF4" w14:textId="77777777" w:rsidR="00C32314" w:rsidRPr="00CF7D55" w:rsidRDefault="00C32314" w:rsidP="001B3B45">
            <w:pPr>
              <w:cnfStyle w:val="100000000000" w:firstRow="1" w:lastRow="0" w:firstColumn="0" w:lastColumn="0" w:oddVBand="0" w:evenVBand="0" w:oddHBand="0" w:evenHBand="0" w:firstRowFirstColumn="0" w:firstRowLastColumn="0" w:lastRowFirstColumn="0" w:lastRowLastColumn="0"/>
            </w:pPr>
            <w:r w:rsidRPr="00CF7D55">
              <w:t>Pharmacovigilance</w:t>
            </w:r>
          </w:p>
        </w:tc>
        <w:tc>
          <w:tcPr>
            <w:tcW w:w="2546" w:type="dxa"/>
            <w:gridSpan w:val="2"/>
          </w:tcPr>
          <w:p w14:paraId="4F0400B6" w14:textId="77777777" w:rsidR="00C32314" w:rsidRPr="00CF7D55" w:rsidRDefault="00C32314" w:rsidP="001B3B45">
            <w:pPr>
              <w:cnfStyle w:val="100000000000" w:firstRow="1" w:lastRow="0" w:firstColumn="0" w:lastColumn="0" w:oddVBand="0" w:evenVBand="0" w:oddHBand="0" w:evenHBand="0" w:firstRowFirstColumn="0" w:firstRowLastColumn="0" w:lastRowFirstColumn="0" w:lastRowLastColumn="0"/>
            </w:pPr>
            <w:r w:rsidRPr="00CF7D55">
              <w:t>Risk Minimisation</w:t>
            </w:r>
          </w:p>
        </w:tc>
      </w:tr>
      <w:tr w:rsidR="00C32314" w:rsidRPr="009508BA" w14:paraId="00565EEC" w14:textId="77777777" w:rsidTr="001B3B45">
        <w:trPr>
          <w:trHeight w:val="150"/>
        </w:trPr>
        <w:tc>
          <w:tcPr>
            <w:cnfStyle w:val="001000000000" w:firstRow="0" w:lastRow="0" w:firstColumn="1" w:lastColumn="0" w:oddVBand="0" w:evenVBand="0" w:oddHBand="0" w:evenHBand="0" w:firstRowFirstColumn="0" w:firstRowLastColumn="0" w:lastRowFirstColumn="0" w:lastRowLastColumn="0"/>
            <w:tcW w:w="4531" w:type="dxa"/>
            <w:gridSpan w:val="2"/>
            <w:vMerge/>
          </w:tcPr>
          <w:p w14:paraId="6E6B4A2E" w14:textId="77777777" w:rsidR="00C32314" w:rsidRPr="00CF7D55" w:rsidRDefault="00C32314" w:rsidP="001B3B45"/>
        </w:tc>
        <w:tc>
          <w:tcPr>
            <w:tcW w:w="1134" w:type="dxa"/>
          </w:tcPr>
          <w:p w14:paraId="2509A6EC"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Routine</w:t>
            </w:r>
          </w:p>
        </w:tc>
        <w:tc>
          <w:tcPr>
            <w:tcW w:w="1418" w:type="dxa"/>
          </w:tcPr>
          <w:p w14:paraId="7E5567E6"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Additional</w:t>
            </w:r>
          </w:p>
        </w:tc>
        <w:tc>
          <w:tcPr>
            <w:tcW w:w="1134" w:type="dxa"/>
          </w:tcPr>
          <w:p w14:paraId="2D7FDD4A"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Routine</w:t>
            </w:r>
          </w:p>
        </w:tc>
        <w:tc>
          <w:tcPr>
            <w:tcW w:w="1412" w:type="dxa"/>
          </w:tcPr>
          <w:p w14:paraId="1D5927BE"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Additional</w:t>
            </w:r>
          </w:p>
        </w:tc>
      </w:tr>
      <w:tr w:rsidR="00C32314" w:rsidRPr="00CC5AF3" w14:paraId="73A68824" w14:textId="77777777" w:rsidTr="001B3B45">
        <w:trPr>
          <w:trHeight w:val="137"/>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C842E5F" w14:textId="77777777" w:rsidR="00C32314" w:rsidRPr="001B3B45" w:rsidRDefault="00C32314" w:rsidP="001B3B45">
            <w:pPr>
              <w:rPr>
                <w:b/>
                <w:bCs/>
              </w:rPr>
            </w:pPr>
            <w:r w:rsidRPr="001B3B45">
              <w:rPr>
                <w:b/>
                <w:bCs/>
              </w:rPr>
              <w:t>Important identified risks</w:t>
            </w:r>
          </w:p>
        </w:tc>
        <w:tc>
          <w:tcPr>
            <w:tcW w:w="2976" w:type="dxa"/>
          </w:tcPr>
          <w:p w14:paraId="45F3B38D"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Hypocalcaemia</w:t>
            </w:r>
          </w:p>
        </w:tc>
        <w:tc>
          <w:tcPr>
            <w:tcW w:w="1134" w:type="dxa"/>
          </w:tcPr>
          <w:p w14:paraId="313C038D"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666112E2"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351E6010"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6958183B"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5660A62C" w14:textId="77777777" w:rsidTr="001B3B45">
        <w:trPr>
          <w:trHeight w:val="94"/>
        </w:trPr>
        <w:tc>
          <w:tcPr>
            <w:cnfStyle w:val="001000000000" w:firstRow="0" w:lastRow="0" w:firstColumn="1" w:lastColumn="0" w:oddVBand="0" w:evenVBand="0" w:oddHBand="0" w:evenHBand="0" w:firstRowFirstColumn="0" w:firstRowLastColumn="0" w:lastRowFirstColumn="0" w:lastRowLastColumn="0"/>
            <w:tcW w:w="1555" w:type="dxa"/>
            <w:vMerge/>
          </w:tcPr>
          <w:p w14:paraId="56C1BED1" w14:textId="77777777" w:rsidR="00C32314" w:rsidRPr="001B3B45" w:rsidRDefault="00C32314" w:rsidP="001B3B45">
            <w:pPr>
              <w:rPr>
                <w:b/>
                <w:bCs/>
              </w:rPr>
            </w:pPr>
          </w:p>
        </w:tc>
        <w:tc>
          <w:tcPr>
            <w:tcW w:w="2976" w:type="dxa"/>
          </w:tcPr>
          <w:p w14:paraId="61C24DF0"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Skin infection leading to hospitalisation</w:t>
            </w:r>
          </w:p>
        </w:tc>
        <w:tc>
          <w:tcPr>
            <w:tcW w:w="1134" w:type="dxa"/>
          </w:tcPr>
          <w:p w14:paraId="7634CD3F"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62B2DAA7"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027B20BF"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48A3FE54"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4D509FC5" w14:textId="77777777" w:rsidTr="001B3B45">
        <w:trPr>
          <w:trHeight w:val="94"/>
        </w:trPr>
        <w:tc>
          <w:tcPr>
            <w:cnfStyle w:val="001000000000" w:firstRow="0" w:lastRow="0" w:firstColumn="1" w:lastColumn="0" w:oddVBand="0" w:evenVBand="0" w:oddHBand="0" w:evenHBand="0" w:firstRowFirstColumn="0" w:firstRowLastColumn="0" w:lastRowFirstColumn="0" w:lastRowLastColumn="0"/>
            <w:tcW w:w="1555" w:type="dxa"/>
            <w:vMerge/>
          </w:tcPr>
          <w:p w14:paraId="54D3C5AB" w14:textId="77777777" w:rsidR="00C32314" w:rsidRPr="001B3B45" w:rsidRDefault="00C32314" w:rsidP="001B3B45">
            <w:pPr>
              <w:rPr>
                <w:b/>
                <w:bCs/>
              </w:rPr>
            </w:pPr>
          </w:p>
        </w:tc>
        <w:tc>
          <w:tcPr>
            <w:tcW w:w="2976" w:type="dxa"/>
          </w:tcPr>
          <w:p w14:paraId="5B53093C"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Osteonecrosis of the jaw</w:t>
            </w:r>
          </w:p>
        </w:tc>
        <w:tc>
          <w:tcPr>
            <w:tcW w:w="1134" w:type="dxa"/>
          </w:tcPr>
          <w:p w14:paraId="1B963404"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6C564289"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44436DBE"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69D5E21F"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603EE0D8" w14:textId="77777777" w:rsidTr="001B3B45">
        <w:trPr>
          <w:trHeight w:val="94"/>
        </w:trPr>
        <w:tc>
          <w:tcPr>
            <w:cnfStyle w:val="001000000000" w:firstRow="0" w:lastRow="0" w:firstColumn="1" w:lastColumn="0" w:oddVBand="0" w:evenVBand="0" w:oddHBand="0" w:evenHBand="0" w:firstRowFirstColumn="0" w:firstRowLastColumn="0" w:lastRowFirstColumn="0" w:lastRowLastColumn="0"/>
            <w:tcW w:w="1555" w:type="dxa"/>
            <w:vMerge/>
          </w:tcPr>
          <w:p w14:paraId="290E209C" w14:textId="77777777" w:rsidR="00C32314" w:rsidRPr="001B3B45" w:rsidRDefault="00C32314" w:rsidP="001B3B45">
            <w:pPr>
              <w:rPr>
                <w:b/>
                <w:bCs/>
              </w:rPr>
            </w:pPr>
          </w:p>
        </w:tc>
        <w:tc>
          <w:tcPr>
            <w:tcW w:w="2976" w:type="dxa"/>
          </w:tcPr>
          <w:p w14:paraId="1E05C48F"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Hypersensitivity reactions</w:t>
            </w:r>
          </w:p>
        </w:tc>
        <w:tc>
          <w:tcPr>
            <w:tcW w:w="1134" w:type="dxa"/>
          </w:tcPr>
          <w:p w14:paraId="5E526B27"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1AE5A2C5"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76A20CBF"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41CFE988"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35496AF6" w14:textId="77777777" w:rsidTr="001B3B45">
        <w:trPr>
          <w:trHeight w:val="94"/>
        </w:trPr>
        <w:tc>
          <w:tcPr>
            <w:cnfStyle w:val="001000000000" w:firstRow="0" w:lastRow="0" w:firstColumn="1" w:lastColumn="0" w:oddVBand="0" w:evenVBand="0" w:oddHBand="0" w:evenHBand="0" w:firstRowFirstColumn="0" w:firstRowLastColumn="0" w:lastRowFirstColumn="0" w:lastRowLastColumn="0"/>
            <w:tcW w:w="1555" w:type="dxa"/>
            <w:vMerge/>
          </w:tcPr>
          <w:p w14:paraId="6744A186" w14:textId="77777777" w:rsidR="00C32314" w:rsidRPr="001B3B45" w:rsidRDefault="00C32314" w:rsidP="001B3B45">
            <w:pPr>
              <w:rPr>
                <w:b/>
                <w:bCs/>
              </w:rPr>
            </w:pPr>
          </w:p>
        </w:tc>
        <w:tc>
          <w:tcPr>
            <w:tcW w:w="2976" w:type="dxa"/>
          </w:tcPr>
          <w:p w14:paraId="4EF57077"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Atypical femoral fracture</w:t>
            </w:r>
          </w:p>
        </w:tc>
        <w:tc>
          <w:tcPr>
            <w:tcW w:w="1134" w:type="dxa"/>
          </w:tcPr>
          <w:p w14:paraId="38E85674"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44497615"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5143EA94"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358B1FA2"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72BC398F" w14:textId="77777777" w:rsidTr="001B3B45">
        <w:trPr>
          <w:trHeight w:val="187"/>
        </w:trPr>
        <w:tc>
          <w:tcPr>
            <w:cnfStyle w:val="001000000000" w:firstRow="0" w:lastRow="0" w:firstColumn="1" w:lastColumn="0" w:oddVBand="0" w:evenVBand="0" w:oddHBand="0" w:evenHBand="0" w:firstRowFirstColumn="0" w:firstRowLastColumn="0" w:lastRowFirstColumn="0" w:lastRowLastColumn="0"/>
            <w:tcW w:w="1555" w:type="dxa"/>
            <w:vMerge/>
          </w:tcPr>
          <w:p w14:paraId="5C99226D" w14:textId="77777777" w:rsidR="00C32314" w:rsidRPr="001B3B45" w:rsidRDefault="00C32314" w:rsidP="001B3B45">
            <w:pPr>
              <w:rPr>
                <w:b/>
                <w:bCs/>
              </w:rPr>
            </w:pPr>
          </w:p>
        </w:tc>
        <w:tc>
          <w:tcPr>
            <w:tcW w:w="2976" w:type="dxa"/>
          </w:tcPr>
          <w:p w14:paraId="79CA9F3D"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Hypercalcaemia in paediatric patients receiving denosumab and after treatment discontinuation</w:t>
            </w:r>
          </w:p>
        </w:tc>
        <w:tc>
          <w:tcPr>
            <w:tcW w:w="1134" w:type="dxa"/>
          </w:tcPr>
          <w:p w14:paraId="6D4BD9B9"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8" w:type="dxa"/>
          </w:tcPr>
          <w:p w14:paraId="11EC8413"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399375BD"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6918AD46"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7229B657" w14:textId="77777777" w:rsidTr="001B3B45">
        <w:trPr>
          <w:trHeight w:val="159"/>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39F908B4" w14:textId="77777777" w:rsidR="00C32314" w:rsidRPr="001B3B45" w:rsidRDefault="00C32314" w:rsidP="001B3B45">
            <w:pPr>
              <w:rPr>
                <w:b/>
                <w:bCs/>
              </w:rPr>
            </w:pPr>
            <w:r w:rsidRPr="001B3B45">
              <w:rPr>
                <w:b/>
                <w:bCs/>
              </w:rPr>
              <w:t>Important potential risks</w:t>
            </w:r>
          </w:p>
        </w:tc>
        <w:tc>
          <w:tcPr>
            <w:tcW w:w="2976" w:type="dxa"/>
          </w:tcPr>
          <w:p w14:paraId="21CFAEA5"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Fracture healing complications</w:t>
            </w:r>
          </w:p>
        </w:tc>
        <w:tc>
          <w:tcPr>
            <w:tcW w:w="1134" w:type="dxa"/>
          </w:tcPr>
          <w:p w14:paraId="376BADD5"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38F89F91"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350E59B0"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412" w:type="dxa"/>
          </w:tcPr>
          <w:p w14:paraId="029390E1"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4649D645" w14:textId="77777777" w:rsidTr="001B3B45">
        <w:trPr>
          <w:trHeight w:val="122"/>
        </w:trPr>
        <w:tc>
          <w:tcPr>
            <w:cnfStyle w:val="001000000000" w:firstRow="0" w:lastRow="0" w:firstColumn="1" w:lastColumn="0" w:oddVBand="0" w:evenVBand="0" w:oddHBand="0" w:evenHBand="0" w:firstRowFirstColumn="0" w:firstRowLastColumn="0" w:lastRowFirstColumn="0" w:lastRowLastColumn="0"/>
            <w:tcW w:w="1555" w:type="dxa"/>
            <w:vMerge/>
          </w:tcPr>
          <w:p w14:paraId="45452710" w14:textId="77777777" w:rsidR="00C32314" w:rsidRPr="001B3B45" w:rsidRDefault="00C32314" w:rsidP="001B3B45">
            <w:pPr>
              <w:rPr>
                <w:b/>
                <w:bCs/>
              </w:rPr>
            </w:pPr>
          </w:p>
        </w:tc>
        <w:tc>
          <w:tcPr>
            <w:tcW w:w="2976" w:type="dxa"/>
          </w:tcPr>
          <w:p w14:paraId="08F85A2C"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Infection</w:t>
            </w:r>
          </w:p>
        </w:tc>
        <w:tc>
          <w:tcPr>
            <w:tcW w:w="1134" w:type="dxa"/>
          </w:tcPr>
          <w:p w14:paraId="3AA7F6CB"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58B3950C"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7C69DC40"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04337CDD"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33CEFF18" w14:textId="77777777" w:rsidTr="001B3B45">
        <w:trPr>
          <w:trHeight w:val="122"/>
        </w:trPr>
        <w:tc>
          <w:tcPr>
            <w:cnfStyle w:val="001000000000" w:firstRow="0" w:lastRow="0" w:firstColumn="1" w:lastColumn="0" w:oddVBand="0" w:evenVBand="0" w:oddHBand="0" w:evenHBand="0" w:firstRowFirstColumn="0" w:firstRowLastColumn="0" w:lastRowFirstColumn="0" w:lastRowLastColumn="0"/>
            <w:tcW w:w="1555" w:type="dxa"/>
            <w:vMerge/>
          </w:tcPr>
          <w:p w14:paraId="19ADE072" w14:textId="77777777" w:rsidR="00C32314" w:rsidRPr="001B3B45" w:rsidRDefault="00C32314" w:rsidP="001B3B45">
            <w:pPr>
              <w:rPr>
                <w:b/>
                <w:bCs/>
              </w:rPr>
            </w:pPr>
          </w:p>
        </w:tc>
        <w:tc>
          <w:tcPr>
            <w:tcW w:w="2976" w:type="dxa"/>
          </w:tcPr>
          <w:p w14:paraId="3E8844EA"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 xml:space="preserve">Cardiovascular events </w:t>
            </w:r>
          </w:p>
        </w:tc>
        <w:tc>
          <w:tcPr>
            <w:tcW w:w="1134" w:type="dxa"/>
          </w:tcPr>
          <w:p w14:paraId="0CC89423"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8" w:type="dxa"/>
          </w:tcPr>
          <w:p w14:paraId="05E7AF00"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243153E4"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412" w:type="dxa"/>
          </w:tcPr>
          <w:p w14:paraId="136C10D9"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p>
        </w:tc>
      </w:tr>
      <w:tr w:rsidR="00C32314" w:rsidRPr="00CC5AF3" w14:paraId="3B742758" w14:textId="77777777" w:rsidTr="001B3B45">
        <w:trPr>
          <w:trHeight w:val="112"/>
        </w:trPr>
        <w:tc>
          <w:tcPr>
            <w:cnfStyle w:val="001000000000" w:firstRow="0" w:lastRow="0" w:firstColumn="1" w:lastColumn="0" w:oddVBand="0" w:evenVBand="0" w:oddHBand="0" w:evenHBand="0" w:firstRowFirstColumn="0" w:firstRowLastColumn="0" w:lastRowFirstColumn="0" w:lastRowLastColumn="0"/>
            <w:tcW w:w="1555" w:type="dxa"/>
            <w:vMerge/>
          </w:tcPr>
          <w:p w14:paraId="271D0048" w14:textId="77777777" w:rsidR="00C32314" w:rsidRPr="001B3B45" w:rsidRDefault="00C32314" w:rsidP="001B3B45">
            <w:pPr>
              <w:rPr>
                <w:b/>
                <w:bCs/>
              </w:rPr>
            </w:pPr>
          </w:p>
        </w:tc>
        <w:tc>
          <w:tcPr>
            <w:tcW w:w="2976" w:type="dxa"/>
          </w:tcPr>
          <w:p w14:paraId="1EA0855A"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Malignancy</w:t>
            </w:r>
          </w:p>
        </w:tc>
        <w:tc>
          <w:tcPr>
            <w:tcW w:w="1134" w:type="dxa"/>
          </w:tcPr>
          <w:p w14:paraId="0F289435"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r w:rsidRPr="00CF7D55">
              <w:t>*</w:t>
            </w:r>
          </w:p>
        </w:tc>
        <w:tc>
          <w:tcPr>
            <w:tcW w:w="1418" w:type="dxa"/>
          </w:tcPr>
          <w:p w14:paraId="22CA65CF"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c>
          <w:tcPr>
            <w:tcW w:w="1134" w:type="dxa"/>
          </w:tcPr>
          <w:p w14:paraId="49B084A6"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sym w:font="Wingdings" w:char="F0FC"/>
            </w:r>
          </w:p>
        </w:tc>
        <w:tc>
          <w:tcPr>
            <w:tcW w:w="1412" w:type="dxa"/>
          </w:tcPr>
          <w:p w14:paraId="13DDB4F7"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w:t>
            </w:r>
          </w:p>
        </w:tc>
      </w:tr>
      <w:tr w:rsidR="00C32314" w:rsidRPr="00CC5AF3" w14:paraId="2CE808AB" w14:textId="77777777" w:rsidTr="001B3B45">
        <w:trPr>
          <w:trHeight w:val="363"/>
        </w:trPr>
        <w:tc>
          <w:tcPr>
            <w:cnfStyle w:val="001000000000" w:firstRow="0" w:lastRow="0" w:firstColumn="1" w:lastColumn="0" w:oddVBand="0" w:evenVBand="0" w:oddHBand="0" w:evenHBand="0" w:firstRowFirstColumn="0" w:firstRowLastColumn="0" w:lastRowFirstColumn="0" w:lastRowLastColumn="0"/>
            <w:tcW w:w="1555" w:type="dxa"/>
          </w:tcPr>
          <w:p w14:paraId="72163CF9" w14:textId="77777777" w:rsidR="00C32314" w:rsidRPr="001B3B45" w:rsidRDefault="00C32314" w:rsidP="001B3B45">
            <w:pPr>
              <w:rPr>
                <w:b/>
                <w:bCs/>
              </w:rPr>
            </w:pPr>
            <w:r w:rsidRPr="001B3B45">
              <w:rPr>
                <w:b/>
                <w:bCs/>
              </w:rPr>
              <w:t>Missing information</w:t>
            </w:r>
          </w:p>
        </w:tc>
        <w:tc>
          <w:tcPr>
            <w:tcW w:w="2976" w:type="dxa"/>
          </w:tcPr>
          <w:p w14:paraId="5A2E0CC6"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r w:rsidRPr="00CF7D55">
              <w:t>None</w:t>
            </w:r>
          </w:p>
        </w:tc>
        <w:tc>
          <w:tcPr>
            <w:tcW w:w="1134" w:type="dxa"/>
          </w:tcPr>
          <w:p w14:paraId="33ACEC8F"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p>
        </w:tc>
        <w:tc>
          <w:tcPr>
            <w:tcW w:w="1418" w:type="dxa"/>
          </w:tcPr>
          <w:p w14:paraId="0BFC019E"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p>
        </w:tc>
        <w:tc>
          <w:tcPr>
            <w:tcW w:w="1134" w:type="dxa"/>
          </w:tcPr>
          <w:p w14:paraId="5DD6D1CE"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p>
        </w:tc>
        <w:tc>
          <w:tcPr>
            <w:tcW w:w="1412" w:type="dxa"/>
          </w:tcPr>
          <w:p w14:paraId="153BA9A6" w14:textId="77777777" w:rsidR="00C32314" w:rsidRPr="00CF7D55" w:rsidRDefault="00C32314" w:rsidP="001B3B45">
            <w:pPr>
              <w:cnfStyle w:val="000000000000" w:firstRow="0" w:lastRow="0" w:firstColumn="0" w:lastColumn="0" w:oddVBand="0" w:evenVBand="0" w:oddHBand="0" w:evenHBand="0" w:firstRowFirstColumn="0" w:firstRowLastColumn="0" w:lastRowFirstColumn="0" w:lastRowLastColumn="0"/>
            </w:pPr>
          </w:p>
        </w:tc>
      </w:tr>
    </w:tbl>
    <w:p w14:paraId="4A00FFDC" w14:textId="2989D293" w:rsidR="00B0009E" w:rsidRDefault="00B0009E" w:rsidP="001B3B45">
      <w:pPr>
        <w:pStyle w:val="TableDescription"/>
      </w:pPr>
      <w:r w:rsidRPr="009508BA">
        <w:t>*</w:t>
      </w:r>
      <w:r w:rsidRPr="001B3B45">
        <w:t>Targeted</w:t>
      </w:r>
      <w:r w:rsidRPr="0073385F">
        <w:t xml:space="preserve"> follow up forms</w:t>
      </w:r>
    </w:p>
    <w:p w14:paraId="526D6B4D" w14:textId="682E0EF7" w:rsidR="00474ECF" w:rsidRDefault="00474ECF" w:rsidP="001B3B45">
      <w:r w:rsidRPr="00474ECF">
        <w:t>The proposed summary of safety concerns and their associated risk monitoring and mitigation strategies for Dostiva / Dexeva are summarised below:</w:t>
      </w:r>
    </w:p>
    <w:p w14:paraId="5A371B78" w14:textId="146FC4A0" w:rsidR="00B9738F" w:rsidRPr="00474ECF" w:rsidRDefault="00B9738F" w:rsidP="001B3B45">
      <w:pPr>
        <w:pStyle w:val="TableTitle"/>
      </w:pPr>
      <w:r w:rsidRPr="00B9738F">
        <w:t xml:space="preserve">Table </w:t>
      </w:r>
      <w:r w:rsidR="00862098">
        <w:t>7</w:t>
      </w:r>
      <w:r w:rsidRPr="00B9738F">
        <w:t xml:space="preserve">. Summary of safety </w:t>
      </w:r>
      <w:r w:rsidRPr="001B3B45">
        <w:t>concerns</w:t>
      </w:r>
      <w:r w:rsidRPr="00B9738F">
        <w:t xml:space="preserve"> for </w:t>
      </w:r>
      <w:proofErr w:type="spellStart"/>
      <w:r w:rsidRPr="00B9738F">
        <w:t>Dostiva</w:t>
      </w:r>
      <w:proofErr w:type="spellEnd"/>
      <w:r w:rsidRPr="00B9738F">
        <w:t xml:space="preserve">/ </w:t>
      </w:r>
      <w:proofErr w:type="spellStart"/>
      <w:r w:rsidRPr="00B9738F">
        <w:t>Dexeva</w:t>
      </w:r>
      <w:proofErr w:type="spellEnd"/>
      <w:r w:rsidR="00B47631">
        <w:t>.</w:t>
      </w:r>
      <w:r w:rsidRPr="00B9738F">
        <w:t xml:space="preserve"> </w:t>
      </w:r>
    </w:p>
    <w:tbl>
      <w:tblPr>
        <w:tblStyle w:val="TableTGAblue2023"/>
        <w:tblW w:w="9629" w:type="dxa"/>
        <w:tblLayout w:type="fixed"/>
        <w:tblLook w:val="04A0" w:firstRow="1" w:lastRow="0" w:firstColumn="1" w:lastColumn="0" w:noHBand="0" w:noVBand="1"/>
      </w:tblPr>
      <w:tblGrid>
        <w:gridCol w:w="1550"/>
        <w:gridCol w:w="2698"/>
        <w:gridCol w:w="1276"/>
        <w:gridCol w:w="1417"/>
        <w:gridCol w:w="1276"/>
        <w:gridCol w:w="1412"/>
      </w:tblGrid>
      <w:tr w:rsidR="007C360E" w:rsidRPr="007C360E" w14:paraId="41263F4E" w14:textId="77777777" w:rsidTr="001B3B45">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248" w:type="dxa"/>
            <w:gridSpan w:val="2"/>
            <w:vMerge w:val="restart"/>
          </w:tcPr>
          <w:p w14:paraId="513DA211" w14:textId="77777777" w:rsidR="007C360E" w:rsidRPr="007C360E" w:rsidRDefault="007C360E" w:rsidP="001B3B45">
            <w:r w:rsidRPr="007C360E">
              <w:t>Summary of safety concerns</w:t>
            </w:r>
          </w:p>
        </w:tc>
        <w:tc>
          <w:tcPr>
            <w:tcW w:w="2693" w:type="dxa"/>
            <w:gridSpan w:val="2"/>
          </w:tcPr>
          <w:p w14:paraId="447F50F3" w14:textId="77777777" w:rsidR="007C360E" w:rsidRPr="007C360E" w:rsidRDefault="007C360E" w:rsidP="001B3B45">
            <w:pPr>
              <w:cnfStyle w:val="100000000000" w:firstRow="1" w:lastRow="0" w:firstColumn="0" w:lastColumn="0" w:oddVBand="0" w:evenVBand="0" w:oddHBand="0" w:evenHBand="0" w:firstRowFirstColumn="0" w:firstRowLastColumn="0" w:lastRowFirstColumn="0" w:lastRowLastColumn="0"/>
            </w:pPr>
            <w:r w:rsidRPr="007C360E">
              <w:t>Pharmacovigilance</w:t>
            </w:r>
          </w:p>
        </w:tc>
        <w:tc>
          <w:tcPr>
            <w:tcW w:w="2688" w:type="dxa"/>
            <w:gridSpan w:val="2"/>
          </w:tcPr>
          <w:p w14:paraId="63514DE5" w14:textId="77777777" w:rsidR="007C360E" w:rsidRPr="007C360E" w:rsidRDefault="007C360E" w:rsidP="001B3B45">
            <w:pPr>
              <w:cnfStyle w:val="100000000000" w:firstRow="1" w:lastRow="0" w:firstColumn="0" w:lastColumn="0" w:oddVBand="0" w:evenVBand="0" w:oddHBand="0" w:evenHBand="0" w:firstRowFirstColumn="0" w:firstRowLastColumn="0" w:lastRowFirstColumn="0" w:lastRowLastColumn="0"/>
            </w:pPr>
            <w:r w:rsidRPr="007C360E">
              <w:t>Risk Minimisation</w:t>
            </w:r>
          </w:p>
        </w:tc>
      </w:tr>
      <w:tr w:rsidR="007C360E" w:rsidRPr="007C360E" w14:paraId="110EFF59" w14:textId="77777777" w:rsidTr="001B3B45">
        <w:trPr>
          <w:trHeight w:val="150"/>
        </w:trPr>
        <w:tc>
          <w:tcPr>
            <w:cnfStyle w:val="001000000000" w:firstRow="0" w:lastRow="0" w:firstColumn="1" w:lastColumn="0" w:oddVBand="0" w:evenVBand="0" w:oddHBand="0" w:evenHBand="0" w:firstRowFirstColumn="0" w:firstRowLastColumn="0" w:lastRowFirstColumn="0" w:lastRowLastColumn="0"/>
            <w:tcW w:w="4248" w:type="dxa"/>
            <w:gridSpan w:val="2"/>
            <w:vMerge/>
          </w:tcPr>
          <w:p w14:paraId="73576980" w14:textId="77777777" w:rsidR="007C360E" w:rsidRPr="007C360E" w:rsidRDefault="007C360E" w:rsidP="001B3B45"/>
        </w:tc>
        <w:tc>
          <w:tcPr>
            <w:tcW w:w="1276" w:type="dxa"/>
          </w:tcPr>
          <w:p w14:paraId="7B774F5A"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Routine</w:t>
            </w:r>
          </w:p>
        </w:tc>
        <w:tc>
          <w:tcPr>
            <w:tcW w:w="1417" w:type="dxa"/>
          </w:tcPr>
          <w:p w14:paraId="2B2C39A4"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Additional</w:t>
            </w:r>
          </w:p>
        </w:tc>
        <w:tc>
          <w:tcPr>
            <w:tcW w:w="1276" w:type="dxa"/>
          </w:tcPr>
          <w:p w14:paraId="5AAC0B7D"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Routine</w:t>
            </w:r>
          </w:p>
        </w:tc>
        <w:tc>
          <w:tcPr>
            <w:tcW w:w="1412" w:type="dxa"/>
          </w:tcPr>
          <w:p w14:paraId="15419C1F"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Additional</w:t>
            </w:r>
          </w:p>
        </w:tc>
      </w:tr>
      <w:tr w:rsidR="007C360E" w:rsidRPr="007C360E" w14:paraId="69B94172" w14:textId="77777777" w:rsidTr="001B3B45">
        <w:trPr>
          <w:trHeight w:val="137"/>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0766A1A6" w14:textId="77777777" w:rsidR="007C360E" w:rsidRPr="001B3B45" w:rsidRDefault="007C360E" w:rsidP="001B3B45">
            <w:pPr>
              <w:rPr>
                <w:b/>
                <w:bCs/>
                <w:sz w:val="19"/>
                <w:szCs w:val="19"/>
              </w:rPr>
            </w:pPr>
            <w:r w:rsidRPr="001B3B45">
              <w:rPr>
                <w:b/>
                <w:bCs/>
                <w:sz w:val="19"/>
                <w:szCs w:val="19"/>
              </w:rPr>
              <w:t>Important identified risks</w:t>
            </w:r>
          </w:p>
        </w:tc>
        <w:tc>
          <w:tcPr>
            <w:tcW w:w="2698" w:type="dxa"/>
          </w:tcPr>
          <w:p w14:paraId="07540625"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Osteonecrosis of the jaw</w:t>
            </w:r>
          </w:p>
        </w:tc>
        <w:tc>
          <w:tcPr>
            <w:tcW w:w="1276" w:type="dxa"/>
          </w:tcPr>
          <w:p w14:paraId="3D7C6CB1"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r w:rsidRPr="007C360E">
              <w:t>*</w:t>
            </w:r>
          </w:p>
        </w:tc>
        <w:tc>
          <w:tcPr>
            <w:tcW w:w="1417" w:type="dxa"/>
          </w:tcPr>
          <w:p w14:paraId="6962A56E"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087152B8"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2" w:type="dxa"/>
          </w:tcPr>
          <w:p w14:paraId="7E7F0394"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168144EA" w14:textId="77777777" w:rsidTr="001B3B45">
        <w:trPr>
          <w:trHeight w:val="94"/>
        </w:trPr>
        <w:tc>
          <w:tcPr>
            <w:cnfStyle w:val="001000000000" w:firstRow="0" w:lastRow="0" w:firstColumn="1" w:lastColumn="0" w:oddVBand="0" w:evenVBand="0" w:oddHBand="0" w:evenHBand="0" w:firstRowFirstColumn="0" w:firstRowLastColumn="0" w:lastRowFirstColumn="0" w:lastRowLastColumn="0"/>
            <w:tcW w:w="1550" w:type="dxa"/>
            <w:vMerge/>
          </w:tcPr>
          <w:p w14:paraId="031095D9" w14:textId="77777777" w:rsidR="007C360E" w:rsidRPr="001B3B45" w:rsidRDefault="007C360E" w:rsidP="001B3B45">
            <w:pPr>
              <w:rPr>
                <w:b/>
                <w:bCs/>
                <w:sz w:val="19"/>
                <w:szCs w:val="19"/>
              </w:rPr>
            </w:pPr>
          </w:p>
        </w:tc>
        <w:tc>
          <w:tcPr>
            <w:tcW w:w="2698" w:type="dxa"/>
          </w:tcPr>
          <w:p w14:paraId="2E515ABC"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Atypical femoral fracture</w:t>
            </w:r>
          </w:p>
        </w:tc>
        <w:tc>
          <w:tcPr>
            <w:tcW w:w="1276" w:type="dxa"/>
          </w:tcPr>
          <w:p w14:paraId="02129AEC"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r w:rsidRPr="007C360E">
              <w:t>*</w:t>
            </w:r>
          </w:p>
        </w:tc>
        <w:tc>
          <w:tcPr>
            <w:tcW w:w="1417" w:type="dxa"/>
          </w:tcPr>
          <w:p w14:paraId="1ECDF1D4"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5DC31E4B"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2" w:type="dxa"/>
          </w:tcPr>
          <w:p w14:paraId="216E10A5"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45BEAB54" w14:textId="77777777" w:rsidTr="001B3B45">
        <w:trPr>
          <w:trHeight w:val="94"/>
        </w:trPr>
        <w:tc>
          <w:tcPr>
            <w:cnfStyle w:val="001000000000" w:firstRow="0" w:lastRow="0" w:firstColumn="1" w:lastColumn="0" w:oddVBand="0" w:evenVBand="0" w:oddHBand="0" w:evenHBand="0" w:firstRowFirstColumn="0" w:firstRowLastColumn="0" w:lastRowFirstColumn="0" w:lastRowLastColumn="0"/>
            <w:tcW w:w="1550" w:type="dxa"/>
            <w:vMerge/>
          </w:tcPr>
          <w:p w14:paraId="783D769B" w14:textId="77777777" w:rsidR="007C360E" w:rsidRPr="001B3B45" w:rsidRDefault="007C360E" w:rsidP="001B3B45">
            <w:pPr>
              <w:rPr>
                <w:b/>
                <w:bCs/>
                <w:sz w:val="19"/>
                <w:szCs w:val="19"/>
              </w:rPr>
            </w:pPr>
          </w:p>
        </w:tc>
        <w:tc>
          <w:tcPr>
            <w:tcW w:w="2698" w:type="dxa"/>
          </w:tcPr>
          <w:p w14:paraId="68FC21F3"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Hypercalcaemia several months after the last dose in patients with giant cell tumour of bone and in patients with growing skeletons</w:t>
            </w:r>
          </w:p>
        </w:tc>
        <w:tc>
          <w:tcPr>
            <w:tcW w:w="1276" w:type="dxa"/>
          </w:tcPr>
          <w:p w14:paraId="2BAF5B0B"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014480D4"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3C0EF19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2" w:type="dxa"/>
          </w:tcPr>
          <w:p w14:paraId="2457575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78463790" w14:textId="77777777" w:rsidTr="001B3B45">
        <w:trPr>
          <w:trHeight w:val="592"/>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3EBF7F9F" w14:textId="77777777" w:rsidR="007C360E" w:rsidRPr="001B3B45" w:rsidRDefault="007C360E" w:rsidP="001B3B45">
            <w:pPr>
              <w:rPr>
                <w:b/>
                <w:bCs/>
                <w:sz w:val="19"/>
                <w:szCs w:val="19"/>
              </w:rPr>
            </w:pPr>
            <w:r w:rsidRPr="001B3B45">
              <w:rPr>
                <w:b/>
                <w:bCs/>
                <w:sz w:val="19"/>
                <w:szCs w:val="19"/>
              </w:rPr>
              <w:t>Important potential risks</w:t>
            </w:r>
          </w:p>
        </w:tc>
        <w:tc>
          <w:tcPr>
            <w:tcW w:w="2698" w:type="dxa"/>
          </w:tcPr>
          <w:p w14:paraId="538FC2E3"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Cardiovascular events</w:t>
            </w:r>
          </w:p>
        </w:tc>
        <w:tc>
          <w:tcPr>
            <w:tcW w:w="1276" w:type="dxa"/>
          </w:tcPr>
          <w:p w14:paraId="4D346D4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6F5155CB"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1E554981"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412" w:type="dxa"/>
          </w:tcPr>
          <w:p w14:paraId="48F19DF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326A9A2A" w14:textId="77777777" w:rsidTr="001B3B45">
        <w:trPr>
          <w:trHeight w:val="122"/>
        </w:trPr>
        <w:tc>
          <w:tcPr>
            <w:cnfStyle w:val="001000000000" w:firstRow="0" w:lastRow="0" w:firstColumn="1" w:lastColumn="0" w:oddVBand="0" w:evenVBand="0" w:oddHBand="0" w:evenHBand="0" w:firstRowFirstColumn="0" w:firstRowLastColumn="0" w:lastRowFirstColumn="0" w:lastRowLastColumn="0"/>
            <w:tcW w:w="1550" w:type="dxa"/>
            <w:vMerge/>
          </w:tcPr>
          <w:p w14:paraId="38CE94E9" w14:textId="77777777" w:rsidR="007C360E" w:rsidRPr="001B3B45" w:rsidRDefault="007C360E" w:rsidP="001B3B45">
            <w:pPr>
              <w:rPr>
                <w:b/>
                <w:bCs/>
                <w:sz w:val="19"/>
                <w:szCs w:val="19"/>
              </w:rPr>
            </w:pPr>
          </w:p>
        </w:tc>
        <w:tc>
          <w:tcPr>
            <w:tcW w:w="2698" w:type="dxa"/>
          </w:tcPr>
          <w:p w14:paraId="68338363"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Malignancy</w:t>
            </w:r>
          </w:p>
        </w:tc>
        <w:tc>
          <w:tcPr>
            <w:tcW w:w="1276" w:type="dxa"/>
          </w:tcPr>
          <w:p w14:paraId="1B445784"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27DE21AB"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0FBE783D"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rPr>
                <w:bCs/>
              </w:rPr>
            </w:pPr>
            <w:r w:rsidRPr="007C360E">
              <w:t>–</w:t>
            </w:r>
          </w:p>
        </w:tc>
        <w:tc>
          <w:tcPr>
            <w:tcW w:w="1412" w:type="dxa"/>
          </w:tcPr>
          <w:p w14:paraId="19176AD8"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6300A8D6" w14:textId="77777777" w:rsidTr="001B3B45">
        <w:trPr>
          <w:trHeight w:val="592"/>
        </w:trPr>
        <w:tc>
          <w:tcPr>
            <w:cnfStyle w:val="001000000000" w:firstRow="0" w:lastRow="0" w:firstColumn="1" w:lastColumn="0" w:oddVBand="0" w:evenVBand="0" w:oddHBand="0" w:evenHBand="0" w:firstRowFirstColumn="0" w:firstRowLastColumn="0" w:lastRowFirstColumn="0" w:lastRowLastColumn="0"/>
            <w:tcW w:w="1550" w:type="dxa"/>
            <w:vMerge/>
          </w:tcPr>
          <w:p w14:paraId="3EA911DA" w14:textId="77777777" w:rsidR="007C360E" w:rsidRPr="001B3B45" w:rsidRDefault="007C360E" w:rsidP="001B3B45">
            <w:pPr>
              <w:rPr>
                <w:b/>
                <w:bCs/>
                <w:sz w:val="19"/>
                <w:szCs w:val="19"/>
              </w:rPr>
            </w:pPr>
          </w:p>
        </w:tc>
        <w:tc>
          <w:tcPr>
            <w:tcW w:w="2698" w:type="dxa"/>
          </w:tcPr>
          <w:p w14:paraId="771EB4CE"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Delay in diagnosis of primary malignancy in giant cell tumour of bone</w:t>
            </w:r>
          </w:p>
        </w:tc>
        <w:tc>
          <w:tcPr>
            <w:tcW w:w="1276" w:type="dxa"/>
          </w:tcPr>
          <w:p w14:paraId="700B3027"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784348F7"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4853353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412" w:type="dxa"/>
          </w:tcPr>
          <w:p w14:paraId="3B2DB18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652C80FE" w14:textId="77777777" w:rsidTr="001B3B45">
        <w:trPr>
          <w:trHeight w:val="112"/>
        </w:trPr>
        <w:tc>
          <w:tcPr>
            <w:cnfStyle w:val="001000000000" w:firstRow="0" w:lastRow="0" w:firstColumn="1" w:lastColumn="0" w:oddVBand="0" w:evenVBand="0" w:oddHBand="0" w:evenHBand="0" w:firstRowFirstColumn="0" w:firstRowLastColumn="0" w:lastRowFirstColumn="0" w:lastRowLastColumn="0"/>
            <w:tcW w:w="1550" w:type="dxa"/>
            <w:vMerge/>
          </w:tcPr>
          <w:p w14:paraId="2B5A124E" w14:textId="77777777" w:rsidR="007C360E" w:rsidRPr="001B3B45" w:rsidRDefault="007C360E" w:rsidP="001B3B45">
            <w:pPr>
              <w:rPr>
                <w:b/>
                <w:bCs/>
                <w:sz w:val="19"/>
                <w:szCs w:val="19"/>
              </w:rPr>
            </w:pPr>
          </w:p>
        </w:tc>
        <w:tc>
          <w:tcPr>
            <w:tcW w:w="2698" w:type="dxa"/>
          </w:tcPr>
          <w:p w14:paraId="397CF7C7"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Hypercalcaemia several months after the last dose in patients other than those with giant cell tumour of bone or growing skeletons</w:t>
            </w:r>
          </w:p>
        </w:tc>
        <w:tc>
          <w:tcPr>
            <w:tcW w:w="1276" w:type="dxa"/>
          </w:tcPr>
          <w:p w14:paraId="0A3A650A"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7D42D8A4"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087E0BA2"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412" w:type="dxa"/>
          </w:tcPr>
          <w:p w14:paraId="669109A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6827D0EA" w14:textId="77777777" w:rsidTr="001B3B45">
        <w:trPr>
          <w:trHeight w:val="178"/>
        </w:trPr>
        <w:tc>
          <w:tcPr>
            <w:cnfStyle w:val="001000000000" w:firstRow="0" w:lastRow="0" w:firstColumn="1" w:lastColumn="0" w:oddVBand="0" w:evenVBand="0" w:oddHBand="0" w:evenHBand="0" w:firstRowFirstColumn="0" w:firstRowLastColumn="0" w:lastRowFirstColumn="0" w:lastRowLastColumn="0"/>
            <w:tcW w:w="1550" w:type="dxa"/>
            <w:vMerge w:val="restart"/>
          </w:tcPr>
          <w:p w14:paraId="775D7FFD" w14:textId="77777777" w:rsidR="007C360E" w:rsidRPr="001B3B45" w:rsidRDefault="007C360E" w:rsidP="001B3B45">
            <w:pPr>
              <w:rPr>
                <w:b/>
                <w:bCs/>
                <w:sz w:val="19"/>
                <w:szCs w:val="19"/>
              </w:rPr>
            </w:pPr>
            <w:r w:rsidRPr="001B3B45">
              <w:rPr>
                <w:b/>
                <w:bCs/>
                <w:sz w:val="19"/>
                <w:szCs w:val="19"/>
              </w:rPr>
              <w:lastRenderedPageBreak/>
              <w:t>Missing information</w:t>
            </w:r>
          </w:p>
        </w:tc>
        <w:tc>
          <w:tcPr>
            <w:tcW w:w="2698" w:type="dxa"/>
          </w:tcPr>
          <w:p w14:paraId="59040671"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Patients with prior intravenous bisphosphonate treatment</w:t>
            </w:r>
          </w:p>
        </w:tc>
        <w:tc>
          <w:tcPr>
            <w:tcW w:w="1276" w:type="dxa"/>
          </w:tcPr>
          <w:p w14:paraId="0A780EDF"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3ADF311E"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1F6C16E7"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2" w:type="dxa"/>
          </w:tcPr>
          <w:p w14:paraId="10B76EF1"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0233D3D5" w14:textId="77777777" w:rsidTr="001B3B45">
        <w:trPr>
          <w:trHeight w:val="178"/>
        </w:trPr>
        <w:tc>
          <w:tcPr>
            <w:cnfStyle w:val="001000000000" w:firstRow="0" w:lastRow="0" w:firstColumn="1" w:lastColumn="0" w:oddVBand="0" w:evenVBand="0" w:oddHBand="0" w:evenHBand="0" w:firstRowFirstColumn="0" w:firstRowLastColumn="0" w:lastRowFirstColumn="0" w:lastRowLastColumn="0"/>
            <w:tcW w:w="1550" w:type="dxa"/>
            <w:vMerge/>
          </w:tcPr>
          <w:p w14:paraId="5A869824" w14:textId="77777777" w:rsidR="007C360E" w:rsidRPr="007C360E" w:rsidRDefault="007C360E" w:rsidP="001B3B45"/>
        </w:tc>
        <w:tc>
          <w:tcPr>
            <w:tcW w:w="2698" w:type="dxa"/>
          </w:tcPr>
          <w:p w14:paraId="788795EF"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Safety with long-term treatment and with long-term follow up after treatment in adults and skeletally mature adolescents with giant cell tumour of bone</w:t>
            </w:r>
          </w:p>
        </w:tc>
        <w:tc>
          <w:tcPr>
            <w:tcW w:w="1276" w:type="dxa"/>
          </w:tcPr>
          <w:p w14:paraId="048FF182"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2130A91F"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62D4DA22"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412" w:type="dxa"/>
          </w:tcPr>
          <w:p w14:paraId="1AC13C52"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r w:rsidR="007C360E" w:rsidRPr="007C360E" w14:paraId="53D0306C" w14:textId="77777777" w:rsidTr="001B3B45">
        <w:trPr>
          <w:trHeight w:val="178"/>
        </w:trPr>
        <w:tc>
          <w:tcPr>
            <w:cnfStyle w:val="001000000000" w:firstRow="0" w:lastRow="0" w:firstColumn="1" w:lastColumn="0" w:oddVBand="0" w:evenVBand="0" w:oddHBand="0" w:evenHBand="0" w:firstRowFirstColumn="0" w:firstRowLastColumn="0" w:lastRowFirstColumn="0" w:lastRowLastColumn="0"/>
            <w:tcW w:w="1550" w:type="dxa"/>
            <w:vMerge/>
          </w:tcPr>
          <w:p w14:paraId="19525525" w14:textId="77777777" w:rsidR="007C360E" w:rsidRPr="007C360E" w:rsidRDefault="007C360E" w:rsidP="001B3B45"/>
        </w:tc>
        <w:tc>
          <w:tcPr>
            <w:tcW w:w="2698" w:type="dxa"/>
          </w:tcPr>
          <w:p w14:paraId="069919DB"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Off-label use in patients with giant cell tumour of bone that is resectable where resection is unlikely to result in severe morbidity</w:t>
            </w:r>
          </w:p>
        </w:tc>
        <w:tc>
          <w:tcPr>
            <w:tcW w:w="1276" w:type="dxa"/>
          </w:tcPr>
          <w:p w14:paraId="3A818D86"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sym w:font="Wingdings" w:char="F0FC"/>
            </w:r>
          </w:p>
        </w:tc>
        <w:tc>
          <w:tcPr>
            <w:tcW w:w="1417" w:type="dxa"/>
          </w:tcPr>
          <w:p w14:paraId="171F128B"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276" w:type="dxa"/>
          </w:tcPr>
          <w:p w14:paraId="1E170F34"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c>
          <w:tcPr>
            <w:tcW w:w="1412" w:type="dxa"/>
          </w:tcPr>
          <w:p w14:paraId="75AEF3E9" w14:textId="77777777" w:rsidR="007C360E" w:rsidRPr="007C360E" w:rsidRDefault="007C360E" w:rsidP="001B3B45">
            <w:pPr>
              <w:cnfStyle w:val="000000000000" w:firstRow="0" w:lastRow="0" w:firstColumn="0" w:lastColumn="0" w:oddVBand="0" w:evenVBand="0" w:oddHBand="0" w:evenHBand="0" w:firstRowFirstColumn="0" w:firstRowLastColumn="0" w:lastRowFirstColumn="0" w:lastRowLastColumn="0"/>
            </w:pPr>
            <w:r w:rsidRPr="007C360E">
              <w:t>–</w:t>
            </w:r>
          </w:p>
        </w:tc>
      </w:tr>
    </w:tbl>
    <w:p w14:paraId="74DE85F5" w14:textId="77777777" w:rsidR="007C360E" w:rsidRPr="007C360E" w:rsidRDefault="007C360E" w:rsidP="001B3B45">
      <w:pPr>
        <w:pStyle w:val="TableDescription"/>
      </w:pPr>
      <w:r w:rsidRPr="007C360E">
        <w:t xml:space="preserve">*Targeted </w:t>
      </w:r>
      <w:r w:rsidRPr="001B3B45">
        <w:t>follow</w:t>
      </w:r>
      <w:r w:rsidRPr="007C360E">
        <w:t xml:space="preserve"> up forms</w:t>
      </w:r>
    </w:p>
    <w:p w14:paraId="08D023D1" w14:textId="4D4C81E0" w:rsidR="001B18CE" w:rsidRDefault="00134154" w:rsidP="001B3B45">
      <w:r w:rsidRPr="00134154">
        <w:t>The RMP evaluation was reviewed.</w:t>
      </w:r>
      <w:r w:rsidR="00626059">
        <w:t xml:space="preserve"> </w:t>
      </w:r>
      <w:r w:rsidRPr="00134154">
        <w:t>The summary of safety concerns for Denolia/Deskeltia and Dostiva/Dexeva was considered acceptable from an RMP perspective. The pharmacovigilance plan for Denolia/Deskeltia and Dostiva/Dexeva was considered acceptable from an RMP perspective.</w:t>
      </w:r>
      <w:r w:rsidR="00626059">
        <w:t xml:space="preserve"> </w:t>
      </w:r>
      <w:r w:rsidRPr="00134154">
        <w:t>Only routine pharmacovigilance activities have been proposed for safety concerns of Denolia/Deskeltia and Dostiva/Dexeva including specific adverse reaction follow-up questionnaires for certain safety concerns. This aligns with the associated EU RMPs and was considered acceptable from an RMP perspective.</w:t>
      </w:r>
      <w:r w:rsidR="00626059">
        <w:t xml:space="preserve"> </w:t>
      </w:r>
    </w:p>
    <w:p w14:paraId="6346B865" w14:textId="18DF04ED" w:rsidR="00134154" w:rsidRPr="00134154" w:rsidRDefault="00134154" w:rsidP="001B3B45">
      <w:r w:rsidRPr="00134154">
        <w:t xml:space="preserve">The Sponsor has proposed routine risk minimisation in the form of PI and CMI for some of the safety concerns of </w:t>
      </w:r>
      <w:bookmarkStart w:id="58" w:name="_Hlk192577612"/>
      <w:proofErr w:type="spellStart"/>
      <w:r w:rsidRPr="00134154">
        <w:t>Denolia</w:t>
      </w:r>
      <w:proofErr w:type="spellEnd"/>
      <w:r w:rsidRPr="00134154">
        <w:t>/</w:t>
      </w:r>
      <w:proofErr w:type="spellStart"/>
      <w:r w:rsidRPr="00134154">
        <w:t>Deskeltia</w:t>
      </w:r>
      <w:proofErr w:type="spellEnd"/>
      <w:r w:rsidRPr="00134154">
        <w:t xml:space="preserve"> and </w:t>
      </w:r>
      <w:proofErr w:type="spellStart"/>
      <w:r w:rsidRPr="00134154">
        <w:t>Dostiva</w:t>
      </w:r>
      <w:proofErr w:type="spellEnd"/>
      <w:r w:rsidRPr="00134154">
        <w:t>/</w:t>
      </w:r>
      <w:proofErr w:type="spellStart"/>
      <w:r w:rsidRPr="00134154">
        <w:t>Dexeva</w:t>
      </w:r>
      <w:bookmarkEnd w:id="58"/>
      <w:proofErr w:type="spellEnd"/>
      <w:r w:rsidRPr="00134154">
        <w:t>.</w:t>
      </w:r>
      <w:r w:rsidR="00626059">
        <w:t xml:space="preserve"> </w:t>
      </w:r>
      <w:r w:rsidRPr="00134154">
        <w:t xml:space="preserve">At round 2, the patient reminder card has been removed from the ASAs for Denolia/Deskeltia and Dostiva/Dexeva to address the important identified risk of ‘osteonecrosis of the jaw’ as the patient reminder card is EU specific and is not a regulatory requirement imposed by TGA. The risk minimisation plan is considered acceptable for </w:t>
      </w:r>
      <w:proofErr w:type="spellStart"/>
      <w:r w:rsidRPr="00134154">
        <w:t>Denolia</w:t>
      </w:r>
      <w:proofErr w:type="spellEnd"/>
      <w:r w:rsidRPr="00134154">
        <w:t>/</w:t>
      </w:r>
      <w:proofErr w:type="spellStart"/>
      <w:r w:rsidRPr="00134154">
        <w:t>Deskeltia</w:t>
      </w:r>
      <w:proofErr w:type="spellEnd"/>
      <w:r w:rsidRPr="00134154">
        <w:t xml:space="preserve"> and </w:t>
      </w:r>
      <w:proofErr w:type="spellStart"/>
      <w:r w:rsidRPr="00134154">
        <w:t>Dostiva</w:t>
      </w:r>
      <w:proofErr w:type="spellEnd"/>
      <w:r w:rsidRPr="00134154">
        <w:t>/</w:t>
      </w:r>
      <w:proofErr w:type="spellStart"/>
      <w:r w:rsidRPr="00134154">
        <w:t>Dexeva</w:t>
      </w:r>
      <w:proofErr w:type="spellEnd"/>
      <w:r w:rsidRPr="00134154">
        <w:t>.</w:t>
      </w:r>
      <w:r w:rsidR="00626059">
        <w:t xml:space="preserve"> </w:t>
      </w:r>
      <w:r w:rsidRPr="00134154">
        <w:t>The Sponsor has been requested to provide the updated ASAs addressing the new and outstanding recommendations as an RMP update prior to the launch of the product.</w:t>
      </w:r>
    </w:p>
    <w:p w14:paraId="456C7934" w14:textId="28E10233" w:rsidR="00FA1BC9" w:rsidRDefault="00FA1BC9" w:rsidP="001B3B45">
      <w:bookmarkStart w:id="59" w:name="_Toc103679299"/>
      <w:r w:rsidRPr="00BD5DBD">
        <w:t xml:space="preserve">The TGA may request an updated RMP at any stage of a product's </w:t>
      </w:r>
      <w:r w:rsidR="00E936EB" w:rsidRPr="00BD5DBD">
        <w:t>life cycle</w:t>
      </w:r>
      <w:r w:rsidRPr="00BD5DBD">
        <w:t xml:space="preserve">, during both the pre-approval and post-approval phases. Further information regarding the TGA’s risk management approach can be found in </w:t>
      </w:r>
      <w:hyperlink r:id="rId22" w:history="1">
        <w:r w:rsidRPr="00BD5DBD">
          <w:rPr>
            <w:rStyle w:val="Hyperlink"/>
            <w:szCs w:val="22"/>
          </w:rPr>
          <w:t>risk management plans for medicines and biologicals</w:t>
        </w:r>
      </w:hyperlink>
      <w:r w:rsidRPr="00BD5DBD">
        <w:t xml:space="preserve"> and </w:t>
      </w:r>
      <w:hyperlink r:id="rId23" w:history="1">
        <w:r w:rsidRPr="00BD5DBD">
          <w:rPr>
            <w:rStyle w:val="Hyperlink"/>
            <w:szCs w:val="22"/>
          </w:rPr>
          <w:t>the TGA's risk management approach</w:t>
        </w:r>
      </w:hyperlink>
      <w:r w:rsidRPr="00BD5DBD">
        <w:t xml:space="preserve">. Information on the </w:t>
      </w:r>
      <w:hyperlink r:id="rId24" w:history="1">
        <w:r w:rsidRPr="00BD5DBD">
          <w:rPr>
            <w:rStyle w:val="Hyperlink"/>
            <w:szCs w:val="22"/>
          </w:rPr>
          <w:t>Australia</w:t>
        </w:r>
        <w:r w:rsidR="00C57CEA">
          <w:rPr>
            <w:rStyle w:val="Hyperlink"/>
            <w:szCs w:val="22"/>
          </w:rPr>
          <w:t>-</w:t>
        </w:r>
        <w:r w:rsidRPr="00BD5DBD">
          <w:rPr>
            <w:rStyle w:val="Hyperlink"/>
            <w:szCs w:val="22"/>
          </w:rPr>
          <w:t>specific annex</w:t>
        </w:r>
      </w:hyperlink>
      <w:r w:rsidRPr="00BD5DBD">
        <w:t xml:space="preserve"> (</w:t>
      </w:r>
      <w:hyperlink r:id="rId25" w:history="1">
        <w:r w:rsidRPr="00BD5DBD">
          <w:rPr>
            <w:rStyle w:val="Hyperlink"/>
            <w:szCs w:val="22"/>
          </w:rPr>
          <w:t>ASA</w:t>
        </w:r>
      </w:hyperlink>
      <w:r w:rsidRPr="00BD5DBD">
        <w:t>) can be found on the TGA website.</w:t>
      </w:r>
    </w:p>
    <w:p w14:paraId="74A4F87F" w14:textId="77777777" w:rsidR="00C22214" w:rsidRDefault="00C22214" w:rsidP="001B3B45">
      <w:pPr>
        <w:pStyle w:val="Heading3"/>
      </w:pPr>
      <w:bookmarkStart w:id="60" w:name="_Toc226984787"/>
      <w:r>
        <w:lastRenderedPageBreak/>
        <w:t xml:space="preserve">Risk-benefit </w:t>
      </w:r>
      <w:r w:rsidRPr="001B3B45">
        <w:t>analysis</w:t>
      </w:r>
      <w:bookmarkEnd w:id="55"/>
      <w:bookmarkEnd w:id="56"/>
      <w:bookmarkEnd w:id="59"/>
      <w:bookmarkEnd w:id="60"/>
    </w:p>
    <w:p w14:paraId="77DE2655" w14:textId="77777777" w:rsidR="00C22214" w:rsidRDefault="00C22214" w:rsidP="001B3B45">
      <w:pPr>
        <w:pStyle w:val="Heading4"/>
      </w:pPr>
      <w:bookmarkStart w:id="61" w:name="_Toc98931932"/>
      <w:bookmarkStart w:id="62" w:name="_Toc226984788"/>
      <w:r>
        <w:t xml:space="preserve">Delegate’s </w:t>
      </w:r>
      <w:r w:rsidRPr="001B3B45">
        <w:t>considerations</w:t>
      </w:r>
      <w:bookmarkEnd w:id="61"/>
      <w:bookmarkEnd w:id="62"/>
    </w:p>
    <w:p w14:paraId="5A9568EC" w14:textId="33677056" w:rsidR="000B1598" w:rsidRDefault="000B1598" w:rsidP="001B3B45">
      <w:r>
        <w:t>Intas denosumab has been developed as a proposed biosimilar to P</w:t>
      </w:r>
      <w:r w:rsidR="00483FB8">
        <w:t xml:space="preserve">rolia </w:t>
      </w:r>
      <w:r>
        <w:t>and X</w:t>
      </w:r>
      <w:r w:rsidR="00483FB8">
        <w:t>geva</w:t>
      </w:r>
      <w:r>
        <w:t xml:space="preserve">, with comparable proposed indication, dose and route of administration. </w:t>
      </w:r>
    </w:p>
    <w:p w14:paraId="30E71A40" w14:textId="1534D078" w:rsidR="000B1598" w:rsidRDefault="000B1598" w:rsidP="001B3B45">
      <w:r w:rsidRPr="009B33C7">
        <w:t xml:space="preserve">Comprehensive comparisons of physicochemical and biological quality attributes were undertaken to demonstrate </w:t>
      </w:r>
      <w:proofErr w:type="spellStart"/>
      <w:r w:rsidRPr="009B33C7">
        <w:t>biosimilarity</w:t>
      </w:r>
      <w:proofErr w:type="spellEnd"/>
      <w:r w:rsidRPr="009B33C7">
        <w:t xml:space="preserve"> of </w:t>
      </w:r>
      <w:proofErr w:type="spellStart"/>
      <w:r>
        <w:t>Intas</w:t>
      </w:r>
      <w:proofErr w:type="spellEnd"/>
      <w:r>
        <w:t xml:space="preserve"> denosumab</w:t>
      </w:r>
      <w:r w:rsidRPr="009B33C7">
        <w:t xml:space="preserve"> to </w:t>
      </w:r>
      <w:r>
        <w:t>EU-sourced and US-sourced P</w:t>
      </w:r>
      <w:r w:rsidR="0022711E">
        <w:t>rolia</w:t>
      </w:r>
      <w:r>
        <w:t xml:space="preserve"> and </w:t>
      </w:r>
      <w:proofErr w:type="spellStart"/>
      <w:r>
        <w:t>X</w:t>
      </w:r>
      <w:r w:rsidR="0022711E">
        <w:t>geva</w:t>
      </w:r>
      <w:proofErr w:type="spellEnd"/>
      <w:r w:rsidRPr="009B33C7">
        <w:t>.</w:t>
      </w:r>
      <w:r w:rsidR="00626059">
        <w:t xml:space="preserve"> </w:t>
      </w:r>
      <w:r w:rsidRPr="009B33C7">
        <w:t>A bridging study demonstrated high similarity of Australian-sourced</w:t>
      </w:r>
      <w:r>
        <w:t xml:space="preserve"> P</w:t>
      </w:r>
      <w:r w:rsidR="00ED545C">
        <w:t>rolia</w:t>
      </w:r>
      <w:r>
        <w:t xml:space="preserve"> and X</w:t>
      </w:r>
      <w:r w:rsidR="00ED545C">
        <w:t>geva</w:t>
      </w:r>
      <w:r>
        <w:t xml:space="preserve"> </w:t>
      </w:r>
      <w:r w:rsidRPr="009B33C7">
        <w:t>to EU</w:t>
      </w:r>
      <w:r>
        <w:t>-</w:t>
      </w:r>
      <w:r w:rsidRPr="009B33C7">
        <w:t xml:space="preserve">sourced </w:t>
      </w:r>
      <w:r>
        <w:t>P</w:t>
      </w:r>
      <w:r w:rsidR="00ED545C">
        <w:t>rolia</w:t>
      </w:r>
      <w:r>
        <w:t xml:space="preserve"> and X</w:t>
      </w:r>
      <w:r w:rsidR="00ED545C">
        <w:t>geva</w:t>
      </w:r>
      <w:r>
        <w:t xml:space="preserve"> </w:t>
      </w:r>
      <w:r w:rsidRPr="009B33C7">
        <w:t>supporting biosimilarity of</w:t>
      </w:r>
      <w:r>
        <w:t xml:space="preserve"> Intas denosumab</w:t>
      </w:r>
      <w:r w:rsidRPr="009B33C7">
        <w:t xml:space="preserve"> to the Australian reference product.</w:t>
      </w:r>
    </w:p>
    <w:p w14:paraId="2CE6CE09" w14:textId="794819DC" w:rsidR="000B1598" w:rsidRDefault="000B1598" w:rsidP="001B3B45">
      <w:r>
        <w:t>The clinical development program consisted of two clinical studies, one single dose PK study in healthy male volunteers comparing the three formulations of denosumab (</w:t>
      </w:r>
      <w:proofErr w:type="spellStart"/>
      <w:r>
        <w:t>Intas</w:t>
      </w:r>
      <w:proofErr w:type="spellEnd"/>
      <w:r>
        <w:t xml:space="preserve"> denosumab, EU-sourced </w:t>
      </w:r>
      <w:proofErr w:type="spellStart"/>
      <w:r>
        <w:t>X</w:t>
      </w:r>
      <w:r w:rsidR="00ED545C">
        <w:t>geva</w:t>
      </w:r>
      <w:proofErr w:type="spellEnd"/>
      <w:r>
        <w:t xml:space="preserve"> and US-sourced </w:t>
      </w:r>
      <w:proofErr w:type="spellStart"/>
      <w:r>
        <w:t>X</w:t>
      </w:r>
      <w:r w:rsidR="00ED545C">
        <w:t>geva</w:t>
      </w:r>
      <w:proofErr w:type="spellEnd"/>
      <w:r>
        <w:t>).</w:t>
      </w:r>
      <w:r w:rsidR="00626059">
        <w:t xml:space="preserve"> </w:t>
      </w:r>
      <w:r>
        <w:t>Study 0774-19 was the pivotal study which assessed clinical efficacy of Intas denosumab compared to EU-sourced P</w:t>
      </w:r>
      <w:r w:rsidR="00ED545C">
        <w:t>rolia</w:t>
      </w:r>
      <w:r>
        <w:t xml:space="preserve"> in postmenopausal women with osteoporosis. The primary efficacy endpoint was the mean percent change from baseline in BMD based on the DXA assessment in the lumbar vertebrae.</w:t>
      </w:r>
      <w:r w:rsidR="00626059">
        <w:t xml:space="preserve"> </w:t>
      </w:r>
      <w:r>
        <w:t>T</w:t>
      </w:r>
      <w:r w:rsidRPr="006861D3">
        <w:t>he</w:t>
      </w:r>
      <w:r>
        <w:t xml:space="preserve"> primary efficacy endpoint was met with satisfactory supportive </w:t>
      </w:r>
      <w:r w:rsidR="003B30BE">
        <w:t>analyses,</w:t>
      </w:r>
      <w:r>
        <w:t xml:space="preserve"> and the</w:t>
      </w:r>
      <w:r w:rsidRPr="006861D3">
        <w:t xml:space="preserve"> two studies support the </w:t>
      </w:r>
      <w:r>
        <w:t xml:space="preserve">pharmacokinetic </w:t>
      </w:r>
      <w:r w:rsidRPr="006861D3">
        <w:t xml:space="preserve">bioequivalence of </w:t>
      </w:r>
      <w:r>
        <w:t>Intas denosumab</w:t>
      </w:r>
      <w:r w:rsidRPr="006861D3">
        <w:t xml:space="preserve"> with the</w:t>
      </w:r>
      <w:r>
        <w:t xml:space="preserve"> reference products studied.</w:t>
      </w:r>
    </w:p>
    <w:p w14:paraId="2D7AFF5F" w14:textId="47001756" w:rsidR="000B1598" w:rsidRDefault="000B1598" w:rsidP="001B3B45">
      <w:r>
        <w:t xml:space="preserve">For Study 0774-19, a relatively large number of </w:t>
      </w:r>
      <w:r w:rsidRPr="006A1CC9">
        <w:t>patients did not complete the main phase of the trial</w:t>
      </w:r>
      <w:r>
        <w:t xml:space="preserve"> due to </w:t>
      </w:r>
      <w:r w:rsidRPr="006A1CC9">
        <w:t>the sponsor’s decision to terminate 4 sites due to non</w:t>
      </w:r>
      <w:r>
        <w:t>-</w:t>
      </w:r>
      <w:r w:rsidRPr="006A1CC9">
        <w:t>compliance with the eligibility criteria and falsification of DXA scans. These sites had recruited a total of 30 patients (15 in each arm).</w:t>
      </w:r>
      <w:r w:rsidR="00626059">
        <w:t xml:space="preserve"> </w:t>
      </w:r>
      <w:r>
        <w:t xml:space="preserve">The Delegate notes that in light of this, the EMA’s CHMP requested a re-analysis of the primary efficacy analysis which was considered satisfactory. The CHMP also triggered a </w:t>
      </w:r>
      <w:r w:rsidR="00E546CD">
        <w:t xml:space="preserve">Good Clinical Practice </w:t>
      </w:r>
      <w:r w:rsidR="00E546CD" w:rsidRPr="00E546CD">
        <w:t>(</w:t>
      </w:r>
      <w:r w:rsidRPr="00E546CD">
        <w:t>GCP</w:t>
      </w:r>
      <w:r w:rsidR="00E546CD" w:rsidRPr="00E546CD">
        <w:t>)</w:t>
      </w:r>
      <w:r w:rsidRPr="00E546CD">
        <w:t xml:space="preserve"> inspection</w:t>
      </w:r>
      <w:r>
        <w:t xml:space="preserve"> to </w:t>
      </w:r>
      <w:r w:rsidRPr="00531990">
        <w:t>verify the corrective and preventive measures taken and the conduct of the trial in other sites. The inspectors found some departures from GCP, but concluded that the trial was ethically conducted, and that the data were of sufficient quality to be evaluated in a Marketing Authorisation Application Therefore, CHMP considered the issue resolved.</w:t>
      </w:r>
      <w:r w:rsidR="00626059">
        <w:t xml:space="preserve"> </w:t>
      </w:r>
      <w:r>
        <w:t>It is noted that this was not clearly communicated to the TGA by the Sponsor.</w:t>
      </w:r>
    </w:p>
    <w:p w14:paraId="62A399A7" w14:textId="665EDBD3" w:rsidR="000B1598" w:rsidRPr="00FB3E52" w:rsidRDefault="000B1598" w:rsidP="001B3B45">
      <w:r w:rsidRPr="00E4684F">
        <w:t xml:space="preserve">The extrapolation from one indication to other </w:t>
      </w:r>
      <w:r>
        <w:t>P</w:t>
      </w:r>
      <w:r w:rsidR="00E546CD">
        <w:t>rolia</w:t>
      </w:r>
      <w:r>
        <w:t xml:space="preserve"> and </w:t>
      </w:r>
      <w:proofErr w:type="spellStart"/>
      <w:r>
        <w:t>X</w:t>
      </w:r>
      <w:r w:rsidR="00E546CD">
        <w:t>geva</w:t>
      </w:r>
      <w:proofErr w:type="spellEnd"/>
      <w:r>
        <w:t xml:space="preserve"> </w:t>
      </w:r>
      <w:r w:rsidRPr="00E4684F">
        <w:t xml:space="preserve">indications for </w:t>
      </w:r>
      <w:proofErr w:type="spellStart"/>
      <w:r w:rsidRPr="00E4684F">
        <w:t>Intas</w:t>
      </w:r>
      <w:proofErr w:type="spellEnd"/>
      <w:r w:rsidRPr="00E4684F">
        <w:t xml:space="preserve"> </w:t>
      </w:r>
      <w:r>
        <w:t>d</w:t>
      </w:r>
      <w:r w:rsidRPr="00E4684F">
        <w:t xml:space="preserve">enosumab </w:t>
      </w:r>
      <w:r>
        <w:t xml:space="preserve">was </w:t>
      </w:r>
      <w:r w:rsidRPr="00E4684F">
        <w:t xml:space="preserve">based on </w:t>
      </w:r>
      <w:r>
        <w:t xml:space="preserve">the Sponsor’s </w:t>
      </w:r>
      <w:r w:rsidRPr="00E4684F">
        <w:t>analytical and functional assessments as well as clinical data</w:t>
      </w:r>
      <w:r>
        <w:t xml:space="preserve"> and is considered acceptable.</w:t>
      </w:r>
      <w:r w:rsidR="00626059">
        <w:t xml:space="preserve"> </w:t>
      </w:r>
    </w:p>
    <w:p w14:paraId="394A9A13" w14:textId="77777777" w:rsidR="000B1598" w:rsidRPr="00A02D8B" w:rsidRDefault="000B1598" w:rsidP="004122DB">
      <w:pPr>
        <w:pStyle w:val="Heading4"/>
      </w:pPr>
      <w:bookmarkStart w:id="63" w:name="_Toc226984789"/>
      <w:r>
        <w:t>Conclusions</w:t>
      </w:r>
      <w:bookmarkEnd w:id="63"/>
    </w:p>
    <w:p w14:paraId="7E058EC9" w14:textId="77BADACC" w:rsidR="000B1598" w:rsidRPr="001B3B45" w:rsidRDefault="000B1598" w:rsidP="001B3B45">
      <w:proofErr w:type="spellStart"/>
      <w:r w:rsidRPr="007839E8">
        <w:t>Biosimilarity</w:t>
      </w:r>
      <w:proofErr w:type="spellEnd"/>
      <w:r w:rsidRPr="007839E8">
        <w:t xml:space="preserve"> of </w:t>
      </w:r>
      <w:proofErr w:type="spellStart"/>
      <w:r w:rsidRPr="007839E8">
        <w:t>I</w:t>
      </w:r>
      <w:r>
        <w:t>ntas</w:t>
      </w:r>
      <w:proofErr w:type="spellEnd"/>
      <w:r>
        <w:t xml:space="preserve"> denosumab</w:t>
      </w:r>
      <w:r w:rsidRPr="007839E8">
        <w:t xml:space="preserve"> to </w:t>
      </w:r>
      <w:r>
        <w:t>P</w:t>
      </w:r>
      <w:r w:rsidR="00E546CD">
        <w:t>rolia</w:t>
      </w:r>
      <w:r>
        <w:t xml:space="preserve"> and X</w:t>
      </w:r>
      <w:r w:rsidR="00E546CD">
        <w:t>geva</w:t>
      </w:r>
      <w:r w:rsidRPr="007839E8">
        <w:t xml:space="preserve"> has satisfactorily been demonstrated, and therefore a benefit/risk balance comparable to the reference product can be concluded. While a decision is yet to be made, at this stage I am inclined to approve the registration of the product</w:t>
      </w:r>
      <w:r w:rsidRPr="001B3B45">
        <w:t>.</w:t>
      </w:r>
    </w:p>
    <w:p w14:paraId="3643A497" w14:textId="77777777" w:rsidR="000B1598" w:rsidRPr="001B3B45" w:rsidRDefault="000B1598" w:rsidP="001B3B45">
      <w:r w:rsidRPr="007839E8">
        <w:t xml:space="preserve">Approval will also depend on satisfactory negotiation of the PI, CMI and the fulfillment of conditions of </w:t>
      </w:r>
      <w:r w:rsidRPr="001B3B45">
        <w:t>registration.</w:t>
      </w:r>
    </w:p>
    <w:p w14:paraId="307F236C" w14:textId="7FD19BD3" w:rsidR="00C22214" w:rsidRPr="002E238E" w:rsidRDefault="0046285C" w:rsidP="001B3B45">
      <w:pPr>
        <w:pStyle w:val="Heading2"/>
      </w:pPr>
      <w:bookmarkStart w:id="64" w:name="_Toc247691532"/>
      <w:bookmarkStart w:id="65" w:name="_Toc314842516"/>
      <w:bookmarkStart w:id="66" w:name="_Toc103679300"/>
      <w:bookmarkStart w:id="67" w:name="_Toc226984790"/>
      <w:r>
        <w:t>Assessment</w:t>
      </w:r>
      <w:r w:rsidR="00190853">
        <w:t xml:space="preserve"> </w:t>
      </w:r>
      <w:r w:rsidRPr="001B3B45">
        <w:t>o</w:t>
      </w:r>
      <w:r w:rsidR="00C22214" w:rsidRPr="001B3B45">
        <w:t>utcome</w:t>
      </w:r>
      <w:bookmarkEnd w:id="64"/>
      <w:bookmarkEnd w:id="65"/>
      <w:bookmarkEnd w:id="66"/>
      <w:bookmarkEnd w:id="67"/>
    </w:p>
    <w:p w14:paraId="78E9BB9A" w14:textId="77777777" w:rsidR="008960F4" w:rsidRDefault="00C22214" w:rsidP="001B3B45">
      <w:r w:rsidRPr="0017005C">
        <w:t xml:space="preserve">Based on a review of quality, safety, and efficacy, the TGA </w:t>
      </w:r>
      <w:r w:rsidR="00B46DFB">
        <w:t>decided to</w:t>
      </w:r>
      <w:r w:rsidRPr="0017005C">
        <w:t xml:space="preserve"> regist</w:t>
      </w:r>
      <w:r w:rsidR="00B46DFB">
        <w:t>er</w:t>
      </w:r>
      <w:r w:rsidR="008960F4">
        <w:t>:</w:t>
      </w:r>
    </w:p>
    <w:p w14:paraId="4EF22939" w14:textId="3F2D86F4" w:rsidR="00C22214" w:rsidRPr="0017005C" w:rsidRDefault="00DD1498" w:rsidP="001B3B45">
      <w:r w:rsidRPr="00CF38DE">
        <w:rPr>
          <w:b/>
          <w:bCs/>
        </w:rPr>
        <w:t>Dostiva</w:t>
      </w:r>
      <w:r w:rsidR="00780BA5" w:rsidRPr="00CF38DE">
        <w:rPr>
          <w:b/>
          <w:bCs/>
        </w:rPr>
        <w:t xml:space="preserve"> and </w:t>
      </w:r>
      <w:r w:rsidRPr="00CF38DE">
        <w:rPr>
          <w:b/>
          <w:bCs/>
        </w:rPr>
        <w:t>Dexeva</w:t>
      </w:r>
      <w:r w:rsidRPr="00DD1498">
        <w:t xml:space="preserve"> </w:t>
      </w:r>
      <w:r w:rsidR="00C22214" w:rsidRPr="0017005C">
        <w:t>(</w:t>
      </w:r>
      <w:r>
        <w:t>denosumab)</w:t>
      </w:r>
      <w:r w:rsidR="00780BA5" w:rsidRPr="00780BA5">
        <w:t xml:space="preserve"> 70mg/mL (120mg/1.7mL) solution for</w:t>
      </w:r>
      <w:r w:rsidR="00360191">
        <w:t xml:space="preserve"> </w:t>
      </w:r>
      <w:r w:rsidR="00780BA5" w:rsidRPr="00780BA5">
        <w:t>injection</w:t>
      </w:r>
      <w:r w:rsidR="00857A23">
        <w:t>,</w:t>
      </w:r>
      <w:r w:rsidR="00A31626" w:rsidRPr="00A31626">
        <w:t xml:space="preserve"> indicated for:</w:t>
      </w:r>
    </w:p>
    <w:p w14:paraId="7723DB5C" w14:textId="2A74FCFA" w:rsidR="00A31626" w:rsidRPr="00121437" w:rsidRDefault="00A31626" w:rsidP="00121437">
      <w:pPr>
        <w:ind w:left="720"/>
        <w:rPr>
          <w:i/>
          <w:iCs/>
        </w:rPr>
      </w:pPr>
      <w:r w:rsidRPr="00121437">
        <w:rPr>
          <w:i/>
          <w:iCs/>
        </w:rPr>
        <w:lastRenderedPageBreak/>
        <w:t>Prevention of skeletal related events in patients with multiple myeloma and in</w:t>
      </w:r>
      <w:r w:rsidR="00F966E2" w:rsidRPr="00121437">
        <w:rPr>
          <w:i/>
          <w:iCs/>
        </w:rPr>
        <w:t xml:space="preserve"> </w:t>
      </w:r>
      <w:r w:rsidRPr="00121437">
        <w:rPr>
          <w:i/>
          <w:iCs/>
        </w:rPr>
        <w:t>patients with bone metastases from solid tumours.</w:t>
      </w:r>
    </w:p>
    <w:p w14:paraId="54C5984E" w14:textId="3A7E7A88" w:rsidR="00A31626" w:rsidRPr="00121437" w:rsidRDefault="00A31626" w:rsidP="00121437">
      <w:pPr>
        <w:ind w:left="720"/>
        <w:rPr>
          <w:i/>
          <w:iCs/>
        </w:rPr>
      </w:pPr>
      <w:r w:rsidRPr="00121437">
        <w:rPr>
          <w:i/>
          <w:iCs/>
        </w:rPr>
        <w:t>Treatment of giant cell tumour of bone in adults or skeletally mature adolescents</w:t>
      </w:r>
      <w:r w:rsidR="00F966E2" w:rsidRPr="00121437">
        <w:rPr>
          <w:i/>
          <w:iCs/>
        </w:rPr>
        <w:t xml:space="preserve"> </w:t>
      </w:r>
      <w:r w:rsidRPr="00121437">
        <w:rPr>
          <w:i/>
          <w:iCs/>
        </w:rPr>
        <w:t>that is recurrent, or unresectable, or resectable but associated with severe morbidity.</w:t>
      </w:r>
    </w:p>
    <w:p w14:paraId="3B245AB5" w14:textId="093A460E" w:rsidR="00C22214" w:rsidRPr="00121437" w:rsidRDefault="00A31626" w:rsidP="00121437">
      <w:pPr>
        <w:ind w:left="720"/>
        <w:rPr>
          <w:i/>
          <w:iCs/>
        </w:rPr>
      </w:pPr>
      <w:r w:rsidRPr="00121437">
        <w:rPr>
          <w:i/>
          <w:iCs/>
        </w:rPr>
        <w:t>Treatment of hypercalcaemia of malignancy that is refractory to intravenous</w:t>
      </w:r>
      <w:r w:rsidR="00F966E2" w:rsidRPr="00121437">
        <w:rPr>
          <w:i/>
          <w:iCs/>
        </w:rPr>
        <w:t xml:space="preserve"> </w:t>
      </w:r>
      <w:r w:rsidRPr="00121437">
        <w:rPr>
          <w:i/>
          <w:iCs/>
        </w:rPr>
        <w:t>bisphosphonate.</w:t>
      </w:r>
    </w:p>
    <w:p w14:paraId="440AF67F" w14:textId="77777777" w:rsidR="00CF38DE" w:rsidRPr="00CF38DE" w:rsidRDefault="00CF38DE" w:rsidP="00121437">
      <w:r w:rsidRPr="00CF38DE">
        <w:rPr>
          <w:b/>
          <w:bCs/>
        </w:rPr>
        <w:t xml:space="preserve">Denolia and Deskeltia </w:t>
      </w:r>
      <w:r w:rsidRPr="00CF38DE">
        <w:t>(denosumab) 60mg/1mL solution for injection prefilled syringe with automatic needle guard, indicated for:</w:t>
      </w:r>
    </w:p>
    <w:p w14:paraId="17095A51" w14:textId="1E0CF365" w:rsidR="00B7712D" w:rsidRPr="00121437" w:rsidRDefault="00B7712D" w:rsidP="00121437">
      <w:pPr>
        <w:ind w:left="720"/>
        <w:rPr>
          <w:i/>
          <w:iCs/>
        </w:rPr>
      </w:pPr>
      <w:r w:rsidRPr="00121437">
        <w:rPr>
          <w:i/>
          <w:iCs/>
        </w:rPr>
        <w:t>The treatment of osteoporosis in postmenopausal women. D</w:t>
      </w:r>
      <w:r w:rsidR="001C3399" w:rsidRPr="00121437">
        <w:rPr>
          <w:i/>
          <w:iCs/>
        </w:rPr>
        <w:t>enolia</w:t>
      </w:r>
      <w:r w:rsidRPr="00121437">
        <w:rPr>
          <w:i/>
          <w:iCs/>
        </w:rPr>
        <w:t xml:space="preserve"> significantly reduces the risk of vertebral, non-vertebral and hip fractures.</w:t>
      </w:r>
    </w:p>
    <w:p w14:paraId="5E8E12D2" w14:textId="6F1A0F63" w:rsidR="00B7712D" w:rsidRPr="00121437" w:rsidRDefault="00B7712D" w:rsidP="00121437">
      <w:pPr>
        <w:ind w:left="720"/>
        <w:rPr>
          <w:i/>
          <w:iCs/>
        </w:rPr>
      </w:pPr>
      <w:r w:rsidRPr="00121437">
        <w:rPr>
          <w:i/>
          <w:iCs/>
        </w:rPr>
        <w:t>Treatment to increase bone mass in men with osteopaenia receiving androgen deprivation therapy for non-metastatic prostate cancer (see section 5.1 Pharmacodynamic properties, Clinical trials).</w:t>
      </w:r>
    </w:p>
    <w:p w14:paraId="1FF96F76" w14:textId="0B0905C2" w:rsidR="00B7712D" w:rsidRPr="00121437" w:rsidRDefault="00B7712D" w:rsidP="00121437">
      <w:pPr>
        <w:ind w:left="720"/>
        <w:rPr>
          <w:i/>
          <w:iCs/>
        </w:rPr>
      </w:pPr>
      <w:r w:rsidRPr="00121437">
        <w:rPr>
          <w:i/>
          <w:iCs/>
        </w:rPr>
        <w:t>Treatment to increase bone mass in men with osteoporosis at increased risk of fracture.</w:t>
      </w:r>
    </w:p>
    <w:p w14:paraId="498345A2" w14:textId="65DD662E" w:rsidR="00CF38DE" w:rsidRPr="00121437" w:rsidRDefault="00B7712D" w:rsidP="00121437">
      <w:pPr>
        <w:ind w:left="720"/>
        <w:rPr>
          <w:i/>
          <w:iCs/>
        </w:rPr>
      </w:pPr>
      <w:r w:rsidRPr="00121437">
        <w:rPr>
          <w:i/>
          <w:iCs/>
        </w:rPr>
        <w:t>Treatment to increase bone mass in women and men at increased risk of fracture due to long-term systemic glucocorticoid therapy.</w:t>
      </w:r>
    </w:p>
    <w:p w14:paraId="0D732DA4" w14:textId="3F9BFD6F" w:rsidR="00854D98" w:rsidRPr="00D23139" w:rsidRDefault="000B1598" w:rsidP="00121437">
      <w:pPr>
        <w:pStyle w:val="Heading3"/>
      </w:pPr>
      <w:bookmarkStart w:id="68" w:name="_Toc103679301"/>
      <w:bookmarkStart w:id="69" w:name="_Toc226984791"/>
      <w:r>
        <w:t>S</w:t>
      </w:r>
      <w:r w:rsidR="00854D98" w:rsidRPr="00D23139">
        <w:t xml:space="preserve">pecific </w:t>
      </w:r>
      <w:r w:rsidR="00854D98" w:rsidRPr="00121437">
        <w:t>conditions</w:t>
      </w:r>
      <w:r w:rsidR="00854D98" w:rsidRPr="00D23139">
        <w:t xml:space="preserve"> of registration</w:t>
      </w:r>
      <w:bookmarkEnd w:id="68"/>
      <w:bookmarkEnd w:id="69"/>
    </w:p>
    <w:p w14:paraId="054DE5A7" w14:textId="4E2057F3" w:rsidR="00365B80" w:rsidRDefault="00365B80" w:rsidP="00121437">
      <w:pPr>
        <w:pStyle w:val="ListBullet"/>
      </w:pPr>
      <w:r>
        <w:t xml:space="preserve">The Denolia/Deskeltia EU-Risk Management Plan (RMP) version 1.0 </w:t>
      </w:r>
      <w:r w:rsidR="00584650">
        <w:t>(</w:t>
      </w:r>
      <w:r>
        <w:t>dated 22</w:t>
      </w:r>
      <w:r w:rsidR="00584650">
        <w:t xml:space="preserve"> </w:t>
      </w:r>
      <w:r>
        <w:t xml:space="preserve">February 2024, data lock point 01 February 2024), with </w:t>
      </w:r>
      <w:r w:rsidRPr="00121437">
        <w:t>Australia</w:t>
      </w:r>
      <w:r>
        <w:t>-Specific Annex</w:t>
      </w:r>
      <w:r w:rsidR="00584650">
        <w:t xml:space="preserve"> </w:t>
      </w:r>
      <w:r>
        <w:t>(ASA) version 1.2</w:t>
      </w:r>
      <w:r w:rsidR="00584650">
        <w:t xml:space="preserve"> (</w:t>
      </w:r>
      <w:r>
        <w:t>dated 03 March 2025), and Dostiva/Dexeva EU-Risk Management</w:t>
      </w:r>
      <w:r w:rsidR="00584650">
        <w:t xml:space="preserve"> </w:t>
      </w:r>
      <w:r>
        <w:t xml:space="preserve">Plan (RMP) version 2.0, </w:t>
      </w:r>
      <w:r w:rsidR="00584650">
        <w:t>(</w:t>
      </w:r>
      <w:r>
        <w:t>dated 23 August 2024, data lock point 06 August 2024),</w:t>
      </w:r>
      <w:r w:rsidR="00584650">
        <w:t xml:space="preserve"> </w:t>
      </w:r>
      <w:r>
        <w:t xml:space="preserve">with Australia-Specific Annex (ASA) version 1.2 </w:t>
      </w:r>
      <w:r w:rsidR="00584650">
        <w:t>(</w:t>
      </w:r>
      <w:r>
        <w:t>dated 03 March 2025) included</w:t>
      </w:r>
      <w:r w:rsidR="00584650">
        <w:t xml:space="preserve"> </w:t>
      </w:r>
      <w:r>
        <w:t>with submission PM-2024-02065-1-5, and any subsequent revisions, as agreed with</w:t>
      </w:r>
      <w:r w:rsidR="00584650">
        <w:t xml:space="preserve"> </w:t>
      </w:r>
      <w:r>
        <w:t>the TGA will be implemented in Australia.</w:t>
      </w:r>
    </w:p>
    <w:p w14:paraId="59470B48" w14:textId="2647888F" w:rsidR="00F37E50" w:rsidRPr="00F37E50" w:rsidRDefault="00F37E50" w:rsidP="00121437">
      <w:pPr>
        <w:pStyle w:val="ListBullet"/>
      </w:pPr>
      <w:r w:rsidRPr="00F37E50">
        <w:t>All batches of D</w:t>
      </w:r>
      <w:r w:rsidR="0085063C">
        <w:t>eskeltia</w:t>
      </w:r>
      <w:r w:rsidR="00BE04AA">
        <w:t>,</w:t>
      </w:r>
      <w:r w:rsidRPr="00F37E50">
        <w:t xml:space="preserve"> D</w:t>
      </w:r>
      <w:r w:rsidR="00BE04AA">
        <w:t>enolia</w:t>
      </w:r>
      <w:r w:rsidRPr="00F37E50">
        <w:t>, D</w:t>
      </w:r>
      <w:r w:rsidR="00BE04AA">
        <w:t>ostiva</w:t>
      </w:r>
      <w:r w:rsidRPr="00F37E50">
        <w:t xml:space="preserve"> and D</w:t>
      </w:r>
      <w:r w:rsidR="00BE04AA">
        <w:t>exeva</w:t>
      </w:r>
      <w:r w:rsidRPr="00F37E50">
        <w:t xml:space="preserve"> denosumab 60 mg/1mL and 70mg/mL (120 mg/1.7mL) solution for injection supplied in Australia must </w:t>
      </w:r>
      <w:r w:rsidRPr="00121437">
        <w:t>comply</w:t>
      </w:r>
      <w:r w:rsidRPr="00F37E50">
        <w:t xml:space="preserve"> with the product details and specifications approved during evaluation and detailed in the Certified Product Details (CPD).</w:t>
      </w:r>
    </w:p>
    <w:p w14:paraId="448BF235" w14:textId="47D7C3C7" w:rsidR="009A6D8F" w:rsidRDefault="003D6D66" w:rsidP="00121437">
      <w:pPr>
        <w:pStyle w:val="ListBullet"/>
      </w:pPr>
      <w:r>
        <w:t>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r w:rsidR="009A6D8F">
        <w:t>.</w:t>
      </w:r>
    </w:p>
    <w:p w14:paraId="77EEFBD4" w14:textId="71EDA2D0" w:rsidR="006C7BA5" w:rsidRPr="009A6D8F" w:rsidRDefault="006C7BA5" w:rsidP="00121437">
      <w:pPr>
        <w:pStyle w:val="ListBullet"/>
      </w:pPr>
      <w:r w:rsidRPr="009A6D8F">
        <w:t xml:space="preserve">Certified </w:t>
      </w:r>
      <w:r w:rsidRPr="00121437">
        <w:t>Product</w:t>
      </w:r>
      <w:r w:rsidRPr="009A6D8F">
        <w:t xml:space="preserve"> Details</w:t>
      </w:r>
    </w:p>
    <w:p w14:paraId="64684E5A" w14:textId="709F74A4" w:rsidR="006C7BA5" w:rsidRPr="00F73346" w:rsidRDefault="006C7BA5" w:rsidP="00121437">
      <w:pPr>
        <w:pStyle w:val="ListBullet2"/>
        <w:numPr>
          <w:ilvl w:val="0"/>
          <w:numId w:val="0"/>
        </w:numPr>
        <w:ind w:left="850"/>
      </w:pPr>
      <w:r>
        <w:t>The Certified Product Details (CPD), as described in Guidance 7: Certified Product</w:t>
      </w:r>
      <w:r w:rsidR="009A6D8F">
        <w:t xml:space="preserve"> </w:t>
      </w:r>
      <w:r>
        <w:t>Details of the Australian Regulatory Guidelines for Prescription Medicines (ARGPM)</w:t>
      </w:r>
      <w:r w:rsidR="009A6D8F">
        <w:t xml:space="preserve"> </w:t>
      </w:r>
      <w:r>
        <w:t>[</w:t>
      </w:r>
      <w:r>
        <w:rPr>
          <w:color w:val="006DA8"/>
        </w:rPr>
        <w:t>http://www.tga.gov.au/industry/pm-argpm-guidance-7.htm</w:t>
      </w:r>
      <w:r>
        <w:t>], in PDF format, for</w:t>
      </w:r>
      <w:r w:rsidR="009A6D8F">
        <w:t xml:space="preserve"> </w:t>
      </w:r>
      <w:r>
        <w:t>the above products should be provided upon registration of these therapeutic</w:t>
      </w:r>
      <w:r w:rsidR="009A6D8F">
        <w:t xml:space="preserve"> </w:t>
      </w:r>
      <w:r>
        <w:t>goods. In addition, an updated CPD should be provided when changes to finished</w:t>
      </w:r>
      <w:r w:rsidR="009A6D8F">
        <w:t xml:space="preserve"> </w:t>
      </w:r>
      <w:r>
        <w:t>product specifications and test methods are approved in a Category 3 application or</w:t>
      </w:r>
      <w:r w:rsidR="00453488">
        <w:t xml:space="preserve"> </w:t>
      </w:r>
      <w:r>
        <w:t>notified through a self-assessable change.</w:t>
      </w:r>
    </w:p>
    <w:p w14:paraId="0F9C1952" w14:textId="46BD475E" w:rsidR="00BA657C" w:rsidRPr="00BA657C" w:rsidRDefault="00BA657C" w:rsidP="00121437">
      <w:pPr>
        <w:pStyle w:val="Heading3"/>
      </w:pPr>
      <w:bookmarkStart w:id="70" w:name="_Toc226984792"/>
      <w:bookmarkStart w:id="71" w:name="_Toc196738290"/>
      <w:r w:rsidRPr="00121437">
        <w:lastRenderedPageBreak/>
        <w:t>Product</w:t>
      </w:r>
      <w:r w:rsidRPr="00BA657C">
        <w:t xml:space="preserve"> Information and Consumer Medicine Information</w:t>
      </w:r>
      <w:bookmarkEnd w:id="70"/>
      <w:r w:rsidRPr="00BA657C">
        <w:t xml:space="preserve"> </w:t>
      </w:r>
      <w:bookmarkEnd w:id="71"/>
    </w:p>
    <w:p w14:paraId="5F276616" w14:textId="6667B73D" w:rsidR="004D0933" w:rsidRPr="004D0933" w:rsidRDefault="004D0933" w:rsidP="004D0933">
      <w:bookmarkStart w:id="72" w:name="_Hlk200021736"/>
      <w:r w:rsidRPr="004D0933">
        <w:t xml:space="preserve">For the most recent Product Information (PI) and Consumer Medicine Information (CMI), please refer to the TGA </w:t>
      </w:r>
      <w:hyperlink r:id="rId26" w:history="1">
        <w:r w:rsidRPr="004D0933">
          <w:rPr>
            <w:rStyle w:val="Hyperlink"/>
          </w:rPr>
          <w:t>PI/CMI search facility.</w:t>
        </w:r>
      </w:hyperlink>
    </w:p>
    <w:bookmarkEnd w:id="72"/>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27"/>
          <w:footerReference w:type="default" r:id="rId2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290FEFB4" w:rsidR="00F02AEC" w:rsidRDefault="00F02AEC">
            <w:pPr>
              <w:pStyle w:val="Address"/>
              <w:jc w:val="center"/>
              <w:rPr>
                <w:sz w:val="22"/>
                <w:szCs w:val="22"/>
              </w:rPr>
            </w:pPr>
            <w:r w:rsidRPr="00215D48">
              <w:t xml:space="preserve">Email: </w:t>
            </w:r>
            <w:hyperlink r:id="rId29" w:history="1">
              <w:r w:rsidRPr="00215D48">
                <w:rPr>
                  <w:rStyle w:val="Hyperlink"/>
                </w:rPr>
                <w:t>info@tga.gov.au</w:t>
              </w:r>
            </w:hyperlink>
            <w:r w:rsidR="00626059">
              <w:t xml:space="preserve"> </w:t>
            </w:r>
            <w:r w:rsidRPr="00215D48">
              <w:t>Phone: 1800 020 653</w:t>
            </w:r>
            <w:r w:rsidR="00626059">
              <w:t xml:space="preserve"> </w:t>
            </w:r>
            <w:r w:rsidRPr="00215D48">
              <w:t xml:space="preserve">Fax: </w:t>
            </w:r>
            <w:r w:rsidRPr="00BA0DFC">
              <w:t>02 6203 1605</w:t>
            </w:r>
          </w:p>
          <w:p w14:paraId="4533D80F" w14:textId="1519D7A3" w:rsidR="00F02AEC" w:rsidRPr="00215D48" w:rsidRDefault="00F02AEC">
            <w:pPr>
              <w:pStyle w:val="Address"/>
              <w:jc w:val="center"/>
              <w:rPr>
                <w:rStyle w:val="Hyperlink"/>
                <w:b/>
                <w:color w:val="auto"/>
                <w:sz w:val="22"/>
              </w:rPr>
            </w:pPr>
            <w:hyperlink r:id="rId30" w:history="1">
              <w:r w:rsidRPr="00C4721A">
                <w:rPr>
                  <w:rStyle w:val="Hyperlink"/>
                  <w:b/>
                </w:rPr>
                <w:t>https://www.tga.gov.au</w:t>
              </w:r>
            </w:hyperlink>
          </w:p>
        </w:tc>
      </w:tr>
    </w:tbl>
    <w:p w14:paraId="788B80FD" w14:textId="77777777" w:rsidR="007452E8" w:rsidRDefault="007452E8"/>
    <w:sectPr w:rsidR="007452E8" w:rsidSect="007452E8">
      <w:headerReference w:type="first" r:id="rId31"/>
      <w:footerReference w:type="first" r:id="rId3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F958" w14:textId="77777777" w:rsidR="00B7458B" w:rsidRDefault="00B7458B" w:rsidP="00F02AEC">
      <w:pPr>
        <w:spacing w:after="0" w:line="240" w:lineRule="auto"/>
      </w:pPr>
      <w:r>
        <w:separator/>
      </w:r>
    </w:p>
  </w:endnote>
  <w:endnote w:type="continuationSeparator" w:id="0">
    <w:p w14:paraId="15A89153" w14:textId="77777777" w:rsidR="00B7458B" w:rsidRDefault="00B7458B"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958FF" w:rsidRPr="00257138" w14:paraId="162D69C2" w14:textId="77777777" w:rsidTr="007452E8">
      <w:trPr>
        <w:trHeight w:val="423"/>
      </w:trPr>
      <w:tc>
        <w:tcPr>
          <w:tcW w:w="4360" w:type="dxa"/>
          <w:tcBorders>
            <w:top w:val="single" w:sz="4" w:space="0" w:color="auto"/>
          </w:tcBorders>
        </w:tcPr>
        <w:p w14:paraId="32E1B782" w14:textId="77777777" w:rsidR="00A958FF" w:rsidRDefault="00A958FF" w:rsidP="007452E8">
          <w:pPr>
            <w:pStyle w:val="Footer"/>
          </w:pPr>
        </w:p>
        <w:p w14:paraId="1849C07C" w14:textId="77777777" w:rsidR="00A958FF" w:rsidRPr="00257138" w:rsidRDefault="00A958FF"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A958FF" w:rsidRDefault="00A958FF" w:rsidP="007452E8">
              <w:pPr>
                <w:pStyle w:val="Footer"/>
                <w:jc w:val="right"/>
              </w:pPr>
            </w:p>
            <w:p w14:paraId="5EDE6DF6" w14:textId="77777777" w:rsidR="00A958FF" w:rsidRPr="00257138" w:rsidRDefault="00A958FF"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Pr>
                  <w:noProof/>
                </w:rPr>
                <w:fldChar w:fldCharType="begin"/>
              </w:r>
              <w:r>
                <w:rPr>
                  <w:noProof/>
                  <w:szCs w:val="20"/>
                  <w:lang w:eastAsia="en-US"/>
                </w:rPr>
                <w:instrText xml:space="preserve"> NUMPAGES  </w:instrText>
              </w:r>
              <w:r>
                <w:rPr>
                  <w:noProof/>
                </w:rPr>
                <w:fldChar w:fldCharType="separate"/>
              </w:r>
              <w:r>
                <w:rPr>
                  <w:noProof/>
                </w:rPr>
                <w:t>2</w:t>
              </w:r>
              <w:r>
                <w:rPr>
                  <w:noProof/>
                </w:rPr>
                <w:fldChar w:fldCharType="end"/>
              </w:r>
            </w:p>
          </w:sdtContent>
        </w:sdt>
      </w:tc>
    </w:tr>
    <w:tr w:rsidR="00A958FF" w:rsidRPr="00257138" w14:paraId="280F09C8" w14:textId="77777777" w:rsidTr="007452E8">
      <w:trPr>
        <w:trHeight w:val="263"/>
      </w:trPr>
      <w:tc>
        <w:tcPr>
          <w:tcW w:w="4360" w:type="dxa"/>
        </w:tcPr>
        <w:p w14:paraId="673F06D3" w14:textId="77777777" w:rsidR="00A958FF" w:rsidRPr="00257138" w:rsidRDefault="00A958FF" w:rsidP="007452E8">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77F5B433" w14:textId="77777777" w:rsidR="00A958FF" w:rsidRPr="00257138" w:rsidRDefault="00A958FF" w:rsidP="007452E8">
          <w:pPr>
            <w:pStyle w:val="Footer"/>
            <w:jc w:val="right"/>
          </w:pPr>
        </w:p>
      </w:tc>
    </w:tr>
  </w:tbl>
  <w:p w14:paraId="63F6FDDE" w14:textId="77777777" w:rsidR="00A958FF" w:rsidRPr="00826007" w:rsidRDefault="00A958FF"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A958FF" w:rsidRDefault="00A958FF"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958FF" w:rsidRPr="004A3084" w14:paraId="6266BC33" w14:textId="77777777" w:rsidTr="007452E8">
      <w:trPr>
        <w:trHeight w:val="423"/>
      </w:trPr>
      <w:tc>
        <w:tcPr>
          <w:tcW w:w="7338" w:type="dxa"/>
          <w:tcBorders>
            <w:top w:val="single" w:sz="4" w:space="0" w:color="auto"/>
          </w:tcBorders>
        </w:tcPr>
        <w:p w14:paraId="3C421323" w14:textId="2FE70765" w:rsidR="00A958FF" w:rsidRPr="004A3084" w:rsidRDefault="00A958FF" w:rsidP="007452E8">
          <w:pPr>
            <w:pStyle w:val="Footer"/>
          </w:pPr>
          <w:proofErr w:type="spellStart"/>
          <w:r w:rsidRPr="00487162">
            <w:t>AusPA</w:t>
          </w:r>
          <w:r>
            <w:t>R</w:t>
          </w:r>
          <w:proofErr w:type="spellEnd"/>
          <w:r>
            <w:t xml:space="preserve"> - </w:t>
          </w:r>
          <w:proofErr w:type="spellStart"/>
          <w:r w:rsidRPr="00946126">
            <w:t>Dostiva</w:t>
          </w:r>
          <w:proofErr w:type="spellEnd"/>
          <w:r w:rsidRPr="00946126">
            <w:t xml:space="preserve">, </w:t>
          </w:r>
          <w:proofErr w:type="spellStart"/>
          <w:r w:rsidRPr="00946126">
            <w:t>Denolia</w:t>
          </w:r>
          <w:proofErr w:type="spellEnd"/>
          <w:r w:rsidRPr="00946126">
            <w:t xml:space="preserve">, </w:t>
          </w:r>
          <w:proofErr w:type="spellStart"/>
          <w:r w:rsidRPr="00946126">
            <w:t>Deskeltia</w:t>
          </w:r>
          <w:proofErr w:type="spellEnd"/>
          <w:r w:rsidRPr="00946126">
            <w:t xml:space="preserve">, </w:t>
          </w:r>
          <w:proofErr w:type="spellStart"/>
          <w:r w:rsidRPr="00946126">
            <w:t>Dexeva</w:t>
          </w:r>
          <w:proofErr w:type="spellEnd"/>
          <w:r w:rsidRPr="00946126">
            <w:t xml:space="preserve"> </w:t>
          </w:r>
          <w:r>
            <w:t>-</w:t>
          </w:r>
          <w:r w:rsidRPr="00460036">
            <w:t xml:space="preserve"> </w:t>
          </w:r>
          <w:r>
            <w:t>denosumab</w:t>
          </w:r>
          <w:r w:rsidRPr="00460036">
            <w:t xml:space="preserve"> </w:t>
          </w:r>
          <w:r>
            <w:t>– Accord Healthcare Pty Ltd - PM-2024</w:t>
          </w:r>
          <w:r w:rsidRPr="00487162">
            <w:t>-</w:t>
          </w:r>
          <w:r>
            <w:t>02065-1-5</w:t>
          </w:r>
          <w:r w:rsidR="0017701F">
            <w:br/>
            <w:t>Date of Finalisation</w:t>
          </w:r>
          <w:r w:rsidR="00B464CB">
            <w:t xml:space="preserve"> </w:t>
          </w:r>
          <w:r w:rsidR="00392FE7">
            <w:t>26 March 2026</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A958FF" w:rsidRPr="004A3084" w:rsidRDefault="00A958FF" w:rsidP="007452E8">
              <w:pPr>
                <w:pStyle w:val="Footer"/>
                <w:jc w:val="right"/>
              </w:pPr>
              <w:r w:rsidRPr="004A3084">
                <w:t xml:space="preserve">Page </w:t>
              </w:r>
              <w:r>
                <w:fldChar w:fldCharType="begin"/>
              </w:r>
              <w:r>
                <w:instrText xml:space="preserve"> PAGE </w:instrText>
              </w:r>
              <w:r>
                <w:fldChar w:fldCharType="separate"/>
              </w:r>
              <w:r w:rsidR="00616AAA">
                <w:rPr>
                  <w:noProof/>
                </w:rPr>
                <w:t>19</w:t>
              </w:r>
              <w:r>
                <w:rPr>
                  <w:noProof/>
                </w:rPr>
                <w:fldChar w:fldCharType="end"/>
              </w:r>
              <w:r w:rsidRPr="004A3084">
                <w:t xml:space="preserve"> of </w:t>
              </w:r>
              <w:r>
                <w:rPr>
                  <w:noProof/>
                </w:rPr>
                <w:fldChar w:fldCharType="begin"/>
              </w:r>
              <w:r>
                <w:rPr>
                  <w:noProof/>
                  <w:szCs w:val="20"/>
                  <w:lang w:eastAsia="en-US"/>
                </w:rPr>
                <w:instrText xml:space="preserve"> NUMPAGES  </w:instrText>
              </w:r>
              <w:r>
                <w:rPr>
                  <w:noProof/>
                </w:rPr>
                <w:fldChar w:fldCharType="separate"/>
              </w:r>
              <w:r w:rsidR="00616AAA">
                <w:rPr>
                  <w:noProof/>
                  <w:szCs w:val="20"/>
                  <w:lang w:eastAsia="en-US"/>
                </w:rPr>
                <w:t>23</w:t>
              </w:r>
              <w:r>
                <w:rPr>
                  <w:noProof/>
                </w:rPr>
                <w:fldChar w:fldCharType="end"/>
              </w:r>
            </w:p>
          </w:sdtContent>
        </w:sdt>
      </w:tc>
    </w:tr>
  </w:tbl>
  <w:p w14:paraId="1A4EDE60" w14:textId="77777777" w:rsidR="00A958FF" w:rsidRPr="00826007" w:rsidRDefault="00A958FF"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A958FF" w:rsidRPr="008E3C43" w:rsidRDefault="00A958FF"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D65F" w14:textId="77777777" w:rsidR="00B7458B" w:rsidRDefault="00B7458B" w:rsidP="00F02AEC">
      <w:pPr>
        <w:spacing w:after="0" w:line="240" w:lineRule="auto"/>
      </w:pPr>
      <w:r>
        <w:separator/>
      </w:r>
    </w:p>
  </w:footnote>
  <w:footnote w:type="continuationSeparator" w:id="0">
    <w:p w14:paraId="2C92B4B6" w14:textId="77777777" w:rsidR="00B7458B" w:rsidRDefault="00B7458B" w:rsidP="00F02AEC">
      <w:pPr>
        <w:spacing w:after="0" w:line="240" w:lineRule="auto"/>
      </w:pPr>
      <w:r>
        <w:continuationSeparator/>
      </w:r>
    </w:p>
  </w:footnote>
  <w:footnote w:id="1">
    <w:p w14:paraId="68402A9B" w14:textId="42E6F8E0" w:rsidR="00A958FF" w:rsidRPr="00A93DC6" w:rsidRDefault="00A958FF">
      <w:pPr>
        <w:pStyle w:val="FootnoteText"/>
        <w:rPr>
          <w:lang w:val="en-GB"/>
        </w:rPr>
      </w:pPr>
      <w:r>
        <w:rPr>
          <w:rStyle w:val="FootnoteReference"/>
        </w:rPr>
        <w:footnoteRef/>
      </w:r>
      <w:r>
        <w:t xml:space="preserve"> This is the original indication proposed by the sponsor</w:t>
      </w:r>
      <w:r>
        <w:rPr>
          <w:lang w:val="en-GB"/>
        </w:rPr>
        <w:t xml:space="preserve"> when the TGA commenced the evaluation of this submission. It </w:t>
      </w:r>
      <w:r w:rsidRPr="007452E8">
        <w:rPr>
          <w:lang w:val="en-GB"/>
        </w:rPr>
        <w:t xml:space="preserve">may </w:t>
      </w:r>
      <w:r>
        <w:rPr>
          <w:lang w:val="en-GB"/>
        </w:rPr>
        <w:t>differ</w:t>
      </w:r>
      <w:r w:rsidRPr="007452E8">
        <w:rPr>
          <w:lang w:val="en-GB"/>
        </w:rPr>
        <w:t xml:space="preserve"> to the final indication approved by th</w:t>
      </w:r>
      <w:r>
        <w:rPr>
          <w:lang w:val="en-GB"/>
        </w:rPr>
        <w:t>e TGA and registered in the Australian Register of Therapeutic Goods.</w:t>
      </w:r>
    </w:p>
  </w:footnote>
  <w:footnote w:id="2">
    <w:p w14:paraId="0341A0DD" w14:textId="2CF378F8" w:rsidR="00A958FF" w:rsidRDefault="00A958FF">
      <w:pPr>
        <w:pStyle w:val="FootnoteText"/>
      </w:pPr>
      <w:r>
        <w:rPr>
          <w:rStyle w:val="FootnoteReference"/>
        </w:rPr>
        <w:footnoteRef/>
      </w:r>
      <w:r>
        <w:t xml:space="preserve"> </w:t>
      </w:r>
      <w:hyperlink r:id="rId1" w:history="1">
        <w:r w:rsidRPr="009750B5">
          <w:rPr>
            <w:rStyle w:val="Hyperlink"/>
          </w:rPr>
          <w:t>PROLIA denosumab (rch) 60mg/1mL solution for injection prefilled syringe (159322) | Therapeutic Goods Administration (TGA)</w:t>
        </w:r>
      </w:hyperlink>
    </w:p>
  </w:footnote>
  <w:footnote w:id="3">
    <w:p w14:paraId="57EE3A54" w14:textId="2C04D342" w:rsidR="00A958FF" w:rsidRDefault="00A958FF">
      <w:pPr>
        <w:pStyle w:val="FootnoteText"/>
      </w:pPr>
      <w:r>
        <w:rPr>
          <w:rStyle w:val="FootnoteReference"/>
        </w:rPr>
        <w:footnoteRef/>
      </w:r>
      <w:r>
        <w:t xml:space="preserve"> </w:t>
      </w:r>
      <w:hyperlink r:id="rId2" w:history="1">
        <w:r w:rsidRPr="00C22697">
          <w:rPr>
            <w:rStyle w:val="Hyperlink"/>
          </w:rPr>
          <w:t>XGEVA denosumab (rch) 70mg/mL (120mg/1.7mL) solution for injection vial (175041) | Therapeutic Goods Administration (TGA)</w:t>
        </w:r>
      </w:hyperlink>
    </w:p>
  </w:footnote>
  <w:footnote w:id="4">
    <w:p w14:paraId="1884A56A" w14:textId="0F6BB775" w:rsidR="00A958FF" w:rsidRDefault="00A958FF" w:rsidP="00F47201">
      <w:pPr>
        <w:pStyle w:val="FootnoteText"/>
      </w:pPr>
      <w:r>
        <w:rPr>
          <w:rStyle w:val="FootnoteReference"/>
        </w:rPr>
        <w:footnoteRef/>
      </w:r>
      <w:r>
        <w:t xml:space="preserve"> </w:t>
      </w:r>
      <w:r>
        <w:rPr>
          <w:lang w:eastAsia="ja-JP"/>
        </w:rPr>
        <w:t>Black DM, Rosen CJ.</w:t>
      </w:r>
      <w:r w:rsidR="00626059">
        <w:rPr>
          <w:lang w:eastAsia="ja-JP"/>
        </w:rPr>
        <w:t xml:space="preserve"> </w:t>
      </w:r>
      <w:r>
        <w:rPr>
          <w:lang w:eastAsia="ja-JP"/>
        </w:rPr>
        <w:t>Postmenopausal osteoporosis.</w:t>
      </w:r>
      <w:r w:rsidR="00626059">
        <w:rPr>
          <w:lang w:eastAsia="ja-JP"/>
        </w:rPr>
        <w:t xml:space="preserve"> </w:t>
      </w:r>
      <w:r>
        <w:rPr>
          <w:lang w:eastAsia="ja-JP"/>
        </w:rPr>
        <w:t>New Engl J Med.</w:t>
      </w:r>
      <w:r w:rsidR="00626059">
        <w:rPr>
          <w:lang w:eastAsia="ja-JP"/>
        </w:rPr>
        <w:t xml:space="preserve"> </w:t>
      </w:r>
      <w:r>
        <w:rPr>
          <w:lang w:eastAsia="ja-JP"/>
        </w:rPr>
        <w:t>2016; 374: 254–262.</w:t>
      </w:r>
    </w:p>
  </w:footnote>
  <w:footnote w:id="5">
    <w:p w14:paraId="33CA8736" w14:textId="2CD3F85D" w:rsidR="00A958FF" w:rsidRPr="0017701F" w:rsidRDefault="00A958FF" w:rsidP="00F47201">
      <w:pPr>
        <w:pStyle w:val="FootnoteText"/>
        <w:rPr>
          <w:lang w:val="nl-BE"/>
        </w:rPr>
      </w:pPr>
      <w:r>
        <w:rPr>
          <w:rStyle w:val="FootnoteReference"/>
        </w:rPr>
        <w:footnoteRef/>
      </w:r>
      <w:r>
        <w:t xml:space="preserve"> </w:t>
      </w:r>
      <w:r>
        <w:rPr>
          <w:lang w:eastAsia="ja-JP"/>
        </w:rPr>
        <w:t>Lemaire V, Tobin FL, Greller LD, Cho CR, Suva LJ.</w:t>
      </w:r>
      <w:r w:rsidR="00626059">
        <w:rPr>
          <w:lang w:eastAsia="ja-JP"/>
        </w:rPr>
        <w:t xml:space="preserve"> </w:t>
      </w:r>
      <w:r>
        <w:rPr>
          <w:lang w:eastAsia="ja-JP"/>
        </w:rPr>
        <w:t>Modeling the interactions between osteoblast and osteoclast activities in bone remodeling.</w:t>
      </w:r>
      <w:r w:rsidR="00626059">
        <w:rPr>
          <w:lang w:eastAsia="ja-JP"/>
        </w:rPr>
        <w:t xml:space="preserve"> </w:t>
      </w:r>
      <w:r w:rsidRPr="0017701F">
        <w:rPr>
          <w:lang w:val="nl-BE" w:eastAsia="ja-JP"/>
        </w:rPr>
        <w:t>J Theor Biol.</w:t>
      </w:r>
      <w:r w:rsidR="00626059">
        <w:rPr>
          <w:lang w:val="nl-BE" w:eastAsia="ja-JP"/>
        </w:rPr>
        <w:t xml:space="preserve"> </w:t>
      </w:r>
      <w:r w:rsidRPr="0017701F">
        <w:rPr>
          <w:lang w:val="nl-BE" w:eastAsia="ja-JP"/>
        </w:rPr>
        <w:t>2004; 229(3): 293-309.</w:t>
      </w:r>
    </w:p>
  </w:footnote>
  <w:footnote w:id="6">
    <w:p w14:paraId="7BB1E2D4" w14:textId="591D50CC" w:rsidR="00A958FF" w:rsidRDefault="00A958FF" w:rsidP="00F47201">
      <w:pPr>
        <w:pStyle w:val="FootnoteText"/>
      </w:pPr>
      <w:r>
        <w:rPr>
          <w:rStyle w:val="FootnoteReference"/>
        </w:rPr>
        <w:footnoteRef/>
      </w:r>
      <w:r w:rsidRPr="0017701F">
        <w:rPr>
          <w:lang w:val="nl-BE"/>
        </w:rPr>
        <w:t xml:space="preserve"> </w:t>
      </w:r>
      <w:r w:rsidRPr="0017701F">
        <w:rPr>
          <w:lang w:val="nl-BE" w:eastAsia="ja-JP"/>
        </w:rPr>
        <w:t>Lacey DL, Timms E, Tan HL, et al.</w:t>
      </w:r>
      <w:r w:rsidR="00626059">
        <w:rPr>
          <w:lang w:val="nl-BE" w:eastAsia="ja-JP"/>
        </w:rPr>
        <w:t xml:space="preserve"> </w:t>
      </w:r>
      <w:r>
        <w:rPr>
          <w:lang w:eastAsia="ja-JP"/>
        </w:rPr>
        <w:t>Osteoprotegerin ligand is a cytokine that regulates osteoclast differentiation and activation.</w:t>
      </w:r>
      <w:r w:rsidR="00626059">
        <w:rPr>
          <w:lang w:eastAsia="ja-JP"/>
        </w:rPr>
        <w:t xml:space="preserve"> </w:t>
      </w:r>
      <w:r>
        <w:rPr>
          <w:lang w:eastAsia="ja-JP"/>
        </w:rPr>
        <w:t>Cell.</w:t>
      </w:r>
      <w:r w:rsidR="00626059">
        <w:rPr>
          <w:lang w:eastAsia="ja-JP"/>
        </w:rPr>
        <w:t xml:space="preserve"> </w:t>
      </w:r>
      <w:r>
        <w:rPr>
          <w:lang w:eastAsia="ja-JP"/>
        </w:rPr>
        <w:t>1998; 93(2): 165-76.</w:t>
      </w:r>
    </w:p>
  </w:footnote>
  <w:footnote w:id="7">
    <w:p w14:paraId="7257D267" w14:textId="4DDDB97A" w:rsidR="00A958FF" w:rsidRDefault="00A958FF" w:rsidP="00F47201">
      <w:pPr>
        <w:pStyle w:val="FootnoteText"/>
      </w:pPr>
      <w:r>
        <w:rPr>
          <w:rStyle w:val="FootnoteReference"/>
        </w:rPr>
        <w:footnoteRef/>
      </w:r>
      <w:r>
        <w:t xml:space="preserve"> </w:t>
      </w:r>
      <w:r>
        <w:rPr>
          <w:lang w:eastAsia="ja-JP"/>
        </w:rPr>
        <w:t>Kameda T, Mano H, Yuasa T, et al.</w:t>
      </w:r>
      <w:r w:rsidR="00626059">
        <w:rPr>
          <w:lang w:eastAsia="ja-JP"/>
        </w:rPr>
        <w:t xml:space="preserve"> </w:t>
      </w:r>
      <w:r>
        <w:rPr>
          <w:lang w:eastAsia="ja-JP"/>
        </w:rPr>
        <w:t>Estrogen inhibits bone resorption by directly inducing apoptosis of the bone-resorbing osteoclasts.</w:t>
      </w:r>
      <w:r w:rsidR="00626059">
        <w:rPr>
          <w:lang w:eastAsia="ja-JP"/>
        </w:rPr>
        <w:t xml:space="preserve"> </w:t>
      </w:r>
      <w:r>
        <w:rPr>
          <w:lang w:eastAsia="ja-JP"/>
        </w:rPr>
        <w:t>J Exp Med.</w:t>
      </w:r>
      <w:r w:rsidR="00626059">
        <w:rPr>
          <w:lang w:eastAsia="ja-JP"/>
        </w:rPr>
        <w:t xml:space="preserve"> </w:t>
      </w:r>
      <w:r>
        <w:rPr>
          <w:lang w:eastAsia="ja-JP"/>
        </w:rPr>
        <w:t>1997; 186(4): 489-95.</w:t>
      </w:r>
    </w:p>
  </w:footnote>
  <w:footnote w:id="8">
    <w:p w14:paraId="2E2FAF22" w14:textId="1EAB37F2" w:rsidR="00A958FF" w:rsidRDefault="00A958FF" w:rsidP="00F47201">
      <w:pPr>
        <w:pStyle w:val="FootnoteText"/>
      </w:pPr>
      <w:r>
        <w:rPr>
          <w:rStyle w:val="FootnoteReference"/>
        </w:rPr>
        <w:footnoteRef/>
      </w:r>
      <w:r>
        <w:t xml:space="preserve"> </w:t>
      </w:r>
      <w:r w:rsidRPr="007F7A8F">
        <w:t>Drake MT</w:t>
      </w:r>
      <w:r>
        <w:t>.</w:t>
      </w:r>
      <w:r w:rsidR="00626059">
        <w:t xml:space="preserve"> </w:t>
      </w:r>
      <w:r w:rsidRPr="007F7A8F">
        <w:t>Osteoporosis and cancer</w:t>
      </w:r>
      <w:r>
        <w:t>.</w:t>
      </w:r>
      <w:r w:rsidR="00626059">
        <w:t xml:space="preserve"> </w:t>
      </w:r>
      <w:r w:rsidRPr="007F7A8F">
        <w:t xml:space="preserve">Curr </w:t>
      </w:r>
      <w:r w:rsidRPr="007F7A8F">
        <w:t>Osteoporos Rep</w:t>
      </w:r>
      <w:r>
        <w:t>.</w:t>
      </w:r>
      <w:r w:rsidR="00626059">
        <w:t xml:space="preserve"> </w:t>
      </w:r>
      <w:r w:rsidRPr="007F7A8F">
        <w:t>201;11(3):163-70.</w:t>
      </w:r>
    </w:p>
  </w:footnote>
  <w:footnote w:id="9">
    <w:p w14:paraId="765E6C9C" w14:textId="52532A81" w:rsidR="00A958FF" w:rsidRDefault="00A958FF" w:rsidP="00F47201">
      <w:pPr>
        <w:pStyle w:val="FootnoteText"/>
      </w:pPr>
      <w:r>
        <w:rPr>
          <w:rStyle w:val="FootnoteReference"/>
        </w:rPr>
        <w:footnoteRef/>
      </w:r>
      <w:r>
        <w:t xml:space="preserve"> </w:t>
      </w:r>
      <w:r w:rsidRPr="003C3A01">
        <w:t>Mirrakhimov AE</w:t>
      </w:r>
      <w:r>
        <w:t>.</w:t>
      </w:r>
      <w:r w:rsidR="00626059">
        <w:t xml:space="preserve"> </w:t>
      </w:r>
      <w:r w:rsidRPr="003C3A01">
        <w:t>Hypercalcemia of Malignancy: An Update on Pathogenesis and Management</w:t>
      </w:r>
      <w:r>
        <w:t>.</w:t>
      </w:r>
      <w:r w:rsidR="00626059">
        <w:t xml:space="preserve"> </w:t>
      </w:r>
      <w:r w:rsidRPr="003C3A01">
        <w:t>N Am J Med Sci</w:t>
      </w:r>
      <w:r>
        <w:t>.</w:t>
      </w:r>
      <w:r w:rsidR="00626059">
        <w:t xml:space="preserve"> </w:t>
      </w:r>
      <w:r w:rsidRPr="003C3A01">
        <w:t>2015;7(11):483-93.</w:t>
      </w:r>
    </w:p>
  </w:footnote>
  <w:footnote w:id="10">
    <w:p w14:paraId="1F79A4E5" w14:textId="77777777" w:rsidR="00A958FF" w:rsidRDefault="00A958FF" w:rsidP="00F47201">
      <w:pPr>
        <w:pStyle w:val="FootnoteText"/>
      </w:pPr>
      <w:r>
        <w:rPr>
          <w:rStyle w:val="FootnoteReference"/>
        </w:rPr>
        <w:footnoteRef/>
      </w:r>
      <w:r>
        <w:t xml:space="preserve"> </w:t>
      </w:r>
      <w:hyperlink r:id="rId3" w:history="1">
        <w:r>
          <w:rPr>
            <w:rStyle w:val="Hyperlink"/>
          </w:rPr>
          <w:t>Chronic musculoskeletal conditions : Osteoporosis and minimal trauma fractures - Australian Institute of Health and Welfare (aihw.gov.au)</w:t>
        </w:r>
      </w:hyperlink>
      <w:r>
        <w:t xml:space="preserve"> </w:t>
      </w:r>
    </w:p>
  </w:footnote>
  <w:footnote w:id="11">
    <w:p w14:paraId="18B7A15D" w14:textId="3FCDDF25" w:rsidR="00A958FF" w:rsidRDefault="00A958FF" w:rsidP="00F47201">
      <w:pPr>
        <w:pStyle w:val="FootnoteText"/>
      </w:pPr>
      <w:r>
        <w:rPr>
          <w:rStyle w:val="FootnoteReference"/>
        </w:rPr>
        <w:footnoteRef/>
      </w:r>
      <w:r>
        <w:t xml:space="preserve"> </w:t>
      </w:r>
      <w:r w:rsidRPr="002A3B45">
        <w:t xml:space="preserve">Watts JJ, </w:t>
      </w:r>
      <w:r w:rsidRPr="002A3B45">
        <w:t>Abimanyi-Ochom J, Sanders KM</w:t>
      </w:r>
      <w:r>
        <w:t>.</w:t>
      </w:r>
      <w:r w:rsidR="00626059">
        <w:t xml:space="preserve"> </w:t>
      </w:r>
      <w:r w:rsidRPr="002A3B45">
        <w:t>Osteoporosis costing all Australians</w:t>
      </w:r>
      <w:r>
        <w:t>.</w:t>
      </w:r>
      <w:r w:rsidR="00626059">
        <w:t xml:space="preserve"> </w:t>
      </w:r>
      <w:r w:rsidRPr="002A3B45">
        <w:t>A new burden of disease analysis – 2012 to 2022</w:t>
      </w:r>
      <w:r>
        <w:t>.</w:t>
      </w:r>
      <w:r w:rsidR="00626059">
        <w:t xml:space="preserve"> </w:t>
      </w:r>
      <w:r w:rsidRPr="002A3B45">
        <w:t>Osteoporosis Australia</w:t>
      </w:r>
      <w:r>
        <w:t>.</w:t>
      </w:r>
      <w:r w:rsidR="00626059">
        <w:t xml:space="preserve"> </w:t>
      </w:r>
      <w:r w:rsidRPr="002A3B45">
        <w:t>(https://healthybonesaustralia.org.au/wp-content/uploads/2022/09/burden-of-disease-analysis-2012-2022.pdf)</w:t>
      </w:r>
    </w:p>
  </w:footnote>
  <w:footnote w:id="12">
    <w:p w14:paraId="57B61ACA" w14:textId="0CE7AE22" w:rsidR="00A958FF" w:rsidRDefault="00A958FF" w:rsidP="00F47201">
      <w:pPr>
        <w:pStyle w:val="FootnoteText"/>
      </w:pPr>
      <w:r>
        <w:rPr>
          <w:rStyle w:val="FootnoteReference"/>
        </w:rPr>
        <w:footnoteRef/>
      </w:r>
      <w:r>
        <w:t xml:space="preserve"> </w:t>
      </w:r>
      <w:r>
        <w:rPr>
          <w:lang w:eastAsia="ja-JP"/>
        </w:rPr>
        <w:t>Warriner A H, Patkar N M, Curtis J R, Delzell E, Gary L, Kilgore M, et al.</w:t>
      </w:r>
      <w:r w:rsidR="00626059">
        <w:rPr>
          <w:lang w:eastAsia="ja-JP"/>
        </w:rPr>
        <w:t xml:space="preserve"> </w:t>
      </w:r>
      <w:r>
        <w:rPr>
          <w:lang w:eastAsia="ja-JP"/>
        </w:rPr>
        <w:t>Which fractures are most attributable to osteoporosis? J.</w:t>
      </w:r>
      <w:r w:rsidR="00626059">
        <w:rPr>
          <w:lang w:eastAsia="ja-JP"/>
        </w:rPr>
        <w:t xml:space="preserve"> </w:t>
      </w:r>
      <w:r>
        <w:rPr>
          <w:lang w:eastAsia="ja-JP"/>
        </w:rPr>
        <w:t>Clin.</w:t>
      </w:r>
      <w:r w:rsidR="00626059">
        <w:rPr>
          <w:lang w:eastAsia="ja-JP"/>
        </w:rPr>
        <w:t xml:space="preserve"> </w:t>
      </w:r>
      <w:r>
        <w:rPr>
          <w:lang w:eastAsia="ja-JP"/>
        </w:rPr>
        <w:t>Epidemiol.</w:t>
      </w:r>
      <w:r w:rsidR="00626059">
        <w:rPr>
          <w:lang w:eastAsia="ja-JP"/>
        </w:rPr>
        <w:t xml:space="preserve"> </w:t>
      </w:r>
      <w:r>
        <w:rPr>
          <w:lang w:eastAsia="ja-JP"/>
        </w:rPr>
        <w:t>2011; 64: 46–53.</w:t>
      </w:r>
    </w:p>
  </w:footnote>
  <w:footnote w:id="13">
    <w:p w14:paraId="3631CB2B" w14:textId="77777777" w:rsidR="00A958FF" w:rsidRDefault="00A958FF" w:rsidP="002671D2">
      <w:pPr>
        <w:pStyle w:val="FootnoteText"/>
      </w:pPr>
      <w:r>
        <w:rPr>
          <w:rStyle w:val="FootnoteReference"/>
        </w:rPr>
        <w:footnoteRef/>
      </w:r>
      <w:r>
        <w:t xml:space="preserve"> </w:t>
      </w:r>
      <w:hyperlink r:id="rId4" w:history="1">
        <w:r w:rsidRPr="00515F7F">
          <w:rPr>
            <w:rStyle w:val="Hyperlink"/>
          </w:rPr>
          <w:t>RACGP - Osteoporosis management and fracture prevention in post-menopausal women and men &gt; 50 years of age</w:t>
        </w:r>
      </w:hyperlink>
    </w:p>
  </w:footnote>
  <w:footnote w:id="14">
    <w:p w14:paraId="73071786" w14:textId="66966797" w:rsidR="00A958FF" w:rsidRDefault="00A958FF" w:rsidP="00432543">
      <w:pPr>
        <w:pStyle w:val="FootnoteText"/>
      </w:pPr>
      <w:r>
        <w:rPr>
          <w:rStyle w:val="FootnoteReference"/>
        </w:rPr>
        <w:footnoteRef/>
      </w:r>
      <w:r>
        <w:t xml:space="preserve"> </w:t>
      </w:r>
      <w:r>
        <w:rPr>
          <w:lang w:eastAsia="ja-JP"/>
        </w:rPr>
        <w:t>Cauley JA.</w:t>
      </w:r>
      <w:r w:rsidR="00626059">
        <w:rPr>
          <w:lang w:eastAsia="ja-JP"/>
        </w:rPr>
        <w:t xml:space="preserve"> </w:t>
      </w:r>
      <w:r>
        <w:rPr>
          <w:lang w:eastAsia="ja-JP"/>
        </w:rPr>
        <w:t>Public health impact of osteoporosis.</w:t>
      </w:r>
      <w:r w:rsidR="00626059">
        <w:rPr>
          <w:lang w:eastAsia="ja-JP"/>
        </w:rPr>
        <w:t xml:space="preserve"> </w:t>
      </w:r>
      <w:r>
        <w:rPr>
          <w:lang w:eastAsia="ja-JP"/>
        </w:rPr>
        <w:t xml:space="preserve">J </w:t>
      </w:r>
      <w:r>
        <w:rPr>
          <w:lang w:eastAsia="ja-JP"/>
        </w:rPr>
        <w:t xml:space="preserve">Gerontol </w:t>
      </w:r>
      <w:r>
        <w:rPr>
          <w:lang w:eastAsia="ja-JP"/>
        </w:rPr>
        <w:t>A Biol Sci Med Sci.</w:t>
      </w:r>
      <w:r w:rsidR="00626059">
        <w:rPr>
          <w:lang w:eastAsia="ja-JP"/>
        </w:rPr>
        <w:t xml:space="preserve"> </w:t>
      </w:r>
      <w:r>
        <w:rPr>
          <w:lang w:eastAsia="ja-JP"/>
        </w:rPr>
        <w:t>2013; 68(10): 1243-51.</w:t>
      </w:r>
    </w:p>
  </w:footnote>
  <w:footnote w:id="15">
    <w:p w14:paraId="1942CC7F" w14:textId="77777777" w:rsidR="00A958FF" w:rsidRDefault="00A958FF" w:rsidP="00AC602D">
      <w:pPr>
        <w:pStyle w:val="FootnoteText"/>
      </w:pPr>
      <w:r>
        <w:rPr>
          <w:rStyle w:val="FootnoteReference"/>
        </w:rPr>
        <w:footnoteRef/>
      </w:r>
      <w:r>
        <w:t xml:space="preserve"> C</w:t>
      </w:r>
      <w:r w:rsidRPr="00421ED8">
        <w:t>hen W, Simpson JM, March LM, et al. Comorbidities only account for a small proportion of excess mortality after fracture: A record linkage study of individual fracture types. J Bone Miner Res 2018;33(5):795–802. (https://doi.org/1 0.1002/jbmr.3374)</w:t>
      </w:r>
    </w:p>
  </w:footnote>
  <w:footnote w:id="16">
    <w:p w14:paraId="7C736E9E" w14:textId="3ADD1E68" w:rsidR="00A958FF" w:rsidRDefault="00A958FF" w:rsidP="00537B9C">
      <w:pPr>
        <w:pStyle w:val="FootnoteText"/>
      </w:pPr>
      <w:r>
        <w:rPr>
          <w:rStyle w:val="FootnoteReference"/>
        </w:rPr>
        <w:footnoteRef/>
      </w:r>
      <w:r>
        <w:t xml:space="preserve"> </w:t>
      </w:r>
      <w:r w:rsidRPr="001C281D">
        <w:t>World Health Organization (WHO). Assessment of fracture risk and its application to screening for postmenopausal osteoporosis: Report of a WHO study group (</w:t>
      </w:r>
      <w:hyperlink r:id="rId5" w:history="1">
        <w:r w:rsidRPr="00846446">
          <w:rPr>
            <w:rStyle w:val="Hyperlink"/>
          </w:rPr>
          <w:t>content</w:t>
        </w:r>
      </w:hyperlink>
      <w:r>
        <w:t>)</w:t>
      </w:r>
      <w:r w:rsidRPr="001C281D">
        <w:t xml:space="preserve"> [meeting held in Rome from 22 to 25 June 1992]. WHO, 1994.</w:t>
      </w:r>
    </w:p>
  </w:footnote>
  <w:footnote w:id="17">
    <w:p w14:paraId="51D3CBA0" w14:textId="77777777" w:rsidR="00A958FF" w:rsidRDefault="00A958FF" w:rsidP="009260C5">
      <w:pPr>
        <w:pStyle w:val="FootnoteText"/>
      </w:pPr>
      <w:r>
        <w:rPr>
          <w:rStyle w:val="FootnoteReference"/>
        </w:rPr>
        <w:footnoteRef/>
      </w:r>
      <w:r>
        <w:t xml:space="preserve"> </w:t>
      </w:r>
      <w:hyperlink r:id="rId6" w:history="1">
        <w:r w:rsidRPr="00C601D8">
          <w:rPr>
            <w:rStyle w:val="Hyperlink"/>
          </w:rPr>
          <w:t>RACGP - Osteoporosis management and fracture prevention in post-menopausal women and men &gt; 50 years of age</w:t>
        </w:r>
      </w:hyperlink>
    </w:p>
  </w:footnote>
  <w:footnote w:id="18">
    <w:p w14:paraId="225190A0" w14:textId="77777777" w:rsidR="00A958FF" w:rsidRDefault="00A958FF" w:rsidP="0022156A">
      <w:pPr>
        <w:pStyle w:val="FootnoteText"/>
      </w:pPr>
      <w:r>
        <w:rPr>
          <w:rStyle w:val="FootnoteReference"/>
        </w:rPr>
        <w:footnoteRef/>
      </w:r>
      <w:r>
        <w:t xml:space="preserve"> </w:t>
      </w:r>
      <w:hyperlink r:id="rId7" w:anchor=":~:text=By%20binding%20to%20hydroxyapatite%20crystals,reabsorption%20and%20turnover%20of%20minerals." w:history="1">
        <w:r>
          <w:rPr>
            <w:rStyle w:val="Hyperlink"/>
          </w:rPr>
          <w:t>Alendronate - StatPearls - NCBI Bookshelf (nih.gov)</w:t>
        </w:r>
      </w:hyperlink>
    </w:p>
  </w:footnote>
  <w:footnote w:id="19">
    <w:p w14:paraId="2E2602B3" w14:textId="520F08F6" w:rsidR="00A958FF" w:rsidRPr="0017701F" w:rsidRDefault="00A958FF" w:rsidP="0022156A">
      <w:pPr>
        <w:pStyle w:val="FootnoteText"/>
        <w:rPr>
          <w:lang w:val="nl-BE"/>
        </w:rPr>
      </w:pPr>
      <w:r>
        <w:rPr>
          <w:rStyle w:val="FootnoteReference"/>
        </w:rPr>
        <w:footnoteRef/>
      </w:r>
      <w:r>
        <w:t xml:space="preserve"> Crandall, CJ, Newberry, SJ, Diamant, A, et al.</w:t>
      </w:r>
      <w:r w:rsidR="00626059">
        <w:t xml:space="preserve"> </w:t>
      </w:r>
      <w:r>
        <w:t>Comparative effectiveness of pharmacologic treatments to prevent fractures: an updated systematic review.</w:t>
      </w:r>
      <w:r w:rsidR="00626059">
        <w:t xml:space="preserve"> </w:t>
      </w:r>
      <w:r w:rsidRPr="0017701F">
        <w:rPr>
          <w:lang w:val="nl-BE"/>
        </w:rPr>
        <w:t>Ann Intern Med 2014;161:711-723.</w:t>
      </w:r>
    </w:p>
  </w:footnote>
  <w:footnote w:id="20">
    <w:p w14:paraId="034245D4" w14:textId="6FCD1A66" w:rsidR="00A958FF" w:rsidRDefault="00A958FF" w:rsidP="0022156A">
      <w:pPr>
        <w:pStyle w:val="FootnoteText"/>
      </w:pPr>
      <w:r>
        <w:rPr>
          <w:rStyle w:val="FootnoteReference"/>
        </w:rPr>
        <w:footnoteRef/>
      </w:r>
      <w:r w:rsidRPr="0017701F">
        <w:rPr>
          <w:lang w:val="nl-BE"/>
        </w:rPr>
        <w:t xml:space="preserve"> Khosla, S, Bilezikian, JP, Dempster, DW, et al.</w:t>
      </w:r>
      <w:r w:rsidR="00626059">
        <w:rPr>
          <w:lang w:val="nl-BE"/>
        </w:rPr>
        <w:t xml:space="preserve"> </w:t>
      </w:r>
      <w:r w:rsidRPr="002B74C5">
        <w:t>Benefits and risks of bisphosphonate therapy for osteoporosis</w:t>
      </w:r>
      <w:r>
        <w:t>.</w:t>
      </w:r>
      <w:r w:rsidR="00626059">
        <w:t xml:space="preserve"> </w:t>
      </w:r>
      <w:r w:rsidRPr="002B74C5">
        <w:t xml:space="preserve">J Clin Endocrinol </w:t>
      </w:r>
      <w:r w:rsidRPr="002B74C5">
        <w:t>Metab 2012;97:2272-2282.</w:t>
      </w:r>
    </w:p>
  </w:footnote>
  <w:footnote w:id="21">
    <w:p w14:paraId="207D7D5B" w14:textId="389D2B7F" w:rsidR="00A958FF" w:rsidRDefault="00A958FF" w:rsidP="0022156A">
      <w:pPr>
        <w:pStyle w:val="FootnoteText"/>
      </w:pPr>
      <w:r>
        <w:rPr>
          <w:rStyle w:val="FootnoteReference"/>
        </w:rPr>
        <w:footnoteRef/>
      </w:r>
      <w:r>
        <w:t xml:space="preserve"> </w:t>
      </w:r>
      <w:r w:rsidRPr="00FD671B">
        <w:t>Modi, A, Siris, ES, Tang, J, Sen, S</w:t>
      </w:r>
      <w:r>
        <w:t>.</w:t>
      </w:r>
      <w:r w:rsidR="00626059">
        <w:t xml:space="preserve"> </w:t>
      </w:r>
      <w:r w:rsidRPr="00FD671B">
        <w:t>Cost and consequences of noncompliance with osteoporosis treatment among women initiating therapy</w:t>
      </w:r>
      <w:r>
        <w:t>.</w:t>
      </w:r>
      <w:r w:rsidR="00626059">
        <w:t xml:space="preserve"> </w:t>
      </w:r>
      <w:r w:rsidRPr="00FD671B">
        <w:t xml:space="preserve">Curr Med Res </w:t>
      </w:r>
      <w:r w:rsidRPr="00FD671B">
        <w:t>Opin 2015;31:757-765</w:t>
      </w:r>
    </w:p>
  </w:footnote>
  <w:footnote w:id="22">
    <w:p w14:paraId="093ECD67" w14:textId="067B4FFB" w:rsidR="00A958FF" w:rsidRDefault="00A958FF" w:rsidP="0022156A">
      <w:pPr>
        <w:pStyle w:val="FootnoteText"/>
      </w:pPr>
      <w:r>
        <w:rPr>
          <w:rStyle w:val="FootnoteReference"/>
        </w:rPr>
        <w:footnoteRef/>
      </w:r>
      <w:r>
        <w:t xml:space="preserve"> </w:t>
      </w:r>
      <w:r w:rsidRPr="00174C83">
        <w:t>Cummings SR, San Martin J, McClung MR, et al</w:t>
      </w:r>
      <w:r>
        <w:t>.</w:t>
      </w:r>
      <w:r w:rsidR="00626059">
        <w:t xml:space="preserve"> </w:t>
      </w:r>
      <w:r w:rsidRPr="00174C83">
        <w:t>Denosumab for prevention of fractures in postmenopausal women with osteoporosis</w:t>
      </w:r>
      <w:r>
        <w:t>.</w:t>
      </w:r>
      <w:r w:rsidR="00626059">
        <w:t xml:space="preserve"> </w:t>
      </w:r>
      <w:r w:rsidRPr="00174C83">
        <w:t>N Engl J Med</w:t>
      </w:r>
      <w:r>
        <w:t>.</w:t>
      </w:r>
      <w:r w:rsidR="00626059">
        <w:t xml:space="preserve"> </w:t>
      </w:r>
      <w:r w:rsidRPr="00174C83">
        <w:t>2009;361:756–765.</w:t>
      </w:r>
    </w:p>
  </w:footnote>
  <w:footnote w:id="23">
    <w:p w14:paraId="495A9B85" w14:textId="314A4EBD" w:rsidR="00A958FF" w:rsidRDefault="00A958FF" w:rsidP="0022156A">
      <w:pPr>
        <w:pStyle w:val="FootnoteText"/>
      </w:pPr>
      <w:r>
        <w:rPr>
          <w:rStyle w:val="FootnoteReference"/>
        </w:rPr>
        <w:footnoteRef/>
      </w:r>
      <w:r>
        <w:t xml:space="preserve"> </w:t>
      </w:r>
      <w:r w:rsidRPr="003F29E8">
        <w:t>Simon JA, Recknor C, Moffett AH, et al</w:t>
      </w:r>
      <w:r>
        <w:t>.</w:t>
      </w:r>
      <w:r w:rsidR="00626059">
        <w:t xml:space="preserve"> </w:t>
      </w:r>
      <w:r w:rsidRPr="003F29E8">
        <w:t>Impact of denosumab on the peripheral skeleton of postmenopausal women with osteoporosis: bone density, mass, and strength of the radius, and wrist fracture</w:t>
      </w:r>
      <w:r>
        <w:t>.</w:t>
      </w:r>
      <w:r w:rsidR="00626059">
        <w:t xml:space="preserve"> </w:t>
      </w:r>
      <w:r w:rsidRPr="003F29E8">
        <w:t>Menopause</w:t>
      </w:r>
      <w:r>
        <w:t>.</w:t>
      </w:r>
      <w:r w:rsidR="00626059">
        <w:t xml:space="preserve"> </w:t>
      </w:r>
      <w:r w:rsidRPr="003F29E8">
        <w:t>2013;20:130–137.</w:t>
      </w:r>
    </w:p>
  </w:footnote>
  <w:footnote w:id="24">
    <w:p w14:paraId="340D1283" w14:textId="1DBF3985" w:rsidR="00A958FF" w:rsidRDefault="00A958FF" w:rsidP="0022156A">
      <w:pPr>
        <w:pStyle w:val="FootnoteText"/>
      </w:pPr>
      <w:r>
        <w:rPr>
          <w:rStyle w:val="FootnoteReference"/>
        </w:rPr>
        <w:footnoteRef/>
      </w:r>
      <w:r>
        <w:t xml:space="preserve"> AU PI for </w:t>
      </w:r>
      <w:r w:rsidRPr="00CF3790">
        <w:t xml:space="preserve">TERROSA </w:t>
      </w:r>
      <w:r>
        <w:t>(</w:t>
      </w:r>
      <w:r w:rsidRPr="00CF3790">
        <w:t>teriparatide</w:t>
      </w:r>
      <w:r>
        <w:t xml:space="preserve">). </w:t>
      </w:r>
      <w:hyperlink r:id="rId8" w:history="1">
        <w:r w:rsidRPr="00C0699A">
          <w:rPr>
            <w:rStyle w:val="Hyperlink"/>
          </w:rPr>
          <w:t>Attachment: Product Information for Teriparatide</w:t>
        </w:r>
      </w:hyperlink>
      <w:r>
        <w:t xml:space="preserve"> </w:t>
      </w:r>
    </w:p>
  </w:footnote>
  <w:footnote w:id="25">
    <w:p w14:paraId="748BF338" w14:textId="221A818F" w:rsidR="00A958FF" w:rsidRDefault="00A958FF" w:rsidP="0022156A">
      <w:pPr>
        <w:pStyle w:val="FootnoteText"/>
      </w:pPr>
      <w:r>
        <w:rPr>
          <w:rStyle w:val="FootnoteReference"/>
        </w:rPr>
        <w:footnoteRef/>
      </w:r>
      <w:r>
        <w:t xml:space="preserve"> </w:t>
      </w:r>
      <w:r w:rsidRPr="009A7065">
        <w:t>Compston, J, Bowring, C, Cooper, A, et al</w:t>
      </w:r>
      <w:r>
        <w:t>.</w:t>
      </w:r>
      <w:r w:rsidR="00626059">
        <w:t xml:space="preserve"> </w:t>
      </w:r>
      <w:r w:rsidRPr="009A7065">
        <w:t>Diagnosis and management of osteoporosis in postmenopausal women and older men in the UK: National Osteoporosis Guideline Group (NOGG) update 2013</w:t>
      </w:r>
      <w:r>
        <w:t>.</w:t>
      </w:r>
      <w:r w:rsidR="00626059">
        <w:t xml:space="preserve"> </w:t>
      </w:r>
      <w:r w:rsidRPr="009A7065">
        <w:t>Maturitas 2013;75:392-396</w:t>
      </w:r>
    </w:p>
  </w:footnote>
  <w:footnote w:id="26">
    <w:p w14:paraId="63D05FF0" w14:textId="77777777" w:rsidR="00A958FF" w:rsidRDefault="00A958FF" w:rsidP="006C2D1A">
      <w:pPr>
        <w:pStyle w:val="FootnoteText"/>
      </w:pPr>
      <w:r>
        <w:rPr>
          <w:rStyle w:val="FootnoteReference"/>
        </w:rPr>
        <w:footnoteRef/>
      </w:r>
      <w:r>
        <w:t xml:space="preserve"> </w:t>
      </w:r>
      <w:hyperlink r:id="rId9" w:history="1">
        <w:r w:rsidRPr="00647C7B">
          <w:rPr>
            <w:rStyle w:val="Hyperlink"/>
          </w:rPr>
          <w:t>Australian Register of Therapeutic Goods (ARTG) | Therapeutic Goods Administration (TGA)</w:t>
        </w:r>
      </w:hyperlink>
    </w:p>
  </w:footnote>
  <w:footnote w:id="27">
    <w:p w14:paraId="69D7F67A" w14:textId="221F928E" w:rsidR="00A958FF" w:rsidRDefault="00A958FF">
      <w:pPr>
        <w:pStyle w:val="FootnoteText"/>
      </w:pPr>
      <w:r>
        <w:rPr>
          <w:rStyle w:val="FootnoteReference"/>
        </w:rPr>
        <w:footnoteRef/>
      </w:r>
      <w:r>
        <w:t xml:space="preserve"> AusPAR for Prolia (denosumab)</w:t>
      </w:r>
      <w:r w:rsidRPr="00E77426">
        <w:rPr>
          <w:rFonts w:eastAsiaTheme="minorHAnsi" w:cstheme="minorBidi"/>
          <w:color w:val="auto"/>
          <w:sz w:val="22"/>
        </w:rPr>
        <w:t xml:space="preserve"> </w:t>
      </w:r>
      <w:hyperlink r:id="rId10" w:history="1">
        <w:r w:rsidRPr="00E77426">
          <w:rPr>
            <w:rStyle w:val="Hyperlink"/>
          </w:rPr>
          <w:t>AusPAR: Denosumab | Therapeutic Goods Administration (TGA)</w:t>
        </w:r>
      </w:hyperlink>
    </w:p>
  </w:footnote>
  <w:footnote w:id="28">
    <w:p w14:paraId="4DEE04B6" w14:textId="3818DD9C" w:rsidR="00A958FF" w:rsidRDefault="00A958FF">
      <w:pPr>
        <w:pStyle w:val="FootnoteText"/>
      </w:pPr>
      <w:r>
        <w:rPr>
          <w:rStyle w:val="FootnoteReference"/>
        </w:rPr>
        <w:footnoteRef/>
      </w:r>
      <w:r>
        <w:t xml:space="preserve"> AusPAR for Xgeva (denosumab) </w:t>
      </w:r>
      <w:hyperlink r:id="rId11" w:history="1">
        <w:r w:rsidRPr="003B7728">
          <w:rPr>
            <w:rStyle w:val="Hyperlink"/>
          </w:rPr>
          <w:t>AusPAR: Denosumab | Therapeutic Goods Administration (TGA)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A958FF" w:rsidRPr="00CB0550" w:rsidRDefault="00A958FF"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958FF" w:rsidRPr="002B29B2" w14:paraId="3E15C3BC" w14:textId="77777777" w:rsidTr="007452E8">
      <w:trPr>
        <w:trHeight w:hRule="exact" w:val="8845"/>
      </w:trPr>
      <w:tc>
        <w:tcPr>
          <w:tcW w:w="11964" w:type="dxa"/>
          <w:vAlign w:val="center"/>
        </w:tcPr>
        <w:p w14:paraId="6FDE4BFB" w14:textId="77777777" w:rsidR="00A958FF" w:rsidRPr="002B29B2" w:rsidRDefault="007872A2" w:rsidP="007452E8">
          <w:pPr>
            <w:ind w:left="-57"/>
            <w:rPr>
              <w:noProof/>
            </w:rPr>
          </w:pPr>
          <w:sdt>
            <w:sdtPr>
              <w:rPr>
                <w:noProof/>
              </w:rPr>
              <w:id w:val="1926993388"/>
              <w:showingPlcHdr/>
              <w:picture/>
            </w:sdtPr>
            <w:sdtEndPr/>
            <w:sdtContent>
              <w:r w:rsidR="00A958FF" w:rsidRPr="00F71E1E">
                <w:rPr>
                  <w:noProof/>
                  <w:lang w:val="en-IN" w:eastAsia="en-IN"/>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A958FF" w:rsidRDefault="00A958FF" w:rsidP="007452E8">
    <w:pPr>
      <w:rPr>
        <w:noProof/>
      </w:rPr>
    </w:pPr>
    <w:r>
      <w:rPr>
        <w:noProof/>
        <w:lang w:val="en-IN" w:eastAsia="en-IN"/>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Pr="002B29B2">
      <w:rPr>
        <w:noProof/>
        <w:lang w:val="en-IN" w:eastAsia="en-IN"/>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A958FF" w:rsidRDefault="00A958FF"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A958FF" w:rsidRPr="00FE501F" w:rsidRDefault="00A958FF"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349E5FA3"/>
    <w:multiLevelType w:val="hybridMultilevel"/>
    <w:tmpl w:val="8222C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9B6B01"/>
    <w:multiLevelType w:val="hybridMultilevel"/>
    <w:tmpl w:val="B9940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2976" w:firstLine="0"/>
      </w:pPr>
      <w:rPr>
        <w:rFonts w:hint="default"/>
      </w:rPr>
    </w:lvl>
    <w:lvl w:ilvl="3">
      <w:start w:val="1"/>
      <w:numFmt w:val="decimal"/>
      <w:pStyle w:val="Heading4Agency"/>
      <w:isLgl/>
      <w:suff w:val="space"/>
      <w:lvlText w:val="%1.%2.%3.%4. "/>
      <w:lvlJc w:val="left"/>
      <w:pPr>
        <w:ind w:left="326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3"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4" w15:restartNumberingAfterBreak="0">
    <w:nsid w:val="6CF41AAC"/>
    <w:multiLevelType w:val="hybridMultilevel"/>
    <w:tmpl w:val="F68CF750"/>
    <w:lvl w:ilvl="0" w:tplc="26943DD6">
      <w:start w:val="1"/>
      <w:numFmt w:val="bullet"/>
      <w:lvlText w:val=""/>
      <w:lvlJc w:val="left"/>
      <w:pPr>
        <w:ind w:left="861" w:hanging="360"/>
      </w:pPr>
      <w:rPr>
        <w:rFonts w:ascii="Symbol" w:hAnsi="Symbol" w:hint="default"/>
      </w:rPr>
    </w:lvl>
    <w:lvl w:ilvl="1" w:tplc="BE322582">
      <w:start w:val="1"/>
      <w:numFmt w:val="bullet"/>
      <w:lvlText w:val="o"/>
      <w:lvlJc w:val="left"/>
      <w:pPr>
        <w:ind w:left="1581" w:hanging="360"/>
      </w:pPr>
      <w:rPr>
        <w:rFonts w:ascii="Courier New" w:hAnsi="Courier New" w:cs="Courier New" w:hint="default"/>
      </w:rPr>
    </w:lvl>
    <w:lvl w:ilvl="2" w:tplc="485C4F62">
      <w:start w:val="1"/>
      <w:numFmt w:val="bullet"/>
      <w:lvlText w:val=""/>
      <w:lvlJc w:val="left"/>
      <w:pPr>
        <w:ind w:left="2301" w:hanging="360"/>
      </w:pPr>
      <w:rPr>
        <w:rFonts w:ascii="Wingdings" w:hAnsi="Wingdings" w:hint="default"/>
      </w:rPr>
    </w:lvl>
    <w:lvl w:ilvl="3" w:tplc="CE16D56E">
      <w:start w:val="1"/>
      <w:numFmt w:val="bullet"/>
      <w:lvlText w:val=""/>
      <w:lvlJc w:val="left"/>
      <w:pPr>
        <w:ind w:left="3021" w:hanging="360"/>
      </w:pPr>
      <w:rPr>
        <w:rFonts w:ascii="Symbol" w:hAnsi="Symbol" w:hint="default"/>
      </w:rPr>
    </w:lvl>
    <w:lvl w:ilvl="4" w:tplc="5B5A0288">
      <w:start w:val="1"/>
      <w:numFmt w:val="bullet"/>
      <w:lvlText w:val="o"/>
      <w:lvlJc w:val="left"/>
      <w:pPr>
        <w:ind w:left="3741" w:hanging="360"/>
      </w:pPr>
      <w:rPr>
        <w:rFonts w:ascii="Courier New" w:hAnsi="Courier New" w:cs="Courier New" w:hint="default"/>
      </w:rPr>
    </w:lvl>
    <w:lvl w:ilvl="5" w:tplc="5CC8C208">
      <w:start w:val="1"/>
      <w:numFmt w:val="bullet"/>
      <w:lvlText w:val=""/>
      <w:lvlJc w:val="left"/>
      <w:pPr>
        <w:ind w:left="4461" w:hanging="360"/>
      </w:pPr>
      <w:rPr>
        <w:rFonts w:ascii="Wingdings" w:hAnsi="Wingdings" w:hint="default"/>
      </w:rPr>
    </w:lvl>
    <w:lvl w:ilvl="6" w:tplc="558C5EE2">
      <w:start w:val="1"/>
      <w:numFmt w:val="bullet"/>
      <w:lvlText w:val=""/>
      <w:lvlJc w:val="left"/>
      <w:pPr>
        <w:ind w:left="5181" w:hanging="360"/>
      </w:pPr>
      <w:rPr>
        <w:rFonts w:ascii="Symbol" w:hAnsi="Symbol" w:hint="default"/>
      </w:rPr>
    </w:lvl>
    <w:lvl w:ilvl="7" w:tplc="60C0FFF6">
      <w:start w:val="1"/>
      <w:numFmt w:val="bullet"/>
      <w:lvlText w:val="o"/>
      <w:lvlJc w:val="left"/>
      <w:pPr>
        <w:ind w:left="5901" w:hanging="360"/>
      </w:pPr>
      <w:rPr>
        <w:rFonts w:ascii="Courier New" w:hAnsi="Courier New" w:cs="Courier New" w:hint="default"/>
      </w:rPr>
    </w:lvl>
    <w:lvl w:ilvl="8" w:tplc="3BEC376A">
      <w:start w:val="1"/>
      <w:numFmt w:val="bullet"/>
      <w:lvlText w:val=""/>
      <w:lvlJc w:val="left"/>
      <w:pPr>
        <w:ind w:left="6621" w:hanging="360"/>
      </w:pPr>
      <w:rPr>
        <w:rFonts w:ascii="Wingdings" w:hAnsi="Wingdings" w:hint="default"/>
      </w:rPr>
    </w:lvl>
  </w:abstractNum>
  <w:abstractNum w:abstractNumId="15"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95057567">
    <w:abstractNumId w:val="3"/>
  </w:num>
  <w:num w:numId="2" w16cid:durableId="1315639814">
    <w:abstractNumId w:val="0"/>
  </w:num>
  <w:num w:numId="3" w16cid:durableId="1881630372">
    <w:abstractNumId w:val="2"/>
  </w:num>
  <w:num w:numId="4" w16cid:durableId="69891397">
    <w:abstractNumId w:val="11"/>
  </w:num>
  <w:num w:numId="5" w16cid:durableId="1853951060">
    <w:abstractNumId w:val="5"/>
  </w:num>
  <w:num w:numId="6" w16cid:durableId="886186953">
    <w:abstractNumId w:val="9"/>
  </w:num>
  <w:num w:numId="7" w16cid:durableId="1481385638">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456265880">
    <w:abstractNumId w:val="10"/>
  </w:num>
  <w:num w:numId="9" w16cid:durableId="1349405423">
    <w:abstractNumId w:val="1"/>
  </w:num>
  <w:num w:numId="10" w16cid:durableId="2146270033">
    <w:abstractNumId w:val="4"/>
  </w:num>
  <w:num w:numId="11" w16cid:durableId="1605965885">
    <w:abstractNumId w:val="8"/>
  </w:num>
  <w:num w:numId="12" w16cid:durableId="2114469658">
    <w:abstractNumId w:val="13"/>
  </w:num>
  <w:num w:numId="13" w16cid:durableId="824592266">
    <w:abstractNumId w:val="15"/>
  </w:num>
  <w:num w:numId="14" w16cid:durableId="2083216809">
    <w:abstractNumId w:val="6"/>
  </w:num>
  <w:num w:numId="15" w16cid:durableId="1284381039">
    <w:abstractNumId w:val="7"/>
  </w:num>
  <w:num w:numId="16" w16cid:durableId="1524199366">
    <w:abstractNumId w:val="12"/>
  </w:num>
  <w:num w:numId="17" w16cid:durableId="494884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B13"/>
    <w:rsid w:val="00000E6E"/>
    <w:rsid w:val="00002E43"/>
    <w:rsid w:val="00004114"/>
    <w:rsid w:val="00004431"/>
    <w:rsid w:val="00005062"/>
    <w:rsid w:val="00005DFC"/>
    <w:rsid w:val="00005E55"/>
    <w:rsid w:val="0001064C"/>
    <w:rsid w:val="0001384A"/>
    <w:rsid w:val="000160A0"/>
    <w:rsid w:val="00021C13"/>
    <w:rsid w:val="000275CD"/>
    <w:rsid w:val="00027BBD"/>
    <w:rsid w:val="00032A0F"/>
    <w:rsid w:val="00040C13"/>
    <w:rsid w:val="00040D8D"/>
    <w:rsid w:val="00042414"/>
    <w:rsid w:val="00046423"/>
    <w:rsid w:val="000477F5"/>
    <w:rsid w:val="0005067C"/>
    <w:rsid w:val="00051586"/>
    <w:rsid w:val="00051C34"/>
    <w:rsid w:val="0006104E"/>
    <w:rsid w:val="000640BD"/>
    <w:rsid w:val="00065839"/>
    <w:rsid w:val="00065FDF"/>
    <w:rsid w:val="0006693A"/>
    <w:rsid w:val="00071E84"/>
    <w:rsid w:val="00074AD9"/>
    <w:rsid w:val="00077844"/>
    <w:rsid w:val="0008281A"/>
    <w:rsid w:val="00083763"/>
    <w:rsid w:val="00086158"/>
    <w:rsid w:val="00086A43"/>
    <w:rsid w:val="00090510"/>
    <w:rsid w:val="000917AE"/>
    <w:rsid w:val="0009273B"/>
    <w:rsid w:val="00094B81"/>
    <w:rsid w:val="00095C6A"/>
    <w:rsid w:val="000975AA"/>
    <w:rsid w:val="000B119F"/>
    <w:rsid w:val="000B1598"/>
    <w:rsid w:val="000B1915"/>
    <w:rsid w:val="000B260F"/>
    <w:rsid w:val="000B536D"/>
    <w:rsid w:val="000B6041"/>
    <w:rsid w:val="000B6B15"/>
    <w:rsid w:val="000B6C3F"/>
    <w:rsid w:val="000C23A0"/>
    <w:rsid w:val="000C25A7"/>
    <w:rsid w:val="000C5432"/>
    <w:rsid w:val="000C7953"/>
    <w:rsid w:val="000D78EC"/>
    <w:rsid w:val="000D7934"/>
    <w:rsid w:val="000E08FD"/>
    <w:rsid w:val="000E2434"/>
    <w:rsid w:val="000E2597"/>
    <w:rsid w:val="000E504E"/>
    <w:rsid w:val="000E6746"/>
    <w:rsid w:val="000F19A9"/>
    <w:rsid w:val="000F1E79"/>
    <w:rsid w:val="000F321A"/>
    <w:rsid w:val="000F506E"/>
    <w:rsid w:val="000F7B51"/>
    <w:rsid w:val="00101BEE"/>
    <w:rsid w:val="00101CE6"/>
    <w:rsid w:val="00101FA5"/>
    <w:rsid w:val="00101FB1"/>
    <w:rsid w:val="0010558A"/>
    <w:rsid w:val="001101FF"/>
    <w:rsid w:val="001105C0"/>
    <w:rsid w:val="00111989"/>
    <w:rsid w:val="00111A21"/>
    <w:rsid w:val="00113F9F"/>
    <w:rsid w:val="00114025"/>
    <w:rsid w:val="00121437"/>
    <w:rsid w:val="00123E14"/>
    <w:rsid w:val="0012473C"/>
    <w:rsid w:val="00127A74"/>
    <w:rsid w:val="00127ADD"/>
    <w:rsid w:val="0013132F"/>
    <w:rsid w:val="00131B1B"/>
    <w:rsid w:val="0013306D"/>
    <w:rsid w:val="00134154"/>
    <w:rsid w:val="0013528C"/>
    <w:rsid w:val="00140378"/>
    <w:rsid w:val="001442A2"/>
    <w:rsid w:val="00144EE8"/>
    <w:rsid w:val="001468CA"/>
    <w:rsid w:val="00147238"/>
    <w:rsid w:val="001500A8"/>
    <w:rsid w:val="00155D85"/>
    <w:rsid w:val="00156B00"/>
    <w:rsid w:val="00163858"/>
    <w:rsid w:val="00164B0A"/>
    <w:rsid w:val="00165D28"/>
    <w:rsid w:val="00166BEA"/>
    <w:rsid w:val="001678A6"/>
    <w:rsid w:val="0017005C"/>
    <w:rsid w:val="001744A6"/>
    <w:rsid w:val="00175492"/>
    <w:rsid w:val="0017599E"/>
    <w:rsid w:val="00175CD8"/>
    <w:rsid w:val="0017701F"/>
    <w:rsid w:val="00182BD8"/>
    <w:rsid w:val="00190838"/>
    <w:rsid w:val="00190853"/>
    <w:rsid w:val="001939AC"/>
    <w:rsid w:val="00194E40"/>
    <w:rsid w:val="00195B10"/>
    <w:rsid w:val="001A0280"/>
    <w:rsid w:val="001A2011"/>
    <w:rsid w:val="001A4C2E"/>
    <w:rsid w:val="001A538A"/>
    <w:rsid w:val="001A76F9"/>
    <w:rsid w:val="001B06FF"/>
    <w:rsid w:val="001B1703"/>
    <w:rsid w:val="001B18CE"/>
    <w:rsid w:val="001B30D7"/>
    <w:rsid w:val="001B3B45"/>
    <w:rsid w:val="001C1C2E"/>
    <w:rsid w:val="001C31A1"/>
    <w:rsid w:val="001C3399"/>
    <w:rsid w:val="001C3FA2"/>
    <w:rsid w:val="001C5EE2"/>
    <w:rsid w:val="001D0077"/>
    <w:rsid w:val="001E09E9"/>
    <w:rsid w:val="001E2CF6"/>
    <w:rsid w:val="001E407B"/>
    <w:rsid w:val="001E540E"/>
    <w:rsid w:val="001E7FC6"/>
    <w:rsid w:val="001F2412"/>
    <w:rsid w:val="001F2502"/>
    <w:rsid w:val="001F2E52"/>
    <w:rsid w:val="001F515B"/>
    <w:rsid w:val="001F70A5"/>
    <w:rsid w:val="0020235D"/>
    <w:rsid w:val="0020369B"/>
    <w:rsid w:val="002041DD"/>
    <w:rsid w:val="00204F9E"/>
    <w:rsid w:val="00207B4D"/>
    <w:rsid w:val="00210F9B"/>
    <w:rsid w:val="0021146D"/>
    <w:rsid w:val="002117B1"/>
    <w:rsid w:val="00217719"/>
    <w:rsid w:val="00217CCE"/>
    <w:rsid w:val="002203B1"/>
    <w:rsid w:val="0022156A"/>
    <w:rsid w:val="00221E21"/>
    <w:rsid w:val="00224AB8"/>
    <w:rsid w:val="00226F39"/>
    <w:rsid w:val="0022711E"/>
    <w:rsid w:val="00227CC6"/>
    <w:rsid w:val="002334AD"/>
    <w:rsid w:val="0023547D"/>
    <w:rsid w:val="00241B60"/>
    <w:rsid w:val="00246B3B"/>
    <w:rsid w:val="00252B2C"/>
    <w:rsid w:val="00253D64"/>
    <w:rsid w:val="00254F85"/>
    <w:rsid w:val="002550D4"/>
    <w:rsid w:val="0025580B"/>
    <w:rsid w:val="0025785B"/>
    <w:rsid w:val="00257969"/>
    <w:rsid w:val="00265CD1"/>
    <w:rsid w:val="00265D07"/>
    <w:rsid w:val="002671D2"/>
    <w:rsid w:val="002712B0"/>
    <w:rsid w:val="00274DC9"/>
    <w:rsid w:val="00277D21"/>
    <w:rsid w:val="00280048"/>
    <w:rsid w:val="0028403E"/>
    <w:rsid w:val="00284594"/>
    <w:rsid w:val="0028489E"/>
    <w:rsid w:val="002848DE"/>
    <w:rsid w:val="0028794E"/>
    <w:rsid w:val="0029244D"/>
    <w:rsid w:val="002928CA"/>
    <w:rsid w:val="002936DF"/>
    <w:rsid w:val="002945C7"/>
    <w:rsid w:val="0029733B"/>
    <w:rsid w:val="002A3DFE"/>
    <w:rsid w:val="002A5841"/>
    <w:rsid w:val="002A70B2"/>
    <w:rsid w:val="002B157B"/>
    <w:rsid w:val="002B1EDF"/>
    <w:rsid w:val="002B2061"/>
    <w:rsid w:val="002B23F6"/>
    <w:rsid w:val="002B33C3"/>
    <w:rsid w:val="002B6728"/>
    <w:rsid w:val="002C0CDE"/>
    <w:rsid w:val="002C1232"/>
    <w:rsid w:val="002C1E44"/>
    <w:rsid w:val="002C3BF3"/>
    <w:rsid w:val="002C5C92"/>
    <w:rsid w:val="002C5E29"/>
    <w:rsid w:val="002C64A2"/>
    <w:rsid w:val="002D0478"/>
    <w:rsid w:val="002D4F28"/>
    <w:rsid w:val="002D6904"/>
    <w:rsid w:val="002D7127"/>
    <w:rsid w:val="002D7833"/>
    <w:rsid w:val="002E2155"/>
    <w:rsid w:val="002E6849"/>
    <w:rsid w:val="002F599E"/>
    <w:rsid w:val="003008D8"/>
    <w:rsid w:val="003013FC"/>
    <w:rsid w:val="00301D9A"/>
    <w:rsid w:val="00303959"/>
    <w:rsid w:val="00304FDA"/>
    <w:rsid w:val="00306E72"/>
    <w:rsid w:val="00312AC3"/>
    <w:rsid w:val="00314430"/>
    <w:rsid w:val="003163BC"/>
    <w:rsid w:val="00317E6C"/>
    <w:rsid w:val="003212D9"/>
    <w:rsid w:val="0032351A"/>
    <w:rsid w:val="0032407C"/>
    <w:rsid w:val="00324B33"/>
    <w:rsid w:val="00324C01"/>
    <w:rsid w:val="0032642D"/>
    <w:rsid w:val="00327488"/>
    <w:rsid w:val="00336FE1"/>
    <w:rsid w:val="0033756A"/>
    <w:rsid w:val="00337BD8"/>
    <w:rsid w:val="003425D1"/>
    <w:rsid w:val="00342D56"/>
    <w:rsid w:val="003456E7"/>
    <w:rsid w:val="00346EC2"/>
    <w:rsid w:val="003477F9"/>
    <w:rsid w:val="0035444D"/>
    <w:rsid w:val="0035588B"/>
    <w:rsid w:val="00355BEF"/>
    <w:rsid w:val="00356D62"/>
    <w:rsid w:val="00360191"/>
    <w:rsid w:val="00363949"/>
    <w:rsid w:val="00363EE3"/>
    <w:rsid w:val="00365B80"/>
    <w:rsid w:val="003667E0"/>
    <w:rsid w:val="003669D9"/>
    <w:rsid w:val="003735F3"/>
    <w:rsid w:val="00374729"/>
    <w:rsid w:val="003813A9"/>
    <w:rsid w:val="00387298"/>
    <w:rsid w:val="00387984"/>
    <w:rsid w:val="00391210"/>
    <w:rsid w:val="00391F36"/>
    <w:rsid w:val="00392FE7"/>
    <w:rsid w:val="00395140"/>
    <w:rsid w:val="003A2422"/>
    <w:rsid w:val="003A2645"/>
    <w:rsid w:val="003B149C"/>
    <w:rsid w:val="003B30BE"/>
    <w:rsid w:val="003B33FD"/>
    <w:rsid w:val="003B7728"/>
    <w:rsid w:val="003C0FDB"/>
    <w:rsid w:val="003C1192"/>
    <w:rsid w:val="003C2DE2"/>
    <w:rsid w:val="003C55E2"/>
    <w:rsid w:val="003C63D5"/>
    <w:rsid w:val="003C7AA8"/>
    <w:rsid w:val="003D6D66"/>
    <w:rsid w:val="003D71A1"/>
    <w:rsid w:val="003E0C75"/>
    <w:rsid w:val="003E5345"/>
    <w:rsid w:val="003E73C2"/>
    <w:rsid w:val="003F314C"/>
    <w:rsid w:val="003F60C4"/>
    <w:rsid w:val="004050D6"/>
    <w:rsid w:val="004122DB"/>
    <w:rsid w:val="0041688F"/>
    <w:rsid w:val="0041779D"/>
    <w:rsid w:val="0042376F"/>
    <w:rsid w:val="004246B8"/>
    <w:rsid w:val="004248F1"/>
    <w:rsid w:val="00425995"/>
    <w:rsid w:val="00432543"/>
    <w:rsid w:val="00433318"/>
    <w:rsid w:val="00437E8A"/>
    <w:rsid w:val="004411D9"/>
    <w:rsid w:val="004427D8"/>
    <w:rsid w:val="00442A56"/>
    <w:rsid w:val="00443C8B"/>
    <w:rsid w:val="004444B0"/>
    <w:rsid w:val="0045060B"/>
    <w:rsid w:val="00453488"/>
    <w:rsid w:val="004609A9"/>
    <w:rsid w:val="004626FF"/>
    <w:rsid w:val="0046285C"/>
    <w:rsid w:val="00462BA9"/>
    <w:rsid w:val="00470A52"/>
    <w:rsid w:val="00471BD5"/>
    <w:rsid w:val="00474ECF"/>
    <w:rsid w:val="0047519C"/>
    <w:rsid w:val="00477C4E"/>
    <w:rsid w:val="00477F07"/>
    <w:rsid w:val="00481503"/>
    <w:rsid w:val="00481D12"/>
    <w:rsid w:val="00483FB8"/>
    <w:rsid w:val="004844C3"/>
    <w:rsid w:val="004854A6"/>
    <w:rsid w:val="00490004"/>
    <w:rsid w:val="00491A55"/>
    <w:rsid w:val="00491BBB"/>
    <w:rsid w:val="00494C3E"/>
    <w:rsid w:val="00497DF1"/>
    <w:rsid w:val="004A2C9A"/>
    <w:rsid w:val="004A2F26"/>
    <w:rsid w:val="004A318E"/>
    <w:rsid w:val="004A45D4"/>
    <w:rsid w:val="004A4DAD"/>
    <w:rsid w:val="004A57E8"/>
    <w:rsid w:val="004A7FBD"/>
    <w:rsid w:val="004B3081"/>
    <w:rsid w:val="004B4A09"/>
    <w:rsid w:val="004C1C64"/>
    <w:rsid w:val="004C41CE"/>
    <w:rsid w:val="004C631B"/>
    <w:rsid w:val="004C7DE8"/>
    <w:rsid w:val="004D0933"/>
    <w:rsid w:val="004D2F00"/>
    <w:rsid w:val="004D31D8"/>
    <w:rsid w:val="004D35D1"/>
    <w:rsid w:val="004D4AD5"/>
    <w:rsid w:val="004D5388"/>
    <w:rsid w:val="004E5751"/>
    <w:rsid w:val="004E7F16"/>
    <w:rsid w:val="004F0416"/>
    <w:rsid w:val="004F18EC"/>
    <w:rsid w:val="004F203B"/>
    <w:rsid w:val="004F234A"/>
    <w:rsid w:val="004F343B"/>
    <w:rsid w:val="004F7881"/>
    <w:rsid w:val="00500D68"/>
    <w:rsid w:val="0050594C"/>
    <w:rsid w:val="00506AD3"/>
    <w:rsid w:val="0050797F"/>
    <w:rsid w:val="00507FB3"/>
    <w:rsid w:val="00510BB2"/>
    <w:rsid w:val="00512EBC"/>
    <w:rsid w:val="005138F4"/>
    <w:rsid w:val="0051393C"/>
    <w:rsid w:val="005202D3"/>
    <w:rsid w:val="005240DB"/>
    <w:rsid w:val="00530D88"/>
    <w:rsid w:val="0053377D"/>
    <w:rsid w:val="00535DFE"/>
    <w:rsid w:val="0053709D"/>
    <w:rsid w:val="005373B5"/>
    <w:rsid w:val="00537AB7"/>
    <w:rsid w:val="00537B9C"/>
    <w:rsid w:val="005422DE"/>
    <w:rsid w:val="00542DD9"/>
    <w:rsid w:val="00546598"/>
    <w:rsid w:val="0054669B"/>
    <w:rsid w:val="00546A5B"/>
    <w:rsid w:val="00557364"/>
    <w:rsid w:val="00557684"/>
    <w:rsid w:val="00560EC1"/>
    <w:rsid w:val="005610D1"/>
    <w:rsid w:val="005621F0"/>
    <w:rsid w:val="00562F42"/>
    <w:rsid w:val="00565739"/>
    <w:rsid w:val="00565900"/>
    <w:rsid w:val="0056595C"/>
    <w:rsid w:val="0056766D"/>
    <w:rsid w:val="00570FEA"/>
    <w:rsid w:val="00575215"/>
    <w:rsid w:val="005775D0"/>
    <w:rsid w:val="00581138"/>
    <w:rsid w:val="00583D41"/>
    <w:rsid w:val="00584650"/>
    <w:rsid w:val="0058487F"/>
    <w:rsid w:val="0058575E"/>
    <w:rsid w:val="0058783C"/>
    <w:rsid w:val="005911AE"/>
    <w:rsid w:val="005926E2"/>
    <w:rsid w:val="00592970"/>
    <w:rsid w:val="0059313A"/>
    <w:rsid w:val="00595E8E"/>
    <w:rsid w:val="00596498"/>
    <w:rsid w:val="005A0F01"/>
    <w:rsid w:val="005A1882"/>
    <w:rsid w:val="005A37F6"/>
    <w:rsid w:val="005A4161"/>
    <w:rsid w:val="005A54EA"/>
    <w:rsid w:val="005B023F"/>
    <w:rsid w:val="005B02A2"/>
    <w:rsid w:val="005B1417"/>
    <w:rsid w:val="005B36CC"/>
    <w:rsid w:val="005B4054"/>
    <w:rsid w:val="005B5BEC"/>
    <w:rsid w:val="005B69CF"/>
    <w:rsid w:val="005B6F7F"/>
    <w:rsid w:val="005C3F07"/>
    <w:rsid w:val="005C4B46"/>
    <w:rsid w:val="005C59A5"/>
    <w:rsid w:val="005C5DC5"/>
    <w:rsid w:val="005D0E1E"/>
    <w:rsid w:val="005D2089"/>
    <w:rsid w:val="005D7514"/>
    <w:rsid w:val="005E0FC6"/>
    <w:rsid w:val="005E1A7B"/>
    <w:rsid w:val="005E231F"/>
    <w:rsid w:val="005E4AEF"/>
    <w:rsid w:val="005E5382"/>
    <w:rsid w:val="005F3821"/>
    <w:rsid w:val="00602D6E"/>
    <w:rsid w:val="00603F15"/>
    <w:rsid w:val="00603F2F"/>
    <w:rsid w:val="00604036"/>
    <w:rsid w:val="00605C05"/>
    <w:rsid w:val="00610F87"/>
    <w:rsid w:val="00611351"/>
    <w:rsid w:val="0061217D"/>
    <w:rsid w:val="006129AE"/>
    <w:rsid w:val="00616AAA"/>
    <w:rsid w:val="00622601"/>
    <w:rsid w:val="00626059"/>
    <w:rsid w:val="006277A1"/>
    <w:rsid w:val="00633BD7"/>
    <w:rsid w:val="00634580"/>
    <w:rsid w:val="00634884"/>
    <w:rsid w:val="006351D9"/>
    <w:rsid w:val="00637130"/>
    <w:rsid w:val="00637F0E"/>
    <w:rsid w:val="006423F2"/>
    <w:rsid w:val="006428C5"/>
    <w:rsid w:val="00650234"/>
    <w:rsid w:val="00650319"/>
    <w:rsid w:val="00650CB2"/>
    <w:rsid w:val="00654D42"/>
    <w:rsid w:val="0066044B"/>
    <w:rsid w:val="006630AA"/>
    <w:rsid w:val="00663544"/>
    <w:rsid w:val="00664F3D"/>
    <w:rsid w:val="00666539"/>
    <w:rsid w:val="00666911"/>
    <w:rsid w:val="00675F81"/>
    <w:rsid w:val="0068143E"/>
    <w:rsid w:val="0068507D"/>
    <w:rsid w:val="00686C83"/>
    <w:rsid w:val="00691AF2"/>
    <w:rsid w:val="00691D1B"/>
    <w:rsid w:val="00691E27"/>
    <w:rsid w:val="00692B80"/>
    <w:rsid w:val="00692CCD"/>
    <w:rsid w:val="00692D51"/>
    <w:rsid w:val="00694DD7"/>
    <w:rsid w:val="0069636B"/>
    <w:rsid w:val="006A1762"/>
    <w:rsid w:val="006A19CE"/>
    <w:rsid w:val="006A1F0B"/>
    <w:rsid w:val="006A277A"/>
    <w:rsid w:val="006A2F9D"/>
    <w:rsid w:val="006A5973"/>
    <w:rsid w:val="006B04F3"/>
    <w:rsid w:val="006B5710"/>
    <w:rsid w:val="006B5E64"/>
    <w:rsid w:val="006B7126"/>
    <w:rsid w:val="006B716B"/>
    <w:rsid w:val="006C2D1A"/>
    <w:rsid w:val="006C6B86"/>
    <w:rsid w:val="006C7BA5"/>
    <w:rsid w:val="006D1488"/>
    <w:rsid w:val="006D4553"/>
    <w:rsid w:val="006D4A35"/>
    <w:rsid w:val="006D54A5"/>
    <w:rsid w:val="006D6B44"/>
    <w:rsid w:val="006E0F71"/>
    <w:rsid w:val="006E27FE"/>
    <w:rsid w:val="006E4680"/>
    <w:rsid w:val="00701110"/>
    <w:rsid w:val="00701DBB"/>
    <w:rsid w:val="00702E91"/>
    <w:rsid w:val="0070330F"/>
    <w:rsid w:val="00703624"/>
    <w:rsid w:val="007046ED"/>
    <w:rsid w:val="0070541F"/>
    <w:rsid w:val="007058AA"/>
    <w:rsid w:val="00706F9D"/>
    <w:rsid w:val="007072A1"/>
    <w:rsid w:val="0071060C"/>
    <w:rsid w:val="00710BC5"/>
    <w:rsid w:val="007121CA"/>
    <w:rsid w:val="00713A98"/>
    <w:rsid w:val="00715480"/>
    <w:rsid w:val="0072003B"/>
    <w:rsid w:val="00721059"/>
    <w:rsid w:val="007211E6"/>
    <w:rsid w:val="007220C4"/>
    <w:rsid w:val="00722AF4"/>
    <w:rsid w:val="007305ED"/>
    <w:rsid w:val="007311B9"/>
    <w:rsid w:val="00732361"/>
    <w:rsid w:val="007357B9"/>
    <w:rsid w:val="00736FBC"/>
    <w:rsid w:val="00737976"/>
    <w:rsid w:val="00741AB9"/>
    <w:rsid w:val="00742D03"/>
    <w:rsid w:val="00744216"/>
    <w:rsid w:val="007452E8"/>
    <w:rsid w:val="007464C3"/>
    <w:rsid w:val="007467BD"/>
    <w:rsid w:val="00746990"/>
    <w:rsid w:val="00747093"/>
    <w:rsid w:val="00750D70"/>
    <w:rsid w:val="007571EB"/>
    <w:rsid w:val="007575D0"/>
    <w:rsid w:val="00757D2C"/>
    <w:rsid w:val="00763A22"/>
    <w:rsid w:val="007662E0"/>
    <w:rsid w:val="00776478"/>
    <w:rsid w:val="00776E9C"/>
    <w:rsid w:val="00780BA5"/>
    <w:rsid w:val="007816D8"/>
    <w:rsid w:val="007839E4"/>
    <w:rsid w:val="00784150"/>
    <w:rsid w:val="00793272"/>
    <w:rsid w:val="0079499A"/>
    <w:rsid w:val="00794B64"/>
    <w:rsid w:val="007959BF"/>
    <w:rsid w:val="007967C3"/>
    <w:rsid w:val="007A0A33"/>
    <w:rsid w:val="007A6A32"/>
    <w:rsid w:val="007B04DE"/>
    <w:rsid w:val="007B0AE6"/>
    <w:rsid w:val="007B0EC2"/>
    <w:rsid w:val="007B2B84"/>
    <w:rsid w:val="007C0F0B"/>
    <w:rsid w:val="007C29CA"/>
    <w:rsid w:val="007C3015"/>
    <w:rsid w:val="007C360E"/>
    <w:rsid w:val="007C52F6"/>
    <w:rsid w:val="007C57BC"/>
    <w:rsid w:val="007D04CA"/>
    <w:rsid w:val="007D0A2B"/>
    <w:rsid w:val="007D12A1"/>
    <w:rsid w:val="007D20EB"/>
    <w:rsid w:val="007D2561"/>
    <w:rsid w:val="007D382A"/>
    <w:rsid w:val="007D40E5"/>
    <w:rsid w:val="007D4138"/>
    <w:rsid w:val="007D5AEF"/>
    <w:rsid w:val="007E0593"/>
    <w:rsid w:val="007E240A"/>
    <w:rsid w:val="007E4178"/>
    <w:rsid w:val="007E51C0"/>
    <w:rsid w:val="007E6443"/>
    <w:rsid w:val="007F0A77"/>
    <w:rsid w:val="007F1E37"/>
    <w:rsid w:val="007F50D3"/>
    <w:rsid w:val="007F5E76"/>
    <w:rsid w:val="007F6B1F"/>
    <w:rsid w:val="008013F0"/>
    <w:rsid w:val="00803926"/>
    <w:rsid w:val="00804897"/>
    <w:rsid w:val="008057E9"/>
    <w:rsid w:val="00807924"/>
    <w:rsid w:val="008141CE"/>
    <w:rsid w:val="008154D6"/>
    <w:rsid w:val="0081648C"/>
    <w:rsid w:val="008208D6"/>
    <w:rsid w:val="00821CD0"/>
    <w:rsid w:val="008237BF"/>
    <w:rsid w:val="00823B95"/>
    <w:rsid w:val="00830789"/>
    <w:rsid w:val="008312BE"/>
    <w:rsid w:val="008329DB"/>
    <w:rsid w:val="00832D5F"/>
    <w:rsid w:val="008361C5"/>
    <w:rsid w:val="0083628F"/>
    <w:rsid w:val="00837AB9"/>
    <w:rsid w:val="00843953"/>
    <w:rsid w:val="00846446"/>
    <w:rsid w:val="00846617"/>
    <w:rsid w:val="00850637"/>
    <w:rsid w:val="0085063C"/>
    <w:rsid w:val="0085250A"/>
    <w:rsid w:val="00854D98"/>
    <w:rsid w:val="00855373"/>
    <w:rsid w:val="0085751E"/>
    <w:rsid w:val="00857A23"/>
    <w:rsid w:val="00860B29"/>
    <w:rsid w:val="00862098"/>
    <w:rsid w:val="008622E8"/>
    <w:rsid w:val="0086455B"/>
    <w:rsid w:val="008645EE"/>
    <w:rsid w:val="008656C1"/>
    <w:rsid w:val="008669A4"/>
    <w:rsid w:val="00870144"/>
    <w:rsid w:val="008706A6"/>
    <w:rsid w:val="0087072C"/>
    <w:rsid w:val="00871312"/>
    <w:rsid w:val="0087329B"/>
    <w:rsid w:val="00873D7A"/>
    <w:rsid w:val="008747AC"/>
    <w:rsid w:val="008748CA"/>
    <w:rsid w:val="00874F64"/>
    <w:rsid w:val="00876213"/>
    <w:rsid w:val="00877CB3"/>
    <w:rsid w:val="008804CF"/>
    <w:rsid w:val="00882D58"/>
    <w:rsid w:val="00882F19"/>
    <w:rsid w:val="00883D35"/>
    <w:rsid w:val="00884569"/>
    <w:rsid w:val="00887A51"/>
    <w:rsid w:val="0089038A"/>
    <w:rsid w:val="008904BF"/>
    <w:rsid w:val="00890D9B"/>
    <w:rsid w:val="00891C6C"/>
    <w:rsid w:val="00893CCD"/>
    <w:rsid w:val="008960F4"/>
    <w:rsid w:val="008964B3"/>
    <w:rsid w:val="008B1CB5"/>
    <w:rsid w:val="008B54FD"/>
    <w:rsid w:val="008B741D"/>
    <w:rsid w:val="008B7D8C"/>
    <w:rsid w:val="008C01C5"/>
    <w:rsid w:val="008C0959"/>
    <w:rsid w:val="008C1C4C"/>
    <w:rsid w:val="008C2D69"/>
    <w:rsid w:val="008C2F8C"/>
    <w:rsid w:val="008C4579"/>
    <w:rsid w:val="008C49C6"/>
    <w:rsid w:val="008C754C"/>
    <w:rsid w:val="008D5596"/>
    <w:rsid w:val="008D56C9"/>
    <w:rsid w:val="008D56CA"/>
    <w:rsid w:val="008D6A54"/>
    <w:rsid w:val="008D7D2A"/>
    <w:rsid w:val="008E2585"/>
    <w:rsid w:val="008E2D7A"/>
    <w:rsid w:val="008F2D8B"/>
    <w:rsid w:val="008F3215"/>
    <w:rsid w:val="008F4A62"/>
    <w:rsid w:val="008F5B63"/>
    <w:rsid w:val="008F7256"/>
    <w:rsid w:val="0090315F"/>
    <w:rsid w:val="0090424C"/>
    <w:rsid w:val="0090605E"/>
    <w:rsid w:val="00906C74"/>
    <w:rsid w:val="00907F3D"/>
    <w:rsid w:val="009108CE"/>
    <w:rsid w:val="00914B4E"/>
    <w:rsid w:val="00915A9F"/>
    <w:rsid w:val="009213C1"/>
    <w:rsid w:val="009244CC"/>
    <w:rsid w:val="009260C5"/>
    <w:rsid w:val="00927CC2"/>
    <w:rsid w:val="00930D58"/>
    <w:rsid w:val="0093260B"/>
    <w:rsid w:val="00934033"/>
    <w:rsid w:val="00935AAA"/>
    <w:rsid w:val="00941F12"/>
    <w:rsid w:val="00946126"/>
    <w:rsid w:val="0095031E"/>
    <w:rsid w:val="00954297"/>
    <w:rsid w:val="00954FE3"/>
    <w:rsid w:val="00960A56"/>
    <w:rsid w:val="00961F35"/>
    <w:rsid w:val="00964966"/>
    <w:rsid w:val="00966EF1"/>
    <w:rsid w:val="00967223"/>
    <w:rsid w:val="0097074D"/>
    <w:rsid w:val="009750B5"/>
    <w:rsid w:val="009751F7"/>
    <w:rsid w:val="0098168B"/>
    <w:rsid w:val="0098350E"/>
    <w:rsid w:val="00990C12"/>
    <w:rsid w:val="0099404F"/>
    <w:rsid w:val="00995146"/>
    <w:rsid w:val="00996FA5"/>
    <w:rsid w:val="009A2CC6"/>
    <w:rsid w:val="009A6D8F"/>
    <w:rsid w:val="009B0F39"/>
    <w:rsid w:val="009B5662"/>
    <w:rsid w:val="009B6299"/>
    <w:rsid w:val="009C0C60"/>
    <w:rsid w:val="009C2211"/>
    <w:rsid w:val="009C40E8"/>
    <w:rsid w:val="009C45C5"/>
    <w:rsid w:val="009C524B"/>
    <w:rsid w:val="009C5D4C"/>
    <w:rsid w:val="009C65B0"/>
    <w:rsid w:val="009D0507"/>
    <w:rsid w:val="009D1C93"/>
    <w:rsid w:val="009D1D98"/>
    <w:rsid w:val="009D3717"/>
    <w:rsid w:val="009D55A0"/>
    <w:rsid w:val="009E6858"/>
    <w:rsid w:val="009E6F8C"/>
    <w:rsid w:val="009F405F"/>
    <w:rsid w:val="009F5BBE"/>
    <w:rsid w:val="009F689D"/>
    <w:rsid w:val="00A00A56"/>
    <w:rsid w:val="00A01C56"/>
    <w:rsid w:val="00A04B48"/>
    <w:rsid w:val="00A12A66"/>
    <w:rsid w:val="00A148C7"/>
    <w:rsid w:val="00A1570C"/>
    <w:rsid w:val="00A15D00"/>
    <w:rsid w:val="00A16E5E"/>
    <w:rsid w:val="00A2376F"/>
    <w:rsid w:val="00A24DC1"/>
    <w:rsid w:val="00A25ED9"/>
    <w:rsid w:val="00A31626"/>
    <w:rsid w:val="00A32C50"/>
    <w:rsid w:val="00A358E7"/>
    <w:rsid w:val="00A37D9F"/>
    <w:rsid w:val="00A410CA"/>
    <w:rsid w:val="00A4380B"/>
    <w:rsid w:val="00A4402F"/>
    <w:rsid w:val="00A45F10"/>
    <w:rsid w:val="00A51A2D"/>
    <w:rsid w:val="00A52124"/>
    <w:rsid w:val="00A54108"/>
    <w:rsid w:val="00A54A06"/>
    <w:rsid w:val="00A5596B"/>
    <w:rsid w:val="00A60570"/>
    <w:rsid w:val="00A63C07"/>
    <w:rsid w:val="00A63D9B"/>
    <w:rsid w:val="00A704DC"/>
    <w:rsid w:val="00A83D87"/>
    <w:rsid w:val="00A90987"/>
    <w:rsid w:val="00A93DC6"/>
    <w:rsid w:val="00A9411A"/>
    <w:rsid w:val="00A958FF"/>
    <w:rsid w:val="00A979F7"/>
    <w:rsid w:val="00AA4A4B"/>
    <w:rsid w:val="00AA6682"/>
    <w:rsid w:val="00AA7658"/>
    <w:rsid w:val="00AB0613"/>
    <w:rsid w:val="00AB0936"/>
    <w:rsid w:val="00AB2A07"/>
    <w:rsid w:val="00AB40C4"/>
    <w:rsid w:val="00AB7858"/>
    <w:rsid w:val="00AB7C5C"/>
    <w:rsid w:val="00AB7CBF"/>
    <w:rsid w:val="00AC05D2"/>
    <w:rsid w:val="00AC602D"/>
    <w:rsid w:val="00AD0111"/>
    <w:rsid w:val="00AD0B68"/>
    <w:rsid w:val="00AD20E0"/>
    <w:rsid w:val="00AD40C3"/>
    <w:rsid w:val="00AD4C72"/>
    <w:rsid w:val="00AD5451"/>
    <w:rsid w:val="00AE1947"/>
    <w:rsid w:val="00AF1C8B"/>
    <w:rsid w:val="00AF299B"/>
    <w:rsid w:val="00AF2FAF"/>
    <w:rsid w:val="00AF7E43"/>
    <w:rsid w:val="00B0009E"/>
    <w:rsid w:val="00B000F3"/>
    <w:rsid w:val="00B02AE0"/>
    <w:rsid w:val="00B03F25"/>
    <w:rsid w:val="00B05326"/>
    <w:rsid w:val="00B066D8"/>
    <w:rsid w:val="00B11717"/>
    <w:rsid w:val="00B14545"/>
    <w:rsid w:val="00B14E60"/>
    <w:rsid w:val="00B17BA2"/>
    <w:rsid w:val="00B26AD5"/>
    <w:rsid w:val="00B26DC3"/>
    <w:rsid w:val="00B30664"/>
    <w:rsid w:val="00B30B9D"/>
    <w:rsid w:val="00B32EB1"/>
    <w:rsid w:val="00B33673"/>
    <w:rsid w:val="00B33E83"/>
    <w:rsid w:val="00B35D99"/>
    <w:rsid w:val="00B415E6"/>
    <w:rsid w:val="00B420A1"/>
    <w:rsid w:val="00B4574D"/>
    <w:rsid w:val="00B46123"/>
    <w:rsid w:val="00B464CB"/>
    <w:rsid w:val="00B468E1"/>
    <w:rsid w:val="00B46BC0"/>
    <w:rsid w:val="00B46DFB"/>
    <w:rsid w:val="00B47631"/>
    <w:rsid w:val="00B5141B"/>
    <w:rsid w:val="00B54BA4"/>
    <w:rsid w:val="00B55681"/>
    <w:rsid w:val="00B56A6E"/>
    <w:rsid w:val="00B57AAD"/>
    <w:rsid w:val="00B6236A"/>
    <w:rsid w:val="00B6374E"/>
    <w:rsid w:val="00B63A6B"/>
    <w:rsid w:val="00B63D08"/>
    <w:rsid w:val="00B67088"/>
    <w:rsid w:val="00B72085"/>
    <w:rsid w:val="00B72B16"/>
    <w:rsid w:val="00B72C6A"/>
    <w:rsid w:val="00B7458B"/>
    <w:rsid w:val="00B7712D"/>
    <w:rsid w:val="00B80408"/>
    <w:rsid w:val="00B80A95"/>
    <w:rsid w:val="00B81397"/>
    <w:rsid w:val="00B83A17"/>
    <w:rsid w:val="00B90897"/>
    <w:rsid w:val="00B925DB"/>
    <w:rsid w:val="00B967FF"/>
    <w:rsid w:val="00B9738F"/>
    <w:rsid w:val="00B974B9"/>
    <w:rsid w:val="00BA2A5A"/>
    <w:rsid w:val="00BA3F6D"/>
    <w:rsid w:val="00BA4BE6"/>
    <w:rsid w:val="00BA4FC0"/>
    <w:rsid w:val="00BA546E"/>
    <w:rsid w:val="00BA61E0"/>
    <w:rsid w:val="00BA64A0"/>
    <w:rsid w:val="00BA657C"/>
    <w:rsid w:val="00BA7F7D"/>
    <w:rsid w:val="00BB1C14"/>
    <w:rsid w:val="00BB6847"/>
    <w:rsid w:val="00BB7F8F"/>
    <w:rsid w:val="00BC3E5A"/>
    <w:rsid w:val="00BC58FC"/>
    <w:rsid w:val="00BC716A"/>
    <w:rsid w:val="00BC7981"/>
    <w:rsid w:val="00BD07DF"/>
    <w:rsid w:val="00BD0942"/>
    <w:rsid w:val="00BD0ECE"/>
    <w:rsid w:val="00BD26F4"/>
    <w:rsid w:val="00BD411B"/>
    <w:rsid w:val="00BD5DBD"/>
    <w:rsid w:val="00BD5DF6"/>
    <w:rsid w:val="00BD70A5"/>
    <w:rsid w:val="00BE0041"/>
    <w:rsid w:val="00BE04AA"/>
    <w:rsid w:val="00BE3676"/>
    <w:rsid w:val="00BE640F"/>
    <w:rsid w:val="00BE6D2A"/>
    <w:rsid w:val="00BE73FA"/>
    <w:rsid w:val="00BF2A94"/>
    <w:rsid w:val="00BF4638"/>
    <w:rsid w:val="00BF4747"/>
    <w:rsid w:val="00BF5130"/>
    <w:rsid w:val="00C00844"/>
    <w:rsid w:val="00C00F8B"/>
    <w:rsid w:val="00C020C8"/>
    <w:rsid w:val="00C04349"/>
    <w:rsid w:val="00C055B1"/>
    <w:rsid w:val="00C059D0"/>
    <w:rsid w:val="00C0699A"/>
    <w:rsid w:val="00C07551"/>
    <w:rsid w:val="00C1109F"/>
    <w:rsid w:val="00C12D65"/>
    <w:rsid w:val="00C133AB"/>
    <w:rsid w:val="00C159BB"/>
    <w:rsid w:val="00C20B56"/>
    <w:rsid w:val="00C22214"/>
    <w:rsid w:val="00C22697"/>
    <w:rsid w:val="00C26F72"/>
    <w:rsid w:val="00C309A7"/>
    <w:rsid w:val="00C317D6"/>
    <w:rsid w:val="00C32314"/>
    <w:rsid w:val="00C33138"/>
    <w:rsid w:val="00C335AB"/>
    <w:rsid w:val="00C33DB2"/>
    <w:rsid w:val="00C407AB"/>
    <w:rsid w:val="00C52B7B"/>
    <w:rsid w:val="00C53DB6"/>
    <w:rsid w:val="00C547CD"/>
    <w:rsid w:val="00C570FF"/>
    <w:rsid w:val="00C57A2D"/>
    <w:rsid w:val="00C57CEA"/>
    <w:rsid w:val="00C60FEC"/>
    <w:rsid w:val="00C62B1C"/>
    <w:rsid w:val="00C62D0F"/>
    <w:rsid w:val="00C6574E"/>
    <w:rsid w:val="00C663D1"/>
    <w:rsid w:val="00C7064F"/>
    <w:rsid w:val="00C707FD"/>
    <w:rsid w:val="00C73252"/>
    <w:rsid w:val="00C76DEB"/>
    <w:rsid w:val="00C811D8"/>
    <w:rsid w:val="00C816C6"/>
    <w:rsid w:val="00C81E10"/>
    <w:rsid w:val="00C863A7"/>
    <w:rsid w:val="00C87ADC"/>
    <w:rsid w:val="00C912F4"/>
    <w:rsid w:val="00C9156F"/>
    <w:rsid w:val="00C9581A"/>
    <w:rsid w:val="00C95E4B"/>
    <w:rsid w:val="00C9613E"/>
    <w:rsid w:val="00C9629C"/>
    <w:rsid w:val="00C97D29"/>
    <w:rsid w:val="00CA314C"/>
    <w:rsid w:val="00CA47A6"/>
    <w:rsid w:val="00CA6152"/>
    <w:rsid w:val="00CB0550"/>
    <w:rsid w:val="00CB61EA"/>
    <w:rsid w:val="00CB6813"/>
    <w:rsid w:val="00CC28AC"/>
    <w:rsid w:val="00CC5AC7"/>
    <w:rsid w:val="00CD21A3"/>
    <w:rsid w:val="00CE177F"/>
    <w:rsid w:val="00CF30D6"/>
    <w:rsid w:val="00CF38DE"/>
    <w:rsid w:val="00CF6A55"/>
    <w:rsid w:val="00CF6DC6"/>
    <w:rsid w:val="00CF6DCF"/>
    <w:rsid w:val="00CF7D55"/>
    <w:rsid w:val="00D01DDB"/>
    <w:rsid w:val="00D046E9"/>
    <w:rsid w:val="00D076B8"/>
    <w:rsid w:val="00D078BE"/>
    <w:rsid w:val="00D11433"/>
    <w:rsid w:val="00D13F8A"/>
    <w:rsid w:val="00D16F60"/>
    <w:rsid w:val="00D20DD8"/>
    <w:rsid w:val="00D21E76"/>
    <w:rsid w:val="00D22981"/>
    <w:rsid w:val="00D25924"/>
    <w:rsid w:val="00D3349B"/>
    <w:rsid w:val="00D424A8"/>
    <w:rsid w:val="00D44EA3"/>
    <w:rsid w:val="00D54152"/>
    <w:rsid w:val="00D6036F"/>
    <w:rsid w:val="00D611F8"/>
    <w:rsid w:val="00D62877"/>
    <w:rsid w:val="00D634F8"/>
    <w:rsid w:val="00D63760"/>
    <w:rsid w:val="00D656DA"/>
    <w:rsid w:val="00D65CF2"/>
    <w:rsid w:val="00D6703F"/>
    <w:rsid w:val="00D7218D"/>
    <w:rsid w:val="00D734EB"/>
    <w:rsid w:val="00D75AF8"/>
    <w:rsid w:val="00D82713"/>
    <w:rsid w:val="00D86F00"/>
    <w:rsid w:val="00D918D5"/>
    <w:rsid w:val="00D9409C"/>
    <w:rsid w:val="00D94C8E"/>
    <w:rsid w:val="00DA49AF"/>
    <w:rsid w:val="00DB1372"/>
    <w:rsid w:val="00DB192C"/>
    <w:rsid w:val="00DB1CF3"/>
    <w:rsid w:val="00DB5425"/>
    <w:rsid w:val="00DB72A6"/>
    <w:rsid w:val="00DC05C3"/>
    <w:rsid w:val="00DC33AF"/>
    <w:rsid w:val="00DC60F5"/>
    <w:rsid w:val="00DC6611"/>
    <w:rsid w:val="00DD1498"/>
    <w:rsid w:val="00DD5AFB"/>
    <w:rsid w:val="00DE1344"/>
    <w:rsid w:val="00DF1CFD"/>
    <w:rsid w:val="00DF3AB3"/>
    <w:rsid w:val="00DF5BFE"/>
    <w:rsid w:val="00DF619C"/>
    <w:rsid w:val="00E03FEC"/>
    <w:rsid w:val="00E0523F"/>
    <w:rsid w:val="00E073D7"/>
    <w:rsid w:val="00E12080"/>
    <w:rsid w:val="00E13EE0"/>
    <w:rsid w:val="00E14184"/>
    <w:rsid w:val="00E174EC"/>
    <w:rsid w:val="00E21A75"/>
    <w:rsid w:val="00E21D54"/>
    <w:rsid w:val="00E22560"/>
    <w:rsid w:val="00E23E50"/>
    <w:rsid w:val="00E244E9"/>
    <w:rsid w:val="00E26213"/>
    <w:rsid w:val="00E274DF"/>
    <w:rsid w:val="00E32041"/>
    <w:rsid w:val="00E34D66"/>
    <w:rsid w:val="00E3521A"/>
    <w:rsid w:val="00E35820"/>
    <w:rsid w:val="00E362C4"/>
    <w:rsid w:val="00E45D4C"/>
    <w:rsid w:val="00E46CC2"/>
    <w:rsid w:val="00E47E0C"/>
    <w:rsid w:val="00E51813"/>
    <w:rsid w:val="00E52C0B"/>
    <w:rsid w:val="00E53D3F"/>
    <w:rsid w:val="00E546CD"/>
    <w:rsid w:val="00E5579B"/>
    <w:rsid w:val="00E57FF4"/>
    <w:rsid w:val="00E60D12"/>
    <w:rsid w:val="00E679D1"/>
    <w:rsid w:val="00E67C1C"/>
    <w:rsid w:val="00E77426"/>
    <w:rsid w:val="00E801F8"/>
    <w:rsid w:val="00E90F07"/>
    <w:rsid w:val="00E91F11"/>
    <w:rsid w:val="00E936EB"/>
    <w:rsid w:val="00E940F9"/>
    <w:rsid w:val="00E9706D"/>
    <w:rsid w:val="00E97FED"/>
    <w:rsid w:val="00EA3AF4"/>
    <w:rsid w:val="00EB467C"/>
    <w:rsid w:val="00EB6E6B"/>
    <w:rsid w:val="00EC5925"/>
    <w:rsid w:val="00EC6500"/>
    <w:rsid w:val="00ED545C"/>
    <w:rsid w:val="00EE413B"/>
    <w:rsid w:val="00EE4B01"/>
    <w:rsid w:val="00EE7DAF"/>
    <w:rsid w:val="00EF1EA6"/>
    <w:rsid w:val="00EF3C31"/>
    <w:rsid w:val="00EF3F0B"/>
    <w:rsid w:val="00EF5583"/>
    <w:rsid w:val="00F00BDB"/>
    <w:rsid w:val="00F0289D"/>
    <w:rsid w:val="00F02AEC"/>
    <w:rsid w:val="00F07572"/>
    <w:rsid w:val="00F157FC"/>
    <w:rsid w:val="00F20914"/>
    <w:rsid w:val="00F2776F"/>
    <w:rsid w:val="00F30AF3"/>
    <w:rsid w:val="00F3206C"/>
    <w:rsid w:val="00F37E50"/>
    <w:rsid w:val="00F40C96"/>
    <w:rsid w:val="00F43CD1"/>
    <w:rsid w:val="00F45AE0"/>
    <w:rsid w:val="00F47201"/>
    <w:rsid w:val="00F47710"/>
    <w:rsid w:val="00F60CF2"/>
    <w:rsid w:val="00F63A7A"/>
    <w:rsid w:val="00F657B4"/>
    <w:rsid w:val="00F677A9"/>
    <w:rsid w:val="00F67DB8"/>
    <w:rsid w:val="00F72725"/>
    <w:rsid w:val="00F72A62"/>
    <w:rsid w:val="00F7649F"/>
    <w:rsid w:val="00F77987"/>
    <w:rsid w:val="00F8083B"/>
    <w:rsid w:val="00F82D1B"/>
    <w:rsid w:val="00F8568E"/>
    <w:rsid w:val="00F865A7"/>
    <w:rsid w:val="00F868D1"/>
    <w:rsid w:val="00F9086A"/>
    <w:rsid w:val="00F944F9"/>
    <w:rsid w:val="00F94AA6"/>
    <w:rsid w:val="00F966E2"/>
    <w:rsid w:val="00FA0754"/>
    <w:rsid w:val="00FA1BC9"/>
    <w:rsid w:val="00FA49C3"/>
    <w:rsid w:val="00FB236E"/>
    <w:rsid w:val="00FB3F7B"/>
    <w:rsid w:val="00FB4B4F"/>
    <w:rsid w:val="00FB4C2A"/>
    <w:rsid w:val="00FB4C5F"/>
    <w:rsid w:val="00FC0451"/>
    <w:rsid w:val="00FC2107"/>
    <w:rsid w:val="00FC233D"/>
    <w:rsid w:val="00FC48FE"/>
    <w:rsid w:val="00FC6F56"/>
    <w:rsid w:val="00FD58D6"/>
    <w:rsid w:val="00FE087C"/>
    <w:rsid w:val="00FE535A"/>
    <w:rsid w:val="00FE79A0"/>
    <w:rsid w:val="00FF0939"/>
    <w:rsid w:val="00FF1E3E"/>
    <w:rsid w:val="00FF20AB"/>
    <w:rsid w:val="00FF623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37"/>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aliases w:val=" Char Char Char, Char1,Annotationtext,Char Char Char,Char1,Char2,Comment Text Char Char Char,Comment Text Char1,Comment Text Char1 Char"/>
    <w:basedOn w:val="Normal"/>
    <w:link w:val="CommentTextChar"/>
    <w:unhideWhenUsed/>
    <w:rsid w:val="00E47E0C"/>
    <w:pPr>
      <w:spacing w:line="240" w:lineRule="auto"/>
    </w:pPr>
  </w:style>
  <w:style w:type="character" w:customStyle="1" w:styleId="CommentTextChar">
    <w:name w:val="Comment Text Char"/>
    <w:aliases w:val=" Char Char Char Char, Char1 Char,Annotationtext Char,Char Char Char Char,Char1 Char,Char2 Char,Comment Text Char Char Char Char,Comment Text Char1 Char1,Comment Text Char1 Char Char"/>
    <w:basedOn w:val="DefaultParagraphFont"/>
    <w:link w:val="CommentText"/>
    <w:qFormat/>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customStyle="1" w:styleId="UnresolvedMention1">
    <w:name w:val="Unresolved Mention1"/>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Tabletext0">
    <w:name w:val="Table text"/>
    <w:basedOn w:val="Normal"/>
    <w:link w:val="TabletextChar"/>
    <w:qFormat/>
    <w:rsid w:val="00C32314"/>
    <w:pPr>
      <w:spacing w:before="120" w:line="240" w:lineRule="atLeast"/>
    </w:pPr>
    <w:rPr>
      <w:rFonts w:eastAsia="Cambria" w:cs="Times New Roman"/>
      <w:sz w:val="19"/>
      <w:szCs w:val="22"/>
    </w:rPr>
  </w:style>
  <w:style w:type="character" w:customStyle="1" w:styleId="TabletextChar">
    <w:name w:val="Table text Char"/>
    <w:basedOn w:val="DefaultParagraphFont"/>
    <w:link w:val="Tabletext0"/>
    <w:rsid w:val="00C32314"/>
    <w:rPr>
      <w:rFonts w:ascii="Cambria" w:eastAsia="Cambria" w:hAnsi="Cambria" w:cs="Times New Roman"/>
      <w:sz w:val="19"/>
      <w:szCs w:val="22"/>
    </w:rPr>
  </w:style>
  <w:style w:type="paragraph" w:styleId="BodyText">
    <w:name w:val="Body Text"/>
    <w:basedOn w:val="Normal"/>
    <w:link w:val="BodyTextChar"/>
    <w:uiPriority w:val="99"/>
    <w:semiHidden/>
    <w:unhideWhenUsed/>
    <w:rsid w:val="00546598"/>
  </w:style>
  <w:style w:type="character" w:customStyle="1" w:styleId="BodyTextChar">
    <w:name w:val="Body Text Char"/>
    <w:basedOn w:val="DefaultParagraphFont"/>
    <w:link w:val="BodyText"/>
    <w:uiPriority w:val="99"/>
    <w:semiHidden/>
    <w:rsid w:val="00546598"/>
    <w:rPr>
      <w:rFonts w:ascii="Cambria" w:hAnsi="Cambria"/>
      <w:sz w:val="22"/>
    </w:rPr>
  </w:style>
  <w:style w:type="character" w:styleId="Emphasis">
    <w:name w:val="Emphasis"/>
    <w:basedOn w:val="DefaultParagraphFont"/>
    <w:uiPriority w:val="20"/>
    <w:qFormat/>
    <w:rsid w:val="00FF623D"/>
    <w:rPr>
      <w:i/>
      <w:iCs/>
    </w:rPr>
  </w:style>
  <w:style w:type="paragraph" w:customStyle="1" w:styleId="Heading1Agency">
    <w:name w:val="Heading 1 (Agency)"/>
    <w:basedOn w:val="Normal"/>
    <w:next w:val="Normal"/>
    <w:qFormat/>
    <w:rsid w:val="003A2645"/>
    <w:pPr>
      <w:keepNext/>
      <w:numPr>
        <w:numId w:val="16"/>
      </w:numPr>
      <w:spacing w:before="280" w:after="220" w:line="240" w:lineRule="auto"/>
      <w:outlineLvl w:val="0"/>
    </w:pPr>
    <w:rPr>
      <w:rFonts w:ascii="Verdana" w:eastAsia="Verdana" w:hAnsi="Verdana" w:cs="Arial"/>
      <w:b/>
      <w:bCs/>
      <w:kern w:val="32"/>
      <w:sz w:val="27"/>
      <w:szCs w:val="27"/>
      <w:lang w:val="en-GB" w:eastAsia="en-GB"/>
      <w14:ligatures w14:val="standardContextual"/>
    </w:rPr>
  </w:style>
  <w:style w:type="paragraph" w:customStyle="1" w:styleId="Heading2Agency">
    <w:name w:val="Heading 2 (Agency)"/>
    <w:basedOn w:val="Normal"/>
    <w:next w:val="Normal"/>
    <w:qFormat/>
    <w:rsid w:val="003A2645"/>
    <w:pPr>
      <w:keepNext/>
      <w:numPr>
        <w:ilvl w:val="1"/>
        <w:numId w:val="16"/>
      </w:numPr>
      <w:spacing w:before="280" w:after="220" w:line="240" w:lineRule="auto"/>
      <w:outlineLvl w:val="1"/>
    </w:pPr>
    <w:rPr>
      <w:rFonts w:ascii="Verdana" w:eastAsia="Verdana" w:hAnsi="Verdana" w:cs="Arial"/>
      <w:b/>
      <w:bCs/>
      <w:i/>
      <w:kern w:val="32"/>
      <w:szCs w:val="22"/>
      <w:lang w:val="en-GB" w:eastAsia="en-GB"/>
      <w14:ligatures w14:val="standardContextual"/>
    </w:rPr>
  </w:style>
  <w:style w:type="paragraph" w:customStyle="1" w:styleId="Heading3Agency">
    <w:name w:val="Heading 3 (Agency)"/>
    <w:basedOn w:val="Normal"/>
    <w:next w:val="Normal"/>
    <w:qFormat/>
    <w:rsid w:val="003A2645"/>
    <w:pPr>
      <w:keepNext/>
      <w:numPr>
        <w:ilvl w:val="2"/>
        <w:numId w:val="16"/>
      </w:numPr>
      <w:spacing w:before="280" w:after="220" w:line="240" w:lineRule="auto"/>
      <w:outlineLvl w:val="2"/>
    </w:pPr>
    <w:rPr>
      <w:rFonts w:ascii="Verdana" w:eastAsia="Verdana" w:hAnsi="Verdana" w:cs="Arial"/>
      <w:b/>
      <w:bCs/>
      <w:kern w:val="32"/>
      <w:szCs w:val="22"/>
      <w:lang w:val="en-GB" w:eastAsia="en-GB"/>
      <w14:ligatures w14:val="standardContextual"/>
    </w:rPr>
  </w:style>
  <w:style w:type="paragraph" w:customStyle="1" w:styleId="Heading4Agency">
    <w:name w:val="Heading 4 (Agency)"/>
    <w:basedOn w:val="Heading3Agency"/>
    <w:next w:val="Normal"/>
    <w:qFormat/>
    <w:rsid w:val="003A2645"/>
    <w:pPr>
      <w:numPr>
        <w:ilvl w:val="3"/>
      </w:numPr>
      <w:outlineLvl w:val="3"/>
    </w:pPr>
    <w:rPr>
      <w:i/>
      <w:sz w:val="18"/>
      <w:szCs w:val="18"/>
    </w:rPr>
  </w:style>
  <w:style w:type="paragraph" w:customStyle="1" w:styleId="Heading5Agency">
    <w:name w:val="Heading 5 (Agency)"/>
    <w:basedOn w:val="Heading4Agency"/>
    <w:next w:val="Normal"/>
    <w:qFormat/>
    <w:rsid w:val="003A2645"/>
    <w:pPr>
      <w:numPr>
        <w:ilvl w:val="4"/>
      </w:numPr>
      <w:outlineLvl w:val="4"/>
    </w:pPr>
    <w:rPr>
      <w:i w:val="0"/>
    </w:rPr>
  </w:style>
  <w:style w:type="paragraph" w:customStyle="1" w:styleId="Heading6Agency">
    <w:name w:val="Heading 6 (Agency)"/>
    <w:basedOn w:val="Heading5Agency"/>
    <w:next w:val="Normal"/>
    <w:rsid w:val="003A2645"/>
    <w:pPr>
      <w:numPr>
        <w:ilvl w:val="5"/>
      </w:numPr>
      <w:outlineLvl w:val="5"/>
    </w:pPr>
  </w:style>
  <w:style w:type="paragraph" w:customStyle="1" w:styleId="Heading7Agency">
    <w:name w:val="Heading 7 (Agency)"/>
    <w:basedOn w:val="Heading6Agency"/>
    <w:next w:val="Normal"/>
    <w:rsid w:val="003A2645"/>
    <w:pPr>
      <w:numPr>
        <w:ilvl w:val="6"/>
      </w:numPr>
      <w:outlineLvl w:val="6"/>
    </w:pPr>
  </w:style>
  <w:style w:type="paragraph" w:customStyle="1" w:styleId="Heading8Agency">
    <w:name w:val="Heading 8 (Agency)"/>
    <w:basedOn w:val="Heading7Agency"/>
    <w:next w:val="Normal"/>
    <w:rsid w:val="003A2645"/>
    <w:pPr>
      <w:numPr>
        <w:ilvl w:val="7"/>
      </w:numPr>
      <w:outlineLvl w:val="7"/>
    </w:pPr>
  </w:style>
  <w:style w:type="paragraph" w:customStyle="1" w:styleId="Heading9Agency">
    <w:name w:val="Heading 9 (Agency)"/>
    <w:basedOn w:val="Heading8Agency"/>
    <w:next w:val="Normal"/>
    <w:rsid w:val="003A2645"/>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8094">
      <w:bodyDiv w:val="1"/>
      <w:marLeft w:val="0"/>
      <w:marRight w:val="0"/>
      <w:marTop w:val="0"/>
      <w:marBottom w:val="0"/>
      <w:divBdr>
        <w:top w:val="none" w:sz="0" w:space="0" w:color="auto"/>
        <w:left w:val="none" w:sz="0" w:space="0" w:color="auto"/>
        <w:bottom w:val="none" w:sz="0" w:space="0" w:color="auto"/>
        <w:right w:val="none" w:sz="0" w:space="0" w:color="auto"/>
      </w:divBdr>
      <w:divsChild>
        <w:div w:id="1871642871">
          <w:marLeft w:val="0"/>
          <w:marRight w:val="0"/>
          <w:marTop w:val="0"/>
          <w:marBottom w:val="0"/>
          <w:divBdr>
            <w:top w:val="none" w:sz="0" w:space="0" w:color="auto"/>
            <w:left w:val="none" w:sz="0" w:space="0" w:color="auto"/>
            <w:bottom w:val="none" w:sz="0" w:space="0" w:color="auto"/>
            <w:right w:val="none" w:sz="0" w:space="0" w:color="auto"/>
          </w:divBdr>
        </w:div>
      </w:divsChild>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947463742">
      <w:bodyDiv w:val="1"/>
      <w:marLeft w:val="0"/>
      <w:marRight w:val="0"/>
      <w:marTop w:val="0"/>
      <w:marBottom w:val="0"/>
      <w:divBdr>
        <w:top w:val="none" w:sz="0" w:space="0" w:color="auto"/>
        <w:left w:val="none" w:sz="0" w:space="0" w:color="auto"/>
        <w:bottom w:val="none" w:sz="0" w:space="0" w:color="auto"/>
        <w:right w:val="none" w:sz="0" w:space="0" w:color="auto"/>
      </w:divBdr>
      <w:divsChild>
        <w:div w:id="85730254">
          <w:marLeft w:val="0"/>
          <w:marRight w:val="0"/>
          <w:marTop w:val="0"/>
          <w:marBottom w:val="0"/>
          <w:divBdr>
            <w:top w:val="none" w:sz="0" w:space="0" w:color="auto"/>
            <w:left w:val="none" w:sz="0" w:space="0" w:color="auto"/>
            <w:bottom w:val="none" w:sz="0" w:space="0" w:color="auto"/>
            <w:right w:val="none" w:sz="0" w:space="0" w:color="auto"/>
          </w:divBdr>
        </w:div>
      </w:divsChild>
    </w:div>
    <w:div w:id="1016810341">
      <w:bodyDiv w:val="1"/>
      <w:marLeft w:val="0"/>
      <w:marRight w:val="0"/>
      <w:marTop w:val="0"/>
      <w:marBottom w:val="0"/>
      <w:divBdr>
        <w:top w:val="none" w:sz="0" w:space="0" w:color="auto"/>
        <w:left w:val="none" w:sz="0" w:space="0" w:color="auto"/>
        <w:bottom w:val="none" w:sz="0" w:space="0" w:color="auto"/>
        <w:right w:val="none" w:sz="0" w:space="0" w:color="auto"/>
      </w:divBdr>
      <w:divsChild>
        <w:div w:id="2141803494">
          <w:marLeft w:val="0"/>
          <w:marRight w:val="0"/>
          <w:marTop w:val="0"/>
          <w:marBottom w:val="0"/>
          <w:divBdr>
            <w:top w:val="none" w:sz="0" w:space="0" w:color="auto"/>
            <w:left w:val="none" w:sz="0" w:space="0" w:color="auto"/>
            <w:bottom w:val="none" w:sz="0" w:space="0" w:color="auto"/>
            <w:right w:val="none" w:sz="0" w:space="0" w:color="auto"/>
          </w:divBdr>
        </w:div>
      </w:divsChild>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2058318269">
      <w:bodyDiv w:val="1"/>
      <w:marLeft w:val="0"/>
      <w:marRight w:val="0"/>
      <w:marTop w:val="0"/>
      <w:marBottom w:val="0"/>
      <w:divBdr>
        <w:top w:val="none" w:sz="0" w:space="0" w:color="auto"/>
        <w:left w:val="none" w:sz="0" w:space="0" w:color="auto"/>
        <w:bottom w:val="none" w:sz="0" w:space="0" w:color="auto"/>
        <w:right w:val="none" w:sz="0" w:space="0" w:color="auto"/>
      </w:divBdr>
      <w:divsChild>
        <w:div w:id="34945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how-we-regulate/supply-therapeutic-good-0/supply-prescription-medicine/application-process/prescription-medicines-registration-process" TargetMode="External"/><Relationship Id="rId26" Type="http://schemas.openxmlformats.org/officeDocument/2006/relationships/hyperlink" Target="https://www.ebs.tga.gov.au/"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hyperlink" Target="https://www.tga.gov.au/resources/resource/guidance/risk-management-plans-medicines-and-biologicals/australia-specific-annex-eu-rm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image" Target="media/image5.png"/><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resources/resource/guidance/risk-management-plans-medicines-and-biologicals/australia-specific-annex-eu-rmp"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tgas-risk-management-approach" TargetMode="Externa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tga.gov.au/publication/risk-management-plans-medicines-and-biologicals" TargetMode="External"/><Relationship Id="rId27" Type="http://schemas.openxmlformats.org/officeDocument/2006/relationships/header" Target="header3.xml"/><Relationship Id="rId30" Type="http://schemas.openxmlformats.org/officeDocument/2006/relationships/hyperlink" Target="https://www.tga.gov.au"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sites/default/files/auspar-teriparatide-270115-pi.pdf" TargetMode="External"/><Relationship Id="rId3" Type="http://schemas.openxmlformats.org/officeDocument/2006/relationships/hyperlink" Target="https://www.aihw.gov.au/reports/chronic-musculoskeletal-conditions/osteoporosis" TargetMode="External"/><Relationship Id="rId7" Type="http://schemas.openxmlformats.org/officeDocument/2006/relationships/hyperlink" Target="https://www.ncbi.nlm.nih.gov/books/NBK526073/" TargetMode="External"/><Relationship Id="rId2" Type="http://schemas.openxmlformats.org/officeDocument/2006/relationships/hyperlink" Target="https://www.tga.gov.au/resources/artg/175041" TargetMode="External"/><Relationship Id="rId1" Type="http://schemas.openxmlformats.org/officeDocument/2006/relationships/hyperlink" Target="https://www.tga.gov.au/resources/artg/159322" TargetMode="External"/><Relationship Id="rId6" Type="http://schemas.openxmlformats.org/officeDocument/2006/relationships/hyperlink" Target="https://www.racgp.org.au/getattachment/487c5b92-7bd0-4b1c-86f5-2d86c649f92f/Osteoporosis-management-and-fracture-prevention-in-post-menopausal-women-and-men-50-years-of-age.aspx" TargetMode="External"/><Relationship Id="rId11" Type="http://schemas.openxmlformats.org/officeDocument/2006/relationships/hyperlink" Target="https://www.tga.gov.au/resources/auspar/auspar-denosumab-0" TargetMode="External"/><Relationship Id="rId5" Type="http://schemas.openxmlformats.org/officeDocument/2006/relationships/hyperlink" Target="https://iris.who.int/server/api/core/bitstreams/7b6bd052-ba92-4ebc-9fb5-3264e99dcb14/content" TargetMode="External"/><Relationship Id="rId10" Type="http://schemas.openxmlformats.org/officeDocument/2006/relationships/hyperlink" Target="https://www.tga.gov.au/resources/auspar/auspar-denosumab" TargetMode="External"/><Relationship Id="rId4" Type="http://schemas.openxmlformats.org/officeDocument/2006/relationships/hyperlink" Target="https://www.racgp.org.au/getattachment/487c5b92-7bd0-4b1c-86f5-2d86c649f92f/Osteoporosis-management-and-fracture-prevention-in-post-menopausal-women-and-men-50-years-of-age.aspx" TargetMode="External"/><Relationship Id="rId9" Type="http://schemas.openxmlformats.org/officeDocument/2006/relationships/hyperlink" Target="https://www.tga.gov.au/resources/artg?keywords=denosuma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EF2C8-686A-4CEF-AC48-EEBFC7AF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24</Pages>
  <Words>6806</Words>
  <Characters>39775</Characters>
  <Application>Microsoft Office Word</Application>
  <DocSecurity>0</DocSecurity>
  <Lines>960</Lines>
  <Paragraphs>460</Paragraphs>
  <ScaleCrop>false</ScaleCrop>
  <HeadingPairs>
    <vt:vector size="2" baseType="variant">
      <vt:variant>
        <vt:lpstr>Title</vt:lpstr>
      </vt:variant>
      <vt:variant>
        <vt:i4>1</vt:i4>
      </vt:variant>
    </vt:vector>
  </HeadingPairs>
  <TitlesOfParts>
    <vt:vector size="1" baseType="lpstr">
      <vt:lpstr>Australian Public Assessment Report for Dostiva, Denolia, Deskeltia, Dexeva</vt:lpstr>
    </vt:vector>
  </TitlesOfParts>
  <Company>Department of Health, Disability and Ageing</Company>
  <LinksUpToDate>false</LinksUpToDate>
  <CharactersWithSpaces>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Dostiva, Denolia, Deskeltia, Dexeva</dc:title>
  <dc:subject>Prescription medicines</dc:subject>
  <dc:creator>Therapeutic Goods Administration</dc:creator>
  <cp:keywords/>
  <dc:description/>
  <dcterms:created xsi:type="dcterms:W3CDTF">2026-04-13T04:01:00Z</dcterms:created>
  <dcterms:modified xsi:type="dcterms:W3CDTF">2026-04-13T06:54:00Z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2025-12-01T03:47:48Z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93f14edd-a9cd-485c-a7b7-a4a0dd485297</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