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B4CE" w14:textId="77777777" w:rsidR="00AE135B" w:rsidRDefault="00EE5424">
      <w:pPr>
        <w:spacing w:before="69"/>
        <w:ind w:left="336" w:right="393"/>
        <w:jc w:val="center"/>
        <w:rPr>
          <w:rFonts w:ascii="Arial" w:hAnsi="Arial"/>
          <w:b/>
          <w:sz w:val="28"/>
        </w:rPr>
      </w:pPr>
      <w:r>
        <w:rPr>
          <w:rFonts w:ascii="Arial" w:hAnsi="Arial"/>
          <w:b/>
          <w:spacing w:val="-2"/>
          <w:sz w:val="28"/>
        </w:rPr>
        <w:t>AUSTRALIAN</w:t>
      </w:r>
      <w:r>
        <w:rPr>
          <w:rFonts w:ascii="Arial" w:hAnsi="Arial"/>
          <w:b/>
          <w:spacing w:val="-12"/>
          <w:sz w:val="28"/>
        </w:rPr>
        <w:t xml:space="preserve"> </w:t>
      </w:r>
      <w:r>
        <w:rPr>
          <w:rFonts w:ascii="Arial" w:hAnsi="Arial"/>
          <w:b/>
          <w:spacing w:val="-2"/>
          <w:sz w:val="28"/>
        </w:rPr>
        <w:t>PRODUCT</w:t>
      </w:r>
      <w:r>
        <w:rPr>
          <w:rFonts w:ascii="Arial" w:hAnsi="Arial"/>
          <w:b/>
          <w:spacing w:val="7"/>
          <w:sz w:val="28"/>
        </w:rPr>
        <w:t xml:space="preserve"> </w:t>
      </w:r>
      <w:proofErr w:type="spellStart"/>
      <w:r>
        <w:rPr>
          <w:rFonts w:ascii="Arial" w:hAnsi="Arial"/>
          <w:b/>
          <w:spacing w:val="-2"/>
          <w:sz w:val="28"/>
        </w:rPr>
        <w:t>INFORMTION</w:t>
      </w:r>
      <w:proofErr w:type="spellEnd"/>
      <w:r>
        <w:rPr>
          <w:rFonts w:ascii="Arial" w:hAnsi="Arial"/>
          <w:b/>
          <w:spacing w:val="-14"/>
          <w:sz w:val="28"/>
        </w:rPr>
        <w:t xml:space="preserve"> </w:t>
      </w:r>
      <w:r>
        <w:rPr>
          <w:rFonts w:ascii="Arial" w:hAnsi="Arial"/>
          <w:b/>
          <w:spacing w:val="-2"/>
          <w:sz w:val="28"/>
        </w:rPr>
        <w:t>–</w:t>
      </w:r>
      <w:r>
        <w:rPr>
          <w:rFonts w:ascii="Arial" w:hAnsi="Arial"/>
          <w:b/>
          <w:spacing w:val="-16"/>
          <w:sz w:val="28"/>
        </w:rPr>
        <w:t xml:space="preserve"> </w:t>
      </w:r>
      <w:proofErr w:type="spellStart"/>
      <w:r>
        <w:rPr>
          <w:rFonts w:ascii="Arial" w:hAnsi="Arial"/>
          <w:b/>
          <w:spacing w:val="-2"/>
          <w:sz w:val="28"/>
        </w:rPr>
        <w:t>DOSTIVA</w:t>
      </w:r>
      <w:proofErr w:type="spellEnd"/>
    </w:p>
    <w:p w14:paraId="6C3B0A2A" w14:textId="77777777" w:rsidR="00AE135B" w:rsidRDefault="00EE5424">
      <w:pPr>
        <w:spacing w:before="161"/>
        <w:ind w:right="59"/>
        <w:jc w:val="center"/>
        <w:rPr>
          <w:rFonts w:ascii="Arial"/>
          <w:b/>
          <w:sz w:val="28"/>
        </w:rPr>
      </w:pPr>
      <w:r>
        <w:rPr>
          <w:rFonts w:ascii="Arial"/>
          <w:b/>
          <w:spacing w:val="-2"/>
          <w:sz w:val="28"/>
        </w:rPr>
        <w:t>(denosumab)</w:t>
      </w:r>
      <w:r>
        <w:rPr>
          <w:rFonts w:ascii="Arial"/>
          <w:b/>
          <w:spacing w:val="-6"/>
          <w:sz w:val="28"/>
        </w:rPr>
        <w:t xml:space="preserve"> </w:t>
      </w:r>
      <w:r>
        <w:rPr>
          <w:rFonts w:ascii="Arial"/>
          <w:b/>
          <w:spacing w:val="-2"/>
          <w:sz w:val="28"/>
        </w:rPr>
        <w:t>solution</w:t>
      </w:r>
      <w:r>
        <w:rPr>
          <w:rFonts w:ascii="Arial"/>
          <w:b/>
          <w:spacing w:val="-3"/>
          <w:sz w:val="28"/>
        </w:rPr>
        <w:t xml:space="preserve"> </w:t>
      </w:r>
      <w:r>
        <w:rPr>
          <w:rFonts w:ascii="Arial"/>
          <w:b/>
          <w:spacing w:val="-2"/>
          <w:sz w:val="28"/>
        </w:rPr>
        <w:t>for</w:t>
      </w:r>
      <w:r>
        <w:rPr>
          <w:rFonts w:ascii="Arial"/>
          <w:b/>
          <w:spacing w:val="-5"/>
          <w:sz w:val="28"/>
        </w:rPr>
        <w:t xml:space="preserve"> </w:t>
      </w:r>
      <w:r>
        <w:rPr>
          <w:rFonts w:ascii="Arial"/>
          <w:b/>
          <w:spacing w:val="-2"/>
          <w:sz w:val="28"/>
        </w:rPr>
        <w:t>injection</w:t>
      </w:r>
      <w:r>
        <w:rPr>
          <w:rFonts w:ascii="Arial"/>
          <w:b/>
          <w:spacing w:val="-4"/>
          <w:sz w:val="28"/>
        </w:rPr>
        <w:t xml:space="preserve"> vial</w:t>
      </w:r>
    </w:p>
    <w:p w14:paraId="3001EA77" w14:textId="77777777" w:rsidR="00AE135B" w:rsidRDefault="00AE135B">
      <w:pPr>
        <w:pStyle w:val="BodyText"/>
        <w:ind w:left="0"/>
        <w:rPr>
          <w:rFonts w:ascii="Arial"/>
          <w:b/>
          <w:sz w:val="28"/>
        </w:rPr>
      </w:pPr>
    </w:p>
    <w:p w14:paraId="548C9EC9" w14:textId="77777777" w:rsidR="00AE135B" w:rsidRDefault="00AE135B">
      <w:pPr>
        <w:pStyle w:val="BodyText"/>
        <w:spacing w:before="255"/>
        <w:ind w:left="0"/>
        <w:rPr>
          <w:rFonts w:ascii="Arial"/>
          <w:b/>
          <w:sz w:val="28"/>
        </w:rPr>
      </w:pPr>
    </w:p>
    <w:p w14:paraId="31B470C5" w14:textId="77777777" w:rsidR="00AE135B" w:rsidRDefault="00EE5424">
      <w:pPr>
        <w:pStyle w:val="ListParagraph"/>
        <w:numPr>
          <w:ilvl w:val="0"/>
          <w:numId w:val="3"/>
        </w:numPr>
        <w:tabs>
          <w:tab w:val="left" w:pos="1106"/>
        </w:tabs>
        <w:spacing w:before="1"/>
        <w:ind w:hanging="799"/>
        <w:rPr>
          <w:rFonts w:ascii="Arial"/>
          <w:b/>
          <w:sz w:val="28"/>
        </w:rPr>
      </w:pPr>
      <w:r>
        <w:rPr>
          <w:rFonts w:ascii="Arial"/>
          <w:b/>
          <w:sz w:val="28"/>
        </w:rPr>
        <w:t>NAME</w:t>
      </w:r>
      <w:r>
        <w:rPr>
          <w:rFonts w:ascii="Arial"/>
          <w:b/>
          <w:spacing w:val="-14"/>
          <w:sz w:val="28"/>
        </w:rPr>
        <w:t xml:space="preserve"> </w:t>
      </w:r>
      <w:r>
        <w:rPr>
          <w:rFonts w:ascii="Arial"/>
          <w:b/>
          <w:sz w:val="28"/>
        </w:rPr>
        <w:t>OF</w:t>
      </w:r>
      <w:r>
        <w:rPr>
          <w:rFonts w:ascii="Arial"/>
          <w:b/>
          <w:spacing w:val="-13"/>
          <w:sz w:val="28"/>
        </w:rPr>
        <w:t xml:space="preserve"> </w:t>
      </w:r>
      <w:r>
        <w:rPr>
          <w:rFonts w:ascii="Arial"/>
          <w:b/>
          <w:sz w:val="28"/>
        </w:rPr>
        <w:t>THE</w:t>
      </w:r>
      <w:r>
        <w:rPr>
          <w:rFonts w:ascii="Arial"/>
          <w:b/>
          <w:spacing w:val="-13"/>
          <w:sz w:val="28"/>
        </w:rPr>
        <w:t xml:space="preserve"> </w:t>
      </w:r>
      <w:r>
        <w:rPr>
          <w:rFonts w:ascii="Arial"/>
          <w:b/>
          <w:spacing w:val="-2"/>
          <w:sz w:val="28"/>
        </w:rPr>
        <w:t>MEDICINE</w:t>
      </w:r>
    </w:p>
    <w:p w14:paraId="7256F0AF" w14:textId="77777777" w:rsidR="00AE135B" w:rsidRDefault="00EE5424">
      <w:pPr>
        <w:pStyle w:val="BodyText"/>
        <w:spacing w:before="122"/>
      </w:pPr>
      <w:r>
        <w:rPr>
          <w:spacing w:val="-2"/>
        </w:rPr>
        <w:t>Denosumab.</w:t>
      </w:r>
    </w:p>
    <w:p w14:paraId="0C5C4F7B" w14:textId="77777777" w:rsidR="00AE135B" w:rsidRDefault="00AE135B">
      <w:pPr>
        <w:pStyle w:val="BodyText"/>
        <w:spacing w:before="123"/>
        <w:ind w:left="0"/>
      </w:pPr>
    </w:p>
    <w:p w14:paraId="4C61D65C" w14:textId="77777777" w:rsidR="00AE135B" w:rsidRDefault="00EE5424">
      <w:pPr>
        <w:pStyle w:val="BodyText"/>
        <w:spacing w:line="276" w:lineRule="auto"/>
        <w:ind w:left="333" w:right="119"/>
      </w:pPr>
      <w:proofErr w:type="spellStart"/>
      <w:r>
        <w:t>DOSTIVA</w:t>
      </w:r>
      <w:proofErr w:type="spellEnd"/>
      <w:r>
        <w:t xml:space="preserve"> (denosumab) is a biosimilar medicine </w:t>
      </w:r>
      <w:proofErr w:type="gramStart"/>
      <w:r>
        <w:t>to</w:t>
      </w:r>
      <w:proofErr w:type="gramEnd"/>
      <w:r>
        <w:t xml:space="preserve"> </w:t>
      </w:r>
      <w:proofErr w:type="spellStart"/>
      <w:r>
        <w:t>XGEVA</w:t>
      </w:r>
      <w:proofErr w:type="spellEnd"/>
      <w:r>
        <w:t xml:space="preserve"> (denosumab). The comparability of </w:t>
      </w:r>
      <w:proofErr w:type="spellStart"/>
      <w:r>
        <w:t>DOSTIVA</w:t>
      </w:r>
      <w:proofErr w:type="spellEnd"/>
      <w:r>
        <w:rPr>
          <w:spacing w:val="40"/>
        </w:rPr>
        <w:t xml:space="preserve"> </w:t>
      </w:r>
      <w:r>
        <w:t xml:space="preserve">with </w:t>
      </w:r>
      <w:proofErr w:type="spellStart"/>
      <w:r>
        <w:t>XGEVA</w:t>
      </w:r>
      <w:proofErr w:type="spellEnd"/>
      <w:r>
        <w:t xml:space="preserve"> has been demonstrated.</w:t>
      </w:r>
    </w:p>
    <w:p w14:paraId="6069557F" w14:textId="77777777" w:rsidR="00AE135B" w:rsidRDefault="00AE135B">
      <w:pPr>
        <w:pStyle w:val="BodyText"/>
        <w:spacing w:before="95"/>
        <w:ind w:left="0"/>
      </w:pPr>
    </w:p>
    <w:p w14:paraId="4401CD51" w14:textId="77777777" w:rsidR="00AE135B" w:rsidRDefault="00EE5424">
      <w:pPr>
        <w:pStyle w:val="Heading1"/>
        <w:numPr>
          <w:ilvl w:val="0"/>
          <w:numId w:val="3"/>
        </w:numPr>
        <w:tabs>
          <w:tab w:val="left" w:pos="1106"/>
        </w:tabs>
        <w:ind w:hanging="799"/>
      </w:pPr>
      <w:r>
        <w:rPr>
          <w:spacing w:val="-2"/>
        </w:rPr>
        <w:t>QUALITATIVE</w:t>
      </w:r>
      <w:r>
        <w:rPr>
          <w:spacing w:val="-20"/>
        </w:rPr>
        <w:t xml:space="preserve"> </w:t>
      </w:r>
      <w:r>
        <w:rPr>
          <w:spacing w:val="-2"/>
        </w:rPr>
        <w:t>AND</w:t>
      </w:r>
      <w:r>
        <w:rPr>
          <w:spacing w:val="-16"/>
        </w:rPr>
        <w:t xml:space="preserve"> </w:t>
      </w:r>
      <w:r>
        <w:rPr>
          <w:spacing w:val="-2"/>
        </w:rPr>
        <w:t>QUANTITATIVE</w:t>
      </w:r>
      <w:r>
        <w:rPr>
          <w:spacing w:val="-17"/>
        </w:rPr>
        <w:t xml:space="preserve"> </w:t>
      </w:r>
      <w:r>
        <w:rPr>
          <w:spacing w:val="-2"/>
        </w:rPr>
        <w:t>COMPOSITION</w:t>
      </w:r>
    </w:p>
    <w:p w14:paraId="142E70A6" w14:textId="77777777" w:rsidR="00AE135B" w:rsidRDefault="00EE5424">
      <w:pPr>
        <w:pStyle w:val="BodyText"/>
        <w:spacing w:before="123"/>
      </w:pPr>
      <w:r>
        <w:t>Each</w:t>
      </w:r>
      <w:r>
        <w:rPr>
          <w:spacing w:val="-14"/>
        </w:rPr>
        <w:t xml:space="preserve"> </w:t>
      </w:r>
      <w:r>
        <w:t>vial</w:t>
      </w:r>
      <w:r>
        <w:rPr>
          <w:spacing w:val="-10"/>
        </w:rPr>
        <w:t xml:space="preserve"> </w:t>
      </w:r>
      <w:r>
        <w:t>contains</w:t>
      </w:r>
      <w:r>
        <w:rPr>
          <w:spacing w:val="-12"/>
        </w:rPr>
        <w:t xml:space="preserve"> </w:t>
      </w:r>
      <w:r>
        <w:t>a</w:t>
      </w:r>
      <w:r>
        <w:rPr>
          <w:spacing w:val="-9"/>
        </w:rPr>
        <w:t xml:space="preserve"> </w:t>
      </w:r>
      <w:r>
        <w:t>deliverable</w:t>
      </w:r>
      <w:r>
        <w:rPr>
          <w:spacing w:val="-9"/>
        </w:rPr>
        <w:t xml:space="preserve"> </w:t>
      </w:r>
      <w:r>
        <w:t>dose</w:t>
      </w:r>
      <w:r>
        <w:rPr>
          <w:spacing w:val="-12"/>
        </w:rPr>
        <w:t xml:space="preserve"> </w:t>
      </w:r>
      <w:r>
        <w:t>of</w:t>
      </w:r>
      <w:r>
        <w:rPr>
          <w:spacing w:val="-12"/>
        </w:rPr>
        <w:t xml:space="preserve"> </w:t>
      </w:r>
      <w:r>
        <w:t>120</w:t>
      </w:r>
      <w:r>
        <w:rPr>
          <w:spacing w:val="-11"/>
        </w:rPr>
        <w:t xml:space="preserve"> </w:t>
      </w:r>
      <w:r>
        <w:t>mg</w:t>
      </w:r>
      <w:r>
        <w:rPr>
          <w:spacing w:val="-12"/>
        </w:rPr>
        <w:t xml:space="preserve"> </w:t>
      </w:r>
      <w:r>
        <w:t>denosumab</w:t>
      </w:r>
      <w:r>
        <w:rPr>
          <w:spacing w:val="-10"/>
        </w:rPr>
        <w:t xml:space="preserve"> </w:t>
      </w:r>
      <w:r>
        <w:t>in</w:t>
      </w:r>
      <w:r>
        <w:rPr>
          <w:spacing w:val="-10"/>
        </w:rPr>
        <w:t xml:space="preserve"> </w:t>
      </w:r>
      <w:r>
        <w:t>1.7</w:t>
      </w:r>
      <w:r>
        <w:rPr>
          <w:spacing w:val="-11"/>
        </w:rPr>
        <w:t xml:space="preserve"> </w:t>
      </w:r>
      <w:r>
        <w:t>mL</w:t>
      </w:r>
      <w:r>
        <w:rPr>
          <w:spacing w:val="-12"/>
        </w:rPr>
        <w:t xml:space="preserve"> </w:t>
      </w:r>
      <w:r>
        <w:t>of</w:t>
      </w:r>
      <w:r>
        <w:rPr>
          <w:spacing w:val="-13"/>
        </w:rPr>
        <w:t xml:space="preserve"> </w:t>
      </w:r>
      <w:r>
        <w:t>solution</w:t>
      </w:r>
      <w:r>
        <w:rPr>
          <w:spacing w:val="-11"/>
        </w:rPr>
        <w:t xml:space="preserve"> </w:t>
      </w:r>
      <w:r>
        <w:t>(70</w:t>
      </w:r>
      <w:r>
        <w:rPr>
          <w:spacing w:val="-8"/>
        </w:rPr>
        <w:t xml:space="preserve"> </w:t>
      </w:r>
      <w:r>
        <w:rPr>
          <w:spacing w:val="-2"/>
        </w:rPr>
        <w:t>mg/mL).</w:t>
      </w:r>
    </w:p>
    <w:p w14:paraId="54A44A13" w14:textId="77777777" w:rsidR="00AE135B" w:rsidRDefault="00EE5424">
      <w:pPr>
        <w:pStyle w:val="BodyText"/>
        <w:spacing w:before="257" w:line="360" w:lineRule="auto"/>
        <w:ind w:right="209"/>
        <w:jc w:val="both"/>
      </w:pPr>
      <w:r>
        <w:t xml:space="preserve">Denosumab is a fully human </w:t>
      </w:r>
      <w:proofErr w:type="spellStart"/>
      <w:r>
        <w:t>IgG2</w:t>
      </w:r>
      <w:proofErr w:type="spellEnd"/>
      <w:r>
        <w:t xml:space="preserve"> monoclonal antibody with high affinity and specificity for RANK ligand (RANKL).</w:t>
      </w:r>
      <w:r>
        <w:rPr>
          <w:spacing w:val="40"/>
        </w:rPr>
        <w:t xml:space="preserve"> </w:t>
      </w:r>
      <w:r>
        <w:t xml:space="preserve">Denosumab has an approximate molecular weight of 147 </w:t>
      </w:r>
      <w:proofErr w:type="spellStart"/>
      <w:r>
        <w:t>kDa</w:t>
      </w:r>
      <w:proofErr w:type="spellEnd"/>
      <w:r>
        <w:t xml:space="preserve"> and is produced in genetically engineered mammalian (Chinese Hamster Ovary, CHO) cells.</w:t>
      </w:r>
    </w:p>
    <w:p w14:paraId="3DBA9677" w14:textId="77777777" w:rsidR="00AE135B" w:rsidRDefault="00EE5424">
      <w:pPr>
        <w:pStyle w:val="BodyText"/>
        <w:spacing w:before="119"/>
        <w:jc w:val="both"/>
      </w:pPr>
      <w:r>
        <w:t>For</w:t>
      </w:r>
      <w:r>
        <w:rPr>
          <w:spacing w:val="-16"/>
        </w:rPr>
        <w:t xml:space="preserve"> </w:t>
      </w:r>
      <w:r>
        <w:t>the</w:t>
      </w:r>
      <w:r>
        <w:rPr>
          <w:spacing w:val="-13"/>
        </w:rPr>
        <w:t xml:space="preserve"> </w:t>
      </w:r>
      <w:r>
        <w:t>full</w:t>
      </w:r>
      <w:r>
        <w:rPr>
          <w:spacing w:val="-12"/>
        </w:rPr>
        <w:t xml:space="preserve"> </w:t>
      </w:r>
      <w:r>
        <w:t>list</w:t>
      </w:r>
      <w:r>
        <w:rPr>
          <w:spacing w:val="-13"/>
        </w:rPr>
        <w:t xml:space="preserve"> </w:t>
      </w:r>
      <w:r>
        <w:t>of</w:t>
      </w:r>
      <w:r>
        <w:rPr>
          <w:spacing w:val="-12"/>
        </w:rPr>
        <w:t xml:space="preserve"> </w:t>
      </w:r>
      <w:r>
        <w:t>excipients,</w:t>
      </w:r>
      <w:r>
        <w:rPr>
          <w:spacing w:val="-11"/>
        </w:rPr>
        <w:t xml:space="preserve"> </w:t>
      </w:r>
      <w:r>
        <w:t>see</w:t>
      </w:r>
      <w:r>
        <w:rPr>
          <w:spacing w:val="-9"/>
        </w:rPr>
        <w:t xml:space="preserve"> </w:t>
      </w:r>
      <w:r>
        <w:t>Section</w:t>
      </w:r>
      <w:r>
        <w:rPr>
          <w:spacing w:val="-9"/>
        </w:rPr>
        <w:t xml:space="preserve"> </w:t>
      </w:r>
      <w:r>
        <w:t>6.1</w:t>
      </w:r>
      <w:r>
        <w:rPr>
          <w:spacing w:val="-11"/>
        </w:rPr>
        <w:t xml:space="preserve"> </w:t>
      </w:r>
      <w:r>
        <w:t>List</w:t>
      </w:r>
      <w:r>
        <w:rPr>
          <w:spacing w:val="-12"/>
        </w:rPr>
        <w:t xml:space="preserve"> </w:t>
      </w:r>
      <w:r>
        <w:t>of</w:t>
      </w:r>
      <w:r>
        <w:rPr>
          <w:spacing w:val="-9"/>
        </w:rPr>
        <w:t xml:space="preserve"> </w:t>
      </w:r>
      <w:r>
        <w:rPr>
          <w:spacing w:val="-2"/>
        </w:rPr>
        <w:t>excipients.</w:t>
      </w:r>
    </w:p>
    <w:p w14:paraId="3A2B2BB9" w14:textId="77777777" w:rsidR="00AE135B" w:rsidRDefault="00AE135B">
      <w:pPr>
        <w:pStyle w:val="BodyText"/>
        <w:ind w:left="0"/>
      </w:pPr>
    </w:p>
    <w:p w14:paraId="25391F8A" w14:textId="77777777" w:rsidR="00AE135B" w:rsidRDefault="00AE135B">
      <w:pPr>
        <w:pStyle w:val="BodyText"/>
        <w:spacing w:before="96"/>
        <w:ind w:left="0"/>
      </w:pPr>
    </w:p>
    <w:p w14:paraId="1B7BC7FA" w14:textId="77777777" w:rsidR="00AE135B" w:rsidRDefault="00EE5424">
      <w:pPr>
        <w:pStyle w:val="Heading1"/>
        <w:numPr>
          <w:ilvl w:val="0"/>
          <w:numId w:val="3"/>
        </w:numPr>
        <w:tabs>
          <w:tab w:val="left" w:pos="1106"/>
        </w:tabs>
        <w:ind w:hanging="799"/>
      </w:pPr>
      <w:r>
        <w:rPr>
          <w:spacing w:val="-4"/>
        </w:rPr>
        <w:t>PHARMACEUTICAL</w:t>
      </w:r>
      <w:r>
        <w:rPr>
          <w:spacing w:val="-3"/>
        </w:rPr>
        <w:t xml:space="preserve"> </w:t>
      </w:r>
      <w:r>
        <w:rPr>
          <w:spacing w:val="-4"/>
        </w:rPr>
        <w:t>FORM</w:t>
      </w:r>
    </w:p>
    <w:p w14:paraId="76B3894D" w14:textId="77777777" w:rsidR="00AE135B" w:rsidRDefault="00EE5424">
      <w:pPr>
        <w:pStyle w:val="BodyText"/>
        <w:spacing w:before="123" w:line="357" w:lineRule="auto"/>
        <w:ind w:right="174"/>
        <w:jc w:val="both"/>
      </w:pPr>
      <w:proofErr w:type="spellStart"/>
      <w:r>
        <w:t>DOSTIVA</w:t>
      </w:r>
      <w:proofErr w:type="spellEnd"/>
      <w:r>
        <w:rPr>
          <w:spacing w:val="-5"/>
        </w:rPr>
        <w:t xml:space="preserve"> </w:t>
      </w:r>
      <w:r>
        <w:t>is</w:t>
      </w:r>
      <w:r>
        <w:rPr>
          <w:spacing w:val="-4"/>
        </w:rPr>
        <w:t xml:space="preserve"> </w:t>
      </w:r>
      <w:r>
        <w:t>supplied</w:t>
      </w:r>
      <w:r>
        <w:rPr>
          <w:spacing w:val="-2"/>
        </w:rPr>
        <w:t xml:space="preserve"> </w:t>
      </w:r>
      <w:r>
        <w:t>as</w:t>
      </w:r>
      <w:r>
        <w:rPr>
          <w:spacing w:val="-6"/>
        </w:rPr>
        <w:t xml:space="preserve"> </w:t>
      </w:r>
      <w:r>
        <w:t>a</w:t>
      </w:r>
      <w:r>
        <w:rPr>
          <w:spacing w:val="-2"/>
        </w:rPr>
        <w:t xml:space="preserve"> </w:t>
      </w:r>
      <w:r>
        <w:t>sterile,</w:t>
      </w:r>
      <w:r>
        <w:rPr>
          <w:spacing w:val="-4"/>
        </w:rPr>
        <w:t xml:space="preserve"> </w:t>
      </w:r>
      <w:r>
        <w:t>preservative-free,</w:t>
      </w:r>
      <w:r>
        <w:rPr>
          <w:spacing w:val="-1"/>
        </w:rPr>
        <w:t xml:space="preserve"> </w:t>
      </w:r>
      <w:r>
        <w:t>clear,</w:t>
      </w:r>
      <w:r>
        <w:rPr>
          <w:spacing w:val="-2"/>
        </w:rPr>
        <w:t xml:space="preserve"> </w:t>
      </w:r>
      <w:proofErr w:type="spellStart"/>
      <w:r>
        <w:t>colourless</w:t>
      </w:r>
      <w:proofErr w:type="spellEnd"/>
      <w:r>
        <w:rPr>
          <w:spacing w:val="-3"/>
        </w:rPr>
        <w:t xml:space="preserve"> </w:t>
      </w:r>
      <w:r>
        <w:t>to</w:t>
      </w:r>
      <w:r>
        <w:rPr>
          <w:spacing w:val="-1"/>
        </w:rPr>
        <w:t xml:space="preserve"> </w:t>
      </w:r>
      <w:r>
        <w:t>pale</w:t>
      </w:r>
      <w:r>
        <w:rPr>
          <w:spacing w:val="-4"/>
        </w:rPr>
        <w:t xml:space="preserve"> </w:t>
      </w:r>
      <w:r>
        <w:t>yellow solution</w:t>
      </w:r>
      <w:r>
        <w:rPr>
          <w:spacing w:val="-2"/>
        </w:rPr>
        <w:t xml:space="preserve"> </w:t>
      </w:r>
      <w:r>
        <w:t>for injection at pH 5.2.</w:t>
      </w:r>
    </w:p>
    <w:p w14:paraId="60A733C0" w14:textId="77777777" w:rsidR="00AE135B" w:rsidRDefault="00EE5424">
      <w:pPr>
        <w:pStyle w:val="BodyText"/>
        <w:spacing w:before="121"/>
        <w:jc w:val="both"/>
      </w:pPr>
      <w:r>
        <w:rPr>
          <w:spacing w:val="-2"/>
        </w:rPr>
        <w:t>The</w:t>
      </w:r>
      <w:r>
        <w:rPr>
          <w:spacing w:val="-13"/>
        </w:rPr>
        <w:t xml:space="preserve"> </w:t>
      </w:r>
      <w:r>
        <w:rPr>
          <w:spacing w:val="-2"/>
        </w:rPr>
        <w:t>solution</w:t>
      </w:r>
      <w:r>
        <w:rPr>
          <w:spacing w:val="-9"/>
        </w:rPr>
        <w:t xml:space="preserve"> </w:t>
      </w:r>
      <w:r>
        <w:rPr>
          <w:spacing w:val="-2"/>
        </w:rPr>
        <w:t>may</w:t>
      </w:r>
      <w:r>
        <w:rPr>
          <w:spacing w:val="-8"/>
        </w:rPr>
        <w:t xml:space="preserve"> </w:t>
      </w:r>
      <w:r>
        <w:rPr>
          <w:spacing w:val="-2"/>
        </w:rPr>
        <w:t>contain</w:t>
      </w:r>
      <w:r>
        <w:rPr>
          <w:spacing w:val="-8"/>
        </w:rPr>
        <w:t xml:space="preserve"> </w:t>
      </w:r>
      <w:r>
        <w:rPr>
          <w:spacing w:val="-2"/>
        </w:rPr>
        <w:t>trace</w:t>
      </w:r>
      <w:r>
        <w:rPr>
          <w:spacing w:val="-7"/>
        </w:rPr>
        <w:t xml:space="preserve"> </w:t>
      </w:r>
      <w:r>
        <w:rPr>
          <w:spacing w:val="-2"/>
        </w:rPr>
        <w:t>amounts</w:t>
      </w:r>
      <w:r>
        <w:rPr>
          <w:spacing w:val="-7"/>
        </w:rPr>
        <w:t xml:space="preserve"> </w:t>
      </w:r>
      <w:r>
        <w:rPr>
          <w:spacing w:val="-2"/>
        </w:rPr>
        <w:t>of</w:t>
      </w:r>
      <w:r>
        <w:rPr>
          <w:spacing w:val="-7"/>
        </w:rPr>
        <w:t xml:space="preserve"> </w:t>
      </w:r>
      <w:r>
        <w:rPr>
          <w:spacing w:val="-2"/>
        </w:rPr>
        <w:t>translucent</w:t>
      </w:r>
      <w:r>
        <w:rPr>
          <w:spacing w:val="-9"/>
        </w:rPr>
        <w:t xml:space="preserve"> </w:t>
      </w:r>
      <w:r>
        <w:rPr>
          <w:spacing w:val="-2"/>
        </w:rPr>
        <w:t>to</w:t>
      </w:r>
      <w:r>
        <w:rPr>
          <w:spacing w:val="-6"/>
        </w:rPr>
        <w:t xml:space="preserve"> </w:t>
      </w:r>
      <w:r>
        <w:rPr>
          <w:spacing w:val="-2"/>
        </w:rPr>
        <w:t>white</w:t>
      </w:r>
      <w:r>
        <w:rPr>
          <w:spacing w:val="-5"/>
        </w:rPr>
        <w:t xml:space="preserve"> </w:t>
      </w:r>
      <w:r>
        <w:rPr>
          <w:spacing w:val="-2"/>
        </w:rPr>
        <w:t>proteinaceous</w:t>
      </w:r>
      <w:r>
        <w:rPr>
          <w:spacing w:val="-4"/>
        </w:rPr>
        <w:t xml:space="preserve"> </w:t>
      </w:r>
      <w:r>
        <w:rPr>
          <w:spacing w:val="-2"/>
        </w:rPr>
        <w:t>particles.</w:t>
      </w:r>
    </w:p>
    <w:p w14:paraId="0979326E" w14:textId="77777777" w:rsidR="00AE135B" w:rsidRDefault="00AE135B">
      <w:pPr>
        <w:pStyle w:val="BodyText"/>
        <w:ind w:left="0"/>
      </w:pPr>
    </w:p>
    <w:p w14:paraId="09906C19" w14:textId="77777777" w:rsidR="00AE135B" w:rsidRDefault="00AE135B">
      <w:pPr>
        <w:pStyle w:val="BodyText"/>
        <w:spacing w:before="101"/>
        <w:ind w:left="0"/>
      </w:pPr>
    </w:p>
    <w:p w14:paraId="048FAF29" w14:textId="77777777" w:rsidR="00AE135B" w:rsidRDefault="00EE5424">
      <w:pPr>
        <w:pStyle w:val="Heading1"/>
        <w:numPr>
          <w:ilvl w:val="0"/>
          <w:numId w:val="3"/>
        </w:numPr>
        <w:tabs>
          <w:tab w:val="left" w:pos="1106"/>
        </w:tabs>
        <w:ind w:hanging="799"/>
      </w:pPr>
      <w:r>
        <w:rPr>
          <w:spacing w:val="-2"/>
        </w:rPr>
        <w:t>CLINICAL</w:t>
      </w:r>
      <w:r>
        <w:rPr>
          <w:spacing w:val="-11"/>
        </w:rPr>
        <w:t xml:space="preserve"> </w:t>
      </w:r>
      <w:r>
        <w:rPr>
          <w:spacing w:val="-2"/>
        </w:rPr>
        <w:t>PARTICULARS</w:t>
      </w:r>
    </w:p>
    <w:p w14:paraId="173F7497" w14:textId="77777777" w:rsidR="00AE135B" w:rsidRDefault="00EE5424">
      <w:pPr>
        <w:pStyle w:val="Heading2"/>
        <w:numPr>
          <w:ilvl w:val="1"/>
          <w:numId w:val="3"/>
        </w:numPr>
        <w:tabs>
          <w:tab w:val="left" w:pos="1106"/>
        </w:tabs>
        <w:spacing w:before="242"/>
        <w:ind w:hanging="799"/>
      </w:pPr>
      <w:r>
        <w:t>Therapeutic</w:t>
      </w:r>
      <w:r>
        <w:rPr>
          <w:spacing w:val="-15"/>
        </w:rPr>
        <w:t xml:space="preserve"> </w:t>
      </w:r>
      <w:r>
        <w:rPr>
          <w:spacing w:val="-2"/>
        </w:rPr>
        <w:t>indications</w:t>
      </w:r>
    </w:p>
    <w:p w14:paraId="78687D46" w14:textId="77777777" w:rsidR="00AE135B" w:rsidRDefault="00EE5424">
      <w:pPr>
        <w:pStyle w:val="BodyText"/>
        <w:spacing w:before="119" w:line="357" w:lineRule="auto"/>
      </w:pPr>
      <w:r>
        <w:t>Prevention</w:t>
      </w:r>
      <w:r>
        <w:rPr>
          <w:spacing w:val="40"/>
        </w:rPr>
        <w:t xml:space="preserve"> </w:t>
      </w:r>
      <w:r>
        <w:t>of</w:t>
      </w:r>
      <w:r>
        <w:rPr>
          <w:spacing w:val="40"/>
        </w:rPr>
        <w:t xml:space="preserve"> </w:t>
      </w:r>
      <w:r>
        <w:t>skeletal</w:t>
      </w:r>
      <w:r>
        <w:rPr>
          <w:spacing w:val="40"/>
        </w:rPr>
        <w:t xml:space="preserve"> </w:t>
      </w:r>
      <w:r>
        <w:t>related</w:t>
      </w:r>
      <w:r>
        <w:rPr>
          <w:spacing w:val="40"/>
        </w:rPr>
        <w:t xml:space="preserve"> </w:t>
      </w:r>
      <w:r>
        <w:t>events</w:t>
      </w:r>
      <w:r>
        <w:rPr>
          <w:spacing w:val="40"/>
        </w:rPr>
        <w:t xml:space="preserve"> </w:t>
      </w:r>
      <w:r>
        <w:t>in</w:t>
      </w:r>
      <w:r>
        <w:rPr>
          <w:spacing w:val="40"/>
        </w:rPr>
        <w:t xml:space="preserve"> </w:t>
      </w:r>
      <w:r>
        <w:t>patients</w:t>
      </w:r>
      <w:r>
        <w:rPr>
          <w:spacing w:val="40"/>
        </w:rPr>
        <w:t xml:space="preserve"> </w:t>
      </w:r>
      <w:r>
        <w:t>with</w:t>
      </w:r>
      <w:r>
        <w:rPr>
          <w:spacing w:val="40"/>
        </w:rPr>
        <w:t xml:space="preserve"> </w:t>
      </w:r>
      <w:r>
        <w:t>multiple</w:t>
      </w:r>
      <w:r>
        <w:rPr>
          <w:spacing w:val="40"/>
        </w:rPr>
        <w:t xml:space="preserve"> </w:t>
      </w:r>
      <w:r>
        <w:t>myeloma</w:t>
      </w:r>
      <w:r>
        <w:rPr>
          <w:spacing w:val="40"/>
        </w:rPr>
        <w:t xml:space="preserve"> </w:t>
      </w:r>
      <w:r>
        <w:t>and</w:t>
      </w:r>
      <w:r>
        <w:rPr>
          <w:spacing w:val="40"/>
        </w:rPr>
        <w:t xml:space="preserve"> </w:t>
      </w:r>
      <w:r>
        <w:t>in</w:t>
      </w:r>
      <w:r>
        <w:rPr>
          <w:spacing w:val="40"/>
        </w:rPr>
        <w:t xml:space="preserve"> </w:t>
      </w:r>
      <w:r>
        <w:t>patients</w:t>
      </w:r>
      <w:r>
        <w:rPr>
          <w:spacing w:val="40"/>
        </w:rPr>
        <w:t xml:space="preserve"> </w:t>
      </w:r>
      <w:r>
        <w:t>with</w:t>
      </w:r>
      <w:r>
        <w:rPr>
          <w:spacing w:val="40"/>
        </w:rPr>
        <w:t xml:space="preserve"> </w:t>
      </w:r>
      <w:r>
        <w:t xml:space="preserve">bone metastases from solid </w:t>
      </w:r>
      <w:proofErr w:type="spellStart"/>
      <w:r>
        <w:t>tumours</w:t>
      </w:r>
      <w:proofErr w:type="spellEnd"/>
      <w:r>
        <w:t>.</w:t>
      </w:r>
    </w:p>
    <w:p w14:paraId="5B9ADE04" w14:textId="77777777" w:rsidR="00AE135B" w:rsidRDefault="00EE5424">
      <w:pPr>
        <w:pStyle w:val="BodyText"/>
        <w:spacing w:before="124" w:line="360" w:lineRule="auto"/>
      </w:pPr>
      <w:r>
        <w:t>Treatment of</w:t>
      </w:r>
      <w:r>
        <w:rPr>
          <w:spacing w:val="21"/>
        </w:rPr>
        <w:t xml:space="preserve"> </w:t>
      </w:r>
      <w:r>
        <w:t>giant</w:t>
      </w:r>
      <w:r>
        <w:rPr>
          <w:spacing w:val="19"/>
        </w:rPr>
        <w:t xml:space="preserve"> </w:t>
      </w:r>
      <w:r>
        <w:t>cell</w:t>
      </w:r>
      <w:r>
        <w:rPr>
          <w:spacing w:val="19"/>
        </w:rPr>
        <w:t xml:space="preserve"> </w:t>
      </w:r>
      <w:proofErr w:type="spellStart"/>
      <w:r>
        <w:t>tumour</w:t>
      </w:r>
      <w:proofErr w:type="spellEnd"/>
      <w:r>
        <w:t xml:space="preserve"> of</w:t>
      </w:r>
      <w:r>
        <w:rPr>
          <w:spacing w:val="21"/>
        </w:rPr>
        <w:t xml:space="preserve"> </w:t>
      </w:r>
      <w:r>
        <w:t>bone</w:t>
      </w:r>
      <w:r>
        <w:rPr>
          <w:spacing w:val="21"/>
        </w:rPr>
        <w:t xml:space="preserve"> </w:t>
      </w:r>
      <w:r>
        <w:t>in adults</w:t>
      </w:r>
      <w:r>
        <w:rPr>
          <w:spacing w:val="21"/>
        </w:rPr>
        <w:t xml:space="preserve"> </w:t>
      </w:r>
      <w:r>
        <w:t>or skeletally mature</w:t>
      </w:r>
      <w:r>
        <w:rPr>
          <w:spacing w:val="19"/>
        </w:rPr>
        <w:t xml:space="preserve"> </w:t>
      </w:r>
      <w:r>
        <w:t>adolescents</w:t>
      </w:r>
      <w:r>
        <w:rPr>
          <w:spacing w:val="20"/>
        </w:rPr>
        <w:t xml:space="preserve"> </w:t>
      </w:r>
      <w:r>
        <w:t>that</w:t>
      </w:r>
      <w:r>
        <w:rPr>
          <w:spacing w:val="23"/>
        </w:rPr>
        <w:t xml:space="preserve"> </w:t>
      </w:r>
      <w:r>
        <w:t>is</w:t>
      </w:r>
      <w:r>
        <w:rPr>
          <w:spacing w:val="23"/>
        </w:rPr>
        <w:t xml:space="preserve"> </w:t>
      </w:r>
      <w:r>
        <w:t>recurrent,</w:t>
      </w:r>
      <w:r>
        <w:rPr>
          <w:spacing w:val="23"/>
        </w:rPr>
        <w:t xml:space="preserve"> </w:t>
      </w:r>
      <w:r>
        <w:t xml:space="preserve">or unresectable, or </w:t>
      </w:r>
      <w:proofErr w:type="spellStart"/>
      <w:r>
        <w:t>resectable</w:t>
      </w:r>
      <w:proofErr w:type="spellEnd"/>
      <w:r>
        <w:t xml:space="preserve"> but associated with severe morbidity.</w:t>
      </w:r>
    </w:p>
    <w:p w14:paraId="51F5AAA4" w14:textId="73992F66" w:rsidR="00AE135B" w:rsidRDefault="00EE5424" w:rsidP="00401300">
      <w:pPr>
        <w:pStyle w:val="BodyText"/>
        <w:spacing w:before="118"/>
      </w:pPr>
      <w:r>
        <w:rPr>
          <w:spacing w:val="-2"/>
        </w:rPr>
        <w:t>Treatment</w:t>
      </w:r>
      <w:r>
        <w:rPr>
          <w:spacing w:val="-13"/>
        </w:rPr>
        <w:t xml:space="preserve"> </w:t>
      </w:r>
      <w:r>
        <w:rPr>
          <w:spacing w:val="-2"/>
        </w:rPr>
        <w:t>of</w:t>
      </w:r>
      <w:r>
        <w:rPr>
          <w:spacing w:val="-9"/>
        </w:rPr>
        <w:t xml:space="preserve"> </w:t>
      </w:r>
      <w:proofErr w:type="spellStart"/>
      <w:r>
        <w:rPr>
          <w:spacing w:val="-2"/>
        </w:rPr>
        <w:t>hypercalcaemia</w:t>
      </w:r>
      <w:proofErr w:type="spellEnd"/>
      <w:r>
        <w:rPr>
          <w:spacing w:val="-7"/>
        </w:rPr>
        <w:t xml:space="preserve"> </w:t>
      </w:r>
      <w:r>
        <w:rPr>
          <w:spacing w:val="-2"/>
        </w:rPr>
        <w:t>of</w:t>
      </w:r>
      <w:r>
        <w:rPr>
          <w:spacing w:val="-9"/>
        </w:rPr>
        <w:t xml:space="preserve"> </w:t>
      </w:r>
      <w:proofErr w:type="gramStart"/>
      <w:r>
        <w:rPr>
          <w:spacing w:val="-2"/>
        </w:rPr>
        <w:t>malignancy</w:t>
      </w:r>
      <w:r>
        <w:rPr>
          <w:spacing w:val="-4"/>
        </w:rPr>
        <w:t xml:space="preserve"> </w:t>
      </w:r>
      <w:r>
        <w:rPr>
          <w:spacing w:val="-2"/>
        </w:rPr>
        <w:t>that</w:t>
      </w:r>
      <w:proofErr w:type="gramEnd"/>
      <w:r>
        <w:rPr>
          <w:spacing w:val="-5"/>
        </w:rPr>
        <w:t xml:space="preserve"> </w:t>
      </w:r>
      <w:r>
        <w:rPr>
          <w:spacing w:val="-2"/>
        </w:rPr>
        <w:t>is</w:t>
      </w:r>
      <w:r>
        <w:rPr>
          <w:spacing w:val="-5"/>
        </w:rPr>
        <w:t xml:space="preserve"> </w:t>
      </w:r>
      <w:r>
        <w:rPr>
          <w:spacing w:val="-2"/>
        </w:rPr>
        <w:t>refractory</w:t>
      </w:r>
      <w:r>
        <w:rPr>
          <w:spacing w:val="-7"/>
        </w:rPr>
        <w:t xml:space="preserve"> </w:t>
      </w:r>
      <w:r>
        <w:rPr>
          <w:spacing w:val="-2"/>
        </w:rPr>
        <w:t>to</w:t>
      </w:r>
      <w:r>
        <w:rPr>
          <w:spacing w:val="-3"/>
        </w:rPr>
        <w:t xml:space="preserve"> </w:t>
      </w:r>
      <w:r>
        <w:rPr>
          <w:spacing w:val="-2"/>
        </w:rPr>
        <w:t>intravenous</w:t>
      </w:r>
      <w:r>
        <w:rPr>
          <w:spacing w:val="-3"/>
        </w:rPr>
        <w:t xml:space="preserve"> </w:t>
      </w:r>
      <w:r>
        <w:rPr>
          <w:spacing w:val="-2"/>
        </w:rPr>
        <w:t>bisphosphonate.</w:t>
      </w:r>
    </w:p>
    <w:p w14:paraId="58A04572" w14:textId="77777777" w:rsidR="00AE135B" w:rsidRDefault="00EE5424" w:rsidP="00401300">
      <w:pPr>
        <w:pStyle w:val="Heading2"/>
        <w:pageBreakBefore/>
        <w:numPr>
          <w:ilvl w:val="1"/>
          <w:numId w:val="3"/>
        </w:numPr>
        <w:tabs>
          <w:tab w:val="left" w:pos="1106"/>
        </w:tabs>
        <w:ind w:left="1105" w:hanging="799"/>
      </w:pPr>
      <w:r>
        <w:lastRenderedPageBreak/>
        <w:t>Dose</w:t>
      </w:r>
      <w:r>
        <w:rPr>
          <w:spacing w:val="-7"/>
        </w:rPr>
        <w:t xml:space="preserve"> </w:t>
      </w:r>
      <w:r>
        <w:t>and</w:t>
      </w:r>
      <w:r>
        <w:rPr>
          <w:spacing w:val="-5"/>
        </w:rPr>
        <w:t xml:space="preserve"> </w:t>
      </w:r>
      <w:r>
        <w:t>method</w:t>
      </w:r>
      <w:r>
        <w:rPr>
          <w:spacing w:val="-5"/>
        </w:rPr>
        <w:t xml:space="preserve"> </w:t>
      </w:r>
      <w:r>
        <w:t>of</w:t>
      </w:r>
      <w:r>
        <w:rPr>
          <w:spacing w:val="-8"/>
        </w:rPr>
        <w:t xml:space="preserve"> </w:t>
      </w:r>
      <w:r>
        <w:rPr>
          <w:spacing w:val="-2"/>
        </w:rPr>
        <w:t>administration</w:t>
      </w:r>
    </w:p>
    <w:p w14:paraId="17950786" w14:textId="77777777" w:rsidR="00AE135B" w:rsidRDefault="00EE5424">
      <w:pPr>
        <w:pStyle w:val="Heading3"/>
        <w:spacing w:before="122"/>
        <w:jc w:val="both"/>
      </w:pPr>
      <w:r>
        <w:rPr>
          <w:spacing w:val="-2"/>
          <w:u w:val="single"/>
        </w:rPr>
        <w:t>Dosage</w:t>
      </w:r>
      <w:r>
        <w:rPr>
          <w:spacing w:val="-6"/>
          <w:u w:val="single"/>
        </w:rPr>
        <w:t xml:space="preserve"> </w:t>
      </w:r>
      <w:r>
        <w:rPr>
          <w:spacing w:val="-2"/>
          <w:u w:val="single"/>
        </w:rPr>
        <w:t>(dose</w:t>
      </w:r>
      <w:r>
        <w:rPr>
          <w:spacing w:val="-6"/>
          <w:u w:val="single"/>
        </w:rPr>
        <w:t xml:space="preserve"> </w:t>
      </w:r>
      <w:r>
        <w:rPr>
          <w:spacing w:val="-2"/>
          <w:u w:val="single"/>
        </w:rPr>
        <w:t>and</w:t>
      </w:r>
      <w:r>
        <w:rPr>
          <w:spacing w:val="-3"/>
          <w:u w:val="single"/>
        </w:rPr>
        <w:t xml:space="preserve"> </w:t>
      </w:r>
      <w:r>
        <w:rPr>
          <w:spacing w:val="-2"/>
          <w:u w:val="single"/>
        </w:rPr>
        <w:t>interval)</w:t>
      </w:r>
    </w:p>
    <w:p w14:paraId="4B4E62BD" w14:textId="77777777" w:rsidR="00AE135B" w:rsidRDefault="00EE5424">
      <w:pPr>
        <w:pStyle w:val="BodyText"/>
        <w:spacing w:before="247" w:line="357" w:lineRule="auto"/>
        <w:ind w:right="119"/>
      </w:pPr>
      <w:r>
        <w:t xml:space="preserve">The recommended dose of </w:t>
      </w:r>
      <w:proofErr w:type="spellStart"/>
      <w:r>
        <w:t>DOSTIVA</w:t>
      </w:r>
      <w:proofErr w:type="spellEnd"/>
      <w:r>
        <w:t xml:space="preserve"> for the prevention of skeletal related events is 120 mg administered as</w:t>
      </w:r>
      <w:r>
        <w:rPr>
          <w:spacing w:val="-7"/>
        </w:rPr>
        <w:t xml:space="preserve"> </w:t>
      </w:r>
      <w:r>
        <w:t>a</w:t>
      </w:r>
      <w:r>
        <w:rPr>
          <w:spacing w:val="-7"/>
        </w:rPr>
        <w:t xml:space="preserve"> </w:t>
      </w:r>
      <w:r>
        <w:t>single</w:t>
      </w:r>
      <w:r>
        <w:rPr>
          <w:spacing w:val="-9"/>
        </w:rPr>
        <w:t xml:space="preserve"> </w:t>
      </w:r>
      <w:r>
        <w:t>subcutaneous</w:t>
      </w:r>
      <w:r>
        <w:rPr>
          <w:spacing w:val="-6"/>
        </w:rPr>
        <w:t xml:space="preserve"> </w:t>
      </w:r>
      <w:r>
        <w:t>injection</w:t>
      </w:r>
      <w:r>
        <w:rPr>
          <w:spacing w:val="-8"/>
        </w:rPr>
        <w:t xml:space="preserve"> </w:t>
      </w:r>
      <w:r>
        <w:t>once</w:t>
      </w:r>
      <w:r>
        <w:rPr>
          <w:spacing w:val="-7"/>
        </w:rPr>
        <w:t xml:space="preserve"> </w:t>
      </w:r>
      <w:r>
        <w:t>every</w:t>
      </w:r>
      <w:r>
        <w:rPr>
          <w:spacing w:val="-9"/>
        </w:rPr>
        <w:t xml:space="preserve"> </w:t>
      </w:r>
      <w:r>
        <w:t>4</w:t>
      </w:r>
      <w:r>
        <w:rPr>
          <w:spacing w:val="-9"/>
        </w:rPr>
        <w:t xml:space="preserve"> </w:t>
      </w:r>
      <w:r>
        <w:t>weeks</w:t>
      </w:r>
      <w:r>
        <w:rPr>
          <w:spacing w:val="-9"/>
        </w:rPr>
        <w:t xml:space="preserve"> </w:t>
      </w:r>
      <w:r>
        <w:t>into</w:t>
      </w:r>
      <w:r>
        <w:rPr>
          <w:spacing w:val="-6"/>
        </w:rPr>
        <w:t xml:space="preserve"> </w:t>
      </w:r>
      <w:r>
        <w:t>the</w:t>
      </w:r>
      <w:r>
        <w:rPr>
          <w:spacing w:val="-6"/>
        </w:rPr>
        <w:t xml:space="preserve"> </w:t>
      </w:r>
      <w:r>
        <w:t>thigh,</w:t>
      </w:r>
      <w:r>
        <w:rPr>
          <w:spacing w:val="-7"/>
        </w:rPr>
        <w:t xml:space="preserve"> </w:t>
      </w:r>
      <w:r>
        <w:t>abdomen</w:t>
      </w:r>
      <w:r>
        <w:rPr>
          <w:spacing w:val="-10"/>
        </w:rPr>
        <w:t xml:space="preserve"> </w:t>
      </w:r>
      <w:r>
        <w:t>or</w:t>
      </w:r>
      <w:r>
        <w:rPr>
          <w:spacing w:val="-10"/>
        </w:rPr>
        <w:t xml:space="preserve"> </w:t>
      </w:r>
      <w:r>
        <w:t>upper</w:t>
      </w:r>
      <w:r>
        <w:rPr>
          <w:spacing w:val="-10"/>
        </w:rPr>
        <w:t xml:space="preserve"> </w:t>
      </w:r>
      <w:r>
        <w:t>arm.</w:t>
      </w:r>
    </w:p>
    <w:p w14:paraId="35C6688A" w14:textId="77777777" w:rsidR="00AE135B" w:rsidRDefault="00EE5424">
      <w:pPr>
        <w:pStyle w:val="BodyText"/>
        <w:spacing w:before="37" w:line="360" w:lineRule="auto"/>
        <w:ind w:right="171"/>
        <w:jc w:val="both"/>
      </w:pPr>
      <w:r>
        <w:t>The</w:t>
      </w:r>
      <w:r>
        <w:rPr>
          <w:spacing w:val="-5"/>
        </w:rPr>
        <w:t xml:space="preserve"> </w:t>
      </w:r>
      <w:r>
        <w:t>recommended</w:t>
      </w:r>
      <w:r>
        <w:rPr>
          <w:spacing w:val="-6"/>
        </w:rPr>
        <w:t xml:space="preserve"> </w:t>
      </w:r>
      <w:r>
        <w:t>dose</w:t>
      </w:r>
      <w:r>
        <w:rPr>
          <w:spacing w:val="-7"/>
        </w:rPr>
        <w:t xml:space="preserve"> </w:t>
      </w:r>
      <w:r>
        <w:t>of</w:t>
      </w:r>
      <w:r>
        <w:rPr>
          <w:spacing w:val="-7"/>
        </w:rPr>
        <w:t xml:space="preserve"> </w:t>
      </w:r>
      <w:proofErr w:type="spellStart"/>
      <w:r>
        <w:t>DOSTIVA</w:t>
      </w:r>
      <w:proofErr w:type="spellEnd"/>
      <w:r>
        <w:rPr>
          <w:spacing w:val="-6"/>
        </w:rPr>
        <w:t xml:space="preserve"> </w:t>
      </w:r>
      <w:r>
        <w:t>for</w:t>
      </w:r>
      <w:r>
        <w:rPr>
          <w:spacing w:val="-8"/>
        </w:rPr>
        <w:t xml:space="preserve"> </w:t>
      </w:r>
      <w:r>
        <w:t>the</w:t>
      </w:r>
      <w:r>
        <w:rPr>
          <w:spacing w:val="-8"/>
        </w:rPr>
        <w:t xml:space="preserve"> </w:t>
      </w:r>
      <w:r>
        <w:t>treatment</w:t>
      </w:r>
      <w:r>
        <w:rPr>
          <w:spacing w:val="-8"/>
        </w:rPr>
        <w:t xml:space="preserve"> </w:t>
      </w:r>
      <w:r>
        <w:t>of</w:t>
      </w:r>
      <w:r>
        <w:rPr>
          <w:spacing w:val="-6"/>
        </w:rPr>
        <w:t xml:space="preserve"> </w:t>
      </w:r>
      <w:r>
        <w:t>giant</w:t>
      </w:r>
      <w:r>
        <w:rPr>
          <w:spacing w:val="-7"/>
        </w:rPr>
        <w:t xml:space="preserve"> </w:t>
      </w:r>
      <w:r>
        <w:t>cell</w:t>
      </w:r>
      <w:r>
        <w:rPr>
          <w:spacing w:val="-8"/>
        </w:rPr>
        <w:t xml:space="preserve"> </w:t>
      </w:r>
      <w:proofErr w:type="spellStart"/>
      <w:r>
        <w:t>tumour</w:t>
      </w:r>
      <w:proofErr w:type="spellEnd"/>
      <w:r>
        <w:rPr>
          <w:spacing w:val="-8"/>
        </w:rPr>
        <w:t xml:space="preserve"> </w:t>
      </w:r>
      <w:r>
        <w:t>of</w:t>
      </w:r>
      <w:r>
        <w:rPr>
          <w:spacing w:val="-6"/>
        </w:rPr>
        <w:t xml:space="preserve"> </w:t>
      </w:r>
      <w:r>
        <w:t>bone</w:t>
      </w:r>
      <w:r>
        <w:rPr>
          <w:spacing w:val="-5"/>
        </w:rPr>
        <w:t xml:space="preserve"> </w:t>
      </w:r>
      <w:r>
        <w:t>and</w:t>
      </w:r>
      <w:r>
        <w:rPr>
          <w:spacing w:val="-6"/>
        </w:rPr>
        <w:t xml:space="preserve"> </w:t>
      </w:r>
      <w:proofErr w:type="spellStart"/>
      <w:r>
        <w:t>hypercalcaemia</w:t>
      </w:r>
      <w:proofErr w:type="spellEnd"/>
      <w:r>
        <w:rPr>
          <w:spacing w:val="22"/>
        </w:rPr>
        <w:t xml:space="preserve"> </w:t>
      </w:r>
      <w:r>
        <w:t>of malignancy</w:t>
      </w:r>
      <w:r>
        <w:rPr>
          <w:spacing w:val="40"/>
        </w:rPr>
        <w:t xml:space="preserve"> </w:t>
      </w:r>
      <w:r>
        <w:t>is</w:t>
      </w:r>
      <w:r>
        <w:rPr>
          <w:spacing w:val="40"/>
        </w:rPr>
        <w:t xml:space="preserve"> </w:t>
      </w:r>
      <w:r>
        <w:t>120</w:t>
      </w:r>
      <w:r>
        <w:rPr>
          <w:spacing w:val="40"/>
        </w:rPr>
        <w:t xml:space="preserve"> </w:t>
      </w:r>
      <w:r>
        <w:t>mg</w:t>
      </w:r>
      <w:r>
        <w:rPr>
          <w:spacing w:val="40"/>
        </w:rPr>
        <w:t xml:space="preserve"> </w:t>
      </w:r>
      <w:r>
        <w:t>administered</w:t>
      </w:r>
      <w:r>
        <w:rPr>
          <w:spacing w:val="40"/>
        </w:rPr>
        <w:t xml:space="preserve"> </w:t>
      </w:r>
      <w:r>
        <w:t>as</w:t>
      </w:r>
      <w:r>
        <w:rPr>
          <w:spacing w:val="40"/>
        </w:rPr>
        <w:t xml:space="preserve"> </w:t>
      </w:r>
      <w:r>
        <w:t>a</w:t>
      </w:r>
      <w:r>
        <w:rPr>
          <w:spacing w:val="40"/>
        </w:rPr>
        <w:t xml:space="preserve"> </w:t>
      </w:r>
      <w:r>
        <w:t>single</w:t>
      </w:r>
      <w:r>
        <w:rPr>
          <w:spacing w:val="40"/>
        </w:rPr>
        <w:t xml:space="preserve"> </w:t>
      </w:r>
      <w:r>
        <w:t>subcutaneous</w:t>
      </w:r>
      <w:r>
        <w:rPr>
          <w:spacing w:val="40"/>
        </w:rPr>
        <w:t xml:space="preserve"> </w:t>
      </w:r>
      <w:r>
        <w:t>injection</w:t>
      </w:r>
      <w:r>
        <w:rPr>
          <w:spacing w:val="40"/>
        </w:rPr>
        <w:t xml:space="preserve"> </w:t>
      </w:r>
      <w:r>
        <w:t>once</w:t>
      </w:r>
      <w:r>
        <w:rPr>
          <w:spacing w:val="40"/>
        </w:rPr>
        <w:t xml:space="preserve"> </w:t>
      </w:r>
      <w:r>
        <w:t>every 4</w:t>
      </w:r>
      <w:r>
        <w:rPr>
          <w:spacing w:val="-2"/>
        </w:rPr>
        <w:t xml:space="preserve"> </w:t>
      </w:r>
      <w:r>
        <w:t xml:space="preserve">weeks into the </w:t>
      </w:r>
      <w:r>
        <w:rPr>
          <w:spacing w:val="-2"/>
        </w:rPr>
        <w:t>thigh,</w:t>
      </w:r>
      <w:r>
        <w:rPr>
          <w:spacing w:val="-11"/>
        </w:rPr>
        <w:t xml:space="preserve"> </w:t>
      </w:r>
      <w:r>
        <w:rPr>
          <w:spacing w:val="-2"/>
        </w:rPr>
        <w:t>abdomen</w:t>
      </w:r>
      <w:r>
        <w:rPr>
          <w:spacing w:val="-10"/>
        </w:rPr>
        <w:t xml:space="preserve"> </w:t>
      </w:r>
      <w:r>
        <w:rPr>
          <w:spacing w:val="-2"/>
        </w:rPr>
        <w:t>or</w:t>
      </w:r>
      <w:r>
        <w:rPr>
          <w:spacing w:val="-11"/>
        </w:rPr>
        <w:t xml:space="preserve"> </w:t>
      </w:r>
      <w:r>
        <w:rPr>
          <w:spacing w:val="-2"/>
        </w:rPr>
        <w:t>upper</w:t>
      </w:r>
      <w:r>
        <w:rPr>
          <w:spacing w:val="-7"/>
        </w:rPr>
        <w:t xml:space="preserve"> </w:t>
      </w:r>
      <w:r>
        <w:rPr>
          <w:spacing w:val="-2"/>
        </w:rPr>
        <w:t>arm</w:t>
      </w:r>
      <w:r>
        <w:rPr>
          <w:spacing w:val="-8"/>
        </w:rPr>
        <w:t xml:space="preserve"> </w:t>
      </w:r>
      <w:r>
        <w:rPr>
          <w:spacing w:val="-2"/>
        </w:rPr>
        <w:t>with</w:t>
      </w:r>
      <w:r>
        <w:rPr>
          <w:spacing w:val="-9"/>
        </w:rPr>
        <w:t xml:space="preserve"> </w:t>
      </w:r>
      <w:r>
        <w:rPr>
          <w:spacing w:val="-2"/>
        </w:rPr>
        <w:t>a</w:t>
      </w:r>
      <w:r>
        <w:rPr>
          <w:spacing w:val="-10"/>
        </w:rPr>
        <w:t xml:space="preserve"> </w:t>
      </w:r>
      <w:r>
        <w:rPr>
          <w:spacing w:val="-2"/>
        </w:rPr>
        <w:t>loading</w:t>
      </w:r>
      <w:r>
        <w:rPr>
          <w:spacing w:val="-7"/>
        </w:rPr>
        <w:t xml:space="preserve"> </w:t>
      </w:r>
      <w:r>
        <w:rPr>
          <w:spacing w:val="-2"/>
        </w:rPr>
        <w:t>dose</w:t>
      </w:r>
      <w:r>
        <w:rPr>
          <w:spacing w:val="-11"/>
        </w:rPr>
        <w:t xml:space="preserve"> </w:t>
      </w:r>
      <w:r>
        <w:rPr>
          <w:spacing w:val="-2"/>
        </w:rPr>
        <w:t>of</w:t>
      </w:r>
      <w:r>
        <w:rPr>
          <w:spacing w:val="-9"/>
        </w:rPr>
        <w:t xml:space="preserve"> </w:t>
      </w:r>
      <w:r>
        <w:rPr>
          <w:spacing w:val="-2"/>
        </w:rPr>
        <w:t>120</w:t>
      </w:r>
      <w:r>
        <w:rPr>
          <w:spacing w:val="-9"/>
        </w:rPr>
        <w:t xml:space="preserve"> </w:t>
      </w:r>
      <w:r>
        <w:rPr>
          <w:spacing w:val="-2"/>
        </w:rPr>
        <w:t>mg</w:t>
      </w:r>
      <w:r>
        <w:rPr>
          <w:spacing w:val="-11"/>
        </w:rPr>
        <w:t xml:space="preserve"> </w:t>
      </w:r>
      <w:r>
        <w:rPr>
          <w:spacing w:val="-2"/>
        </w:rPr>
        <w:t>on</w:t>
      </w:r>
      <w:r>
        <w:rPr>
          <w:spacing w:val="-7"/>
        </w:rPr>
        <w:t xml:space="preserve"> </w:t>
      </w:r>
      <w:r>
        <w:rPr>
          <w:spacing w:val="-2"/>
        </w:rPr>
        <w:t>days</w:t>
      </w:r>
      <w:r>
        <w:rPr>
          <w:spacing w:val="-7"/>
        </w:rPr>
        <w:t xml:space="preserve"> </w:t>
      </w:r>
      <w:r>
        <w:rPr>
          <w:spacing w:val="-2"/>
        </w:rPr>
        <w:t>8</w:t>
      </w:r>
      <w:r>
        <w:rPr>
          <w:spacing w:val="-5"/>
        </w:rPr>
        <w:t xml:space="preserve"> </w:t>
      </w:r>
      <w:r>
        <w:rPr>
          <w:spacing w:val="-2"/>
        </w:rPr>
        <w:t>and</w:t>
      </w:r>
      <w:r>
        <w:rPr>
          <w:spacing w:val="-8"/>
        </w:rPr>
        <w:t xml:space="preserve"> </w:t>
      </w:r>
      <w:r>
        <w:rPr>
          <w:spacing w:val="-2"/>
        </w:rPr>
        <w:t>15</w:t>
      </w:r>
      <w:r>
        <w:rPr>
          <w:spacing w:val="-5"/>
        </w:rPr>
        <w:t xml:space="preserve"> </w:t>
      </w:r>
      <w:r>
        <w:rPr>
          <w:spacing w:val="-2"/>
        </w:rPr>
        <w:t>of</w:t>
      </w:r>
      <w:r>
        <w:rPr>
          <w:spacing w:val="-9"/>
        </w:rPr>
        <w:t xml:space="preserve"> </w:t>
      </w:r>
      <w:r>
        <w:rPr>
          <w:spacing w:val="-2"/>
        </w:rPr>
        <w:t>the</w:t>
      </w:r>
      <w:r>
        <w:rPr>
          <w:spacing w:val="-3"/>
        </w:rPr>
        <w:t xml:space="preserve"> </w:t>
      </w:r>
      <w:r>
        <w:rPr>
          <w:spacing w:val="-2"/>
        </w:rPr>
        <w:t>initial</w:t>
      </w:r>
      <w:r>
        <w:t xml:space="preserve"> </w:t>
      </w:r>
      <w:r>
        <w:rPr>
          <w:spacing w:val="-2"/>
        </w:rPr>
        <w:t>4-week</w:t>
      </w:r>
      <w:r>
        <w:t xml:space="preserve"> </w:t>
      </w:r>
      <w:r>
        <w:rPr>
          <w:spacing w:val="-2"/>
        </w:rPr>
        <w:t>treatment period.</w:t>
      </w:r>
    </w:p>
    <w:p w14:paraId="17A5458F" w14:textId="77777777" w:rsidR="00AE135B" w:rsidRDefault="00EE5424">
      <w:pPr>
        <w:pStyle w:val="BodyText"/>
        <w:spacing w:before="93" w:line="360" w:lineRule="auto"/>
        <w:ind w:right="173"/>
        <w:jc w:val="both"/>
      </w:pPr>
      <w:r>
        <w:t>Daily</w:t>
      </w:r>
      <w:r>
        <w:rPr>
          <w:spacing w:val="-2"/>
        </w:rPr>
        <w:t xml:space="preserve"> </w:t>
      </w:r>
      <w:r>
        <w:t>supplementation</w:t>
      </w:r>
      <w:r>
        <w:rPr>
          <w:spacing w:val="-6"/>
        </w:rPr>
        <w:t xml:space="preserve"> </w:t>
      </w:r>
      <w:r>
        <w:t>with</w:t>
      </w:r>
      <w:r>
        <w:rPr>
          <w:spacing w:val="-4"/>
        </w:rPr>
        <w:t xml:space="preserve"> </w:t>
      </w:r>
      <w:r>
        <w:t>at least</w:t>
      </w:r>
      <w:r>
        <w:rPr>
          <w:spacing w:val="-2"/>
        </w:rPr>
        <w:t xml:space="preserve"> </w:t>
      </w:r>
      <w:r>
        <w:t>500</w:t>
      </w:r>
      <w:r>
        <w:rPr>
          <w:spacing w:val="-5"/>
        </w:rPr>
        <w:t xml:space="preserve"> </w:t>
      </w:r>
      <w:r>
        <w:t>mg</w:t>
      </w:r>
      <w:r>
        <w:rPr>
          <w:spacing w:val="-6"/>
        </w:rPr>
        <w:t xml:space="preserve"> </w:t>
      </w:r>
      <w:r>
        <w:t>calcium and</w:t>
      </w:r>
      <w:r>
        <w:rPr>
          <w:spacing w:val="-4"/>
        </w:rPr>
        <w:t xml:space="preserve"> </w:t>
      </w:r>
      <w:r>
        <w:t>400</w:t>
      </w:r>
      <w:r>
        <w:rPr>
          <w:spacing w:val="-2"/>
        </w:rPr>
        <w:t xml:space="preserve"> </w:t>
      </w:r>
      <w:r>
        <w:t>IU</w:t>
      </w:r>
      <w:r>
        <w:rPr>
          <w:spacing w:val="-6"/>
        </w:rPr>
        <w:t xml:space="preserve"> </w:t>
      </w:r>
      <w:r>
        <w:t>vitamin</w:t>
      </w:r>
      <w:r>
        <w:rPr>
          <w:spacing w:val="-4"/>
        </w:rPr>
        <w:t xml:space="preserve"> </w:t>
      </w:r>
      <w:r>
        <w:t>D</w:t>
      </w:r>
      <w:r>
        <w:rPr>
          <w:spacing w:val="-5"/>
        </w:rPr>
        <w:t xml:space="preserve"> </w:t>
      </w:r>
      <w:r>
        <w:t>is</w:t>
      </w:r>
      <w:r>
        <w:rPr>
          <w:spacing w:val="-1"/>
        </w:rPr>
        <w:t xml:space="preserve"> </w:t>
      </w:r>
      <w:r>
        <w:t>required</w:t>
      </w:r>
      <w:r>
        <w:rPr>
          <w:spacing w:val="-3"/>
        </w:rPr>
        <w:t xml:space="preserve"> </w:t>
      </w:r>
      <w:r>
        <w:t>in</w:t>
      </w:r>
      <w:r>
        <w:rPr>
          <w:spacing w:val="-1"/>
        </w:rPr>
        <w:t xml:space="preserve"> </w:t>
      </w:r>
      <w:r>
        <w:t>all</w:t>
      </w:r>
      <w:r>
        <w:rPr>
          <w:spacing w:val="-2"/>
        </w:rPr>
        <w:t xml:space="preserve"> </w:t>
      </w:r>
      <w:r>
        <w:t>patients,</w:t>
      </w:r>
      <w:r>
        <w:rPr>
          <w:spacing w:val="-1"/>
        </w:rPr>
        <w:t xml:space="preserve"> </w:t>
      </w:r>
      <w:r>
        <w:t xml:space="preserve">unless </w:t>
      </w:r>
      <w:proofErr w:type="spellStart"/>
      <w:r>
        <w:t>hypercalcaemia</w:t>
      </w:r>
      <w:proofErr w:type="spellEnd"/>
      <w:r>
        <w:t xml:space="preserve"> is present (see Section 4.4 Special warnings and precautions for use, Vitamin supplementation and </w:t>
      </w:r>
      <w:proofErr w:type="spellStart"/>
      <w:r>
        <w:t>hypocalcaemia</w:t>
      </w:r>
      <w:proofErr w:type="spellEnd"/>
      <w:r>
        <w:t>).</w:t>
      </w:r>
    </w:p>
    <w:p w14:paraId="3A6A471B" w14:textId="77777777" w:rsidR="00AE135B" w:rsidRDefault="00AE135B">
      <w:pPr>
        <w:pStyle w:val="BodyText"/>
        <w:spacing w:before="254"/>
        <w:ind w:left="0"/>
      </w:pPr>
    </w:p>
    <w:p w14:paraId="1A36AD94" w14:textId="77777777" w:rsidR="00AE135B" w:rsidRDefault="00EE5424">
      <w:pPr>
        <w:pStyle w:val="Heading3"/>
        <w:jc w:val="both"/>
      </w:pPr>
      <w:r>
        <w:rPr>
          <w:u w:val="single"/>
        </w:rPr>
        <w:t>Method</w:t>
      </w:r>
      <w:r>
        <w:rPr>
          <w:spacing w:val="-13"/>
          <w:u w:val="single"/>
        </w:rPr>
        <w:t xml:space="preserve"> </w:t>
      </w:r>
      <w:r>
        <w:rPr>
          <w:u w:val="single"/>
        </w:rPr>
        <w:t>of</w:t>
      </w:r>
      <w:r>
        <w:rPr>
          <w:spacing w:val="-11"/>
          <w:u w:val="single"/>
        </w:rPr>
        <w:t xml:space="preserve"> </w:t>
      </w:r>
      <w:r>
        <w:rPr>
          <w:spacing w:val="-2"/>
          <w:u w:val="single"/>
        </w:rPr>
        <w:t>administration</w:t>
      </w:r>
    </w:p>
    <w:p w14:paraId="3EADC747" w14:textId="77777777" w:rsidR="00AE135B" w:rsidRDefault="00EE5424">
      <w:pPr>
        <w:pStyle w:val="BodyText"/>
        <w:spacing w:before="248"/>
        <w:jc w:val="both"/>
      </w:pPr>
      <w:r>
        <w:t>Subcutaneous</w:t>
      </w:r>
      <w:r>
        <w:rPr>
          <w:spacing w:val="-10"/>
        </w:rPr>
        <w:t xml:space="preserve"> </w:t>
      </w:r>
      <w:r>
        <w:rPr>
          <w:spacing w:val="-2"/>
        </w:rPr>
        <w:t>Injection</w:t>
      </w:r>
    </w:p>
    <w:p w14:paraId="2BC2D7B2" w14:textId="77777777" w:rsidR="00AE135B" w:rsidRDefault="00EE5424">
      <w:pPr>
        <w:pStyle w:val="BodyText"/>
        <w:spacing w:before="250" w:line="360" w:lineRule="auto"/>
        <w:ind w:right="172"/>
        <w:jc w:val="both"/>
      </w:pPr>
      <w:r>
        <w:t>Before</w:t>
      </w:r>
      <w:r>
        <w:rPr>
          <w:spacing w:val="-13"/>
        </w:rPr>
        <w:t xml:space="preserve"> </w:t>
      </w:r>
      <w:r>
        <w:t>administration,</w:t>
      </w:r>
      <w:r>
        <w:rPr>
          <w:spacing w:val="-12"/>
        </w:rPr>
        <w:t xml:space="preserve"> </w:t>
      </w:r>
      <w:r>
        <w:t>the</w:t>
      </w:r>
      <w:r>
        <w:rPr>
          <w:spacing w:val="-13"/>
        </w:rPr>
        <w:t xml:space="preserve"> </w:t>
      </w:r>
      <w:proofErr w:type="spellStart"/>
      <w:r>
        <w:t>DOSTIVA</w:t>
      </w:r>
      <w:proofErr w:type="spellEnd"/>
      <w:r>
        <w:rPr>
          <w:spacing w:val="-12"/>
        </w:rPr>
        <w:t xml:space="preserve"> </w:t>
      </w:r>
      <w:r>
        <w:t>solution</w:t>
      </w:r>
      <w:r>
        <w:rPr>
          <w:spacing w:val="-13"/>
        </w:rPr>
        <w:t xml:space="preserve"> </w:t>
      </w:r>
      <w:r>
        <w:t>should</w:t>
      </w:r>
      <w:r>
        <w:rPr>
          <w:spacing w:val="-12"/>
        </w:rPr>
        <w:t xml:space="preserve"> </w:t>
      </w:r>
      <w:r>
        <w:t>be</w:t>
      </w:r>
      <w:r>
        <w:rPr>
          <w:spacing w:val="-13"/>
        </w:rPr>
        <w:t xml:space="preserve"> </w:t>
      </w:r>
      <w:r>
        <w:t>inspected</w:t>
      </w:r>
      <w:r>
        <w:rPr>
          <w:spacing w:val="-12"/>
        </w:rPr>
        <w:t xml:space="preserve"> </w:t>
      </w:r>
      <w:r>
        <w:t>for</w:t>
      </w:r>
      <w:r>
        <w:rPr>
          <w:spacing w:val="-12"/>
        </w:rPr>
        <w:t xml:space="preserve"> </w:t>
      </w:r>
      <w:r>
        <w:t>particulate</w:t>
      </w:r>
      <w:r>
        <w:rPr>
          <w:spacing w:val="-13"/>
        </w:rPr>
        <w:t xml:space="preserve"> </w:t>
      </w:r>
      <w:r>
        <w:t>matter</w:t>
      </w:r>
      <w:r>
        <w:rPr>
          <w:spacing w:val="-12"/>
        </w:rPr>
        <w:t xml:space="preserve"> </w:t>
      </w:r>
      <w:r>
        <w:t>and</w:t>
      </w:r>
      <w:r>
        <w:rPr>
          <w:spacing w:val="-13"/>
        </w:rPr>
        <w:t xml:space="preserve"> </w:t>
      </w:r>
      <w:proofErr w:type="spellStart"/>
      <w:r>
        <w:t>discolouration</w:t>
      </w:r>
      <w:proofErr w:type="spellEnd"/>
      <w:r>
        <w:t xml:space="preserve">. Do not </w:t>
      </w:r>
      <w:proofErr w:type="gramStart"/>
      <w:r>
        <w:t>use</w:t>
      </w:r>
      <w:proofErr w:type="gramEnd"/>
      <w:r>
        <w:t xml:space="preserve"> if the solution is cloudy or </w:t>
      </w:r>
      <w:proofErr w:type="spellStart"/>
      <w:r>
        <w:t>discoloured</w:t>
      </w:r>
      <w:proofErr w:type="spellEnd"/>
      <w:r>
        <w:t>.</w:t>
      </w:r>
      <w:r>
        <w:rPr>
          <w:spacing w:val="40"/>
        </w:rPr>
        <w:t xml:space="preserve"> </w:t>
      </w:r>
      <w:r>
        <w:t>Do not shake excessively.</w:t>
      </w:r>
      <w:r>
        <w:rPr>
          <w:spacing w:val="40"/>
        </w:rPr>
        <w:t xml:space="preserve"> </w:t>
      </w:r>
      <w:r>
        <w:t>To avoid discomfort at the site</w:t>
      </w:r>
      <w:r>
        <w:rPr>
          <w:spacing w:val="-3"/>
        </w:rPr>
        <w:t xml:space="preserve"> </w:t>
      </w:r>
      <w:r>
        <w:t>of</w:t>
      </w:r>
      <w:r>
        <w:rPr>
          <w:spacing w:val="-4"/>
        </w:rPr>
        <w:t xml:space="preserve"> </w:t>
      </w:r>
      <w:r>
        <w:t>injection,</w:t>
      </w:r>
      <w:r>
        <w:rPr>
          <w:spacing w:val="-1"/>
        </w:rPr>
        <w:t xml:space="preserve"> </w:t>
      </w:r>
      <w:r>
        <w:t>allow</w:t>
      </w:r>
      <w:r>
        <w:rPr>
          <w:spacing w:val="-1"/>
        </w:rPr>
        <w:t xml:space="preserve"> </w:t>
      </w:r>
      <w:r>
        <w:t>the</w:t>
      </w:r>
      <w:r>
        <w:rPr>
          <w:spacing w:val="-5"/>
        </w:rPr>
        <w:t xml:space="preserve"> </w:t>
      </w:r>
      <w:r>
        <w:t>vial</w:t>
      </w:r>
      <w:r>
        <w:rPr>
          <w:spacing w:val="-2"/>
        </w:rPr>
        <w:t xml:space="preserve"> </w:t>
      </w:r>
      <w:r>
        <w:t>to</w:t>
      </w:r>
      <w:r>
        <w:rPr>
          <w:spacing w:val="-2"/>
        </w:rPr>
        <w:t xml:space="preserve"> </w:t>
      </w:r>
      <w:r>
        <w:t>reach</w:t>
      </w:r>
      <w:r>
        <w:rPr>
          <w:spacing w:val="-4"/>
        </w:rPr>
        <w:t xml:space="preserve"> </w:t>
      </w:r>
      <w:r>
        <w:t>room</w:t>
      </w:r>
      <w:r>
        <w:rPr>
          <w:spacing w:val="-2"/>
        </w:rPr>
        <w:t xml:space="preserve"> </w:t>
      </w:r>
      <w:r>
        <w:t>temperature</w:t>
      </w:r>
      <w:r>
        <w:rPr>
          <w:spacing w:val="-3"/>
        </w:rPr>
        <w:t xml:space="preserve"> </w:t>
      </w:r>
      <w:r>
        <w:t>(up</w:t>
      </w:r>
      <w:r>
        <w:rPr>
          <w:spacing w:val="-7"/>
        </w:rPr>
        <w:t xml:space="preserve"> </w:t>
      </w:r>
      <w:r>
        <w:t>to</w:t>
      </w:r>
      <w:r>
        <w:rPr>
          <w:spacing w:val="-5"/>
        </w:rPr>
        <w:t xml:space="preserve"> </w:t>
      </w:r>
      <w:r>
        <w:t xml:space="preserve">25 </w:t>
      </w:r>
      <w:proofErr w:type="spellStart"/>
      <w:r>
        <w:rPr>
          <w:vertAlign w:val="superscript"/>
        </w:rPr>
        <w:t>o</w:t>
      </w:r>
      <w:r>
        <w:t>C</w:t>
      </w:r>
      <w:proofErr w:type="spellEnd"/>
      <w:r>
        <w:t>)</w:t>
      </w:r>
      <w:r>
        <w:rPr>
          <w:spacing w:val="-6"/>
        </w:rPr>
        <w:t xml:space="preserve"> </w:t>
      </w:r>
      <w:r>
        <w:t>before</w:t>
      </w:r>
      <w:r>
        <w:rPr>
          <w:spacing w:val="-2"/>
        </w:rPr>
        <w:t xml:space="preserve"> </w:t>
      </w:r>
      <w:r>
        <w:t>injecting, and</w:t>
      </w:r>
      <w:r>
        <w:rPr>
          <w:spacing w:val="-1"/>
        </w:rPr>
        <w:t xml:space="preserve"> </w:t>
      </w:r>
      <w:r>
        <w:t>inject slowly.</w:t>
      </w:r>
    </w:p>
    <w:p w14:paraId="6CD98687" w14:textId="77777777" w:rsidR="00AE135B" w:rsidRDefault="00EE5424">
      <w:pPr>
        <w:pStyle w:val="BodyText"/>
        <w:spacing w:before="118"/>
        <w:jc w:val="both"/>
      </w:pPr>
      <w:r>
        <w:t>Product</w:t>
      </w:r>
      <w:r>
        <w:rPr>
          <w:spacing w:val="-12"/>
        </w:rPr>
        <w:t xml:space="preserve"> </w:t>
      </w:r>
      <w:r>
        <w:t>is</w:t>
      </w:r>
      <w:r>
        <w:rPr>
          <w:spacing w:val="-7"/>
        </w:rPr>
        <w:t xml:space="preserve"> </w:t>
      </w:r>
      <w:r>
        <w:t>for</w:t>
      </w:r>
      <w:r>
        <w:rPr>
          <w:spacing w:val="-10"/>
        </w:rPr>
        <w:t xml:space="preserve"> </w:t>
      </w:r>
      <w:proofErr w:type="gramStart"/>
      <w:r>
        <w:t>single-use</w:t>
      </w:r>
      <w:proofErr w:type="gramEnd"/>
      <w:r>
        <w:rPr>
          <w:spacing w:val="-6"/>
        </w:rPr>
        <w:t xml:space="preserve"> </w:t>
      </w:r>
      <w:r>
        <w:t>in</w:t>
      </w:r>
      <w:r>
        <w:rPr>
          <w:spacing w:val="-11"/>
        </w:rPr>
        <w:t xml:space="preserve"> </w:t>
      </w:r>
      <w:r>
        <w:t>one</w:t>
      </w:r>
      <w:r>
        <w:rPr>
          <w:spacing w:val="-9"/>
        </w:rPr>
        <w:t xml:space="preserve"> </w:t>
      </w:r>
      <w:r>
        <w:t>patient</w:t>
      </w:r>
      <w:r>
        <w:rPr>
          <w:spacing w:val="-10"/>
        </w:rPr>
        <w:t xml:space="preserve"> </w:t>
      </w:r>
      <w:r>
        <w:t>only.</w:t>
      </w:r>
      <w:r>
        <w:rPr>
          <w:spacing w:val="-5"/>
        </w:rPr>
        <w:t xml:space="preserve"> </w:t>
      </w:r>
      <w:r>
        <w:t>Discard</w:t>
      </w:r>
      <w:r>
        <w:rPr>
          <w:spacing w:val="-5"/>
        </w:rPr>
        <w:t xml:space="preserve"> </w:t>
      </w:r>
      <w:r>
        <w:t>any</w:t>
      </w:r>
      <w:r>
        <w:rPr>
          <w:spacing w:val="-3"/>
        </w:rPr>
        <w:t xml:space="preserve"> </w:t>
      </w:r>
      <w:r>
        <w:t>unused</w:t>
      </w:r>
      <w:r>
        <w:rPr>
          <w:spacing w:val="-4"/>
        </w:rPr>
        <w:t xml:space="preserve"> </w:t>
      </w:r>
      <w:r>
        <w:t>portion</w:t>
      </w:r>
      <w:r>
        <w:rPr>
          <w:spacing w:val="-6"/>
        </w:rPr>
        <w:t xml:space="preserve"> </w:t>
      </w:r>
      <w:r>
        <w:t>of</w:t>
      </w:r>
      <w:r>
        <w:rPr>
          <w:spacing w:val="-5"/>
        </w:rPr>
        <w:t xml:space="preserve"> </w:t>
      </w:r>
      <w:r>
        <w:t>the</w:t>
      </w:r>
      <w:r>
        <w:rPr>
          <w:spacing w:val="-5"/>
        </w:rPr>
        <w:t xml:space="preserve"> </w:t>
      </w:r>
      <w:r>
        <w:rPr>
          <w:spacing w:val="-2"/>
        </w:rPr>
        <w:t>vial.</w:t>
      </w:r>
    </w:p>
    <w:p w14:paraId="6A2AAFAB" w14:textId="77777777" w:rsidR="00AE135B" w:rsidRDefault="00AE135B">
      <w:pPr>
        <w:pStyle w:val="BodyText"/>
        <w:spacing w:before="119"/>
        <w:ind w:left="0"/>
      </w:pPr>
    </w:p>
    <w:p w14:paraId="02A221F2" w14:textId="77777777" w:rsidR="00AE135B" w:rsidRDefault="00EE5424">
      <w:pPr>
        <w:pStyle w:val="BodyText"/>
        <w:spacing w:line="360" w:lineRule="auto"/>
      </w:pPr>
      <w:r>
        <w:rPr>
          <w:spacing w:val="-2"/>
        </w:rPr>
        <w:t>Administration to patients under the age of 18 should be performed by a healthcare professional or trained caregiver.</w:t>
      </w:r>
    </w:p>
    <w:p w14:paraId="20FCE6D4" w14:textId="77777777" w:rsidR="00AE135B" w:rsidRDefault="00EE5424">
      <w:pPr>
        <w:pStyle w:val="BodyText"/>
        <w:spacing w:before="119" w:line="360" w:lineRule="auto"/>
      </w:pPr>
      <w:r>
        <w:t>Administration</w:t>
      </w:r>
      <w:r>
        <w:rPr>
          <w:spacing w:val="40"/>
        </w:rPr>
        <w:t xml:space="preserve"> </w:t>
      </w:r>
      <w:r>
        <w:t>should</w:t>
      </w:r>
      <w:r>
        <w:rPr>
          <w:spacing w:val="40"/>
        </w:rPr>
        <w:t xml:space="preserve"> </w:t>
      </w:r>
      <w:r>
        <w:t>be</w:t>
      </w:r>
      <w:r>
        <w:rPr>
          <w:spacing w:val="40"/>
        </w:rPr>
        <w:t xml:space="preserve"> </w:t>
      </w:r>
      <w:r>
        <w:t>performed</w:t>
      </w:r>
      <w:r>
        <w:rPr>
          <w:spacing w:val="40"/>
        </w:rPr>
        <w:t xml:space="preserve"> </w:t>
      </w:r>
      <w:r>
        <w:t>by</w:t>
      </w:r>
      <w:r>
        <w:rPr>
          <w:spacing w:val="40"/>
        </w:rPr>
        <w:t xml:space="preserve"> </w:t>
      </w:r>
      <w:r>
        <w:t>an</w:t>
      </w:r>
      <w:r>
        <w:rPr>
          <w:spacing w:val="40"/>
        </w:rPr>
        <w:t xml:space="preserve"> </w:t>
      </w:r>
      <w:r>
        <w:t>individual</w:t>
      </w:r>
      <w:r>
        <w:rPr>
          <w:spacing w:val="40"/>
        </w:rPr>
        <w:t xml:space="preserve"> </w:t>
      </w:r>
      <w:r>
        <w:t>who</w:t>
      </w:r>
      <w:r>
        <w:rPr>
          <w:spacing w:val="40"/>
        </w:rPr>
        <w:t xml:space="preserve"> </w:t>
      </w:r>
      <w:r>
        <w:t>has</w:t>
      </w:r>
      <w:r>
        <w:rPr>
          <w:spacing w:val="40"/>
        </w:rPr>
        <w:t xml:space="preserve"> </w:t>
      </w:r>
      <w:r>
        <w:t>been</w:t>
      </w:r>
      <w:r>
        <w:rPr>
          <w:spacing w:val="40"/>
        </w:rPr>
        <w:t xml:space="preserve"> </w:t>
      </w:r>
      <w:r>
        <w:t>adequately</w:t>
      </w:r>
      <w:r>
        <w:rPr>
          <w:spacing w:val="40"/>
        </w:rPr>
        <w:t xml:space="preserve"> </w:t>
      </w:r>
      <w:r>
        <w:t>trained</w:t>
      </w:r>
      <w:r>
        <w:rPr>
          <w:spacing w:val="40"/>
        </w:rPr>
        <w:t xml:space="preserve"> </w:t>
      </w:r>
      <w:r>
        <w:t>in</w:t>
      </w:r>
      <w:r>
        <w:rPr>
          <w:spacing w:val="40"/>
        </w:rPr>
        <w:t xml:space="preserve"> </w:t>
      </w:r>
      <w:r>
        <w:t xml:space="preserve">injection </w:t>
      </w:r>
      <w:r>
        <w:rPr>
          <w:spacing w:val="-2"/>
        </w:rPr>
        <w:t>techniques.</w:t>
      </w:r>
    </w:p>
    <w:p w14:paraId="2130296A" w14:textId="77777777" w:rsidR="00AE135B" w:rsidRDefault="00EE5424">
      <w:pPr>
        <w:pStyle w:val="BodyText"/>
        <w:spacing w:before="118" w:line="360" w:lineRule="auto"/>
      </w:pPr>
      <w:r>
        <w:t>A</w:t>
      </w:r>
      <w:r>
        <w:rPr>
          <w:spacing w:val="-1"/>
        </w:rPr>
        <w:t xml:space="preserve"> </w:t>
      </w:r>
      <w:r>
        <w:t>27-gauge</w:t>
      </w:r>
      <w:r>
        <w:rPr>
          <w:spacing w:val="-3"/>
        </w:rPr>
        <w:t xml:space="preserve"> </w:t>
      </w:r>
      <w:r>
        <w:t>needle</w:t>
      </w:r>
      <w:r>
        <w:rPr>
          <w:spacing w:val="-4"/>
        </w:rPr>
        <w:t xml:space="preserve"> </w:t>
      </w:r>
      <w:r>
        <w:t>or</w:t>
      </w:r>
      <w:r>
        <w:rPr>
          <w:spacing w:val="-4"/>
        </w:rPr>
        <w:t xml:space="preserve"> </w:t>
      </w:r>
      <w:r>
        <w:t>larger</w:t>
      </w:r>
      <w:r>
        <w:rPr>
          <w:spacing w:val="-1"/>
        </w:rPr>
        <w:t xml:space="preserve"> </w:t>
      </w:r>
      <w:r>
        <w:t>needle</w:t>
      </w:r>
      <w:r>
        <w:rPr>
          <w:spacing w:val="-3"/>
        </w:rPr>
        <w:t xml:space="preserve"> </w:t>
      </w:r>
      <w:r>
        <w:t>(e.g.</w:t>
      </w:r>
      <w:r>
        <w:rPr>
          <w:spacing w:val="-1"/>
        </w:rPr>
        <w:t xml:space="preserve"> </w:t>
      </w:r>
      <w:r>
        <w:t>25-gauge)</w:t>
      </w:r>
      <w:r>
        <w:rPr>
          <w:spacing w:val="-1"/>
        </w:rPr>
        <w:t xml:space="preserve"> </w:t>
      </w:r>
      <w:r>
        <w:t>is</w:t>
      </w:r>
      <w:r>
        <w:rPr>
          <w:spacing w:val="-4"/>
        </w:rPr>
        <w:t xml:space="preserve"> </w:t>
      </w:r>
      <w:r>
        <w:t>recommended</w:t>
      </w:r>
      <w:r>
        <w:rPr>
          <w:spacing w:val="-1"/>
        </w:rPr>
        <w:t xml:space="preserve"> </w:t>
      </w:r>
      <w:r>
        <w:t>for</w:t>
      </w:r>
      <w:r>
        <w:rPr>
          <w:spacing w:val="-3"/>
        </w:rPr>
        <w:t xml:space="preserve"> </w:t>
      </w:r>
      <w:r>
        <w:t>the</w:t>
      </w:r>
      <w:r>
        <w:rPr>
          <w:spacing w:val="-1"/>
        </w:rPr>
        <w:t xml:space="preserve"> </w:t>
      </w:r>
      <w:r>
        <w:t>administration</w:t>
      </w:r>
      <w:r>
        <w:rPr>
          <w:spacing w:val="-4"/>
        </w:rPr>
        <w:t xml:space="preserve"> </w:t>
      </w:r>
      <w:r>
        <w:t>of</w:t>
      </w:r>
      <w:r>
        <w:rPr>
          <w:spacing w:val="-3"/>
        </w:rPr>
        <w:t xml:space="preserve"> </w:t>
      </w:r>
      <w:proofErr w:type="spellStart"/>
      <w:r>
        <w:t>DOSTIVA</w:t>
      </w:r>
      <w:proofErr w:type="spellEnd"/>
      <w:r>
        <w:t>. Inject the entire contents of the vial. Do not re-enter the vial.</w:t>
      </w:r>
    </w:p>
    <w:p w14:paraId="4FB17C2F" w14:textId="77777777" w:rsidR="00AE135B" w:rsidRDefault="00AE135B">
      <w:pPr>
        <w:pStyle w:val="BodyText"/>
        <w:spacing w:before="109"/>
        <w:ind w:left="0"/>
      </w:pPr>
    </w:p>
    <w:p w14:paraId="66F5E526" w14:textId="77777777" w:rsidR="00AE135B" w:rsidRDefault="00EE5424">
      <w:pPr>
        <w:pStyle w:val="Heading3"/>
        <w:jc w:val="both"/>
      </w:pPr>
      <w:r>
        <w:rPr>
          <w:spacing w:val="-2"/>
          <w:u w:val="single"/>
        </w:rPr>
        <w:t>Dosage</w:t>
      </w:r>
      <w:r>
        <w:rPr>
          <w:spacing w:val="-8"/>
          <w:u w:val="single"/>
        </w:rPr>
        <w:t xml:space="preserve"> </w:t>
      </w:r>
      <w:r>
        <w:rPr>
          <w:spacing w:val="-2"/>
          <w:u w:val="single"/>
        </w:rPr>
        <w:t>adjustment</w:t>
      </w:r>
    </w:p>
    <w:p w14:paraId="0264C6FD" w14:textId="77777777" w:rsidR="00AE135B" w:rsidRDefault="00EE5424">
      <w:pPr>
        <w:spacing w:before="248"/>
        <w:ind w:left="307"/>
        <w:rPr>
          <w:i/>
        </w:rPr>
      </w:pPr>
      <w:r>
        <w:rPr>
          <w:i/>
          <w:spacing w:val="-2"/>
        </w:rPr>
        <w:t>Special</w:t>
      </w:r>
      <w:r>
        <w:rPr>
          <w:i/>
          <w:spacing w:val="-8"/>
        </w:rPr>
        <w:t xml:space="preserve"> </w:t>
      </w:r>
      <w:r>
        <w:rPr>
          <w:i/>
          <w:spacing w:val="-2"/>
        </w:rPr>
        <w:t>populations</w:t>
      </w:r>
    </w:p>
    <w:p w14:paraId="6F3285C4" w14:textId="77777777" w:rsidR="00AE135B" w:rsidRDefault="00AE135B">
      <w:pPr>
        <w:pStyle w:val="BodyText"/>
        <w:spacing w:before="217"/>
        <w:ind w:left="0"/>
        <w:rPr>
          <w:i/>
        </w:rPr>
      </w:pPr>
    </w:p>
    <w:p w14:paraId="00429058" w14:textId="77777777" w:rsidR="00AE135B" w:rsidRDefault="00EE5424">
      <w:pPr>
        <w:pStyle w:val="Heading3"/>
        <w:rPr>
          <w:rFonts w:ascii="Arial"/>
        </w:rPr>
      </w:pPr>
      <w:r>
        <w:rPr>
          <w:rFonts w:ascii="Arial"/>
        </w:rPr>
        <w:t>Use</w:t>
      </w:r>
      <w:r>
        <w:rPr>
          <w:rFonts w:ascii="Arial"/>
          <w:spacing w:val="-10"/>
        </w:rPr>
        <w:t xml:space="preserve"> </w:t>
      </w:r>
      <w:r>
        <w:rPr>
          <w:rFonts w:ascii="Arial"/>
        </w:rPr>
        <w:t>in</w:t>
      </w:r>
      <w:r>
        <w:rPr>
          <w:rFonts w:ascii="Arial"/>
          <w:spacing w:val="-6"/>
        </w:rPr>
        <w:t xml:space="preserve"> </w:t>
      </w:r>
      <w:r>
        <w:rPr>
          <w:rFonts w:ascii="Arial"/>
          <w:spacing w:val="-2"/>
        </w:rPr>
        <w:t>elderly</w:t>
      </w:r>
    </w:p>
    <w:p w14:paraId="11BF45A1" w14:textId="56BC4F98" w:rsidR="00AE135B" w:rsidRDefault="00EE5424" w:rsidP="00401300">
      <w:pPr>
        <w:pStyle w:val="BodyText"/>
        <w:spacing w:before="246" w:line="360" w:lineRule="auto"/>
      </w:pPr>
      <w:r>
        <w:t>No dose adjustment is necessary in</w:t>
      </w:r>
      <w:r>
        <w:rPr>
          <w:spacing w:val="-1"/>
        </w:rPr>
        <w:t xml:space="preserve"> </w:t>
      </w:r>
      <w:r>
        <w:t>elderly patients (see Section 4.4 Special warnings and precautions for use, Use in the elderly).</w:t>
      </w:r>
    </w:p>
    <w:p w14:paraId="71DEE1A5" w14:textId="77777777" w:rsidR="00AE135B" w:rsidRDefault="00EE5424">
      <w:pPr>
        <w:pStyle w:val="Heading3"/>
        <w:rPr>
          <w:rFonts w:ascii="Arial"/>
        </w:rPr>
      </w:pPr>
      <w:r>
        <w:rPr>
          <w:rFonts w:ascii="Arial"/>
        </w:rPr>
        <w:lastRenderedPageBreak/>
        <w:t>Renal</w:t>
      </w:r>
      <w:r>
        <w:rPr>
          <w:rFonts w:ascii="Arial"/>
          <w:spacing w:val="-14"/>
        </w:rPr>
        <w:t xml:space="preserve"> </w:t>
      </w:r>
      <w:r>
        <w:rPr>
          <w:rFonts w:ascii="Arial"/>
          <w:spacing w:val="-2"/>
        </w:rPr>
        <w:t>impairment</w:t>
      </w:r>
    </w:p>
    <w:p w14:paraId="0E837721" w14:textId="77777777" w:rsidR="00AE135B" w:rsidRDefault="00EE5424">
      <w:pPr>
        <w:pStyle w:val="BodyText"/>
        <w:spacing w:before="246" w:line="360" w:lineRule="auto"/>
      </w:pPr>
      <w:r>
        <w:t>No dose adjustment is necessary in patients with renal impairment (see Section 4.4 Special warnings and precautions for use, Use in renal impairment).</w:t>
      </w:r>
    </w:p>
    <w:p w14:paraId="4C0D876B" w14:textId="77777777" w:rsidR="00AE135B" w:rsidRDefault="00EE5424">
      <w:pPr>
        <w:pStyle w:val="Heading3"/>
        <w:spacing w:before="81"/>
        <w:jc w:val="both"/>
        <w:rPr>
          <w:rFonts w:ascii="Arial"/>
        </w:rPr>
      </w:pPr>
      <w:r>
        <w:rPr>
          <w:rFonts w:ascii="Arial"/>
        </w:rPr>
        <w:t>Use</w:t>
      </w:r>
      <w:r>
        <w:rPr>
          <w:rFonts w:ascii="Arial"/>
          <w:spacing w:val="-8"/>
        </w:rPr>
        <w:t xml:space="preserve"> </w:t>
      </w:r>
      <w:r>
        <w:rPr>
          <w:rFonts w:ascii="Arial"/>
        </w:rPr>
        <w:t>in</w:t>
      </w:r>
      <w:r>
        <w:rPr>
          <w:rFonts w:ascii="Arial"/>
          <w:spacing w:val="-6"/>
        </w:rPr>
        <w:t xml:space="preserve"> </w:t>
      </w:r>
      <w:proofErr w:type="spellStart"/>
      <w:r>
        <w:rPr>
          <w:rFonts w:ascii="Arial"/>
          <w:spacing w:val="-2"/>
        </w:rPr>
        <w:t>paediatrics</w:t>
      </w:r>
      <w:proofErr w:type="spellEnd"/>
    </w:p>
    <w:p w14:paraId="3E10FDBF" w14:textId="77777777" w:rsidR="00AE135B" w:rsidRDefault="00EE5424">
      <w:pPr>
        <w:pStyle w:val="BodyText"/>
        <w:spacing w:before="248" w:line="357" w:lineRule="auto"/>
        <w:ind w:right="171"/>
        <w:jc w:val="both"/>
      </w:pPr>
      <w:r>
        <w:t>For</w:t>
      </w:r>
      <w:r>
        <w:rPr>
          <w:spacing w:val="-6"/>
        </w:rPr>
        <w:t xml:space="preserve"> </w:t>
      </w:r>
      <w:r>
        <w:t>treatment</w:t>
      </w:r>
      <w:r>
        <w:rPr>
          <w:spacing w:val="-5"/>
        </w:rPr>
        <w:t xml:space="preserve"> </w:t>
      </w:r>
      <w:r>
        <w:t>of</w:t>
      </w:r>
      <w:r>
        <w:rPr>
          <w:spacing w:val="-3"/>
        </w:rPr>
        <w:t xml:space="preserve"> </w:t>
      </w:r>
      <w:r>
        <w:t>giant</w:t>
      </w:r>
      <w:r>
        <w:rPr>
          <w:spacing w:val="-2"/>
        </w:rPr>
        <w:t xml:space="preserve"> </w:t>
      </w:r>
      <w:r>
        <w:t>cell</w:t>
      </w:r>
      <w:r>
        <w:rPr>
          <w:spacing w:val="-5"/>
        </w:rPr>
        <w:t xml:space="preserve"> </w:t>
      </w:r>
      <w:proofErr w:type="spellStart"/>
      <w:r>
        <w:t>tumour</w:t>
      </w:r>
      <w:proofErr w:type="spellEnd"/>
      <w:r>
        <w:rPr>
          <w:spacing w:val="-5"/>
        </w:rPr>
        <w:t xml:space="preserve"> </w:t>
      </w:r>
      <w:r>
        <w:t>of</w:t>
      </w:r>
      <w:r>
        <w:rPr>
          <w:spacing w:val="-3"/>
        </w:rPr>
        <w:t xml:space="preserve"> </w:t>
      </w:r>
      <w:r>
        <w:t>bone</w:t>
      </w:r>
      <w:r>
        <w:rPr>
          <w:spacing w:val="-5"/>
        </w:rPr>
        <w:t xml:space="preserve"> </w:t>
      </w:r>
      <w:r>
        <w:t>in</w:t>
      </w:r>
      <w:r>
        <w:rPr>
          <w:spacing w:val="-6"/>
        </w:rPr>
        <w:t xml:space="preserve"> </w:t>
      </w:r>
      <w:r>
        <w:t>skeletally</w:t>
      </w:r>
      <w:r>
        <w:rPr>
          <w:spacing w:val="-7"/>
        </w:rPr>
        <w:t xml:space="preserve"> </w:t>
      </w:r>
      <w:r>
        <w:t>mature</w:t>
      </w:r>
      <w:r>
        <w:rPr>
          <w:spacing w:val="-8"/>
        </w:rPr>
        <w:t xml:space="preserve"> </w:t>
      </w:r>
      <w:r>
        <w:t>adolescents,</w:t>
      </w:r>
      <w:r>
        <w:rPr>
          <w:spacing w:val="-5"/>
        </w:rPr>
        <w:t xml:space="preserve"> </w:t>
      </w:r>
      <w:r>
        <w:t>the</w:t>
      </w:r>
      <w:r>
        <w:rPr>
          <w:spacing w:val="-5"/>
        </w:rPr>
        <w:t xml:space="preserve"> </w:t>
      </w:r>
      <w:r>
        <w:t>posology</w:t>
      </w:r>
      <w:r>
        <w:rPr>
          <w:spacing w:val="-4"/>
        </w:rPr>
        <w:t xml:space="preserve"> </w:t>
      </w:r>
      <w:r>
        <w:t>is</w:t>
      </w:r>
      <w:r>
        <w:rPr>
          <w:spacing w:val="-5"/>
        </w:rPr>
        <w:t xml:space="preserve"> </w:t>
      </w:r>
      <w:r>
        <w:t>the</w:t>
      </w:r>
      <w:r>
        <w:rPr>
          <w:spacing w:val="-3"/>
        </w:rPr>
        <w:t xml:space="preserve"> </w:t>
      </w:r>
      <w:r>
        <w:t>same</w:t>
      </w:r>
      <w:r>
        <w:rPr>
          <w:spacing w:val="-3"/>
        </w:rPr>
        <w:t xml:space="preserve"> </w:t>
      </w:r>
      <w:r>
        <w:t xml:space="preserve">as in </w:t>
      </w:r>
      <w:r>
        <w:rPr>
          <w:spacing w:val="-2"/>
        </w:rPr>
        <w:t>adults.</w:t>
      </w:r>
    </w:p>
    <w:p w14:paraId="2CE3551D" w14:textId="77777777" w:rsidR="00AE135B" w:rsidRDefault="00EE5424">
      <w:pPr>
        <w:pStyle w:val="BodyText"/>
        <w:spacing w:before="124" w:line="360" w:lineRule="auto"/>
        <w:ind w:right="175"/>
        <w:jc w:val="both"/>
      </w:pPr>
      <w:proofErr w:type="spellStart"/>
      <w:r>
        <w:t>DOSTIVA</w:t>
      </w:r>
      <w:proofErr w:type="spellEnd"/>
      <w:r>
        <w:t xml:space="preserve"> is not recommended in </w:t>
      </w:r>
      <w:proofErr w:type="spellStart"/>
      <w:r>
        <w:t>paediatric</w:t>
      </w:r>
      <w:proofErr w:type="spellEnd"/>
      <w:r>
        <w:t xml:space="preserve"> patients (age &lt;</w:t>
      </w:r>
      <w:r>
        <w:rPr>
          <w:spacing w:val="40"/>
        </w:rPr>
        <w:t xml:space="preserve"> </w:t>
      </w:r>
      <w:r>
        <w:t xml:space="preserve">18) other than skeletally mature </w:t>
      </w:r>
      <w:proofErr w:type="spellStart"/>
      <w:r>
        <w:t>paediatric</w:t>
      </w:r>
      <w:proofErr w:type="spellEnd"/>
      <w:r>
        <w:t xml:space="preserve"> patients with giant cell </w:t>
      </w:r>
      <w:proofErr w:type="spellStart"/>
      <w:r>
        <w:t>tumour</w:t>
      </w:r>
      <w:proofErr w:type="spellEnd"/>
      <w:r>
        <w:t xml:space="preserve"> of bone (see Section 4.4 Special warnings and precautions for use, </w:t>
      </w:r>
      <w:proofErr w:type="spellStart"/>
      <w:r>
        <w:t>Paediatric</w:t>
      </w:r>
      <w:proofErr w:type="spellEnd"/>
      <w:r>
        <w:t xml:space="preserve"> use).</w:t>
      </w:r>
    </w:p>
    <w:p w14:paraId="28451360" w14:textId="77777777" w:rsidR="00AE135B" w:rsidRDefault="00AE135B">
      <w:pPr>
        <w:pStyle w:val="BodyText"/>
        <w:spacing w:before="215"/>
        <w:ind w:left="0"/>
      </w:pPr>
    </w:p>
    <w:p w14:paraId="7D051B8B" w14:textId="77777777" w:rsidR="00AE135B" w:rsidRDefault="00EE5424">
      <w:pPr>
        <w:pStyle w:val="Heading2"/>
        <w:numPr>
          <w:ilvl w:val="1"/>
          <w:numId w:val="3"/>
        </w:numPr>
        <w:tabs>
          <w:tab w:val="left" w:pos="1106"/>
        </w:tabs>
        <w:spacing w:before="1"/>
        <w:ind w:hanging="799"/>
      </w:pPr>
      <w:r>
        <w:rPr>
          <w:spacing w:val="-2"/>
        </w:rPr>
        <w:t>Contraindications</w:t>
      </w:r>
    </w:p>
    <w:p w14:paraId="47FEA340" w14:textId="77777777" w:rsidR="00AE135B" w:rsidRDefault="00EE5424">
      <w:pPr>
        <w:pStyle w:val="BodyText"/>
        <w:spacing w:before="117"/>
      </w:pPr>
      <w:r>
        <w:rPr>
          <w:spacing w:val="-2"/>
        </w:rPr>
        <w:t>Pregnancy</w:t>
      </w:r>
      <w:r>
        <w:rPr>
          <w:spacing w:val="-8"/>
        </w:rPr>
        <w:t xml:space="preserve"> </w:t>
      </w:r>
      <w:r>
        <w:rPr>
          <w:spacing w:val="-2"/>
        </w:rPr>
        <w:t>(see</w:t>
      </w:r>
      <w:r>
        <w:rPr>
          <w:spacing w:val="-5"/>
        </w:rPr>
        <w:t xml:space="preserve"> </w:t>
      </w:r>
      <w:r>
        <w:rPr>
          <w:spacing w:val="-2"/>
        </w:rPr>
        <w:t>Section</w:t>
      </w:r>
      <w:r>
        <w:rPr>
          <w:spacing w:val="-7"/>
        </w:rPr>
        <w:t xml:space="preserve"> </w:t>
      </w:r>
      <w:r>
        <w:rPr>
          <w:spacing w:val="-2"/>
        </w:rPr>
        <w:t>4.6</w:t>
      </w:r>
      <w:r>
        <w:rPr>
          <w:spacing w:val="-3"/>
        </w:rPr>
        <w:t xml:space="preserve"> </w:t>
      </w:r>
      <w:r>
        <w:rPr>
          <w:spacing w:val="-2"/>
        </w:rPr>
        <w:t>Fertility,</w:t>
      </w:r>
      <w:r>
        <w:rPr>
          <w:spacing w:val="-6"/>
        </w:rPr>
        <w:t xml:space="preserve"> </w:t>
      </w:r>
      <w:r>
        <w:rPr>
          <w:spacing w:val="-2"/>
        </w:rPr>
        <w:t>pregnancy</w:t>
      </w:r>
      <w:r>
        <w:rPr>
          <w:spacing w:val="-1"/>
        </w:rPr>
        <w:t xml:space="preserve"> </w:t>
      </w:r>
      <w:r>
        <w:rPr>
          <w:spacing w:val="-2"/>
        </w:rPr>
        <w:t>and</w:t>
      </w:r>
      <w:r>
        <w:rPr>
          <w:spacing w:val="-4"/>
        </w:rPr>
        <w:t xml:space="preserve"> </w:t>
      </w:r>
      <w:r>
        <w:rPr>
          <w:spacing w:val="-2"/>
        </w:rPr>
        <w:t>lactation,</w:t>
      </w:r>
      <w:r>
        <w:t xml:space="preserve"> </w:t>
      </w:r>
      <w:r>
        <w:rPr>
          <w:spacing w:val="-2"/>
        </w:rPr>
        <w:t>Use</w:t>
      </w:r>
      <w:r>
        <w:rPr>
          <w:spacing w:val="-3"/>
        </w:rPr>
        <w:t xml:space="preserve"> </w:t>
      </w:r>
      <w:r>
        <w:rPr>
          <w:spacing w:val="-2"/>
        </w:rPr>
        <w:t>in</w:t>
      </w:r>
      <w:r>
        <w:rPr>
          <w:spacing w:val="-3"/>
        </w:rPr>
        <w:t xml:space="preserve"> </w:t>
      </w:r>
      <w:r>
        <w:rPr>
          <w:spacing w:val="-2"/>
        </w:rPr>
        <w:t>pregnancy).</w:t>
      </w:r>
    </w:p>
    <w:p w14:paraId="0EC99C8E" w14:textId="77777777" w:rsidR="00AE135B" w:rsidRDefault="00EE5424">
      <w:pPr>
        <w:pStyle w:val="BodyText"/>
        <w:spacing w:before="250" w:line="360" w:lineRule="auto"/>
        <w:ind w:right="271"/>
        <w:jc w:val="both"/>
      </w:pPr>
      <w:r>
        <w:t>Hypersensitivity</w:t>
      </w:r>
      <w:r>
        <w:rPr>
          <w:spacing w:val="-2"/>
        </w:rPr>
        <w:t xml:space="preserve"> </w:t>
      </w:r>
      <w:r>
        <w:t>to</w:t>
      </w:r>
      <w:r>
        <w:rPr>
          <w:spacing w:val="-3"/>
        </w:rPr>
        <w:t xml:space="preserve"> </w:t>
      </w:r>
      <w:r>
        <w:t>the</w:t>
      </w:r>
      <w:r>
        <w:rPr>
          <w:spacing w:val="-2"/>
        </w:rPr>
        <w:t xml:space="preserve"> </w:t>
      </w:r>
      <w:r>
        <w:t>active</w:t>
      </w:r>
      <w:r>
        <w:rPr>
          <w:spacing w:val="-2"/>
        </w:rPr>
        <w:t xml:space="preserve"> </w:t>
      </w:r>
      <w:r>
        <w:t>substance,</w:t>
      </w:r>
      <w:r>
        <w:rPr>
          <w:spacing w:val="-4"/>
        </w:rPr>
        <w:t xml:space="preserve"> </w:t>
      </w:r>
      <w:r>
        <w:t>to</w:t>
      </w:r>
      <w:r>
        <w:rPr>
          <w:spacing w:val="-3"/>
        </w:rPr>
        <w:t xml:space="preserve"> </w:t>
      </w:r>
      <w:r>
        <w:t>CHO-derived</w:t>
      </w:r>
      <w:r>
        <w:rPr>
          <w:spacing w:val="-2"/>
        </w:rPr>
        <w:t xml:space="preserve"> </w:t>
      </w:r>
      <w:r>
        <w:t>proteins</w:t>
      </w:r>
      <w:r>
        <w:rPr>
          <w:spacing w:val="-4"/>
        </w:rPr>
        <w:t xml:space="preserve"> </w:t>
      </w:r>
      <w:r>
        <w:t>or</w:t>
      </w:r>
      <w:r>
        <w:rPr>
          <w:spacing w:val="-2"/>
        </w:rPr>
        <w:t xml:space="preserve"> </w:t>
      </w:r>
      <w:r>
        <w:t>to</w:t>
      </w:r>
      <w:r>
        <w:rPr>
          <w:spacing w:val="-1"/>
        </w:rPr>
        <w:t xml:space="preserve"> </w:t>
      </w:r>
      <w:r>
        <w:t>any</w:t>
      </w:r>
      <w:r>
        <w:rPr>
          <w:spacing w:val="-2"/>
        </w:rPr>
        <w:t xml:space="preserve"> </w:t>
      </w:r>
      <w:r>
        <w:t>of</w:t>
      </w:r>
      <w:r>
        <w:rPr>
          <w:spacing w:val="-2"/>
        </w:rPr>
        <w:t xml:space="preserve"> </w:t>
      </w:r>
      <w:r>
        <w:t>the</w:t>
      </w:r>
      <w:r>
        <w:rPr>
          <w:spacing w:val="-4"/>
        </w:rPr>
        <w:t xml:space="preserve"> </w:t>
      </w:r>
      <w:r>
        <w:t>excipients</w:t>
      </w:r>
      <w:r>
        <w:rPr>
          <w:spacing w:val="-2"/>
        </w:rPr>
        <w:t xml:space="preserve"> </w:t>
      </w:r>
      <w:r>
        <w:t>(see</w:t>
      </w:r>
      <w:r>
        <w:rPr>
          <w:spacing w:val="-2"/>
        </w:rPr>
        <w:t xml:space="preserve"> </w:t>
      </w:r>
      <w:r>
        <w:t>Section 6.1 List of Excipients).</w:t>
      </w:r>
    </w:p>
    <w:p w14:paraId="67879FF1" w14:textId="77777777" w:rsidR="00AE135B" w:rsidRDefault="00EE5424">
      <w:pPr>
        <w:pStyle w:val="BodyText"/>
        <w:spacing w:before="118"/>
      </w:pPr>
      <w:r>
        <w:rPr>
          <w:spacing w:val="-2"/>
        </w:rPr>
        <w:t>Severe</w:t>
      </w:r>
      <w:r>
        <w:rPr>
          <w:spacing w:val="-6"/>
        </w:rPr>
        <w:t xml:space="preserve"> </w:t>
      </w:r>
      <w:r>
        <w:rPr>
          <w:spacing w:val="-2"/>
        </w:rPr>
        <w:t>untreated</w:t>
      </w:r>
      <w:r>
        <w:rPr>
          <w:spacing w:val="-5"/>
        </w:rPr>
        <w:t xml:space="preserve"> </w:t>
      </w:r>
      <w:proofErr w:type="spellStart"/>
      <w:r>
        <w:rPr>
          <w:spacing w:val="-2"/>
        </w:rPr>
        <w:t>hypocalcaemia</w:t>
      </w:r>
      <w:proofErr w:type="spellEnd"/>
      <w:r>
        <w:rPr>
          <w:spacing w:val="-2"/>
        </w:rPr>
        <w:t>.</w:t>
      </w:r>
    </w:p>
    <w:p w14:paraId="590FCEC5" w14:textId="77777777" w:rsidR="00AE135B" w:rsidRDefault="00EE5424">
      <w:pPr>
        <w:pStyle w:val="BodyText"/>
        <w:spacing w:before="245"/>
      </w:pPr>
      <w:r>
        <w:rPr>
          <w:spacing w:val="-2"/>
        </w:rPr>
        <w:t>Unhealed</w:t>
      </w:r>
      <w:r>
        <w:rPr>
          <w:spacing w:val="-5"/>
        </w:rPr>
        <w:t xml:space="preserve"> </w:t>
      </w:r>
      <w:r>
        <w:rPr>
          <w:spacing w:val="-2"/>
        </w:rPr>
        <w:t>lesions</w:t>
      </w:r>
      <w:r>
        <w:rPr>
          <w:spacing w:val="-4"/>
        </w:rPr>
        <w:t xml:space="preserve"> </w:t>
      </w:r>
      <w:r>
        <w:rPr>
          <w:spacing w:val="-2"/>
        </w:rPr>
        <w:t>from</w:t>
      </w:r>
      <w:r>
        <w:rPr>
          <w:spacing w:val="-4"/>
        </w:rPr>
        <w:t xml:space="preserve"> </w:t>
      </w:r>
      <w:r>
        <w:rPr>
          <w:spacing w:val="-2"/>
        </w:rPr>
        <w:t>dental</w:t>
      </w:r>
      <w:r>
        <w:rPr>
          <w:spacing w:val="-5"/>
        </w:rPr>
        <w:t xml:space="preserve"> </w:t>
      </w:r>
      <w:r>
        <w:rPr>
          <w:spacing w:val="-2"/>
        </w:rPr>
        <w:t>or</w:t>
      </w:r>
      <w:r>
        <w:rPr>
          <w:spacing w:val="-8"/>
        </w:rPr>
        <w:t xml:space="preserve"> </w:t>
      </w:r>
      <w:r>
        <w:rPr>
          <w:spacing w:val="-2"/>
        </w:rPr>
        <w:t>oral</w:t>
      </w:r>
      <w:r>
        <w:rPr>
          <w:spacing w:val="-6"/>
        </w:rPr>
        <w:t xml:space="preserve"> </w:t>
      </w:r>
      <w:r>
        <w:rPr>
          <w:spacing w:val="-2"/>
        </w:rPr>
        <w:t>surgery.</w:t>
      </w:r>
    </w:p>
    <w:p w14:paraId="4E7C3CD3" w14:textId="77777777" w:rsidR="00AE135B" w:rsidRDefault="00AE135B">
      <w:pPr>
        <w:pStyle w:val="BodyText"/>
        <w:ind w:left="0"/>
      </w:pPr>
    </w:p>
    <w:p w14:paraId="0F363BA7" w14:textId="77777777" w:rsidR="00AE135B" w:rsidRDefault="00AE135B">
      <w:pPr>
        <w:pStyle w:val="BodyText"/>
        <w:spacing w:before="227"/>
        <w:ind w:left="0"/>
      </w:pPr>
    </w:p>
    <w:p w14:paraId="2E9B36B5" w14:textId="77777777" w:rsidR="00AE135B" w:rsidRDefault="00EE5424">
      <w:pPr>
        <w:pStyle w:val="Heading2"/>
        <w:numPr>
          <w:ilvl w:val="1"/>
          <w:numId w:val="3"/>
        </w:numPr>
        <w:tabs>
          <w:tab w:val="left" w:pos="1106"/>
        </w:tabs>
        <w:ind w:hanging="799"/>
      </w:pPr>
      <w:r>
        <w:t>Special</w:t>
      </w:r>
      <w:r>
        <w:rPr>
          <w:spacing w:val="-9"/>
        </w:rPr>
        <w:t xml:space="preserve"> </w:t>
      </w:r>
      <w:r>
        <w:t>warnings</w:t>
      </w:r>
      <w:r>
        <w:rPr>
          <w:spacing w:val="-10"/>
        </w:rPr>
        <w:t xml:space="preserve"> </w:t>
      </w:r>
      <w:r>
        <w:t>and</w:t>
      </w:r>
      <w:r>
        <w:rPr>
          <w:spacing w:val="-13"/>
        </w:rPr>
        <w:t xml:space="preserve"> </w:t>
      </w:r>
      <w:r>
        <w:t>precautions</w:t>
      </w:r>
      <w:r>
        <w:rPr>
          <w:spacing w:val="-8"/>
        </w:rPr>
        <w:t xml:space="preserve"> </w:t>
      </w:r>
      <w:r>
        <w:t>for</w:t>
      </w:r>
      <w:r>
        <w:rPr>
          <w:spacing w:val="-5"/>
        </w:rPr>
        <w:t xml:space="preserve"> use</w:t>
      </w:r>
    </w:p>
    <w:p w14:paraId="138E8AB5" w14:textId="77777777" w:rsidR="00AE135B" w:rsidRDefault="00EE5424">
      <w:pPr>
        <w:pStyle w:val="Heading3"/>
        <w:spacing w:before="120"/>
      </w:pPr>
      <w:r>
        <w:rPr>
          <w:spacing w:val="-4"/>
          <w:u w:val="single"/>
        </w:rPr>
        <w:t>Vitamin</w:t>
      </w:r>
      <w:r>
        <w:rPr>
          <w:spacing w:val="2"/>
          <w:u w:val="single"/>
        </w:rPr>
        <w:t xml:space="preserve"> </w:t>
      </w:r>
      <w:r>
        <w:rPr>
          <w:spacing w:val="-4"/>
          <w:u w:val="single"/>
        </w:rPr>
        <w:t>supplementation</w:t>
      </w:r>
      <w:r>
        <w:rPr>
          <w:spacing w:val="8"/>
          <w:u w:val="single"/>
        </w:rPr>
        <w:t xml:space="preserve"> </w:t>
      </w:r>
      <w:r>
        <w:rPr>
          <w:spacing w:val="-4"/>
          <w:u w:val="single"/>
        </w:rPr>
        <w:t>and</w:t>
      </w:r>
      <w:r>
        <w:rPr>
          <w:spacing w:val="5"/>
          <w:u w:val="single"/>
        </w:rPr>
        <w:t xml:space="preserve"> </w:t>
      </w:r>
      <w:proofErr w:type="spellStart"/>
      <w:r>
        <w:rPr>
          <w:spacing w:val="-4"/>
          <w:u w:val="single"/>
        </w:rPr>
        <w:t>hypocalcaemia</w:t>
      </w:r>
      <w:proofErr w:type="spellEnd"/>
    </w:p>
    <w:p w14:paraId="5E6C0A22" w14:textId="77777777" w:rsidR="00AE135B" w:rsidRDefault="00EE5424">
      <w:pPr>
        <w:pStyle w:val="BodyText"/>
        <w:spacing w:before="245" w:line="460" w:lineRule="auto"/>
        <w:ind w:right="333"/>
        <w:jc w:val="both"/>
      </w:pPr>
      <w:r>
        <w:t>Pre-existing</w:t>
      </w:r>
      <w:r>
        <w:rPr>
          <w:spacing w:val="-13"/>
        </w:rPr>
        <w:t xml:space="preserve"> </w:t>
      </w:r>
      <w:proofErr w:type="spellStart"/>
      <w:r>
        <w:t>hypocalcaemia</w:t>
      </w:r>
      <w:proofErr w:type="spellEnd"/>
      <w:r>
        <w:rPr>
          <w:spacing w:val="-12"/>
        </w:rPr>
        <w:t xml:space="preserve"> </w:t>
      </w:r>
      <w:r>
        <w:t>must</w:t>
      </w:r>
      <w:r>
        <w:rPr>
          <w:spacing w:val="-10"/>
        </w:rPr>
        <w:t xml:space="preserve"> </w:t>
      </w:r>
      <w:r>
        <w:t>be</w:t>
      </w:r>
      <w:r>
        <w:rPr>
          <w:spacing w:val="-10"/>
        </w:rPr>
        <w:t xml:space="preserve"> </w:t>
      </w:r>
      <w:r>
        <w:t>corrected</w:t>
      </w:r>
      <w:r>
        <w:rPr>
          <w:spacing w:val="-11"/>
        </w:rPr>
        <w:t xml:space="preserve"> </w:t>
      </w:r>
      <w:r>
        <w:t>prior</w:t>
      </w:r>
      <w:r>
        <w:rPr>
          <w:spacing w:val="-10"/>
        </w:rPr>
        <w:t xml:space="preserve"> </w:t>
      </w:r>
      <w:r>
        <w:t>to</w:t>
      </w:r>
      <w:r>
        <w:rPr>
          <w:spacing w:val="-12"/>
        </w:rPr>
        <w:t xml:space="preserve"> </w:t>
      </w:r>
      <w:r>
        <w:t>initiating</w:t>
      </w:r>
      <w:r>
        <w:rPr>
          <w:spacing w:val="-11"/>
        </w:rPr>
        <w:t xml:space="preserve"> </w:t>
      </w:r>
      <w:r>
        <w:t>therapy</w:t>
      </w:r>
      <w:r>
        <w:rPr>
          <w:spacing w:val="-10"/>
        </w:rPr>
        <w:t xml:space="preserve"> </w:t>
      </w:r>
      <w:r>
        <w:t>with</w:t>
      </w:r>
      <w:r>
        <w:rPr>
          <w:spacing w:val="-13"/>
        </w:rPr>
        <w:t xml:space="preserve"> </w:t>
      </w:r>
      <w:proofErr w:type="spellStart"/>
      <w:r>
        <w:t>DOSTIVA</w:t>
      </w:r>
      <w:proofErr w:type="spellEnd"/>
      <w:r>
        <w:t>.</w:t>
      </w:r>
      <w:r>
        <w:rPr>
          <w:spacing w:val="-11"/>
        </w:rPr>
        <w:t xml:space="preserve"> </w:t>
      </w:r>
      <w:r>
        <w:t>Supplementation with calcium and</w:t>
      </w:r>
      <w:r>
        <w:rPr>
          <w:spacing w:val="-2"/>
        </w:rPr>
        <w:t xml:space="preserve"> </w:t>
      </w:r>
      <w:r>
        <w:t xml:space="preserve">vitamin D is required in all patients unless </w:t>
      </w:r>
      <w:proofErr w:type="spellStart"/>
      <w:r>
        <w:t>hypercalcaemia</w:t>
      </w:r>
      <w:proofErr w:type="spellEnd"/>
      <w:r>
        <w:t xml:space="preserve"> is present.</w:t>
      </w:r>
    </w:p>
    <w:p w14:paraId="71CDA605" w14:textId="77777777" w:rsidR="00AE135B" w:rsidRDefault="00EE5424">
      <w:pPr>
        <w:pStyle w:val="BodyText"/>
        <w:spacing w:before="5" w:line="360" w:lineRule="auto"/>
        <w:ind w:right="172"/>
        <w:jc w:val="both"/>
      </w:pPr>
      <w:proofErr w:type="spellStart"/>
      <w:r>
        <w:t>Hypocalcaemia</w:t>
      </w:r>
      <w:proofErr w:type="spellEnd"/>
      <w:r>
        <w:t xml:space="preserve"> can occur at any time during therapy with </w:t>
      </w:r>
      <w:proofErr w:type="spellStart"/>
      <w:r>
        <w:t>DOSTIVA</w:t>
      </w:r>
      <w:proofErr w:type="spellEnd"/>
      <w:r>
        <w:t>. Monitoring of calcium levels should be conducted (</w:t>
      </w:r>
      <w:proofErr w:type="spellStart"/>
      <w:r>
        <w:t>i</w:t>
      </w:r>
      <w:proofErr w:type="spellEnd"/>
      <w:r>
        <w:t xml:space="preserve">) prior to the initial dose of </w:t>
      </w:r>
      <w:proofErr w:type="spellStart"/>
      <w:r>
        <w:t>DOSTIVA</w:t>
      </w:r>
      <w:proofErr w:type="spellEnd"/>
      <w:r>
        <w:t xml:space="preserve">, (ii) within two weeks after the initial dose, (iii) if suspected symptoms of </w:t>
      </w:r>
      <w:proofErr w:type="spellStart"/>
      <w:r>
        <w:t>hypocalcaemia</w:t>
      </w:r>
      <w:proofErr w:type="spellEnd"/>
      <w:r>
        <w:t xml:space="preserve"> occur (see Section 4.8 Adverse effects (Undesirable effects) for symptoms). Additional monitoring of calcium </w:t>
      </w:r>
      <w:proofErr w:type="gramStart"/>
      <w:r>
        <w:t>level</w:t>
      </w:r>
      <w:proofErr w:type="gramEnd"/>
      <w:r>
        <w:t xml:space="preserve"> should be considered during therapy in patients with risk factors for </w:t>
      </w:r>
      <w:proofErr w:type="spellStart"/>
      <w:r>
        <w:t>hypocalcaemia</w:t>
      </w:r>
      <w:proofErr w:type="spellEnd"/>
      <w:r>
        <w:t>, or if otherwise indicated based on the clinical condition of the patient.</w:t>
      </w:r>
    </w:p>
    <w:p w14:paraId="79670EB1" w14:textId="77777777" w:rsidR="00AE135B" w:rsidRDefault="00AE135B">
      <w:pPr>
        <w:pStyle w:val="BodyText"/>
        <w:spacing w:before="92"/>
        <w:ind w:left="0"/>
      </w:pPr>
    </w:p>
    <w:p w14:paraId="01AB8654" w14:textId="77777777" w:rsidR="00AE135B" w:rsidRDefault="00EE5424">
      <w:pPr>
        <w:pStyle w:val="BodyText"/>
        <w:jc w:val="both"/>
      </w:pPr>
      <w:r>
        <w:t>Patients</w:t>
      </w:r>
      <w:r>
        <w:rPr>
          <w:spacing w:val="-8"/>
        </w:rPr>
        <w:t xml:space="preserve"> </w:t>
      </w:r>
      <w:r>
        <w:t>should</w:t>
      </w:r>
      <w:r>
        <w:rPr>
          <w:spacing w:val="-7"/>
        </w:rPr>
        <w:t xml:space="preserve"> </w:t>
      </w:r>
      <w:r>
        <w:t>be</w:t>
      </w:r>
      <w:r>
        <w:rPr>
          <w:spacing w:val="-6"/>
        </w:rPr>
        <w:t xml:space="preserve"> </w:t>
      </w:r>
      <w:r>
        <w:t>encouraged</w:t>
      </w:r>
      <w:r>
        <w:rPr>
          <w:spacing w:val="-5"/>
        </w:rPr>
        <w:t xml:space="preserve"> </w:t>
      </w:r>
      <w:r>
        <w:t>to</w:t>
      </w:r>
      <w:r>
        <w:rPr>
          <w:spacing w:val="-5"/>
        </w:rPr>
        <w:t xml:space="preserve"> </w:t>
      </w:r>
      <w:r>
        <w:t>report</w:t>
      </w:r>
      <w:r>
        <w:rPr>
          <w:spacing w:val="-6"/>
        </w:rPr>
        <w:t xml:space="preserve"> </w:t>
      </w:r>
      <w:r>
        <w:t>symptoms</w:t>
      </w:r>
      <w:r>
        <w:rPr>
          <w:spacing w:val="-7"/>
        </w:rPr>
        <w:t xml:space="preserve"> </w:t>
      </w:r>
      <w:r>
        <w:t>indicative</w:t>
      </w:r>
      <w:r>
        <w:rPr>
          <w:spacing w:val="-7"/>
        </w:rPr>
        <w:t xml:space="preserve"> </w:t>
      </w:r>
      <w:r>
        <w:t>of</w:t>
      </w:r>
      <w:r>
        <w:rPr>
          <w:spacing w:val="-5"/>
        </w:rPr>
        <w:t xml:space="preserve"> </w:t>
      </w:r>
      <w:proofErr w:type="spellStart"/>
      <w:r>
        <w:rPr>
          <w:spacing w:val="-2"/>
        </w:rPr>
        <w:t>hypocalcaemia</w:t>
      </w:r>
      <w:proofErr w:type="spellEnd"/>
      <w:r>
        <w:rPr>
          <w:spacing w:val="-2"/>
        </w:rPr>
        <w:t>.</w:t>
      </w:r>
    </w:p>
    <w:p w14:paraId="2C4CF8E4" w14:textId="77777777" w:rsidR="00AE135B" w:rsidRDefault="00AE135B">
      <w:pPr>
        <w:pStyle w:val="BodyText"/>
        <w:spacing w:before="226"/>
        <w:ind w:left="0"/>
      </w:pPr>
    </w:p>
    <w:p w14:paraId="1FF51B66" w14:textId="77777777" w:rsidR="00AE135B" w:rsidRDefault="00EE5424">
      <w:pPr>
        <w:pStyle w:val="BodyText"/>
        <w:spacing w:line="360" w:lineRule="auto"/>
        <w:ind w:right="173"/>
        <w:jc w:val="both"/>
      </w:pPr>
      <w:r>
        <w:t>In</w:t>
      </w:r>
      <w:r>
        <w:rPr>
          <w:spacing w:val="-13"/>
        </w:rPr>
        <w:t xml:space="preserve"> </w:t>
      </w:r>
      <w:r>
        <w:t>the</w:t>
      </w:r>
      <w:r>
        <w:rPr>
          <w:spacing w:val="-12"/>
        </w:rPr>
        <w:t xml:space="preserve"> </w:t>
      </w:r>
      <w:r>
        <w:t>post-marketing</w:t>
      </w:r>
      <w:r>
        <w:rPr>
          <w:spacing w:val="-13"/>
        </w:rPr>
        <w:t xml:space="preserve"> </w:t>
      </w:r>
      <w:r>
        <w:t>setting,</w:t>
      </w:r>
      <w:r>
        <w:rPr>
          <w:spacing w:val="-12"/>
        </w:rPr>
        <w:t xml:space="preserve"> </w:t>
      </w:r>
      <w:r>
        <w:t>severe</w:t>
      </w:r>
      <w:r>
        <w:rPr>
          <w:spacing w:val="-13"/>
        </w:rPr>
        <w:t xml:space="preserve"> </w:t>
      </w:r>
      <w:r>
        <w:t>symptomatic</w:t>
      </w:r>
      <w:r>
        <w:rPr>
          <w:spacing w:val="-12"/>
        </w:rPr>
        <w:t xml:space="preserve"> </w:t>
      </w:r>
      <w:proofErr w:type="spellStart"/>
      <w:r>
        <w:t>hypocalcaemia</w:t>
      </w:r>
      <w:proofErr w:type="spellEnd"/>
      <w:r>
        <w:rPr>
          <w:spacing w:val="-13"/>
        </w:rPr>
        <w:t xml:space="preserve"> </w:t>
      </w:r>
      <w:r>
        <w:t>(including</w:t>
      </w:r>
      <w:r>
        <w:rPr>
          <w:spacing w:val="-12"/>
        </w:rPr>
        <w:t xml:space="preserve"> </w:t>
      </w:r>
      <w:r>
        <w:t>fatal</w:t>
      </w:r>
      <w:r>
        <w:rPr>
          <w:spacing w:val="-12"/>
        </w:rPr>
        <w:t xml:space="preserve"> </w:t>
      </w:r>
      <w:r>
        <w:t>cases)</w:t>
      </w:r>
      <w:r>
        <w:rPr>
          <w:spacing w:val="-13"/>
        </w:rPr>
        <w:t xml:space="preserve"> </w:t>
      </w:r>
      <w:r>
        <w:t>has</w:t>
      </w:r>
      <w:r>
        <w:rPr>
          <w:spacing w:val="-12"/>
        </w:rPr>
        <w:t xml:space="preserve"> </w:t>
      </w:r>
      <w:r>
        <w:t>been</w:t>
      </w:r>
      <w:r>
        <w:rPr>
          <w:spacing w:val="-13"/>
        </w:rPr>
        <w:t xml:space="preserve"> </w:t>
      </w:r>
      <w:r>
        <w:t xml:space="preserve">reported (see Section 4.8 Adverse effects (Undesirable effects), </w:t>
      </w:r>
      <w:proofErr w:type="gramStart"/>
      <w:r>
        <w:t>Post-marketing</w:t>
      </w:r>
      <w:proofErr w:type="gramEnd"/>
      <w:r>
        <w:t xml:space="preserve"> experience), with most cases </w:t>
      </w:r>
      <w:r>
        <w:lastRenderedPageBreak/>
        <w:t xml:space="preserve">occurring in the first weeks of initiating </w:t>
      </w:r>
      <w:proofErr w:type="gramStart"/>
      <w:r>
        <w:t>therapy, but</w:t>
      </w:r>
      <w:proofErr w:type="gramEnd"/>
      <w:r>
        <w:t xml:space="preserve"> can occur later.</w:t>
      </w:r>
    </w:p>
    <w:p w14:paraId="4ECCBE4A" w14:textId="529D8EEA" w:rsidR="00AE135B" w:rsidRPr="00401300" w:rsidRDefault="00EE5424" w:rsidP="00401300">
      <w:pPr>
        <w:pStyle w:val="BodyText"/>
        <w:spacing w:before="8" w:line="360" w:lineRule="auto"/>
        <w:ind w:right="174"/>
        <w:jc w:val="both"/>
      </w:pPr>
      <w:r>
        <w:t xml:space="preserve">If </w:t>
      </w:r>
      <w:proofErr w:type="spellStart"/>
      <w:r>
        <w:t>hypocalcaemia</w:t>
      </w:r>
      <w:proofErr w:type="spellEnd"/>
      <w:r>
        <w:t xml:space="preserve"> occurs while receiving </w:t>
      </w:r>
      <w:proofErr w:type="spellStart"/>
      <w:r>
        <w:t>DOSTIVA</w:t>
      </w:r>
      <w:proofErr w:type="spellEnd"/>
      <w:r>
        <w:t>, additional short term calcium supplementation</w:t>
      </w:r>
      <w:r>
        <w:rPr>
          <w:spacing w:val="-2"/>
        </w:rPr>
        <w:t xml:space="preserve"> </w:t>
      </w:r>
      <w:r>
        <w:t>may</w:t>
      </w:r>
      <w:r>
        <w:rPr>
          <w:spacing w:val="-3"/>
        </w:rPr>
        <w:t xml:space="preserve"> </w:t>
      </w:r>
      <w:r>
        <w:t>be necessary</w:t>
      </w:r>
      <w:r>
        <w:rPr>
          <w:spacing w:val="-3"/>
        </w:rPr>
        <w:t xml:space="preserve"> </w:t>
      </w:r>
      <w:r>
        <w:t>(see Section</w:t>
      </w:r>
      <w:r>
        <w:rPr>
          <w:spacing w:val="-4"/>
        </w:rPr>
        <w:t xml:space="preserve"> </w:t>
      </w:r>
      <w:r>
        <w:t>4.4 Special</w:t>
      </w:r>
      <w:r>
        <w:rPr>
          <w:spacing w:val="-1"/>
        </w:rPr>
        <w:t xml:space="preserve"> </w:t>
      </w:r>
      <w:r>
        <w:t>warnings</w:t>
      </w:r>
      <w:r>
        <w:rPr>
          <w:spacing w:val="-1"/>
        </w:rPr>
        <w:t xml:space="preserve"> </w:t>
      </w:r>
      <w:r>
        <w:t>and</w:t>
      </w:r>
      <w:r>
        <w:rPr>
          <w:spacing w:val="-2"/>
        </w:rPr>
        <w:t xml:space="preserve"> </w:t>
      </w:r>
      <w:r>
        <w:t>precautions for use, Use in renal impairment and Section</w:t>
      </w:r>
      <w:r w:rsidR="00401300">
        <w:t xml:space="preserve"> </w:t>
      </w:r>
      <w:r>
        <w:t>4.8</w:t>
      </w:r>
      <w:r>
        <w:rPr>
          <w:spacing w:val="-8"/>
        </w:rPr>
        <w:t xml:space="preserve"> </w:t>
      </w:r>
      <w:r>
        <w:t>Adverse</w:t>
      </w:r>
      <w:r>
        <w:rPr>
          <w:spacing w:val="-5"/>
        </w:rPr>
        <w:t xml:space="preserve"> </w:t>
      </w:r>
      <w:r>
        <w:t>effects</w:t>
      </w:r>
      <w:r>
        <w:rPr>
          <w:spacing w:val="-8"/>
        </w:rPr>
        <w:t xml:space="preserve"> </w:t>
      </w:r>
      <w:r>
        <w:t>(Undesirable</w:t>
      </w:r>
      <w:r>
        <w:rPr>
          <w:spacing w:val="-6"/>
        </w:rPr>
        <w:t xml:space="preserve"> </w:t>
      </w:r>
      <w:r>
        <w:t>effects),</w:t>
      </w:r>
      <w:r>
        <w:rPr>
          <w:spacing w:val="-7"/>
        </w:rPr>
        <w:t xml:space="preserve"> </w:t>
      </w:r>
      <w:proofErr w:type="gramStart"/>
      <w:r>
        <w:t>Post-</w:t>
      </w:r>
      <w:r>
        <w:rPr>
          <w:spacing w:val="-8"/>
        </w:rPr>
        <w:t xml:space="preserve"> </w:t>
      </w:r>
      <w:r>
        <w:t>marketing</w:t>
      </w:r>
      <w:proofErr w:type="gramEnd"/>
      <w:r>
        <w:rPr>
          <w:spacing w:val="-6"/>
        </w:rPr>
        <w:t xml:space="preserve"> </w:t>
      </w:r>
      <w:r>
        <w:rPr>
          <w:spacing w:val="-2"/>
        </w:rPr>
        <w:t>experience).</w:t>
      </w:r>
    </w:p>
    <w:p w14:paraId="5C205431" w14:textId="77777777" w:rsidR="00320262" w:rsidRDefault="00320262">
      <w:pPr>
        <w:pStyle w:val="BodyText"/>
        <w:spacing w:before="1"/>
        <w:jc w:val="both"/>
        <w:rPr>
          <w:spacing w:val="-2"/>
        </w:rPr>
      </w:pPr>
    </w:p>
    <w:p w14:paraId="4CAF6447" w14:textId="77777777" w:rsidR="00AE135B" w:rsidRDefault="00EE5424">
      <w:pPr>
        <w:pStyle w:val="Heading3"/>
        <w:spacing w:before="40"/>
      </w:pPr>
      <w:r>
        <w:rPr>
          <w:u w:val="single"/>
        </w:rPr>
        <w:t>Use</w:t>
      </w:r>
      <w:r>
        <w:rPr>
          <w:spacing w:val="-13"/>
          <w:u w:val="single"/>
        </w:rPr>
        <w:t xml:space="preserve"> </w:t>
      </w:r>
      <w:r>
        <w:rPr>
          <w:u w:val="single"/>
        </w:rPr>
        <w:t>in</w:t>
      </w:r>
      <w:r>
        <w:rPr>
          <w:spacing w:val="-12"/>
          <w:u w:val="single"/>
        </w:rPr>
        <w:t xml:space="preserve"> </w:t>
      </w:r>
      <w:r>
        <w:rPr>
          <w:u w:val="single"/>
        </w:rPr>
        <w:t>hepatic</w:t>
      </w:r>
      <w:r>
        <w:rPr>
          <w:spacing w:val="-12"/>
          <w:u w:val="single"/>
        </w:rPr>
        <w:t xml:space="preserve"> </w:t>
      </w:r>
      <w:r>
        <w:rPr>
          <w:spacing w:val="-2"/>
          <w:u w:val="single"/>
        </w:rPr>
        <w:t>impairment</w:t>
      </w:r>
    </w:p>
    <w:p w14:paraId="7FA6E82F" w14:textId="77777777" w:rsidR="00AE135B" w:rsidRDefault="00EE5424">
      <w:pPr>
        <w:pStyle w:val="BodyText"/>
        <w:spacing w:before="248"/>
      </w:pPr>
      <w:r>
        <w:rPr>
          <w:spacing w:val="-2"/>
        </w:rPr>
        <w:t>The</w:t>
      </w:r>
      <w:r>
        <w:rPr>
          <w:spacing w:val="-8"/>
        </w:rPr>
        <w:t xml:space="preserve"> </w:t>
      </w:r>
      <w:r>
        <w:rPr>
          <w:spacing w:val="-2"/>
        </w:rPr>
        <w:t>safety</w:t>
      </w:r>
      <w:r>
        <w:rPr>
          <w:spacing w:val="-5"/>
        </w:rPr>
        <w:t xml:space="preserve"> </w:t>
      </w:r>
      <w:r>
        <w:rPr>
          <w:spacing w:val="-2"/>
        </w:rPr>
        <w:t>and</w:t>
      </w:r>
      <w:r>
        <w:rPr>
          <w:spacing w:val="-7"/>
        </w:rPr>
        <w:t xml:space="preserve"> </w:t>
      </w:r>
      <w:r>
        <w:rPr>
          <w:spacing w:val="-2"/>
        </w:rPr>
        <w:t>efficacy</w:t>
      </w:r>
      <w:r>
        <w:rPr>
          <w:spacing w:val="-4"/>
        </w:rPr>
        <w:t xml:space="preserve"> </w:t>
      </w:r>
      <w:r>
        <w:rPr>
          <w:spacing w:val="-2"/>
        </w:rPr>
        <w:t>of</w:t>
      </w:r>
      <w:r>
        <w:rPr>
          <w:spacing w:val="-3"/>
        </w:rPr>
        <w:t xml:space="preserve"> </w:t>
      </w:r>
      <w:r>
        <w:rPr>
          <w:spacing w:val="-2"/>
        </w:rPr>
        <w:t>denosumab</w:t>
      </w:r>
      <w:r>
        <w:rPr>
          <w:spacing w:val="-3"/>
        </w:rPr>
        <w:t xml:space="preserve"> </w:t>
      </w:r>
      <w:proofErr w:type="gramStart"/>
      <w:r>
        <w:rPr>
          <w:spacing w:val="-2"/>
        </w:rPr>
        <w:t>has</w:t>
      </w:r>
      <w:proofErr w:type="gramEnd"/>
      <w:r>
        <w:rPr>
          <w:spacing w:val="-3"/>
        </w:rPr>
        <w:t xml:space="preserve"> </w:t>
      </w:r>
      <w:r>
        <w:rPr>
          <w:spacing w:val="-2"/>
        </w:rPr>
        <w:t>not</w:t>
      </w:r>
      <w:r>
        <w:rPr>
          <w:spacing w:val="-3"/>
        </w:rPr>
        <w:t xml:space="preserve"> </w:t>
      </w:r>
      <w:r>
        <w:rPr>
          <w:spacing w:val="-2"/>
        </w:rPr>
        <w:t>been studied</w:t>
      </w:r>
      <w:r>
        <w:rPr>
          <w:spacing w:val="-3"/>
        </w:rPr>
        <w:t xml:space="preserve"> </w:t>
      </w:r>
      <w:r>
        <w:rPr>
          <w:spacing w:val="-2"/>
        </w:rPr>
        <w:t>in</w:t>
      </w:r>
      <w:r>
        <w:rPr>
          <w:spacing w:val="-4"/>
        </w:rPr>
        <w:t xml:space="preserve"> </w:t>
      </w:r>
      <w:r>
        <w:rPr>
          <w:spacing w:val="-2"/>
        </w:rPr>
        <w:t>patients</w:t>
      </w:r>
      <w:r>
        <w:rPr>
          <w:spacing w:val="-6"/>
        </w:rPr>
        <w:t xml:space="preserve"> </w:t>
      </w:r>
      <w:r>
        <w:rPr>
          <w:spacing w:val="-2"/>
        </w:rPr>
        <w:t>with hepatic</w:t>
      </w:r>
      <w:r>
        <w:rPr>
          <w:spacing w:val="-4"/>
        </w:rPr>
        <w:t xml:space="preserve"> </w:t>
      </w:r>
      <w:r>
        <w:rPr>
          <w:spacing w:val="-2"/>
        </w:rPr>
        <w:t>impairment.</w:t>
      </w:r>
    </w:p>
    <w:p w14:paraId="41263E99" w14:textId="77777777" w:rsidR="00AE135B" w:rsidRDefault="00AE135B">
      <w:pPr>
        <w:pStyle w:val="BodyText"/>
        <w:spacing w:before="259"/>
        <w:ind w:left="0"/>
      </w:pPr>
    </w:p>
    <w:p w14:paraId="733C403B" w14:textId="77777777" w:rsidR="00AE135B" w:rsidRDefault="00EE5424">
      <w:pPr>
        <w:pStyle w:val="Heading3"/>
      </w:pPr>
      <w:r>
        <w:rPr>
          <w:u w:val="single"/>
        </w:rPr>
        <w:t>Use</w:t>
      </w:r>
      <w:r>
        <w:rPr>
          <w:spacing w:val="-10"/>
          <w:u w:val="single"/>
        </w:rPr>
        <w:t xml:space="preserve"> </w:t>
      </w:r>
      <w:r>
        <w:rPr>
          <w:u w:val="single"/>
        </w:rPr>
        <w:t>in</w:t>
      </w:r>
      <w:r>
        <w:rPr>
          <w:spacing w:val="-9"/>
          <w:u w:val="single"/>
        </w:rPr>
        <w:t xml:space="preserve"> </w:t>
      </w:r>
      <w:r>
        <w:rPr>
          <w:u w:val="single"/>
        </w:rPr>
        <w:t>renal</w:t>
      </w:r>
      <w:r>
        <w:rPr>
          <w:spacing w:val="-6"/>
          <w:u w:val="single"/>
        </w:rPr>
        <w:t xml:space="preserve"> </w:t>
      </w:r>
      <w:r>
        <w:rPr>
          <w:spacing w:val="-2"/>
          <w:u w:val="single"/>
        </w:rPr>
        <w:t>impairment</w:t>
      </w:r>
    </w:p>
    <w:p w14:paraId="697910AA" w14:textId="77777777" w:rsidR="00AE135B" w:rsidRDefault="00EE5424">
      <w:pPr>
        <w:pStyle w:val="BodyText"/>
        <w:spacing w:before="260"/>
        <w:jc w:val="both"/>
      </w:pPr>
      <w:r>
        <w:rPr>
          <w:spacing w:val="-2"/>
        </w:rPr>
        <w:t>No</w:t>
      </w:r>
      <w:r>
        <w:rPr>
          <w:spacing w:val="-5"/>
        </w:rPr>
        <w:t xml:space="preserve"> </w:t>
      </w:r>
      <w:r>
        <w:rPr>
          <w:spacing w:val="-2"/>
        </w:rPr>
        <w:t>dose</w:t>
      </w:r>
      <w:r>
        <w:rPr>
          <w:spacing w:val="-8"/>
        </w:rPr>
        <w:t xml:space="preserve"> </w:t>
      </w:r>
      <w:r>
        <w:rPr>
          <w:spacing w:val="-2"/>
        </w:rPr>
        <w:t>adjustment</w:t>
      </w:r>
      <w:r>
        <w:rPr>
          <w:spacing w:val="-4"/>
        </w:rPr>
        <w:t xml:space="preserve"> </w:t>
      </w:r>
      <w:r>
        <w:rPr>
          <w:spacing w:val="-2"/>
        </w:rPr>
        <w:t>is</w:t>
      </w:r>
      <w:r>
        <w:rPr>
          <w:spacing w:val="-5"/>
        </w:rPr>
        <w:t xml:space="preserve"> </w:t>
      </w:r>
      <w:r>
        <w:rPr>
          <w:spacing w:val="-2"/>
        </w:rPr>
        <w:t>necessary</w:t>
      </w:r>
      <w:r>
        <w:rPr>
          <w:spacing w:val="-4"/>
        </w:rPr>
        <w:t xml:space="preserve"> </w:t>
      </w:r>
      <w:r>
        <w:rPr>
          <w:spacing w:val="-2"/>
        </w:rPr>
        <w:t>in</w:t>
      </w:r>
      <w:r>
        <w:rPr>
          <w:spacing w:val="-5"/>
        </w:rPr>
        <w:t xml:space="preserve"> </w:t>
      </w:r>
      <w:r>
        <w:rPr>
          <w:spacing w:val="-2"/>
        </w:rPr>
        <w:t>patients</w:t>
      </w:r>
      <w:r>
        <w:rPr>
          <w:spacing w:val="-5"/>
        </w:rPr>
        <w:t xml:space="preserve"> </w:t>
      </w:r>
      <w:r>
        <w:rPr>
          <w:spacing w:val="-2"/>
        </w:rPr>
        <w:t>with</w:t>
      </w:r>
      <w:r>
        <w:rPr>
          <w:spacing w:val="-5"/>
        </w:rPr>
        <w:t xml:space="preserve"> </w:t>
      </w:r>
      <w:r>
        <w:rPr>
          <w:spacing w:val="-2"/>
        </w:rPr>
        <w:t>renal</w:t>
      </w:r>
      <w:r>
        <w:rPr>
          <w:spacing w:val="-5"/>
        </w:rPr>
        <w:t xml:space="preserve"> </w:t>
      </w:r>
      <w:r>
        <w:rPr>
          <w:spacing w:val="-2"/>
        </w:rPr>
        <w:t>impairment.</w:t>
      </w:r>
    </w:p>
    <w:p w14:paraId="64814610" w14:textId="77777777" w:rsidR="00AE135B" w:rsidRDefault="00EE5424">
      <w:pPr>
        <w:pStyle w:val="BodyText"/>
        <w:spacing w:before="235" w:line="360" w:lineRule="auto"/>
        <w:ind w:right="170"/>
        <w:jc w:val="both"/>
      </w:pPr>
      <w:r>
        <w:t>In</w:t>
      </w:r>
      <w:r>
        <w:rPr>
          <w:spacing w:val="-13"/>
        </w:rPr>
        <w:t xml:space="preserve"> </w:t>
      </w:r>
      <w:r>
        <w:t>clinical</w:t>
      </w:r>
      <w:r>
        <w:rPr>
          <w:spacing w:val="-12"/>
        </w:rPr>
        <w:t xml:space="preserve"> </w:t>
      </w:r>
      <w:r>
        <w:t>studies</w:t>
      </w:r>
      <w:r>
        <w:rPr>
          <w:spacing w:val="-13"/>
        </w:rPr>
        <w:t xml:space="preserve"> </w:t>
      </w:r>
      <w:r>
        <w:t>of</w:t>
      </w:r>
      <w:r>
        <w:rPr>
          <w:spacing w:val="-12"/>
        </w:rPr>
        <w:t xml:space="preserve"> </w:t>
      </w:r>
      <w:r>
        <w:t>patients</w:t>
      </w:r>
      <w:r>
        <w:rPr>
          <w:spacing w:val="-13"/>
        </w:rPr>
        <w:t xml:space="preserve"> </w:t>
      </w:r>
      <w:r>
        <w:t>without</w:t>
      </w:r>
      <w:r>
        <w:rPr>
          <w:spacing w:val="-12"/>
        </w:rPr>
        <w:t xml:space="preserve"> </w:t>
      </w:r>
      <w:r>
        <w:t>advanced</w:t>
      </w:r>
      <w:r>
        <w:rPr>
          <w:spacing w:val="-13"/>
        </w:rPr>
        <w:t xml:space="preserve"> </w:t>
      </w:r>
      <w:r>
        <w:t>cancer,</w:t>
      </w:r>
      <w:r>
        <w:rPr>
          <w:spacing w:val="-12"/>
        </w:rPr>
        <w:t xml:space="preserve"> </w:t>
      </w:r>
      <w:r>
        <w:t>but</w:t>
      </w:r>
      <w:r>
        <w:rPr>
          <w:spacing w:val="-12"/>
        </w:rPr>
        <w:t xml:space="preserve"> </w:t>
      </w:r>
      <w:r>
        <w:t>with</w:t>
      </w:r>
      <w:r>
        <w:rPr>
          <w:spacing w:val="-13"/>
        </w:rPr>
        <w:t xml:space="preserve"> </w:t>
      </w:r>
      <w:r>
        <w:t>varying</w:t>
      </w:r>
      <w:r>
        <w:rPr>
          <w:spacing w:val="-12"/>
        </w:rPr>
        <w:t xml:space="preserve"> </w:t>
      </w:r>
      <w:r>
        <w:t>degrees</w:t>
      </w:r>
      <w:r>
        <w:rPr>
          <w:spacing w:val="-13"/>
        </w:rPr>
        <w:t xml:space="preserve"> </w:t>
      </w:r>
      <w:r>
        <w:t>of</w:t>
      </w:r>
      <w:r>
        <w:rPr>
          <w:spacing w:val="-12"/>
        </w:rPr>
        <w:t xml:space="preserve"> </w:t>
      </w:r>
      <w:r>
        <w:t>renal</w:t>
      </w:r>
      <w:r>
        <w:rPr>
          <w:spacing w:val="-13"/>
        </w:rPr>
        <w:t xml:space="preserve"> </w:t>
      </w:r>
      <w:r>
        <w:t>function</w:t>
      </w:r>
      <w:r>
        <w:rPr>
          <w:spacing w:val="-12"/>
        </w:rPr>
        <w:t xml:space="preserve"> </w:t>
      </w:r>
      <w:r>
        <w:t>(including patients with severe renal impairment [creatinine clearance &lt; 30 mL/min] or receiving dialysis) there was a</w:t>
      </w:r>
      <w:r>
        <w:rPr>
          <w:spacing w:val="-11"/>
        </w:rPr>
        <w:t xml:space="preserve"> </w:t>
      </w:r>
      <w:r>
        <w:t>greater</w:t>
      </w:r>
      <w:r>
        <w:rPr>
          <w:spacing w:val="-11"/>
        </w:rPr>
        <w:t xml:space="preserve"> </w:t>
      </w:r>
      <w:r>
        <w:t>risk</w:t>
      </w:r>
      <w:r>
        <w:rPr>
          <w:spacing w:val="-11"/>
        </w:rPr>
        <w:t xml:space="preserve"> </w:t>
      </w:r>
      <w:r>
        <w:t>of</w:t>
      </w:r>
      <w:r>
        <w:rPr>
          <w:spacing w:val="-11"/>
        </w:rPr>
        <w:t xml:space="preserve"> </w:t>
      </w:r>
      <w:r>
        <w:t>developing</w:t>
      </w:r>
      <w:r>
        <w:rPr>
          <w:spacing w:val="-10"/>
        </w:rPr>
        <w:t xml:space="preserve"> </w:t>
      </w:r>
      <w:proofErr w:type="spellStart"/>
      <w:r>
        <w:t>hypocalcaemia</w:t>
      </w:r>
      <w:proofErr w:type="spellEnd"/>
      <w:r>
        <w:rPr>
          <w:spacing w:val="-10"/>
        </w:rPr>
        <w:t xml:space="preserve"> </w:t>
      </w:r>
      <w:r>
        <w:t>with</w:t>
      </w:r>
      <w:r>
        <w:rPr>
          <w:spacing w:val="-8"/>
        </w:rPr>
        <w:t xml:space="preserve"> </w:t>
      </w:r>
      <w:r>
        <w:t>increasing</w:t>
      </w:r>
      <w:r>
        <w:rPr>
          <w:spacing w:val="-8"/>
        </w:rPr>
        <w:t xml:space="preserve"> </w:t>
      </w:r>
      <w:r>
        <w:t>degree</w:t>
      </w:r>
      <w:r>
        <w:rPr>
          <w:spacing w:val="-5"/>
        </w:rPr>
        <w:t xml:space="preserve"> </w:t>
      </w:r>
      <w:r>
        <w:t>of</w:t>
      </w:r>
      <w:r>
        <w:rPr>
          <w:spacing w:val="-8"/>
        </w:rPr>
        <w:t xml:space="preserve"> </w:t>
      </w:r>
      <w:r>
        <w:t>renal</w:t>
      </w:r>
      <w:r>
        <w:rPr>
          <w:spacing w:val="-6"/>
        </w:rPr>
        <w:t xml:space="preserve"> </w:t>
      </w:r>
      <w:r>
        <w:t>impairment,</w:t>
      </w:r>
      <w:r>
        <w:rPr>
          <w:spacing w:val="-7"/>
        </w:rPr>
        <w:t xml:space="preserve"> </w:t>
      </w:r>
      <w:r>
        <w:t>and</w:t>
      </w:r>
      <w:r>
        <w:rPr>
          <w:spacing w:val="-6"/>
        </w:rPr>
        <w:t xml:space="preserve"> </w:t>
      </w:r>
      <w:r>
        <w:t>in</w:t>
      </w:r>
      <w:r>
        <w:rPr>
          <w:spacing w:val="-4"/>
        </w:rPr>
        <w:t xml:space="preserve"> </w:t>
      </w:r>
      <w:r>
        <w:t>the</w:t>
      </w:r>
      <w:r>
        <w:rPr>
          <w:spacing w:val="-8"/>
        </w:rPr>
        <w:t xml:space="preserve"> </w:t>
      </w:r>
      <w:r>
        <w:t>absence of calcium supplementation.</w:t>
      </w:r>
      <w:r>
        <w:rPr>
          <w:spacing w:val="40"/>
        </w:rPr>
        <w:t xml:space="preserve"> </w:t>
      </w:r>
      <w:r>
        <w:t>Monitoring calcium levels and adequate intake of calcium and vitamin D is important in patients with</w:t>
      </w:r>
      <w:r>
        <w:rPr>
          <w:spacing w:val="-1"/>
        </w:rPr>
        <w:t xml:space="preserve"> </w:t>
      </w:r>
      <w:r>
        <w:t xml:space="preserve">severe renal impairment or receiving dialysis (see Section 4.4 Special warnings and precautions for use, Vitamin supplementation and </w:t>
      </w:r>
      <w:proofErr w:type="spellStart"/>
      <w:r>
        <w:t>hypocalcaemia</w:t>
      </w:r>
      <w:proofErr w:type="spellEnd"/>
      <w:r>
        <w:t>).</w:t>
      </w:r>
    </w:p>
    <w:p w14:paraId="4E69BAC3" w14:textId="77777777" w:rsidR="00AE135B" w:rsidRDefault="00AE135B">
      <w:pPr>
        <w:pStyle w:val="BodyText"/>
        <w:spacing w:before="176"/>
        <w:ind w:left="0"/>
      </w:pPr>
    </w:p>
    <w:p w14:paraId="492EBAB5" w14:textId="77777777" w:rsidR="00AE135B" w:rsidRDefault="00EE5424">
      <w:pPr>
        <w:pStyle w:val="Heading3"/>
        <w:jc w:val="both"/>
      </w:pPr>
      <w:r>
        <w:rPr>
          <w:spacing w:val="-2"/>
          <w:u w:val="single"/>
        </w:rPr>
        <w:t>Osteonecrosis</w:t>
      </w:r>
      <w:r>
        <w:rPr>
          <w:spacing w:val="-11"/>
          <w:u w:val="single"/>
        </w:rPr>
        <w:t xml:space="preserve"> </w:t>
      </w:r>
      <w:r>
        <w:rPr>
          <w:spacing w:val="-2"/>
          <w:u w:val="single"/>
        </w:rPr>
        <w:t>of</w:t>
      </w:r>
      <w:r>
        <w:rPr>
          <w:spacing w:val="-10"/>
          <w:u w:val="single"/>
        </w:rPr>
        <w:t xml:space="preserve"> </w:t>
      </w:r>
      <w:r>
        <w:rPr>
          <w:spacing w:val="-2"/>
          <w:u w:val="single"/>
        </w:rPr>
        <w:t>the</w:t>
      </w:r>
      <w:r>
        <w:rPr>
          <w:spacing w:val="-6"/>
          <w:u w:val="single"/>
        </w:rPr>
        <w:t xml:space="preserve"> </w:t>
      </w:r>
      <w:r>
        <w:rPr>
          <w:spacing w:val="-2"/>
          <w:u w:val="single"/>
        </w:rPr>
        <w:t>jaw</w:t>
      </w:r>
      <w:r>
        <w:rPr>
          <w:spacing w:val="-11"/>
          <w:u w:val="single"/>
        </w:rPr>
        <w:t xml:space="preserve"> </w:t>
      </w:r>
      <w:r>
        <w:rPr>
          <w:spacing w:val="-4"/>
          <w:u w:val="single"/>
        </w:rPr>
        <w:t>(</w:t>
      </w:r>
      <w:proofErr w:type="spellStart"/>
      <w:r>
        <w:rPr>
          <w:spacing w:val="-4"/>
          <w:u w:val="single"/>
        </w:rPr>
        <w:t>ONJ</w:t>
      </w:r>
      <w:proofErr w:type="spellEnd"/>
      <w:r>
        <w:rPr>
          <w:spacing w:val="-4"/>
          <w:u w:val="single"/>
        </w:rPr>
        <w:t>)</w:t>
      </w:r>
    </w:p>
    <w:p w14:paraId="20BD92DD" w14:textId="77777777" w:rsidR="00AE135B" w:rsidRDefault="00EE5424">
      <w:pPr>
        <w:pStyle w:val="BodyText"/>
        <w:spacing w:before="248" w:line="360" w:lineRule="auto"/>
        <w:ind w:right="170"/>
        <w:jc w:val="both"/>
      </w:pPr>
      <w:proofErr w:type="spellStart"/>
      <w:r>
        <w:t>ONJ</w:t>
      </w:r>
      <w:proofErr w:type="spellEnd"/>
      <w:r>
        <w:rPr>
          <w:spacing w:val="-13"/>
        </w:rPr>
        <w:t xml:space="preserve"> </w:t>
      </w:r>
      <w:r>
        <w:t>has</w:t>
      </w:r>
      <w:r>
        <w:rPr>
          <w:spacing w:val="-12"/>
        </w:rPr>
        <w:t xml:space="preserve"> </w:t>
      </w:r>
      <w:r>
        <w:t>occurred</w:t>
      </w:r>
      <w:r>
        <w:rPr>
          <w:spacing w:val="-13"/>
        </w:rPr>
        <w:t xml:space="preserve"> </w:t>
      </w:r>
      <w:r>
        <w:t>in</w:t>
      </w:r>
      <w:r>
        <w:rPr>
          <w:spacing w:val="-12"/>
        </w:rPr>
        <w:t xml:space="preserve"> </w:t>
      </w:r>
      <w:r>
        <w:t>patients</w:t>
      </w:r>
      <w:r>
        <w:rPr>
          <w:spacing w:val="-13"/>
        </w:rPr>
        <w:t xml:space="preserve"> </w:t>
      </w:r>
      <w:r>
        <w:t>treated</w:t>
      </w:r>
      <w:r>
        <w:rPr>
          <w:spacing w:val="-12"/>
        </w:rPr>
        <w:t xml:space="preserve"> </w:t>
      </w:r>
      <w:r>
        <w:t>with</w:t>
      </w:r>
      <w:r>
        <w:rPr>
          <w:spacing w:val="-13"/>
        </w:rPr>
        <w:t xml:space="preserve"> </w:t>
      </w:r>
      <w:r>
        <w:t>denosumab,</w:t>
      </w:r>
      <w:r>
        <w:rPr>
          <w:spacing w:val="-12"/>
        </w:rPr>
        <w:t xml:space="preserve"> </w:t>
      </w:r>
      <w:r>
        <w:t>with</w:t>
      </w:r>
      <w:r>
        <w:rPr>
          <w:spacing w:val="-12"/>
        </w:rPr>
        <w:t xml:space="preserve"> </w:t>
      </w:r>
      <w:proofErr w:type="gramStart"/>
      <w:r>
        <w:t>the</w:t>
      </w:r>
      <w:r>
        <w:rPr>
          <w:spacing w:val="-13"/>
        </w:rPr>
        <w:t xml:space="preserve"> </w:t>
      </w:r>
      <w:r>
        <w:t>majority</w:t>
      </w:r>
      <w:r>
        <w:rPr>
          <w:spacing w:val="-12"/>
        </w:rPr>
        <w:t xml:space="preserve"> </w:t>
      </w:r>
      <w:r>
        <w:t>of</w:t>
      </w:r>
      <w:proofErr w:type="gramEnd"/>
      <w:r>
        <w:rPr>
          <w:spacing w:val="-13"/>
        </w:rPr>
        <w:t xml:space="preserve"> </w:t>
      </w:r>
      <w:r>
        <w:t>cases</w:t>
      </w:r>
      <w:r>
        <w:rPr>
          <w:spacing w:val="-12"/>
        </w:rPr>
        <w:t xml:space="preserve"> </w:t>
      </w:r>
      <w:r>
        <w:t>occurring</w:t>
      </w:r>
      <w:r>
        <w:rPr>
          <w:spacing w:val="-13"/>
        </w:rPr>
        <w:t xml:space="preserve"> </w:t>
      </w:r>
      <w:r>
        <w:t>within</w:t>
      </w:r>
      <w:r>
        <w:rPr>
          <w:spacing w:val="-12"/>
        </w:rPr>
        <w:t xml:space="preserve"> </w:t>
      </w:r>
      <w:r>
        <w:t>5</w:t>
      </w:r>
      <w:r>
        <w:rPr>
          <w:spacing w:val="-12"/>
        </w:rPr>
        <w:t xml:space="preserve"> </w:t>
      </w:r>
      <w:r>
        <w:t>months after</w:t>
      </w:r>
      <w:r>
        <w:rPr>
          <w:spacing w:val="-5"/>
        </w:rPr>
        <w:t xml:space="preserve"> </w:t>
      </w:r>
      <w:r>
        <w:t>the</w:t>
      </w:r>
      <w:r>
        <w:rPr>
          <w:spacing w:val="-3"/>
        </w:rPr>
        <w:t xml:space="preserve"> </w:t>
      </w:r>
      <w:r>
        <w:t>last</w:t>
      </w:r>
      <w:r>
        <w:rPr>
          <w:spacing w:val="-3"/>
        </w:rPr>
        <w:t xml:space="preserve"> </w:t>
      </w:r>
      <w:r>
        <w:t>dose.</w:t>
      </w:r>
      <w:r>
        <w:rPr>
          <w:spacing w:val="-3"/>
        </w:rPr>
        <w:t xml:space="preserve"> </w:t>
      </w:r>
      <w:r>
        <w:t>In</w:t>
      </w:r>
      <w:r>
        <w:rPr>
          <w:spacing w:val="-2"/>
        </w:rPr>
        <w:t xml:space="preserve"> </w:t>
      </w:r>
      <w:r>
        <w:t>clinical</w:t>
      </w:r>
      <w:r>
        <w:rPr>
          <w:spacing w:val="-2"/>
        </w:rPr>
        <w:t xml:space="preserve"> </w:t>
      </w:r>
      <w:r>
        <w:t>trials,</w:t>
      </w:r>
      <w:r>
        <w:rPr>
          <w:spacing w:val="-4"/>
        </w:rPr>
        <w:t xml:space="preserve"> </w:t>
      </w:r>
      <w:r>
        <w:t>the</w:t>
      </w:r>
      <w:r>
        <w:rPr>
          <w:spacing w:val="-3"/>
        </w:rPr>
        <w:t xml:space="preserve"> </w:t>
      </w:r>
      <w:r>
        <w:t>incidence</w:t>
      </w:r>
      <w:r>
        <w:rPr>
          <w:spacing w:val="-2"/>
        </w:rPr>
        <w:t xml:space="preserve"> </w:t>
      </w:r>
      <w:r>
        <w:t xml:space="preserve">of </w:t>
      </w:r>
      <w:proofErr w:type="spellStart"/>
      <w:r>
        <w:t>ONJ</w:t>
      </w:r>
      <w:proofErr w:type="spellEnd"/>
      <w:r>
        <w:rPr>
          <w:spacing w:val="-2"/>
        </w:rPr>
        <w:t xml:space="preserve"> </w:t>
      </w:r>
      <w:r>
        <w:t>was higher</w:t>
      </w:r>
      <w:r>
        <w:rPr>
          <w:spacing w:val="-1"/>
        </w:rPr>
        <w:t xml:space="preserve"> </w:t>
      </w:r>
      <w:r>
        <w:t>with</w:t>
      </w:r>
      <w:r>
        <w:rPr>
          <w:spacing w:val="-1"/>
        </w:rPr>
        <w:t xml:space="preserve"> </w:t>
      </w:r>
      <w:r>
        <w:t>longer</w:t>
      </w:r>
      <w:r>
        <w:rPr>
          <w:spacing w:val="-1"/>
        </w:rPr>
        <w:t xml:space="preserve"> </w:t>
      </w:r>
      <w:r>
        <w:t>duration of exposure (see Section 4.8 Adverse effects (Undesirable effects)).</w:t>
      </w:r>
    </w:p>
    <w:p w14:paraId="23B7EB59" w14:textId="77777777" w:rsidR="00AE135B" w:rsidRDefault="00EE5424">
      <w:pPr>
        <w:pStyle w:val="BodyText"/>
        <w:spacing w:before="236" w:line="360" w:lineRule="auto"/>
        <w:ind w:right="170"/>
        <w:jc w:val="both"/>
      </w:pPr>
      <w:r>
        <w:t>Patients</w:t>
      </w:r>
      <w:r>
        <w:rPr>
          <w:spacing w:val="-4"/>
        </w:rPr>
        <w:t xml:space="preserve"> </w:t>
      </w:r>
      <w:r>
        <w:t>who developed</w:t>
      </w:r>
      <w:r>
        <w:rPr>
          <w:spacing w:val="-3"/>
        </w:rPr>
        <w:t xml:space="preserve"> </w:t>
      </w:r>
      <w:proofErr w:type="spellStart"/>
      <w:r>
        <w:t>ONJ</w:t>
      </w:r>
      <w:proofErr w:type="spellEnd"/>
      <w:r>
        <w:rPr>
          <w:spacing w:val="-7"/>
        </w:rPr>
        <w:t xml:space="preserve"> </w:t>
      </w:r>
      <w:r>
        <w:t>in</w:t>
      </w:r>
      <w:r>
        <w:rPr>
          <w:spacing w:val="-2"/>
        </w:rPr>
        <w:t xml:space="preserve"> </w:t>
      </w:r>
      <w:r>
        <w:t>clinical</w:t>
      </w:r>
      <w:r>
        <w:rPr>
          <w:spacing w:val="-4"/>
        </w:rPr>
        <w:t xml:space="preserve"> </w:t>
      </w:r>
      <w:r>
        <w:t>studies</w:t>
      </w:r>
      <w:r>
        <w:rPr>
          <w:spacing w:val="-4"/>
        </w:rPr>
        <w:t xml:space="preserve"> </w:t>
      </w:r>
      <w:r>
        <w:t>generally</w:t>
      </w:r>
      <w:r>
        <w:rPr>
          <w:spacing w:val="-3"/>
        </w:rPr>
        <w:t xml:space="preserve"> </w:t>
      </w:r>
      <w:r>
        <w:t>had</w:t>
      </w:r>
      <w:r>
        <w:rPr>
          <w:spacing w:val="-5"/>
        </w:rPr>
        <w:t xml:space="preserve"> </w:t>
      </w:r>
      <w:r>
        <w:t>known</w:t>
      </w:r>
      <w:r>
        <w:rPr>
          <w:spacing w:val="-4"/>
        </w:rPr>
        <w:t xml:space="preserve"> </w:t>
      </w:r>
      <w:r>
        <w:t>risk</w:t>
      </w:r>
      <w:r>
        <w:rPr>
          <w:spacing w:val="-4"/>
        </w:rPr>
        <w:t xml:space="preserve"> </w:t>
      </w:r>
      <w:r>
        <w:t>factors</w:t>
      </w:r>
      <w:r>
        <w:rPr>
          <w:spacing w:val="-4"/>
        </w:rPr>
        <w:t xml:space="preserve"> </w:t>
      </w:r>
      <w:r>
        <w:t>for</w:t>
      </w:r>
      <w:r>
        <w:rPr>
          <w:spacing w:val="-4"/>
        </w:rPr>
        <w:t xml:space="preserve"> </w:t>
      </w:r>
      <w:proofErr w:type="spellStart"/>
      <w:r>
        <w:t>ONJ</w:t>
      </w:r>
      <w:proofErr w:type="spellEnd"/>
      <w:r>
        <w:t>,</w:t>
      </w:r>
      <w:r>
        <w:rPr>
          <w:spacing w:val="-4"/>
        </w:rPr>
        <w:t xml:space="preserve"> </w:t>
      </w:r>
      <w:r>
        <w:t>including</w:t>
      </w:r>
      <w:r>
        <w:rPr>
          <w:spacing w:val="-7"/>
        </w:rPr>
        <w:t xml:space="preserve"> </w:t>
      </w:r>
      <w:r>
        <w:t>invasive dental procedures (e.g., tooth extraction, dental implants, oral surgery), poor oral hygiene or other pre-existing</w:t>
      </w:r>
      <w:r>
        <w:rPr>
          <w:spacing w:val="-10"/>
        </w:rPr>
        <w:t xml:space="preserve"> </w:t>
      </w:r>
      <w:r>
        <w:t>dental</w:t>
      </w:r>
      <w:r>
        <w:rPr>
          <w:spacing w:val="-9"/>
        </w:rPr>
        <w:t xml:space="preserve"> </w:t>
      </w:r>
      <w:r>
        <w:t>disease,</w:t>
      </w:r>
      <w:r>
        <w:rPr>
          <w:spacing w:val="-5"/>
        </w:rPr>
        <w:t xml:space="preserve"> </w:t>
      </w:r>
      <w:r>
        <w:t>local</w:t>
      </w:r>
      <w:r>
        <w:rPr>
          <w:spacing w:val="-8"/>
        </w:rPr>
        <w:t xml:space="preserve"> </w:t>
      </w:r>
      <w:r>
        <w:t>gum</w:t>
      </w:r>
      <w:r>
        <w:rPr>
          <w:spacing w:val="-7"/>
        </w:rPr>
        <w:t xml:space="preserve"> </w:t>
      </w:r>
      <w:r>
        <w:t>or</w:t>
      </w:r>
      <w:r>
        <w:rPr>
          <w:spacing w:val="-6"/>
        </w:rPr>
        <w:t xml:space="preserve"> </w:t>
      </w:r>
      <w:r>
        <w:t>oral</w:t>
      </w:r>
      <w:r>
        <w:rPr>
          <w:spacing w:val="-8"/>
        </w:rPr>
        <w:t xml:space="preserve"> </w:t>
      </w:r>
      <w:r>
        <w:t>infection,</w:t>
      </w:r>
      <w:r>
        <w:rPr>
          <w:spacing w:val="-7"/>
        </w:rPr>
        <w:t xml:space="preserve"> </w:t>
      </w:r>
      <w:r>
        <w:t>advanced</w:t>
      </w:r>
      <w:r>
        <w:rPr>
          <w:spacing w:val="-5"/>
        </w:rPr>
        <w:t xml:space="preserve"> </w:t>
      </w:r>
      <w:r>
        <w:t>malignancies,</w:t>
      </w:r>
      <w:r>
        <w:rPr>
          <w:spacing w:val="-5"/>
        </w:rPr>
        <w:t xml:space="preserve"> </w:t>
      </w:r>
      <w:r>
        <w:t>or</w:t>
      </w:r>
      <w:r>
        <w:rPr>
          <w:spacing w:val="-5"/>
        </w:rPr>
        <w:t xml:space="preserve"> </w:t>
      </w:r>
      <w:r>
        <w:t>concomitant</w:t>
      </w:r>
      <w:r>
        <w:rPr>
          <w:spacing w:val="-5"/>
        </w:rPr>
        <w:t xml:space="preserve"> </w:t>
      </w:r>
      <w:r>
        <w:t>therapies</w:t>
      </w:r>
      <w:r>
        <w:rPr>
          <w:spacing w:val="-3"/>
        </w:rPr>
        <w:t xml:space="preserve"> </w:t>
      </w:r>
      <w:r>
        <w:t>(e.g., chemotherapy,</w:t>
      </w:r>
      <w:r>
        <w:rPr>
          <w:spacing w:val="-4"/>
        </w:rPr>
        <w:t xml:space="preserve"> </w:t>
      </w:r>
      <w:r>
        <w:t>corticosteroids,</w:t>
      </w:r>
      <w:r>
        <w:rPr>
          <w:spacing w:val="-4"/>
        </w:rPr>
        <w:t xml:space="preserve"> </w:t>
      </w:r>
      <w:r>
        <w:t>angiogenesis</w:t>
      </w:r>
      <w:r>
        <w:rPr>
          <w:spacing w:val="-4"/>
        </w:rPr>
        <w:t xml:space="preserve"> </w:t>
      </w:r>
      <w:r>
        <w:t>inhibitors).</w:t>
      </w:r>
      <w:r>
        <w:rPr>
          <w:spacing w:val="35"/>
        </w:rPr>
        <w:t xml:space="preserve"> </w:t>
      </w:r>
      <w:r>
        <w:t>An</w:t>
      </w:r>
      <w:r>
        <w:rPr>
          <w:spacing w:val="-7"/>
        </w:rPr>
        <w:t xml:space="preserve"> </w:t>
      </w:r>
      <w:r>
        <w:t>oral</w:t>
      </w:r>
      <w:r>
        <w:rPr>
          <w:spacing w:val="-5"/>
        </w:rPr>
        <w:t xml:space="preserve"> </w:t>
      </w:r>
      <w:r>
        <w:t>examination</w:t>
      </w:r>
      <w:r>
        <w:rPr>
          <w:spacing w:val="-4"/>
        </w:rPr>
        <w:t xml:space="preserve"> </w:t>
      </w:r>
      <w:r>
        <w:t>should</w:t>
      </w:r>
      <w:r>
        <w:rPr>
          <w:spacing w:val="-4"/>
        </w:rPr>
        <w:t xml:space="preserve"> </w:t>
      </w:r>
      <w:r>
        <w:t>be</w:t>
      </w:r>
      <w:r>
        <w:rPr>
          <w:spacing w:val="-4"/>
        </w:rPr>
        <w:t xml:space="preserve"> </w:t>
      </w:r>
      <w:r>
        <w:t>performed</w:t>
      </w:r>
      <w:r>
        <w:rPr>
          <w:spacing w:val="-4"/>
        </w:rPr>
        <w:t xml:space="preserve"> </w:t>
      </w:r>
      <w:r>
        <w:t>by</w:t>
      </w:r>
      <w:r>
        <w:rPr>
          <w:spacing w:val="-5"/>
        </w:rPr>
        <w:t xml:space="preserve"> </w:t>
      </w:r>
      <w:r>
        <w:t>the prescriber prior</w:t>
      </w:r>
      <w:r>
        <w:rPr>
          <w:spacing w:val="-1"/>
        </w:rPr>
        <w:t xml:space="preserve"> </w:t>
      </w:r>
      <w:r>
        <w:t>to initiation of</w:t>
      </w:r>
      <w:r>
        <w:rPr>
          <w:spacing w:val="-1"/>
        </w:rPr>
        <w:t xml:space="preserve"> </w:t>
      </w:r>
      <w:proofErr w:type="spellStart"/>
      <w:r>
        <w:t>DOSTIVA</w:t>
      </w:r>
      <w:proofErr w:type="spellEnd"/>
      <w:r>
        <w:t xml:space="preserve"> treatment</w:t>
      </w:r>
      <w:r>
        <w:rPr>
          <w:spacing w:val="-1"/>
        </w:rPr>
        <w:t xml:space="preserve"> </w:t>
      </w:r>
      <w:r>
        <w:t>and a dental</w:t>
      </w:r>
      <w:r>
        <w:rPr>
          <w:spacing w:val="-1"/>
        </w:rPr>
        <w:t xml:space="preserve"> </w:t>
      </w:r>
      <w:r>
        <w:t>examination</w:t>
      </w:r>
      <w:r>
        <w:rPr>
          <w:spacing w:val="-2"/>
        </w:rPr>
        <w:t xml:space="preserve"> </w:t>
      </w:r>
      <w:r>
        <w:t>with appropriate preventive dentistry</w:t>
      </w:r>
      <w:r>
        <w:rPr>
          <w:spacing w:val="-9"/>
        </w:rPr>
        <w:t xml:space="preserve"> </w:t>
      </w:r>
      <w:r>
        <w:t>is</w:t>
      </w:r>
      <w:r>
        <w:rPr>
          <w:spacing w:val="-8"/>
        </w:rPr>
        <w:t xml:space="preserve"> </w:t>
      </w:r>
      <w:r>
        <w:t>recommended</w:t>
      </w:r>
      <w:r>
        <w:rPr>
          <w:spacing w:val="-11"/>
        </w:rPr>
        <w:t xml:space="preserve"> </w:t>
      </w:r>
      <w:r>
        <w:t>prior</w:t>
      </w:r>
      <w:r>
        <w:rPr>
          <w:spacing w:val="-8"/>
        </w:rPr>
        <w:t xml:space="preserve"> </w:t>
      </w:r>
      <w:r>
        <w:t>to</w:t>
      </w:r>
      <w:r>
        <w:rPr>
          <w:spacing w:val="-7"/>
        </w:rPr>
        <w:t xml:space="preserve"> </w:t>
      </w:r>
      <w:r>
        <w:t>treatment</w:t>
      </w:r>
      <w:r>
        <w:rPr>
          <w:spacing w:val="-10"/>
        </w:rPr>
        <w:t xml:space="preserve"> </w:t>
      </w:r>
      <w:r>
        <w:t>with</w:t>
      </w:r>
      <w:r>
        <w:rPr>
          <w:spacing w:val="-11"/>
        </w:rPr>
        <w:t xml:space="preserve"> </w:t>
      </w:r>
      <w:proofErr w:type="spellStart"/>
      <w:r>
        <w:t>DOSTIVA</w:t>
      </w:r>
      <w:proofErr w:type="spellEnd"/>
      <w:r>
        <w:t>,</w:t>
      </w:r>
      <w:r>
        <w:rPr>
          <w:spacing w:val="-9"/>
        </w:rPr>
        <w:t xml:space="preserve"> </w:t>
      </w:r>
      <w:r>
        <w:t>especially</w:t>
      </w:r>
      <w:r>
        <w:rPr>
          <w:spacing w:val="-7"/>
        </w:rPr>
        <w:t xml:space="preserve"> </w:t>
      </w:r>
      <w:r>
        <w:t>in</w:t>
      </w:r>
      <w:r>
        <w:rPr>
          <w:spacing w:val="-9"/>
        </w:rPr>
        <w:t xml:space="preserve"> </w:t>
      </w:r>
      <w:r>
        <w:t>patients</w:t>
      </w:r>
      <w:r>
        <w:rPr>
          <w:spacing w:val="-8"/>
        </w:rPr>
        <w:t xml:space="preserve"> </w:t>
      </w:r>
      <w:r>
        <w:t>with</w:t>
      </w:r>
      <w:r>
        <w:rPr>
          <w:spacing w:val="-8"/>
        </w:rPr>
        <w:t xml:space="preserve"> </w:t>
      </w:r>
      <w:r>
        <w:t>risk</w:t>
      </w:r>
      <w:r>
        <w:rPr>
          <w:spacing w:val="-8"/>
        </w:rPr>
        <w:t xml:space="preserve"> </w:t>
      </w:r>
      <w:r>
        <w:t>factors</w:t>
      </w:r>
      <w:r>
        <w:rPr>
          <w:spacing w:val="-11"/>
        </w:rPr>
        <w:t xml:space="preserve"> </w:t>
      </w:r>
      <w:r>
        <w:t>for</w:t>
      </w:r>
      <w:r>
        <w:rPr>
          <w:spacing w:val="-11"/>
        </w:rPr>
        <w:t xml:space="preserve"> </w:t>
      </w:r>
      <w:proofErr w:type="spellStart"/>
      <w:r>
        <w:t>ONJ</w:t>
      </w:r>
      <w:proofErr w:type="spellEnd"/>
      <w:r>
        <w:t xml:space="preserve">. Good oral hygiene practices should be maintained during treatment with </w:t>
      </w:r>
      <w:proofErr w:type="spellStart"/>
      <w:r>
        <w:t>DOSTIVA</w:t>
      </w:r>
      <w:proofErr w:type="spellEnd"/>
      <w:r>
        <w:t>.</w:t>
      </w:r>
    </w:p>
    <w:p w14:paraId="61CC7E9C" w14:textId="77777777" w:rsidR="00AE135B" w:rsidRDefault="00AE135B">
      <w:pPr>
        <w:pStyle w:val="BodyText"/>
        <w:spacing w:before="92"/>
        <w:ind w:left="0"/>
      </w:pPr>
    </w:p>
    <w:p w14:paraId="7D22193C" w14:textId="77777777" w:rsidR="00AE135B" w:rsidRDefault="00EE5424">
      <w:pPr>
        <w:pStyle w:val="BodyText"/>
        <w:spacing w:line="360" w:lineRule="auto"/>
        <w:ind w:right="171"/>
        <w:jc w:val="both"/>
      </w:pPr>
      <w:r>
        <w:t xml:space="preserve">Patients should avoid invasive dental procedures during treatment with </w:t>
      </w:r>
      <w:proofErr w:type="spellStart"/>
      <w:r>
        <w:t>DOSTIVA</w:t>
      </w:r>
      <w:proofErr w:type="spellEnd"/>
      <w:r>
        <w:t>. For patients in whom invasive</w:t>
      </w:r>
      <w:r>
        <w:rPr>
          <w:spacing w:val="-13"/>
        </w:rPr>
        <w:t xml:space="preserve"> </w:t>
      </w:r>
      <w:r>
        <w:t>dental</w:t>
      </w:r>
      <w:r>
        <w:rPr>
          <w:spacing w:val="-12"/>
        </w:rPr>
        <w:t xml:space="preserve"> </w:t>
      </w:r>
      <w:r>
        <w:t>procedures</w:t>
      </w:r>
      <w:r>
        <w:rPr>
          <w:spacing w:val="-13"/>
        </w:rPr>
        <w:t xml:space="preserve"> </w:t>
      </w:r>
      <w:r>
        <w:t>cannot</w:t>
      </w:r>
      <w:r>
        <w:rPr>
          <w:spacing w:val="-12"/>
        </w:rPr>
        <w:t xml:space="preserve"> </w:t>
      </w:r>
      <w:r>
        <w:t>be</w:t>
      </w:r>
      <w:r>
        <w:rPr>
          <w:spacing w:val="-13"/>
        </w:rPr>
        <w:t xml:space="preserve"> </w:t>
      </w:r>
      <w:r>
        <w:t>avoided,</w:t>
      </w:r>
      <w:r>
        <w:rPr>
          <w:spacing w:val="-12"/>
        </w:rPr>
        <w:t xml:space="preserve"> </w:t>
      </w:r>
      <w:r>
        <w:t>the</w:t>
      </w:r>
      <w:r>
        <w:rPr>
          <w:spacing w:val="-13"/>
        </w:rPr>
        <w:t xml:space="preserve"> </w:t>
      </w:r>
      <w:r>
        <w:t>clinical</w:t>
      </w:r>
      <w:r>
        <w:rPr>
          <w:spacing w:val="-12"/>
        </w:rPr>
        <w:t xml:space="preserve"> </w:t>
      </w:r>
      <w:r>
        <w:t>judgement</w:t>
      </w:r>
      <w:r>
        <w:rPr>
          <w:spacing w:val="-12"/>
        </w:rPr>
        <w:t xml:space="preserve"> </w:t>
      </w:r>
      <w:r>
        <w:t>of</w:t>
      </w:r>
      <w:r>
        <w:rPr>
          <w:spacing w:val="-13"/>
        </w:rPr>
        <w:t xml:space="preserve"> </w:t>
      </w:r>
      <w:r>
        <w:t>the</w:t>
      </w:r>
      <w:r>
        <w:rPr>
          <w:spacing w:val="-12"/>
        </w:rPr>
        <w:t xml:space="preserve"> </w:t>
      </w:r>
      <w:r>
        <w:t>treating</w:t>
      </w:r>
      <w:r>
        <w:rPr>
          <w:spacing w:val="-13"/>
        </w:rPr>
        <w:t xml:space="preserve"> </w:t>
      </w:r>
      <w:r>
        <w:t>physician</w:t>
      </w:r>
      <w:r>
        <w:rPr>
          <w:spacing w:val="-12"/>
        </w:rPr>
        <w:t xml:space="preserve"> </w:t>
      </w:r>
      <w:r>
        <w:t>should</w:t>
      </w:r>
      <w:r>
        <w:rPr>
          <w:spacing w:val="-13"/>
        </w:rPr>
        <w:t xml:space="preserve"> </w:t>
      </w:r>
      <w:r>
        <w:t xml:space="preserve">guide the management plan of each patient based on individual benefit-risk assessment. Patients who are suspected of having or who develop </w:t>
      </w:r>
      <w:proofErr w:type="spellStart"/>
      <w:r>
        <w:t>ONJ</w:t>
      </w:r>
      <w:proofErr w:type="spellEnd"/>
      <w:r>
        <w:t xml:space="preserve"> while on </w:t>
      </w:r>
      <w:proofErr w:type="spellStart"/>
      <w:r>
        <w:t>DOSTIVA</w:t>
      </w:r>
      <w:proofErr w:type="spellEnd"/>
      <w:r>
        <w:t xml:space="preserve"> should receive care </w:t>
      </w:r>
      <w:proofErr w:type="gramStart"/>
      <w:r>
        <w:t>by</w:t>
      </w:r>
      <w:proofErr w:type="gramEnd"/>
      <w:r>
        <w:t xml:space="preserve"> a dentist or an oral </w:t>
      </w:r>
      <w:r>
        <w:lastRenderedPageBreak/>
        <w:t xml:space="preserve">surgeon. If </w:t>
      </w:r>
      <w:proofErr w:type="spellStart"/>
      <w:r>
        <w:t>ONJ</w:t>
      </w:r>
      <w:proofErr w:type="spellEnd"/>
      <w:r>
        <w:t xml:space="preserve"> occurs during treatment with </w:t>
      </w:r>
      <w:proofErr w:type="spellStart"/>
      <w:r>
        <w:t>DOSTIVA</w:t>
      </w:r>
      <w:proofErr w:type="spellEnd"/>
      <w:r>
        <w:t xml:space="preserve"> a temporary interruption of treatment should be considered based on individual benefit-risk assessment until the condition resolves.</w:t>
      </w:r>
    </w:p>
    <w:p w14:paraId="50116F1A" w14:textId="77777777" w:rsidR="00320262" w:rsidRDefault="00320262">
      <w:pPr>
        <w:pStyle w:val="BodyText"/>
        <w:spacing w:line="360" w:lineRule="auto"/>
        <w:ind w:right="171"/>
        <w:jc w:val="both"/>
      </w:pPr>
    </w:p>
    <w:p w14:paraId="47692AA6" w14:textId="77777777" w:rsidR="00AE135B" w:rsidRDefault="00EE5424">
      <w:pPr>
        <w:pStyle w:val="Heading3"/>
        <w:spacing w:before="38"/>
      </w:pPr>
      <w:r>
        <w:rPr>
          <w:spacing w:val="-2"/>
          <w:u w:val="single"/>
        </w:rPr>
        <w:t>Atypical</w:t>
      </w:r>
      <w:r>
        <w:rPr>
          <w:spacing w:val="-9"/>
          <w:u w:val="single"/>
        </w:rPr>
        <w:t xml:space="preserve"> </w:t>
      </w:r>
      <w:r>
        <w:rPr>
          <w:spacing w:val="-2"/>
          <w:u w:val="single"/>
        </w:rPr>
        <w:t>femoral</w:t>
      </w:r>
      <w:r>
        <w:rPr>
          <w:spacing w:val="-5"/>
          <w:u w:val="single"/>
        </w:rPr>
        <w:t xml:space="preserve"> </w:t>
      </w:r>
      <w:r>
        <w:rPr>
          <w:spacing w:val="-2"/>
          <w:u w:val="single"/>
        </w:rPr>
        <w:t>fractures</w:t>
      </w:r>
    </w:p>
    <w:p w14:paraId="2895F913" w14:textId="77777777" w:rsidR="00AE135B" w:rsidRDefault="00EE5424">
      <w:pPr>
        <w:pStyle w:val="BodyText"/>
        <w:spacing w:before="247" w:line="360" w:lineRule="auto"/>
        <w:ind w:right="172"/>
        <w:jc w:val="both"/>
      </w:pPr>
      <w:r>
        <w:t>Atypical</w:t>
      </w:r>
      <w:r>
        <w:rPr>
          <w:spacing w:val="-13"/>
        </w:rPr>
        <w:t xml:space="preserve"> </w:t>
      </w:r>
      <w:r>
        <w:t>femoral</w:t>
      </w:r>
      <w:r>
        <w:rPr>
          <w:spacing w:val="-12"/>
        </w:rPr>
        <w:t xml:space="preserve"> </w:t>
      </w:r>
      <w:r>
        <w:t>fracture</w:t>
      </w:r>
      <w:r>
        <w:rPr>
          <w:spacing w:val="-13"/>
        </w:rPr>
        <w:t xml:space="preserve"> </w:t>
      </w:r>
      <w:r>
        <w:t>has</w:t>
      </w:r>
      <w:r>
        <w:rPr>
          <w:spacing w:val="-11"/>
        </w:rPr>
        <w:t xml:space="preserve"> </w:t>
      </w:r>
      <w:r>
        <w:t>been</w:t>
      </w:r>
      <w:r>
        <w:rPr>
          <w:spacing w:val="-12"/>
        </w:rPr>
        <w:t xml:space="preserve"> </w:t>
      </w:r>
      <w:r>
        <w:t>reported</w:t>
      </w:r>
      <w:r>
        <w:rPr>
          <w:spacing w:val="-11"/>
        </w:rPr>
        <w:t xml:space="preserve"> </w:t>
      </w:r>
      <w:r>
        <w:t>with</w:t>
      </w:r>
      <w:r>
        <w:rPr>
          <w:spacing w:val="-13"/>
        </w:rPr>
        <w:t xml:space="preserve"> </w:t>
      </w:r>
      <w:r>
        <w:t>denosumab</w:t>
      </w:r>
      <w:r>
        <w:rPr>
          <w:spacing w:val="-10"/>
        </w:rPr>
        <w:t xml:space="preserve"> </w:t>
      </w:r>
      <w:r>
        <w:t>(see</w:t>
      </w:r>
      <w:r>
        <w:rPr>
          <w:spacing w:val="-11"/>
        </w:rPr>
        <w:t xml:space="preserve"> </w:t>
      </w:r>
      <w:r>
        <w:t>Section</w:t>
      </w:r>
      <w:r>
        <w:rPr>
          <w:spacing w:val="-13"/>
        </w:rPr>
        <w:t xml:space="preserve"> </w:t>
      </w:r>
      <w:r>
        <w:t>4.8</w:t>
      </w:r>
      <w:r>
        <w:rPr>
          <w:spacing w:val="-9"/>
        </w:rPr>
        <w:t xml:space="preserve"> </w:t>
      </w:r>
      <w:r>
        <w:t>Adverse</w:t>
      </w:r>
      <w:r>
        <w:rPr>
          <w:spacing w:val="-13"/>
        </w:rPr>
        <w:t xml:space="preserve"> </w:t>
      </w:r>
      <w:r>
        <w:t>effects</w:t>
      </w:r>
      <w:r>
        <w:rPr>
          <w:spacing w:val="-10"/>
        </w:rPr>
        <w:t xml:space="preserve"> </w:t>
      </w:r>
      <w:r>
        <w:t xml:space="preserve">(Undesirable effects)). Atypical femoral fractures may occur with little or no trauma in the subtrochanteric and diaphyseal regions of the femur and may be bilateral. Specific radiographic findings </w:t>
      </w:r>
      <w:proofErr w:type="spellStart"/>
      <w:r>
        <w:t>characterise</w:t>
      </w:r>
      <w:proofErr w:type="spellEnd"/>
      <w:r>
        <w:t xml:space="preserve"> these events. Atypical femoral fractures have also been reported in patients with certain co-morbid conditions (e.g.</w:t>
      </w:r>
      <w:r>
        <w:rPr>
          <w:spacing w:val="-9"/>
        </w:rPr>
        <w:t xml:space="preserve"> </w:t>
      </w:r>
      <w:r>
        <w:t>vitamin</w:t>
      </w:r>
      <w:r>
        <w:rPr>
          <w:spacing w:val="-12"/>
        </w:rPr>
        <w:t xml:space="preserve"> </w:t>
      </w:r>
      <w:r>
        <w:t>D</w:t>
      </w:r>
      <w:r>
        <w:rPr>
          <w:spacing w:val="-8"/>
        </w:rPr>
        <w:t xml:space="preserve"> </w:t>
      </w:r>
      <w:r>
        <w:t>deficiency,</w:t>
      </w:r>
      <w:r>
        <w:rPr>
          <w:spacing w:val="-8"/>
        </w:rPr>
        <w:t xml:space="preserve"> </w:t>
      </w:r>
      <w:r>
        <w:t>rheumatoid</w:t>
      </w:r>
      <w:r>
        <w:rPr>
          <w:spacing w:val="-7"/>
        </w:rPr>
        <w:t xml:space="preserve"> </w:t>
      </w:r>
      <w:r>
        <w:t>arthritis,</w:t>
      </w:r>
      <w:r>
        <w:rPr>
          <w:spacing w:val="-6"/>
        </w:rPr>
        <w:t xml:space="preserve"> </w:t>
      </w:r>
      <w:r>
        <w:t>hypophosphatasia)</w:t>
      </w:r>
      <w:r>
        <w:rPr>
          <w:spacing w:val="-8"/>
        </w:rPr>
        <w:t xml:space="preserve"> </w:t>
      </w:r>
      <w:r>
        <w:t>and</w:t>
      </w:r>
      <w:r>
        <w:rPr>
          <w:spacing w:val="-10"/>
        </w:rPr>
        <w:t xml:space="preserve"> </w:t>
      </w:r>
      <w:r>
        <w:t>with</w:t>
      </w:r>
      <w:r>
        <w:rPr>
          <w:spacing w:val="-6"/>
        </w:rPr>
        <w:t xml:space="preserve"> </w:t>
      </w:r>
      <w:r>
        <w:t>use</w:t>
      </w:r>
      <w:r>
        <w:rPr>
          <w:spacing w:val="-10"/>
        </w:rPr>
        <w:t xml:space="preserve"> </w:t>
      </w:r>
      <w:r>
        <w:t>of</w:t>
      </w:r>
      <w:r>
        <w:rPr>
          <w:spacing w:val="-9"/>
        </w:rPr>
        <w:t xml:space="preserve"> </w:t>
      </w:r>
      <w:r>
        <w:t>certain</w:t>
      </w:r>
      <w:r>
        <w:rPr>
          <w:spacing w:val="-8"/>
        </w:rPr>
        <w:t xml:space="preserve"> </w:t>
      </w:r>
      <w:r>
        <w:t>pharmaceutical agents (e.g. bisphosphonates, glucocorticoids, proton pump inhibitors).</w:t>
      </w:r>
    </w:p>
    <w:p w14:paraId="1C810E6B" w14:textId="77777777" w:rsidR="00AE135B" w:rsidRDefault="00AE135B">
      <w:pPr>
        <w:pStyle w:val="BodyText"/>
        <w:spacing w:before="135"/>
        <w:ind w:left="0"/>
      </w:pPr>
    </w:p>
    <w:p w14:paraId="1E12E169" w14:textId="77777777" w:rsidR="00AE135B" w:rsidRDefault="00EE5424">
      <w:pPr>
        <w:pStyle w:val="BodyText"/>
        <w:spacing w:line="360" w:lineRule="auto"/>
        <w:ind w:left="297" w:right="171"/>
        <w:jc w:val="both"/>
      </w:pPr>
      <w:r>
        <w:t xml:space="preserve">These events have also occurred without antiresorptive therapy. During </w:t>
      </w:r>
      <w:proofErr w:type="spellStart"/>
      <w:r>
        <w:t>DOSTIVA</w:t>
      </w:r>
      <w:proofErr w:type="spellEnd"/>
      <w:r>
        <w:t xml:space="preserve"> treatment, patients </w:t>
      </w:r>
      <w:r>
        <w:rPr>
          <w:spacing w:val="-2"/>
        </w:rPr>
        <w:t>should</w:t>
      </w:r>
      <w:r>
        <w:rPr>
          <w:spacing w:val="-11"/>
        </w:rPr>
        <w:t xml:space="preserve"> </w:t>
      </w:r>
      <w:r>
        <w:rPr>
          <w:spacing w:val="-2"/>
        </w:rPr>
        <w:t>be</w:t>
      </w:r>
      <w:r>
        <w:rPr>
          <w:spacing w:val="-9"/>
        </w:rPr>
        <w:t xml:space="preserve"> </w:t>
      </w:r>
      <w:r>
        <w:rPr>
          <w:spacing w:val="-2"/>
        </w:rPr>
        <w:t>advised</w:t>
      </w:r>
      <w:r>
        <w:rPr>
          <w:spacing w:val="-10"/>
        </w:rPr>
        <w:t xml:space="preserve"> </w:t>
      </w:r>
      <w:r>
        <w:rPr>
          <w:spacing w:val="-2"/>
        </w:rPr>
        <w:t>to</w:t>
      </w:r>
      <w:r>
        <w:rPr>
          <w:spacing w:val="-9"/>
        </w:rPr>
        <w:t xml:space="preserve"> </w:t>
      </w:r>
      <w:r>
        <w:rPr>
          <w:spacing w:val="-2"/>
        </w:rPr>
        <w:t>report</w:t>
      </w:r>
      <w:r>
        <w:rPr>
          <w:spacing w:val="-9"/>
        </w:rPr>
        <w:t xml:space="preserve"> </w:t>
      </w:r>
      <w:r>
        <w:rPr>
          <w:spacing w:val="-2"/>
        </w:rPr>
        <w:t>new</w:t>
      </w:r>
      <w:r>
        <w:rPr>
          <w:spacing w:val="-9"/>
        </w:rPr>
        <w:t xml:space="preserve"> </w:t>
      </w:r>
      <w:r>
        <w:rPr>
          <w:spacing w:val="-2"/>
        </w:rPr>
        <w:t>or</w:t>
      </w:r>
      <w:r>
        <w:rPr>
          <w:spacing w:val="-10"/>
        </w:rPr>
        <w:t xml:space="preserve"> </w:t>
      </w:r>
      <w:r>
        <w:rPr>
          <w:spacing w:val="-2"/>
        </w:rPr>
        <w:t>unusual</w:t>
      </w:r>
      <w:r>
        <w:rPr>
          <w:spacing w:val="-11"/>
        </w:rPr>
        <w:t xml:space="preserve"> </w:t>
      </w:r>
      <w:proofErr w:type="gramStart"/>
      <w:r>
        <w:rPr>
          <w:spacing w:val="-2"/>
        </w:rPr>
        <w:t>thigh</w:t>
      </w:r>
      <w:proofErr w:type="gramEnd"/>
      <w:r>
        <w:rPr>
          <w:spacing w:val="-2"/>
        </w:rPr>
        <w:t>,</w:t>
      </w:r>
      <w:r>
        <w:rPr>
          <w:spacing w:val="-10"/>
        </w:rPr>
        <w:t xml:space="preserve"> </w:t>
      </w:r>
      <w:proofErr w:type="gramStart"/>
      <w:r>
        <w:rPr>
          <w:spacing w:val="-2"/>
        </w:rPr>
        <w:t>hip</w:t>
      </w:r>
      <w:proofErr w:type="gramEnd"/>
      <w:r>
        <w:rPr>
          <w:spacing w:val="-2"/>
        </w:rPr>
        <w:t>,</w:t>
      </w:r>
      <w:r>
        <w:rPr>
          <w:spacing w:val="-9"/>
        </w:rPr>
        <w:t xml:space="preserve"> </w:t>
      </w:r>
      <w:r>
        <w:rPr>
          <w:spacing w:val="-2"/>
        </w:rPr>
        <w:t>or</w:t>
      </w:r>
      <w:r>
        <w:rPr>
          <w:spacing w:val="-10"/>
        </w:rPr>
        <w:t xml:space="preserve"> </w:t>
      </w:r>
      <w:r>
        <w:rPr>
          <w:spacing w:val="-2"/>
        </w:rPr>
        <w:t>groin</w:t>
      </w:r>
      <w:r>
        <w:rPr>
          <w:spacing w:val="-10"/>
        </w:rPr>
        <w:t xml:space="preserve"> </w:t>
      </w:r>
      <w:r>
        <w:rPr>
          <w:spacing w:val="-2"/>
        </w:rPr>
        <w:t>pain.</w:t>
      </w:r>
      <w:r>
        <w:rPr>
          <w:spacing w:val="-8"/>
        </w:rPr>
        <w:t xml:space="preserve"> </w:t>
      </w:r>
      <w:r>
        <w:rPr>
          <w:spacing w:val="-2"/>
        </w:rPr>
        <w:t>Patients</w:t>
      </w:r>
      <w:r>
        <w:rPr>
          <w:spacing w:val="-9"/>
        </w:rPr>
        <w:t xml:space="preserve"> </w:t>
      </w:r>
      <w:r>
        <w:rPr>
          <w:spacing w:val="-2"/>
        </w:rPr>
        <w:t>presenting</w:t>
      </w:r>
      <w:r>
        <w:rPr>
          <w:spacing w:val="-6"/>
        </w:rPr>
        <w:t xml:space="preserve"> </w:t>
      </w:r>
      <w:r>
        <w:rPr>
          <w:spacing w:val="-2"/>
        </w:rPr>
        <w:t>with</w:t>
      </w:r>
      <w:r>
        <w:rPr>
          <w:spacing w:val="-11"/>
        </w:rPr>
        <w:t xml:space="preserve"> </w:t>
      </w:r>
      <w:r>
        <w:rPr>
          <w:spacing w:val="-2"/>
        </w:rPr>
        <w:t xml:space="preserve">such symptoms </w:t>
      </w:r>
      <w:r>
        <w:t xml:space="preserve">should be evaluated for an incomplete femoral fracture, and the contralateral femur should also be </w:t>
      </w:r>
      <w:r>
        <w:rPr>
          <w:spacing w:val="-2"/>
        </w:rPr>
        <w:t>examined.</w:t>
      </w:r>
    </w:p>
    <w:p w14:paraId="555E3802" w14:textId="77777777" w:rsidR="00AE135B" w:rsidRDefault="00AE135B">
      <w:pPr>
        <w:pStyle w:val="BodyText"/>
        <w:spacing w:before="177"/>
        <w:ind w:left="0"/>
      </w:pPr>
    </w:p>
    <w:p w14:paraId="1A978DC7" w14:textId="77777777" w:rsidR="00AE135B" w:rsidRDefault="00EE5424">
      <w:pPr>
        <w:pStyle w:val="Heading3"/>
        <w:spacing w:line="360" w:lineRule="auto"/>
      </w:pPr>
      <w:proofErr w:type="spellStart"/>
      <w:r>
        <w:rPr>
          <w:u w:val="single"/>
        </w:rPr>
        <w:t>Hypercalcaemia</w:t>
      </w:r>
      <w:proofErr w:type="spellEnd"/>
      <w:r>
        <w:rPr>
          <w:spacing w:val="-3"/>
          <w:u w:val="single"/>
        </w:rPr>
        <w:t xml:space="preserve"> </w:t>
      </w:r>
      <w:r>
        <w:rPr>
          <w:u w:val="single"/>
        </w:rPr>
        <w:t>following</w:t>
      </w:r>
      <w:r>
        <w:rPr>
          <w:spacing w:val="-4"/>
          <w:u w:val="single"/>
        </w:rPr>
        <w:t xml:space="preserve"> </w:t>
      </w:r>
      <w:r>
        <w:rPr>
          <w:u w:val="single"/>
        </w:rPr>
        <w:t>treatment</w:t>
      </w:r>
      <w:r>
        <w:rPr>
          <w:spacing w:val="-2"/>
          <w:u w:val="single"/>
        </w:rPr>
        <w:t xml:space="preserve"> </w:t>
      </w:r>
      <w:r>
        <w:rPr>
          <w:u w:val="single"/>
        </w:rPr>
        <w:t>discontinuation</w:t>
      </w:r>
      <w:r>
        <w:rPr>
          <w:spacing w:val="-3"/>
          <w:u w:val="single"/>
        </w:rPr>
        <w:t xml:space="preserve"> </w:t>
      </w:r>
      <w:r>
        <w:rPr>
          <w:u w:val="single"/>
        </w:rPr>
        <w:t>in</w:t>
      </w:r>
      <w:r>
        <w:rPr>
          <w:spacing w:val="-3"/>
          <w:u w:val="single"/>
        </w:rPr>
        <w:t xml:space="preserve"> </w:t>
      </w:r>
      <w:r>
        <w:rPr>
          <w:u w:val="single"/>
        </w:rPr>
        <w:t>patients</w:t>
      </w:r>
      <w:r>
        <w:rPr>
          <w:spacing w:val="-4"/>
          <w:u w:val="single"/>
        </w:rPr>
        <w:t xml:space="preserve"> </w:t>
      </w:r>
      <w:r>
        <w:rPr>
          <w:u w:val="single"/>
        </w:rPr>
        <w:t>with</w:t>
      </w:r>
      <w:r>
        <w:rPr>
          <w:spacing w:val="-5"/>
          <w:u w:val="single"/>
        </w:rPr>
        <w:t xml:space="preserve"> </w:t>
      </w:r>
      <w:r>
        <w:rPr>
          <w:u w:val="single"/>
        </w:rPr>
        <w:t>giant</w:t>
      </w:r>
      <w:r>
        <w:rPr>
          <w:spacing w:val="-4"/>
          <w:u w:val="single"/>
        </w:rPr>
        <w:t xml:space="preserve"> </w:t>
      </w:r>
      <w:r>
        <w:rPr>
          <w:u w:val="single"/>
        </w:rPr>
        <w:t>cell</w:t>
      </w:r>
      <w:r>
        <w:rPr>
          <w:spacing w:val="-4"/>
          <w:u w:val="single"/>
        </w:rPr>
        <w:t xml:space="preserve"> </w:t>
      </w:r>
      <w:proofErr w:type="spellStart"/>
      <w:r>
        <w:rPr>
          <w:u w:val="single"/>
        </w:rPr>
        <w:t>tumour</w:t>
      </w:r>
      <w:proofErr w:type="spellEnd"/>
      <w:r>
        <w:rPr>
          <w:spacing w:val="-2"/>
          <w:u w:val="single"/>
        </w:rPr>
        <w:t xml:space="preserve"> </w:t>
      </w:r>
      <w:r>
        <w:rPr>
          <w:u w:val="single"/>
        </w:rPr>
        <w:t>of</w:t>
      </w:r>
      <w:r>
        <w:rPr>
          <w:spacing w:val="-2"/>
          <w:u w:val="single"/>
        </w:rPr>
        <w:t xml:space="preserve"> </w:t>
      </w:r>
      <w:r>
        <w:rPr>
          <w:u w:val="single"/>
        </w:rPr>
        <w:t>bone</w:t>
      </w:r>
      <w:r>
        <w:rPr>
          <w:spacing w:val="-3"/>
          <w:u w:val="single"/>
        </w:rPr>
        <w:t xml:space="preserve"> </w:t>
      </w:r>
      <w:r>
        <w:rPr>
          <w:u w:val="single"/>
        </w:rPr>
        <w:t>and</w:t>
      </w:r>
      <w:r>
        <w:rPr>
          <w:spacing w:val="-3"/>
          <w:u w:val="single"/>
        </w:rPr>
        <w:t xml:space="preserve"> </w:t>
      </w:r>
      <w:r>
        <w:rPr>
          <w:u w:val="single"/>
        </w:rPr>
        <w:t>in</w:t>
      </w:r>
      <w:r>
        <w:t xml:space="preserve"> </w:t>
      </w:r>
      <w:r>
        <w:rPr>
          <w:u w:val="single"/>
        </w:rPr>
        <w:t>patients with growing skeletons</w:t>
      </w:r>
    </w:p>
    <w:p w14:paraId="4326D818" w14:textId="77777777" w:rsidR="00AE135B" w:rsidRDefault="00EE5424">
      <w:pPr>
        <w:pStyle w:val="BodyText"/>
        <w:spacing w:before="121" w:line="360" w:lineRule="auto"/>
        <w:ind w:right="231"/>
        <w:jc w:val="both"/>
      </w:pPr>
      <w:r>
        <w:t xml:space="preserve">Clinically significant </w:t>
      </w:r>
      <w:proofErr w:type="spellStart"/>
      <w:r>
        <w:t>hypercalcaemia</w:t>
      </w:r>
      <w:proofErr w:type="spellEnd"/>
      <w:r>
        <w:t xml:space="preserve"> requiring </w:t>
      </w:r>
      <w:proofErr w:type="spellStart"/>
      <w:r>
        <w:t>hospitalisation</w:t>
      </w:r>
      <w:proofErr w:type="spellEnd"/>
      <w:r>
        <w:t xml:space="preserve"> and complicated by acute renal injury has been reported in denosumab -treated patients with giant cell </w:t>
      </w:r>
      <w:proofErr w:type="spellStart"/>
      <w:r>
        <w:t>tumour</w:t>
      </w:r>
      <w:proofErr w:type="spellEnd"/>
      <w:r>
        <w:rPr>
          <w:spacing w:val="-1"/>
        </w:rPr>
        <w:t xml:space="preserve"> </w:t>
      </w:r>
      <w:r>
        <w:t>of bone and patients with growing skeletons</w:t>
      </w:r>
      <w:r>
        <w:rPr>
          <w:spacing w:val="-13"/>
        </w:rPr>
        <w:t xml:space="preserve"> </w:t>
      </w:r>
      <w:r>
        <w:t>weeks</w:t>
      </w:r>
      <w:r>
        <w:rPr>
          <w:spacing w:val="-10"/>
        </w:rPr>
        <w:t xml:space="preserve"> </w:t>
      </w:r>
      <w:r>
        <w:t>to</w:t>
      </w:r>
      <w:r>
        <w:rPr>
          <w:spacing w:val="-12"/>
        </w:rPr>
        <w:t xml:space="preserve"> </w:t>
      </w:r>
      <w:r>
        <w:t>months</w:t>
      </w:r>
      <w:r>
        <w:rPr>
          <w:spacing w:val="-11"/>
        </w:rPr>
        <w:t xml:space="preserve"> </w:t>
      </w:r>
      <w:r>
        <w:t>following</w:t>
      </w:r>
      <w:r>
        <w:rPr>
          <w:spacing w:val="-12"/>
        </w:rPr>
        <w:t xml:space="preserve"> </w:t>
      </w:r>
      <w:r>
        <w:t>treatment</w:t>
      </w:r>
      <w:r>
        <w:rPr>
          <w:spacing w:val="-11"/>
        </w:rPr>
        <w:t xml:space="preserve"> </w:t>
      </w:r>
      <w:r>
        <w:t>discontinuation.</w:t>
      </w:r>
      <w:r>
        <w:rPr>
          <w:spacing w:val="11"/>
        </w:rPr>
        <w:t xml:space="preserve"> </w:t>
      </w:r>
      <w:r>
        <w:t>After</w:t>
      </w:r>
      <w:r>
        <w:rPr>
          <w:spacing w:val="-13"/>
        </w:rPr>
        <w:t xml:space="preserve"> </w:t>
      </w:r>
      <w:r>
        <w:t>treatment</w:t>
      </w:r>
      <w:r>
        <w:rPr>
          <w:spacing w:val="-9"/>
        </w:rPr>
        <w:t xml:space="preserve"> </w:t>
      </w:r>
      <w:r>
        <w:t>is</w:t>
      </w:r>
      <w:r>
        <w:rPr>
          <w:spacing w:val="-11"/>
        </w:rPr>
        <w:t xml:space="preserve"> </w:t>
      </w:r>
      <w:r>
        <w:t>discontinued,</w:t>
      </w:r>
      <w:r>
        <w:rPr>
          <w:spacing w:val="-13"/>
        </w:rPr>
        <w:t xml:space="preserve"> </w:t>
      </w:r>
      <w:r>
        <w:t xml:space="preserve">monitor patients for signs and symptoms of </w:t>
      </w:r>
      <w:proofErr w:type="spellStart"/>
      <w:r>
        <w:t>hypercalcaemia</w:t>
      </w:r>
      <w:proofErr w:type="spellEnd"/>
      <w:r>
        <w:t>, consider periodic assessment of serum calcium as clinically indicated, and treat appropriately. Re-evaluate the patient’s calcium and vitamin D supplementation</w:t>
      </w:r>
      <w:r>
        <w:rPr>
          <w:spacing w:val="-7"/>
        </w:rPr>
        <w:t xml:space="preserve"> </w:t>
      </w:r>
      <w:r>
        <w:t>requirements.</w:t>
      </w:r>
      <w:r>
        <w:rPr>
          <w:spacing w:val="30"/>
        </w:rPr>
        <w:t xml:space="preserve"> </w:t>
      </w:r>
      <w:r>
        <w:t>Manage</w:t>
      </w:r>
      <w:r>
        <w:rPr>
          <w:spacing w:val="-4"/>
        </w:rPr>
        <w:t xml:space="preserve"> </w:t>
      </w:r>
      <w:proofErr w:type="spellStart"/>
      <w:r>
        <w:t>hypercalcaemia</w:t>
      </w:r>
      <w:proofErr w:type="spellEnd"/>
      <w:r>
        <w:rPr>
          <w:spacing w:val="-7"/>
        </w:rPr>
        <w:t xml:space="preserve"> </w:t>
      </w:r>
      <w:r>
        <w:t>as</w:t>
      </w:r>
      <w:r>
        <w:rPr>
          <w:spacing w:val="-4"/>
        </w:rPr>
        <w:t xml:space="preserve"> </w:t>
      </w:r>
      <w:r>
        <w:t>clinically</w:t>
      </w:r>
      <w:r>
        <w:rPr>
          <w:spacing w:val="-4"/>
        </w:rPr>
        <w:t xml:space="preserve"> </w:t>
      </w:r>
      <w:r>
        <w:t>appropriate</w:t>
      </w:r>
      <w:r>
        <w:rPr>
          <w:spacing w:val="-5"/>
        </w:rPr>
        <w:t xml:space="preserve"> </w:t>
      </w:r>
      <w:r>
        <w:t>(see</w:t>
      </w:r>
      <w:r>
        <w:rPr>
          <w:spacing w:val="-6"/>
        </w:rPr>
        <w:t xml:space="preserve"> </w:t>
      </w:r>
      <w:r>
        <w:t>Section</w:t>
      </w:r>
      <w:r>
        <w:rPr>
          <w:spacing w:val="-8"/>
        </w:rPr>
        <w:t xml:space="preserve"> </w:t>
      </w:r>
      <w:r>
        <w:t>4.4</w:t>
      </w:r>
      <w:r>
        <w:rPr>
          <w:spacing w:val="-4"/>
        </w:rPr>
        <w:t xml:space="preserve"> </w:t>
      </w:r>
      <w:r>
        <w:t xml:space="preserve">Special warnings and precautions for use, </w:t>
      </w:r>
      <w:proofErr w:type="spellStart"/>
      <w:r>
        <w:t>Paediatric</w:t>
      </w:r>
      <w:proofErr w:type="spellEnd"/>
      <w:r>
        <w:t xml:space="preserve"> use and Section 4.8 Adverse effects (Undesirable effects)).</w:t>
      </w:r>
    </w:p>
    <w:p w14:paraId="443CF187" w14:textId="77777777" w:rsidR="00AE135B" w:rsidRDefault="00AE135B">
      <w:pPr>
        <w:pStyle w:val="BodyText"/>
        <w:spacing w:before="253"/>
        <w:ind w:left="0"/>
      </w:pPr>
    </w:p>
    <w:p w14:paraId="710A9597" w14:textId="77777777" w:rsidR="00AE135B" w:rsidRDefault="00EE5424">
      <w:pPr>
        <w:pStyle w:val="Heading3"/>
        <w:jc w:val="both"/>
      </w:pPr>
      <w:r>
        <w:rPr>
          <w:spacing w:val="-2"/>
          <w:u w:val="single"/>
        </w:rPr>
        <w:t>Multiple</w:t>
      </w:r>
      <w:r>
        <w:rPr>
          <w:spacing w:val="-13"/>
          <w:u w:val="single"/>
        </w:rPr>
        <w:t xml:space="preserve"> </w:t>
      </w:r>
      <w:r>
        <w:rPr>
          <w:spacing w:val="-2"/>
          <w:u w:val="single"/>
        </w:rPr>
        <w:t>vertebral</w:t>
      </w:r>
      <w:r>
        <w:rPr>
          <w:spacing w:val="-10"/>
          <w:u w:val="single"/>
        </w:rPr>
        <w:t xml:space="preserve"> </w:t>
      </w:r>
      <w:r>
        <w:rPr>
          <w:spacing w:val="-2"/>
          <w:u w:val="single"/>
        </w:rPr>
        <w:t>fractures</w:t>
      </w:r>
      <w:r>
        <w:rPr>
          <w:spacing w:val="-10"/>
          <w:u w:val="single"/>
        </w:rPr>
        <w:t xml:space="preserve"> </w:t>
      </w:r>
      <w:r>
        <w:rPr>
          <w:spacing w:val="-2"/>
          <w:u w:val="single"/>
        </w:rPr>
        <w:t>(</w:t>
      </w:r>
      <w:proofErr w:type="spellStart"/>
      <w:r>
        <w:rPr>
          <w:spacing w:val="-2"/>
          <w:u w:val="single"/>
        </w:rPr>
        <w:t>MVF</w:t>
      </w:r>
      <w:proofErr w:type="spellEnd"/>
      <w:r>
        <w:rPr>
          <w:spacing w:val="-2"/>
          <w:u w:val="single"/>
        </w:rPr>
        <w:t>)</w:t>
      </w:r>
      <w:r>
        <w:rPr>
          <w:spacing w:val="-9"/>
          <w:u w:val="single"/>
        </w:rPr>
        <w:t xml:space="preserve"> </w:t>
      </w:r>
      <w:r>
        <w:rPr>
          <w:spacing w:val="-2"/>
          <w:u w:val="single"/>
        </w:rPr>
        <w:t>following</w:t>
      </w:r>
      <w:r>
        <w:rPr>
          <w:spacing w:val="-7"/>
          <w:u w:val="single"/>
        </w:rPr>
        <w:t xml:space="preserve"> </w:t>
      </w:r>
      <w:r>
        <w:rPr>
          <w:spacing w:val="-2"/>
          <w:u w:val="single"/>
        </w:rPr>
        <w:t>treatment</w:t>
      </w:r>
      <w:r>
        <w:rPr>
          <w:spacing w:val="-7"/>
          <w:u w:val="single"/>
        </w:rPr>
        <w:t xml:space="preserve"> </w:t>
      </w:r>
      <w:r>
        <w:rPr>
          <w:spacing w:val="-2"/>
          <w:u w:val="single"/>
        </w:rPr>
        <w:t>discontinuation</w:t>
      </w:r>
    </w:p>
    <w:p w14:paraId="3E19C1FC" w14:textId="77777777" w:rsidR="00AE135B" w:rsidRDefault="00EE5424">
      <w:pPr>
        <w:pStyle w:val="BodyText"/>
        <w:spacing w:before="248" w:line="360" w:lineRule="auto"/>
        <w:ind w:right="233"/>
        <w:jc w:val="both"/>
      </w:pPr>
      <w:r>
        <w:t>Multiple vertebral fractures (</w:t>
      </w:r>
      <w:proofErr w:type="spellStart"/>
      <w:r>
        <w:t>MVF</w:t>
      </w:r>
      <w:proofErr w:type="spellEnd"/>
      <w:r>
        <w:t xml:space="preserve">), not due to bone metastases, may occur following discontinuation of treatment with </w:t>
      </w:r>
      <w:proofErr w:type="spellStart"/>
      <w:r>
        <w:t>DOSTIVA</w:t>
      </w:r>
      <w:proofErr w:type="spellEnd"/>
      <w:r>
        <w:t>, particularly in patients with risk factors such as osteoporosis or prior fractures.</w:t>
      </w:r>
    </w:p>
    <w:p w14:paraId="7D33AB66" w14:textId="77777777" w:rsidR="00AE135B" w:rsidRDefault="00EE5424">
      <w:pPr>
        <w:pStyle w:val="BodyText"/>
        <w:spacing w:before="118" w:line="360" w:lineRule="auto"/>
        <w:ind w:right="235"/>
        <w:jc w:val="both"/>
      </w:pPr>
      <w:r>
        <w:t xml:space="preserve">Advise patients not to interrupt </w:t>
      </w:r>
      <w:proofErr w:type="spellStart"/>
      <w:r>
        <w:t>DOSTIVA</w:t>
      </w:r>
      <w:proofErr w:type="spellEnd"/>
      <w:r>
        <w:t xml:space="preserve"> therapy without their physician’s advice.</w:t>
      </w:r>
      <w:r>
        <w:rPr>
          <w:spacing w:val="40"/>
        </w:rPr>
        <w:t xml:space="preserve"> </w:t>
      </w:r>
      <w:r>
        <w:t xml:space="preserve">When </w:t>
      </w:r>
      <w:proofErr w:type="spellStart"/>
      <w:r>
        <w:t>DOSTIVA</w:t>
      </w:r>
      <w:proofErr w:type="spellEnd"/>
      <w:r>
        <w:t xml:space="preserve"> treatment is discontinued, evaluate the individual patient’s risk for vertebral fractures (see Section 4.8 Adverse effects (Undesirable effects)).</w:t>
      </w:r>
    </w:p>
    <w:p w14:paraId="42435381" w14:textId="77777777" w:rsidR="00AE135B" w:rsidRDefault="00EE5424">
      <w:pPr>
        <w:pStyle w:val="Heading3"/>
        <w:spacing w:before="241"/>
        <w:jc w:val="both"/>
      </w:pPr>
      <w:r>
        <w:rPr>
          <w:spacing w:val="-2"/>
          <w:u w:val="single"/>
        </w:rPr>
        <w:lastRenderedPageBreak/>
        <w:t>Drugs</w:t>
      </w:r>
      <w:r>
        <w:rPr>
          <w:spacing w:val="-7"/>
          <w:u w:val="single"/>
        </w:rPr>
        <w:t xml:space="preserve"> </w:t>
      </w:r>
      <w:r>
        <w:rPr>
          <w:spacing w:val="-2"/>
          <w:u w:val="single"/>
        </w:rPr>
        <w:t>with</w:t>
      </w:r>
      <w:r>
        <w:rPr>
          <w:spacing w:val="-6"/>
          <w:u w:val="single"/>
        </w:rPr>
        <w:t xml:space="preserve"> </w:t>
      </w:r>
      <w:r>
        <w:rPr>
          <w:spacing w:val="-2"/>
          <w:u w:val="single"/>
        </w:rPr>
        <w:t>same</w:t>
      </w:r>
      <w:r>
        <w:rPr>
          <w:spacing w:val="-6"/>
          <w:u w:val="single"/>
        </w:rPr>
        <w:t xml:space="preserve"> </w:t>
      </w:r>
      <w:r>
        <w:rPr>
          <w:spacing w:val="-2"/>
          <w:u w:val="single"/>
        </w:rPr>
        <w:t>active</w:t>
      </w:r>
      <w:r>
        <w:rPr>
          <w:spacing w:val="-4"/>
          <w:u w:val="single"/>
        </w:rPr>
        <w:t xml:space="preserve"> </w:t>
      </w:r>
      <w:r>
        <w:rPr>
          <w:spacing w:val="-2"/>
          <w:u w:val="single"/>
        </w:rPr>
        <w:t>ingredient</w:t>
      </w:r>
    </w:p>
    <w:p w14:paraId="2BE741A0" w14:textId="77777777" w:rsidR="00AE135B" w:rsidRDefault="00EE5424">
      <w:pPr>
        <w:pStyle w:val="BodyText"/>
        <w:spacing w:before="239" w:line="362" w:lineRule="auto"/>
        <w:ind w:left="297" w:right="168"/>
        <w:jc w:val="both"/>
      </w:pPr>
      <w:proofErr w:type="spellStart"/>
      <w:r>
        <w:t>DOSTIVA</w:t>
      </w:r>
      <w:proofErr w:type="spellEnd"/>
      <w:r>
        <w:t xml:space="preserve"> contains the same active ingredient found in Prolia® (denosumab), used for the treatment of postmenopausal osteoporosis. Patients being treated with </w:t>
      </w:r>
      <w:proofErr w:type="spellStart"/>
      <w:r>
        <w:t>DOSTIVA</w:t>
      </w:r>
      <w:proofErr w:type="spellEnd"/>
      <w:r>
        <w:t xml:space="preserve"> should not be treated with Prolia® and/or other denosumab-containing medicines concomitantly.</w:t>
      </w:r>
    </w:p>
    <w:p w14:paraId="1C51E082" w14:textId="77777777" w:rsidR="00AE135B" w:rsidRDefault="00EE5424">
      <w:pPr>
        <w:pStyle w:val="Heading3"/>
        <w:spacing w:before="38"/>
      </w:pPr>
      <w:r>
        <w:rPr>
          <w:spacing w:val="-2"/>
          <w:u w:val="single"/>
        </w:rPr>
        <w:t>Warnings</w:t>
      </w:r>
      <w:r>
        <w:rPr>
          <w:spacing w:val="-4"/>
          <w:u w:val="single"/>
        </w:rPr>
        <w:t xml:space="preserve"> </w:t>
      </w:r>
      <w:r>
        <w:rPr>
          <w:spacing w:val="-2"/>
          <w:u w:val="single"/>
        </w:rPr>
        <w:t>for</w:t>
      </w:r>
      <w:r>
        <w:rPr>
          <w:spacing w:val="-1"/>
          <w:u w:val="single"/>
        </w:rPr>
        <w:t xml:space="preserve"> </w:t>
      </w:r>
      <w:r>
        <w:rPr>
          <w:spacing w:val="-2"/>
          <w:u w:val="single"/>
        </w:rPr>
        <w:t>excipients</w:t>
      </w:r>
    </w:p>
    <w:p w14:paraId="0C1E91C7" w14:textId="77777777" w:rsidR="00AE135B" w:rsidRDefault="00EE5424">
      <w:pPr>
        <w:pStyle w:val="BodyText"/>
        <w:spacing w:before="245"/>
      </w:pPr>
      <w:r>
        <w:rPr>
          <w:spacing w:val="-2"/>
        </w:rPr>
        <w:t>Patients</w:t>
      </w:r>
      <w:r>
        <w:rPr>
          <w:spacing w:val="-4"/>
        </w:rPr>
        <w:t xml:space="preserve"> </w:t>
      </w:r>
      <w:r>
        <w:rPr>
          <w:spacing w:val="-2"/>
        </w:rPr>
        <w:t>with</w:t>
      </w:r>
      <w:r>
        <w:rPr>
          <w:spacing w:val="-4"/>
        </w:rPr>
        <w:t xml:space="preserve"> </w:t>
      </w:r>
      <w:r>
        <w:rPr>
          <w:spacing w:val="-2"/>
        </w:rPr>
        <w:t>rare hereditary</w:t>
      </w:r>
      <w:r>
        <w:rPr>
          <w:spacing w:val="1"/>
        </w:rPr>
        <w:t xml:space="preserve"> </w:t>
      </w:r>
      <w:r>
        <w:rPr>
          <w:spacing w:val="-2"/>
        </w:rPr>
        <w:t>problems</w:t>
      </w:r>
      <w:r>
        <w:rPr>
          <w:spacing w:val="-6"/>
        </w:rPr>
        <w:t xml:space="preserve"> </w:t>
      </w:r>
      <w:r>
        <w:rPr>
          <w:spacing w:val="-2"/>
        </w:rPr>
        <w:t>of</w:t>
      </w:r>
      <w:r>
        <w:rPr>
          <w:spacing w:val="-4"/>
        </w:rPr>
        <w:t xml:space="preserve"> </w:t>
      </w:r>
      <w:r>
        <w:rPr>
          <w:spacing w:val="-2"/>
        </w:rPr>
        <w:t>fructose</w:t>
      </w:r>
      <w:r>
        <w:rPr>
          <w:spacing w:val="-6"/>
        </w:rPr>
        <w:t xml:space="preserve"> </w:t>
      </w:r>
      <w:r>
        <w:rPr>
          <w:spacing w:val="-2"/>
        </w:rPr>
        <w:t>intolerance</w:t>
      </w:r>
      <w:r>
        <w:rPr>
          <w:spacing w:val="-1"/>
        </w:rPr>
        <w:t xml:space="preserve"> </w:t>
      </w:r>
      <w:r>
        <w:rPr>
          <w:spacing w:val="-2"/>
        </w:rPr>
        <w:t>should</w:t>
      </w:r>
      <w:r>
        <w:rPr>
          <w:spacing w:val="-5"/>
        </w:rPr>
        <w:t xml:space="preserve"> </w:t>
      </w:r>
      <w:r>
        <w:rPr>
          <w:spacing w:val="-2"/>
        </w:rPr>
        <w:t>not</w:t>
      </w:r>
      <w:r>
        <w:rPr>
          <w:spacing w:val="-6"/>
        </w:rPr>
        <w:t xml:space="preserve"> </w:t>
      </w:r>
      <w:r>
        <w:rPr>
          <w:spacing w:val="-2"/>
        </w:rPr>
        <w:t xml:space="preserve">use </w:t>
      </w:r>
      <w:proofErr w:type="spellStart"/>
      <w:r>
        <w:rPr>
          <w:spacing w:val="-2"/>
        </w:rPr>
        <w:t>DOSTIVA</w:t>
      </w:r>
      <w:proofErr w:type="spellEnd"/>
      <w:r>
        <w:rPr>
          <w:spacing w:val="-2"/>
        </w:rPr>
        <w:t>.</w:t>
      </w:r>
    </w:p>
    <w:p w14:paraId="0BCB3BC3" w14:textId="77777777" w:rsidR="00AE135B" w:rsidRDefault="00AE135B">
      <w:pPr>
        <w:pStyle w:val="BodyText"/>
        <w:spacing w:before="264"/>
        <w:ind w:left="0"/>
      </w:pPr>
    </w:p>
    <w:p w14:paraId="0EC071B9" w14:textId="77777777" w:rsidR="00AE135B" w:rsidRDefault="00EE5424">
      <w:pPr>
        <w:pStyle w:val="Heading3"/>
      </w:pPr>
      <w:r>
        <w:rPr>
          <w:u w:val="single"/>
        </w:rPr>
        <w:t>Use</w:t>
      </w:r>
      <w:r>
        <w:rPr>
          <w:spacing w:val="-6"/>
          <w:u w:val="single"/>
        </w:rPr>
        <w:t xml:space="preserve"> </w:t>
      </w:r>
      <w:r>
        <w:rPr>
          <w:u w:val="single"/>
        </w:rPr>
        <w:t>in</w:t>
      </w:r>
      <w:r>
        <w:rPr>
          <w:spacing w:val="-7"/>
          <w:u w:val="single"/>
        </w:rPr>
        <w:t xml:space="preserve"> </w:t>
      </w:r>
      <w:r>
        <w:rPr>
          <w:u w:val="single"/>
        </w:rPr>
        <w:t>the</w:t>
      </w:r>
      <w:r>
        <w:rPr>
          <w:spacing w:val="-6"/>
          <w:u w:val="single"/>
        </w:rPr>
        <w:t xml:space="preserve"> </w:t>
      </w:r>
      <w:r>
        <w:rPr>
          <w:spacing w:val="-2"/>
          <w:u w:val="single"/>
        </w:rPr>
        <w:t>elderly</w:t>
      </w:r>
    </w:p>
    <w:p w14:paraId="07D77D6F" w14:textId="77777777" w:rsidR="00AE135B" w:rsidRDefault="00EE5424">
      <w:pPr>
        <w:pStyle w:val="BodyText"/>
        <w:spacing w:before="262" w:line="360" w:lineRule="auto"/>
        <w:ind w:right="229"/>
        <w:jc w:val="both"/>
      </w:pPr>
      <w:r>
        <w:t>Of</w:t>
      </w:r>
      <w:r>
        <w:rPr>
          <w:spacing w:val="-6"/>
        </w:rPr>
        <w:t xml:space="preserve"> </w:t>
      </w:r>
      <w:r>
        <w:t>the</w:t>
      </w:r>
      <w:r>
        <w:rPr>
          <w:spacing w:val="-6"/>
        </w:rPr>
        <w:t xml:space="preserve"> </w:t>
      </w:r>
      <w:r>
        <w:t>total</w:t>
      </w:r>
      <w:r>
        <w:rPr>
          <w:spacing w:val="-3"/>
        </w:rPr>
        <w:t xml:space="preserve"> </w:t>
      </w:r>
      <w:r>
        <w:t>number</w:t>
      </w:r>
      <w:r>
        <w:rPr>
          <w:spacing w:val="-5"/>
        </w:rPr>
        <w:t xml:space="preserve"> </w:t>
      </w:r>
      <w:r>
        <w:t>of</w:t>
      </w:r>
      <w:r>
        <w:rPr>
          <w:spacing w:val="-3"/>
        </w:rPr>
        <w:t xml:space="preserve"> </w:t>
      </w:r>
      <w:r>
        <w:t>patients</w:t>
      </w:r>
      <w:r>
        <w:rPr>
          <w:spacing w:val="-2"/>
        </w:rPr>
        <w:t xml:space="preserve"> </w:t>
      </w:r>
      <w:r>
        <w:t>in</w:t>
      </w:r>
      <w:r>
        <w:rPr>
          <w:spacing w:val="-6"/>
        </w:rPr>
        <w:t xml:space="preserve"> </w:t>
      </w:r>
      <w:r>
        <w:t>clinical</w:t>
      </w:r>
      <w:r>
        <w:rPr>
          <w:spacing w:val="-3"/>
        </w:rPr>
        <w:t xml:space="preserve"> </w:t>
      </w:r>
      <w:r>
        <w:t>studies</w:t>
      </w:r>
      <w:r>
        <w:rPr>
          <w:spacing w:val="-3"/>
        </w:rPr>
        <w:t xml:space="preserve"> </w:t>
      </w:r>
      <w:r>
        <w:t>in</w:t>
      </w:r>
      <w:r>
        <w:rPr>
          <w:spacing w:val="-3"/>
        </w:rPr>
        <w:t xml:space="preserve"> </w:t>
      </w:r>
      <w:r>
        <w:t>patients</w:t>
      </w:r>
      <w:r>
        <w:rPr>
          <w:spacing w:val="-5"/>
        </w:rPr>
        <w:t xml:space="preserve"> </w:t>
      </w:r>
      <w:r>
        <w:t>with</w:t>
      </w:r>
      <w:r>
        <w:rPr>
          <w:spacing w:val="-5"/>
        </w:rPr>
        <w:t xml:space="preserve"> </w:t>
      </w:r>
      <w:r>
        <w:t>advanced</w:t>
      </w:r>
      <w:r>
        <w:rPr>
          <w:spacing w:val="-3"/>
        </w:rPr>
        <w:t xml:space="preserve"> </w:t>
      </w:r>
      <w:r>
        <w:t>cancer, 1260</w:t>
      </w:r>
      <w:r>
        <w:rPr>
          <w:spacing w:val="-2"/>
        </w:rPr>
        <w:t xml:space="preserve"> </w:t>
      </w:r>
      <w:r>
        <w:t>patients</w:t>
      </w:r>
      <w:r>
        <w:rPr>
          <w:spacing w:val="-3"/>
        </w:rPr>
        <w:t xml:space="preserve"> </w:t>
      </w:r>
      <w:r>
        <w:t>(44.4%) treated with denosumab were ≥ 65 years old.</w:t>
      </w:r>
      <w:r>
        <w:rPr>
          <w:spacing w:val="40"/>
        </w:rPr>
        <w:t xml:space="preserve"> </w:t>
      </w:r>
      <w:r>
        <w:t>No overall differences in safety or efficacy were observed between these patients and younger patients.</w:t>
      </w:r>
    </w:p>
    <w:p w14:paraId="70F3B9C7" w14:textId="77777777" w:rsidR="00AE135B" w:rsidRDefault="00AE135B">
      <w:pPr>
        <w:pStyle w:val="BodyText"/>
        <w:spacing w:before="228"/>
        <w:ind w:left="0"/>
      </w:pPr>
    </w:p>
    <w:p w14:paraId="512AF8CF" w14:textId="77777777" w:rsidR="00AE135B" w:rsidRDefault="00EE5424">
      <w:pPr>
        <w:pStyle w:val="Heading3"/>
        <w:jc w:val="both"/>
      </w:pPr>
      <w:proofErr w:type="spellStart"/>
      <w:r>
        <w:rPr>
          <w:spacing w:val="-4"/>
          <w:u w:val="single"/>
        </w:rPr>
        <w:t>Paediatric</w:t>
      </w:r>
      <w:proofErr w:type="spellEnd"/>
      <w:r>
        <w:rPr>
          <w:spacing w:val="6"/>
          <w:u w:val="single"/>
        </w:rPr>
        <w:t xml:space="preserve"> </w:t>
      </w:r>
      <w:r>
        <w:rPr>
          <w:spacing w:val="-5"/>
          <w:u w:val="single"/>
        </w:rPr>
        <w:t>use</w:t>
      </w:r>
    </w:p>
    <w:p w14:paraId="7897FE3A" w14:textId="77777777" w:rsidR="00AE135B" w:rsidRDefault="00AE135B">
      <w:pPr>
        <w:pStyle w:val="BodyText"/>
        <w:spacing w:before="89"/>
        <w:ind w:left="0"/>
        <w:rPr>
          <w:b/>
        </w:rPr>
      </w:pPr>
    </w:p>
    <w:p w14:paraId="7A00FFE3" w14:textId="77777777" w:rsidR="00AE135B" w:rsidRDefault="00EE5424">
      <w:pPr>
        <w:pStyle w:val="BodyText"/>
        <w:spacing w:line="360" w:lineRule="auto"/>
        <w:ind w:right="176"/>
        <w:jc w:val="both"/>
      </w:pPr>
      <w:r>
        <w:t xml:space="preserve">The safety and efficacy of denosumab in </w:t>
      </w:r>
      <w:proofErr w:type="spellStart"/>
      <w:r>
        <w:t>paediatric</w:t>
      </w:r>
      <w:proofErr w:type="spellEnd"/>
      <w:r>
        <w:t xml:space="preserve"> patients (age &lt; 18) have not been established other than skeletally</w:t>
      </w:r>
      <w:r>
        <w:rPr>
          <w:spacing w:val="-1"/>
        </w:rPr>
        <w:t xml:space="preserve"> </w:t>
      </w:r>
      <w:r>
        <w:t>mature adolescents</w:t>
      </w:r>
      <w:r>
        <w:rPr>
          <w:spacing w:val="-1"/>
        </w:rPr>
        <w:t xml:space="preserve"> </w:t>
      </w:r>
      <w:r>
        <w:t xml:space="preserve">with giant cell </w:t>
      </w:r>
      <w:proofErr w:type="spellStart"/>
      <w:r>
        <w:t>tumour</w:t>
      </w:r>
      <w:proofErr w:type="spellEnd"/>
      <w:r>
        <w:t xml:space="preserve"> of bone.</w:t>
      </w:r>
      <w:r>
        <w:rPr>
          <w:spacing w:val="40"/>
        </w:rPr>
        <w:t xml:space="preserve"> </w:t>
      </w:r>
      <w:proofErr w:type="spellStart"/>
      <w:r>
        <w:t>DOSTIVA</w:t>
      </w:r>
      <w:proofErr w:type="spellEnd"/>
      <w:r>
        <w:t xml:space="preserve"> is not recommended for use in </w:t>
      </w:r>
      <w:proofErr w:type="spellStart"/>
      <w:r>
        <w:t>paediatric</w:t>
      </w:r>
      <w:proofErr w:type="spellEnd"/>
      <w:r>
        <w:t xml:space="preserve"> patients other than skeletally mature adolescents with giant cell </w:t>
      </w:r>
      <w:proofErr w:type="spellStart"/>
      <w:r>
        <w:t>tumour</w:t>
      </w:r>
      <w:proofErr w:type="spellEnd"/>
      <w:r>
        <w:t xml:space="preserve"> of bone.</w:t>
      </w:r>
      <w:r>
        <w:rPr>
          <w:spacing w:val="40"/>
        </w:rPr>
        <w:t xml:space="preserve"> </w:t>
      </w:r>
      <w:r>
        <w:t xml:space="preserve">Clinically significant </w:t>
      </w:r>
      <w:proofErr w:type="spellStart"/>
      <w:r>
        <w:t>hypercalcaemia</w:t>
      </w:r>
      <w:proofErr w:type="spellEnd"/>
      <w:r>
        <w:t xml:space="preserve"> after treatment discontinuation has been reported in the post-marketing setting in </w:t>
      </w:r>
      <w:proofErr w:type="spellStart"/>
      <w:r>
        <w:t>paediatric</w:t>
      </w:r>
      <w:proofErr w:type="spellEnd"/>
      <w:r>
        <w:t xml:space="preserve"> patients with growing skeletons who received denosumab for giant cell </w:t>
      </w:r>
      <w:proofErr w:type="spellStart"/>
      <w:r>
        <w:t>tumour</w:t>
      </w:r>
      <w:proofErr w:type="spellEnd"/>
      <w:r>
        <w:t xml:space="preserve"> of bone or for unapproved indications (see Section 4.4 Special warnings and precautions for use, </w:t>
      </w:r>
      <w:proofErr w:type="spellStart"/>
      <w:r>
        <w:t>Hypercalcaemia</w:t>
      </w:r>
      <w:proofErr w:type="spellEnd"/>
      <w:r>
        <w:t xml:space="preserve"> following treatment discontinuation in patients with giant cell </w:t>
      </w:r>
      <w:proofErr w:type="spellStart"/>
      <w:r>
        <w:t>tumour</w:t>
      </w:r>
      <w:proofErr w:type="spellEnd"/>
      <w:r>
        <w:t xml:space="preserve"> of bone and in patients with growing skeletons).</w:t>
      </w:r>
    </w:p>
    <w:p w14:paraId="13659B62" w14:textId="77777777" w:rsidR="00AE135B" w:rsidRDefault="00EE5424">
      <w:pPr>
        <w:pStyle w:val="BodyText"/>
        <w:spacing w:before="248" w:line="360" w:lineRule="auto"/>
        <w:ind w:right="171"/>
        <w:jc w:val="both"/>
      </w:pPr>
      <w:r>
        <w:t>In</w:t>
      </w:r>
      <w:r>
        <w:rPr>
          <w:spacing w:val="-13"/>
        </w:rPr>
        <w:t xml:space="preserve"> </w:t>
      </w:r>
      <w:r>
        <w:t>Study</w:t>
      </w:r>
      <w:r>
        <w:rPr>
          <w:spacing w:val="-12"/>
        </w:rPr>
        <w:t xml:space="preserve"> </w:t>
      </w:r>
      <w:r>
        <w:t>20062004,</w:t>
      </w:r>
      <w:r>
        <w:rPr>
          <w:spacing w:val="-13"/>
        </w:rPr>
        <w:t xml:space="preserve"> </w:t>
      </w:r>
      <w:r>
        <w:t>denosumab</w:t>
      </w:r>
      <w:r>
        <w:rPr>
          <w:spacing w:val="-12"/>
        </w:rPr>
        <w:t xml:space="preserve"> </w:t>
      </w:r>
      <w:r>
        <w:t>has</w:t>
      </w:r>
      <w:r>
        <w:rPr>
          <w:spacing w:val="-13"/>
        </w:rPr>
        <w:t xml:space="preserve"> </w:t>
      </w:r>
      <w:r>
        <w:t>been</w:t>
      </w:r>
      <w:r>
        <w:rPr>
          <w:spacing w:val="-12"/>
        </w:rPr>
        <w:t xml:space="preserve"> </w:t>
      </w:r>
      <w:r>
        <w:t>evaluated</w:t>
      </w:r>
      <w:r>
        <w:rPr>
          <w:spacing w:val="-13"/>
        </w:rPr>
        <w:t xml:space="preserve"> </w:t>
      </w:r>
      <w:r>
        <w:t>in</w:t>
      </w:r>
      <w:r>
        <w:rPr>
          <w:spacing w:val="-12"/>
        </w:rPr>
        <w:t xml:space="preserve"> </w:t>
      </w:r>
      <w:r>
        <w:t>a</w:t>
      </w:r>
      <w:r>
        <w:rPr>
          <w:spacing w:val="-12"/>
        </w:rPr>
        <w:t xml:space="preserve"> </w:t>
      </w:r>
      <w:r>
        <w:t>subset</w:t>
      </w:r>
      <w:r>
        <w:rPr>
          <w:spacing w:val="-13"/>
        </w:rPr>
        <w:t xml:space="preserve"> </w:t>
      </w:r>
      <w:r>
        <w:t>of</w:t>
      </w:r>
      <w:r>
        <w:rPr>
          <w:spacing w:val="-12"/>
        </w:rPr>
        <w:t xml:space="preserve"> </w:t>
      </w:r>
      <w:r>
        <w:t>28</w:t>
      </w:r>
      <w:r>
        <w:rPr>
          <w:spacing w:val="-13"/>
        </w:rPr>
        <w:t xml:space="preserve"> </w:t>
      </w:r>
      <w:r>
        <w:t>adolescent</w:t>
      </w:r>
      <w:r>
        <w:rPr>
          <w:spacing w:val="-12"/>
        </w:rPr>
        <w:t xml:space="preserve"> </w:t>
      </w:r>
      <w:r>
        <w:t>patients</w:t>
      </w:r>
      <w:r>
        <w:rPr>
          <w:spacing w:val="-13"/>
        </w:rPr>
        <w:t xml:space="preserve"> </w:t>
      </w:r>
      <w:r>
        <w:t>(aged</w:t>
      </w:r>
      <w:r>
        <w:rPr>
          <w:spacing w:val="-12"/>
        </w:rPr>
        <w:t xml:space="preserve"> </w:t>
      </w:r>
      <w:r>
        <w:t>13-17</w:t>
      </w:r>
      <w:r>
        <w:rPr>
          <w:spacing w:val="-12"/>
        </w:rPr>
        <w:t xml:space="preserve"> </w:t>
      </w:r>
      <w:r>
        <w:t xml:space="preserve">years) with giant cell </w:t>
      </w:r>
      <w:proofErr w:type="spellStart"/>
      <w:r>
        <w:t>tumour</w:t>
      </w:r>
      <w:proofErr w:type="spellEnd"/>
      <w:r>
        <w:rPr>
          <w:spacing w:val="-1"/>
        </w:rPr>
        <w:t xml:space="preserve"> </w:t>
      </w:r>
      <w:r>
        <w:t>of bone who had reached skeletal maturity defined by at</w:t>
      </w:r>
      <w:r>
        <w:rPr>
          <w:spacing w:val="-1"/>
        </w:rPr>
        <w:t xml:space="preserve"> </w:t>
      </w:r>
      <w:r>
        <w:t>least 1 mature long bone (e.g.,</w:t>
      </w:r>
      <w:r>
        <w:rPr>
          <w:spacing w:val="-6"/>
        </w:rPr>
        <w:t xml:space="preserve"> </w:t>
      </w:r>
      <w:r>
        <w:t>closed</w:t>
      </w:r>
      <w:r>
        <w:rPr>
          <w:spacing w:val="-8"/>
        </w:rPr>
        <w:t xml:space="preserve"> </w:t>
      </w:r>
      <w:r>
        <w:t>epiphyseal</w:t>
      </w:r>
      <w:r>
        <w:rPr>
          <w:spacing w:val="-8"/>
        </w:rPr>
        <w:t xml:space="preserve"> </w:t>
      </w:r>
      <w:r>
        <w:t>growth</w:t>
      </w:r>
      <w:r>
        <w:rPr>
          <w:spacing w:val="-6"/>
        </w:rPr>
        <w:t xml:space="preserve"> </w:t>
      </w:r>
      <w:r>
        <w:t>plate</w:t>
      </w:r>
      <w:r>
        <w:rPr>
          <w:spacing w:val="-8"/>
        </w:rPr>
        <w:t xml:space="preserve"> </w:t>
      </w:r>
      <w:r>
        <w:t>of</w:t>
      </w:r>
      <w:r>
        <w:rPr>
          <w:spacing w:val="-6"/>
        </w:rPr>
        <w:t xml:space="preserve"> </w:t>
      </w:r>
      <w:r>
        <w:t>the</w:t>
      </w:r>
      <w:r>
        <w:rPr>
          <w:spacing w:val="-5"/>
        </w:rPr>
        <w:t xml:space="preserve"> </w:t>
      </w:r>
      <w:r>
        <w:t>humerus)</w:t>
      </w:r>
      <w:r>
        <w:rPr>
          <w:spacing w:val="-8"/>
        </w:rPr>
        <w:t xml:space="preserve"> </w:t>
      </w:r>
      <w:r>
        <w:t>and</w:t>
      </w:r>
      <w:r>
        <w:rPr>
          <w:spacing w:val="-6"/>
        </w:rPr>
        <w:t xml:space="preserve"> </w:t>
      </w:r>
      <w:r>
        <w:t>body</w:t>
      </w:r>
      <w:r>
        <w:rPr>
          <w:spacing w:val="-7"/>
        </w:rPr>
        <w:t xml:space="preserve"> </w:t>
      </w:r>
      <w:r>
        <w:t>weight</w:t>
      </w:r>
      <w:r>
        <w:rPr>
          <w:spacing w:val="-5"/>
        </w:rPr>
        <w:t xml:space="preserve"> </w:t>
      </w:r>
      <w:r>
        <w:t>≥</w:t>
      </w:r>
      <w:r>
        <w:rPr>
          <w:spacing w:val="-8"/>
        </w:rPr>
        <w:t xml:space="preserve"> </w:t>
      </w:r>
      <w:r>
        <w:t>45</w:t>
      </w:r>
      <w:r>
        <w:rPr>
          <w:spacing w:val="-7"/>
        </w:rPr>
        <w:t xml:space="preserve"> </w:t>
      </w:r>
      <w:r>
        <w:t>kg.</w:t>
      </w:r>
      <w:r>
        <w:rPr>
          <w:spacing w:val="-6"/>
        </w:rPr>
        <w:t xml:space="preserve"> </w:t>
      </w:r>
      <w:r>
        <w:t>Efficacy</w:t>
      </w:r>
      <w:r>
        <w:rPr>
          <w:spacing w:val="-5"/>
        </w:rPr>
        <w:t xml:space="preserve"> </w:t>
      </w:r>
      <w:r>
        <w:t>results</w:t>
      </w:r>
      <w:r>
        <w:rPr>
          <w:spacing w:val="-8"/>
        </w:rPr>
        <w:t xml:space="preserve"> </w:t>
      </w:r>
      <w:r>
        <w:t>in</w:t>
      </w:r>
      <w:r>
        <w:rPr>
          <w:spacing w:val="-6"/>
        </w:rPr>
        <w:t xml:space="preserve"> </w:t>
      </w:r>
      <w:r>
        <w:t>skeletally mature</w:t>
      </w:r>
      <w:r>
        <w:rPr>
          <w:spacing w:val="-5"/>
        </w:rPr>
        <w:t xml:space="preserve"> </w:t>
      </w:r>
      <w:r>
        <w:t>adolescents</w:t>
      </w:r>
      <w:r>
        <w:rPr>
          <w:spacing w:val="-3"/>
        </w:rPr>
        <w:t xml:space="preserve"> </w:t>
      </w:r>
      <w:r>
        <w:t>appeared</w:t>
      </w:r>
      <w:r>
        <w:rPr>
          <w:spacing w:val="-5"/>
        </w:rPr>
        <w:t xml:space="preserve"> </w:t>
      </w:r>
      <w:r>
        <w:t>to</w:t>
      </w:r>
      <w:r>
        <w:rPr>
          <w:spacing w:val="-2"/>
        </w:rPr>
        <w:t xml:space="preserve"> </w:t>
      </w:r>
      <w:r>
        <w:t>be</w:t>
      </w:r>
      <w:r>
        <w:rPr>
          <w:spacing w:val="-5"/>
        </w:rPr>
        <w:t xml:space="preserve"> </w:t>
      </w:r>
      <w:proofErr w:type="gramStart"/>
      <w:r>
        <w:t>similar</w:t>
      </w:r>
      <w:r>
        <w:rPr>
          <w:spacing w:val="-4"/>
        </w:rPr>
        <w:t xml:space="preserve"> </w:t>
      </w:r>
      <w:r>
        <w:t>to</w:t>
      </w:r>
      <w:proofErr w:type="gramEnd"/>
      <w:r>
        <w:rPr>
          <w:spacing w:val="-2"/>
        </w:rPr>
        <w:t xml:space="preserve"> </w:t>
      </w:r>
      <w:r>
        <w:t>those</w:t>
      </w:r>
      <w:r>
        <w:rPr>
          <w:spacing w:val="-7"/>
        </w:rPr>
        <w:t xml:space="preserve"> </w:t>
      </w:r>
      <w:r>
        <w:t>observed</w:t>
      </w:r>
      <w:r>
        <w:rPr>
          <w:spacing w:val="-6"/>
        </w:rPr>
        <w:t xml:space="preserve"> </w:t>
      </w:r>
      <w:r>
        <w:t>in</w:t>
      </w:r>
      <w:r>
        <w:rPr>
          <w:spacing w:val="-4"/>
        </w:rPr>
        <w:t xml:space="preserve"> </w:t>
      </w:r>
      <w:r>
        <w:t>adults</w:t>
      </w:r>
      <w:r>
        <w:rPr>
          <w:spacing w:val="-3"/>
        </w:rPr>
        <w:t xml:space="preserve"> </w:t>
      </w:r>
      <w:r>
        <w:t>(see</w:t>
      </w:r>
      <w:r>
        <w:rPr>
          <w:spacing w:val="-3"/>
        </w:rPr>
        <w:t xml:space="preserve"> </w:t>
      </w:r>
      <w:r>
        <w:t>Section</w:t>
      </w:r>
      <w:r>
        <w:rPr>
          <w:spacing w:val="-6"/>
        </w:rPr>
        <w:t xml:space="preserve"> </w:t>
      </w:r>
      <w:r>
        <w:t>5.1</w:t>
      </w:r>
      <w:r>
        <w:rPr>
          <w:spacing w:val="-3"/>
        </w:rPr>
        <w:t xml:space="preserve"> </w:t>
      </w:r>
      <w:r>
        <w:t>Pharmacodynamic properties, Clinical trials).</w:t>
      </w:r>
    </w:p>
    <w:p w14:paraId="3C06B214" w14:textId="77777777" w:rsidR="00AE135B" w:rsidRDefault="00EE5424">
      <w:pPr>
        <w:pStyle w:val="BodyText"/>
        <w:spacing w:before="247" w:line="360" w:lineRule="auto"/>
        <w:ind w:right="170"/>
        <w:jc w:val="both"/>
      </w:pPr>
      <w:r>
        <w:t>Adolescent</w:t>
      </w:r>
      <w:r>
        <w:rPr>
          <w:spacing w:val="-13"/>
        </w:rPr>
        <w:t xml:space="preserve"> </w:t>
      </w:r>
      <w:r>
        <w:t>primates</w:t>
      </w:r>
      <w:r>
        <w:rPr>
          <w:spacing w:val="-12"/>
        </w:rPr>
        <w:t xml:space="preserve"> </w:t>
      </w:r>
      <w:r>
        <w:t>had</w:t>
      </w:r>
      <w:r>
        <w:rPr>
          <w:spacing w:val="-13"/>
        </w:rPr>
        <w:t xml:space="preserve"> </w:t>
      </w:r>
      <w:r>
        <w:t>abnormal</w:t>
      </w:r>
      <w:r>
        <w:rPr>
          <w:spacing w:val="-12"/>
        </w:rPr>
        <w:t xml:space="preserve"> </w:t>
      </w:r>
      <w:r>
        <w:t>growth</w:t>
      </w:r>
      <w:r>
        <w:rPr>
          <w:spacing w:val="-13"/>
        </w:rPr>
        <w:t xml:space="preserve"> </w:t>
      </w:r>
      <w:r>
        <w:t>plates</w:t>
      </w:r>
      <w:r>
        <w:rPr>
          <w:spacing w:val="-12"/>
        </w:rPr>
        <w:t xml:space="preserve"> </w:t>
      </w:r>
      <w:r>
        <w:t>when</w:t>
      </w:r>
      <w:r>
        <w:rPr>
          <w:spacing w:val="-13"/>
        </w:rPr>
        <w:t xml:space="preserve"> </w:t>
      </w:r>
      <w:r>
        <w:t>administered</w:t>
      </w:r>
      <w:r>
        <w:rPr>
          <w:spacing w:val="-12"/>
        </w:rPr>
        <w:t xml:space="preserve"> </w:t>
      </w:r>
      <w:r>
        <w:t>denosumab</w:t>
      </w:r>
      <w:r>
        <w:rPr>
          <w:spacing w:val="-12"/>
        </w:rPr>
        <w:t xml:space="preserve"> </w:t>
      </w:r>
      <w:r>
        <w:t>at</w:t>
      </w:r>
      <w:r>
        <w:rPr>
          <w:spacing w:val="-13"/>
        </w:rPr>
        <w:t xml:space="preserve"> </w:t>
      </w:r>
      <w:r>
        <w:t>doses</w:t>
      </w:r>
      <w:r>
        <w:rPr>
          <w:spacing w:val="-12"/>
        </w:rPr>
        <w:t xml:space="preserve"> </w:t>
      </w:r>
      <w:r>
        <w:t>of</w:t>
      </w:r>
      <w:r>
        <w:rPr>
          <w:spacing w:val="-13"/>
        </w:rPr>
        <w:t xml:space="preserve"> </w:t>
      </w:r>
      <w:r>
        <w:t>10</w:t>
      </w:r>
      <w:r>
        <w:rPr>
          <w:spacing w:val="-12"/>
        </w:rPr>
        <w:t xml:space="preserve"> </w:t>
      </w:r>
      <w:r>
        <w:t>mg/kg</w:t>
      </w:r>
      <w:r>
        <w:rPr>
          <w:spacing w:val="-13"/>
        </w:rPr>
        <w:t xml:space="preserve"> </w:t>
      </w:r>
      <w:r>
        <w:t>and higher, which resulted in exposures up to 2.8 times those observed in adult humans dosed at 120 mg subcutaneously every 4 weeks based on AUC.</w:t>
      </w:r>
      <w:r>
        <w:rPr>
          <w:spacing w:val="40"/>
        </w:rPr>
        <w:t xml:space="preserve"> </w:t>
      </w:r>
      <w:r>
        <w:t xml:space="preserve">In neonatal cynomolgus monkeys exposed in utero to denosumab at 50 mg/kg, there was increased postnatal mortality; abnormal bone growth resulting in reduced bone strength, reduced </w:t>
      </w:r>
      <w:proofErr w:type="spellStart"/>
      <w:r>
        <w:t>haematopoiesis</w:t>
      </w:r>
      <w:proofErr w:type="spellEnd"/>
      <w:r>
        <w:t xml:space="preserve">, and tooth malalignment; absence of peripheral lymph nodes; decreased neonatal growth and other adverse effects (see Section 4.6 Fertility, pregnancy and </w:t>
      </w:r>
      <w:r>
        <w:lastRenderedPageBreak/>
        <w:t xml:space="preserve">lactation, Use in Pregnancy). In neonatal rats, inhibition of RANKL (target of denosumab therapy) with a construct of </w:t>
      </w:r>
      <w:proofErr w:type="spellStart"/>
      <w:r>
        <w:t>osteoprotegerin</w:t>
      </w:r>
      <w:proofErr w:type="spellEnd"/>
      <w:r>
        <w:t xml:space="preserve"> bound to Fc (</w:t>
      </w:r>
      <w:proofErr w:type="spellStart"/>
      <w:r>
        <w:t>OPG</w:t>
      </w:r>
      <w:proofErr w:type="spellEnd"/>
      <w:r>
        <w:t>-Fc) was associated with inhibition of bone growth and tooth</w:t>
      </w:r>
      <w:r>
        <w:rPr>
          <w:spacing w:val="-11"/>
        </w:rPr>
        <w:t xml:space="preserve"> </w:t>
      </w:r>
      <w:r>
        <w:t>eruption</w:t>
      </w:r>
      <w:r>
        <w:rPr>
          <w:spacing w:val="-11"/>
        </w:rPr>
        <w:t xml:space="preserve"> </w:t>
      </w:r>
      <w:r>
        <w:t>and</w:t>
      </w:r>
      <w:r>
        <w:rPr>
          <w:spacing w:val="-11"/>
        </w:rPr>
        <w:t xml:space="preserve"> </w:t>
      </w:r>
      <w:r>
        <w:t>lower</w:t>
      </w:r>
      <w:r>
        <w:rPr>
          <w:spacing w:val="-9"/>
        </w:rPr>
        <w:t xml:space="preserve"> </w:t>
      </w:r>
      <w:r>
        <w:t>body</w:t>
      </w:r>
      <w:r>
        <w:rPr>
          <w:spacing w:val="-12"/>
        </w:rPr>
        <w:t xml:space="preserve"> </w:t>
      </w:r>
      <w:r>
        <w:t>weight</w:t>
      </w:r>
      <w:r>
        <w:rPr>
          <w:spacing w:val="-10"/>
        </w:rPr>
        <w:t xml:space="preserve"> </w:t>
      </w:r>
      <w:r>
        <w:t>gain.</w:t>
      </w:r>
      <w:r>
        <w:rPr>
          <w:spacing w:val="27"/>
        </w:rPr>
        <w:t xml:space="preserve"> </w:t>
      </w:r>
      <w:r>
        <w:t>These</w:t>
      </w:r>
      <w:r>
        <w:rPr>
          <w:spacing w:val="-10"/>
        </w:rPr>
        <w:t xml:space="preserve"> </w:t>
      </w:r>
      <w:r>
        <w:t>changes</w:t>
      </w:r>
      <w:r>
        <w:rPr>
          <w:spacing w:val="-10"/>
        </w:rPr>
        <w:t xml:space="preserve"> </w:t>
      </w:r>
      <w:r>
        <w:t>were</w:t>
      </w:r>
      <w:r>
        <w:rPr>
          <w:spacing w:val="-10"/>
        </w:rPr>
        <w:t xml:space="preserve"> </w:t>
      </w:r>
      <w:r>
        <w:t>partially</w:t>
      </w:r>
      <w:r>
        <w:rPr>
          <w:spacing w:val="-10"/>
        </w:rPr>
        <w:t xml:space="preserve"> </w:t>
      </w:r>
      <w:r>
        <w:t>reversible</w:t>
      </w:r>
      <w:r>
        <w:rPr>
          <w:spacing w:val="-9"/>
        </w:rPr>
        <w:t xml:space="preserve"> </w:t>
      </w:r>
      <w:r>
        <w:t>when</w:t>
      </w:r>
      <w:r>
        <w:rPr>
          <w:spacing w:val="-11"/>
        </w:rPr>
        <w:t xml:space="preserve"> </w:t>
      </w:r>
      <w:r>
        <w:t>dosing</w:t>
      </w:r>
      <w:r>
        <w:rPr>
          <w:spacing w:val="-13"/>
        </w:rPr>
        <w:t xml:space="preserve"> </w:t>
      </w:r>
      <w:r>
        <w:t>of</w:t>
      </w:r>
      <w:r>
        <w:rPr>
          <w:spacing w:val="-10"/>
        </w:rPr>
        <w:t xml:space="preserve"> </w:t>
      </w:r>
      <w:r>
        <w:t>RANKL inhibitor was discontinued.</w:t>
      </w:r>
      <w:r>
        <w:rPr>
          <w:spacing w:val="40"/>
        </w:rPr>
        <w:t xml:space="preserve"> </w:t>
      </w:r>
      <w:r>
        <w:t>Therefore, treatment with denosumab may impair bone growth in children with open growth plates and may inhibit eruption of dentition.</w:t>
      </w:r>
    </w:p>
    <w:p w14:paraId="297B2294" w14:textId="77777777" w:rsidR="00AE135B" w:rsidRDefault="00EE5424">
      <w:pPr>
        <w:pStyle w:val="Heading3"/>
        <w:spacing w:before="40"/>
      </w:pPr>
      <w:r>
        <w:rPr>
          <w:spacing w:val="-2"/>
          <w:u w:val="single"/>
        </w:rPr>
        <w:t>Effects</w:t>
      </w:r>
      <w:r>
        <w:rPr>
          <w:spacing w:val="-6"/>
          <w:u w:val="single"/>
        </w:rPr>
        <w:t xml:space="preserve"> </w:t>
      </w:r>
      <w:r>
        <w:rPr>
          <w:spacing w:val="-2"/>
          <w:u w:val="single"/>
        </w:rPr>
        <w:t>on</w:t>
      </w:r>
      <w:r>
        <w:rPr>
          <w:spacing w:val="-6"/>
          <w:u w:val="single"/>
        </w:rPr>
        <w:t xml:space="preserve"> </w:t>
      </w:r>
      <w:r>
        <w:rPr>
          <w:spacing w:val="-2"/>
          <w:u w:val="single"/>
        </w:rPr>
        <w:t>laboratory</w:t>
      </w:r>
      <w:r>
        <w:rPr>
          <w:spacing w:val="-3"/>
          <w:u w:val="single"/>
        </w:rPr>
        <w:t xml:space="preserve"> </w:t>
      </w:r>
      <w:r>
        <w:rPr>
          <w:spacing w:val="-4"/>
          <w:u w:val="single"/>
        </w:rPr>
        <w:t>tests</w:t>
      </w:r>
    </w:p>
    <w:p w14:paraId="73EA55FD" w14:textId="77777777" w:rsidR="00AE135B" w:rsidRDefault="00EE5424">
      <w:pPr>
        <w:pStyle w:val="BodyText"/>
        <w:spacing w:before="238"/>
      </w:pPr>
      <w:r>
        <w:rPr>
          <w:spacing w:val="-2"/>
        </w:rPr>
        <w:t>No</w:t>
      </w:r>
      <w:r>
        <w:rPr>
          <w:spacing w:val="-8"/>
        </w:rPr>
        <w:t xml:space="preserve"> </w:t>
      </w:r>
      <w:r>
        <w:rPr>
          <w:spacing w:val="-2"/>
        </w:rPr>
        <w:t>interactions</w:t>
      </w:r>
      <w:r>
        <w:rPr>
          <w:spacing w:val="-4"/>
        </w:rPr>
        <w:t xml:space="preserve"> </w:t>
      </w:r>
      <w:r>
        <w:rPr>
          <w:spacing w:val="-2"/>
        </w:rPr>
        <w:t>with</w:t>
      </w:r>
      <w:r>
        <w:rPr>
          <w:spacing w:val="-8"/>
        </w:rPr>
        <w:t xml:space="preserve"> </w:t>
      </w:r>
      <w:r>
        <w:rPr>
          <w:spacing w:val="-2"/>
        </w:rPr>
        <w:t>laboratory</w:t>
      </w:r>
      <w:r>
        <w:rPr>
          <w:spacing w:val="-3"/>
        </w:rPr>
        <w:t xml:space="preserve"> </w:t>
      </w:r>
      <w:r>
        <w:rPr>
          <w:spacing w:val="-2"/>
        </w:rPr>
        <w:t>and</w:t>
      </w:r>
      <w:r>
        <w:rPr>
          <w:spacing w:val="-8"/>
        </w:rPr>
        <w:t xml:space="preserve"> </w:t>
      </w:r>
      <w:r>
        <w:rPr>
          <w:spacing w:val="-2"/>
        </w:rPr>
        <w:t>diagnostic</w:t>
      </w:r>
      <w:r>
        <w:rPr>
          <w:spacing w:val="-6"/>
        </w:rPr>
        <w:t xml:space="preserve"> </w:t>
      </w:r>
      <w:r>
        <w:rPr>
          <w:spacing w:val="-2"/>
        </w:rPr>
        <w:t>tests have</w:t>
      </w:r>
      <w:r>
        <w:rPr>
          <w:spacing w:val="-9"/>
        </w:rPr>
        <w:t xml:space="preserve"> </w:t>
      </w:r>
      <w:r>
        <w:rPr>
          <w:spacing w:val="-2"/>
        </w:rPr>
        <w:t>been</w:t>
      </w:r>
      <w:r>
        <w:rPr>
          <w:spacing w:val="-7"/>
        </w:rPr>
        <w:t xml:space="preserve"> </w:t>
      </w:r>
      <w:r>
        <w:rPr>
          <w:spacing w:val="-2"/>
        </w:rPr>
        <w:t>identified.</w:t>
      </w:r>
    </w:p>
    <w:p w14:paraId="7FF1BD06" w14:textId="77777777" w:rsidR="00AE135B" w:rsidRDefault="00AE135B">
      <w:pPr>
        <w:pStyle w:val="BodyText"/>
        <w:spacing w:before="120"/>
        <w:ind w:left="0"/>
      </w:pPr>
    </w:p>
    <w:p w14:paraId="77ED8198" w14:textId="77777777" w:rsidR="00AE135B" w:rsidRDefault="00EE5424">
      <w:pPr>
        <w:pStyle w:val="Heading3"/>
        <w:spacing w:before="1"/>
      </w:pPr>
      <w:r>
        <w:rPr>
          <w:u w:val="single"/>
        </w:rPr>
        <w:t>Patients</w:t>
      </w:r>
      <w:r>
        <w:rPr>
          <w:spacing w:val="-9"/>
          <w:u w:val="single"/>
        </w:rPr>
        <w:t xml:space="preserve"> </w:t>
      </w:r>
      <w:r>
        <w:rPr>
          <w:u w:val="single"/>
        </w:rPr>
        <w:t>with</w:t>
      </w:r>
      <w:r>
        <w:rPr>
          <w:spacing w:val="-7"/>
          <w:u w:val="single"/>
        </w:rPr>
        <w:t xml:space="preserve"> </w:t>
      </w:r>
      <w:r>
        <w:rPr>
          <w:u w:val="single"/>
        </w:rPr>
        <w:t>Phenylketonuria</w:t>
      </w:r>
      <w:r>
        <w:rPr>
          <w:spacing w:val="-7"/>
          <w:u w:val="single"/>
        </w:rPr>
        <w:t xml:space="preserve"> </w:t>
      </w:r>
      <w:r>
        <w:rPr>
          <w:spacing w:val="-2"/>
          <w:u w:val="single"/>
        </w:rPr>
        <w:t>(PKU)</w:t>
      </w:r>
    </w:p>
    <w:p w14:paraId="6D918C24" w14:textId="77777777" w:rsidR="00AE135B" w:rsidRDefault="00EE5424">
      <w:pPr>
        <w:pStyle w:val="BodyText"/>
        <w:spacing w:before="264" w:line="360" w:lineRule="auto"/>
        <w:ind w:right="434"/>
        <w:jc w:val="both"/>
      </w:pPr>
      <w:r>
        <w:t xml:space="preserve">The </w:t>
      </w:r>
      <w:proofErr w:type="spellStart"/>
      <w:r>
        <w:t>DOSTIVA</w:t>
      </w:r>
      <w:proofErr w:type="spellEnd"/>
      <w:r>
        <w:t xml:space="preserve"> 120</w:t>
      </w:r>
      <w:r>
        <w:rPr>
          <w:spacing w:val="-1"/>
        </w:rPr>
        <w:t xml:space="preserve"> </w:t>
      </w:r>
      <w:r>
        <w:t>mg/1.7</w:t>
      </w:r>
      <w:r>
        <w:rPr>
          <w:spacing w:val="-2"/>
        </w:rPr>
        <w:t xml:space="preserve"> </w:t>
      </w:r>
      <w:r>
        <w:t>mL</w:t>
      </w:r>
      <w:r>
        <w:rPr>
          <w:spacing w:val="-2"/>
        </w:rPr>
        <w:t xml:space="preserve"> </w:t>
      </w:r>
      <w:r>
        <w:t>solution in</w:t>
      </w:r>
      <w:r>
        <w:rPr>
          <w:spacing w:val="-1"/>
        </w:rPr>
        <w:t xml:space="preserve"> </w:t>
      </w:r>
      <w:r>
        <w:t>a single use</w:t>
      </w:r>
      <w:r>
        <w:rPr>
          <w:spacing w:val="-2"/>
        </w:rPr>
        <w:t xml:space="preserve"> </w:t>
      </w:r>
      <w:r>
        <w:t>vial does not contain</w:t>
      </w:r>
      <w:r>
        <w:rPr>
          <w:spacing w:val="-1"/>
        </w:rPr>
        <w:t xml:space="preserve"> </w:t>
      </w:r>
      <w:r>
        <w:t>phenylalanine. Patients with phenylketonuria (PKU) should be administered denosumab from the single-use vial containing 120 mg in 1.7 mL solution.</w:t>
      </w:r>
    </w:p>
    <w:p w14:paraId="03BA3EE3" w14:textId="77777777" w:rsidR="00AE135B" w:rsidRDefault="00AE135B">
      <w:pPr>
        <w:pStyle w:val="BodyText"/>
        <w:spacing w:before="113"/>
        <w:ind w:left="0"/>
      </w:pPr>
    </w:p>
    <w:p w14:paraId="1B0B3D0B" w14:textId="77777777" w:rsidR="00AE135B" w:rsidRDefault="00EE5424">
      <w:pPr>
        <w:pStyle w:val="Heading2"/>
        <w:numPr>
          <w:ilvl w:val="1"/>
          <w:numId w:val="3"/>
        </w:numPr>
        <w:tabs>
          <w:tab w:val="left" w:pos="1106"/>
        </w:tabs>
        <w:ind w:hanging="799"/>
      </w:pPr>
      <w:r>
        <w:t>Interactions</w:t>
      </w:r>
      <w:r>
        <w:rPr>
          <w:spacing w:val="-17"/>
        </w:rPr>
        <w:t xml:space="preserve"> </w:t>
      </w:r>
      <w:r>
        <w:t>with</w:t>
      </w:r>
      <w:r>
        <w:rPr>
          <w:spacing w:val="-11"/>
        </w:rPr>
        <w:t xml:space="preserve"> </w:t>
      </w:r>
      <w:r>
        <w:t>other</w:t>
      </w:r>
      <w:r>
        <w:rPr>
          <w:spacing w:val="-9"/>
        </w:rPr>
        <w:t xml:space="preserve"> </w:t>
      </w:r>
      <w:r>
        <w:t>medicines</w:t>
      </w:r>
      <w:r>
        <w:rPr>
          <w:spacing w:val="-8"/>
        </w:rPr>
        <w:t xml:space="preserve"> </w:t>
      </w:r>
      <w:r>
        <w:t>and</w:t>
      </w:r>
      <w:r>
        <w:rPr>
          <w:spacing w:val="-8"/>
        </w:rPr>
        <w:t xml:space="preserve"> </w:t>
      </w:r>
      <w:r>
        <w:t>other</w:t>
      </w:r>
      <w:r>
        <w:rPr>
          <w:spacing w:val="-7"/>
        </w:rPr>
        <w:t xml:space="preserve"> </w:t>
      </w:r>
      <w:r>
        <w:t>forms</w:t>
      </w:r>
      <w:r>
        <w:rPr>
          <w:spacing w:val="-6"/>
        </w:rPr>
        <w:t xml:space="preserve"> </w:t>
      </w:r>
      <w:r>
        <w:t>of</w:t>
      </w:r>
      <w:r>
        <w:rPr>
          <w:spacing w:val="-7"/>
        </w:rPr>
        <w:t xml:space="preserve"> </w:t>
      </w:r>
      <w:r>
        <w:rPr>
          <w:spacing w:val="-2"/>
        </w:rPr>
        <w:t>interactions</w:t>
      </w:r>
    </w:p>
    <w:p w14:paraId="193199C7" w14:textId="77777777" w:rsidR="00AE135B" w:rsidRDefault="00AE135B">
      <w:pPr>
        <w:pStyle w:val="BodyText"/>
        <w:spacing w:before="229"/>
        <w:ind w:left="0"/>
        <w:rPr>
          <w:rFonts w:ascii="Arial"/>
          <w:b/>
          <w:sz w:val="24"/>
        </w:rPr>
      </w:pPr>
    </w:p>
    <w:p w14:paraId="1EE52569" w14:textId="77777777" w:rsidR="00AE135B" w:rsidRDefault="00EE5424">
      <w:pPr>
        <w:pStyle w:val="BodyText"/>
        <w:spacing w:before="1"/>
      </w:pPr>
      <w:r>
        <w:rPr>
          <w:spacing w:val="-2"/>
        </w:rPr>
        <w:t>No</w:t>
      </w:r>
      <w:r>
        <w:rPr>
          <w:spacing w:val="-4"/>
        </w:rPr>
        <w:t xml:space="preserve"> </w:t>
      </w:r>
      <w:r>
        <w:rPr>
          <w:spacing w:val="-2"/>
        </w:rPr>
        <w:t>drug-drug</w:t>
      </w:r>
      <w:r>
        <w:rPr>
          <w:spacing w:val="-6"/>
        </w:rPr>
        <w:t xml:space="preserve"> </w:t>
      </w:r>
      <w:r>
        <w:rPr>
          <w:spacing w:val="-2"/>
        </w:rPr>
        <w:t>interaction</w:t>
      </w:r>
      <w:r>
        <w:rPr>
          <w:spacing w:val="-8"/>
        </w:rPr>
        <w:t xml:space="preserve"> </w:t>
      </w:r>
      <w:r>
        <w:rPr>
          <w:spacing w:val="-2"/>
        </w:rPr>
        <w:t>studies</w:t>
      </w:r>
      <w:r>
        <w:rPr>
          <w:spacing w:val="-4"/>
        </w:rPr>
        <w:t xml:space="preserve"> </w:t>
      </w:r>
      <w:r>
        <w:rPr>
          <w:spacing w:val="-2"/>
        </w:rPr>
        <w:t>have</w:t>
      </w:r>
      <w:r>
        <w:rPr>
          <w:spacing w:val="-7"/>
        </w:rPr>
        <w:t xml:space="preserve"> </w:t>
      </w:r>
      <w:r>
        <w:rPr>
          <w:spacing w:val="-2"/>
        </w:rPr>
        <w:t>been</w:t>
      </w:r>
      <w:r>
        <w:rPr>
          <w:spacing w:val="-5"/>
        </w:rPr>
        <w:t xml:space="preserve"> </w:t>
      </w:r>
      <w:r>
        <w:rPr>
          <w:spacing w:val="-2"/>
        </w:rPr>
        <w:t>conducted.</w:t>
      </w:r>
    </w:p>
    <w:p w14:paraId="57D8F6DF" w14:textId="77777777" w:rsidR="00AE135B" w:rsidRDefault="00EE5424">
      <w:pPr>
        <w:pStyle w:val="BodyText"/>
        <w:spacing w:before="247" w:line="360" w:lineRule="auto"/>
      </w:pPr>
      <w:r>
        <w:t>In</w:t>
      </w:r>
      <w:r>
        <w:rPr>
          <w:spacing w:val="-3"/>
        </w:rPr>
        <w:t xml:space="preserve"> </w:t>
      </w:r>
      <w:r>
        <w:t>clinical</w:t>
      </w:r>
      <w:r>
        <w:rPr>
          <w:spacing w:val="-5"/>
        </w:rPr>
        <w:t xml:space="preserve"> </w:t>
      </w:r>
      <w:r>
        <w:t>studies,</w:t>
      </w:r>
      <w:r>
        <w:rPr>
          <w:spacing w:val="-2"/>
        </w:rPr>
        <w:t xml:space="preserve"> </w:t>
      </w:r>
      <w:r>
        <w:t>denosumab</w:t>
      </w:r>
      <w:r>
        <w:rPr>
          <w:spacing w:val="-3"/>
        </w:rPr>
        <w:t xml:space="preserve"> </w:t>
      </w:r>
      <w:r>
        <w:t>has</w:t>
      </w:r>
      <w:r>
        <w:rPr>
          <w:spacing w:val="-2"/>
        </w:rPr>
        <w:t xml:space="preserve"> </w:t>
      </w:r>
      <w:r>
        <w:t>been</w:t>
      </w:r>
      <w:r>
        <w:rPr>
          <w:spacing w:val="-6"/>
        </w:rPr>
        <w:t xml:space="preserve"> </w:t>
      </w:r>
      <w:r>
        <w:t>administered</w:t>
      </w:r>
      <w:r>
        <w:rPr>
          <w:spacing w:val="-3"/>
        </w:rPr>
        <w:t xml:space="preserve"> </w:t>
      </w:r>
      <w:r>
        <w:t>in</w:t>
      </w:r>
      <w:r>
        <w:rPr>
          <w:spacing w:val="-3"/>
        </w:rPr>
        <w:t xml:space="preserve"> </w:t>
      </w:r>
      <w:r>
        <w:t>combination</w:t>
      </w:r>
      <w:r>
        <w:rPr>
          <w:spacing w:val="-6"/>
        </w:rPr>
        <w:t xml:space="preserve"> </w:t>
      </w:r>
      <w:r>
        <w:t>with</w:t>
      </w:r>
      <w:r>
        <w:rPr>
          <w:spacing w:val="-3"/>
        </w:rPr>
        <w:t xml:space="preserve"> </w:t>
      </w:r>
      <w:r>
        <w:t>standard</w:t>
      </w:r>
      <w:r>
        <w:rPr>
          <w:spacing w:val="-2"/>
        </w:rPr>
        <w:t xml:space="preserve"> </w:t>
      </w:r>
      <w:r>
        <w:t>anticancer</w:t>
      </w:r>
      <w:r>
        <w:rPr>
          <w:spacing w:val="-2"/>
        </w:rPr>
        <w:t xml:space="preserve"> </w:t>
      </w:r>
      <w:r>
        <w:t>treatment and in patients previously receiving bisphosphonates.</w:t>
      </w:r>
    </w:p>
    <w:p w14:paraId="3983BF06" w14:textId="77777777" w:rsidR="00AE135B" w:rsidRDefault="00AE135B">
      <w:pPr>
        <w:pStyle w:val="BodyText"/>
        <w:spacing w:before="226"/>
        <w:ind w:left="0"/>
      </w:pPr>
    </w:p>
    <w:p w14:paraId="0E44263E" w14:textId="77777777" w:rsidR="00AE135B" w:rsidRDefault="00EE5424">
      <w:pPr>
        <w:pStyle w:val="BodyText"/>
        <w:spacing w:before="1" w:line="360" w:lineRule="auto"/>
      </w:pPr>
      <w:r>
        <w:t>The</w:t>
      </w:r>
      <w:r>
        <w:rPr>
          <w:spacing w:val="77"/>
        </w:rPr>
        <w:t xml:space="preserve"> </w:t>
      </w:r>
      <w:r>
        <w:t>pharmacokinetics</w:t>
      </w:r>
      <w:r>
        <w:rPr>
          <w:spacing w:val="78"/>
        </w:rPr>
        <w:t xml:space="preserve"> </w:t>
      </w:r>
      <w:r>
        <w:t>and</w:t>
      </w:r>
      <w:r>
        <w:rPr>
          <w:spacing w:val="76"/>
        </w:rPr>
        <w:t xml:space="preserve"> </w:t>
      </w:r>
      <w:r>
        <w:t>pharmacodynamics</w:t>
      </w:r>
      <w:r>
        <w:rPr>
          <w:spacing w:val="78"/>
        </w:rPr>
        <w:t xml:space="preserve"> </w:t>
      </w:r>
      <w:r>
        <w:t>of</w:t>
      </w:r>
      <w:r>
        <w:rPr>
          <w:spacing w:val="74"/>
        </w:rPr>
        <w:t xml:space="preserve"> </w:t>
      </w:r>
      <w:r>
        <w:t>denosumab</w:t>
      </w:r>
      <w:r>
        <w:rPr>
          <w:spacing w:val="76"/>
        </w:rPr>
        <w:t xml:space="preserve"> </w:t>
      </w:r>
      <w:r>
        <w:t>were</w:t>
      </w:r>
      <w:r>
        <w:rPr>
          <w:spacing w:val="78"/>
        </w:rPr>
        <w:t xml:space="preserve"> </w:t>
      </w:r>
      <w:r>
        <w:t>not</w:t>
      </w:r>
      <w:r>
        <w:rPr>
          <w:spacing w:val="78"/>
        </w:rPr>
        <w:t xml:space="preserve"> </w:t>
      </w:r>
      <w:r>
        <w:t>altered</w:t>
      </w:r>
      <w:r>
        <w:rPr>
          <w:spacing w:val="77"/>
        </w:rPr>
        <w:t xml:space="preserve"> </w:t>
      </w:r>
      <w:r>
        <w:t>by</w:t>
      </w:r>
      <w:r>
        <w:rPr>
          <w:spacing w:val="78"/>
        </w:rPr>
        <w:t xml:space="preserve"> </w:t>
      </w:r>
      <w:r>
        <w:t>concomitant chemotherapy and/or hormone therapy nor by previous IV bisphosphonate exposure.</w:t>
      </w:r>
    </w:p>
    <w:p w14:paraId="677BE2ED" w14:textId="77777777" w:rsidR="00AE135B" w:rsidRDefault="00EE5424">
      <w:pPr>
        <w:pStyle w:val="BodyText"/>
        <w:spacing w:before="90"/>
      </w:pPr>
      <w:r>
        <w:rPr>
          <w:spacing w:val="-2"/>
        </w:rPr>
        <w:t>Denosumab</w:t>
      </w:r>
      <w:r>
        <w:rPr>
          <w:spacing w:val="-11"/>
        </w:rPr>
        <w:t xml:space="preserve"> </w:t>
      </w:r>
      <w:r>
        <w:rPr>
          <w:spacing w:val="-2"/>
        </w:rPr>
        <w:t>should</w:t>
      </w:r>
      <w:r>
        <w:rPr>
          <w:spacing w:val="-9"/>
        </w:rPr>
        <w:t xml:space="preserve"> </w:t>
      </w:r>
      <w:r>
        <w:rPr>
          <w:spacing w:val="-2"/>
        </w:rPr>
        <w:t>not</w:t>
      </w:r>
      <w:r>
        <w:rPr>
          <w:spacing w:val="-8"/>
        </w:rPr>
        <w:t xml:space="preserve"> </w:t>
      </w:r>
      <w:r>
        <w:rPr>
          <w:spacing w:val="-2"/>
        </w:rPr>
        <w:t>be</w:t>
      </w:r>
      <w:r>
        <w:rPr>
          <w:spacing w:val="-8"/>
        </w:rPr>
        <w:t xml:space="preserve"> </w:t>
      </w:r>
      <w:r>
        <w:rPr>
          <w:spacing w:val="-2"/>
        </w:rPr>
        <w:t>administered</w:t>
      </w:r>
      <w:r>
        <w:rPr>
          <w:spacing w:val="-7"/>
        </w:rPr>
        <w:t xml:space="preserve"> </w:t>
      </w:r>
      <w:r>
        <w:rPr>
          <w:spacing w:val="-2"/>
        </w:rPr>
        <w:t>concomitantly</w:t>
      </w:r>
      <w:r>
        <w:rPr>
          <w:spacing w:val="-7"/>
        </w:rPr>
        <w:t xml:space="preserve"> </w:t>
      </w:r>
      <w:r>
        <w:rPr>
          <w:spacing w:val="-2"/>
        </w:rPr>
        <w:t>with</w:t>
      </w:r>
      <w:r>
        <w:rPr>
          <w:spacing w:val="-6"/>
        </w:rPr>
        <w:t xml:space="preserve"> </w:t>
      </w:r>
      <w:r>
        <w:rPr>
          <w:spacing w:val="-2"/>
        </w:rPr>
        <w:t>bisphosphonates.</w:t>
      </w:r>
    </w:p>
    <w:p w14:paraId="16BD861A" w14:textId="77777777" w:rsidR="00AE135B" w:rsidRDefault="00AE135B">
      <w:pPr>
        <w:pStyle w:val="BodyText"/>
        <w:spacing w:before="159"/>
        <w:ind w:left="0"/>
      </w:pPr>
    </w:p>
    <w:p w14:paraId="7FCE4B6A" w14:textId="77777777" w:rsidR="00AE135B" w:rsidRDefault="00EE5424">
      <w:pPr>
        <w:pStyle w:val="Heading2"/>
        <w:numPr>
          <w:ilvl w:val="1"/>
          <w:numId w:val="3"/>
        </w:numPr>
        <w:tabs>
          <w:tab w:val="left" w:pos="1106"/>
        </w:tabs>
        <w:spacing w:before="1"/>
        <w:ind w:hanging="799"/>
      </w:pPr>
      <w:r>
        <w:t>Fertility,</w:t>
      </w:r>
      <w:r>
        <w:rPr>
          <w:spacing w:val="-10"/>
        </w:rPr>
        <w:t xml:space="preserve"> </w:t>
      </w:r>
      <w:r>
        <w:t>pregnancy</w:t>
      </w:r>
      <w:r>
        <w:rPr>
          <w:spacing w:val="-11"/>
        </w:rPr>
        <w:t xml:space="preserve"> </w:t>
      </w:r>
      <w:r>
        <w:t>and</w:t>
      </w:r>
      <w:r>
        <w:rPr>
          <w:spacing w:val="-11"/>
        </w:rPr>
        <w:t xml:space="preserve"> </w:t>
      </w:r>
      <w:r>
        <w:rPr>
          <w:spacing w:val="-2"/>
        </w:rPr>
        <w:t>lactation</w:t>
      </w:r>
    </w:p>
    <w:p w14:paraId="283015A6" w14:textId="77777777" w:rsidR="00AE135B" w:rsidRDefault="00EE5424">
      <w:pPr>
        <w:pStyle w:val="BodyText"/>
        <w:spacing w:before="116"/>
      </w:pPr>
      <w:r>
        <w:rPr>
          <w:u w:val="single"/>
        </w:rPr>
        <w:t>Effects</w:t>
      </w:r>
      <w:r>
        <w:rPr>
          <w:spacing w:val="-14"/>
          <w:u w:val="single"/>
        </w:rPr>
        <w:t xml:space="preserve"> </w:t>
      </w:r>
      <w:r>
        <w:rPr>
          <w:u w:val="single"/>
        </w:rPr>
        <w:t>on</w:t>
      </w:r>
      <w:r>
        <w:rPr>
          <w:spacing w:val="-12"/>
          <w:u w:val="single"/>
        </w:rPr>
        <w:t xml:space="preserve"> </w:t>
      </w:r>
      <w:r>
        <w:rPr>
          <w:spacing w:val="-2"/>
          <w:u w:val="single"/>
        </w:rPr>
        <w:t>fertility</w:t>
      </w:r>
    </w:p>
    <w:p w14:paraId="57BB49C2" w14:textId="77777777" w:rsidR="00AE135B" w:rsidRDefault="00EE5424">
      <w:pPr>
        <w:pStyle w:val="BodyText"/>
        <w:spacing w:before="250" w:line="360" w:lineRule="auto"/>
        <w:ind w:right="375"/>
        <w:jc w:val="both"/>
      </w:pPr>
      <w:r>
        <w:t>No</w:t>
      </w:r>
      <w:r>
        <w:rPr>
          <w:spacing w:val="-13"/>
        </w:rPr>
        <w:t xml:space="preserve"> </w:t>
      </w:r>
      <w:r>
        <w:t>data</w:t>
      </w:r>
      <w:r>
        <w:rPr>
          <w:spacing w:val="-12"/>
        </w:rPr>
        <w:t xml:space="preserve"> </w:t>
      </w:r>
      <w:proofErr w:type="gramStart"/>
      <w:r>
        <w:t>are</w:t>
      </w:r>
      <w:proofErr w:type="gramEnd"/>
      <w:r>
        <w:rPr>
          <w:spacing w:val="-13"/>
        </w:rPr>
        <w:t xml:space="preserve"> </w:t>
      </w:r>
      <w:r>
        <w:t>available</w:t>
      </w:r>
      <w:r>
        <w:rPr>
          <w:spacing w:val="-12"/>
        </w:rPr>
        <w:t xml:space="preserve"> </w:t>
      </w:r>
      <w:r>
        <w:t>on</w:t>
      </w:r>
      <w:r>
        <w:rPr>
          <w:spacing w:val="-13"/>
        </w:rPr>
        <w:t xml:space="preserve"> </w:t>
      </w:r>
      <w:r>
        <w:t>the</w:t>
      </w:r>
      <w:r>
        <w:rPr>
          <w:spacing w:val="-12"/>
        </w:rPr>
        <w:t xml:space="preserve"> </w:t>
      </w:r>
      <w:r>
        <w:t>effect</w:t>
      </w:r>
      <w:r>
        <w:rPr>
          <w:spacing w:val="-13"/>
        </w:rPr>
        <w:t xml:space="preserve"> </w:t>
      </w:r>
      <w:r>
        <w:t>of</w:t>
      </w:r>
      <w:r>
        <w:rPr>
          <w:spacing w:val="-12"/>
        </w:rPr>
        <w:t xml:space="preserve"> </w:t>
      </w:r>
      <w:r>
        <w:t>denosumab</w:t>
      </w:r>
      <w:r>
        <w:rPr>
          <w:spacing w:val="-12"/>
        </w:rPr>
        <w:t xml:space="preserve"> </w:t>
      </w:r>
      <w:r>
        <w:t>on</w:t>
      </w:r>
      <w:r>
        <w:rPr>
          <w:spacing w:val="-13"/>
        </w:rPr>
        <w:t xml:space="preserve"> </w:t>
      </w:r>
      <w:r>
        <w:t>human</w:t>
      </w:r>
      <w:r>
        <w:rPr>
          <w:spacing w:val="-12"/>
        </w:rPr>
        <w:t xml:space="preserve"> </w:t>
      </w:r>
      <w:r>
        <w:t>fertility.</w:t>
      </w:r>
      <w:r>
        <w:rPr>
          <w:spacing w:val="-13"/>
        </w:rPr>
        <w:t xml:space="preserve"> </w:t>
      </w:r>
      <w:r>
        <w:t>Denosumab</w:t>
      </w:r>
      <w:r>
        <w:rPr>
          <w:spacing w:val="-12"/>
        </w:rPr>
        <w:t xml:space="preserve"> </w:t>
      </w:r>
      <w:r>
        <w:t>had</w:t>
      </w:r>
      <w:r>
        <w:rPr>
          <w:spacing w:val="-13"/>
        </w:rPr>
        <w:t xml:space="preserve"> </w:t>
      </w:r>
      <w:r>
        <w:t>no</w:t>
      </w:r>
      <w:r>
        <w:rPr>
          <w:spacing w:val="-12"/>
        </w:rPr>
        <w:t xml:space="preserve"> </w:t>
      </w:r>
      <w:r>
        <w:t>effect</w:t>
      </w:r>
      <w:r>
        <w:rPr>
          <w:spacing w:val="-12"/>
        </w:rPr>
        <w:t xml:space="preserve"> </w:t>
      </w:r>
      <w:r>
        <w:t>on</w:t>
      </w:r>
      <w:r>
        <w:rPr>
          <w:spacing w:val="-13"/>
        </w:rPr>
        <w:t xml:space="preserve"> </w:t>
      </w:r>
      <w:r>
        <w:t>female fertility or male reproductive organs or sperm motility in cynomolgus monkeys at subcutaneous doses up to 12.5 mg/kg/week (females) or 50 mg/kg/month (males), yielding exposures that were approximately 15-fold higher than the human exposure at 120 mg subcutaneous administered once every month.</w:t>
      </w:r>
    </w:p>
    <w:p w14:paraId="47098A1E" w14:textId="77777777" w:rsidR="00AE135B" w:rsidRDefault="00AE135B">
      <w:pPr>
        <w:pStyle w:val="BodyText"/>
        <w:spacing w:before="91"/>
        <w:ind w:left="0"/>
      </w:pPr>
    </w:p>
    <w:p w14:paraId="5404774A" w14:textId="77777777" w:rsidR="00AE135B" w:rsidRDefault="00EE5424">
      <w:pPr>
        <w:pStyle w:val="BodyText"/>
        <w:spacing w:line="360" w:lineRule="auto"/>
        <w:ind w:right="7620"/>
        <w:jc w:val="both"/>
      </w:pPr>
      <w:r>
        <w:rPr>
          <w:u w:val="single"/>
        </w:rPr>
        <w:t>Use in pregnancy</w:t>
      </w:r>
      <w:r>
        <w:t xml:space="preserve"> </w:t>
      </w:r>
      <w:proofErr w:type="spellStart"/>
      <w:r>
        <w:rPr>
          <w:spacing w:val="-2"/>
        </w:rPr>
        <w:t>Pregnancy</w:t>
      </w:r>
      <w:proofErr w:type="spellEnd"/>
      <w:r>
        <w:rPr>
          <w:spacing w:val="-7"/>
        </w:rPr>
        <w:t xml:space="preserve"> </w:t>
      </w:r>
      <w:r>
        <w:rPr>
          <w:spacing w:val="-2"/>
        </w:rPr>
        <w:t>Category:</w:t>
      </w:r>
      <w:r>
        <w:rPr>
          <w:spacing w:val="-4"/>
        </w:rPr>
        <w:t xml:space="preserve"> </w:t>
      </w:r>
      <w:r>
        <w:rPr>
          <w:spacing w:val="-10"/>
        </w:rPr>
        <w:t>D</w:t>
      </w:r>
    </w:p>
    <w:p w14:paraId="4A613C48" w14:textId="77777777" w:rsidR="00AE135B" w:rsidRDefault="00EE5424">
      <w:pPr>
        <w:pStyle w:val="BodyText"/>
        <w:spacing w:before="92" w:line="360" w:lineRule="auto"/>
        <w:ind w:right="163"/>
        <w:jc w:val="both"/>
      </w:pPr>
      <w:r>
        <w:lastRenderedPageBreak/>
        <w:t>There are no adequate and well-controlled studies of denosumab in pregnant women.</w:t>
      </w:r>
      <w:r>
        <w:rPr>
          <w:spacing w:val="40"/>
        </w:rPr>
        <w:t xml:space="preserve"> </w:t>
      </w:r>
      <w:proofErr w:type="spellStart"/>
      <w:r>
        <w:t>DOSTIVA</w:t>
      </w:r>
      <w:proofErr w:type="spellEnd"/>
      <w:r>
        <w:t xml:space="preserve"> is contraindicated</w:t>
      </w:r>
      <w:r>
        <w:rPr>
          <w:spacing w:val="-4"/>
        </w:rPr>
        <w:t xml:space="preserve"> </w:t>
      </w:r>
      <w:r>
        <w:t>for</w:t>
      </w:r>
      <w:r>
        <w:rPr>
          <w:spacing w:val="-4"/>
        </w:rPr>
        <w:t xml:space="preserve"> </w:t>
      </w:r>
      <w:r>
        <w:t>use</w:t>
      </w:r>
      <w:r>
        <w:rPr>
          <w:spacing w:val="-3"/>
        </w:rPr>
        <w:t xml:space="preserve"> </w:t>
      </w:r>
      <w:r>
        <w:t>during</w:t>
      </w:r>
      <w:r>
        <w:rPr>
          <w:spacing w:val="-2"/>
        </w:rPr>
        <w:t xml:space="preserve"> </w:t>
      </w:r>
      <w:r>
        <w:t>pregnancy.</w:t>
      </w:r>
      <w:r>
        <w:rPr>
          <w:spacing w:val="-4"/>
        </w:rPr>
        <w:t xml:space="preserve"> </w:t>
      </w:r>
      <w:r>
        <w:t>Advise</w:t>
      </w:r>
      <w:r>
        <w:rPr>
          <w:spacing w:val="-4"/>
        </w:rPr>
        <w:t xml:space="preserve"> </w:t>
      </w:r>
      <w:r>
        <w:t>females</w:t>
      </w:r>
      <w:r>
        <w:rPr>
          <w:spacing w:val="-3"/>
        </w:rPr>
        <w:t xml:space="preserve"> </w:t>
      </w:r>
      <w:r>
        <w:t>of</w:t>
      </w:r>
      <w:r>
        <w:rPr>
          <w:spacing w:val="-4"/>
        </w:rPr>
        <w:t xml:space="preserve"> </w:t>
      </w:r>
      <w:r>
        <w:t>reproductive</w:t>
      </w:r>
      <w:r>
        <w:rPr>
          <w:spacing w:val="-2"/>
        </w:rPr>
        <w:t xml:space="preserve"> </w:t>
      </w:r>
      <w:r>
        <w:t>potential</w:t>
      </w:r>
      <w:r>
        <w:rPr>
          <w:spacing w:val="-2"/>
        </w:rPr>
        <w:t xml:space="preserve"> </w:t>
      </w:r>
      <w:r>
        <w:t>to</w:t>
      </w:r>
      <w:r>
        <w:rPr>
          <w:spacing w:val="-1"/>
        </w:rPr>
        <w:t xml:space="preserve"> </w:t>
      </w:r>
      <w:r>
        <w:t>use</w:t>
      </w:r>
      <w:r>
        <w:rPr>
          <w:spacing w:val="-4"/>
        </w:rPr>
        <w:t xml:space="preserve"> </w:t>
      </w:r>
      <w:r>
        <w:t xml:space="preserve">highly effective contraception during therapy, and for at least 5 months after the last dose of </w:t>
      </w:r>
      <w:proofErr w:type="spellStart"/>
      <w:r>
        <w:t>DOSTIVA</w:t>
      </w:r>
      <w:proofErr w:type="spellEnd"/>
      <w:r>
        <w:t xml:space="preserve">. Any effects of </w:t>
      </w:r>
      <w:proofErr w:type="spellStart"/>
      <w:r>
        <w:t>DOSTIVA</w:t>
      </w:r>
      <w:proofErr w:type="spellEnd"/>
      <w:r>
        <w:t xml:space="preserve"> are likely to be greater during the second and third trimesters of pregnancy since monoclonal antibodies</w:t>
      </w:r>
      <w:r>
        <w:rPr>
          <w:spacing w:val="-13"/>
        </w:rPr>
        <w:t xml:space="preserve"> </w:t>
      </w:r>
      <w:r>
        <w:t>are</w:t>
      </w:r>
      <w:r>
        <w:rPr>
          <w:spacing w:val="-12"/>
        </w:rPr>
        <w:t xml:space="preserve"> </w:t>
      </w:r>
      <w:r>
        <w:t>transported</w:t>
      </w:r>
      <w:r>
        <w:rPr>
          <w:spacing w:val="-13"/>
        </w:rPr>
        <w:t xml:space="preserve"> </w:t>
      </w:r>
      <w:r>
        <w:t>across</w:t>
      </w:r>
      <w:r>
        <w:rPr>
          <w:spacing w:val="-12"/>
        </w:rPr>
        <w:t xml:space="preserve"> </w:t>
      </w:r>
      <w:r>
        <w:t>the</w:t>
      </w:r>
      <w:r>
        <w:rPr>
          <w:spacing w:val="-13"/>
        </w:rPr>
        <w:t xml:space="preserve"> </w:t>
      </w:r>
      <w:r>
        <w:t>placenta</w:t>
      </w:r>
      <w:r>
        <w:rPr>
          <w:spacing w:val="-12"/>
        </w:rPr>
        <w:t xml:space="preserve"> </w:t>
      </w:r>
      <w:r>
        <w:t>in</w:t>
      </w:r>
      <w:r>
        <w:rPr>
          <w:spacing w:val="-13"/>
        </w:rPr>
        <w:t xml:space="preserve"> </w:t>
      </w:r>
      <w:r>
        <w:t>a</w:t>
      </w:r>
      <w:r>
        <w:rPr>
          <w:spacing w:val="-12"/>
        </w:rPr>
        <w:t xml:space="preserve"> </w:t>
      </w:r>
      <w:r>
        <w:t>linear</w:t>
      </w:r>
      <w:r>
        <w:rPr>
          <w:spacing w:val="-12"/>
        </w:rPr>
        <w:t xml:space="preserve"> </w:t>
      </w:r>
      <w:r>
        <w:t>fashion</w:t>
      </w:r>
      <w:r>
        <w:rPr>
          <w:spacing w:val="-11"/>
        </w:rPr>
        <w:t xml:space="preserve"> </w:t>
      </w:r>
      <w:r>
        <w:t>as</w:t>
      </w:r>
      <w:r>
        <w:rPr>
          <w:spacing w:val="-1"/>
        </w:rPr>
        <w:t xml:space="preserve"> </w:t>
      </w:r>
      <w:r>
        <w:t>pregnancy</w:t>
      </w:r>
      <w:r>
        <w:rPr>
          <w:spacing w:val="-2"/>
        </w:rPr>
        <w:t xml:space="preserve"> </w:t>
      </w:r>
      <w:r>
        <w:t>progresses,</w:t>
      </w:r>
      <w:r>
        <w:rPr>
          <w:spacing w:val="-1"/>
        </w:rPr>
        <w:t xml:space="preserve"> </w:t>
      </w:r>
      <w:r>
        <w:t>with</w:t>
      </w:r>
      <w:r>
        <w:rPr>
          <w:spacing w:val="-2"/>
        </w:rPr>
        <w:t xml:space="preserve"> </w:t>
      </w:r>
      <w:r>
        <w:t>the</w:t>
      </w:r>
      <w:r>
        <w:rPr>
          <w:spacing w:val="-2"/>
        </w:rPr>
        <w:t xml:space="preserve"> </w:t>
      </w:r>
      <w:r>
        <w:t>largest amount</w:t>
      </w:r>
      <w:r>
        <w:rPr>
          <w:spacing w:val="-1"/>
        </w:rPr>
        <w:t xml:space="preserve"> </w:t>
      </w:r>
      <w:r>
        <w:t>transferred</w:t>
      </w:r>
      <w:r>
        <w:rPr>
          <w:spacing w:val="-4"/>
        </w:rPr>
        <w:t xml:space="preserve"> </w:t>
      </w:r>
      <w:r>
        <w:t>during</w:t>
      </w:r>
      <w:r>
        <w:rPr>
          <w:spacing w:val="-2"/>
        </w:rPr>
        <w:t xml:space="preserve"> </w:t>
      </w:r>
      <w:r>
        <w:t>the</w:t>
      </w:r>
      <w:r>
        <w:rPr>
          <w:spacing w:val="-1"/>
        </w:rPr>
        <w:t xml:space="preserve"> </w:t>
      </w:r>
      <w:r>
        <w:t>third</w:t>
      </w:r>
      <w:r>
        <w:rPr>
          <w:spacing w:val="-4"/>
        </w:rPr>
        <w:t xml:space="preserve"> </w:t>
      </w:r>
      <w:r>
        <w:t>trimester.</w:t>
      </w:r>
      <w:r>
        <w:rPr>
          <w:spacing w:val="38"/>
        </w:rPr>
        <w:t xml:space="preserve"> </w:t>
      </w:r>
      <w:r>
        <w:t>Inform</w:t>
      </w:r>
      <w:r>
        <w:rPr>
          <w:spacing w:val="-3"/>
        </w:rPr>
        <w:t xml:space="preserve"> </w:t>
      </w:r>
      <w:r>
        <w:t>the</w:t>
      </w:r>
      <w:r>
        <w:rPr>
          <w:spacing w:val="-1"/>
        </w:rPr>
        <w:t xml:space="preserve"> </w:t>
      </w:r>
      <w:r>
        <w:t>patient</w:t>
      </w:r>
      <w:r>
        <w:rPr>
          <w:spacing w:val="-11"/>
        </w:rPr>
        <w:t xml:space="preserve"> </w:t>
      </w:r>
      <w:r>
        <w:t>of</w:t>
      </w:r>
      <w:r>
        <w:rPr>
          <w:spacing w:val="-8"/>
        </w:rPr>
        <w:t xml:space="preserve"> </w:t>
      </w:r>
      <w:r>
        <w:t>the</w:t>
      </w:r>
      <w:r>
        <w:rPr>
          <w:spacing w:val="-10"/>
        </w:rPr>
        <w:t xml:space="preserve"> </w:t>
      </w:r>
      <w:r>
        <w:t>potential</w:t>
      </w:r>
      <w:r>
        <w:rPr>
          <w:spacing w:val="-8"/>
        </w:rPr>
        <w:t xml:space="preserve"> </w:t>
      </w:r>
      <w:r>
        <w:t>hazard</w:t>
      </w:r>
      <w:r>
        <w:rPr>
          <w:spacing w:val="-9"/>
        </w:rPr>
        <w:t xml:space="preserve"> </w:t>
      </w:r>
      <w:r>
        <w:t>to</w:t>
      </w:r>
      <w:r>
        <w:rPr>
          <w:spacing w:val="-7"/>
        </w:rPr>
        <w:t xml:space="preserve"> </w:t>
      </w:r>
      <w:r>
        <w:t>a</w:t>
      </w:r>
      <w:r>
        <w:rPr>
          <w:spacing w:val="-11"/>
        </w:rPr>
        <w:t xml:space="preserve"> </w:t>
      </w:r>
      <w:proofErr w:type="spellStart"/>
      <w:r>
        <w:t>foetus</w:t>
      </w:r>
      <w:proofErr w:type="spellEnd"/>
      <w:r>
        <w:rPr>
          <w:spacing w:val="-8"/>
        </w:rPr>
        <w:t xml:space="preserve"> </w:t>
      </w:r>
      <w:r>
        <w:t>if</w:t>
      </w:r>
      <w:r>
        <w:rPr>
          <w:spacing w:val="-10"/>
        </w:rPr>
        <w:t xml:space="preserve"> </w:t>
      </w:r>
      <w:r>
        <w:t xml:space="preserve">the patient becomes pregnant while exposed to </w:t>
      </w:r>
      <w:proofErr w:type="spellStart"/>
      <w:r>
        <w:t>DOSTIVA</w:t>
      </w:r>
      <w:proofErr w:type="spellEnd"/>
      <w:r>
        <w:t>.</w:t>
      </w:r>
    </w:p>
    <w:p w14:paraId="64C9392E" w14:textId="77777777" w:rsidR="00320262" w:rsidRDefault="00320262">
      <w:pPr>
        <w:pStyle w:val="BodyText"/>
        <w:spacing w:before="41" w:line="360" w:lineRule="auto"/>
        <w:ind w:right="179"/>
        <w:jc w:val="both"/>
      </w:pPr>
    </w:p>
    <w:p w14:paraId="6837DFF6" w14:textId="7E5382AE" w:rsidR="00AE135B" w:rsidRDefault="00EE5424">
      <w:pPr>
        <w:pStyle w:val="BodyText"/>
        <w:spacing w:before="41" w:line="360" w:lineRule="auto"/>
        <w:ind w:right="179"/>
        <w:jc w:val="both"/>
      </w:pPr>
      <w:r>
        <w:t xml:space="preserve">Developmental toxicity studies have been performed with denosumab in cynomolgus monkeys and have shown serious adverse effects on development (including </w:t>
      </w:r>
      <w:proofErr w:type="spellStart"/>
      <w:r>
        <w:t>foetal</w:t>
      </w:r>
      <w:proofErr w:type="spellEnd"/>
      <w:r>
        <w:t xml:space="preserve"> and infant lethality). Denosumab was shown to cross the placenta in monkeys.</w:t>
      </w:r>
    </w:p>
    <w:p w14:paraId="4297DB06" w14:textId="77777777" w:rsidR="00AE135B" w:rsidRDefault="00EE5424">
      <w:pPr>
        <w:pStyle w:val="BodyText"/>
        <w:spacing w:before="121" w:line="360" w:lineRule="auto"/>
        <w:ind w:right="173"/>
        <w:jc w:val="both"/>
      </w:pPr>
      <w:r>
        <w:t>In</w:t>
      </w:r>
      <w:r>
        <w:rPr>
          <w:spacing w:val="-13"/>
        </w:rPr>
        <w:t xml:space="preserve"> </w:t>
      </w:r>
      <w:r>
        <w:t>a</w:t>
      </w:r>
      <w:r>
        <w:rPr>
          <w:spacing w:val="-12"/>
        </w:rPr>
        <w:t xml:space="preserve"> </w:t>
      </w:r>
      <w:r>
        <w:t>study</w:t>
      </w:r>
      <w:r>
        <w:rPr>
          <w:spacing w:val="-13"/>
        </w:rPr>
        <w:t xml:space="preserve"> </w:t>
      </w:r>
      <w:r>
        <w:t>of</w:t>
      </w:r>
      <w:r>
        <w:rPr>
          <w:spacing w:val="-12"/>
        </w:rPr>
        <w:t xml:space="preserve"> </w:t>
      </w:r>
      <w:r>
        <w:t>cynomolgus</w:t>
      </w:r>
      <w:r>
        <w:rPr>
          <w:spacing w:val="-13"/>
        </w:rPr>
        <w:t xml:space="preserve"> </w:t>
      </w:r>
      <w:r>
        <w:t>monkeys</w:t>
      </w:r>
      <w:r>
        <w:rPr>
          <w:spacing w:val="-12"/>
        </w:rPr>
        <w:t xml:space="preserve"> </w:t>
      </w:r>
      <w:r>
        <w:t>with</w:t>
      </w:r>
      <w:r>
        <w:rPr>
          <w:spacing w:val="-13"/>
        </w:rPr>
        <w:t xml:space="preserve"> </w:t>
      </w:r>
      <w:r>
        <w:t>denosumab</w:t>
      </w:r>
      <w:r>
        <w:rPr>
          <w:spacing w:val="-12"/>
        </w:rPr>
        <w:t xml:space="preserve"> </w:t>
      </w:r>
      <w:r>
        <w:t>at</w:t>
      </w:r>
      <w:r>
        <w:rPr>
          <w:spacing w:val="-12"/>
        </w:rPr>
        <w:t xml:space="preserve"> </w:t>
      </w:r>
      <w:r>
        <w:t>12.5</w:t>
      </w:r>
      <w:r>
        <w:rPr>
          <w:spacing w:val="-13"/>
        </w:rPr>
        <w:t xml:space="preserve"> </w:t>
      </w:r>
      <w:r>
        <w:t>mg/kg/week</w:t>
      </w:r>
      <w:r>
        <w:rPr>
          <w:spacing w:val="-12"/>
        </w:rPr>
        <w:t xml:space="preserve"> </w:t>
      </w:r>
      <w:r>
        <w:t>given</w:t>
      </w:r>
      <w:r>
        <w:rPr>
          <w:spacing w:val="-13"/>
        </w:rPr>
        <w:t xml:space="preserve"> </w:t>
      </w:r>
      <w:r>
        <w:t>during</w:t>
      </w:r>
      <w:r>
        <w:rPr>
          <w:spacing w:val="-12"/>
        </w:rPr>
        <w:t xml:space="preserve"> </w:t>
      </w:r>
      <w:r>
        <w:t>the</w:t>
      </w:r>
      <w:r>
        <w:rPr>
          <w:spacing w:val="-13"/>
        </w:rPr>
        <w:t xml:space="preserve"> </w:t>
      </w:r>
      <w:r>
        <w:t>period</w:t>
      </w:r>
      <w:r>
        <w:rPr>
          <w:spacing w:val="-12"/>
        </w:rPr>
        <w:t xml:space="preserve"> </w:t>
      </w:r>
      <w:r>
        <w:t>equivalent to</w:t>
      </w:r>
      <w:r>
        <w:rPr>
          <w:spacing w:val="-4"/>
        </w:rPr>
        <w:t xml:space="preserve"> </w:t>
      </w:r>
      <w:r>
        <w:t>the</w:t>
      </w:r>
      <w:r>
        <w:rPr>
          <w:spacing w:val="-6"/>
        </w:rPr>
        <w:t xml:space="preserve"> </w:t>
      </w:r>
      <w:r>
        <w:t>first</w:t>
      </w:r>
      <w:r>
        <w:rPr>
          <w:spacing w:val="-5"/>
        </w:rPr>
        <w:t xml:space="preserve"> </w:t>
      </w:r>
      <w:r>
        <w:t>trimester at AUC</w:t>
      </w:r>
      <w:r>
        <w:rPr>
          <w:spacing w:val="-1"/>
        </w:rPr>
        <w:t xml:space="preserve"> </w:t>
      </w:r>
      <w:r>
        <w:t>exposures up</w:t>
      </w:r>
      <w:r>
        <w:rPr>
          <w:spacing w:val="-6"/>
        </w:rPr>
        <w:t xml:space="preserve"> </w:t>
      </w:r>
      <w:r>
        <w:t>to</w:t>
      </w:r>
      <w:r>
        <w:rPr>
          <w:spacing w:val="-4"/>
        </w:rPr>
        <w:t xml:space="preserve"> </w:t>
      </w:r>
      <w:r>
        <w:t>10-fold</w:t>
      </w:r>
      <w:r>
        <w:rPr>
          <w:spacing w:val="-1"/>
        </w:rPr>
        <w:t xml:space="preserve"> </w:t>
      </w:r>
      <w:r>
        <w:t>higher</w:t>
      </w:r>
      <w:r>
        <w:rPr>
          <w:spacing w:val="-3"/>
        </w:rPr>
        <w:t xml:space="preserve"> </w:t>
      </w:r>
      <w:r>
        <w:t>than</w:t>
      </w:r>
      <w:r>
        <w:rPr>
          <w:spacing w:val="-4"/>
        </w:rPr>
        <w:t xml:space="preserve"> </w:t>
      </w:r>
      <w:r>
        <w:t>the</w:t>
      </w:r>
      <w:r>
        <w:rPr>
          <w:spacing w:val="-3"/>
        </w:rPr>
        <w:t xml:space="preserve"> </w:t>
      </w:r>
      <w:r>
        <w:t>human</w:t>
      </w:r>
      <w:r>
        <w:rPr>
          <w:spacing w:val="-2"/>
        </w:rPr>
        <w:t xml:space="preserve"> </w:t>
      </w:r>
      <w:r>
        <w:t>dose</w:t>
      </w:r>
      <w:r>
        <w:rPr>
          <w:spacing w:val="-2"/>
        </w:rPr>
        <w:t xml:space="preserve"> </w:t>
      </w:r>
      <w:r>
        <w:t>(120</w:t>
      </w:r>
      <w:r>
        <w:rPr>
          <w:spacing w:val="-2"/>
        </w:rPr>
        <w:t xml:space="preserve"> </w:t>
      </w:r>
      <w:r>
        <w:t>mg</w:t>
      </w:r>
      <w:r>
        <w:rPr>
          <w:spacing w:val="-4"/>
        </w:rPr>
        <w:t xml:space="preserve"> </w:t>
      </w:r>
      <w:r>
        <w:t>every</w:t>
      </w:r>
      <w:r>
        <w:rPr>
          <w:spacing w:val="-2"/>
        </w:rPr>
        <w:t xml:space="preserve"> </w:t>
      </w:r>
      <w:r>
        <w:t xml:space="preserve">4 weeks), there was no evidence of maternal or </w:t>
      </w:r>
      <w:proofErr w:type="spellStart"/>
      <w:r>
        <w:t>foetal</w:t>
      </w:r>
      <w:proofErr w:type="spellEnd"/>
      <w:r>
        <w:t xml:space="preserve"> harm.</w:t>
      </w:r>
      <w:r>
        <w:rPr>
          <w:spacing w:val="40"/>
        </w:rPr>
        <w:t xml:space="preserve"> </w:t>
      </w:r>
      <w:r>
        <w:t xml:space="preserve">In this study, </w:t>
      </w:r>
      <w:proofErr w:type="spellStart"/>
      <w:r>
        <w:t>foetal</w:t>
      </w:r>
      <w:proofErr w:type="spellEnd"/>
      <w:r>
        <w:t xml:space="preserve"> lymph nodes were not examined.</w:t>
      </w:r>
    </w:p>
    <w:p w14:paraId="56BA5C48" w14:textId="77777777" w:rsidR="00AE135B" w:rsidRDefault="00EE5424">
      <w:pPr>
        <w:pStyle w:val="BodyText"/>
        <w:spacing w:before="42" w:line="360" w:lineRule="auto"/>
        <w:ind w:right="165"/>
        <w:jc w:val="both"/>
      </w:pPr>
      <w:r>
        <w:t>In another study of cynomolgus monkeys with denosumab throughout pregnancy at 50 mg/kg/month, yielding</w:t>
      </w:r>
      <w:r>
        <w:rPr>
          <w:spacing w:val="-5"/>
        </w:rPr>
        <w:t xml:space="preserve"> </w:t>
      </w:r>
      <w:r>
        <w:t>AUC</w:t>
      </w:r>
      <w:r>
        <w:rPr>
          <w:spacing w:val="-8"/>
        </w:rPr>
        <w:t xml:space="preserve"> </w:t>
      </w:r>
      <w:r>
        <w:t>exposures</w:t>
      </w:r>
      <w:r>
        <w:rPr>
          <w:spacing w:val="-9"/>
        </w:rPr>
        <w:t xml:space="preserve"> </w:t>
      </w:r>
      <w:r>
        <w:t>12-fold</w:t>
      </w:r>
      <w:r>
        <w:rPr>
          <w:spacing w:val="-9"/>
        </w:rPr>
        <w:t xml:space="preserve"> </w:t>
      </w:r>
      <w:r>
        <w:t>higher</w:t>
      </w:r>
      <w:r>
        <w:rPr>
          <w:spacing w:val="-5"/>
        </w:rPr>
        <w:t xml:space="preserve"> </w:t>
      </w:r>
      <w:r>
        <w:t>than</w:t>
      </w:r>
      <w:r>
        <w:rPr>
          <w:spacing w:val="-9"/>
        </w:rPr>
        <w:t xml:space="preserve"> </w:t>
      </w:r>
      <w:r>
        <w:t>the</w:t>
      </w:r>
      <w:r>
        <w:rPr>
          <w:spacing w:val="-6"/>
        </w:rPr>
        <w:t xml:space="preserve"> </w:t>
      </w:r>
      <w:r>
        <w:t>human</w:t>
      </w:r>
      <w:r>
        <w:rPr>
          <w:spacing w:val="-11"/>
        </w:rPr>
        <w:t xml:space="preserve"> </w:t>
      </w:r>
      <w:r>
        <w:t>dose</w:t>
      </w:r>
      <w:r>
        <w:rPr>
          <w:spacing w:val="-7"/>
        </w:rPr>
        <w:t xml:space="preserve"> </w:t>
      </w:r>
      <w:r>
        <w:t>(120</w:t>
      </w:r>
      <w:r>
        <w:rPr>
          <w:spacing w:val="-4"/>
        </w:rPr>
        <w:t xml:space="preserve"> </w:t>
      </w:r>
      <w:r>
        <w:t>mg</w:t>
      </w:r>
      <w:r>
        <w:rPr>
          <w:spacing w:val="-9"/>
        </w:rPr>
        <w:t xml:space="preserve"> </w:t>
      </w:r>
      <w:r>
        <w:t>every</w:t>
      </w:r>
      <w:r>
        <w:rPr>
          <w:spacing w:val="-7"/>
        </w:rPr>
        <w:t xml:space="preserve"> </w:t>
      </w:r>
      <w:r>
        <w:t>4</w:t>
      </w:r>
      <w:r>
        <w:rPr>
          <w:spacing w:val="-7"/>
        </w:rPr>
        <w:t xml:space="preserve"> </w:t>
      </w:r>
      <w:r>
        <w:t>weeks),</w:t>
      </w:r>
      <w:r>
        <w:rPr>
          <w:spacing w:val="-5"/>
        </w:rPr>
        <w:t xml:space="preserve"> </w:t>
      </w:r>
      <w:r>
        <w:t>there</w:t>
      </w:r>
      <w:r>
        <w:rPr>
          <w:spacing w:val="-8"/>
        </w:rPr>
        <w:t xml:space="preserve"> </w:t>
      </w:r>
      <w:r>
        <w:t>were</w:t>
      </w:r>
      <w:r>
        <w:rPr>
          <w:spacing w:val="-7"/>
        </w:rPr>
        <w:t xml:space="preserve"> </w:t>
      </w:r>
      <w:r>
        <w:t xml:space="preserve">increased stillbirths and postnatal mortality; abnormal bone growth resulting in reduced bone strength, almost complete obliteration of bone marrow spaces (leading to reduced </w:t>
      </w:r>
      <w:proofErr w:type="spellStart"/>
      <w:r>
        <w:t>haematopoiesis</w:t>
      </w:r>
      <w:proofErr w:type="spellEnd"/>
      <w:r>
        <w:t>), and tooth malalignment,</w:t>
      </w:r>
      <w:r>
        <w:rPr>
          <w:spacing w:val="-5"/>
        </w:rPr>
        <w:t xml:space="preserve"> </w:t>
      </w:r>
      <w:r>
        <w:t>dental</w:t>
      </w:r>
      <w:r>
        <w:rPr>
          <w:spacing w:val="-6"/>
        </w:rPr>
        <w:t xml:space="preserve"> </w:t>
      </w:r>
      <w:r>
        <w:t>dysplasia</w:t>
      </w:r>
      <w:r>
        <w:rPr>
          <w:spacing w:val="-6"/>
        </w:rPr>
        <w:t xml:space="preserve"> </w:t>
      </w:r>
      <w:r>
        <w:t>and</w:t>
      </w:r>
      <w:r>
        <w:rPr>
          <w:spacing w:val="-6"/>
        </w:rPr>
        <w:t xml:space="preserve"> </w:t>
      </w:r>
      <w:r>
        <w:t>shortened/straighter dental</w:t>
      </w:r>
      <w:r>
        <w:rPr>
          <w:spacing w:val="-9"/>
        </w:rPr>
        <w:t xml:space="preserve"> </w:t>
      </w:r>
      <w:r>
        <w:t>arch</w:t>
      </w:r>
      <w:r>
        <w:rPr>
          <w:spacing w:val="-9"/>
        </w:rPr>
        <w:t xml:space="preserve"> </w:t>
      </w:r>
      <w:r>
        <w:t>(although</w:t>
      </w:r>
      <w:r>
        <w:rPr>
          <w:spacing w:val="-5"/>
        </w:rPr>
        <w:t xml:space="preserve"> </w:t>
      </w:r>
      <w:r>
        <w:t>no</w:t>
      </w:r>
      <w:r>
        <w:rPr>
          <w:spacing w:val="-4"/>
        </w:rPr>
        <w:t xml:space="preserve"> </w:t>
      </w:r>
      <w:r>
        <w:t>effect</w:t>
      </w:r>
      <w:r>
        <w:rPr>
          <w:spacing w:val="-7"/>
        </w:rPr>
        <w:t xml:space="preserve"> </w:t>
      </w:r>
      <w:r>
        <w:t>on</w:t>
      </w:r>
      <w:r>
        <w:rPr>
          <w:spacing w:val="-9"/>
        </w:rPr>
        <w:t xml:space="preserve"> </w:t>
      </w:r>
      <w:r>
        <w:t>the</w:t>
      </w:r>
      <w:r>
        <w:rPr>
          <w:spacing w:val="-8"/>
        </w:rPr>
        <w:t xml:space="preserve"> </w:t>
      </w:r>
      <w:r>
        <w:t>pattern</w:t>
      </w:r>
      <w:r>
        <w:rPr>
          <w:spacing w:val="-8"/>
        </w:rPr>
        <w:t xml:space="preserve"> </w:t>
      </w:r>
      <w:r>
        <w:t xml:space="preserve">or date of tooth eruption); altered appearance of eyes (increased apparent size, exophthalmos); absence of peripheral lymph nodes; and decreased neonatal growth. Following a </w:t>
      </w:r>
      <w:proofErr w:type="gramStart"/>
      <w:r>
        <w:t>6 month</w:t>
      </w:r>
      <w:proofErr w:type="gramEnd"/>
      <w:r>
        <w:t xml:space="preserve"> period after birth, bone-related</w:t>
      </w:r>
      <w:r>
        <w:rPr>
          <w:spacing w:val="-7"/>
        </w:rPr>
        <w:t xml:space="preserve"> </w:t>
      </w:r>
      <w:r>
        <w:t>changes</w:t>
      </w:r>
      <w:r>
        <w:rPr>
          <w:spacing w:val="-7"/>
        </w:rPr>
        <w:t xml:space="preserve"> </w:t>
      </w:r>
      <w:r>
        <w:t>showed</w:t>
      </w:r>
      <w:r>
        <w:rPr>
          <w:spacing w:val="-8"/>
        </w:rPr>
        <w:t xml:space="preserve"> </w:t>
      </w:r>
      <w:r>
        <w:t>incomplete</w:t>
      </w:r>
      <w:r>
        <w:rPr>
          <w:spacing w:val="-7"/>
        </w:rPr>
        <w:t xml:space="preserve"> </w:t>
      </w:r>
      <w:r>
        <w:t>recovery.</w:t>
      </w:r>
      <w:r>
        <w:rPr>
          <w:spacing w:val="-8"/>
        </w:rPr>
        <w:t xml:space="preserve"> </w:t>
      </w:r>
      <w:r>
        <w:t>The</w:t>
      </w:r>
      <w:r>
        <w:rPr>
          <w:spacing w:val="-8"/>
        </w:rPr>
        <w:t xml:space="preserve"> </w:t>
      </w:r>
      <w:r>
        <w:t>effects</w:t>
      </w:r>
      <w:r>
        <w:rPr>
          <w:spacing w:val="-10"/>
        </w:rPr>
        <w:t xml:space="preserve"> </w:t>
      </w:r>
      <w:r>
        <w:t>on</w:t>
      </w:r>
      <w:r>
        <w:rPr>
          <w:spacing w:val="-6"/>
        </w:rPr>
        <w:t xml:space="preserve"> </w:t>
      </w:r>
      <w:r>
        <w:t>lymph</w:t>
      </w:r>
      <w:r>
        <w:rPr>
          <w:spacing w:val="-6"/>
        </w:rPr>
        <w:t xml:space="preserve"> </w:t>
      </w:r>
      <w:r>
        <w:t>nodes,</w:t>
      </w:r>
      <w:r>
        <w:rPr>
          <w:spacing w:val="-10"/>
        </w:rPr>
        <w:t xml:space="preserve"> </w:t>
      </w:r>
      <w:r>
        <w:t>tooth</w:t>
      </w:r>
      <w:r>
        <w:rPr>
          <w:spacing w:val="-10"/>
        </w:rPr>
        <w:t xml:space="preserve"> </w:t>
      </w:r>
      <w:r>
        <w:t>malalignment</w:t>
      </w:r>
      <w:r>
        <w:rPr>
          <w:spacing w:val="-7"/>
        </w:rPr>
        <w:t xml:space="preserve"> </w:t>
      </w:r>
      <w:r>
        <w:t>and</w:t>
      </w:r>
      <w:r>
        <w:rPr>
          <w:spacing w:val="-6"/>
        </w:rPr>
        <w:t xml:space="preserve"> </w:t>
      </w:r>
      <w:r>
        <w:t xml:space="preserve">dental dysplasia persisted, and minimal to moderate </w:t>
      </w:r>
      <w:proofErr w:type="spellStart"/>
      <w:r>
        <w:t>mineralisation</w:t>
      </w:r>
      <w:proofErr w:type="spellEnd"/>
      <w:r>
        <w:t xml:space="preserve"> in multiple tissues was seen in one animal. There was no evidence of maternal harm prior to </w:t>
      </w:r>
      <w:proofErr w:type="spellStart"/>
      <w:r>
        <w:t>labour</w:t>
      </w:r>
      <w:proofErr w:type="spellEnd"/>
      <w:r>
        <w:t>; adverse maternal effects occurred infrequently during</w:t>
      </w:r>
      <w:r>
        <w:rPr>
          <w:spacing w:val="-6"/>
        </w:rPr>
        <w:t xml:space="preserve"> </w:t>
      </w:r>
      <w:proofErr w:type="spellStart"/>
      <w:r>
        <w:t>labour</w:t>
      </w:r>
      <w:proofErr w:type="spellEnd"/>
      <w:r>
        <w:t>.</w:t>
      </w:r>
      <w:r>
        <w:rPr>
          <w:spacing w:val="-7"/>
        </w:rPr>
        <w:t xml:space="preserve"> </w:t>
      </w:r>
      <w:r>
        <w:t>Maternal</w:t>
      </w:r>
      <w:r>
        <w:rPr>
          <w:spacing w:val="-8"/>
        </w:rPr>
        <w:t xml:space="preserve"> </w:t>
      </w:r>
      <w:r>
        <w:t>mammary</w:t>
      </w:r>
      <w:r>
        <w:rPr>
          <w:spacing w:val="-6"/>
        </w:rPr>
        <w:t xml:space="preserve"> </w:t>
      </w:r>
      <w:r>
        <w:t>gland</w:t>
      </w:r>
      <w:r>
        <w:rPr>
          <w:spacing w:val="-7"/>
        </w:rPr>
        <w:t xml:space="preserve"> </w:t>
      </w:r>
      <w:r>
        <w:t>development</w:t>
      </w:r>
      <w:r>
        <w:rPr>
          <w:spacing w:val="-8"/>
        </w:rPr>
        <w:t xml:space="preserve"> </w:t>
      </w:r>
      <w:r>
        <w:t>was</w:t>
      </w:r>
      <w:r>
        <w:rPr>
          <w:spacing w:val="-5"/>
        </w:rPr>
        <w:t xml:space="preserve"> </w:t>
      </w:r>
      <w:r>
        <w:t>normal.</w:t>
      </w:r>
      <w:r>
        <w:rPr>
          <w:spacing w:val="-7"/>
        </w:rPr>
        <w:t xml:space="preserve"> </w:t>
      </w:r>
      <w:r>
        <w:t>A</w:t>
      </w:r>
      <w:r>
        <w:rPr>
          <w:spacing w:val="-6"/>
        </w:rPr>
        <w:t xml:space="preserve"> </w:t>
      </w:r>
      <w:r>
        <w:t>no</w:t>
      </w:r>
      <w:r>
        <w:rPr>
          <w:spacing w:val="-6"/>
        </w:rPr>
        <w:t xml:space="preserve"> </w:t>
      </w:r>
      <w:r>
        <w:t>observed</w:t>
      </w:r>
      <w:r>
        <w:rPr>
          <w:spacing w:val="-6"/>
        </w:rPr>
        <w:t xml:space="preserve"> </w:t>
      </w:r>
      <w:r>
        <w:t>adverse</w:t>
      </w:r>
      <w:r>
        <w:rPr>
          <w:spacing w:val="-6"/>
        </w:rPr>
        <w:t xml:space="preserve"> </w:t>
      </w:r>
      <w:r>
        <w:t>effect</w:t>
      </w:r>
      <w:r>
        <w:rPr>
          <w:spacing w:val="-6"/>
        </w:rPr>
        <w:t xml:space="preserve"> </w:t>
      </w:r>
      <w:r>
        <w:t>level</w:t>
      </w:r>
      <w:r>
        <w:rPr>
          <w:spacing w:val="-6"/>
        </w:rPr>
        <w:t xml:space="preserve"> </w:t>
      </w:r>
      <w:r>
        <w:t>has not been</w:t>
      </w:r>
      <w:r>
        <w:rPr>
          <w:spacing w:val="40"/>
        </w:rPr>
        <w:t xml:space="preserve"> </w:t>
      </w:r>
      <w:r>
        <w:t xml:space="preserve">established in animal </w:t>
      </w:r>
      <w:proofErr w:type="gramStart"/>
      <w:r>
        <w:t>studies</w:t>
      </w:r>
      <w:proofErr w:type="gramEnd"/>
      <w:r>
        <w:t xml:space="preserve"> and the findings are attributable to the primary pharmacological activity of denosumab.</w:t>
      </w:r>
    </w:p>
    <w:p w14:paraId="46730D99" w14:textId="77777777" w:rsidR="00AE135B" w:rsidRDefault="00EE5424">
      <w:pPr>
        <w:pStyle w:val="BodyText"/>
        <w:spacing w:before="121" w:line="360" w:lineRule="auto"/>
        <w:ind w:right="171"/>
        <w:jc w:val="both"/>
      </w:pPr>
      <w:r>
        <w:t xml:space="preserve">Preclinical studies in RANK/RANKL-knockout mice suggest absence of RANKL could interfere with the development of lymph nodes in the </w:t>
      </w:r>
      <w:proofErr w:type="spellStart"/>
      <w:r>
        <w:t>foetus</w:t>
      </w:r>
      <w:proofErr w:type="spellEnd"/>
      <w:r>
        <w:t>.</w:t>
      </w:r>
      <w:r>
        <w:rPr>
          <w:spacing w:val="40"/>
        </w:rPr>
        <w:t xml:space="preserve"> </w:t>
      </w:r>
      <w:r>
        <w:t>Knockout mice lacking RANK or RANKL also exhibited decreased body weight, reduced bone growth and a lack of tooth eruption.</w:t>
      </w:r>
      <w:r>
        <w:rPr>
          <w:spacing w:val="40"/>
        </w:rPr>
        <w:t xml:space="preserve"> </w:t>
      </w:r>
      <w:r>
        <w:t>Similar phenotypic changes (inhibition</w:t>
      </w:r>
      <w:r>
        <w:rPr>
          <w:spacing w:val="-3"/>
        </w:rPr>
        <w:t xml:space="preserve"> </w:t>
      </w:r>
      <w:r>
        <w:t>of</w:t>
      </w:r>
      <w:r>
        <w:rPr>
          <w:spacing w:val="-6"/>
        </w:rPr>
        <w:t xml:space="preserve"> </w:t>
      </w:r>
      <w:r>
        <w:t>bone</w:t>
      </w:r>
      <w:r>
        <w:rPr>
          <w:spacing w:val="-5"/>
        </w:rPr>
        <w:t xml:space="preserve"> </w:t>
      </w:r>
      <w:r>
        <w:t>growth</w:t>
      </w:r>
      <w:r>
        <w:rPr>
          <w:spacing w:val="-8"/>
        </w:rPr>
        <w:t xml:space="preserve"> </w:t>
      </w:r>
      <w:r>
        <w:t>and</w:t>
      </w:r>
      <w:r>
        <w:rPr>
          <w:spacing w:val="-6"/>
        </w:rPr>
        <w:t xml:space="preserve"> </w:t>
      </w:r>
      <w:r>
        <w:t>tooth</w:t>
      </w:r>
      <w:r>
        <w:rPr>
          <w:spacing w:val="-6"/>
        </w:rPr>
        <w:t xml:space="preserve"> </w:t>
      </w:r>
      <w:r>
        <w:t>eruption)</w:t>
      </w:r>
      <w:r>
        <w:rPr>
          <w:spacing w:val="-5"/>
        </w:rPr>
        <w:t xml:space="preserve"> </w:t>
      </w:r>
      <w:r>
        <w:t>were</w:t>
      </w:r>
      <w:r>
        <w:rPr>
          <w:spacing w:val="-5"/>
        </w:rPr>
        <w:t xml:space="preserve"> </w:t>
      </w:r>
      <w:r>
        <w:t>observed</w:t>
      </w:r>
      <w:r>
        <w:rPr>
          <w:spacing w:val="-6"/>
        </w:rPr>
        <w:t xml:space="preserve"> </w:t>
      </w:r>
      <w:r>
        <w:t>in</w:t>
      </w:r>
      <w:r>
        <w:rPr>
          <w:spacing w:val="-6"/>
        </w:rPr>
        <w:t xml:space="preserve"> </w:t>
      </w:r>
      <w:r>
        <w:t>a</w:t>
      </w:r>
      <w:r>
        <w:rPr>
          <w:spacing w:val="-6"/>
        </w:rPr>
        <w:t xml:space="preserve"> </w:t>
      </w:r>
      <w:r>
        <w:t>study</w:t>
      </w:r>
      <w:r>
        <w:rPr>
          <w:spacing w:val="-7"/>
        </w:rPr>
        <w:t xml:space="preserve"> </w:t>
      </w:r>
      <w:r>
        <w:t>in</w:t>
      </w:r>
      <w:r>
        <w:rPr>
          <w:spacing w:val="-6"/>
        </w:rPr>
        <w:t xml:space="preserve"> </w:t>
      </w:r>
      <w:r>
        <w:t>neonatal</w:t>
      </w:r>
      <w:r>
        <w:rPr>
          <w:spacing w:val="-5"/>
        </w:rPr>
        <w:t xml:space="preserve"> </w:t>
      </w:r>
      <w:r>
        <w:t>rats</w:t>
      </w:r>
      <w:r>
        <w:rPr>
          <w:spacing w:val="-5"/>
        </w:rPr>
        <w:t xml:space="preserve"> </w:t>
      </w:r>
      <w:r>
        <w:t>using</w:t>
      </w:r>
      <w:r>
        <w:rPr>
          <w:spacing w:val="-6"/>
        </w:rPr>
        <w:t xml:space="preserve"> </w:t>
      </w:r>
      <w:r>
        <w:t>a</w:t>
      </w:r>
      <w:r>
        <w:rPr>
          <w:spacing w:val="-6"/>
        </w:rPr>
        <w:t xml:space="preserve"> </w:t>
      </w:r>
      <w:r>
        <w:t>surrogate for denosumab, the</w:t>
      </w:r>
      <w:r>
        <w:rPr>
          <w:spacing w:val="-2"/>
        </w:rPr>
        <w:t xml:space="preserve"> </w:t>
      </w:r>
      <w:r>
        <w:t>RANKL inhibitor</w:t>
      </w:r>
      <w:r>
        <w:rPr>
          <w:spacing w:val="-1"/>
        </w:rPr>
        <w:t xml:space="preserve"> </w:t>
      </w:r>
      <w:proofErr w:type="spellStart"/>
      <w:r>
        <w:t>osteoprotegerin</w:t>
      </w:r>
      <w:proofErr w:type="spellEnd"/>
      <w:r>
        <w:rPr>
          <w:spacing w:val="-4"/>
        </w:rPr>
        <w:t xml:space="preserve"> </w:t>
      </w:r>
      <w:r>
        <w:t>bound to</w:t>
      </w:r>
      <w:r>
        <w:rPr>
          <w:spacing w:val="-1"/>
        </w:rPr>
        <w:t xml:space="preserve"> </w:t>
      </w:r>
      <w:r>
        <w:t>Fc</w:t>
      </w:r>
      <w:r>
        <w:rPr>
          <w:spacing w:val="-2"/>
        </w:rPr>
        <w:t xml:space="preserve"> </w:t>
      </w:r>
      <w:r>
        <w:t>(</w:t>
      </w:r>
      <w:proofErr w:type="spellStart"/>
      <w:r>
        <w:t>OPG</w:t>
      </w:r>
      <w:proofErr w:type="spellEnd"/>
      <w:r>
        <w:t>-Fc).</w:t>
      </w:r>
      <w:r>
        <w:rPr>
          <w:spacing w:val="40"/>
        </w:rPr>
        <w:t xml:space="preserve"> </w:t>
      </w:r>
      <w:r>
        <w:t>These changes</w:t>
      </w:r>
      <w:r>
        <w:rPr>
          <w:spacing w:val="-1"/>
        </w:rPr>
        <w:t xml:space="preserve"> </w:t>
      </w:r>
      <w:r>
        <w:t>were partially reversible when dosing of RANKL inhibitor was discontinued. Therefore, treatment with denosumab may impair bone growth in children with open growth plates and may inhibit eruption of dentition.</w:t>
      </w:r>
    </w:p>
    <w:p w14:paraId="46DD7F72" w14:textId="77777777" w:rsidR="00AE135B" w:rsidRDefault="00EE5424">
      <w:pPr>
        <w:pStyle w:val="BodyText"/>
        <w:spacing w:before="121" w:line="360" w:lineRule="auto"/>
        <w:ind w:right="179"/>
        <w:jc w:val="both"/>
      </w:pPr>
      <w:r>
        <w:lastRenderedPageBreak/>
        <w:t>Preclinical studies in RANK/RANKL-knockout mice suggest absence of RANKL during pregnancy may interfere with maturation of the mammary gland leading to impaired lactation post-partum.</w:t>
      </w:r>
    </w:p>
    <w:p w14:paraId="3A6F2297" w14:textId="77777777" w:rsidR="00AE135B" w:rsidRDefault="00AE135B">
      <w:pPr>
        <w:pStyle w:val="BodyText"/>
        <w:spacing w:before="92"/>
        <w:ind w:left="0"/>
      </w:pPr>
    </w:p>
    <w:p w14:paraId="548EBD17" w14:textId="77777777" w:rsidR="00AE135B" w:rsidRDefault="00EE5424">
      <w:pPr>
        <w:pStyle w:val="BodyText"/>
        <w:jc w:val="both"/>
      </w:pPr>
      <w:r>
        <w:rPr>
          <w:u w:val="single"/>
        </w:rPr>
        <w:t>Use</w:t>
      </w:r>
      <w:r>
        <w:rPr>
          <w:spacing w:val="-8"/>
          <w:u w:val="single"/>
        </w:rPr>
        <w:t xml:space="preserve"> </w:t>
      </w:r>
      <w:r>
        <w:rPr>
          <w:u w:val="single"/>
        </w:rPr>
        <w:t>in</w:t>
      </w:r>
      <w:r>
        <w:rPr>
          <w:spacing w:val="-5"/>
          <w:u w:val="single"/>
        </w:rPr>
        <w:t xml:space="preserve"> </w:t>
      </w:r>
      <w:r>
        <w:rPr>
          <w:spacing w:val="-2"/>
          <w:u w:val="single"/>
        </w:rPr>
        <w:t>lactation</w:t>
      </w:r>
    </w:p>
    <w:p w14:paraId="02F90B14" w14:textId="77777777" w:rsidR="00AE135B" w:rsidRDefault="00EE5424">
      <w:pPr>
        <w:pStyle w:val="BodyText"/>
        <w:spacing w:before="120" w:line="360" w:lineRule="auto"/>
        <w:ind w:right="171"/>
        <w:jc w:val="both"/>
      </w:pPr>
      <w:r>
        <w:t>It</w:t>
      </w:r>
      <w:r>
        <w:rPr>
          <w:spacing w:val="-5"/>
        </w:rPr>
        <w:t xml:space="preserve"> </w:t>
      </w:r>
      <w:r>
        <w:t>is</w:t>
      </w:r>
      <w:r>
        <w:rPr>
          <w:spacing w:val="-5"/>
        </w:rPr>
        <w:t xml:space="preserve"> </w:t>
      </w:r>
      <w:r>
        <w:t>unknown</w:t>
      </w:r>
      <w:r>
        <w:rPr>
          <w:spacing w:val="-6"/>
        </w:rPr>
        <w:t xml:space="preserve"> </w:t>
      </w:r>
      <w:r>
        <w:t>whether</w:t>
      </w:r>
      <w:r>
        <w:rPr>
          <w:spacing w:val="-6"/>
        </w:rPr>
        <w:t xml:space="preserve"> </w:t>
      </w:r>
      <w:r>
        <w:t>denosumab</w:t>
      </w:r>
      <w:r>
        <w:rPr>
          <w:spacing w:val="-7"/>
        </w:rPr>
        <w:t xml:space="preserve"> </w:t>
      </w:r>
      <w:r>
        <w:t>is</w:t>
      </w:r>
      <w:r>
        <w:rPr>
          <w:spacing w:val="-5"/>
        </w:rPr>
        <w:t xml:space="preserve"> </w:t>
      </w:r>
      <w:r>
        <w:t>excreted</w:t>
      </w:r>
      <w:r>
        <w:rPr>
          <w:spacing w:val="-8"/>
        </w:rPr>
        <w:t xml:space="preserve"> </w:t>
      </w:r>
      <w:r>
        <w:t>in</w:t>
      </w:r>
      <w:r>
        <w:rPr>
          <w:spacing w:val="-6"/>
        </w:rPr>
        <w:t xml:space="preserve"> </w:t>
      </w:r>
      <w:r>
        <w:t>human</w:t>
      </w:r>
      <w:r>
        <w:rPr>
          <w:spacing w:val="-6"/>
        </w:rPr>
        <w:t xml:space="preserve"> </w:t>
      </w:r>
      <w:r>
        <w:t>milk.</w:t>
      </w:r>
      <w:r>
        <w:rPr>
          <w:spacing w:val="-5"/>
        </w:rPr>
        <w:t xml:space="preserve"> </w:t>
      </w:r>
      <w:r>
        <w:t>Only</w:t>
      </w:r>
      <w:r>
        <w:rPr>
          <w:spacing w:val="-7"/>
        </w:rPr>
        <w:t xml:space="preserve"> </w:t>
      </w:r>
      <w:r>
        <w:t>limited</w:t>
      </w:r>
      <w:r>
        <w:rPr>
          <w:spacing w:val="-5"/>
        </w:rPr>
        <w:t xml:space="preserve"> </w:t>
      </w:r>
      <w:r>
        <w:t>excretion</w:t>
      </w:r>
      <w:r>
        <w:rPr>
          <w:spacing w:val="-6"/>
        </w:rPr>
        <w:t xml:space="preserve"> </w:t>
      </w:r>
      <w:r>
        <w:t>of</w:t>
      </w:r>
      <w:r>
        <w:rPr>
          <w:spacing w:val="-6"/>
        </w:rPr>
        <w:t xml:space="preserve"> </w:t>
      </w:r>
      <w:r>
        <w:t>denosumab</w:t>
      </w:r>
      <w:r>
        <w:rPr>
          <w:spacing w:val="-8"/>
        </w:rPr>
        <w:t xml:space="preserve"> </w:t>
      </w:r>
      <w:r>
        <w:t>in</w:t>
      </w:r>
      <w:r>
        <w:rPr>
          <w:spacing w:val="-6"/>
        </w:rPr>
        <w:t xml:space="preserve"> </w:t>
      </w:r>
      <w:r>
        <w:t xml:space="preserve">milk was observed in a study in monkeys. A decision on whether to abstain from breast-feeding or to abstain from therapy with </w:t>
      </w:r>
      <w:proofErr w:type="spellStart"/>
      <w:r>
        <w:t>DOSTIVA</w:t>
      </w:r>
      <w:proofErr w:type="spellEnd"/>
      <w:r>
        <w:t xml:space="preserve"> should be made, </w:t>
      </w:r>
      <w:proofErr w:type="gramStart"/>
      <w:r>
        <w:t>taking into account</w:t>
      </w:r>
      <w:proofErr w:type="gramEnd"/>
      <w:r>
        <w:t xml:space="preserve"> the benefit of breast-feeding to the newborn/infant and the benefit of </w:t>
      </w:r>
      <w:proofErr w:type="spellStart"/>
      <w:r>
        <w:t>DOSTIVA</w:t>
      </w:r>
      <w:proofErr w:type="spellEnd"/>
      <w:r>
        <w:t xml:space="preserve"> therapy to the woman.</w:t>
      </w:r>
    </w:p>
    <w:p w14:paraId="449D3BEE" w14:textId="77777777" w:rsidR="00320262" w:rsidRDefault="00320262">
      <w:pPr>
        <w:pStyle w:val="BodyText"/>
        <w:spacing w:before="120" w:line="360" w:lineRule="auto"/>
        <w:ind w:right="171"/>
        <w:jc w:val="both"/>
      </w:pPr>
    </w:p>
    <w:p w14:paraId="2AF1C336" w14:textId="77777777" w:rsidR="00AE135B" w:rsidRDefault="00EE5424">
      <w:pPr>
        <w:pStyle w:val="Heading2"/>
        <w:numPr>
          <w:ilvl w:val="1"/>
          <w:numId w:val="3"/>
        </w:numPr>
        <w:tabs>
          <w:tab w:val="left" w:pos="1106"/>
        </w:tabs>
        <w:spacing w:before="81"/>
        <w:ind w:hanging="799"/>
      </w:pPr>
      <w:r>
        <w:t>Effects</w:t>
      </w:r>
      <w:r>
        <w:rPr>
          <w:spacing w:val="-7"/>
        </w:rPr>
        <w:t xml:space="preserve"> </w:t>
      </w:r>
      <w:r>
        <w:t>on</w:t>
      </w:r>
      <w:r>
        <w:rPr>
          <w:spacing w:val="-7"/>
        </w:rPr>
        <w:t xml:space="preserve"> </w:t>
      </w:r>
      <w:r>
        <w:t>ability</w:t>
      </w:r>
      <w:r>
        <w:rPr>
          <w:spacing w:val="-5"/>
        </w:rPr>
        <w:t xml:space="preserve"> </w:t>
      </w:r>
      <w:r>
        <w:t>to</w:t>
      </w:r>
      <w:r>
        <w:rPr>
          <w:spacing w:val="-9"/>
        </w:rPr>
        <w:t xml:space="preserve"> </w:t>
      </w:r>
      <w:r>
        <w:t>drive</w:t>
      </w:r>
      <w:r>
        <w:rPr>
          <w:spacing w:val="-8"/>
        </w:rPr>
        <w:t xml:space="preserve"> </w:t>
      </w:r>
      <w:r>
        <w:t>and</w:t>
      </w:r>
      <w:r>
        <w:rPr>
          <w:spacing w:val="-7"/>
        </w:rPr>
        <w:t xml:space="preserve"> </w:t>
      </w:r>
      <w:r>
        <w:t>use</w:t>
      </w:r>
      <w:r>
        <w:rPr>
          <w:spacing w:val="-7"/>
        </w:rPr>
        <w:t xml:space="preserve"> </w:t>
      </w:r>
      <w:r>
        <w:rPr>
          <w:spacing w:val="-2"/>
        </w:rPr>
        <w:t>machines</w:t>
      </w:r>
    </w:p>
    <w:p w14:paraId="17DAA7CA" w14:textId="77777777" w:rsidR="00AE135B" w:rsidRDefault="00EE5424">
      <w:pPr>
        <w:pStyle w:val="BodyText"/>
        <w:spacing w:before="117"/>
      </w:pPr>
      <w:r>
        <w:t>No</w:t>
      </w:r>
      <w:r>
        <w:rPr>
          <w:spacing w:val="-15"/>
        </w:rPr>
        <w:t xml:space="preserve"> </w:t>
      </w:r>
      <w:r>
        <w:t>studies</w:t>
      </w:r>
      <w:r>
        <w:rPr>
          <w:spacing w:val="-12"/>
        </w:rPr>
        <w:t xml:space="preserve"> </w:t>
      </w:r>
      <w:r>
        <w:t>on</w:t>
      </w:r>
      <w:r>
        <w:rPr>
          <w:spacing w:val="-13"/>
        </w:rPr>
        <w:t xml:space="preserve"> </w:t>
      </w:r>
      <w:r>
        <w:t>the</w:t>
      </w:r>
      <w:r>
        <w:rPr>
          <w:spacing w:val="-13"/>
        </w:rPr>
        <w:t xml:space="preserve"> </w:t>
      </w:r>
      <w:r>
        <w:t>effects</w:t>
      </w:r>
      <w:r>
        <w:rPr>
          <w:spacing w:val="-12"/>
        </w:rPr>
        <w:t xml:space="preserve"> </w:t>
      </w:r>
      <w:r>
        <w:t>on</w:t>
      </w:r>
      <w:r>
        <w:rPr>
          <w:spacing w:val="-13"/>
        </w:rPr>
        <w:t xml:space="preserve"> </w:t>
      </w:r>
      <w:r>
        <w:t>the</w:t>
      </w:r>
      <w:r>
        <w:rPr>
          <w:spacing w:val="-13"/>
        </w:rPr>
        <w:t xml:space="preserve"> </w:t>
      </w:r>
      <w:r>
        <w:t>ability</w:t>
      </w:r>
      <w:r>
        <w:rPr>
          <w:spacing w:val="-12"/>
        </w:rPr>
        <w:t xml:space="preserve"> </w:t>
      </w:r>
      <w:r>
        <w:t>to</w:t>
      </w:r>
      <w:r>
        <w:rPr>
          <w:spacing w:val="-13"/>
        </w:rPr>
        <w:t xml:space="preserve"> </w:t>
      </w:r>
      <w:r>
        <w:t>drive</w:t>
      </w:r>
      <w:r>
        <w:rPr>
          <w:spacing w:val="-13"/>
        </w:rPr>
        <w:t xml:space="preserve"> </w:t>
      </w:r>
      <w:r>
        <w:t>or</w:t>
      </w:r>
      <w:r>
        <w:rPr>
          <w:spacing w:val="-12"/>
        </w:rPr>
        <w:t xml:space="preserve"> </w:t>
      </w:r>
      <w:r>
        <w:t>use</w:t>
      </w:r>
      <w:r>
        <w:rPr>
          <w:spacing w:val="-12"/>
        </w:rPr>
        <w:t xml:space="preserve"> </w:t>
      </w:r>
      <w:r>
        <w:t>machinery</w:t>
      </w:r>
      <w:r>
        <w:rPr>
          <w:spacing w:val="-13"/>
        </w:rPr>
        <w:t xml:space="preserve"> </w:t>
      </w:r>
      <w:r>
        <w:t>have</w:t>
      </w:r>
      <w:r>
        <w:rPr>
          <w:spacing w:val="-12"/>
        </w:rPr>
        <w:t xml:space="preserve"> </w:t>
      </w:r>
      <w:r>
        <w:t>been</w:t>
      </w:r>
      <w:r>
        <w:rPr>
          <w:spacing w:val="-11"/>
        </w:rPr>
        <w:t xml:space="preserve"> </w:t>
      </w:r>
      <w:r>
        <w:rPr>
          <w:spacing w:val="-2"/>
        </w:rPr>
        <w:t>performed.</w:t>
      </w:r>
    </w:p>
    <w:p w14:paraId="3A63BA90" w14:textId="77777777" w:rsidR="00AE135B" w:rsidRDefault="00AE135B">
      <w:pPr>
        <w:pStyle w:val="BodyText"/>
        <w:spacing w:before="249"/>
        <w:ind w:left="0"/>
      </w:pPr>
    </w:p>
    <w:p w14:paraId="1EF8F969" w14:textId="77777777" w:rsidR="00AE135B" w:rsidRDefault="00EE5424">
      <w:pPr>
        <w:pStyle w:val="Heading2"/>
        <w:numPr>
          <w:ilvl w:val="1"/>
          <w:numId w:val="3"/>
        </w:numPr>
        <w:tabs>
          <w:tab w:val="left" w:pos="1106"/>
        </w:tabs>
        <w:ind w:hanging="799"/>
      </w:pPr>
      <w:r>
        <w:rPr>
          <w:spacing w:val="-2"/>
        </w:rPr>
        <w:t>Adverse</w:t>
      </w:r>
      <w:r>
        <w:rPr>
          <w:spacing w:val="-7"/>
        </w:rPr>
        <w:t xml:space="preserve"> </w:t>
      </w:r>
      <w:r>
        <w:rPr>
          <w:spacing w:val="-2"/>
        </w:rPr>
        <w:t>effects</w:t>
      </w:r>
      <w:r>
        <w:rPr>
          <w:spacing w:val="-1"/>
        </w:rPr>
        <w:t xml:space="preserve"> </w:t>
      </w:r>
      <w:r>
        <w:rPr>
          <w:spacing w:val="-2"/>
        </w:rPr>
        <w:t>(Undesirable</w:t>
      </w:r>
      <w:r>
        <w:rPr>
          <w:spacing w:val="1"/>
        </w:rPr>
        <w:t xml:space="preserve"> </w:t>
      </w:r>
      <w:r>
        <w:rPr>
          <w:spacing w:val="-2"/>
        </w:rPr>
        <w:t>effects)</w:t>
      </w:r>
    </w:p>
    <w:p w14:paraId="5084F57A" w14:textId="77777777" w:rsidR="00AE135B" w:rsidRDefault="00EE5424">
      <w:pPr>
        <w:pStyle w:val="BodyText"/>
        <w:spacing w:before="119"/>
      </w:pPr>
      <w:r>
        <w:rPr>
          <w:spacing w:val="-2"/>
          <w:u w:val="single"/>
        </w:rPr>
        <w:t>Bone</w:t>
      </w:r>
      <w:r>
        <w:rPr>
          <w:spacing w:val="-9"/>
          <w:u w:val="single"/>
        </w:rPr>
        <w:t xml:space="preserve"> </w:t>
      </w:r>
      <w:r>
        <w:rPr>
          <w:spacing w:val="-2"/>
          <w:u w:val="single"/>
        </w:rPr>
        <w:t>metastasis</w:t>
      </w:r>
      <w:r>
        <w:rPr>
          <w:spacing w:val="-7"/>
          <w:u w:val="single"/>
        </w:rPr>
        <w:t xml:space="preserve"> </w:t>
      </w:r>
      <w:r>
        <w:rPr>
          <w:spacing w:val="-2"/>
          <w:u w:val="single"/>
        </w:rPr>
        <w:t>from</w:t>
      </w:r>
      <w:r>
        <w:rPr>
          <w:spacing w:val="-7"/>
          <w:u w:val="single"/>
        </w:rPr>
        <w:t xml:space="preserve"> </w:t>
      </w:r>
      <w:r>
        <w:rPr>
          <w:spacing w:val="-2"/>
          <w:u w:val="single"/>
        </w:rPr>
        <w:t>solid</w:t>
      </w:r>
      <w:r>
        <w:rPr>
          <w:spacing w:val="-6"/>
          <w:u w:val="single"/>
        </w:rPr>
        <w:t xml:space="preserve"> </w:t>
      </w:r>
      <w:proofErr w:type="spellStart"/>
      <w:r>
        <w:rPr>
          <w:spacing w:val="-2"/>
          <w:u w:val="single"/>
        </w:rPr>
        <w:t>tumours</w:t>
      </w:r>
      <w:proofErr w:type="spellEnd"/>
    </w:p>
    <w:p w14:paraId="17CA3C57" w14:textId="77777777" w:rsidR="00AE135B" w:rsidRDefault="00EE5424">
      <w:pPr>
        <w:pStyle w:val="BodyText"/>
        <w:spacing w:before="254" w:line="360" w:lineRule="auto"/>
        <w:ind w:right="173"/>
        <w:jc w:val="both"/>
      </w:pPr>
      <w:r>
        <w:t>Data</w:t>
      </w:r>
      <w:r>
        <w:rPr>
          <w:spacing w:val="-6"/>
        </w:rPr>
        <w:t xml:space="preserve"> </w:t>
      </w:r>
      <w:r>
        <w:t>from</w:t>
      </w:r>
      <w:r>
        <w:rPr>
          <w:spacing w:val="-6"/>
        </w:rPr>
        <w:t xml:space="preserve"> </w:t>
      </w:r>
      <w:r>
        <w:t>three</w:t>
      </w:r>
      <w:r>
        <w:rPr>
          <w:spacing w:val="-6"/>
        </w:rPr>
        <w:t xml:space="preserve"> </w:t>
      </w:r>
      <w:r>
        <w:t>active-controlled</w:t>
      </w:r>
      <w:r>
        <w:rPr>
          <w:spacing w:val="-9"/>
        </w:rPr>
        <w:t xml:space="preserve"> </w:t>
      </w:r>
      <w:proofErr w:type="spellStart"/>
      <w:r>
        <w:t>multicentre</w:t>
      </w:r>
      <w:proofErr w:type="spellEnd"/>
      <w:r>
        <w:rPr>
          <w:spacing w:val="-6"/>
        </w:rPr>
        <w:t xml:space="preserve"> </w:t>
      </w:r>
      <w:r>
        <w:t>trials</w:t>
      </w:r>
      <w:r>
        <w:rPr>
          <w:spacing w:val="-6"/>
        </w:rPr>
        <w:t xml:space="preserve"> </w:t>
      </w:r>
      <w:r>
        <w:t>were</w:t>
      </w:r>
      <w:r>
        <w:rPr>
          <w:spacing w:val="-6"/>
        </w:rPr>
        <w:t xml:space="preserve"> </w:t>
      </w:r>
      <w:r>
        <w:t>used</w:t>
      </w:r>
      <w:r>
        <w:rPr>
          <w:spacing w:val="-7"/>
        </w:rPr>
        <w:t xml:space="preserve"> </w:t>
      </w:r>
      <w:r>
        <w:t>for</w:t>
      </w:r>
      <w:r>
        <w:rPr>
          <w:spacing w:val="-7"/>
        </w:rPr>
        <w:t xml:space="preserve"> </w:t>
      </w:r>
      <w:r>
        <w:t>the</w:t>
      </w:r>
      <w:r>
        <w:rPr>
          <w:spacing w:val="-7"/>
        </w:rPr>
        <w:t xml:space="preserve"> </w:t>
      </w:r>
      <w:r>
        <w:t>safety</w:t>
      </w:r>
      <w:r>
        <w:rPr>
          <w:spacing w:val="-6"/>
        </w:rPr>
        <w:t xml:space="preserve"> </w:t>
      </w:r>
      <w:r>
        <w:t>analysis</w:t>
      </w:r>
      <w:r>
        <w:rPr>
          <w:spacing w:val="-6"/>
        </w:rPr>
        <w:t xml:space="preserve"> </w:t>
      </w:r>
      <w:r>
        <w:t>in</w:t>
      </w:r>
      <w:r>
        <w:rPr>
          <w:spacing w:val="-7"/>
        </w:rPr>
        <w:t xml:space="preserve"> </w:t>
      </w:r>
      <w:r>
        <w:t>5677</w:t>
      </w:r>
      <w:r>
        <w:rPr>
          <w:spacing w:val="-6"/>
        </w:rPr>
        <w:t xml:space="preserve"> </w:t>
      </w:r>
      <w:r>
        <w:t>patients</w:t>
      </w:r>
      <w:r>
        <w:rPr>
          <w:spacing w:val="-9"/>
        </w:rPr>
        <w:t xml:space="preserve"> </w:t>
      </w:r>
      <w:r>
        <w:t>with bone</w:t>
      </w:r>
      <w:r>
        <w:rPr>
          <w:spacing w:val="-10"/>
        </w:rPr>
        <w:t xml:space="preserve"> </w:t>
      </w:r>
      <w:r>
        <w:t>metastases</w:t>
      </w:r>
      <w:r>
        <w:rPr>
          <w:spacing w:val="-5"/>
        </w:rPr>
        <w:t xml:space="preserve"> </w:t>
      </w:r>
      <w:r>
        <w:t>from</w:t>
      </w:r>
      <w:r>
        <w:rPr>
          <w:spacing w:val="-7"/>
        </w:rPr>
        <w:t xml:space="preserve"> </w:t>
      </w:r>
      <w:r>
        <w:t>either</w:t>
      </w:r>
      <w:r>
        <w:rPr>
          <w:spacing w:val="-5"/>
        </w:rPr>
        <w:t xml:space="preserve"> </w:t>
      </w:r>
      <w:r>
        <w:t>prostate</w:t>
      </w:r>
      <w:r>
        <w:rPr>
          <w:spacing w:val="-5"/>
        </w:rPr>
        <w:t xml:space="preserve"> </w:t>
      </w:r>
      <w:r>
        <w:t>cancer,</w:t>
      </w:r>
      <w:r>
        <w:rPr>
          <w:spacing w:val="-3"/>
        </w:rPr>
        <w:t xml:space="preserve"> </w:t>
      </w:r>
      <w:r>
        <w:t>breast</w:t>
      </w:r>
      <w:r>
        <w:rPr>
          <w:spacing w:val="-7"/>
        </w:rPr>
        <w:t xml:space="preserve"> </w:t>
      </w:r>
      <w:r>
        <w:t>cancer,</w:t>
      </w:r>
      <w:r>
        <w:rPr>
          <w:spacing w:val="-7"/>
        </w:rPr>
        <w:t xml:space="preserve"> </w:t>
      </w:r>
      <w:r>
        <w:t>other</w:t>
      </w:r>
      <w:r>
        <w:rPr>
          <w:spacing w:val="-6"/>
        </w:rPr>
        <w:t xml:space="preserve"> </w:t>
      </w:r>
      <w:r>
        <w:t>solid</w:t>
      </w:r>
      <w:r>
        <w:rPr>
          <w:spacing w:val="-4"/>
        </w:rPr>
        <w:t xml:space="preserve"> </w:t>
      </w:r>
      <w:proofErr w:type="spellStart"/>
      <w:r>
        <w:t>tumours</w:t>
      </w:r>
      <w:proofErr w:type="spellEnd"/>
      <w:r>
        <w:rPr>
          <w:spacing w:val="-3"/>
        </w:rPr>
        <w:t xml:space="preserve"> </w:t>
      </w:r>
      <w:r>
        <w:t>or</w:t>
      </w:r>
      <w:r>
        <w:rPr>
          <w:spacing w:val="-4"/>
        </w:rPr>
        <w:t xml:space="preserve"> </w:t>
      </w:r>
      <w:r>
        <w:t>patients</w:t>
      </w:r>
      <w:r>
        <w:rPr>
          <w:spacing w:val="-5"/>
        </w:rPr>
        <w:t xml:space="preserve"> </w:t>
      </w:r>
      <w:r>
        <w:t>with</w:t>
      </w:r>
      <w:r>
        <w:rPr>
          <w:spacing w:val="-5"/>
        </w:rPr>
        <w:t xml:space="preserve"> </w:t>
      </w:r>
      <w:r>
        <w:t>multiple myeloma (all patients with advanced cancer).</w:t>
      </w:r>
      <w:r>
        <w:rPr>
          <w:spacing w:val="40"/>
        </w:rPr>
        <w:t xml:space="preserve"> </w:t>
      </w:r>
      <w:r>
        <w:t>A total of 2841 patients were exposed to 120 mg of denosumab administered once every 4 weeks as a single subcutaneous injection, and 2836</w:t>
      </w:r>
      <w:r>
        <w:rPr>
          <w:spacing w:val="-1"/>
        </w:rPr>
        <w:t xml:space="preserve"> </w:t>
      </w:r>
      <w:r>
        <w:t>patients</w:t>
      </w:r>
      <w:r>
        <w:rPr>
          <w:spacing w:val="-2"/>
        </w:rPr>
        <w:t xml:space="preserve"> </w:t>
      </w:r>
      <w:r>
        <w:t>were exposed to 4 mg (dose-adjusted for</w:t>
      </w:r>
      <w:r>
        <w:rPr>
          <w:spacing w:val="21"/>
        </w:rPr>
        <w:t xml:space="preserve"> </w:t>
      </w:r>
      <w:r>
        <w:t>reduced</w:t>
      </w:r>
      <w:r>
        <w:rPr>
          <w:spacing w:val="21"/>
        </w:rPr>
        <w:t xml:space="preserve"> </w:t>
      </w:r>
      <w:r>
        <w:t>renal</w:t>
      </w:r>
      <w:r>
        <w:rPr>
          <w:spacing w:val="23"/>
        </w:rPr>
        <w:t xml:space="preserve"> </w:t>
      </w:r>
      <w:r>
        <w:t>function)</w:t>
      </w:r>
      <w:r>
        <w:rPr>
          <w:spacing w:val="19"/>
        </w:rPr>
        <w:t xml:space="preserve"> </w:t>
      </w:r>
      <w:r>
        <w:t>of</w:t>
      </w:r>
      <w:r>
        <w:rPr>
          <w:spacing w:val="21"/>
        </w:rPr>
        <w:t xml:space="preserve"> </w:t>
      </w:r>
      <w:r>
        <w:t>zoledronic</w:t>
      </w:r>
      <w:r>
        <w:rPr>
          <w:spacing w:val="21"/>
        </w:rPr>
        <w:t xml:space="preserve"> </w:t>
      </w:r>
      <w:r>
        <w:t>acid</w:t>
      </w:r>
      <w:r>
        <w:rPr>
          <w:spacing w:val="18"/>
        </w:rPr>
        <w:t xml:space="preserve"> </w:t>
      </w:r>
      <w:r>
        <w:t>administered</w:t>
      </w:r>
      <w:r>
        <w:rPr>
          <w:spacing w:val="19"/>
        </w:rPr>
        <w:t xml:space="preserve"> </w:t>
      </w:r>
      <w:r>
        <w:t>once</w:t>
      </w:r>
      <w:r>
        <w:rPr>
          <w:spacing w:val="19"/>
        </w:rPr>
        <w:t xml:space="preserve"> </w:t>
      </w:r>
      <w:r>
        <w:t>every 4</w:t>
      </w:r>
      <w:r>
        <w:rPr>
          <w:spacing w:val="-5"/>
        </w:rPr>
        <w:t xml:space="preserve"> </w:t>
      </w:r>
      <w:r>
        <w:t>weeks</w:t>
      </w:r>
      <w:r>
        <w:rPr>
          <w:spacing w:val="-6"/>
        </w:rPr>
        <w:t xml:space="preserve"> </w:t>
      </w:r>
      <w:r>
        <w:t>as</w:t>
      </w:r>
      <w:r>
        <w:rPr>
          <w:spacing w:val="-6"/>
        </w:rPr>
        <w:t xml:space="preserve"> </w:t>
      </w:r>
      <w:r>
        <w:t>an</w:t>
      </w:r>
      <w:r>
        <w:rPr>
          <w:spacing w:val="-4"/>
        </w:rPr>
        <w:t xml:space="preserve"> </w:t>
      </w:r>
      <w:r>
        <w:t>IV</w:t>
      </w:r>
      <w:r>
        <w:rPr>
          <w:spacing w:val="-6"/>
        </w:rPr>
        <w:t xml:space="preserve"> </w:t>
      </w:r>
      <w:r>
        <w:t>infusion.</w:t>
      </w:r>
      <w:r>
        <w:rPr>
          <w:spacing w:val="33"/>
        </w:rPr>
        <w:t xml:space="preserve"> </w:t>
      </w:r>
      <w:r>
        <w:t>The</w:t>
      </w:r>
      <w:r>
        <w:rPr>
          <w:spacing w:val="-6"/>
        </w:rPr>
        <w:t xml:space="preserve"> </w:t>
      </w:r>
      <w:r>
        <w:t>median</w:t>
      </w:r>
      <w:r>
        <w:rPr>
          <w:spacing w:val="-9"/>
        </w:rPr>
        <w:t xml:space="preserve"> </w:t>
      </w:r>
      <w:r>
        <w:t>(</w:t>
      </w:r>
      <w:proofErr w:type="spellStart"/>
      <w:r>
        <w:t>Q1</w:t>
      </w:r>
      <w:proofErr w:type="spellEnd"/>
      <w:r>
        <w:t>,</w:t>
      </w:r>
      <w:r>
        <w:rPr>
          <w:spacing w:val="-6"/>
        </w:rPr>
        <w:t xml:space="preserve"> </w:t>
      </w:r>
      <w:proofErr w:type="spellStart"/>
      <w:r>
        <w:t>Q3</w:t>
      </w:r>
      <w:proofErr w:type="spellEnd"/>
      <w:r>
        <w:t>)</w:t>
      </w:r>
      <w:r>
        <w:rPr>
          <w:spacing w:val="-5"/>
        </w:rPr>
        <w:t xml:space="preserve"> </w:t>
      </w:r>
      <w:r>
        <w:t>duration</w:t>
      </w:r>
      <w:r>
        <w:rPr>
          <w:spacing w:val="-6"/>
        </w:rPr>
        <w:t xml:space="preserve"> </w:t>
      </w:r>
      <w:r>
        <w:t>of</w:t>
      </w:r>
      <w:r>
        <w:rPr>
          <w:spacing w:val="-6"/>
        </w:rPr>
        <w:t xml:space="preserve"> </w:t>
      </w:r>
      <w:r>
        <w:t>exposure</w:t>
      </w:r>
      <w:r>
        <w:rPr>
          <w:spacing w:val="-7"/>
        </w:rPr>
        <w:t xml:space="preserve"> </w:t>
      </w:r>
      <w:r>
        <w:t>to</w:t>
      </w:r>
      <w:r>
        <w:rPr>
          <w:spacing w:val="-4"/>
        </w:rPr>
        <w:t xml:space="preserve"> </w:t>
      </w:r>
      <w:r>
        <w:t>denosumab</w:t>
      </w:r>
      <w:r>
        <w:rPr>
          <w:spacing w:val="-5"/>
        </w:rPr>
        <w:t xml:space="preserve"> </w:t>
      </w:r>
      <w:r>
        <w:t>for</w:t>
      </w:r>
      <w:r>
        <w:rPr>
          <w:spacing w:val="-3"/>
        </w:rPr>
        <w:t xml:space="preserve"> </w:t>
      </w:r>
      <w:r>
        <w:t>the</w:t>
      </w:r>
      <w:r>
        <w:rPr>
          <w:spacing w:val="-5"/>
        </w:rPr>
        <w:t xml:space="preserve"> </w:t>
      </w:r>
      <w:r>
        <w:t>safety</w:t>
      </w:r>
      <w:r>
        <w:rPr>
          <w:spacing w:val="-5"/>
        </w:rPr>
        <w:t xml:space="preserve"> </w:t>
      </w:r>
      <w:r>
        <w:t xml:space="preserve">analysis was 12 months (6, 18) for prostate cancer, 17 months (10, 21) for breast cancer, and 7 months (4, 14) for other solid </w:t>
      </w:r>
      <w:proofErr w:type="spellStart"/>
      <w:r>
        <w:t>tumours</w:t>
      </w:r>
      <w:proofErr w:type="spellEnd"/>
      <w:r>
        <w:t xml:space="preserve"> and multiple myeloma.</w:t>
      </w:r>
    </w:p>
    <w:p w14:paraId="4510D7E7" w14:textId="77777777" w:rsidR="00320262" w:rsidRDefault="00320262" w:rsidP="00320262"/>
    <w:p w14:paraId="04816855" w14:textId="77777777" w:rsidR="00AE135B" w:rsidRDefault="00EE5424">
      <w:pPr>
        <w:pStyle w:val="Heading3"/>
        <w:spacing w:before="38"/>
        <w:ind w:left="525" w:right="270"/>
        <w:jc w:val="center"/>
      </w:pPr>
      <w:r>
        <w:t>Table</w:t>
      </w:r>
      <w:r>
        <w:rPr>
          <w:spacing w:val="-11"/>
        </w:rPr>
        <w:t xml:space="preserve"> </w:t>
      </w:r>
      <w:r>
        <w:t>1.</w:t>
      </w:r>
      <w:r>
        <w:rPr>
          <w:spacing w:val="30"/>
        </w:rPr>
        <w:t xml:space="preserve"> </w:t>
      </w:r>
      <w:r>
        <w:t>Percentage</w:t>
      </w:r>
      <w:r>
        <w:rPr>
          <w:spacing w:val="-7"/>
        </w:rPr>
        <w:t xml:space="preserve"> </w:t>
      </w:r>
      <w:r>
        <w:t>of</w:t>
      </w:r>
      <w:r>
        <w:rPr>
          <w:spacing w:val="-9"/>
        </w:rPr>
        <w:t xml:space="preserve"> </w:t>
      </w:r>
      <w:r>
        <w:t>Patients</w:t>
      </w:r>
      <w:r>
        <w:rPr>
          <w:spacing w:val="-7"/>
        </w:rPr>
        <w:t xml:space="preserve"> </w:t>
      </w:r>
      <w:r>
        <w:t>with</w:t>
      </w:r>
      <w:r>
        <w:rPr>
          <w:spacing w:val="-9"/>
        </w:rPr>
        <w:t xml:space="preserve"> </w:t>
      </w:r>
      <w:r>
        <w:t>Adverse</w:t>
      </w:r>
      <w:r>
        <w:rPr>
          <w:spacing w:val="-7"/>
        </w:rPr>
        <w:t xml:space="preserve"> </w:t>
      </w:r>
      <w:r>
        <w:t>Events</w:t>
      </w:r>
      <w:r>
        <w:rPr>
          <w:spacing w:val="-7"/>
        </w:rPr>
        <w:t xml:space="preserve"> </w:t>
      </w:r>
      <w:r>
        <w:t>in</w:t>
      </w:r>
      <w:r>
        <w:rPr>
          <w:spacing w:val="-9"/>
        </w:rPr>
        <w:t xml:space="preserve"> </w:t>
      </w:r>
      <w:r>
        <w:t>Patients</w:t>
      </w:r>
      <w:r>
        <w:rPr>
          <w:spacing w:val="-8"/>
        </w:rPr>
        <w:t xml:space="preserve"> </w:t>
      </w:r>
      <w:r>
        <w:t>with</w:t>
      </w:r>
      <w:r>
        <w:rPr>
          <w:spacing w:val="-7"/>
        </w:rPr>
        <w:t xml:space="preserve"> </w:t>
      </w:r>
      <w:r>
        <w:t>Advanced</w:t>
      </w:r>
      <w:r>
        <w:rPr>
          <w:spacing w:val="-8"/>
        </w:rPr>
        <w:t xml:space="preserve"> </w:t>
      </w:r>
      <w:r>
        <w:rPr>
          <w:spacing w:val="-2"/>
        </w:rPr>
        <w:t>Malignancies</w:t>
      </w:r>
    </w:p>
    <w:p w14:paraId="738C3787" w14:textId="77777777" w:rsidR="00AE135B" w:rsidRDefault="00EE5424">
      <w:pPr>
        <w:spacing w:before="1"/>
        <w:ind w:left="606" w:right="270"/>
        <w:jc w:val="center"/>
        <w:rPr>
          <w:b/>
        </w:rPr>
      </w:pPr>
      <w:r>
        <w:rPr>
          <w:b/>
        </w:rPr>
        <w:t>Involving</w:t>
      </w:r>
      <w:r>
        <w:rPr>
          <w:b/>
          <w:spacing w:val="-8"/>
        </w:rPr>
        <w:t xml:space="preserve"> </w:t>
      </w:r>
      <w:r>
        <w:rPr>
          <w:b/>
        </w:rPr>
        <w:t>Bone</w:t>
      </w:r>
      <w:r>
        <w:rPr>
          <w:b/>
          <w:spacing w:val="-4"/>
        </w:rPr>
        <w:t xml:space="preserve"> </w:t>
      </w:r>
      <w:r>
        <w:rPr>
          <w:b/>
        </w:rPr>
        <w:t>by</w:t>
      </w:r>
      <w:r>
        <w:rPr>
          <w:b/>
          <w:spacing w:val="-3"/>
        </w:rPr>
        <w:t xml:space="preserve"> </w:t>
      </w:r>
      <w:r>
        <w:rPr>
          <w:b/>
        </w:rPr>
        <w:t>Body</w:t>
      </w:r>
      <w:r>
        <w:rPr>
          <w:b/>
          <w:spacing w:val="-3"/>
        </w:rPr>
        <w:t xml:space="preserve"> </w:t>
      </w:r>
      <w:r>
        <w:rPr>
          <w:b/>
        </w:rPr>
        <w:t>System</w:t>
      </w:r>
      <w:r>
        <w:rPr>
          <w:b/>
          <w:spacing w:val="-5"/>
        </w:rPr>
        <w:t xml:space="preserve"> </w:t>
      </w:r>
      <w:r>
        <w:rPr>
          <w:b/>
        </w:rPr>
        <w:t>(≥</w:t>
      </w:r>
      <w:r>
        <w:rPr>
          <w:b/>
          <w:spacing w:val="-5"/>
        </w:rPr>
        <w:t xml:space="preserve"> </w:t>
      </w:r>
      <w:r>
        <w:rPr>
          <w:b/>
        </w:rPr>
        <w:t>10</w:t>
      </w:r>
      <w:r>
        <w:rPr>
          <w:b/>
          <w:spacing w:val="-5"/>
        </w:rPr>
        <w:t xml:space="preserve"> </w:t>
      </w:r>
      <w:r>
        <w:rPr>
          <w:b/>
        </w:rPr>
        <w:t>%</w:t>
      </w:r>
      <w:r>
        <w:rPr>
          <w:b/>
          <w:spacing w:val="-5"/>
        </w:rPr>
        <w:t xml:space="preserve"> </w:t>
      </w:r>
      <w:r>
        <w:rPr>
          <w:b/>
        </w:rPr>
        <w:t>Incidence</w:t>
      </w:r>
      <w:r>
        <w:rPr>
          <w:b/>
          <w:spacing w:val="-4"/>
        </w:rPr>
        <w:t xml:space="preserve"> </w:t>
      </w:r>
      <w:r>
        <w:rPr>
          <w:b/>
        </w:rPr>
        <w:t>in</w:t>
      </w:r>
      <w:r>
        <w:rPr>
          <w:b/>
          <w:spacing w:val="-6"/>
        </w:rPr>
        <w:t xml:space="preserve"> </w:t>
      </w:r>
      <w:r>
        <w:rPr>
          <w:b/>
        </w:rPr>
        <w:t>Either</w:t>
      </w:r>
      <w:r>
        <w:rPr>
          <w:b/>
          <w:spacing w:val="-5"/>
        </w:rPr>
        <w:t xml:space="preserve"> </w:t>
      </w:r>
      <w:r>
        <w:rPr>
          <w:b/>
        </w:rPr>
        <w:t>Treatment</w:t>
      </w:r>
      <w:r>
        <w:rPr>
          <w:b/>
          <w:spacing w:val="-3"/>
        </w:rPr>
        <w:t xml:space="preserve"> </w:t>
      </w:r>
      <w:r>
        <w:rPr>
          <w:b/>
          <w:spacing w:val="-2"/>
        </w:rPr>
        <w:t>Group)</w:t>
      </w:r>
    </w:p>
    <w:p w14:paraId="653B2E27" w14:textId="77777777" w:rsidR="00AE135B" w:rsidRDefault="00AE135B">
      <w:pPr>
        <w:pStyle w:val="BodyText"/>
        <w:spacing w:before="4"/>
        <w:ind w:left="0"/>
        <w:rPr>
          <w:b/>
          <w:sz w:val="8"/>
        </w:rPr>
      </w:pPr>
    </w:p>
    <w:tbl>
      <w:tblPr>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5"/>
        <w:gridCol w:w="2061"/>
        <w:gridCol w:w="2940"/>
      </w:tblGrid>
      <w:tr w:rsidR="00AE135B" w14:paraId="690EB69F" w14:textId="77777777" w:rsidTr="00320262">
        <w:trPr>
          <w:trHeight w:val="1048"/>
          <w:tblHeader/>
        </w:trPr>
        <w:tc>
          <w:tcPr>
            <w:tcW w:w="4515" w:type="dxa"/>
          </w:tcPr>
          <w:p w14:paraId="2A666E9A" w14:textId="77777777" w:rsidR="00AE135B" w:rsidRDefault="00EE5424">
            <w:pPr>
              <w:pStyle w:val="TableParagraph"/>
              <w:spacing w:line="295" w:lineRule="auto"/>
              <w:ind w:right="2666"/>
              <w:rPr>
                <w:b/>
              </w:rPr>
            </w:pPr>
            <w:r>
              <w:rPr>
                <w:b/>
                <w:spacing w:val="-2"/>
              </w:rPr>
              <w:t>System</w:t>
            </w:r>
            <w:r>
              <w:rPr>
                <w:b/>
                <w:spacing w:val="-18"/>
              </w:rPr>
              <w:t xml:space="preserve"> </w:t>
            </w:r>
            <w:r>
              <w:rPr>
                <w:b/>
                <w:spacing w:val="-2"/>
              </w:rPr>
              <w:t>Organ</w:t>
            </w:r>
            <w:r>
              <w:rPr>
                <w:b/>
                <w:spacing w:val="-20"/>
              </w:rPr>
              <w:t xml:space="preserve"> </w:t>
            </w:r>
            <w:r>
              <w:rPr>
                <w:b/>
                <w:spacing w:val="-2"/>
              </w:rPr>
              <w:t xml:space="preserve">Class </w:t>
            </w:r>
            <w:r>
              <w:rPr>
                <w:b/>
              </w:rPr>
              <w:t>Preferred Term</w:t>
            </w:r>
          </w:p>
        </w:tc>
        <w:tc>
          <w:tcPr>
            <w:tcW w:w="2061" w:type="dxa"/>
          </w:tcPr>
          <w:p w14:paraId="36ADDB05" w14:textId="77777777" w:rsidR="00AE135B" w:rsidRDefault="00EE5424">
            <w:pPr>
              <w:pStyle w:val="TableParagraph"/>
              <w:spacing w:before="61" w:line="290" w:lineRule="auto"/>
              <w:rPr>
                <w:b/>
              </w:rPr>
            </w:pPr>
            <w:r>
              <w:rPr>
                <w:b/>
                <w:spacing w:val="-4"/>
              </w:rPr>
              <w:t>Denosumab</w:t>
            </w:r>
            <w:r>
              <w:rPr>
                <w:b/>
                <w:spacing w:val="-15"/>
              </w:rPr>
              <w:t xml:space="preserve"> </w:t>
            </w:r>
            <w:r>
              <w:rPr>
                <w:b/>
                <w:spacing w:val="-4"/>
              </w:rPr>
              <w:t>(</w:t>
            </w:r>
            <w:proofErr w:type="spellStart"/>
            <w:r>
              <w:rPr>
                <w:b/>
                <w:spacing w:val="-4"/>
              </w:rPr>
              <w:t>Xgeva</w:t>
            </w:r>
            <w:proofErr w:type="spellEnd"/>
            <w:r>
              <w:rPr>
                <w:b/>
                <w:spacing w:val="-4"/>
              </w:rPr>
              <w:t xml:space="preserve">) </w:t>
            </w:r>
            <w:r>
              <w:rPr>
                <w:b/>
              </w:rPr>
              <w:t>(N = 2841)</w:t>
            </w:r>
          </w:p>
          <w:p w14:paraId="46B816D3" w14:textId="77777777" w:rsidR="00AE135B" w:rsidRDefault="00EE5424">
            <w:pPr>
              <w:pStyle w:val="TableParagraph"/>
              <w:spacing w:before="3"/>
              <w:rPr>
                <w:b/>
              </w:rPr>
            </w:pPr>
            <w:r>
              <w:rPr>
                <w:b/>
              </w:rPr>
              <w:t>n</w:t>
            </w:r>
            <w:r>
              <w:rPr>
                <w:b/>
                <w:spacing w:val="-3"/>
              </w:rPr>
              <w:t xml:space="preserve"> </w:t>
            </w:r>
            <w:r>
              <w:rPr>
                <w:b/>
                <w:spacing w:val="-5"/>
              </w:rPr>
              <w:t>(%)</w:t>
            </w:r>
          </w:p>
        </w:tc>
        <w:tc>
          <w:tcPr>
            <w:tcW w:w="2940" w:type="dxa"/>
          </w:tcPr>
          <w:p w14:paraId="1F50657C" w14:textId="77777777" w:rsidR="00AE135B" w:rsidRDefault="00EE5424">
            <w:pPr>
              <w:pStyle w:val="TableParagraph"/>
              <w:spacing w:before="61" w:line="348" w:lineRule="auto"/>
              <w:ind w:left="118" w:right="1275"/>
              <w:rPr>
                <w:b/>
              </w:rPr>
            </w:pPr>
            <w:r>
              <w:rPr>
                <w:b/>
                <w:spacing w:val="-4"/>
              </w:rPr>
              <w:t>Zoledronic</w:t>
            </w:r>
            <w:r>
              <w:rPr>
                <w:b/>
                <w:spacing w:val="-15"/>
              </w:rPr>
              <w:t xml:space="preserve"> </w:t>
            </w:r>
            <w:r>
              <w:rPr>
                <w:b/>
                <w:spacing w:val="-4"/>
              </w:rPr>
              <w:t xml:space="preserve">Acid </w:t>
            </w:r>
            <w:r>
              <w:rPr>
                <w:b/>
              </w:rPr>
              <w:t>(N = 2836)</w:t>
            </w:r>
          </w:p>
          <w:p w14:paraId="6A520ECD" w14:textId="77777777" w:rsidR="00AE135B" w:rsidRDefault="00EE5424">
            <w:pPr>
              <w:pStyle w:val="TableParagraph"/>
              <w:spacing w:before="0" w:line="188" w:lineRule="exact"/>
              <w:ind w:left="118"/>
              <w:rPr>
                <w:b/>
              </w:rPr>
            </w:pPr>
            <w:r>
              <w:rPr>
                <w:b/>
              </w:rPr>
              <w:t>n</w:t>
            </w:r>
            <w:r>
              <w:rPr>
                <w:b/>
                <w:spacing w:val="-3"/>
              </w:rPr>
              <w:t xml:space="preserve"> </w:t>
            </w:r>
            <w:r>
              <w:rPr>
                <w:b/>
                <w:spacing w:val="-5"/>
              </w:rPr>
              <w:t>(%)</w:t>
            </w:r>
          </w:p>
        </w:tc>
      </w:tr>
      <w:tr w:rsidR="00AE135B" w14:paraId="76C99026" w14:textId="77777777">
        <w:trPr>
          <w:trHeight w:val="686"/>
        </w:trPr>
        <w:tc>
          <w:tcPr>
            <w:tcW w:w="4515" w:type="dxa"/>
          </w:tcPr>
          <w:p w14:paraId="7480DE08" w14:textId="77777777" w:rsidR="00AE135B" w:rsidRDefault="00EE5424">
            <w:pPr>
              <w:pStyle w:val="TableParagraph"/>
              <w:rPr>
                <w:b/>
              </w:rPr>
            </w:pPr>
            <w:r>
              <w:rPr>
                <w:b/>
                <w:spacing w:val="-2"/>
              </w:rPr>
              <w:t>Blood</w:t>
            </w:r>
            <w:r>
              <w:rPr>
                <w:b/>
                <w:spacing w:val="-7"/>
              </w:rPr>
              <w:t xml:space="preserve"> </w:t>
            </w:r>
            <w:r>
              <w:rPr>
                <w:b/>
                <w:spacing w:val="-2"/>
              </w:rPr>
              <w:t>and</w:t>
            </w:r>
            <w:r>
              <w:rPr>
                <w:b/>
                <w:spacing w:val="-8"/>
              </w:rPr>
              <w:t xml:space="preserve"> </w:t>
            </w:r>
            <w:r>
              <w:rPr>
                <w:b/>
                <w:spacing w:val="-2"/>
              </w:rPr>
              <w:t>lymphatic</w:t>
            </w:r>
            <w:r>
              <w:rPr>
                <w:b/>
                <w:spacing w:val="-5"/>
              </w:rPr>
              <w:t xml:space="preserve"> </w:t>
            </w:r>
            <w:r>
              <w:rPr>
                <w:b/>
                <w:spacing w:val="-2"/>
              </w:rPr>
              <w:t>system</w:t>
            </w:r>
            <w:r>
              <w:rPr>
                <w:b/>
                <w:spacing w:val="-7"/>
              </w:rPr>
              <w:t xml:space="preserve"> </w:t>
            </w:r>
            <w:r>
              <w:rPr>
                <w:b/>
                <w:spacing w:val="-2"/>
              </w:rPr>
              <w:t>disorders</w:t>
            </w:r>
          </w:p>
          <w:p w14:paraId="0ED2C4CE" w14:textId="77777777" w:rsidR="00AE135B" w:rsidRDefault="00EE5424">
            <w:pPr>
              <w:pStyle w:val="TableParagraph"/>
              <w:spacing w:before="60"/>
            </w:pPr>
            <w:proofErr w:type="spellStart"/>
            <w:r>
              <w:rPr>
                <w:spacing w:val="-2"/>
              </w:rPr>
              <w:t>Anaemia</w:t>
            </w:r>
            <w:proofErr w:type="spellEnd"/>
          </w:p>
        </w:tc>
        <w:tc>
          <w:tcPr>
            <w:tcW w:w="2061" w:type="dxa"/>
          </w:tcPr>
          <w:p w14:paraId="46D4DBE4" w14:textId="77777777" w:rsidR="00AE135B" w:rsidRDefault="00AE135B">
            <w:pPr>
              <w:pStyle w:val="TableParagraph"/>
              <w:spacing w:before="119"/>
              <w:ind w:left="0"/>
              <w:rPr>
                <w:b/>
              </w:rPr>
            </w:pPr>
          </w:p>
          <w:p w14:paraId="6F04977C" w14:textId="77777777" w:rsidR="00AE135B" w:rsidRDefault="00EE5424">
            <w:pPr>
              <w:pStyle w:val="TableParagraph"/>
              <w:spacing w:before="0"/>
            </w:pPr>
            <w:r>
              <w:t>771</w:t>
            </w:r>
            <w:r>
              <w:rPr>
                <w:spacing w:val="-8"/>
              </w:rPr>
              <w:t xml:space="preserve"> </w:t>
            </w:r>
            <w:r>
              <w:rPr>
                <w:spacing w:val="-2"/>
              </w:rPr>
              <w:t>(27.1)</w:t>
            </w:r>
          </w:p>
        </w:tc>
        <w:tc>
          <w:tcPr>
            <w:tcW w:w="2940" w:type="dxa"/>
          </w:tcPr>
          <w:p w14:paraId="1E347233" w14:textId="77777777" w:rsidR="00AE135B" w:rsidRDefault="00AE135B">
            <w:pPr>
              <w:pStyle w:val="TableParagraph"/>
              <w:spacing w:before="119"/>
              <w:ind w:left="0"/>
              <w:rPr>
                <w:b/>
              </w:rPr>
            </w:pPr>
          </w:p>
          <w:p w14:paraId="5D0DD5A2" w14:textId="77777777" w:rsidR="00AE135B" w:rsidRDefault="00EE5424">
            <w:pPr>
              <w:pStyle w:val="TableParagraph"/>
              <w:spacing w:before="0"/>
              <w:ind w:left="118"/>
            </w:pPr>
            <w:r>
              <w:t>859</w:t>
            </w:r>
            <w:r>
              <w:rPr>
                <w:spacing w:val="-7"/>
              </w:rPr>
              <w:t xml:space="preserve"> </w:t>
            </w:r>
            <w:r>
              <w:rPr>
                <w:spacing w:val="-2"/>
              </w:rPr>
              <w:t>(30.3)</w:t>
            </w:r>
          </w:p>
        </w:tc>
      </w:tr>
      <w:tr w:rsidR="00AE135B" w14:paraId="2A4CC962" w14:textId="77777777">
        <w:trPr>
          <w:trHeight w:val="1970"/>
        </w:trPr>
        <w:tc>
          <w:tcPr>
            <w:tcW w:w="4515" w:type="dxa"/>
          </w:tcPr>
          <w:p w14:paraId="2DABFC04" w14:textId="77777777" w:rsidR="00AE135B" w:rsidRDefault="00EE5424">
            <w:pPr>
              <w:pStyle w:val="TableParagraph"/>
              <w:rPr>
                <w:b/>
              </w:rPr>
            </w:pPr>
            <w:r>
              <w:rPr>
                <w:b/>
                <w:spacing w:val="-4"/>
              </w:rPr>
              <w:t>Gastrointestinal</w:t>
            </w:r>
            <w:r>
              <w:rPr>
                <w:b/>
                <w:spacing w:val="18"/>
              </w:rPr>
              <w:t xml:space="preserve"> </w:t>
            </w:r>
            <w:r>
              <w:rPr>
                <w:b/>
                <w:spacing w:val="-2"/>
              </w:rPr>
              <w:t>disorders</w:t>
            </w:r>
          </w:p>
          <w:p w14:paraId="39EFE2D2" w14:textId="77777777" w:rsidR="00AE135B" w:rsidRDefault="00EE5424">
            <w:pPr>
              <w:pStyle w:val="TableParagraph"/>
              <w:spacing w:before="60" w:line="297" w:lineRule="auto"/>
              <w:ind w:right="3029"/>
            </w:pPr>
            <w:r>
              <w:rPr>
                <w:spacing w:val="-2"/>
              </w:rPr>
              <w:t xml:space="preserve">Nausea </w:t>
            </w:r>
            <w:r>
              <w:rPr>
                <w:spacing w:val="-6"/>
              </w:rPr>
              <w:t xml:space="preserve">Constipation </w:t>
            </w:r>
            <w:proofErr w:type="spellStart"/>
            <w:r>
              <w:rPr>
                <w:spacing w:val="-2"/>
              </w:rPr>
              <w:t>Diarrhoea</w:t>
            </w:r>
            <w:proofErr w:type="spellEnd"/>
            <w:r>
              <w:rPr>
                <w:spacing w:val="-2"/>
              </w:rPr>
              <w:t xml:space="preserve"> Vomiting</w:t>
            </w:r>
          </w:p>
          <w:p w14:paraId="42DD6310" w14:textId="77777777" w:rsidR="00AE135B" w:rsidRDefault="00EE5424">
            <w:pPr>
              <w:pStyle w:val="TableParagraph"/>
              <w:spacing w:before="0" w:line="231" w:lineRule="exact"/>
            </w:pPr>
            <w:r>
              <w:rPr>
                <w:spacing w:val="-4"/>
              </w:rPr>
              <w:t>Abdominal</w:t>
            </w:r>
            <w:r>
              <w:rPr>
                <w:spacing w:val="6"/>
              </w:rPr>
              <w:t xml:space="preserve"> </w:t>
            </w:r>
            <w:r>
              <w:rPr>
                <w:spacing w:val="-4"/>
              </w:rPr>
              <w:t>pain</w:t>
            </w:r>
          </w:p>
        </w:tc>
        <w:tc>
          <w:tcPr>
            <w:tcW w:w="2061" w:type="dxa"/>
          </w:tcPr>
          <w:p w14:paraId="422E2F4F" w14:textId="77777777" w:rsidR="00AE135B" w:rsidRDefault="00AE135B">
            <w:pPr>
              <w:pStyle w:val="TableParagraph"/>
              <w:spacing w:before="119"/>
              <w:ind w:left="0"/>
              <w:rPr>
                <w:b/>
              </w:rPr>
            </w:pPr>
          </w:p>
          <w:p w14:paraId="00D9C305" w14:textId="77777777" w:rsidR="00AE135B" w:rsidRDefault="00EE5424">
            <w:pPr>
              <w:pStyle w:val="TableParagraph"/>
              <w:spacing w:before="0"/>
            </w:pPr>
            <w:r>
              <w:t>876</w:t>
            </w:r>
            <w:r>
              <w:rPr>
                <w:spacing w:val="-8"/>
              </w:rPr>
              <w:t xml:space="preserve"> </w:t>
            </w:r>
            <w:r>
              <w:rPr>
                <w:spacing w:val="-2"/>
              </w:rPr>
              <w:t>(30.8)</w:t>
            </w:r>
          </w:p>
          <w:p w14:paraId="3D1B37B6" w14:textId="77777777" w:rsidR="00AE135B" w:rsidRDefault="00EE5424">
            <w:pPr>
              <w:pStyle w:val="TableParagraph"/>
              <w:spacing w:before="58"/>
            </w:pPr>
            <w:r>
              <w:t>603</w:t>
            </w:r>
            <w:r>
              <w:rPr>
                <w:spacing w:val="-8"/>
              </w:rPr>
              <w:t xml:space="preserve"> </w:t>
            </w:r>
            <w:r>
              <w:rPr>
                <w:spacing w:val="-2"/>
              </w:rPr>
              <w:t>(21.2)</w:t>
            </w:r>
          </w:p>
          <w:p w14:paraId="583510FE" w14:textId="77777777" w:rsidR="00AE135B" w:rsidRDefault="00EE5424">
            <w:pPr>
              <w:pStyle w:val="TableParagraph"/>
              <w:spacing w:before="58"/>
            </w:pPr>
            <w:r>
              <w:t>577</w:t>
            </w:r>
            <w:r>
              <w:rPr>
                <w:spacing w:val="-8"/>
              </w:rPr>
              <w:t xml:space="preserve"> </w:t>
            </w:r>
            <w:r>
              <w:rPr>
                <w:spacing w:val="-2"/>
              </w:rPr>
              <w:t>(20.3)</w:t>
            </w:r>
          </w:p>
          <w:p w14:paraId="06D9B758" w14:textId="77777777" w:rsidR="00AE135B" w:rsidRDefault="00EE5424">
            <w:pPr>
              <w:pStyle w:val="TableParagraph"/>
              <w:spacing w:before="65"/>
            </w:pPr>
            <w:r>
              <w:t>566</w:t>
            </w:r>
            <w:r>
              <w:rPr>
                <w:spacing w:val="-8"/>
              </w:rPr>
              <w:t xml:space="preserve"> </w:t>
            </w:r>
            <w:r>
              <w:rPr>
                <w:spacing w:val="-2"/>
              </w:rPr>
              <w:t>(19.9)</w:t>
            </w:r>
          </w:p>
          <w:p w14:paraId="695B60FD" w14:textId="77777777" w:rsidR="00AE135B" w:rsidRDefault="00EE5424">
            <w:pPr>
              <w:pStyle w:val="TableParagraph"/>
              <w:spacing w:before="49" w:line="259" w:lineRule="exact"/>
            </w:pPr>
            <w:r>
              <w:t>292</w:t>
            </w:r>
            <w:r>
              <w:rPr>
                <w:spacing w:val="-8"/>
              </w:rPr>
              <w:t xml:space="preserve"> </w:t>
            </w:r>
            <w:r>
              <w:rPr>
                <w:spacing w:val="-2"/>
              </w:rPr>
              <w:t>(10.3)</w:t>
            </w:r>
          </w:p>
        </w:tc>
        <w:tc>
          <w:tcPr>
            <w:tcW w:w="2940" w:type="dxa"/>
          </w:tcPr>
          <w:p w14:paraId="71A4C8B0" w14:textId="77777777" w:rsidR="00AE135B" w:rsidRDefault="00AE135B">
            <w:pPr>
              <w:pStyle w:val="TableParagraph"/>
              <w:spacing w:before="119"/>
              <w:ind w:left="0"/>
              <w:rPr>
                <w:b/>
              </w:rPr>
            </w:pPr>
          </w:p>
          <w:p w14:paraId="59B3EEAA" w14:textId="77777777" w:rsidR="00AE135B" w:rsidRDefault="00EE5424">
            <w:pPr>
              <w:pStyle w:val="TableParagraph"/>
              <w:spacing w:before="0"/>
              <w:ind w:left="118"/>
            </w:pPr>
            <w:r>
              <w:t>895</w:t>
            </w:r>
            <w:r>
              <w:rPr>
                <w:spacing w:val="-7"/>
              </w:rPr>
              <w:t xml:space="preserve"> </w:t>
            </w:r>
            <w:r>
              <w:rPr>
                <w:spacing w:val="-2"/>
              </w:rPr>
              <w:t>(31.6)</w:t>
            </w:r>
          </w:p>
          <w:p w14:paraId="66D7CACB" w14:textId="77777777" w:rsidR="00AE135B" w:rsidRDefault="00EE5424">
            <w:pPr>
              <w:pStyle w:val="TableParagraph"/>
              <w:spacing w:before="58"/>
              <w:ind w:left="118"/>
            </w:pPr>
            <w:r>
              <w:t>670</w:t>
            </w:r>
            <w:r>
              <w:rPr>
                <w:spacing w:val="-7"/>
              </w:rPr>
              <w:t xml:space="preserve"> </w:t>
            </w:r>
            <w:r>
              <w:rPr>
                <w:spacing w:val="-2"/>
              </w:rPr>
              <w:t>(23.6)</w:t>
            </w:r>
          </w:p>
          <w:p w14:paraId="7F8BC22E" w14:textId="77777777" w:rsidR="00AE135B" w:rsidRDefault="00EE5424">
            <w:pPr>
              <w:pStyle w:val="TableParagraph"/>
              <w:spacing w:before="58"/>
              <w:ind w:left="118"/>
            </w:pPr>
            <w:r>
              <w:t>530</w:t>
            </w:r>
            <w:r>
              <w:rPr>
                <w:spacing w:val="-7"/>
              </w:rPr>
              <w:t xml:space="preserve"> </w:t>
            </w:r>
            <w:r>
              <w:rPr>
                <w:spacing w:val="-2"/>
              </w:rPr>
              <w:t>(18.7)</w:t>
            </w:r>
          </w:p>
          <w:p w14:paraId="2FA56941" w14:textId="77777777" w:rsidR="00AE135B" w:rsidRDefault="00EE5424">
            <w:pPr>
              <w:pStyle w:val="TableParagraph"/>
              <w:spacing w:before="65"/>
              <w:ind w:left="118"/>
            </w:pPr>
            <w:r>
              <w:t>570</w:t>
            </w:r>
            <w:r>
              <w:rPr>
                <w:spacing w:val="-7"/>
              </w:rPr>
              <w:t xml:space="preserve"> </w:t>
            </w:r>
            <w:r>
              <w:rPr>
                <w:spacing w:val="-2"/>
              </w:rPr>
              <w:t>(20.1)</w:t>
            </w:r>
          </w:p>
          <w:p w14:paraId="77C3B6E8" w14:textId="77777777" w:rsidR="00AE135B" w:rsidRDefault="00EE5424">
            <w:pPr>
              <w:pStyle w:val="TableParagraph"/>
              <w:spacing w:before="49" w:line="259" w:lineRule="exact"/>
              <w:ind w:left="118"/>
            </w:pPr>
            <w:r>
              <w:t>280</w:t>
            </w:r>
            <w:r>
              <w:rPr>
                <w:spacing w:val="-9"/>
              </w:rPr>
              <w:t xml:space="preserve"> </w:t>
            </w:r>
            <w:r>
              <w:rPr>
                <w:spacing w:val="-2"/>
              </w:rPr>
              <w:t>(9.9)</w:t>
            </w:r>
          </w:p>
        </w:tc>
      </w:tr>
      <w:tr w:rsidR="00AE135B" w14:paraId="6AB8F3CD" w14:textId="77777777">
        <w:trPr>
          <w:trHeight w:val="2044"/>
        </w:trPr>
        <w:tc>
          <w:tcPr>
            <w:tcW w:w="4515" w:type="dxa"/>
          </w:tcPr>
          <w:p w14:paraId="5ED68C0B" w14:textId="77777777" w:rsidR="00AE135B" w:rsidRDefault="00EE5424">
            <w:pPr>
              <w:pStyle w:val="TableParagraph"/>
              <w:rPr>
                <w:b/>
              </w:rPr>
            </w:pPr>
            <w:r>
              <w:rPr>
                <w:b/>
                <w:spacing w:val="-2"/>
              </w:rPr>
              <w:lastRenderedPageBreak/>
              <w:t>General disorders and</w:t>
            </w:r>
            <w:r>
              <w:rPr>
                <w:b/>
                <w:spacing w:val="-3"/>
              </w:rPr>
              <w:t xml:space="preserve"> </w:t>
            </w:r>
            <w:r>
              <w:rPr>
                <w:b/>
                <w:spacing w:val="-2"/>
              </w:rPr>
              <w:t>administration</w:t>
            </w:r>
            <w:r>
              <w:rPr>
                <w:b/>
                <w:spacing w:val="-6"/>
              </w:rPr>
              <w:t xml:space="preserve"> </w:t>
            </w:r>
            <w:r>
              <w:rPr>
                <w:b/>
                <w:spacing w:val="-2"/>
              </w:rPr>
              <w:t>site conditions</w:t>
            </w:r>
          </w:p>
          <w:p w14:paraId="67C75ADC" w14:textId="77777777" w:rsidR="00AE135B" w:rsidRDefault="00EE5424">
            <w:pPr>
              <w:pStyle w:val="TableParagraph"/>
              <w:spacing w:before="63" w:line="345" w:lineRule="auto"/>
              <w:ind w:right="3029"/>
            </w:pPr>
            <w:r>
              <w:rPr>
                <w:spacing w:val="-2"/>
              </w:rPr>
              <w:t xml:space="preserve">Fatigue </w:t>
            </w:r>
            <w:r>
              <w:rPr>
                <w:spacing w:val="-6"/>
              </w:rPr>
              <w:t>Asthenia</w:t>
            </w:r>
          </w:p>
          <w:p w14:paraId="65F59418" w14:textId="77777777" w:rsidR="00AE135B" w:rsidRDefault="00EE5424">
            <w:pPr>
              <w:pStyle w:val="TableParagraph"/>
              <w:spacing w:before="0" w:line="232" w:lineRule="exact"/>
            </w:pPr>
            <w:r>
              <w:rPr>
                <w:spacing w:val="-4"/>
              </w:rPr>
              <w:t>Oedema</w:t>
            </w:r>
            <w:r>
              <w:rPr>
                <w:spacing w:val="-3"/>
              </w:rPr>
              <w:t xml:space="preserve"> </w:t>
            </w:r>
            <w:r>
              <w:rPr>
                <w:spacing w:val="-2"/>
              </w:rPr>
              <w:t>peripheral</w:t>
            </w:r>
          </w:p>
          <w:p w14:paraId="193F4552" w14:textId="77777777" w:rsidR="00AE135B" w:rsidRDefault="00EE5424">
            <w:pPr>
              <w:pStyle w:val="TableParagraph"/>
              <w:spacing w:before="48"/>
              <w:ind w:left="165"/>
            </w:pPr>
            <w:r>
              <w:rPr>
                <w:spacing w:val="-2"/>
              </w:rPr>
              <w:t>Pyrexia</w:t>
            </w:r>
          </w:p>
        </w:tc>
        <w:tc>
          <w:tcPr>
            <w:tcW w:w="2061" w:type="dxa"/>
          </w:tcPr>
          <w:p w14:paraId="2B532425" w14:textId="77777777" w:rsidR="00AE135B" w:rsidRDefault="00AE135B">
            <w:pPr>
              <w:pStyle w:val="TableParagraph"/>
              <w:spacing w:before="0"/>
              <w:ind w:left="0"/>
              <w:rPr>
                <w:b/>
              </w:rPr>
            </w:pPr>
          </w:p>
          <w:p w14:paraId="2F9E729D" w14:textId="77777777" w:rsidR="00AE135B" w:rsidRDefault="00AE135B">
            <w:pPr>
              <w:pStyle w:val="TableParagraph"/>
              <w:spacing w:before="179"/>
              <w:ind w:left="0"/>
              <w:rPr>
                <w:b/>
              </w:rPr>
            </w:pPr>
          </w:p>
          <w:p w14:paraId="6C9FBC56" w14:textId="77777777" w:rsidR="00AE135B" w:rsidRDefault="00EE5424">
            <w:pPr>
              <w:pStyle w:val="TableParagraph"/>
              <w:spacing w:before="0"/>
            </w:pPr>
            <w:r>
              <w:t>769</w:t>
            </w:r>
            <w:r>
              <w:rPr>
                <w:spacing w:val="-8"/>
              </w:rPr>
              <w:t xml:space="preserve"> </w:t>
            </w:r>
            <w:r>
              <w:rPr>
                <w:spacing w:val="-2"/>
              </w:rPr>
              <w:t>(27.1)</w:t>
            </w:r>
          </w:p>
          <w:p w14:paraId="47091E23" w14:textId="77777777" w:rsidR="00AE135B" w:rsidRDefault="00EE5424">
            <w:pPr>
              <w:pStyle w:val="TableParagraph"/>
              <w:spacing w:before="58"/>
            </w:pPr>
            <w:r>
              <w:t>607</w:t>
            </w:r>
            <w:r>
              <w:rPr>
                <w:spacing w:val="-8"/>
              </w:rPr>
              <w:t xml:space="preserve"> </w:t>
            </w:r>
            <w:r>
              <w:rPr>
                <w:spacing w:val="-2"/>
              </w:rPr>
              <w:t>(21.4)</w:t>
            </w:r>
          </w:p>
          <w:p w14:paraId="43D5F7F6" w14:textId="77777777" w:rsidR="00AE135B" w:rsidRDefault="00EE5424">
            <w:pPr>
              <w:pStyle w:val="TableParagraph"/>
              <w:spacing w:before="58"/>
            </w:pPr>
            <w:r>
              <w:t>472</w:t>
            </w:r>
            <w:r>
              <w:rPr>
                <w:spacing w:val="-8"/>
              </w:rPr>
              <w:t xml:space="preserve"> </w:t>
            </w:r>
            <w:r>
              <w:rPr>
                <w:spacing w:val="-2"/>
              </w:rPr>
              <w:t>(16.6)</w:t>
            </w:r>
          </w:p>
          <w:p w14:paraId="02966AA4" w14:textId="77777777" w:rsidR="00AE135B" w:rsidRDefault="00EE5424">
            <w:pPr>
              <w:pStyle w:val="TableParagraph"/>
              <w:spacing w:before="63"/>
            </w:pPr>
            <w:r>
              <w:t>409</w:t>
            </w:r>
            <w:r>
              <w:rPr>
                <w:spacing w:val="-8"/>
              </w:rPr>
              <w:t xml:space="preserve"> </w:t>
            </w:r>
            <w:r>
              <w:rPr>
                <w:spacing w:val="-2"/>
              </w:rPr>
              <w:t>(14.4)</w:t>
            </w:r>
          </w:p>
        </w:tc>
        <w:tc>
          <w:tcPr>
            <w:tcW w:w="2940" w:type="dxa"/>
          </w:tcPr>
          <w:p w14:paraId="5F85D9FC" w14:textId="77777777" w:rsidR="00AE135B" w:rsidRDefault="00AE135B">
            <w:pPr>
              <w:pStyle w:val="TableParagraph"/>
              <w:spacing w:before="0"/>
              <w:ind w:left="0"/>
              <w:rPr>
                <w:b/>
              </w:rPr>
            </w:pPr>
          </w:p>
          <w:p w14:paraId="2D089289" w14:textId="77777777" w:rsidR="00AE135B" w:rsidRDefault="00AE135B">
            <w:pPr>
              <w:pStyle w:val="TableParagraph"/>
              <w:spacing w:before="179"/>
              <w:ind w:left="0"/>
              <w:rPr>
                <w:b/>
              </w:rPr>
            </w:pPr>
          </w:p>
          <w:p w14:paraId="3CEA5129" w14:textId="77777777" w:rsidR="00AE135B" w:rsidRDefault="00EE5424">
            <w:pPr>
              <w:pStyle w:val="TableParagraph"/>
              <w:spacing w:before="0"/>
              <w:ind w:left="118"/>
            </w:pPr>
            <w:r>
              <w:t>766</w:t>
            </w:r>
            <w:r>
              <w:rPr>
                <w:spacing w:val="-7"/>
              </w:rPr>
              <w:t xml:space="preserve"> </w:t>
            </w:r>
            <w:r>
              <w:rPr>
                <w:spacing w:val="-2"/>
              </w:rPr>
              <w:t>(27.0)</w:t>
            </w:r>
          </w:p>
          <w:p w14:paraId="04385F00" w14:textId="77777777" w:rsidR="00AE135B" w:rsidRDefault="00EE5424">
            <w:pPr>
              <w:pStyle w:val="TableParagraph"/>
              <w:spacing w:before="58"/>
              <w:ind w:left="118"/>
            </w:pPr>
            <w:r>
              <w:t>621</w:t>
            </w:r>
            <w:r>
              <w:rPr>
                <w:spacing w:val="-7"/>
              </w:rPr>
              <w:t xml:space="preserve"> </w:t>
            </w:r>
            <w:r>
              <w:rPr>
                <w:spacing w:val="-2"/>
              </w:rPr>
              <w:t>(21.9)</w:t>
            </w:r>
          </w:p>
          <w:p w14:paraId="01A132F5" w14:textId="77777777" w:rsidR="00AE135B" w:rsidRDefault="00EE5424">
            <w:pPr>
              <w:pStyle w:val="TableParagraph"/>
              <w:spacing w:before="58"/>
              <w:ind w:left="118"/>
            </w:pPr>
            <w:r>
              <w:t>462</w:t>
            </w:r>
            <w:r>
              <w:rPr>
                <w:spacing w:val="-7"/>
              </w:rPr>
              <w:t xml:space="preserve"> </w:t>
            </w:r>
            <w:r>
              <w:rPr>
                <w:spacing w:val="-2"/>
              </w:rPr>
              <w:t>(16.3)</w:t>
            </w:r>
          </w:p>
          <w:p w14:paraId="202C9E13" w14:textId="77777777" w:rsidR="00AE135B" w:rsidRDefault="00EE5424">
            <w:pPr>
              <w:pStyle w:val="TableParagraph"/>
              <w:spacing w:before="63"/>
              <w:ind w:left="118"/>
            </w:pPr>
            <w:r>
              <w:t>562</w:t>
            </w:r>
            <w:r>
              <w:rPr>
                <w:spacing w:val="-7"/>
              </w:rPr>
              <w:t xml:space="preserve"> </w:t>
            </w:r>
            <w:r>
              <w:rPr>
                <w:spacing w:val="-2"/>
              </w:rPr>
              <w:t>(19.8)</w:t>
            </w:r>
          </w:p>
        </w:tc>
      </w:tr>
      <w:tr w:rsidR="00AE135B" w14:paraId="6AB62D10" w14:textId="77777777">
        <w:trPr>
          <w:trHeight w:val="686"/>
        </w:trPr>
        <w:tc>
          <w:tcPr>
            <w:tcW w:w="4515" w:type="dxa"/>
          </w:tcPr>
          <w:p w14:paraId="546DEDF4" w14:textId="77777777" w:rsidR="00AE135B" w:rsidRDefault="00EE5424">
            <w:pPr>
              <w:pStyle w:val="TableParagraph"/>
              <w:rPr>
                <w:b/>
              </w:rPr>
            </w:pPr>
            <w:r>
              <w:rPr>
                <w:b/>
                <w:spacing w:val="-2"/>
              </w:rPr>
              <w:t>Investigations</w:t>
            </w:r>
          </w:p>
          <w:p w14:paraId="184E9025" w14:textId="77777777" w:rsidR="00AE135B" w:rsidRDefault="00EE5424">
            <w:pPr>
              <w:pStyle w:val="TableParagraph"/>
              <w:spacing w:before="63"/>
            </w:pPr>
            <w:r>
              <w:rPr>
                <w:spacing w:val="-2"/>
              </w:rPr>
              <w:t>Weight</w:t>
            </w:r>
            <w:r>
              <w:rPr>
                <w:spacing w:val="-6"/>
              </w:rPr>
              <w:t xml:space="preserve"> </w:t>
            </w:r>
            <w:r>
              <w:rPr>
                <w:spacing w:val="-2"/>
              </w:rPr>
              <w:t>decreased</w:t>
            </w:r>
          </w:p>
        </w:tc>
        <w:tc>
          <w:tcPr>
            <w:tcW w:w="2061" w:type="dxa"/>
          </w:tcPr>
          <w:p w14:paraId="18FCA181" w14:textId="77777777" w:rsidR="00AE135B" w:rsidRDefault="00AE135B">
            <w:pPr>
              <w:pStyle w:val="TableParagraph"/>
              <w:spacing w:before="122"/>
              <w:ind w:left="0"/>
              <w:rPr>
                <w:b/>
              </w:rPr>
            </w:pPr>
          </w:p>
          <w:p w14:paraId="2ECC7EF9" w14:textId="77777777" w:rsidR="00AE135B" w:rsidRDefault="00EE5424">
            <w:pPr>
              <w:pStyle w:val="TableParagraph"/>
              <w:spacing w:before="0"/>
            </w:pPr>
            <w:r>
              <w:t>330</w:t>
            </w:r>
            <w:r>
              <w:rPr>
                <w:spacing w:val="-8"/>
              </w:rPr>
              <w:t xml:space="preserve"> </w:t>
            </w:r>
            <w:r>
              <w:rPr>
                <w:spacing w:val="-2"/>
              </w:rPr>
              <w:t>(11.6)</w:t>
            </w:r>
          </w:p>
        </w:tc>
        <w:tc>
          <w:tcPr>
            <w:tcW w:w="2940" w:type="dxa"/>
          </w:tcPr>
          <w:p w14:paraId="762FD744" w14:textId="77777777" w:rsidR="00AE135B" w:rsidRDefault="00AE135B">
            <w:pPr>
              <w:pStyle w:val="TableParagraph"/>
              <w:spacing w:before="122"/>
              <w:ind w:left="0"/>
              <w:rPr>
                <w:b/>
              </w:rPr>
            </w:pPr>
          </w:p>
          <w:p w14:paraId="2462507A" w14:textId="77777777" w:rsidR="00AE135B" w:rsidRDefault="00EE5424">
            <w:pPr>
              <w:pStyle w:val="TableParagraph"/>
              <w:spacing w:before="0"/>
              <w:ind w:left="118"/>
            </w:pPr>
            <w:r>
              <w:t>332</w:t>
            </w:r>
            <w:r>
              <w:rPr>
                <w:spacing w:val="-7"/>
              </w:rPr>
              <w:t xml:space="preserve"> </w:t>
            </w:r>
            <w:r>
              <w:rPr>
                <w:spacing w:val="-2"/>
              </w:rPr>
              <w:t>(11.7)</w:t>
            </w:r>
          </w:p>
        </w:tc>
      </w:tr>
      <w:tr w:rsidR="00AE135B" w14:paraId="09B8C2BE" w14:textId="77777777">
        <w:trPr>
          <w:trHeight w:val="683"/>
        </w:trPr>
        <w:tc>
          <w:tcPr>
            <w:tcW w:w="4515" w:type="dxa"/>
          </w:tcPr>
          <w:p w14:paraId="69EBA95C" w14:textId="77777777" w:rsidR="00AE135B" w:rsidRDefault="00EE5424">
            <w:pPr>
              <w:pStyle w:val="TableParagraph"/>
              <w:rPr>
                <w:b/>
              </w:rPr>
            </w:pPr>
            <w:r>
              <w:rPr>
                <w:b/>
                <w:spacing w:val="-2"/>
              </w:rPr>
              <w:t>Metabolism</w:t>
            </w:r>
            <w:r>
              <w:rPr>
                <w:b/>
                <w:spacing w:val="-7"/>
              </w:rPr>
              <w:t xml:space="preserve"> </w:t>
            </w:r>
            <w:r>
              <w:rPr>
                <w:b/>
                <w:spacing w:val="-2"/>
              </w:rPr>
              <w:t>and</w:t>
            </w:r>
            <w:r>
              <w:rPr>
                <w:b/>
                <w:spacing w:val="-8"/>
              </w:rPr>
              <w:t xml:space="preserve"> </w:t>
            </w:r>
            <w:r>
              <w:rPr>
                <w:b/>
                <w:spacing w:val="-2"/>
              </w:rPr>
              <w:t>nutrition</w:t>
            </w:r>
            <w:r>
              <w:rPr>
                <w:b/>
                <w:spacing w:val="-7"/>
              </w:rPr>
              <w:t xml:space="preserve"> </w:t>
            </w:r>
            <w:r>
              <w:rPr>
                <w:b/>
                <w:spacing w:val="-2"/>
              </w:rPr>
              <w:t>disorders</w:t>
            </w:r>
          </w:p>
          <w:p w14:paraId="10CD1381" w14:textId="77777777" w:rsidR="00AE135B" w:rsidRDefault="00EE5424">
            <w:pPr>
              <w:pStyle w:val="TableParagraph"/>
              <w:spacing w:before="60"/>
            </w:pPr>
            <w:r>
              <w:rPr>
                <w:spacing w:val="-4"/>
              </w:rPr>
              <w:t>Decreased</w:t>
            </w:r>
            <w:r>
              <w:rPr>
                <w:spacing w:val="6"/>
              </w:rPr>
              <w:t xml:space="preserve"> </w:t>
            </w:r>
            <w:r>
              <w:rPr>
                <w:spacing w:val="-2"/>
              </w:rPr>
              <w:t>appetite</w:t>
            </w:r>
          </w:p>
        </w:tc>
        <w:tc>
          <w:tcPr>
            <w:tcW w:w="2061" w:type="dxa"/>
          </w:tcPr>
          <w:p w14:paraId="2671F09D" w14:textId="77777777" w:rsidR="00AE135B" w:rsidRDefault="00AE135B">
            <w:pPr>
              <w:pStyle w:val="TableParagraph"/>
              <w:spacing w:before="119"/>
              <w:ind w:left="0"/>
              <w:rPr>
                <w:b/>
              </w:rPr>
            </w:pPr>
          </w:p>
          <w:p w14:paraId="7C288C13" w14:textId="77777777" w:rsidR="00AE135B" w:rsidRDefault="00EE5424">
            <w:pPr>
              <w:pStyle w:val="TableParagraph"/>
              <w:spacing w:before="0"/>
            </w:pPr>
            <w:r>
              <w:t>656</w:t>
            </w:r>
            <w:r>
              <w:rPr>
                <w:spacing w:val="-8"/>
              </w:rPr>
              <w:t xml:space="preserve"> </w:t>
            </w:r>
            <w:r>
              <w:rPr>
                <w:spacing w:val="-2"/>
              </w:rPr>
              <w:t>(23.1)</w:t>
            </w:r>
          </w:p>
        </w:tc>
        <w:tc>
          <w:tcPr>
            <w:tcW w:w="2940" w:type="dxa"/>
          </w:tcPr>
          <w:p w14:paraId="3A92BB53" w14:textId="77777777" w:rsidR="00AE135B" w:rsidRDefault="00AE135B">
            <w:pPr>
              <w:pStyle w:val="TableParagraph"/>
              <w:spacing w:before="119"/>
              <w:ind w:left="0"/>
              <w:rPr>
                <w:b/>
              </w:rPr>
            </w:pPr>
          </w:p>
          <w:p w14:paraId="2A2933E6" w14:textId="77777777" w:rsidR="00AE135B" w:rsidRDefault="00EE5424">
            <w:pPr>
              <w:pStyle w:val="TableParagraph"/>
              <w:spacing w:before="0"/>
              <w:ind w:left="118"/>
            </w:pPr>
            <w:r>
              <w:t>694</w:t>
            </w:r>
            <w:r>
              <w:rPr>
                <w:spacing w:val="-7"/>
              </w:rPr>
              <w:t xml:space="preserve"> </w:t>
            </w:r>
            <w:r>
              <w:rPr>
                <w:spacing w:val="-2"/>
              </w:rPr>
              <w:t>(24.5)</w:t>
            </w:r>
          </w:p>
        </w:tc>
      </w:tr>
      <w:tr w:rsidR="00AE135B" w14:paraId="639D2690" w14:textId="77777777">
        <w:trPr>
          <w:trHeight w:val="2318"/>
        </w:trPr>
        <w:tc>
          <w:tcPr>
            <w:tcW w:w="4515" w:type="dxa"/>
          </w:tcPr>
          <w:p w14:paraId="1013B1BE" w14:textId="77777777" w:rsidR="00AE135B" w:rsidRDefault="00EE5424">
            <w:pPr>
              <w:pStyle w:val="TableParagraph"/>
              <w:ind w:right="321"/>
              <w:jc w:val="both"/>
              <w:rPr>
                <w:b/>
              </w:rPr>
            </w:pPr>
            <w:r>
              <w:rPr>
                <w:b/>
              </w:rPr>
              <w:t xml:space="preserve">Musculoskeletal and connective tissue </w:t>
            </w:r>
            <w:r>
              <w:rPr>
                <w:b/>
                <w:spacing w:val="-2"/>
              </w:rPr>
              <w:t>disorders</w:t>
            </w:r>
          </w:p>
          <w:p w14:paraId="5E967AC5" w14:textId="77777777" w:rsidR="00AE135B" w:rsidRDefault="00EE5424">
            <w:pPr>
              <w:pStyle w:val="TableParagraph"/>
              <w:spacing w:before="60" w:line="297" w:lineRule="auto"/>
              <w:ind w:right="3501"/>
              <w:jc w:val="both"/>
            </w:pPr>
            <w:r>
              <w:t>Back</w:t>
            </w:r>
            <w:r>
              <w:rPr>
                <w:spacing w:val="-7"/>
              </w:rPr>
              <w:t xml:space="preserve"> </w:t>
            </w:r>
            <w:r>
              <w:t xml:space="preserve">pain </w:t>
            </w:r>
            <w:r>
              <w:rPr>
                <w:spacing w:val="-2"/>
              </w:rPr>
              <w:t xml:space="preserve">Arthralgia </w:t>
            </w:r>
            <w:r>
              <w:t>Bone</w:t>
            </w:r>
            <w:r>
              <w:rPr>
                <w:spacing w:val="-13"/>
              </w:rPr>
              <w:t xml:space="preserve"> </w:t>
            </w:r>
            <w:r>
              <w:rPr>
                <w:spacing w:val="-4"/>
              </w:rPr>
              <w:t>pain</w:t>
            </w:r>
          </w:p>
          <w:p w14:paraId="4DF0D2F9" w14:textId="77777777" w:rsidR="00AE135B" w:rsidRDefault="00EE5424">
            <w:pPr>
              <w:pStyle w:val="TableParagraph"/>
              <w:spacing w:before="4"/>
              <w:jc w:val="both"/>
            </w:pPr>
            <w:r>
              <w:t>Pain</w:t>
            </w:r>
            <w:r>
              <w:rPr>
                <w:spacing w:val="-8"/>
              </w:rPr>
              <w:t xml:space="preserve"> </w:t>
            </w:r>
            <w:r>
              <w:t>in</w:t>
            </w:r>
            <w:r>
              <w:rPr>
                <w:spacing w:val="-6"/>
              </w:rPr>
              <w:t xml:space="preserve"> </w:t>
            </w:r>
            <w:r>
              <w:rPr>
                <w:spacing w:val="-2"/>
              </w:rPr>
              <w:t>extremity</w:t>
            </w:r>
          </w:p>
          <w:p w14:paraId="2ADA7A84" w14:textId="77777777" w:rsidR="00AE135B" w:rsidRDefault="00EE5424">
            <w:pPr>
              <w:pStyle w:val="TableParagraph"/>
              <w:spacing w:before="57"/>
              <w:jc w:val="both"/>
            </w:pPr>
            <w:r>
              <w:rPr>
                <w:spacing w:val="-4"/>
              </w:rPr>
              <w:t>Musculoskeletal</w:t>
            </w:r>
            <w:r>
              <w:rPr>
                <w:spacing w:val="15"/>
              </w:rPr>
              <w:t xml:space="preserve"> </w:t>
            </w:r>
            <w:r>
              <w:rPr>
                <w:spacing w:val="-4"/>
              </w:rPr>
              <w:t>pain</w:t>
            </w:r>
          </w:p>
        </w:tc>
        <w:tc>
          <w:tcPr>
            <w:tcW w:w="2061" w:type="dxa"/>
          </w:tcPr>
          <w:p w14:paraId="1A9AEE8D" w14:textId="77777777" w:rsidR="00AE135B" w:rsidRDefault="00AE135B">
            <w:pPr>
              <w:pStyle w:val="TableParagraph"/>
              <w:spacing w:before="0"/>
              <w:ind w:left="0"/>
              <w:rPr>
                <w:b/>
              </w:rPr>
            </w:pPr>
          </w:p>
          <w:p w14:paraId="44BE4D79" w14:textId="77777777" w:rsidR="00AE135B" w:rsidRDefault="00AE135B">
            <w:pPr>
              <w:pStyle w:val="TableParagraph"/>
              <w:spacing w:before="179"/>
              <w:ind w:left="0"/>
              <w:rPr>
                <w:b/>
              </w:rPr>
            </w:pPr>
          </w:p>
          <w:p w14:paraId="53AEE1EA" w14:textId="77777777" w:rsidR="00AE135B" w:rsidRDefault="00EE5424">
            <w:pPr>
              <w:pStyle w:val="TableParagraph"/>
              <w:spacing w:before="0"/>
            </w:pPr>
            <w:r>
              <w:t>718</w:t>
            </w:r>
            <w:r>
              <w:rPr>
                <w:spacing w:val="-8"/>
              </w:rPr>
              <w:t xml:space="preserve"> </w:t>
            </w:r>
            <w:r>
              <w:rPr>
                <w:spacing w:val="-2"/>
              </w:rPr>
              <w:t>(25.3)</w:t>
            </w:r>
          </w:p>
          <w:p w14:paraId="771DA85E" w14:textId="77777777" w:rsidR="00AE135B" w:rsidRDefault="00EE5424">
            <w:pPr>
              <w:pStyle w:val="TableParagraph"/>
              <w:spacing w:before="58"/>
            </w:pPr>
            <w:r>
              <w:t>570</w:t>
            </w:r>
            <w:r>
              <w:rPr>
                <w:spacing w:val="-8"/>
              </w:rPr>
              <w:t xml:space="preserve"> </w:t>
            </w:r>
            <w:r>
              <w:rPr>
                <w:spacing w:val="-2"/>
              </w:rPr>
              <w:t>(20.1)</w:t>
            </w:r>
          </w:p>
          <w:p w14:paraId="47D12099" w14:textId="77777777" w:rsidR="00AE135B" w:rsidRDefault="00EE5424">
            <w:pPr>
              <w:pStyle w:val="TableParagraph"/>
              <w:spacing w:before="63"/>
            </w:pPr>
            <w:r>
              <w:t>564</w:t>
            </w:r>
            <w:r>
              <w:rPr>
                <w:spacing w:val="-8"/>
              </w:rPr>
              <w:t xml:space="preserve"> </w:t>
            </w:r>
            <w:r>
              <w:rPr>
                <w:spacing w:val="-2"/>
              </w:rPr>
              <w:t>(19.9)</w:t>
            </w:r>
          </w:p>
          <w:p w14:paraId="3CDC7090" w14:textId="77777777" w:rsidR="00AE135B" w:rsidRDefault="00EE5424">
            <w:pPr>
              <w:pStyle w:val="TableParagraph"/>
              <w:spacing w:before="60"/>
            </w:pPr>
            <w:r>
              <w:t>524</w:t>
            </w:r>
            <w:r>
              <w:rPr>
                <w:spacing w:val="-8"/>
              </w:rPr>
              <w:t xml:space="preserve"> </w:t>
            </w:r>
            <w:r>
              <w:rPr>
                <w:spacing w:val="-2"/>
              </w:rPr>
              <w:t>(18.4)</w:t>
            </w:r>
          </w:p>
          <w:p w14:paraId="6FD71C20" w14:textId="77777777" w:rsidR="00AE135B" w:rsidRDefault="00EE5424">
            <w:pPr>
              <w:pStyle w:val="TableParagraph"/>
              <w:spacing w:before="66" w:line="261" w:lineRule="exact"/>
            </w:pPr>
            <w:r>
              <w:t>357</w:t>
            </w:r>
            <w:r>
              <w:rPr>
                <w:spacing w:val="-8"/>
              </w:rPr>
              <w:t xml:space="preserve"> </w:t>
            </w:r>
            <w:r>
              <w:rPr>
                <w:spacing w:val="-2"/>
              </w:rPr>
              <w:t>(12.6)</w:t>
            </w:r>
          </w:p>
        </w:tc>
        <w:tc>
          <w:tcPr>
            <w:tcW w:w="2940" w:type="dxa"/>
          </w:tcPr>
          <w:p w14:paraId="2A5EF355" w14:textId="77777777" w:rsidR="00AE135B" w:rsidRDefault="00AE135B">
            <w:pPr>
              <w:pStyle w:val="TableParagraph"/>
              <w:spacing w:before="0"/>
              <w:ind w:left="0"/>
              <w:rPr>
                <w:b/>
              </w:rPr>
            </w:pPr>
          </w:p>
          <w:p w14:paraId="17A9D986" w14:textId="77777777" w:rsidR="00AE135B" w:rsidRDefault="00AE135B">
            <w:pPr>
              <w:pStyle w:val="TableParagraph"/>
              <w:spacing w:before="179"/>
              <w:ind w:left="0"/>
              <w:rPr>
                <w:b/>
              </w:rPr>
            </w:pPr>
          </w:p>
          <w:p w14:paraId="6A0AB4C1" w14:textId="77777777" w:rsidR="00AE135B" w:rsidRDefault="00EE5424">
            <w:pPr>
              <w:pStyle w:val="TableParagraph"/>
              <w:spacing w:before="0"/>
              <w:ind w:left="118"/>
            </w:pPr>
            <w:r>
              <w:t>747</w:t>
            </w:r>
            <w:r>
              <w:rPr>
                <w:spacing w:val="-7"/>
              </w:rPr>
              <w:t xml:space="preserve"> </w:t>
            </w:r>
            <w:r>
              <w:rPr>
                <w:spacing w:val="-2"/>
              </w:rPr>
              <w:t>(26.3)</w:t>
            </w:r>
          </w:p>
          <w:p w14:paraId="37C55077" w14:textId="77777777" w:rsidR="00AE135B" w:rsidRDefault="00EE5424">
            <w:pPr>
              <w:pStyle w:val="TableParagraph"/>
              <w:spacing w:before="58"/>
              <w:ind w:left="118"/>
            </w:pPr>
            <w:r>
              <w:t>632</w:t>
            </w:r>
            <w:r>
              <w:rPr>
                <w:spacing w:val="-7"/>
              </w:rPr>
              <w:t xml:space="preserve"> </w:t>
            </w:r>
            <w:r>
              <w:rPr>
                <w:spacing w:val="-2"/>
              </w:rPr>
              <w:t>(22.3)</w:t>
            </w:r>
          </w:p>
          <w:p w14:paraId="27ACC4D7" w14:textId="77777777" w:rsidR="00AE135B" w:rsidRDefault="00EE5424">
            <w:pPr>
              <w:pStyle w:val="TableParagraph"/>
              <w:spacing w:before="63"/>
              <w:ind w:left="118"/>
            </w:pPr>
            <w:r>
              <w:t>639</w:t>
            </w:r>
            <w:r>
              <w:rPr>
                <w:spacing w:val="-7"/>
              </w:rPr>
              <w:t xml:space="preserve"> </w:t>
            </w:r>
            <w:r>
              <w:rPr>
                <w:spacing w:val="-2"/>
              </w:rPr>
              <w:t>(22.5)</w:t>
            </w:r>
          </w:p>
          <w:p w14:paraId="2A083D41" w14:textId="77777777" w:rsidR="00AE135B" w:rsidRDefault="00EE5424">
            <w:pPr>
              <w:pStyle w:val="TableParagraph"/>
              <w:spacing w:before="60"/>
              <w:ind w:left="118"/>
            </w:pPr>
            <w:r>
              <w:t>550</w:t>
            </w:r>
            <w:r>
              <w:rPr>
                <w:spacing w:val="-7"/>
              </w:rPr>
              <w:t xml:space="preserve"> </w:t>
            </w:r>
            <w:r>
              <w:rPr>
                <w:spacing w:val="-2"/>
              </w:rPr>
              <w:t>(19.4)</w:t>
            </w:r>
          </w:p>
          <w:p w14:paraId="1922B597" w14:textId="77777777" w:rsidR="00AE135B" w:rsidRDefault="00EE5424">
            <w:pPr>
              <w:pStyle w:val="TableParagraph"/>
              <w:spacing w:before="66" w:line="261" w:lineRule="exact"/>
              <w:ind w:left="118"/>
            </w:pPr>
            <w:r>
              <w:t>385</w:t>
            </w:r>
            <w:r>
              <w:rPr>
                <w:spacing w:val="-7"/>
              </w:rPr>
              <w:t xml:space="preserve"> </w:t>
            </w:r>
            <w:r>
              <w:rPr>
                <w:spacing w:val="-2"/>
              </w:rPr>
              <w:t>(13.6)</w:t>
            </w:r>
          </w:p>
        </w:tc>
      </w:tr>
      <w:tr w:rsidR="00AE135B" w14:paraId="36FD84B1" w14:textId="77777777">
        <w:trPr>
          <w:trHeight w:val="685"/>
        </w:trPr>
        <w:tc>
          <w:tcPr>
            <w:tcW w:w="4515" w:type="dxa"/>
          </w:tcPr>
          <w:p w14:paraId="1EDD51CF" w14:textId="77777777" w:rsidR="00AE135B" w:rsidRDefault="00EE5424">
            <w:pPr>
              <w:pStyle w:val="TableParagraph"/>
              <w:rPr>
                <w:b/>
              </w:rPr>
            </w:pPr>
            <w:r>
              <w:rPr>
                <w:b/>
                <w:spacing w:val="-2"/>
              </w:rPr>
              <w:t>Nervous</w:t>
            </w:r>
            <w:r>
              <w:rPr>
                <w:b/>
                <w:spacing w:val="-7"/>
              </w:rPr>
              <w:t xml:space="preserve"> </w:t>
            </w:r>
            <w:r>
              <w:rPr>
                <w:b/>
                <w:spacing w:val="-2"/>
              </w:rPr>
              <w:t>system</w:t>
            </w:r>
            <w:r>
              <w:rPr>
                <w:b/>
                <w:spacing w:val="-6"/>
              </w:rPr>
              <w:t xml:space="preserve"> </w:t>
            </w:r>
            <w:r>
              <w:rPr>
                <w:b/>
                <w:spacing w:val="-2"/>
              </w:rPr>
              <w:t>disorders</w:t>
            </w:r>
          </w:p>
          <w:p w14:paraId="2B983077" w14:textId="77777777" w:rsidR="00AE135B" w:rsidRDefault="00EE5424">
            <w:pPr>
              <w:pStyle w:val="TableParagraph"/>
              <w:spacing w:before="60"/>
            </w:pPr>
            <w:r>
              <w:rPr>
                <w:spacing w:val="-2"/>
              </w:rPr>
              <w:t>Headache</w:t>
            </w:r>
          </w:p>
        </w:tc>
        <w:tc>
          <w:tcPr>
            <w:tcW w:w="2061" w:type="dxa"/>
          </w:tcPr>
          <w:p w14:paraId="08881CE6" w14:textId="77777777" w:rsidR="00AE135B" w:rsidRDefault="00AE135B">
            <w:pPr>
              <w:pStyle w:val="TableParagraph"/>
              <w:spacing w:before="121"/>
              <w:ind w:left="0"/>
              <w:rPr>
                <w:b/>
              </w:rPr>
            </w:pPr>
          </w:p>
          <w:p w14:paraId="68C96AF6" w14:textId="77777777" w:rsidR="00AE135B" w:rsidRDefault="00EE5424">
            <w:pPr>
              <w:pStyle w:val="TableParagraph"/>
              <w:spacing w:before="0"/>
            </w:pPr>
            <w:r>
              <w:t>360</w:t>
            </w:r>
            <w:r>
              <w:rPr>
                <w:spacing w:val="-8"/>
              </w:rPr>
              <w:t xml:space="preserve"> </w:t>
            </w:r>
            <w:r>
              <w:rPr>
                <w:spacing w:val="-2"/>
              </w:rPr>
              <w:t>(12.7)</w:t>
            </w:r>
          </w:p>
        </w:tc>
        <w:tc>
          <w:tcPr>
            <w:tcW w:w="2940" w:type="dxa"/>
          </w:tcPr>
          <w:p w14:paraId="12193D2E" w14:textId="77777777" w:rsidR="00AE135B" w:rsidRDefault="00AE135B">
            <w:pPr>
              <w:pStyle w:val="TableParagraph"/>
              <w:spacing w:before="121"/>
              <w:ind w:left="0"/>
              <w:rPr>
                <w:b/>
              </w:rPr>
            </w:pPr>
          </w:p>
          <w:p w14:paraId="6D4CD112" w14:textId="77777777" w:rsidR="00AE135B" w:rsidRDefault="00EE5424">
            <w:pPr>
              <w:pStyle w:val="TableParagraph"/>
              <w:spacing w:before="0"/>
              <w:ind w:left="118"/>
            </w:pPr>
            <w:r>
              <w:t>382</w:t>
            </w:r>
            <w:r>
              <w:rPr>
                <w:spacing w:val="-7"/>
              </w:rPr>
              <w:t xml:space="preserve"> </w:t>
            </w:r>
            <w:r>
              <w:rPr>
                <w:spacing w:val="-2"/>
              </w:rPr>
              <w:t>(13.5)</w:t>
            </w:r>
          </w:p>
        </w:tc>
      </w:tr>
      <w:tr w:rsidR="00AE135B" w14:paraId="0B189110" w14:textId="77777777">
        <w:trPr>
          <w:trHeight w:val="683"/>
        </w:trPr>
        <w:tc>
          <w:tcPr>
            <w:tcW w:w="4515" w:type="dxa"/>
          </w:tcPr>
          <w:p w14:paraId="36D85C88" w14:textId="77777777" w:rsidR="00AE135B" w:rsidRDefault="00EE5424">
            <w:pPr>
              <w:pStyle w:val="TableParagraph"/>
              <w:rPr>
                <w:b/>
              </w:rPr>
            </w:pPr>
            <w:r>
              <w:rPr>
                <w:b/>
                <w:spacing w:val="-2"/>
              </w:rPr>
              <w:t>Psychiatric</w:t>
            </w:r>
            <w:r>
              <w:rPr>
                <w:b/>
                <w:spacing w:val="-7"/>
              </w:rPr>
              <w:t xml:space="preserve"> </w:t>
            </w:r>
            <w:r>
              <w:rPr>
                <w:b/>
                <w:spacing w:val="-2"/>
              </w:rPr>
              <w:t>disorders</w:t>
            </w:r>
          </w:p>
          <w:p w14:paraId="2562AC44" w14:textId="77777777" w:rsidR="00AE135B" w:rsidRDefault="00EE5424">
            <w:pPr>
              <w:pStyle w:val="TableParagraph"/>
              <w:spacing w:before="60"/>
            </w:pPr>
            <w:r>
              <w:rPr>
                <w:spacing w:val="-2"/>
              </w:rPr>
              <w:t>Insomnia</w:t>
            </w:r>
          </w:p>
        </w:tc>
        <w:tc>
          <w:tcPr>
            <w:tcW w:w="2061" w:type="dxa"/>
          </w:tcPr>
          <w:p w14:paraId="557784E5" w14:textId="77777777" w:rsidR="00AE135B" w:rsidRDefault="00AE135B">
            <w:pPr>
              <w:pStyle w:val="TableParagraph"/>
              <w:spacing w:before="119"/>
              <w:ind w:left="0"/>
              <w:rPr>
                <w:b/>
              </w:rPr>
            </w:pPr>
          </w:p>
          <w:p w14:paraId="65321703" w14:textId="77777777" w:rsidR="00AE135B" w:rsidRDefault="00EE5424">
            <w:pPr>
              <w:pStyle w:val="TableParagraph"/>
              <w:spacing w:before="0"/>
            </w:pPr>
            <w:r>
              <w:t>302</w:t>
            </w:r>
            <w:r>
              <w:rPr>
                <w:spacing w:val="-8"/>
              </w:rPr>
              <w:t xml:space="preserve"> </w:t>
            </w:r>
            <w:r>
              <w:rPr>
                <w:spacing w:val="-2"/>
              </w:rPr>
              <w:t>(10.6)</w:t>
            </w:r>
          </w:p>
        </w:tc>
        <w:tc>
          <w:tcPr>
            <w:tcW w:w="2940" w:type="dxa"/>
          </w:tcPr>
          <w:p w14:paraId="4DA9B56A" w14:textId="77777777" w:rsidR="00AE135B" w:rsidRDefault="00AE135B">
            <w:pPr>
              <w:pStyle w:val="TableParagraph"/>
              <w:spacing w:before="119"/>
              <w:ind w:left="0"/>
              <w:rPr>
                <w:b/>
              </w:rPr>
            </w:pPr>
          </w:p>
          <w:p w14:paraId="02A18FDC" w14:textId="77777777" w:rsidR="00AE135B" w:rsidRDefault="00EE5424">
            <w:pPr>
              <w:pStyle w:val="TableParagraph"/>
              <w:spacing w:before="0"/>
              <w:ind w:left="118"/>
            </w:pPr>
            <w:r>
              <w:t>324</w:t>
            </w:r>
            <w:r>
              <w:rPr>
                <w:spacing w:val="-7"/>
              </w:rPr>
              <w:t xml:space="preserve"> </w:t>
            </w:r>
            <w:r>
              <w:rPr>
                <w:spacing w:val="-2"/>
              </w:rPr>
              <w:t>(11.4)</w:t>
            </w:r>
          </w:p>
        </w:tc>
      </w:tr>
      <w:tr w:rsidR="00AE135B" w14:paraId="3580B194" w14:textId="77777777">
        <w:trPr>
          <w:trHeight w:val="1108"/>
        </w:trPr>
        <w:tc>
          <w:tcPr>
            <w:tcW w:w="4515" w:type="dxa"/>
          </w:tcPr>
          <w:p w14:paraId="4881D7C0" w14:textId="77777777" w:rsidR="00AE135B" w:rsidRDefault="00EE5424">
            <w:pPr>
              <w:pStyle w:val="TableParagraph"/>
              <w:rPr>
                <w:b/>
              </w:rPr>
            </w:pPr>
            <w:r>
              <w:rPr>
                <w:b/>
                <w:spacing w:val="-4"/>
              </w:rPr>
              <w:t>Respiratory,</w:t>
            </w:r>
            <w:r>
              <w:rPr>
                <w:b/>
                <w:spacing w:val="1"/>
              </w:rPr>
              <w:t xml:space="preserve"> </w:t>
            </w:r>
            <w:r>
              <w:rPr>
                <w:b/>
                <w:spacing w:val="-4"/>
              </w:rPr>
              <w:t>thoracic,</w:t>
            </w:r>
            <w:r>
              <w:rPr>
                <w:b/>
                <w:spacing w:val="3"/>
              </w:rPr>
              <w:t xml:space="preserve"> </w:t>
            </w:r>
            <w:r>
              <w:rPr>
                <w:b/>
                <w:spacing w:val="-4"/>
              </w:rPr>
              <w:t>and</w:t>
            </w:r>
            <w:r>
              <w:rPr>
                <w:b/>
                <w:spacing w:val="2"/>
              </w:rPr>
              <w:t xml:space="preserve"> </w:t>
            </w:r>
            <w:r>
              <w:rPr>
                <w:b/>
                <w:spacing w:val="-4"/>
              </w:rPr>
              <w:t>mediastinal</w:t>
            </w:r>
            <w:r>
              <w:rPr>
                <w:b/>
                <w:spacing w:val="21"/>
              </w:rPr>
              <w:t xml:space="preserve"> </w:t>
            </w:r>
            <w:r>
              <w:rPr>
                <w:b/>
                <w:spacing w:val="-4"/>
              </w:rPr>
              <w:t>disorders</w:t>
            </w:r>
          </w:p>
          <w:p w14:paraId="383EAF6B" w14:textId="77777777" w:rsidR="00AE135B" w:rsidRDefault="00EE5424">
            <w:pPr>
              <w:pStyle w:val="TableParagraph"/>
              <w:spacing w:before="62" w:line="292" w:lineRule="auto"/>
              <w:ind w:right="3029"/>
            </w:pPr>
            <w:proofErr w:type="spellStart"/>
            <w:r>
              <w:rPr>
                <w:spacing w:val="-6"/>
              </w:rPr>
              <w:t>Dyspnoea</w:t>
            </w:r>
            <w:proofErr w:type="spellEnd"/>
            <w:r>
              <w:rPr>
                <w:spacing w:val="-6"/>
              </w:rPr>
              <w:t xml:space="preserve"> </w:t>
            </w:r>
            <w:r>
              <w:rPr>
                <w:spacing w:val="-2"/>
              </w:rPr>
              <w:t>Cough</w:t>
            </w:r>
          </w:p>
        </w:tc>
        <w:tc>
          <w:tcPr>
            <w:tcW w:w="2061" w:type="dxa"/>
          </w:tcPr>
          <w:p w14:paraId="57DC5BC9" w14:textId="77777777" w:rsidR="00AE135B" w:rsidRDefault="00AE135B">
            <w:pPr>
              <w:pStyle w:val="TableParagraph"/>
              <w:spacing w:before="179"/>
              <w:ind w:left="0"/>
              <w:rPr>
                <w:b/>
              </w:rPr>
            </w:pPr>
          </w:p>
          <w:p w14:paraId="3BBA0589" w14:textId="77777777" w:rsidR="00AE135B" w:rsidRDefault="00EE5424">
            <w:pPr>
              <w:pStyle w:val="TableParagraph"/>
              <w:spacing w:before="0"/>
            </w:pPr>
            <w:r>
              <w:t>585</w:t>
            </w:r>
            <w:r>
              <w:rPr>
                <w:spacing w:val="-8"/>
              </w:rPr>
              <w:t xml:space="preserve"> </w:t>
            </w:r>
            <w:r>
              <w:rPr>
                <w:spacing w:val="-2"/>
              </w:rPr>
              <w:t>(20.6)</w:t>
            </w:r>
          </w:p>
          <w:p w14:paraId="6A73389A" w14:textId="77777777" w:rsidR="00AE135B" w:rsidRDefault="00EE5424">
            <w:pPr>
              <w:pStyle w:val="TableParagraph"/>
              <w:spacing w:before="111" w:line="261" w:lineRule="exact"/>
              <w:ind w:left="108"/>
            </w:pPr>
            <w:r>
              <w:t>437</w:t>
            </w:r>
            <w:r>
              <w:rPr>
                <w:spacing w:val="-10"/>
              </w:rPr>
              <w:t xml:space="preserve"> </w:t>
            </w:r>
            <w:r>
              <w:rPr>
                <w:spacing w:val="-2"/>
              </w:rPr>
              <w:t>(15.4)</w:t>
            </w:r>
          </w:p>
        </w:tc>
        <w:tc>
          <w:tcPr>
            <w:tcW w:w="2940" w:type="dxa"/>
          </w:tcPr>
          <w:p w14:paraId="614F51FF" w14:textId="77777777" w:rsidR="00AE135B" w:rsidRDefault="00AE135B">
            <w:pPr>
              <w:pStyle w:val="TableParagraph"/>
              <w:spacing w:before="179"/>
              <w:ind w:left="0"/>
              <w:rPr>
                <w:b/>
              </w:rPr>
            </w:pPr>
          </w:p>
          <w:p w14:paraId="3B098C9D" w14:textId="77777777" w:rsidR="00AE135B" w:rsidRDefault="00EE5424">
            <w:pPr>
              <w:pStyle w:val="TableParagraph"/>
              <w:spacing w:before="0"/>
              <w:ind w:left="118"/>
            </w:pPr>
            <w:r>
              <w:t>507</w:t>
            </w:r>
            <w:r>
              <w:rPr>
                <w:spacing w:val="-7"/>
              </w:rPr>
              <w:t xml:space="preserve"> </w:t>
            </w:r>
            <w:r>
              <w:rPr>
                <w:spacing w:val="-2"/>
              </w:rPr>
              <w:t>(17.9)</w:t>
            </w:r>
          </w:p>
          <w:p w14:paraId="786428DD" w14:textId="77777777" w:rsidR="00AE135B" w:rsidRDefault="00EE5424">
            <w:pPr>
              <w:pStyle w:val="TableParagraph"/>
              <w:spacing w:before="111" w:line="261" w:lineRule="exact"/>
              <w:ind w:left="111"/>
            </w:pPr>
            <w:r>
              <w:t>419</w:t>
            </w:r>
            <w:r>
              <w:rPr>
                <w:spacing w:val="-9"/>
              </w:rPr>
              <w:t xml:space="preserve"> </w:t>
            </w:r>
            <w:r>
              <w:rPr>
                <w:spacing w:val="-2"/>
              </w:rPr>
              <w:t>(14.8)</w:t>
            </w:r>
          </w:p>
        </w:tc>
      </w:tr>
    </w:tbl>
    <w:p w14:paraId="25294805" w14:textId="77777777" w:rsidR="00AE135B" w:rsidRDefault="00EE5424">
      <w:pPr>
        <w:spacing w:before="13" w:line="219" w:lineRule="exact"/>
        <w:ind w:left="307"/>
        <w:rPr>
          <w:sz w:val="18"/>
        </w:rPr>
      </w:pPr>
      <w:r>
        <w:rPr>
          <w:sz w:val="18"/>
        </w:rPr>
        <w:t>N</w:t>
      </w:r>
      <w:r>
        <w:rPr>
          <w:spacing w:val="-12"/>
          <w:sz w:val="18"/>
        </w:rPr>
        <w:t xml:space="preserve"> </w:t>
      </w:r>
      <w:r>
        <w:rPr>
          <w:sz w:val="18"/>
        </w:rPr>
        <w:t>=</w:t>
      </w:r>
      <w:r>
        <w:rPr>
          <w:spacing w:val="-6"/>
          <w:sz w:val="18"/>
        </w:rPr>
        <w:t xml:space="preserve"> </w:t>
      </w:r>
      <w:r>
        <w:rPr>
          <w:sz w:val="18"/>
        </w:rPr>
        <w:t>number</w:t>
      </w:r>
      <w:r>
        <w:rPr>
          <w:spacing w:val="-9"/>
          <w:sz w:val="18"/>
        </w:rPr>
        <w:t xml:space="preserve"> </w:t>
      </w:r>
      <w:r>
        <w:rPr>
          <w:sz w:val="18"/>
        </w:rPr>
        <w:t>of</w:t>
      </w:r>
      <w:r>
        <w:rPr>
          <w:spacing w:val="-8"/>
          <w:sz w:val="18"/>
        </w:rPr>
        <w:t xml:space="preserve"> </w:t>
      </w:r>
      <w:r>
        <w:rPr>
          <w:sz w:val="18"/>
        </w:rPr>
        <w:t>patients</w:t>
      </w:r>
      <w:r>
        <w:rPr>
          <w:spacing w:val="-7"/>
          <w:sz w:val="18"/>
        </w:rPr>
        <w:t xml:space="preserve"> </w:t>
      </w:r>
      <w:r>
        <w:rPr>
          <w:sz w:val="18"/>
        </w:rPr>
        <w:t>who</w:t>
      </w:r>
      <w:r>
        <w:rPr>
          <w:spacing w:val="-7"/>
          <w:sz w:val="18"/>
        </w:rPr>
        <w:t xml:space="preserve"> </w:t>
      </w:r>
      <w:r>
        <w:rPr>
          <w:sz w:val="18"/>
        </w:rPr>
        <w:t>received</w:t>
      </w:r>
      <w:r>
        <w:rPr>
          <w:spacing w:val="-4"/>
          <w:sz w:val="18"/>
        </w:rPr>
        <w:t xml:space="preserve"> </w:t>
      </w:r>
      <w:r>
        <w:rPr>
          <w:sz w:val="18"/>
        </w:rPr>
        <w:t>≥</w:t>
      </w:r>
      <w:r>
        <w:rPr>
          <w:spacing w:val="-5"/>
          <w:sz w:val="18"/>
        </w:rPr>
        <w:t xml:space="preserve"> </w:t>
      </w:r>
      <w:r>
        <w:rPr>
          <w:sz w:val="18"/>
        </w:rPr>
        <w:t>1</w:t>
      </w:r>
      <w:r>
        <w:rPr>
          <w:spacing w:val="-9"/>
          <w:sz w:val="18"/>
        </w:rPr>
        <w:t xml:space="preserve"> </w:t>
      </w:r>
      <w:r>
        <w:rPr>
          <w:sz w:val="18"/>
        </w:rPr>
        <w:t>active</w:t>
      </w:r>
      <w:r>
        <w:rPr>
          <w:spacing w:val="-9"/>
          <w:sz w:val="18"/>
        </w:rPr>
        <w:t xml:space="preserve"> </w:t>
      </w:r>
      <w:r>
        <w:rPr>
          <w:sz w:val="18"/>
        </w:rPr>
        <w:t>dose</w:t>
      </w:r>
      <w:r>
        <w:rPr>
          <w:spacing w:val="-9"/>
          <w:sz w:val="18"/>
        </w:rPr>
        <w:t xml:space="preserve"> </w:t>
      </w:r>
      <w:r>
        <w:rPr>
          <w:sz w:val="18"/>
        </w:rPr>
        <w:t>of</w:t>
      </w:r>
      <w:r>
        <w:rPr>
          <w:spacing w:val="-8"/>
          <w:sz w:val="18"/>
        </w:rPr>
        <w:t xml:space="preserve"> </w:t>
      </w:r>
      <w:r>
        <w:rPr>
          <w:sz w:val="18"/>
        </w:rPr>
        <w:t>investigational</w:t>
      </w:r>
      <w:r>
        <w:rPr>
          <w:spacing w:val="-9"/>
          <w:sz w:val="18"/>
        </w:rPr>
        <w:t xml:space="preserve"> </w:t>
      </w:r>
      <w:r>
        <w:rPr>
          <w:spacing w:val="-2"/>
          <w:sz w:val="18"/>
        </w:rPr>
        <w:t>product</w:t>
      </w:r>
    </w:p>
    <w:p w14:paraId="3BBCA5B5" w14:textId="77777777" w:rsidR="00AE135B" w:rsidRDefault="00EE5424">
      <w:pPr>
        <w:spacing w:line="219" w:lineRule="exact"/>
        <w:ind w:left="307"/>
        <w:rPr>
          <w:sz w:val="18"/>
        </w:rPr>
      </w:pPr>
      <w:r>
        <w:rPr>
          <w:sz w:val="18"/>
        </w:rPr>
        <w:t>n</w:t>
      </w:r>
      <w:r>
        <w:rPr>
          <w:spacing w:val="-2"/>
          <w:sz w:val="18"/>
        </w:rPr>
        <w:t xml:space="preserve"> </w:t>
      </w:r>
      <w:r>
        <w:rPr>
          <w:sz w:val="18"/>
        </w:rPr>
        <w:t>=</w:t>
      </w:r>
      <w:r>
        <w:rPr>
          <w:spacing w:val="-2"/>
          <w:sz w:val="18"/>
        </w:rPr>
        <w:t xml:space="preserve"> </w:t>
      </w:r>
      <w:r>
        <w:rPr>
          <w:sz w:val="18"/>
        </w:rPr>
        <w:t>number</w:t>
      </w:r>
      <w:r>
        <w:rPr>
          <w:spacing w:val="-1"/>
          <w:sz w:val="18"/>
        </w:rPr>
        <w:t xml:space="preserve"> </w:t>
      </w:r>
      <w:r>
        <w:rPr>
          <w:sz w:val="18"/>
        </w:rPr>
        <w:t>of</w:t>
      </w:r>
      <w:r>
        <w:rPr>
          <w:spacing w:val="-1"/>
          <w:sz w:val="18"/>
        </w:rPr>
        <w:t xml:space="preserve"> </w:t>
      </w:r>
      <w:r>
        <w:rPr>
          <w:sz w:val="18"/>
        </w:rPr>
        <w:t>patients</w:t>
      </w:r>
      <w:r>
        <w:rPr>
          <w:spacing w:val="-2"/>
          <w:sz w:val="18"/>
        </w:rPr>
        <w:t xml:space="preserve"> </w:t>
      </w:r>
      <w:r>
        <w:rPr>
          <w:sz w:val="18"/>
        </w:rPr>
        <w:t>reporting ≥</w:t>
      </w:r>
      <w:r>
        <w:rPr>
          <w:spacing w:val="-2"/>
          <w:sz w:val="18"/>
        </w:rPr>
        <w:t xml:space="preserve"> </w:t>
      </w:r>
      <w:r>
        <w:rPr>
          <w:sz w:val="18"/>
        </w:rPr>
        <w:t xml:space="preserve">1 </w:t>
      </w:r>
      <w:r>
        <w:rPr>
          <w:spacing w:val="-4"/>
          <w:sz w:val="18"/>
        </w:rPr>
        <w:t>event</w:t>
      </w:r>
    </w:p>
    <w:p w14:paraId="4F2DEBF1" w14:textId="77777777" w:rsidR="00AE135B" w:rsidRDefault="00AE135B">
      <w:pPr>
        <w:pStyle w:val="BodyText"/>
        <w:spacing w:before="34"/>
        <w:ind w:left="0"/>
        <w:rPr>
          <w:sz w:val="18"/>
        </w:rPr>
      </w:pPr>
    </w:p>
    <w:p w14:paraId="2FC15890" w14:textId="77777777" w:rsidR="00AE135B" w:rsidRDefault="00EE5424">
      <w:pPr>
        <w:pStyle w:val="BodyText"/>
        <w:ind w:left="386"/>
        <w:rPr>
          <w:spacing w:val="-2"/>
        </w:rPr>
      </w:pPr>
      <w:proofErr w:type="spellStart"/>
      <w:r>
        <w:rPr>
          <w:spacing w:val="-2"/>
        </w:rPr>
        <w:t>Hypophosphataemia</w:t>
      </w:r>
      <w:proofErr w:type="spellEnd"/>
      <w:r>
        <w:rPr>
          <w:spacing w:val="-8"/>
        </w:rPr>
        <w:t xml:space="preserve"> </w:t>
      </w:r>
      <w:r>
        <w:rPr>
          <w:spacing w:val="-2"/>
        </w:rPr>
        <w:t>has</w:t>
      </w:r>
      <w:r>
        <w:rPr>
          <w:spacing w:val="-5"/>
        </w:rPr>
        <w:t xml:space="preserve"> </w:t>
      </w:r>
      <w:r>
        <w:rPr>
          <w:spacing w:val="-2"/>
        </w:rPr>
        <w:t>been</w:t>
      </w:r>
      <w:r>
        <w:rPr>
          <w:spacing w:val="-8"/>
        </w:rPr>
        <w:t xml:space="preserve"> </w:t>
      </w:r>
      <w:r>
        <w:rPr>
          <w:spacing w:val="-2"/>
        </w:rPr>
        <w:t>reported</w:t>
      </w:r>
      <w:r>
        <w:rPr>
          <w:spacing w:val="-6"/>
        </w:rPr>
        <w:t xml:space="preserve"> </w:t>
      </w:r>
      <w:r>
        <w:rPr>
          <w:spacing w:val="-2"/>
        </w:rPr>
        <w:t>as</w:t>
      </w:r>
      <w:r>
        <w:rPr>
          <w:spacing w:val="-5"/>
        </w:rPr>
        <w:t xml:space="preserve"> </w:t>
      </w:r>
      <w:r>
        <w:rPr>
          <w:spacing w:val="-2"/>
        </w:rPr>
        <w:t>a</w:t>
      </w:r>
      <w:r>
        <w:rPr>
          <w:spacing w:val="-8"/>
        </w:rPr>
        <w:t xml:space="preserve"> </w:t>
      </w:r>
      <w:r>
        <w:rPr>
          <w:spacing w:val="-2"/>
        </w:rPr>
        <w:t>common</w:t>
      </w:r>
      <w:r>
        <w:rPr>
          <w:spacing w:val="-6"/>
        </w:rPr>
        <w:t xml:space="preserve"> </w:t>
      </w:r>
      <w:r>
        <w:rPr>
          <w:spacing w:val="-2"/>
        </w:rPr>
        <w:t>adverse</w:t>
      </w:r>
      <w:r>
        <w:rPr>
          <w:spacing w:val="-5"/>
        </w:rPr>
        <w:t xml:space="preserve"> </w:t>
      </w:r>
      <w:r>
        <w:rPr>
          <w:spacing w:val="-2"/>
        </w:rPr>
        <w:t>drug</w:t>
      </w:r>
      <w:r>
        <w:rPr>
          <w:spacing w:val="-8"/>
        </w:rPr>
        <w:t xml:space="preserve"> </w:t>
      </w:r>
      <w:r>
        <w:rPr>
          <w:spacing w:val="-2"/>
        </w:rPr>
        <w:t>reaction.</w:t>
      </w:r>
    </w:p>
    <w:p w14:paraId="6B9AC0B2" w14:textId="77777777" w:rsidR="00320262" w:rsidRDefault="00320262" w:rsidP="00320262"/>
    <w:p w14:paraId="77FF3437" w14:textId="77777777" w:rsidR="00AE135B" w:rsidRDefault="00EE5424">
      <w:pPr>
        <w:pStyle w:val="BodyText"/>
        <w:spacing w:before="39"/>
      </w:pPr>
      <w:r>
        <w:rPr>
          <w:u w:val="single"/>
        </w:rPr>
        <w:t>Giant</w:t>
      </w:r>
      <w:r>
        <w:rPr>
          <w:spacing w:val="-6"/>
          <w:u w:val="single"/>
        </w:rPr>
        <w:t xml:space="preserve"> </w:t>
      </w:r>
      <w:r>
        <w:rPr>
          <w:u w:val="single"/>
        </w:rPr>
        <w:t>cell</w:t>
      </w:r>
      <w:r>
        <w:rPr>
          <w:spacing w:val="-8"/>
          <w:u w:val="single"/>
        </w:rPr>
        <w:t xml:space="preserve"> </w:t>
      </w:r>
      <w:proofErr w:type="spellStart"/>
      <w:r>
        <w:rPr>
          <w:u w:val="single"/>
        </w:rPr>
        <w:t>tumour</w:t>
      </w:r>
      <w:proofErr w:type="spellEnd"/>
      <w:r>
        <w:rPr>
          <w:spacing w:val="-8"/>
          <w:u w:val="single"/>
        </w:rPr>
        <w:t xml:space="preserve"> </w:t>
      </w:r>
      <w:r>
        <w:rPr>
          <w:u w:val="single"/>
        </w:rPr>
        <w:t>of</w:t>
      </w:r>
      <w:r>
        <w:rPr>
          <w:spacing w:val="-8"/>
          <w:u w:val="single"/>
        </w:rPr>
        <w:t xml:space="preserve"> </w:t>
      </w:r>
      <w:r>
        <w:rPr>
          <w:spacing w:val="-4"/>
          <w:u w:val="single"/>
        </w:rPr>
        <w:t>bone</w:t>
      </w:r>
    </w:p>
    <w:p w14:paraId="14832170" w14:textId="77777777" w:rsidR="00AE135B" w:rsidRDefault="00EE5424">
      <w:pPr>
        <w:pStyle w:val="BodyText"/>
        <w:spacing w:before="259" w:line="360" w:lineRule="auto"/>
        <w:ind w:right="174"/>
        <w:jc w:val="both"/>
      </w:pPr>
      <w:r>
        <w:t xml:space="preserve">The safety of denosumab was evaluated in two phase 2 open-label, single arm studies in which a total of 548 patients with giant cell </w:t>
      </w:r>
      <w:proofErr w:type="spellStart"/>
      <w:r>
        <w:t>tumour</w:t>
      </w:r>
      <w:proofErr w:type="spellEnd"/>
      <w:r>
        <w:t xml:space="preserve"> of bone received at least 1 dose of denosumab.</w:t>
      </w:r>
    </w:p>
    <w:p w14:paraId="05A6781E" w14:textId="77777777" w:rsidR="00AE135B" w:rsidRDefault="00EE5424">
      <w:pPr>
        <w:pStyle w:val="BodyText"/>
        <w:spacing w:before="3" w:line="360" w:lineRule="auto"/>
        <w:ind w:right="171"/>
        <w:jc w:val="both"/>
      </w:pPr>
      <w:r>
        <w:t>Patients</w:t>
      </w:r>
      <w:r>
        <w:rPr>
          <w:spacing w:val="-11"/>
        </w:rPr>
        <w:t xml:space="preserve"> </w:t>
      </w:r>
      <w:r>
        <w:t>received</w:t>
      </w:r>
      <w:r>
        <w:rPr>
          <w:spacing w:val="-13"/>
        </w:rPr>
        <w:t xml:space="preserve"> </w:t>
      </w:r>
      <w:r>
        <w:t>120</w:t>
      </w:r>
      <w:r>
        <w:rPr>
          <w:spacing w:val="-8"/>
        </w:rPr>
        <w:t xml:space="preserve"> </w:t>
      </w:r>
      <w:r>
        <w:t>mg</w:t>
      </w:r>
      <w:r>
        <w:rPr>
          <w:spacing w:val="-8"/>
        </w:rPr>
        <w:t xml:space="preserve"> </w:t>
      </w:r>
      <w:r>
        <w:t>denosumab</w:t>
      </w:r>
      <w:r>
        <w:rPr>
          <w:spacing w:val="-10"/>
        </w:rPr>
        <w:t xml:space="preserve"> </w:t>
      </w:r>
      <w:r>
        <w:t>subcutaneously</w:t>
      </w:r>
      <w:r>
        <w:rPr>
          <w:spacing w:val="-11"/>
        </w:rPr>
        <w:t xml:space="preserve"> </w:t>
      </w:r>
      <w:r>
        <w:t>every</w:t>
      </w:r>
      <w:r>
        <w:rPr>
          <w:spacing w:val="-9"/>
        </w:rPr>
        <w:t xml:space="preserve"> </w:t>
      </w:r>
      <w:r>
        <w:t>4</w:t>
      </w:r>
      <w:r>
        <w:rPr>
          <w:spacing w:val="-10"/>
        </w:rPr>
        <w:t xml:space="preserve"> </w:t>
      </w:r>
      <w:r>
        <w:t>weeks</w:t>
      </w:r>
      <w:r>
        <w:rPr>
          <w:spacing w:val="-10"/>
        </w:rPr>
        <w:t xml:space="preserve"> </w:t>
      </w:r>
      <w:r>
        <w:t>with</w:t>
      </w:r>
      <w:r>
        <w:rPr>
          <w:spacing w:val="-13"/>
        </w:rPr>
        <w:t xml:space="preserve"> </w:t>
      </w:r>
      <w:r>
        <w:t>a</w:t>
      </w:r>
      <w:r>
        <w:rPr>
          <w:spacing w:val="-10"/>
        </w:rPr>
        <w:t xml:space="preserve"> </w:t>
      </w:r>
      <w:r>
        <w:t>loading</w:t>
      </w:r>
      <w:r>
        <w:rPr>
          <w:spacing w:val="-10"/>
        </w:rPr>
        <w:t xml:space="preserve"> </w:t>
      </w:r>
      <w:r>
        <w:t>dose</w:t>
      </w:r>
      <w:r>
        <w:rPr>
          <w:spacing w:val="-12"/>
        </w:rPr>
        <w:t xml:space="preserve"> </w:t>
      </w:r>
      <w:r>
        <w:t>of</w:t>
      </w:r>
      <w:r>
        <w:rPr>
          <w:spacing w:val="-13"/>
        </w:rPr>
        <w:t xml:space="preserve"> </w:t>
      </w:r>
      <w:r>
        <w:t>120</w:t>
      </w:r>
      <w:r>
        <w:rPr>
          <w:spacing w:val="-11"/>
        </w:rPr>
        <w:t xml:space="preserve"> </w:t>
      </w:r>
      <w:r>
        <w:t>mg</w:t>
      </w:r>
      <w:r>
        <w:rPr>
          <w:spacing w:val="-13"/>
        </w:rPr>
        <w:t xml:space="preserve"> </w:t>
      </w:r>
      <w:r>
        <w:t>on</w:t>
      </w:r>
      <w:r>
        <w:rPr>
          <w:spacing w:val="-10"/>
        </w:rPr>
        <w:t xml:space="preserve"> </w:t>
      </w:r>
      <w:r>
        <w:t>days 8 and 15 of the initial 4-week period. Of the 548 patients who received denosumab, 467 patients were treated with denosumab for ≥</w:t>
      </w:r>
      <w:r>
        <w:rPr>
          <w:spacing w:val="36"/>
        </w:rPr>
        <w:t xml:space="preserve"> </w:t>
      </w:r>
      <w:r>
        <w:t>1 year, 323 patients for ≥ 2 years, 255 patients for ≥ 3 years, 195 patients for</w:t>
      </w:r>
      <w:r>
        <w:rPr>
          <w:spacing w:val="-8"/>
        </w:rPr>
        <w:t xml:space="preserve"> </w:t>
      </w:r>
      <w:r>
        <w:t>≥</w:t>
      </w:r>
      <w:r>
        <w:rPr>
          <w:spacing w:val="-8"/>
        </w:rPr>
        <w:t xml:space="preserve"> </w:t>
      </w:r>
      <w:r>
        <w:t>4</w:t>
      </w:r>
      <w:r>
        <w:rPr>
          <w:spacing w:val="-7"/>
        </w:rPr>
        <w:t xml:space="preserve"> </w:t>
      </w:r>
      <w:r>
        <w:t>years</w:t>
      </w:r>
      <w:r>
        <w:rPr>
          <w:spacing w:val="-6"/>
        </w:rPr>
        <w:t xml:space="preserve"> </w:t>
      </w:r>
      <w:r>
        <w:t>and</w:t>
      </w:r>
      <w:r>
        <w:rPr>
          <w:spacing w:val="-9"/>
        </w:rPr>
        <w:t xml:space="preserve"> </w:t>
      </w:r>
      <w:r>
        <w:t>149</w:t>
      </w:r>
      <w:r>
        <w:rPr>
          <w:spacing w:val="-7"/>
        </w:rPr>
        <w:t xml:space="preserve"> </w:t>
      </w:r>
      <w:r>
        <w:t>patients</w:t>
      </w:r>
      <w:r>
        <w:rPr>
          <w:spacing w:val="-7"/>
        </w:rPr>
        <w:t xml:space="preserve"> </w:t>
      </w:r>
      <w:r>
        <w:t>for</w:t>
      </w:r>
      <w:r>
        <w:rPr>
          <w:spacing w:val="-6"/>
        </w:rPr>
        <w:t xml:space="preserve"> </w:t>
      </w:r>
      <w:r>
        <w:t>≥</w:t>
      </w:r>
      <w:r>
        <w:rPr>
          <w:spacing w:val="-8"/>
        </w:rPr>
        <w:t xml:space="preserve"> </w:t>
      </w:r>
      <w:r>
        <w:t>5</w:t>
      </w:r>
      <w:r>
        <w:rPr>
          <w:spacing w:val="-7"/>
        </w:rPr>
        <w:t xml:space="preserve"> </w:t>
      </w:r>
      <w:r>
        <w:t>years.</w:t>
      </w:r>
      <w:r>
        <w:rPr>
          <w:spacing w:val="-8"/>
        </w:rPr>
        <w:t xml:space="preserve"> </w:t>
      </w:r>
      <w:r>
        <w:t>The</w:t>
      </w:r>
      <w:r>
        <w:rPr>
          <w:spacing w:val="-8"/>
        </w:rPr>
        <w:t xml:space="preserve"> </w:t>
      </w:r>
      <w:r>
        <w:t>median</w:t>
      </w:r>
      <w:r>
        <w:rPr>
          <w:spacing w:val="-6"/>
        </w:rPr>
        <w:t xml:space="preserve"> </w:t>
      </w:r>
      <w:r>
        <w:t>(</w:t>
      </w:r>
      <w:proofErr w:type="spellStart"/>
      <w:r>
        <w:t>Q1</w:t>
      </w:r>
      <w:proofErr w:type="spellEnd"/>
      <w:r>
        <w:t>,</w:t>
      </w:r>
      <w:r>
        <w:rPr>
          <w:spacing w:val="-6"/>
        </w:rPr>
        <w:t xml:space="preserve"> </w:t>
      </w:r>
      <w:proofErr w:type="spellStart"/>
      <w:r>
        <w:t>Q3</w:t>
      </w:r>
      <w:proofErr w:type="spellEnd"/>
      <w:r>
        <w:t>)</w:t>
      </w:r>
      <w:r>
        <w:rPr>
          <w:spacing w:val="-5"/>
        </w:rPr>
        <w:t xml:space="preserve"> </w:t>
      </w:r>
      <w:r>
        <w:t>number</w:t>
      </w:r>
      <w:r>
        <w:rPr>
          <w:spacing w:val="-8"/>
        </w:rPr>
        <w:t xml:space="preserve"> </w:t>
      </w:r>
      <w:r>
        <w:t>of</w:t>
      </w:r>
      <w:r>
        <w:rPr>
          <w:spacing w:val="-6"/>
        </w:rPr>
        <w:t xml:space="preserve"> </w:t>
      </w:r>
      <w:r>
        <w:t>doses</w:t>
      </w:r>
      <w:r>
        <w:rPr>
          <w:spacing w:val="-7"/>
        </w:rPr>
        <w:t xml:space="preserve"> </w:t>
      </w:r>
      <w:r>
        <w:t>received</w:t>
      </w:r>
      <w:r>
        <w:rPr>
          <w:spacing w:val="-6"/>
        </w:rPr>
        <w:t xml:space="preserve"> </w:t>
      </w:r>
      <w:r>
        <w:t>was</w:t>
      </w:r>
      <w:r>
        <w:rPr>
          <w:spacing w:val="-6"/>
        </w:rPr>
        <w:t xml:space="preserve"> </w:t>
      </w:r>
      <w:r>
        <w:t>33.0</w:t>
      </w:r>
      <w:r>
        <w:rPr>
          <w:spacing w:val="-5"/>
        </w:rPr>
        <w:t xml:space="preserve"> </w:t>
      </w:r>
      <w:r>
        <w:t>(17.0, 63.0); the minimum number of doses received was 4 and the maximum was 138. The median (</w:t>
      </w:r>
      <w:proofErr w:type="spellStart"/>
      <w:r>
        <w:t>Q1</w:t>
      </w:r>
      <w:proofErr w:type="spellEnd"/>
      <w:r>
        <w:t xml:space="preserve">, </w:t>
      </w:r>
      <w:proofErr w:type="spellStart"/>
      <w:r>
        <w:t>Q3</w:t>
      </w:r>
      <w:proofErr w:type="spellEnd"/>
      <w:r>
        <w:t xml:space="preserve">) </w:t>
      </w:r>
      <w:r>
        <w:lastRenderedPageBreak/>
        <w:t>number</w:t>
      </w:r>
      <w:r>
        <w:rPr>
          <w:spacing w:val="16"/>
        </w:rPr>
        <w:t xml:space="preserve"> </w:t>
      </w:r>
      <w:r>
        <w:t>of months on study</w:t>
      </w:r>
      <w:r>
        <w:rPr>
          <w:spacing w:val="16"/>
        </w:rPr>
        <w:t xml:space="preserve"> </w:t>
      </w:r>
      <w:r>
        <w:t>was 59.61</w:t>
      </w:r>
      <w:r>
        <w:rPr>
          <w:spacing w:val="16"/>
        </w:rPr>
        <w:t xml:space="preserve"> </w:t>
      </w:r>
      <w:r>
        <w:t>(28.52,</w:t>
      </w:r>
      <w:r>
        <w:rPr>
          <w:spacing w:val="16"/>
        </w:rPr>
        <w:t xml:space="preserve"> </w:t>
      </w:r>
      <w:r>
        <w:t>79.61).</w:t>
      </w:r>
      <w:r>
        <w:rPr>
          <w:spacing w:val="16"/>
        </w:rPr>
        <w:t xml:space="preserve"> </w:t>
      </w:r>
      <w:r>
        <w:t>The median (range)</w:t>
      </w:r>
      <w:r>
        <w:rPr>
          <w:spacing w:val="16"/>
        </w:rPr>
        <w:t xml:space="preserve"> </w:t>
      </w:r>
      <w:r>
        <w:t>age</w:t>
      </w:r>
      <w:r>
        <w:rPr>
          <w:spacing w:val="16"/>
        </w:rPr>
        <w:t xml:space="preserve"> </w:t>
      </w:r>
      <w:r>
        <w:t>was 33 (13</w:t>
      </w:r>
      <w:r>
        <w:rPr>
          <w:spacing w:val="16"/>
        </w:rPr>
        <w:t xml:space="preserve"> </w:t>
      </w:r>
      <w:r>
        <w:t>to</w:t>
      </w:r>
      <w:r>
        <w:rPr>
          <w:spacing w:val="17"/>
        </w:rPr>
        <w:t xml:space="preserve"> </w:t>
      </w:r>
      <w:r>
        <w:t>83) years; 28 patients were skeletally mature adolescents (aged 13 to 17 years).</w:t>
      </w:r>
    </w:p>
    <w:p w14:paraId="5E5AD3BD" w14:textId="77777777" w:rsidR="00AE135B" w:rsidRDefault="00EE5424">
      <w:pPr>
        <w:pStyle w:val="BodyText"/>
        <w:spacing w:before="121" w:line="360" w:lineRule="auto"/>
        <w:ind w:right="176"/>
        <w:jc w:val="both"/>
      </w:pPr>
      <w:r>
        <w:t xml:space="preserve">The overall safety and tolerability profile of denosumab in patients with giant cell </w:t>
      </w:r>
      <w:proofErr w:type="spellStart"/>
      <w:r>
        <w:t>tumour</w:t>
      </w:r>
      <w:proofErr w:type="spellEnd"/>
      <w:r>
        <w:t xml:space="preserve"> of bone was </w:t>
      </w:r>
      <w:proofErr w:type="gramStart"/>
      <w:r>
        <w:t>similar</w:t>
      </w:r>
      <w:r>
        <w:rPr>
          <w:spacing w:val="-13"/>
        </w:rPr>
        <w:t xml:space="preserve"> </w:t>
      </w:r>
      <w:r>
        <w:t>to</w:t>
      </w:r>
      <w:proofErr w:type="gramEnd"/>
      <w:r>
        <w:rPr>
          <w:spacing w:val="-12"/>
        </w:rPr>
        <w:t xml:space="preserve"> </w:t>
      </w:r>
      <w:r>
        <w:t>that</w:t>
      </w:r>
      <w:r>
        <w:rPr>
          <w:spacing w:val="-13"/>
        </w:rPr>
        <w:t xml:space="preserve"> </w:t>
      </w:r>
      <w:r>
        <w:t>reported</w:t>
      </w:r>
      <w:r>
        <w:rPr>
          <w:spacing w:val="-10"/>
        </w:rPr>
        <w:t xml:space="preserve"> </w:t>
      </w:r>
      <w:r>
        <w:t>in</w:t>
      </w:r>
      <w:r>
        <w:rPr>
          <w:spacing w:val="-12"/>
        </w:rPr>
        <w:t xml:space="preserve"> </w:t>
      </w:r>
      <w:r>
        <w:t>trials</w:t>
      </w:r>
      <w:r>
        <w:rPr>
          <w:spacing w:val="-11"/>
        </w:rPr>
        <w:t xml:space="preserve"> </w:t>
      </w:r>
      <w:r>
        <w:t>of</w:t>
      </w:r>
      <w:r>
        <w:rPr>
          <w:spacing w:val="-12"/>
        </w:rPr>
        <w:t xml:space="preserve"> </w:t>
      </w:r>
      <w:r>
        <w:t>patients</w:t>
      </w:r>
      <w:r>
        <w:rPr>
          <w:spacing w:val="-11"/>
        </w:rPr>
        <w:t xml:space="preserve"> </w:t>
      </w:r>
      <w:r>
        <w:t>with</w:t>
      </w:r>
      <w:r>
        <w:rPr>
          <w:spacing w:val="-11"/>
        </w:rPr>
        <w:t xml:space="preserve"> </w:t>
      </w:r>
      <w:r>
        <w:t>bone</w:t>
      </w:r>
      <w:r>
        <w:rPr>
          <w:spacing w:val="-12"/>
        </w:rPr>
        <w:t xml:space="preserve"> </w:t>
      </w:r>
      <w:r>
        <w:t>metastases</w:t>
      </w:r>
      <w:r>
        <w:rPr>
          <w:spacing w:val="-10"/>
        </w:rPr>
        <w:t xml:space="preserve"> </w:t>
      </w:r>
      <w:r>
        <w:t>from</w:t>
      </w:r>
      <w:r>
        <w:rPr>
          <w:spacing w:val="-12"/>
        </w:rPr>
        <w:t xml:space="preserve"> </w:t>
      </w:r>
      <w:r>
        <w:t>solid</w:t>
      </w:r>
      <w:r>
        <w:rPr>
          <w:spacing w:val="-12"/>
        </w:rPr>
        <w:t xml:space="preserve"> </w:t>
      </w:r>
      <w:proofErr w:type="spellStart"/>
      <w:r>
        <w:t>tumours</w:t>
      </w:r>
      <w:proofErr w:type="spellEnd"/>
      <w:r>
        <w:t>.</w:t>
      </w:r>
      <w:r>
        <w:rPr>
          <w:spacing w:val="-11"/>
        </w:rPr>
        <w:t xml:space="preserve"> </w:t>
      </w:r>
      <w:r>
        <w:t>For</w:t>
      </w:r>
      <w:r>
        <w:rPr>
          <w:spacing w:val="-9"/>
        </w:rPr>
        <w:t xml:space="preserve"> </w:t>
      </w:r>
      <w:r>
        <w:t>skeletally</w:t>
      </w:r>
      <w:r>
        <w:rPr>
          <w:spacing w:val="-10"/>
        </w:rPr>
        <w:t xml:space="preserve"> </w:t>
      </w:r>
      <w:r>
        <w:t>mature adolescent</w:t>
      </w:r>
      <w:r>
        <w:rPr>
          <w:spacing w:val="-4"/>
        </w:rPr>
        <w:t xml:space="preserve"> </w:t>
      </w:r>
      <w:r>
        <w:t>patients</w:t>
      </w:r>
      <w:r>
        <w:rPr>
          <w:spacing w:val="-7"/>
        </w:rPr>
        <w:t xml:space="preserve"> </w:t>
      </w:r>
      <w:r>
        <w:t>with</w:t>
      </w:r>
      <w:r>
        <w:rPr>
          <w:spacing w:val="-1"/>
        </w:rPr>
        <w:t xml:space="preserve"> </w:t>
      </w:r>
      <w:proofErr w:type="spellStart"/>
      <w:r>
        <w:t>GCTB</w:t>
      </w:r>
      <w:proofErr w:type="spellEnd"/>
      <w:r>
        <w:t>,</w:t>
      </w:r>
      <w:r>
        <w:rPr>
          <w:spacing w:val="-5"/>
        </w:rPr>
        <w:t xml:space="preserve"> </w:t>
      </w:r>
      <w:r>
        <w:t>the</w:t>
      </w:r>
      <w:r>
        <w:rPr>
          <w:spacing w:val="-7"/>
        </w:rPr>
        <w:t xml:space="preserve"> </w:t>
      </w:r>
      <w:r>
        <w:t>safety</w:t>
      </w:r>
      <w:r>
        <w:rPr>
          <w:spacing w:val="-4"/>
        </w:rPr>
        <w:t xml:space="preserve"> </w:t>
      </w:r>
      <w:r>
        <w:t>profile</w:t>
      </w:r>
      <w:r>
        <w:rPr>
          <w:spacing w:val="-6"/>
        </w:rPr>
        <w:t xml:space="preserve"> </w:t>
      </w:r>
      <w:r>
        <w:t>appears</w:t>
      </w:r>
      <w:r>
        <w:rPr>
          <w:spacing w:val="-4"/>
        </w:rPr>
        <w:t xml:space="preserve"> </w:t>
      </w:r>
      <w:r>
        <w:t>to</w:t>
      </w:r>
      <w:r>
        <w:rPr>
          <w:spacing w:val="-3"/>
        </w:rPr>
        <w:t xml:space="preserve"> </w:t>
      </w:r>
      <w:r>
        <w:t>be</w:t>
      </w:r>
      <w:r>
        <w:rPr>
          <w:spacing w:val="-6"/>
        </w:rPr>
        <w:t xml:space="preserve"> </w:t>
      </w:r>
      <w:proofErr w:type="gramStart"/>
      <w:r>
        <w:t>similar</w:t>
      </w:r>
      <w:r>
        <w:rPr>
          <w:spacing w:val="-7"/>
        </w:rPr>
        <w:t xml:space="preserve"> </w:t>
      </w:r>
      <w:r>
        <w:t>to</w:t>
      </w:r>
      <w:proofErr w:type="gramEnd"/>
      <w:r>
        <w:rPr>
          <w:spacing w:val="-3"/>
        </w:rPr>
        <w:t xml:space="preserve"> </w:t>
      </w:r>
      <w:r>
        <w:t>that</w:t>
      </w:r>
      <w:r>
        <w:rPr>
          <w:spacing w:val="-3"/>
        </w:rPr>
        <w:t xml:space="preserve"> </w:t>
      </w:r>
      <w:r>
        <w:t>in</w:t>
      </w:r>
      <w:r>
        <w:rPr>
          <w:spacing w:val="-5"/>
        </w:rPr>
        <w:t xml:space="preserve"> </w:t>
      </w:r>
      <w:r>
        <w:t>adult</w:t>
      </w:r>
      <w:r>
        <w:rPr>
          <w:spacing w:val="-4"/>
        </w:rPr>
        <w:t xml:space="preserve"> </w:t>
      </w:r>
      <w:r>
        <w:t>patients</w:t>
      </w:r>
      <w:r>
        <w:rPr>
          <w:spacing w:val="-4"/>
        </w:rPr>
        <w:t xml:space="preserve"> </w:t>
      </w:r>
      <w:r>
        <w:t>with</w:t>
      </w:r>
      <w:r>
        <w:rPr>
          <w:spacing w:val="-5"/>
        </w:rPr>
        <w:t xml:space="preserve"> </w:t>
      </w:r>
      <w:proofErr w:type="spellStart"/>
      <w:r>
        <w:t>GCTB</w:t>
      </w:r>
      <w:proofErr w:type="spellEnd"/>
      <w:r>
        <w:t>.</w:t>
      </w:r>
    </w:p>
    <w:p w14:paraId="5D79E661" w14:textId="77777777" w:rsidR="00AE135B" w:rsidRDefault="00EE5424">
      <w:pPr>
        <w:pStyle w:val="BodyText"/>
        <w:spacing w:before="119" w:line="360" w:lineRule="auto"/>
        <w:ind w:right="170"/>
        <w:jc w:val="both"/>
      </w:pPr>
      <w:r>
        <w:t>The</w:t>
      </w:r>
      <w:r>
        <w:rPr>
          <w:spacing w:val="-8"/>
        </w:rPr>
        <w:t xml:space="preserve"> </w:t>
      </w:r>
      <w:r>
        <w:t>most</w:t>
      </w:r>
      <w:r>
        <w:rPr>
          <w:spacing w:val="-5"/>
        </w:rPr>
        <w:t xml:space="preserve"> </w:t>
      </w:r>
      <w:r>
        <w:t>common</w:t>
      </w:r>
      <w:r>
        <w:rPr>
          <w:spacing w:val="-6"/>
        </w:rPr>
        <w:t xml:space="preserve"> </w:t>
      </w:r>
      <w:r>
        <w:t>adverse</w:t>
      </w:r>
      <w:r>
        <w:rPr>
          <w:spacing w:val="-6"/>
        </w:rPr>
        <w:t xml:space="preserve"> </w:t>
      </w:r>
      <w:r>
        <w:t>reactions</w:t>
      </w:r>
      <w:r>
        <w:rPr>
          <w:spacing w:val="-6"/>
        </w:rPr>
        <w:t xml:space="preserve"> </w:t>
      </w:r>
      <w:r>
        <w:t>in</w:t>
      </w:r>
      <w:r>
        <w:rPr>
          <w:spacing w:val="-6"/>
        </w:rPr>
        <w:t xml:space="preserve"> </w:t>
      </w:r>
      <w:r>
        <w:t>patients</w:t>
      </w:r>
      <w:r>
        <w:rPr>
          <w:spacing w:val="-8"/>
        </w:rPr>
        <w:t xml:space="preserve"> </w:t>
      </w:r>
      <w:r>
        <w:t>with</w:t>
      </w:r>
      <w:r>
        <w:rPr>
          <w:spacing w:val="-5"/>
        </w:rPr>
        <w:t xml:space="preserve"> </w:t>
      </w:r>
      <w:r>
        <w:t>giant</w:t>
      </w:r>
      <w:r>
        <w:rPr>
          <w:spacing w:val="-5"/>
        </w:rPr>
        <w:t xml:space="preserve"> </w:t>
      </w:r>
      <w:r>
        <w:t>cell</w:t>
      </w:r>
      <w:r>
        <w:rPr>
          <w:spacing w:val="-8"/>
        </w:rPr>
        <w:t xml:space="preserve"> </w:t>
      </w:r>
      <w:proofErr w:type="spellStart"/>
      <w:r>
        <w:t>tumour</w:t>
      </w:r>
      <w:proofErr w:type="spellEnd"/>
      <w:r>
        <w:rPr>
          <w:spacing w:val="-8"/>
        </w:rPr>
        <w:t xml:space="preserve"> </w:t>
      </w:r>
      <w:r>
        <w:t>of</w:t>
      </w:r>
      <w:r>
        <w:rPr>
          <w:spacing w:val="-6"/>
        </w:rPr>
        <w:t xml:space="preserve"> </w:t>
      </w:r>
      <w:r>
        <w:t>bone</w:t>
      </w:r>
      <w:r>
        <w:rPr>
          <w:spacing w:val="-4"/>
        </w:rPr>
        <w:t xml:space="preserve"> </w:t>
      </w:r>
      <w:r>
        <w:t>receiving</w:t>
      </w:r>
      <w:r>
        <w:rPr>
          <w:spacing w:val="-4"/>
        </w:rPr>
        <w:t xml:space="preserve"> </w:t>
      </w:r>
      <w:r>
        <w:t>denosumab</w:t>
      </w:r>
      <w:r>
        <w:rPr>
          <w:spacing w:val="-6"/>
        </w:rPr>
        <w:t xml:space="preserve"> </w:t>
      </w:r>
      <w:r>
        <w:t xml:space="preserve">(per-patient incidence greater than or equal to 20 %) were arthralgia, back pain, pain in extremity, fatigue, headache </w:t>
      </w:r>
      <w:proofErr w:type="gramStart"/>
      <w:r>
        <w:t>and,</w:t>
      </w:r>
      <w:proofErr w:type="gramEnd"/>
      <w:r>
        <w:t xml:space="preserve"> nausea.</w:t>
      </w:r>
    </w:p>
    <w:p w14:paraId="28880695" w14:textId="77777777" w:rsidR="00AE135B" w:rsidRDefault="00EE5424">
      <w:pPr>
        <w:pStyle w:val="BodyText"/>
        <w:spacing w:before="121" w:line="360" w:lineRule="auto"/>
        <w:ind w:right="182"/>
        <w:jc w:val="both"/>
      </w:pPr>
      <w:proofErr w:type="spellStart"/>
      <w:r>
        <w:t>Hypercalcaemia</w:t>
      </w:r>
      <w:proofErr w:type="spellEnd"/>
      <w:r>
        <w:t xml:space="preserve"> following treatment discontinuation in patients with giant cell </w:t>
      </w:r>
      <w:proofErr w:type="spellStart"/>
      <w:r>
        <w:t>tumour</w:t>
      </w:r>
      <w:proofErr w:type="spellEnd"/>
      <w:r>
        <w:t xml:space="preserve"> of bone has been observed uncommonly.</w:t>
      </w:r>
    </w:p>
    <w:p w14:paraId="057158D3" w14:textId="77777777" w:rsidR="00AE135B" w:rsidRDefault="00EE5424">
      <w:pPr>
        <w:pStyle w:val="BodyText"/>
        <w:spacing w:before="121"/>
        <w:jc w:val="both"/>
      </w:pPr>
      <w:proofErr w:type="spellStart"/>
      <w:r>
        <w:rPr>
          <w:spacing w:val="-2"/>
          <w:u w:val="single"/>
        </w:rPr>
        <w:t>Hypercalcaemia</w:t>
      </w:r>
      <w:proofErr w:type="spellEnd"/>
      <w:r>
        <w:rPr>
          <w:spacing w:val="-9"/>
          <w:u w:val="single"/>
        </w:rPr>
        <w:t xml:space="preserve"> </w:t>
      </w:r>
      <w:r>
        <w:rPr>
          <w:spacing w:val="-2"/>
          <w:u w:val="single"/>
        </w:rPr>
        <w:t>of</w:t>
      </w:r>
      <w:r>
        <w:rPr>
          <w:spacing w:val="-8"/>
          <w:u w:val="single"/>
        </w:rPr>
        <w:t xml:space="preserve"> </w:t>
      </w:r>
      <w:r>
        <w:rPr>
          <w:spacing w:val="-2"/>
          <w:u w:val="single"/>
        </w:rPr>
        <w:t>malignancy</w:t>
      </w:r>
    </w:p>
    <w:p w14:paraId="68695032" w14:textId="77777777" w:rsidR="00AE135B" w:rsidRDefault="00EE5424">
      <w:pPr>
        <w:pStyle w:val="BodyText"/>
        <w:spacing w:before="247" w:line="360" w:lineRule="auto"/>
        <w:ind w:right="172"/>
        <w:jc w:val="both"/>
      </w:pPr>
      <w:r>
        <w:t>The</w:t>
      </w:r>
      <w:r>
        <w:rPr>
          <w:spacing w:val="32"/>
        </w:rPr>
        <w:t xml:space="preserve"> </w:t>
      </w:r>
      <w:r>
        <w:t>safety</w:t>
      </w:r>
      <w:r>
        <w:rPr>
          <w:spacing w:val="30"/>
        </w:rPr>
        <w:t xml:space="preserve"> </w:t>
      </w:r>
      <w:r>
        <w:t>of</w:t>
      </w:r>
      <w:r>
        <w:rPr>
          <w:spacing w:val="34"/>
        </w:rPr>
        <w:t xml:space="preserve"> </w:t>
      </w:r>
      <w:r>
        <w:t>denosumab</w:t>
      </w:r>
      <w:r>
        <w:rPr>
          <w:spacing w:val="33"/>
        </w:rPr>
        <w:t xml:space="preserve"> </w:t>
      </w:r>
      <w:r>
        <w:t>was</w:t>
      </w:r>
      <w:r>
        <w:rPr>
          <w:spacing w:val="33"/>
        </w:rPr>
        <w:t xml:space="preserve"> </w:t>
      </w:r>
      <w:r>
        <w:t>evaluated</w:t>
      </w:r>
      <w:r>
        <w:rPr>
          <w:spacing w:val="32"/>
        </w:rPr>
        <w:t xml:space="preserve"> </w:t>
      </w:r>
      <w:r>
        <w:t>in</w:t>
      </w:r>
      <w:r>
        <w:rPr>
          <w:spacing w:val="31"/>
        </w:rPr>
        <w:t xml:space="preserve"> </w:t>
      </w:r>
      <w:r>
        <w:t>an</w:t>
      </w:r>
      <w:r>
        <w:rPr>
          <w:spacing w:val="31"/>
        </w:rPr>
        <w:t xml:space="preserve"> </w:t>
      </w:r>
      <w:r>
        <w:t>open-label,</w:t>
      </w:r>
      <w:r>
        <w:rPr>
          <w:spacing w:val="33"/>
        </w:rPr>
        <w:t xml:space="preserve"> </w:t>
      </w:r>
      <w:r>
        <w:t>single-arm</w:t>
      </w:r>
      <w:r>
        <w:rPr>
          <w:spacing w:val="31"/>
        </w:rPr>
        <w:t xml:space="preserve"> </w:t>
      </w:r>
      <w:r>
        <w:t>trial</w:t>
      </w:r>
      <w:r>
        <w:rPr>
          <w:spacing w:val="32"/>
        </w:rPr>
        <w:t xml:space="preserve"> </w:t>
      </w:r>
      <w:r>
        <w:t>(Study</w:t>
      </w:r>
      <w:r>
        <w:rPr>
          <w:spacing w:val="33"/>
        </w:rPr>
        <w:t xml:space="preserve"> </w:t>
      </w:r>
      <w:r>
        <w:t>20070315)</w:t>
      </w:r>
      <w:r>
        <w:rPr>
          <w:spacing w:val="33"/>
        </w:rPr>
        <w:t xml:space="preserve"> </w:t>
      </w:r>
      <w:r>
        <w:t>in</w:t>
      </w:r>
      <w:r>
        <w:rPr>
          <w:spacing w:val="29"/>
        </w:rPr>
        <w:t xml:space="preserve"> </w:t>
      </w:r>
      <w:r>
        <w:t>which 33</w:t>
      </w:r>
      <w:r>
        <w:rPr>
          <w:spacing w:val="-13"/>
        </w:rPr>
        <w:t xml:space="preserve"> </w:t>
      </w:r>
      <w:r>
        <w:t>patients</w:t>
      </w:r>
      <w:r>
        <w:rPr>
          <w:spacing w:val="-12"/>
        </w:rPr>
        <w:t xml:space="preserve"> </w:t>
      </w:r>
      <w:r>
        <w:t>were</w:t>
      </w:r>
      <w:r>
        <w:rPr>
          <w:spacing w:val="-13"/>
        </w:rPr>
        <w:t xml:space="preserve"> </w:t>
      </w:r>
      <w:r>
        <w:t>enrolled</w:t>
      </w:r>
      <w:r>
        <w:rPr>
          <w:spacing w:val="-12"/>
        </w:rPr>
        <w:t xml:space="preserve"> </w:t>
      </w:r>
      <w:r>
        <w:t>with</w:t>
      </w:r>
      <w:r>
        <w:rPr>
          <w:spacing w:val="-13"/>
        </w:rPr>
        <w:t xml:space="preserve"> </w:t>
      </w:r>
      <w:proofErr w:type="spellStart"/>
      <w:r>
        <w:t>hypercalcaemia</w:t>
      </w:r>
      <w:proofErr w:type="spellEnd"/>
      <w:r>
        <w:rPr>
          <w:spacing w:val="-12"/>
        </w:rPr>
        <w:t xml:space="preserve"> </w:t>
      </w:r>
      <w:r>
        <w:t>of</w:t>
      </w:r>
      <w:r>
        <w:rPr>
          <w:spacing w:val="-13"/>
        </w:rPr>
        <w:t xml:space="preserve"> </w:t>
      </w:r>
      <w:r>
        <w:t>malignancy</w:t>
      </w:r>
      <w:r>
        <w:rPr>
          <w:spacing w:val="-12"/>
        </w:rPr>
        <w:t xml:space="preserve"> </w:t>
      </w:r>
      <w:r>
        <w:t>(with</w:t>
      </w:r>
      <w:r>
        <w:rPr>
          <w:spacing w:val="-12"/>
        </w:rPr>
        <w:t xml:space="preserve"> </w:t>
      </w:r>
      <w:r>
        <w:t>or</w:t>
      </w:r>
      <w:r>
        <w:rPr>
          <w:spacing w:val="-13"/>
        </w:rPr>
        <w:t xml:space="preserve"> </w:t>
      </w:r>
      <w:r>
        <w:t>without</w:t>
      </w:r>
      <w:r>
        <w:rPr>
          <w:spacing w:val="-12"/>
        </w:rPr>
        <w:t xml:space="preserve"> </w:t>
      </w:r>
      <w:r>
        <w:t>bone</w:t>
      </w:r>
      <w:r>
        <w:rPr>
          <w:spacing w:val="-13"/>
        </w:rPr>
        <w:t xml:space="preserve"> </w:t>
      </w:r>
      <w:r>
        <w:t>metastases)</w:t>
      </w:r>
      <w:r>
        <w:rPr>
          <w:spacing w:val="-12"/>
        </w:rPr>
        <w:t xml:space="preserve"> </w:t>
      </w:r>
      <w:r>
        <w:t>refractory to</w:t>
      </w:r>
      <w:r>
        <w:rPr>
          <w:spacing w:val="40"/>
        </w:rPr>
        <w:t xml:space="preserve"> </w:t>
      </w:r>
      <w:r>
        <w:t>treatment</w:t>
      </w:r>
      <w:r>
        <w:rPr>
          <w:spacing w:val="40"/>
        </w:rPr>
        <w:t xml:space="preserve"> </w:t>
      </w:r>
      <w:r>
        <w:t>with</w:t>
      </w:r>
      <w:r>
        <w:rPr>
          <w:spacing w:val="40"/>
        </w:rPr>
        <w:t xml:space="preserve"> </w:t>
      </w:r>
      <w:r>
        <w:t>intravenous</w:t>
      </w:r>
      <w:r>
        <w:rPr>
          <w:spacing w:val="40"/>
        </w:rPr>
        <w:t xml:space="preserve"> </w:t>
      </w:r>
      <w:r>
        <w:t>bisphosphonate.</w:t>
      </w:r>
      <w:r>
        <w:rPr>
          <w:spacing w:val="80"/>
        </w:rPr>
        <w:t xml:space="preserve"> </w:t>
      </w:r>
      <w:r>
        <w:t>Patients</w:t>
      </w:r>
      <w:r>
        <w:rPr>
          <w:spacing w:val="40"/>
        </w:rPr>
        <w:t xml:space="preserve"> </w:t>
      </w:r>
      <w:r>
        <w:t>received</w:t>
      </w:r>
      <w:r>
        <w:rPr>
          <w:spacing w:val="40"/>
        </w:rPr>
        <w:t xml:space="preserve"> </w:t>
      </w:r>
      <w:r>
        <w:t>denosumab</w:t>
      </w:r>
      <w:r>
        <w:rPr>
          <w:spacing w:val="40"/>
        </w:rPr>
        <w:t xml:space="preserve"> </w:t>
      </w:r>
      <w:r>
        <w:t>subcutaneously</w:t>
      </w:r>
      <w:r>
        <w:rPr>
          <w:spacing w:val="40"/>
        </w:rPr>
        <w:t xml:space="preserve"> </w:t>
      </w:r>
      <w:r>
        <w:t>every 4</w:t>
      </w:r>
      <w:r>
        <w:rPr>
          <w:spacing w:val="-7"/>
        </w:rPr>
        <w:t xml:space="preserve"> </w:t>
      </w:r>
      <w:r>
        <w:t>weeks</w:t>
      </w:r>
      <w:r>
        <w:rPr>
          <w:spacing w:val="-8"/>
        </w:rPr>
        <w:t xml:space="preserve"> </w:t>
      </w:r>
      <w:r>
        <w:t>with</w:t>
      </w:r>
      <w:r>
        <w:rPr>
          <w:spacing w:val="-5"/>
        </w:rPr>
        <w:t xml:space="preserve"> </w:t>
      </w:r>
      <w:r>
        <w:t>additional</w:t>
      </w:r>
      <w:r>
        <w:rPr>
          <w:spacing w:val="-8"/>
        </w:rPr>
        <w:t xml:space="preserve"> </w:t>
      </w:r>
      <w:r>
        <w:t>120</w:t>
      </w:r>
      <w:r>
        <w:rPr>
          <w:spacing w:val="-7"/>
        </w:rPr>
        <w:t xml:space="preserve"> </w:t>
      </w:r>
      <w:r>
        <w:t>mg</w:t>
      </w:r>
      <w:r>
        <w:rPr>
          <w:spacing w:val="-11"/>
        </w:rPr>
        <w:t xml:space="preserve"> </w:t>
      </w:r>
      <w:r>
        <w:t>doses</w:t>
      </w:r>
      <w:r>
        <w:rPr>
          <w:spacing w:val="-10"/>
        </w:rPr>
        <w:t xml:space="preserve"> </w:t>
      </w:r>
      <w:r>
        <w:t>on</w:t>
      </w:r>
      <w:r>
        <w:rPr>
          <w:spacing w:val="-9"/>
        </w:rPr>
        <w:t xml:space="preserve"> </w:t>
      </w:r>
      <w:r>
        <w:t>Days</w:t>
      </w:r>
      <w:r>
        <w:rPr>
          <w:spacing w:val="-5"/>
        </w:rPr>
        <w:t xml:space="preserve"> </w:t>
      </w:r>
      <w:r>
        <w:t>8</w:t>
      </w:r>
      <w:r>
        <w:rPr>
          <w:spacing w:val="-7"/>
        </w:rPr>
        <w:t xml:space="preserve"> </w:t>
      </w:r>
      <w:r>
        <w:t>and</w:t>
      </w:r>
      <w:r>
        <w:rPr>
          <w:spacing w:val="-8"/>
        </w:rPr>
        <w:t xml:space="preserve"> </w:t>
      </w:r>
      <w:r>
        <w:t>15</w:t>
      </w:r>
      <w:r>
        <w:rPr>
          <w:spacing w:val="-10"/>
        </w:rPr>
        <w:t xml:space="preserve"> </w:t>
      </w:r>
      <w:r>
        <w:t>of</w:t>
      </w:r>
      <w:r>
        <w:rPr>
          <w:spacing w:val="-8"/>
        </w:rPr>
        <w:t xml:space="preserve"> </w:t>
      </w:r>
      <w:r>
        <w:t>the</w:t>
      </w:r>
      <w:r>
        <w:rPr>
          <w:spacing w:val="-8"/>
        </w:rPr>
        <w:t xml:space="preserve"> </w:t>
      </w:r>
      <w:r>
        <w:t>initial</w:t>
      </w:r>
      <w:r>
        <w:rPr>
          <w:spacing w:val="-9"/>
        </w:rPr>
        <w:t xml:space="preserve"> </w:t>
      </w:r>
      <w:r>
        <w:t>4-week</w:t>
      </w:r>
      <w:r>
        <w:rPr>
          <w:spacing w:val="-7"/>
        </w:rPr>
        <w:t xml:space="preserve"> </w:t>
      </w:r>
      <w:r>
        <w:t>period.</w:t>
      </w:r>
      <w:r>
        <w:rPr>
          <w:spacing w:val="30"/>
        </w:rPr>
        <w:t xml:space="preserve"> </w:t>
      </w:r>
      <w:r>
        <w:t>Entry</w:t>
      </w:r>
      <w:r>
        <w:rPr>
          <w:spacing w:val="-5"/>
        </w:rPr>
        <w:t xml:space="preserve"> </w:t>
      </w:r>
      <w:r>
        <w:t>criteria</w:t>
      </w:r>
      <w:r>
        <w:rPr>
          <w:spacing w:val="-8"/>
        </w:rPr>
        <w:t xml:space="preserve"> </w:t>
      </w:r>
      <w:r>
        <w:t>included patients</w:t>
      </w:r>
      <w:r>
        <w:rPr>
          <w:spacing w:val="36"/>
        </w:rPr>
        <w:t xml:space="preserve"> </w:t>
      </w:r>
      <w:r>
        <w:t>who</w:t>
      </w:r>
      <w:r>
        <w:rPr>
          <w:spacing w:val="40"/>
        </w:rPr>
        <w:t xml:space="preserve"> </w:t>
      </w:r>
      <w:r>
        <w:t>had</w:t>
      </w:r>
      <w:r>
        <w:rPr>
          <w:spacing w:val="35"/>
        </w:rPr>
        <w:t xml:space="preserve"> </w:t>
      </w:r>
      <w:r>
        <w:t>refractory</w:t>
      </w:r>
      <w:r>
        <w:rPr>
          <w:spacing w:val="37"/>
        </w:rPr>
        <w:t xml:space="preserve"> </w:t>
      </w:r>
      <w:proofErr w:type="spellStart"/>
      <w:r>
        <w:t>hypercalcaemia</w:t>
      </w:r>
      <w:proofErr w:type="spellEnd"/>
      <w:r>
        <w:rPr>
          <w:spacing w:val="38"/>
        </w:rPr>
        <w:t xml:space="preserve"> </w:t>
      </w:r>
      <w:r>
        <w:t>of</w:t>
      </w:r>
      <w:r>
        <w:rPr>
          <w:spacing w:val="34"/>
        </w:rPr>
        <w:t xml:space="preserve"> </w:t>
      </w:r>
      <w:r>
        <w:t>malignancy</w:t>
      </w:r>
      <w:r>
        <w:rPr>
          <w:spacing w:val="37"/>
        </w:rPr>
        <w:t xml:space="preserve"> </w:t>
      </w:r>
      <w:r>
        <w:t>(defined</w:t>
      </w:r>
      <w:r>
        <w:rPr>
          <w:spacing w:val="36"/>
        </w:rPr>
        <w:t xml:space="preserve"> </w:t>
      </w:r>
      <w:r>
        <w:t>as</w:t>
      </w:r>
      <w:r>
        <w:rPr>
          <w:spacing w:val="36"/>
        </w:rPr>
        <w:t xml:space="preserve"> </w:t>
      </w:r>
      <w:r>
        <w:t>an</w:t>
      </w:r>
      <w:r>
        <w:rPr>
          <w:spacing w:val="36"/>
        </w:rPr>
        <w:t xml:space="preserve"> </w:t>
      </w:r>
      <w:r>
        <w:t>albumin-corrected</w:t>
      </w:r>
      <w:r>
        <w:rPr>
          <w:spacing w:val="38"/>
        </w:rPr>
        <w:t xml:space="preserve"> </w:t>
      </w:r>
      <w:r>
        <w:t xml:space="preserve">calcium of &gt; 12.5 mg/dL [3.1 mmol/L] despite treatment with intravenous bisphosphonate in the last 7-30 days). Patients receiving dialysis for renal failure or who had treatment with thiazides, calcitonin, </w:t>
      </w:r>
      <w:proofErr w:type="spellStart"/>
      <w:r>
        <w:t>mithromycin</w:t>
      </w:r>
      <w:proofErr w:type="spellEnd"/>
      <w:r>
        <w:t>, or gallium nitrate within their window of expected therapeutic effect prior to the date of screening corrected serum calcium (CSC) were excluded.</w:t>
      </w:r>
      <w:r>
        <w:rPr>
          <w:spacing w:val="40"/>
        </w:rPr>
        <w:t xml:space="preserve"> </w:t>
      </w:r>
      <w:r>
        <w:t>During the trial, serum calcium was collected every few days in the first month, weekly during the second month, and monthly thereafter.</w:t>
      </w:r>
    </w:p>
    <w:p w14:paraId="2B367B30" w14:textId="77777777" w:rsidR="00AE135B" w:rsidRDefault="00EE5424">
      <w:pPr>
        <w:pStyle w:val="BodyText"/>
        <w:spacing w:line="360" w:lineRule="auto"/>
        <w:ind w:left="297" w:right="170"/>
        <w:jc w:val="both"/>
      </w:pPr>
      <w:r>
        <w:t>Of</w:t>
      </w:r>
      <w:r>
        <w:rPr>
          <w:spacing w:val="16"/>
        </w:rPr>
        <w:t xml:space="preserve"> </w:t>
      </w:r>
      <w:r>
        <w:t>the</w:t>
      </w:r>
      <w:r>
        <w:rPr>
          <w:spacing w:val="11"/>
        </w:rPr>
        <w:t xml:space="preserve"> </w:t>
      </w:r>
      <w:r>
        <w:t>33</w:t>
      </w:r>
      <w:r>
        <w:rPr>
          <w:spacing w:val="17"/>
        </w:rPr>
        <w:t xml:space="preserve"> </w:t>
      </w:r>
      <w:r>
        <w:t>patients</w:t>
      </w:r>
      <w:r>
        <w:rPr>
          <w:spacing w:val="14"/>
        </w:rPr>
        <w:t xml:space="preserve"> </w:t>
      </w:r>
      <w:r>
        <w:t>who</w:t>
      </w:r>
      <w:r>
        <w:rPr>
          <w:spacing w:val="16"/>
        </w:rPr>
        <w:t xml:space="preserve"> </w:t>
      </w:r>
      <w:r>
        <w:t>received</w:t>
      </w:r>
      <w:r>
        <w:rPr>
          <w:spacing w:val="18"/>
        </w:rPr>
        <w:t xml:space="preserve"> </w:t>
      </w:r>
      <w:r>
        <w:t>denosumab,</w:t>
      </w:r>
      <w:r>
        <w:rPr>
          <w:spacing w:val="13"/>
        </w:rPr>
        <w:t xml:space="preserve"> </w:t>
      </w:r>
      <w:r>
        <w:t>33</w:t>
      </w:r>
      <w:r>
        <w:rPr>
          <w:spacing w:val="17"/>
        </w:rPr>
        <w:t xml:space="preserve"> </w:t>
      </w:r>
      <w:r>
        <w:t>patients</w:t>
      </w:r>
      <w:r>
        <w:rPr>
          <w:spacing w:val="19"/>
        </w:rPr>
        <w:t xml:space="preserve"> </w:t>
      </w:r>
      <w:r>
        <w:t>were</w:t>
      </w:r>
      <w:r>
        <w:rPr>
          <w:spacing w:val="14"/>
        </w:rPr>
        <w:t xml:space="preserve"> </w:t>
      </w:r>
      <w:r>
        <w:t>treated</w:t>
      </w:r>
      <w:r>
        <w:rPr>
          <w:spacing w:val="16"/>
        </w:rPr>
        <w:t xml:space="preserve"> </w:t>
      </w:r>
      <w:r>
        <w:t>with</w:t>
      </w:r>
      <w:r>
        <w:rPr>
          <w:spacing w:val="14"/>
        </w:rPr>
        <w:t xml:space="preserve"> </w:t>
      </w:r>
      <w:r>
        <w:t>denosumab</w:t>
      </w:r>
      <w:r>
        <w:rPr>
          <w:spacing w:val="16"/>
        </w:rPr>
        <w:t xml:space="preserve"> </w:t>
      </w:r>
      <w:r>
        <w:t>for</w:t>
      </w:r>
      <w:r>
        <w:rPr>
          <w:spacing w:val="18"/>
        </w:rPr>
        <w:t xml:space="preserve"> </w:t>
      </w:r>
      <w:r>
        <w:t>≥</w:t>
      </w:r>
      <w:r>
        <w:rPr>
          <w:spacing w:val="16"/>
        </w:rPr>
        <w:t xml:space="preserve"> </w:t>
      </w:r>
      <w:r>
        <w:t>1</w:t>
      </w:r>
      <w:r>
        <w:rPr>
          <w:spacing w:val="12"/>
        </w:rPr>
        <w:t xml:space="preserve"> </w:t>
      </w:r>
      <w:r>
        <w:t>month, 5</w:t>
      </w:r>
      <w:r>
        <w:rPr>
          <w:spacing w:val="-5"/>
        </w:rPr>
        <w:t xml:space="preserve"> </w:t>
      </w:r>
      <w:r>
        <w:t>patients</w:t>
      </w:r>
      <w:r>
        <w:rPr>
          <w:spacing w:val="-5"/>
        </w:rPr>
        <w:t xml:space="preserve"> </w:t>
      </w:r>
      <w:r>
        <w:t>for</w:t>
      </w:r>
      <w:r>
        <w:rPr>
          <w:spacing w:val="-6"/>
        </w:rPr>
        <w:t xml:space="preserve"> </w:t>
      </w:r>
      <w:r>
        <w:t>≥</w:t>
      </w:r>
      <w:r>
        <w:rPr>
          <w:spacing w:val="-5"/>
        </w:rPr>
        <w:t xml:space="preserve"> </w:t>
      </w:r>
      <w:r>
        <w:t>6</w:t>
      </w:r>
      <w:r>
        <w:rPr>
          <w:spacing w:val="-5"/>
        </w:rPr>
        <w:t xml:space="preserve"> </w:t>
      </w:r>
      <w:r>
        <w:t>months,</w:t>
      </w:r>
      <w:r>
        <w:rPr>
          <w:spacing w:val="-3"/>
        </w:rPr>
        <w:t xml:space="preserve"> </w:t>
      </w:r>
      <w:r>
        <w:t>and</w:t>
      </w:r>
      <w:r>
        <w:rPr>
          <w:spacing w:val="-6"/>
        </w:rPr>
        <w:t xml:space="preserve"> </w:t>
      </w:r>
      <w:r>
        <w:t>3</w:t>
      </w:r>
      <w:r>
        <w:rPr>
          <w:spacing w:val="-2"/>
        </w:rPr>
        <w:t xml:space="preserve"> </w:t>
      </w:r>
      <w:r>
        <w:t>patients</w:t>
      </w:r>
      <w:r>
        <w:rPr>
          <w:spacing w:val="-5"/>
        </w:rPr>
        <w:t xml:space="preserve"> </w:t>
      </w:r>
      <w:r>
        <w:t>for</w:t>
      </w:r>
      <w:r>
        <w:rPr>
          <w:spacing w:val="-3"/>
        </w:rPr>
        <w:t xml:space="preserve"> </w:t>
      </w:r>
      <w:r>
        <w:t>≥</w:t>
      </w:r>
      <w:r>
        <w:rPr>
          <w:spacing w:val="-8"/>
        </w:rPr>
        <w:t xml:space="preserve"> </w:t>
      </w:r>
      <w:r>
        <w:t>1</w:t>
      </w:r>
      <w:r>
        <w:rPr>
          <w:spacing w:val="-2"/>
        </w:rPr>
        <w:t xml:space="preserve"> </w:t>
      </w:r>
      <w:r>
        <w:t>year.</w:t>
      </w:r>
      <w:r>
        <w:rPr>
          <w:spacing w:val="32"/>
        </w:rPr>
        <w:t xml:space="preserve"> </w:t>
      </w:r>
      <w:r>
        <w:t>The</w:t>
      </w:r>
      <w:r>
        <w:rPr>
          <w:spacing w:val="-6"/>
        </w:rPr>
        <w:t xml:space="preserve"> </w:t>
      </w:r>
      <w:r>
        <w:t>median</w:t>
      </w:r>
      <w:r>
        <w:rPr>
          <w:spacing w:val="-4"/>
        </w:rPr>
        <w:t xml:space="preserve"> </w:t>
      </w:r>
      <w:r>
        <w:t>number</w:t>
      </w:r>
      <w:r>
        <w:rPr>
          <w:spacing w:val="-5"/>
        </w:rPr>
        <w:t xml:space="preserve"> </w:t>
      </w:r>
      <w:r>
        <w:t>of</w:t>
      </w:r>
      <w:r>
        <w:rPr>
          <w:spacing w:val="-5"/>
        </w:rPr>
        <w:t xml:space="preserve"> </w:t>
      </w:r>
      <w:r>
        <w:t>doses</w:t>
      </w:r>
      <w:r>
        <w:rPr>
          <w:spacing w:val="-5"/>
        </w:rPr>
        <w:t xml:space="preserve"> </w:t>
      </w:r>
      <w:r>
        <w:t>received</w:t>
      </w:r>
      <w:r>
        <w:rPr>
          <w:spacing w:val="-6"/>
        </w:rPr>
        <w:t xml:space="preserve"> </w:t>
      </w:r>
      <w:r>
        <w:t>was</w:t>
      </w:r>
      <w:r>
        <w:rPr>
          <w:spacing w:val="-6"/>
        </w:rPr>
        <w:t xml:space="preserve"> </w:t>
      </w:r>
      <w:r>
        <w:t>4</w:t>
      </w:r>
      <w:r>
        <w:rPr>
          <w:spacing w:val="-2"/>
        </w:rPr>
        <w:t xml:space="preserve"> </w:t>
      </w:r>
      <w:r>
        <w:t xml:space="preserve">(range: 1 to 25 doses) and the median number of </w:t>
      </w:r>
      <w:proofErr w:type="gramStart"/>
      <w:r>
        <w:t>months</w:t>
      </w:r>
      <w:proofErr w:type="gramEnd"/>
      <w:r>
        <w:t xml:space="preserve"> on study was 1.8 (range: 0 to 23 months).</w:t>
      </w:r>
      <w:r>
        <w:rPr>
          <w:spacing w:val="40"/>
        </w:rPr>
        <w:t xml:space="preserve"> </w:t>
      </w:r>
      <w:r>
        <w:t>Sixty-four percent of enrolled patients were men and 70 % were white.</w:t>
      </w:r>
      <w:r>
        <w:rPr>
          <w:spacing w:val="40"/>
        </w:rPr>
        <w:t xml:space="preserve"> </w:t>
      </w:r>
      <w:r>
        <w:t>The median age was 63 years (range: 22 to 89 years).</w:t>
      </w:r>
    </w:p>
    <w:p w14:paraId="53BC9D6D" w14:textId="77777777" w:rsidR="00320262" w:rsidRDefault="00320262" w:rsidP="00320262"/>
    <w:p w14:paraId="527DD6AB" w14:textId="77777777" w:rsidR="00AE135B" w:rsidRDefault="00EE5424">
      <w:pPr>
        <w:pStyle w:val="BodyText"/>
        <w:spacing w:before="30" w:line="362" w:lineRule="auto"/>
        <w:ind w:right="179"/>
        <w:jc w:val="both"/>
      </w:pPr>
      <w:r>
        <w:t xml:space="preserve">The adverse reaction profile of denosumab in patients with </w:t>
      </w:r>
      <w:proofErr w:type="spellStart"/>
      <w:r>
        <w:t>hypercalcaemia</w:t>
      </w:r>
      <w:proofErr w:type="spellEnd"/>
      <w:r>
        <w:t xml:space="preserve"> of malignancy was </w:t>
      </w:r>
      <w:proofErr w:type="gramStart"/>
      <w:r>
        <w:t>similar to</w:t>
      </w:r>
      <w:proofErr w:type="gramEnd"/>
      <w:r>
        <w:t xml:space="preserve"> that reported in patients with bone metastases from solid </w:t>
      </w:r>
      <w:proofErr w:type="spellStart"/>
      <w:r>
        <w:t>tumours</w:t>
      </w:r>
      <w:proofErr w:type="spellEnd"/>
      <w:r>
        <w:t xml:space="preserve"> and giant cell </w:t>
      </w:r>
      <w:proofErr w:type="spellStart"/>
      <w:r>
        <w:t>tumour</w:t>
      </w:r>
      <w:proofErr w:type="spellEnd"/>
      <w:r>
        <w:t xml:space="preserve"> of bone.</w:t>
      </w:r>
    </w:p>
    <w:p w14:paraId="40A13F87" w14:textId="77777777" w:rsidR="00AE135B" w:rsidRDefault="00EE5424">
      <w:pPr>
        <w:pStyle w:val="BodyText"/>
        <w:spacing w:before="115" w:line="360" w:lineRule="auto"/>
        <w:ind w:right="178"/>
        <w:jc w:val="both"/>
      </w:pPr>
      <w:r>
        <w:t xml:space="preserve">The most common adverse reactions were nausea, </w:t>
      </w:r>
      <w:proofErr w:type="spellStart"/>
      <w:r>
        <w:t>dyspnoea</w:t>
      </w:r>
      <w:proofErr w:type="spellEnd"/>
      <w:r>
        <w:t>, decreased appetite, headache, peripheral oedema, and vomiting. No adverse events leading to discontinuation were reported as related to denosumab treatment.</w:t>
      </w:r>
    </w:p>
    <w:p w14:paraId="050EFCFB" w14:textId="77777777" w:rsidR="00AE135B" w:rsidRDefault="00EE5424" w:rsidP="00EE5424">
      <w:pPr>
        <w:pStyle w:val="BodyText"/>
        <w:pageBreakBefore/>
        <w:spacing w:before="124"/>
        <w:ind w:left="306"/>
      </w:pPr>
      <w:proofErr w:type="spellStart"/>
      <w:r>
        <w:rPr>
          <w:spacing w:val="-2"/>
          <w:u w:val="single"/>
        </w:rPr>
        <w:lastRenderedPageBreak/>
        <w:t>Hypocalcaemia</w:t>
      </w:r>
      <w:proofErr w:type="spellEnd"/>
    </w:p>
    <w:p w14:paraId="2B0BE1FB" w14:textId="77777777" w:rsidR="00AE135B" w:rsidRDefault="00EE5424">
      <w:pPr>
        <w:pStyle w:val="BodyText"/>
        <w:spacing w:before="247" w:line="360" w:lineRule="auto"/>
        <w:ind w:right="173"/>
        <w:jc w:val="both"/>
      </w:pPr>
      <w:r>
        <w:t xml:space="preserve">In three phase 3 active-controlled clinical trials in patients with advanced malignancies involving bone, </w:t>
      </w:r>
      <w:proofErr w:type="spellStart"/>
      <w:r>
        <w:t>hypocalcaemia</w:t>
      </w:r>
      <w:proofErr w:type="spellEnd"/>
      <w:r>
        <w:t xml:space="preserve"> was reported in 9.6 % of patients treated with denosumab and 5.0 % of patients treated with zoledronic acid. A decrease in serum calcium levels to the range between 1.5 to 1.75 mmol/L was experienced in 2.5 % of patients treated with denosumab and 1.2 % of patients treated with zoledronic acid.</w:t>
      </w:r>
      <w:r>
        <w:rPr>
          <w:spacing w:val="-6"/>
        </w:rPr>
        <w:t xml:space="preserve"> </w:t>
      </w:r>
      <w:r>
        <w:t>A</w:t>
      </w:r>
      <w:r>
        <w:rPr>
          <w:spacing w:val="-4"/>
        </w:rPr>
        <w:t xml:space="preserve"> </w:t>
      </w:r>
      <w:r>
        <w:t>decrease</w:t>
      </w:r>
      <w:r>
        <w:rPr>
          <w:spacing w:val="-5"/>
        </w:rPr>
        <w:t xml:space="preserve"> </w:t>
      </w:r>
      <w:r>
        <w:t>in</w:t>
      </w:r>
      <w:r>
        <w:rPr>
          <w:spacing w:val="-6"/>
        </w:rPr>
        <w:t xml:space="preserve"> </w:t>
      </w:r>
      <w:r>
        <w:t>serum</w:t>
      </w:r>
      <w:r>
        <w:rPr>
          <w:spacing w:val="-1"/>
        </w:rPr>
        <w:t xml:space="preserve"> </w:t>
      </w:r>
      <w:r>
        <w:t>calcium</w:t>
      </w:r>
      <w:r>
        <w:rPr>
          <w:spacing w:val="-5"/>
        </w:rPr>
        <w:t xml:space="preserve"> </w:t>
      </w:r>
      <w:r>
        <w:t>levels</w:t>
      </w:r>
      <w:r>
        <w:rPr>
          <w:spacing w:val="-5"/>
        </w:rPr>
        <w:t xml:space="preserve"> </w:t>
      </w:r>
      <w:r>
        <w:t>to</w:t>
      </w:r>
      <w:r>
        <w:rPr>
          <w:spacing w:val="-2"/>
        </w:rPr>
        <w:t xml:space="preserve"> </w:t>
      </w:r>
      <w:r>
        <w:t>&lt;</w:t>
      </w:r>
      <w:r>
        <w:rPr>
          <w:spacing w:val="-8"/>
        </w:rPr>
        <w:t xml:space="preserve"> </w:t>
      </w:r>
      <w:r>
        <w:t>1.5</w:t>
      </w:r>
      <w:r>
        <w:rPr>
          <w:spacing w:val="-10"/>
        </w:rPr>
        <w:t xml:space="preserve"> </w:t>
      </w:r>
      <w:r>
        <w:t>mmol/L</w:t>
      </w:r>
      <w:r>
        <w:rPr>
          <w:spacing w:val="-4"/>
        </w:rPr>
        <w:t xml:space="preserve"> </w:t>
      </w:r>
      <w:r>
        <w:t>was</w:t>
      </w:r>
      <w:r>
        <w:rPr>
          <w:spacing w:val="-8"/>
        </w:rPr>
        <w:t xml:space="preserve"> </w:t>
      </w:r>
      <w:r>
        <w:t>experienced</w:t>
      </w:r>
      <w:r>
        <w:rPr>
          <w:spacing w:val="-5"/>
        </w:rPr>
        <w:t xml:space="preserve"> </w:t>
      </w:r>
      <w:r>
        <w:t>in</w:t>
      </w:r>
      <w:r>
        <w:rPr>
          <w:spacing w:val="-9"/>
        </w:rPr>
        <w:t xml:space="preserve"> </w:t>
      </w:r>
      <w:r>
        <w:t>0.6</w:t>
      </w:r>
      <w:r>
        <w:rPr>
          <w:spacing w:val="-5"/>
        </w:rPr>
        <w:t xml:space="preserve"> </w:t>
      </w:r>
      <w:r>
        <w:t>%</w:t>
      </w:r>
      <w:r>
        <w:rPr>
          <w:spacing w:val="-5"/>
        </w:rPr>
        <w:t xml:space="preserve"> </w:t>
      </w:r>
      <w:r>
        <w:t>of</w:t>
      </w:r>
      <w:r>
        <w:rPr>
          <w:spacing w:val="-8"/>
        </w:rPr>
        <w:t xml:space="preserve"> </w:t>
      </w:r>
      <w:r>
        <w:t>patients</w:t>
      </w:r>
      <w:r>
        <w:rPr>
          <w:spacing w:val="-6"/>
        </w:rPr>
        <w:t xml:space="preserve"> </w:t>
      </w:r>
      <w:r>
        <w:t>treated</w:t>
      </w:r>
      <w:r>
        <w:rPr>
          <w:spacing w:val="-11"/>
        </w:rPr>
        <w:t xml:space="preserve"> </w:t>
      </w:r>
      <w:r>
        <w:t>with denosumab and 0.2 % of patients treated with zoledronic acid.</w:t>
      </w:r>
    </w:p>
    <w:p w14:paraId="68ABF0CD" w14:textId="1356940C" w:rsidR="00AE135B" w:rsidRDefault="00EE5424" w:rsidP="00320262">
      <w:pPr>
        <w:pStyle w:val="BodyText"/>
        <w:spacing w:before="121" w:line="360" w:lineRule="auto"/>
        <w:ind w:right="171"/>
        <w:jc w:val="both"/>
      </w:pPr>
      <w:r>
        <w:t>In a phase 3 active-controlled clinical trial in patients with newly diagnosed multiple</w:t>
      </w:r>
      <w:r>
        <w:rPr>
          <w:spacing w:val="40"/>
        </w:rPr>
        <w:t xml:space="preserve"> </w:t>
      </w:r>
      <w:r>
        <w:t xml:space="preserve">myeloma, </w:t>
      </w:r>
      <w:proofErr w:type="spellStart"/>
      <w:r>
        <w:t>hypocalcaemia</w:t>
      </w:r>
      <w:proofErr w:type="spellEnd"/>
      <w:r>
        <w:rPr>
          <w:spacing w:val="-6"/>
        </w:rPr>
        <w:t xml:space="preserve"> </w:t>
      </w:r>
      <w:r>
        <w:t>was</w:t>
      </w:r>
      <w:r>
        <w:rPr>
          <w:spacing w:val="-5"/>
        </w:rPr>
        <w:t xml:space="preserve"> </w:t>
      </w:r>
      <w:r>
        <w:t>reported</w:t>
      </w:r>
      <w:r>
        <w:rPr>
          <w:spacing w:val="-5"/>
        </w:rPr>
        <w:t xml:space="preserve"> </w:t>
      </w:r>
      <w:r>
        <w:t>in</w:t>
      </w:r>
      <w:r>
        <w:rPr>
          <w:spacing w:val="-6"/>
        </w:rPr>
        <w:t xml:space="preserve"> </w:t>
      </w:r>
      <w:r>
        <w:t>16.9 %</w:t>
      </w:r>
      <w:r>
        <w:rPr>
          <w:spacing w:val="-3"/>
        </w:rPr>
        <w:t xml:space="preserve"> </w:t>
      </w:r>
      <w:r>
        <w:t>of</w:t>
      </w:r>
      <w:r>
        <w:rPr>
          <w:spacing w:val="-3"/>
        </w:rPr>
        <w:t xml:space="preserve"> </w:t>
      </w:r>
      <w:r>
        <w:t>patients</w:t>
      </w:r>
      <w:r>
        <w:rPr>
          <w:spacing w:val="-5"/>
        </w:rPr>
        <w:t xml:space="preserve"> </w:t>
      </w:r>
      <w:r>
        <w:t>treated</w:t>
      </w:r>
      <w:r>
        <w:rPr>
          <w:spacing w:val="-6"/>
        </w:rPr>
        <w:t xml:space="preserve"> </w:t>
      </w:r>
      <w:r>
        <w:t>with</w:t>
      </w:r>
      <w:r>
        <w:rPr>
          <w:spacing w:val="-5"/>
        </w:rPr>
        <w:t xml:space="preserve"> </w:t>
      </w:r>
      <w:r>
        <w:t>denosumab</w:t>
      </w:r>
      <w:r>
        <w:rPr>
          <w:spacing w:val="-3"/>
        </w:rPr>
        <w:t xml:space="preserve"> </w:t>
      </w:r>
      <w:r>
        <w:t>and</w:t>
      </w:r>
      <w:r>
        <w:rPr>
          <w:spacing w:val="-3"/>
        </w:rPr>
        <w:t xml:space="preserve"> </w:t>
      </w:r>
      <w:r>
        <w:t>12.4</w:t>
      </w:r>
      <w:r>
        <w:rPr>
          <w:spacing w:val="-3"/>
        </w:rPr>
        <w:t xml:space="preserve"> </w:t>
      </w:r>
      <w:r>
        <w:t>%</w:t>
      </w:r>
      <w:r>
        <w:rPr>
          <w:spacing w:val="-3"/>
        </w:rPr>
        <w:t xml:space="preserve"> </w:t>
      </w:r>
      <w:r>
        <w:t>of</w:t>
      </w:r>
      <w:r>
        <w:rPr>
          <w:spacing w:val="-3"/>
        </w:rPr>
        <w:t xml:space="preserve"> </w:t>
      </w:r>
      <w:r>
        <w:t>patients</w:t>
      </w:r>
      <w:r>
        <w:rPr>
          <w:spacing w:val="-3"/>
        </w:rPr>
        <w:t xml:space="preserve"> </w:t>
      </w:r>
      <w:r>
        <w:t>treated with zoledronic acid.</w:t>
      </w:r>
      <w:r>
        <w:rPr>
          <w:spacing w:val="40"/>
        </w:rPr>
        <w:t xml:space="preserve"> </w:t>
      </w:r>
      <w:r>
        <w:t>A decrease in serum calcium levels to the range between 1.5 to 1.75 mmol/L was experienced in 1.4 % of patients treated with denosumab and 0.6 % of patients treated with zoledronic acid.</w:t>
      </w:r>
      <w:r>
        <w:rPr>
          <w:spacing w:val="80"/>
        </w:rPr>
        <w:t xml:space="preserve"> </w:t>
      </w:r>
      <w:r>
        <w:t>A</w:t>
      </w:r>
      <w:r>
        <w:rPr>
          <w:spacing w:val="22"/>
        </w:rPr>
        <w:t xml:space="preserve"> </w:t>
      </w:r>
      <w:r>
        <w:t>decrease</w:t>
      </w:r>
      <w:r>
        <w:rPr>
          <w:spacing w:val="21"/>
        </w:rPr>
        <w:t xml:space="preserve"> </w:t>
      </w:r>
      <w:r>
        <w:t>in</w:t>
      </w:r>
      <w:r>
        <w:rPr>
          <w:spacing w:val="22"/>
        </w:rPr>
        <w:t xml:space="preserve"> </w:t>
      </w:r>
      <w:r>
        <w:t>serum</w:t>
      </w:r>
      <w:r>
        <w:rPr>
          <w:spacing w:val="23"/>
        </w:rPr>
        <w:t xml:space="preserve"> </w:t>
      </w:r>
      <w:r>
        <w:t>calcium</w:t>
      </w:r>
      <w:r>
        <w:rPr>
          <w:spacing w:val="22"/>
        </w:rPr>
        <w:t xml:space="preserve"> </w:t>
      </w:r>
      <w:r>
        <w:t>levels</w:t>
      </w:r>
      <w:r>
        <w:rPr>
          <w:spacing w:val="21"/>
        </w:rPr>
        <w:t xml:space="preserve"> </w:t>
      </w:r>
      <w:r>
        <w:t>to</w:t>
      </w:r>
      <w:r>
        <w:rPr>
          <w:spacing w:val="24"/>
        </w:rPr>
        <w:t xml:space="preserve"> </w:t>
      </w:r>
      <w:r>
        <w:t>the</w:t>
      </w:r>
      <w:r>
        <w:rPr>
          <w:spacing w:val="21"/>
        </w:rPr>
        <w:t xml:space="preserve"> </w:t>
      </w:r>
      <w:r>
        <w:t>range</w:t>
      </w:r>
      <w:r>
        <w:rPr>
          <w:spacing w:val="23"/>
        </w:rPr>
        <w:t xml:space="preserve"> </w:t>
      </w:r>
      <w:r>
        <w:t>between</w:t>
      </w:r>
      <w:r>
        <w:rPr>
          <w:spacing w:val="20"/>
        </w:rPr>
        <w:t xml:space="preserve"> </w:t>
      </w:r>
      <w:r>
        <w:t>0.8</w:t>
      </w:r>
      <w:r>
        <w:rPr>
          <w:spacing w:val="24"/>
        </w:rPr>
        <w:t xml:space="preserve"> </w:t>
      </w:r>
      <w:r>
        <w:t>to</w:t>
      </w:r>
      <w:r>
        <w:rPr>
          <w:spacing w:val="22"/>
        </w:rPr>
        <w:t xml:space="preserve"> </w:t>
      </w:r>
      <w:r>
        <w:t>1.5</w:t>
      </w:r>
      <w:r>
        <w:rPr>
          <w:spacing w:val="24"/>
        </w:rPr>
        <w:t xml:space="preserve"> </w:t>
      </w:r>
      <w:r>
        <w:t>mmol/L</w:t>
      </w:r>
      <w:r>
        <w:rPr>
          <w:spacing w:val="22"/>
        </w:rPr>
        <w:t xml:space="preserve"> </w:t>
      </w:r>
      <w:r>
        <w:t>was</w:t>
      </w:r>
      <w:r>
        <w:rPr>
          <w:spacing w:val="23"/>
        </w:rPr>
        <w:t xml:space="preserve"> </w:t>
      </w:r>
      <w:r>
        <w:t>experienced</w:t>
      </w:r>
      <w:r>
        <w:rPr>
          <w:spacing w:val="24"/>
        </w:rPr>
        <w:t xml:space="preserve"> </w:t>
      </w:r>
      <w:r>
        <w:t>in</w:t>
      </w:r>
      <w:r w:rsidR="00320262">
        <w:t xml:space="preserve"> </w:t>
      </w:r>
      <w:r>
        <w:t>0.4</w:t>
      </w:r>
      <w:r>
        <w:rPr>
          <w:spacing w:val="-15"/>
        </w:rPr>
        <w:t xml:space="preserve"> </w:t>
      </w:r>
      <w:r>
        <w:t>%</w:t>
      </w:r>
      <w:r>
        <w:rPr>
          <w:spacing w:val="2"/>
        </w:rPr>
        <w:t xml:space="preserve"> </w:t>
      </w:r>
      <w:r>
        <w:t>of</w:t>
      </w:r>
      <w:r>
        <w:rPr>
          <w:spacing w:val="-10"/>
        </w:rPr>
        <w:t xml:space="preserve"> </w:t>
      </w:r>
      <w:r>
        <w:t>patients</w:t>
      </w:r>
      <w:r>
        <w:rPr>
          <w:spacing w:val="-11"/>
        </w:rPr>
        <w:t xml:space="preserve"> </w:t>
      </w:r>
      <w:r>
        <w:t>treated</w:t>
      </w:r>
      <w:r>
        <w:rPr>
          <w:spacing w:val="-9"/>
        </w:rPr>
        <w:t xml:space="preserve"> </w:t>
      </w:r>
      <w:r>
        <w:t>with</w:t>
      </w:r>
      <w:r>
        <w:rPr>
          <w:spacing w:val="-10"/>
        </w:rPr>
        <w:t xml:space="preserve"> </w:t>
      </w:r>
      <w:r>
        <w:t>denosumab</w:t>
      </w:r>
      <w:r>
        <w:rPr>
          <w:spacing w:val="-10"/>
        </w:rPr>
        <w:t xml:space="preserve"> </w:t>
      </w:r>
      <w:r>
        <w:t>and</w:t>
      </w:r>
      <w:r>
        <w:rPr>
          <w:spacing w:val="-13"/>
        </w:rPr>
        <w:t xml:space="preserve"> </w:t>
      </w:r>
      <w:r>
        <w:t>0.1</w:t>
      </w:r>
      <w:r>
        <w:rPr>
          <w:spacing w:val="-9"/>
        </w:rPr>
        <w:t xml:space="preserve"> </w:t>
      </w:r>
      <w:r>
        <w:t>%</w:t>
      </w:r>
      <w:r>
        <w:rPr>
          <w:spacing w:val="-11"/>
        </w:rPr>
        <w:t xml:space="preserve"> </w:t>
      </w:r>
      <w:r>
        <w:t>of</w:t>
      </w:r>
      <w:r>
        <w:rPr>
          <w:spacing w:val="-13"/>
        </w:rPr>
        <w:t xml:space="preserve"> </w:t>
      </w:r>
      <w:r>
        <w:t>patients</w:t>
      </w:r>
      <w:r>
        <w:rPr>
          <w:spacing w:val="-12"/>
        </w:rPr>
        <w:t xml:space="preserve"> </w:t>
      </w:r>
      <w:r>
        <w:t>treated</w:t>
      </w:r>
      <w:r>
        <w:rPr>
          <w:spacing w:val="-11"/>
        </w:rPr>
        <w:t xml:space="preserve"> </w:t>
      </w:r>
      <w:r>
        <w:t>with</w:t>
      </w:r>
      <w:r>
        <w:rPr>
          <w:spacing w:val="-10"/>
        </w:rPr>
        <w:t xml:space="preserve"> </w:t>
      </w:r>
      <w:r>
        <w:t>zoledronic</w:t>
      </w:r>
      <w:r>
        <w:rPr>
          <w:spacing w:val="-8"/>
        </w:rPr>
        <w:t xml:space="preserve"> </w:t>
      </w:r>
      <w:r>
        <w:rPr>
          <w:spacing w:val="-2"/>
        </w:rPr>
        <w:t>acid.</w:t>
      </w:r>
    </w:p>
    <w:p w14:paraId="230745E0" w14:textId="1919721F" w:rsidR="00AE135B" w:rsidRDefault="00EE5424" w:rsidP="00320262">
      <w:pPr>
        <w:pStyle w:val="BodyText"/>
        <w:spacing w:before="134"/>
        <w:ind w:left="297"/>
        <w:jc w:val="both"/>
      </w:pPr>
      <w:r>
        <w:t>In</w:t>
      </w:r>
      <w:r>
        <w:rPr>
          <w:spacing w:val="-13"/>
        </w:rPr>
        <w:t xml:space="preserve"> </w:t>
      </w:r>
      <w:r>
        <w:t>two</w:t>
      </w:r>
      <w:r>
        <w:rPr>
          <w:spacing w:val="-13"/>
        </w:rPr>
        <w:t xml:space="preserve"> </w:t>
      </w:r>
      <w:r>
        <w:t>phase</w:t>
      </w:r>
      <w:r>
        <w:rPr>
          <w:spacing w:val="-12"/>
        </w:rPr>
        <w:t xml:space="preserve"> </w:t>
      </w:r>
      <w:r>
        <w:t>2</w:t>
      </w:r>
      <w:r>
        <w:rPr>
          <w:spacing w:val="-13"/>
        </w:rPr>
        <w:t xml:space="preserve"> </w:t>
      </w:r>
      <w:r>
        <w:t>open-label</w:t>
      </w:r>
      <w:r>
        <w:rPr>
          <w:spacing w:val="-12"/>
        </w:rPr>
        <w:t xml:space="preserve"> </w:t>
      </w:r>
      <w:r>
        <w:t>trials</w:t>
      </w:r>
      <w:r>
        <w:rPr>
          <w:spacing w:val="-13"/>
        </w:rPr>
        <w:t xml:space="preserve"> </w:t>
      </w:r>
      <w:r>
        <w:t>in</w:t>
      </w:r>
      <w:r>
        <w:rPr>
          <w:spacing w:val="-12"/>
        </w:rPr>
        <w:t xml:space="preserve"> </w:t>
      </w:r>
      <w:r>
        <w:t>patients</w:t>
      </w:r>
      <w:r>
        <w:rPr>
          <w:spacing w:val="-13"/>
        </w:rPr>
        <w:t xml:space="preserve"> </w:t>
      </w:r>
      <w:r>
        <w:t>with</w:t>
      </w:r>
      <w:r>
        <w:rPr>
          <w:spacing w:val="-12"/>
        </w:rPr>
        <w:t xml:space="preserve"> </w:t>
      </w:r>
      <w:r>
        <w:t>giant</w:t>
      </w:r>
      <w:r>
        <w:rPr>
          <w:spacing w:val="-9"/>
        </w:rPr>
        <w:t xml:space="preserve"> </w:t>
      </w:r>
      <w:r>
        <w:t>cell</w:t>
      </w:r>
      <w:r>
        <w:rPr>
          <w:spacing w:val="-13"/>
        </w:rPr>
        <w:t xml:space="preserve"> </w:t>
      </w:r>
      <w:proofErr w:type="spellStart"/>
      <w:r>
        <w:t>tumour</w:t>
      </w:r>
      <w:proofErr w:type="spellEnd"/>
      <w:r>
        <w:rPr>
          <w:spacing w:val="-10"/>
        </w:rPr>
        <w:t xml:space="preserve"> </w:t>
      </w:r>
      <w:r>
        <w:t>of</w:t>
      </w:r>
      <w:r>
        <w:rPr>
          <w:spacing w:val="-11"/>
        </w:rPr>
        <w:t xml:space="preserve"> </w:t>
      </w:r>
      <w:r>
        <w:t>bone,</w:t>
      </w:r>
      <w:r>
        <w:rPr>
          <w:spacing w:val="-12"/>
        </w:rPr>
        <w:t xml:space="preserve"> </w:t>
      </w:r>
      <w:proofErr w:type="spellStart"/>
      <w:r>
        <w:t>hypocalcaemia</w:t>
      </w:r>
      <w:proofErr w:type="spellEnd"/>
      <w:r>
        <w:rPr>
          <w:spacing w:val="-9"/>
        </w:rPr>
        <w:t xml:space="preserve"> </w:t>
      </w:r>
      <w:r>
        <w:t>was</w:t>
      </w:r>
      <w:r>
        <w:rPr>
          <w:spacing w:val="-8"/>
        </w:rPr>
        <w:t xml:space="preserve"> </w:t>
      </w:r>
      <w:r>
        <w:t>reported</w:t>
      </w:r>
      <w:r>
        <w:rPr>
          <w:spacing w:val="-10"/>
        </w:rPr>
        <w:t xml:space="preserve"> </w:t>
      </w:r>
      <w:r>
        <w:rPr>
          <w:spacing w:val="-5"/>
        </w:rPr>
        <w:t>in</w:t>
      </w:r>
      <w:r w:rsidR="00320262">
        <w:t xml:space="preserve"> </w:t>
      </w:r>
      <w:r>
        <w:t>5.7</w:t>
      </w:r>
      <w:r>
        <w:rPr>
          <w:spacing w:val="-15"/>
        </w:rPr>
        <w:t xml:space="preserve"> </w:t>
      </w:r>
      <w:r>
        <w:t>%</w:t>
      </w:r>
      <w:r>
        <w:rPr>
          <w:spacing w:val="-12"/>
        </w:rPr>
        <w:t xml:space="preserve"> </w:t>
      </w:r>
      <w:r>
        <w:t>of</w:t>
      </w:r>
      <w:r>
        <w:rPr>
          <w:spacing w:val="-10"/>
        </w:rPr>
        <w:t xml:space="preserve"> </w:t>
      </w:r>
      <w:r>
        <w:t>patients.</w:t>
      </w:r>
      <w:r>
        <w:rPr>
          <w:spacing w:val="-10"/>
        </w:rPr>
        <w:t xml:space="preserve"> </w:t>
      </w:r>
      <w:r>
        <w:t>None</w:t>
      </w:r>
      <w:r>
        <w:rPr>
          <w:spacing w:val="-11"/>
        </w:rPr>
        <w:t xml:space="preserve"> </w:t>
      </w:r>
      <w:r>
        <w:t>of</w:t>
      </w:r>
      <w:r>
        <w:rPr>
          <w:spacing w:val="-10"/>
        </w:rPr>
        <w:t xml:space="preserve"> </w:t>
      </w:r>
      <w:r>
        <w:t>the</w:t>
      </w:r>
      <w:r>
        <w:rPr>
          <w:spacing w:val="-11"/>
        </w:rPr>
        <w:t xml:space="preserve"> </w:t>
      </w:r>
      <w:r>
        <w:t>adverse</w:t>
      </w:r>
      <w:r>
        <w:rPr>
          <w:spacing w:val="-9"/>
        </w:rPr>
        <w:t xml:space="preserve"> </w:t>
      </w:r>
      <w:r>
        <w:t>events</w:t>
      </w:r>
      <w:r>
        <w:rPr>
          <w:spacing w:val="-12"/>
        </w:rPr>
        <w:t xml:space="preserve"> </w:t>
      </w:r>
      <w:proofErr w:type="gramStart"/>
      <w:r>
        <w:t>was</w:t>
      </w:r>
      <w:proofErr w:type="gramEnd"/>
      <w:r>
        <w:rPr>
          <w:spacing w:val="-10"/>
        </w:rPr>
        <w:t xml:space="preserve"> </w:t>
      </w:r>
      <w:r>
        <w:t>considered</w:t>
      </w:r>
      <w:r>
        <w:rPr>
          <w:spacing w:val="-9"/>
        </w:rPr>
        <w:t xml:space="preserve"> </w:t>
      </w:r>
      <w:r>
        <w:rPr>
          <w:spacing w:val="-2"/>
        </w:rPr>
        <w:t>serious.</w:t>
      </w:r>
    </w:p>
    <w:p w14:paraId="6910601D" w14:textId="77777777" w:rsidR="00AE135B" w:rsidRDefault="00EE5424">
      <w:pPr>
        <w:pStyle w:val="BodyText"/>
        <w:spacing w:before="223" w:line="360" w:lineRule="auto"/>
        <w:ind w:right="180"/>
        <w:jc w:val="both"/>
      </w:pPr>
      <w:r>
        <w:t xml:space="preserve">In a phase 2 open-label, single-arm trial in patients with </w:t>
      </w:r>
      <w:proofErr w:type="spellStart"/>
      <w:r>
        <w:t>hypercalcaemia</w:t>
      </w:r>
      <w:proofErr w:type="spellEnd"/>
      <w:r>
        <w:t xml:space="preserve"> of malignancy refractory to intravenous bisphosphonate, </w:t>
      </w:r>
      <w:proofErr w:type="spellStart"/>
      <w:r>
        <w:t>hypocalcaemia</w:t>
      </w:r>
      <w:proofErr w:type="spellEnd"/>
      <w:r>
        <w:t xml:space="preserve"> was reported in 9.1 % of patients treated with denosumab.</w:t>
      </w:r>
    </w:p>
    <w:p w14:paraId="34442C27" w14:textId="77777777" w:rsidR="00AE135B" w:rsidRDefault="00EE5424">
      <w:pPr>
        <w:pStyle w:val="BodyText"/>
        <w:spacing w:before="121"/>
        <w:jc w:val="both"/>
      </w:pPr>
      <w:r>
        <w:rPr>
          <w:spacing w:val="-2"/>
          <w:u w:val="single"/>
        </w:rPr>
        <w:t>Osteonecrosis</w:t>
      </w:r>
      <w:r>
        <w:rPr>
          <w:spacing w:val="-8"/>
          <w:u w:val="single"/>
        </w:rPr>
        <w:t xml:space="preserve"> </w:t>
      </w:r>
      <w:r>
        <w:rPr>
          <w:spacing w:val="-2"/>
          <w:u w:val="single"/>
        </w:rPr>
        <w:t>of</w:t>
      </w:r>
      <w:r>
        <w:rPr>
          <w:spacing w:val="-4"/>
          <w:u w:val="single"/>
        </w:rPr>
        <w:t xml:space="preserve"> </w:t>
      </w:r>
      <w:r>
        <w:rPr>
          <w:spacing w:val="-2"/>
          <w:u w:val="single"/>
        </w:rPr>
        <w:t>the</w:t>
      </w:r>
      <w:r>
        <w:rPr>
          <w:spacing w:val="-7"/>
          <w:u w:val="single"/>
        </w:rPr>
        <w:t xml:space="preserve"> </w:t>
      </w:r>
      <w:r>
        <w:rPr>
          <w:spacing w:val="-2"/>
          <w:u w:val="single"/>
        </w:rPr>
        <w:t>jaw</w:t>
      </w:r>
      <w:r>
        <w:rPr>
          <w:spacing w:val="-6"/>
          <w:u w:val="single"/>
        </w:rPr>
        <w:t xml:space="preserve"> </w:t>
      </w:r>
      <w:r>
        <w:rPr>
          <w:spacing w:val="-4"/>
          <w:u w:val="single"/>
        </w:rPr>
        <w:t>(</w:t>
      </w:r>
      <w:proofErr w:type="spellStart"/>
      <w:r>
        <w:rPr>
          <w:spacing w:val="-4"/>
          <w:u w:val="single"/>
        </w:rPr>
        <w:t>ONJ</w:t>
      </w:r>
      <w:proofErr w:type="spellEnd"/>
      <w:r>
        <w:rPr>
          <w:spacing w:val="-4"/>
          <w:u w:val="single"/>
        </w:rPr>
        <w:t>)</w:t>
      </w:r>
    </w:p>
    <w:p w14:paraId="365E920F" w14:textId="77777777" w:rsidR="00AE135B" w:rsidRDefault="00EE5424">
      <w:pPr>
        <w:pStyle w:val="BodyText"/>
        <w:spacing w:before="250" w:line="360" w:lineRule="auto"/>
        <w:ind w:right="175"/>
        <w:jc w:val="both"/>
      </w:pPr>
      <w:r>
        <w:t>In the primary treatment phase of</w:t>
      </w:r>
      <w:r>
        <w:rPr>
          <w:spacing w:val="-2"/>
        </w:rPr>
        <w:t xml:space="preserve"> </w:t>
      </w:r>
      <w:r>
        <w:t>three phase 3 active-controlled</w:t>
      </w:r>
      <w:r>
        <w:rPr>
          <w:spacing w:val="-2"/>
        </w:rPr>
        <w:t xml:space="preserve"> </w:t>
      </w:r>
      <w:r>
        <w:t xml:space="preserve">clinical trials in patients with advanced malignancies involving bone, </w:t>
      </w:r>
      <w:proofErr w:type="spellStart"/>
      <w:r>
        <w:t>ONJ</w:t>
      </w:r>
      <w:proofErr w:type="spellEnd"/>
      <w:r>
        <w:t xml:space="preserve"> was confirmed in 1.8 % of patients treated with denosumab (median exposure of 12 months; range 0.1 to 40.5) and 1.3 % of patients treated with zoledronic acid. Clinical characteristics of these cases were similar between treatment groups.</w:t>
      </w:r>
    </w:p>
    <w:p w14:paraId="64895FB1" w14:textId="097C0F8A" w:rsidR="00AE135B" w:rsidRDefault="00EE5424" w:rsidP="00EE5424">
      <w:pPr>
        <w:pStyle w:val="BodyText"/>
        <w:spacing w:before="120" w:line="360" w:lineRule="auto"/>
        <w:ind w:right="170"/>
        <w:jc w:val="both"/>
      </w:pPr>
      <w:r>
        <w:t>Among</w:t>
      </w:r>
      <w:r>
        <w:rPr>
          <w:spacing w:val="-6"/>
        </w:rPr>
        <w:t xml:space="preserve"> </w:t>
      </w:r>
      <w:r>
        <w:t>patients</w:t>
      </w:r>
      <w:r>
        <w:rPr>
          <w:spacing w:val="-5"/>
        </w:rPr>
        <w:t xml:space="preserve"> </w:t>
      </w:r>
      <w:r>
        <w:t>with</w:t>
      </w:r>
      <w:r>
        <w:rPr>
          <w:spacing w:val="-5"/>
        </w:rPr>
        <w:t xml:space="preserve"> </w:t>
      </w:r>
      <w:r>
        <w:t>confirmed</w:t>
      </w:r>
      <w:r>
        <w:rPr>
          <w:spacing w:val="-7"/>
        </w:rPr>
        <w:t xml:space="preserve"> </w:t>
      </w:r>
      <w:proofErr w:type="spellStart"/>
      <w:r>
        <w:t>ONJ</w:t>
      </w:r>
      <w:proofErr w:type="spellEnd"/>
      <w:r>
        <w:t>,</w:t>
      </w:r>
      <w:r>
        <w:rPr>
          <w:spacing w:val="-6"/>
        </w:rPr>
        <w:t xml:space="preserve"> </w:t>
      </w:r>
      <w:r>
        <w:t>most</w:t>
      </w:r>
      <w:r>
        <w:rPr>
          <w:spacing w:val="-5"/>
        </w:rPr>
        <w:t xml:space="preserve"> </w:t>
      </w:r>
      <w:r>
        <w:t>had</w:t>
      </w:r>
      <w:r>
        <w:rPr>
          <w:spacing w:val="-7"/>
        </w:rPr>
        <w:t xml:space="preserve"> </w:t>
      </w:r>
      <w:r>
        <w:t>a</w:t>
      </w:r>
      <w:r>
        <w:rPr>
          <w:spacing w:val="-6"/>
        </w:rPr>
        <w:t xml:space="preserve"> </w:t>
      </w:r>
      <w:r>
        <w:t>history</w:t>
      </w:r>
      <w:r>
        <w:rPr>
          <w:spacing w:val="-4"/>
        </w:rPr>
        <w:t xml:space="preserve"> </w:t>
      </w:r>
      <w:r>
        <w:t>of</w:t>
      </w:r>
      <w:r>
        <w:rPr>
          <w:spacing w:val="-6"/>
        </w:rPr>
        <w:t xml:space="preserve"> </w:t>
      </w:r>
      <w:r>
        <w:t>tooth</w:t>
      </w:r>
      <w:r>
        <w:rPr>
          <w:spacing w:val="-6"/>
        </w:rPr>
        <w:t xml:space="preserve"> </w:t>
      </w:r>
      <w:r>
        <w:t>extraction,</w:t>
      </w:r>
      <w:r>
        <w:rPr>
          <w:spacing w:val="-6"/>
        </w:rPr>
        <w:t xml:space="preserve"> </w:t>
      </w:r>
      <w:r>
        <w:t>poor</w:t>
      </w:r>
      <w:r>
        <w:rPr>
          <w:spacing w:val="-8"/>
        </w:rPr>
        <w:t xml:space="preserve"> </w:t>
      </w:r>
      <w:r>
        <w:t>oral</w:t>
      </w:r>
      <w:r>
        <w:rPr>
          <w:spacing w:val="-6"/>
        </w:rPr>
        <w:t xml:space="preserve"> </w:t>
      </w:r>
      <w:r>
        <w:t>hygiene,</w:t>
      </w:r>
      <w:r>
        <w:rPr>
          <w:spacing w:val="-5"/>
        </w:rPr>
        <w:t xml:space="preserve"> </w:t>
      </w:r>
      <w:r>
        <w:t>and/or</w:t>
      </w:r>
      <w:r>
        <w:rPr>
          <w:spacing w:val="-5"/>
        </w:rPr>
        <w:t xml:space="preserve"> </w:t>
      </w:r>
      <w:r>
        <w:t>use of a dental appliance. In addition, most patients were receiving or had received chemotherapy. The trials in</w:t>
      </w:r>
      <w:r>
        <w:rPr>
          <w:spacing w:val="-7"/>
        </w:rPr>
        <w:t xml:space="preserve"> </w:t>
      </w:r>
      <w:r>
        <w:t>patients</w:t>
      </w:r>
      <w:r>
        <w:rPr>
          <w:spacing w:val="-9"/>
        </w:rPr>
        <w:t xml:space="preserve"> </w:t>
      </w:r>
      <w:r>
        <w:t>with</w:t>
      </w:r>
      <w:r>
        <w:rPr>
          <w:spacing w:val="-6"/>
        </w:rPr>
        <w:t xml:space="preserve"> </w:t>
      </w:r>
      <w:r>
        <w:t>breast</w:t>
      </w:r>
      <w:r>
        <w:rPr>
          <w:spacing w:val="-6"/>
        </w:rPr>
        <w:t xml:space="preserve"> </w:t>
      </w:r>
      <w:r>
        <w:t>or</w:t>
      </w:r>
      <w:r>
        <w:rPr>
          <w:spacing w:val="-9"/>
        </w:rPr>
        <w:t xml:space="preserve"> </w:t>
      </w:r>
      <w:r>
        <w:t>prostate</w:t>
      </w:r>
      <w:r>
        <w:rPr>
          <w:spacing w:val="-8"/>
        </w:rPr>
        <w:t xml:space="preserve"> </w:t>
      </w:r>
      <w:r>
        <w:t>cancer</w:t>
      </w:r>
      <w:r>
        <w:rPr>
          <w:spacing w:val="-6"/>
        </w:rPr>
        <w:t xml:space="preserve"> </w:t>
      </w:r>
      <w:r>
        <w:t>included</w:t>
      </w:r>
      <w:r>
        <w:rPr>
          <w:spacing w:val="-6"/>
        </w:rPr>
        <w:t xml:space="preserve"> </w:t>
      </w:r>
      <w:r>
        <w:t>a</w:t>
      </w:r>
      <w:r>
        <w:rPr>
          <w:spacing w:val="-7"/>
        </w:rPr>
        <w:t xml:space="preserve"> </w:t>
      </w:r>
      <w:r>
        <w:t>pre-</w:t>
      </w:r>
      <w:r>
        <w:rPr>
          <w:spacing w:val="-7"/>
        </w:rPr>
        <w:t xml:space="preserve"> </w:t>
      </w:r>
      <w:r>
        <w:t>specified</w:t>
      </w:r>
      <w:r>
        <w:rPr>
          <w:spacing w:val="-5"/>
        </w:rPr>
        <w:t xml:space="preserve"> </w:t>
      </w:r>
      <w:r>
        <w:t>denosumab</w:t>
      </w:r>
      <w:r>
        <w:rPr>
          <w:spacing w:val="-6"/>
        </w:rPr>
        <w:t xml:space="preserve"> </w:t>
      </w:r>
      <w:r>
        <w:t>extension</w:t>
      </w:r>
      <w:r>
        <w:rPr>
          <w:spacing w:val="-9"/>
        </w:rPr>
        <w:t xml:space="preserve"> </w:t>
      </w:r>
      <w:r>
        <w:t>treatment</w:t>
      </w:r>
      <w:r>
        <w:rPr>
          <w:spacing w:val="-9"/>
        </w:rPr>
        <w:t xml:space="preserve"> </w:t>
      </w:r>
      <w:r>
        <w:t xml:space="preserve">phase (median overall exposure of 14.9 months; range 0.1 – 67.2) where patients were offered open label denosumab. The patient-year adjusted incidence of confirmed </w:t>
      </w:r>
      <w:proofErr w:type="spellStart"/>
      <w:r>
        <w:t>ONJ</w:t>
      </w:r>
      <w:proofErr w:type="spellEnd"/>
      <w:r>
        <w:t xml:space="preserve"> was 1.1 per 100 patient-years during the</w:t>
      </w:r>
      <w:r>
        <w:rPr>
          <w:spacing w:val="23"/>
        </w:rPr>
        <w:t xml:space="preserve"> </w:t>
      </w:r>
      <w:r>
        <w:t>first</w:t>
      </w:r>
      <w:r>
        <w:rPr>
          <w:spacing w:val="29"/>
        </w:rPr>
        <w:t xml:space="preserve"> </w:t>
      </w:r>
      <w:r>
        <w:t>year</w:t>
      </w:r>
      <w:r>
        <w:rPr>
          <w:spacing w:val="28"/>
        </w:rPr>
        <w:t xml:space="preserve"> </w:t>
      </w:r>
      <w:r>
        <w:t>of</w:t>
      </w:r>
      <w:r>
        <w:rPr>
          <w:spacing w:val="28"/>
        </w:rPr>
        <w:t xml:space="preserve"> </w:t>
      </w:r>
      <w:r>
        <w:t>treatment,</w:t>
      </w:r>
      <w:r>
        <w:rPr>
          <w:spacing w:val="32"/>
        </w:rPr>
        <w:t xml:space="preserve"> </w:t>
      </w:r>
      <w:r>
        <w:t>3.7</w:t>
      </w:r>
      <w:r>
        <w:rPr>
          <w:spacing w:val="29"/>
        </w:rPr>
        <w:t xml:space="preserve"> </w:t>
      </w:r>
      <w:r>
        <w:t>in</w:t>
      </w:r>
      <w:r>
        <w:rPr>
          <w:spacing w:val="25"/>
        </w:rPr>
        <w:t xml:space="preserve"> </w:t>
      </w:r>
      <w:r>
        <w:t>the</w:t>
      </w:r>
      <w:r>
        <w:rPr>
          <w:spacing w:val="26"/>
        </w:rPr>
        <w:t xml:space="preserve"> </w:t>
      </w:r>
      <w:r>
        <w:t>second</w:t>
      </w:r>
      <w:r>
        <w:rPr>
          <w:spacing w:val="27"/>
        </w:rPr>
        <w:t xml:space="preserve"> </w:t>
      </w:r>
      <w:r>
        <w:t>year</w:t>
      </w:r>
      <w:r>
        <w:rPr>
          <w:spacing w:val="31"/>
        </w:rPr>
        <w:t xml:space="preserve"> </w:t>
      </w:r>
      <w:r>
        <w:t>and</w:t>
      </w:r>
      <w:r>
        <w:rPr>
          <w:spacing w:val="27"/>
        </w:rPr>
        <w:t xml:space="preserve"> </w:t>
      </w:r>
      <w:r>
        <w:t>4.6</w:t>
      </w:r>
      <w:r>
        <w:rPr>
          <w:spacing w:val="27"/>
        </w:rPr>
        <w:t xml:space="preserve"> </w:t>
      </w:r>
      <w:r>
        <w:t>thereafter.</w:t>
      </w:r>
      <w:r>
        <w:rPr>
          <w:spacing w:val="30"/>
        </w:rPr>
        <w:t xml:space="preserve"> </w:t>
      </w:r>
      <w:r>
        <w:t>The</w:t>
      </w:r>
      <w:r>
        <w:rPr>
          <w:spacing w:val="25"/>
        </w:rPr>
        <w:t xml:space="preserve"> </w:t>
      </w:r>
      <w:r>
        <w:t>median</w:t>
      </w:r>
      <w:r>
        <w:rPr>
          <w:spacing w:val="30"/>
        </w:rPr>
        <w:t xml:space="preserve"> </w:t>
      </w:r>
      <w:r>
        <w:t>time</w:t>
      </w:r>
      <w:r>
        <w:rPr>
          <w:spacing w:val="26"/>
        </w:rPr>
        <w:t xml:space="preserve"> </w:t>
      </w:r>
      <w:r>
        <w:t>to</w:t>
      </w:r>
      <w:r>
        <w:rPr>
          <w:spacing w:val="27"/>
        </w:rPr>
        <w:t xml:space="preserve"> </w:t>
      </w:r>
      <w:proofErr w:type="spellStart"/>
      <w:r>
        <w:t>ONJ</w:t>
      </w:r>
      <w:proofErr w:type="spellEnd"/>
      <w:r>
        <w:rPr>
          <w:spacing w:val="23"/>
        </w:rPr>
        <w:t xml:space="preserve"> </w:t>
      </w:r>
      <w:r>
        <w:rPr>
          <w:spacing w:val="-5"/>
        </w:rPr>
        <w:t>was</w:t>
      </w:r>
      <w:r w:rsidR="00320262">
        <w:t xml:space="preserve"> </w:t>
      </w:r>
      <w:r>
        <w:t>20.6</w:t>
      </w:r>
      <w:r>
        <w:rPr>
          <w:spacing w:val="-15"/>
        </w:rPr>
        <w:t xml:space="preserve"> </w:t>
      </w:r>
      <w:r>
        <w:t>months</w:t>
      </w:r>
      <w:r>
        <w:rPr>
          <w:spacing w:val="-7"/>
        </w:rPr>
        <w:t xml:space="preserve"> </w:t>
      </w:r>
      <w:r>
        <w:t>(range:</w:t>
      </w:r>
      <w:r>
        <w:rPr>
          <w:spacing w:val="-7"/>
        </w:rPr>
        <w:t xml:space="preserve"> </w:t>
      </w:r>
      <w:r>
        <w:t>4</w:t>
      </w:r>
      <w:r>
        <w:rPr>
          <w:spacing w:val="-8"/>
        </w:rPr>
        <w:t xml:space="preserve"> </w:t>
      </w:r>
      <w:r>
        <w:t>-</w:t>
      </w:r>
      <w:r>
        <w:rPr>
          <w:spacing w:val="-6"/>
        </w:rPr>
        <w:t xml:space="preserve"> </w:t>
      </w:r>
      <w:r>
        <w:rPr>
          <w:spacing w:val="-4"/>
        </w:rPr>
        <w:t>53).</w:t>
      </w:r>
    </w:p>
    <w:p w14:paraId="1241ACD5" w14:textId="3C24417A" w:rsidR="00AE135B" w:rsidRDefault="00EE5424" w:rsidP="00320262">
      <w:pPr>
        <w:pStyle w:val="BodyText"/>
        <w:spacing w:before="135" w:line="360" w:lineRule="auto"/>
        <w:ind w:right="172"/>
        <w:jc w:val="both"/>
      </w:pPr>
      <w:r>
        <w:t>In a phase 3 double-blind, active-controlled clinical trial in patients with newly diagnosed multiple myeloma,</w:t>
      </w:r>
      <w:r>
        <w:rPr>
          <w:spacing w:val="40"/>
        </w:rPr>
        <w:t xml:space="preserve"> </w:t>
      </w:r>
      <w:proofErr w:type="spellStart"/>
      <w:r>
        <w:t>ONJ</w:t>
      </w:r>
      <w:proofErr w:type="spellEnd"/>
      <w:r>
        <w:rPr>
          <w:spacing w:val="40"/>
        </w:rPr>
        <w:t xml:space="preserve"> </w:t>
      </w:r>
      <w:r>
        <w:t>was</w:t>
      </w:r>
      <w:r>
        <w:rPr>
          <w:spacing w:val="40"/>
        </w:rPr>
        <w:t xml:space="preserve"> </w:t>
      </w:r>
      <w:r>
        <w:t>confirmed</w:t>
      </w:r>
      <w:r>
        <w:rPr>
          <w:spacing w:val="40"/>
        </w:rPr>
        <w:t xml:space="preserve"> </w:t>
      </w:r>
      <w:r>
        <w:t>in</w:t>
      </w:r>
      <w:r>
        <w:rPr>
          <w:spacing w:val="40"/>
        </w:rPr>
        <w:t xml:space="preserve"> </w:t>
      </w:r>
      <w:r>
        <w:t>4.1</w:t>
      </w:r>
      <w:r>
        <w:rPr>
          <w:spacing w:val="40"/>
        </w:rPr>
        <w:t xml:space="preserve"> </w:t>
      </w:r>
      <w:r>
        <w:t>%</w:t>
      </w:r>
      <w:r>
        <w:rPr>
          <w:spacing w:val="40"/>
        </w:rPr>
        <w:t xml:space="preserve"> </w:t>
      </w:r>
      <w:r>
        <w:t>of</w:t>
      </w:r>
      <w:r>
        <w:rPr>
          <w:spacing w:val="40"/>
        </w:rPr>
        <w:t xml:space="preserve"> </w:t>
      </w:r>
      <w:r>
        <w:t>patients</w:t>
      </w:r>
      <w:r>
        <w:rPr>
          <w:spacing w:val="40"/>
        </w:rPr>
        <w:t xml:space="preserve"> </w:t>
      </w:r>
      <w:r>
        <w:t>in</w:t>
      </w:r>
      <w:r>
        <w:rPr>
          <w:spacing w:val="40"/>
        </w:rPr>
        <w:t xml:space="preserve"> </w:t>
      </w:r>
      <w:r>
        <w:t>the</w:t>
      </w:r>
      <w:r>
        <w:rPr>
          <w:spacing w:val="40"/>
        </w:rPr>
        <w:t xml:space="preserve"> </w:t>
      </w:r>
      <w:r>
        <w:t>denosumab</w:t>
      </w:r>
      <w:r>
        <w:rPr>
          <w:spacing w:val="40"/>
        </w:rPr>
        <w:t xml:space="preserve"> </w:t>
      </w:r>
      <w:r>
        <w:t>group</w:t>
      </w:r>
      <w:r>
        <w:rPr>
          <w:spacing w:val="40"/>
        </w:rPr>
        <w:t xml:space="preserve"> </w:t>
      </w:r>
      <w:r>
        <w:t>(median</w:t>
      </w:r>
      <w:r>
        <w:rPr>
          <w:spacing w:val="40"/>
        </w:rPr>
        <w:t xml:space="preserve"> </w:t>
      </w:r>
      <w:r>
        <w:t>exposure</w:t>
      </w:r>
      <w:r>
        <w:rPr>
          <w:spacing w:val="40"/>
        </w:rPr>
        <w:t xml:space="preserve"> </w:t>
      </w:r>
      <w:r>
        <w:t xml:space="preserve">of 15.8 months; range 1 – 49.8) and 2.8 % of patients in the zoledronic acid group. At the completion of the </w:t>
      </w:r>
      <w:r>
        <w:lastRenderedPageBreak/>
        <w:t xml:space="preserve">double-blind treatment phase of this trial, the patient-year adjusted incidence of confirmed </w:t>
      </w:r>
      <w:proofErr w:type="spellStart"/>
      <w:r>
        <w:t>ONJ</w:t>
      </w:r>
      <w:proofErr w:type="spellEnd"/>
      <w:r>
        <w:t xml:space="preserve"> in the denosumab group (median exposure of 19.4 months; range 1 – 52) was 2.0 per 100 patient-years during the</w:t>
      </w:r>
      <w:r>
        <w:rPr>
          <w:spacing w:val="31"/>
        </w:rPr>
        <w:t xml:space="preserve"> </w:t>
      </w:r>
      <w:r>
        <w:t>first</w:t>
      </w:r>
      <w:r>
        <w:rPr>
          <w:spacing w:val="29"/>
        </w:rPr>
        <w:t xml:space="preserve"> </w:t>
      </w:r>
      <w:r>
        <w:t>year</w:t>
      </w:r>
      <w:r>
        <w:rPr>
          <w:spacing w:val="29"/>
        </w:rPr>
        <w:t xml:space="preserve"> </w:t>
      </w:r>
      <w:r>
        <w:t>of</w:t>
      </w:r>
      <w:r>
        <w:rPr>
          <w:spacing w:val="29"/>
        </w:rPr>
        <w:t xml:space="preserve"> </w:t>
      </w:r>
      <w:r>
        <w:t>treatment,</w:t>
      </w:r>
      <w:r>
        <w:rPr>
          <w:spacing w:val="32"/>
        </w:rPr>
        <w:t xml:space="preserve"> </w:t>
      </w:r>
      <w:r>
        <w:t>5.0</w:t>
      </w:r>
      <w:r>
        <w:rPr>
          <w:spacing w:val="32"/>
        </w:rPr>
        <w:t xml:space="preserve"> </w:t>
      </w:r>
      <w:r>
        <w:t>in</w:t>
      </w:r>
      <w:r>
        <w:rPr>
          <w:spacing w:val="31"/>
        </w:rPr>
        <w:t xml:space="preserve"> </w:t>
      </w:r>
      <w:r>
        <w:t>the</w:t>
      </w:r>
      <w:r>
        <w:rPr>
          <w:spacing w:val="29"/>
        </w:rPr>
        <w:t xml:space="preserve"> </w:t>
      </w:r>
      <w:r>
        <w:t>second</w:t>
      </w:r>
      <w:r>
        <w:rPr>
          <w:spacing w:val="28"/>
        </w:rPr>
        <w:t xml:space="preserve"> </w:t>
      </w:r>
      <w:r>
        <w:t>year,</w:t>
      </w:r>
      <w:r>
        <w:rPr>
          <w:spacing w:val="29"/>
        </w:rPr>
        <w:t xml:space="preserve"> </w:t>
      </w:r>
      <w:r>
        <w:t>and</w:t>
      </w:r>
      <w:r>
        <w:rPr>
          <w:spacing w:val="30"/>
        </w:rPr>
        <w:t xml:space="preserve"> </w:t>
      </w:r>
      <w:r>
        <w:t>4.5</w:t>
      </w:r>
      <w:r>
        <w:rPr>
          <w:spacing w:val="32"/>
        </w:rPr>
        <w:t xml:space="preserve"> </w:t>
      </w:r>
      <w:r>
        <w:t>thereafter.</w:t>
      </w:r>
      <w:r>
        <w:rPr>
          <w:spacing w:val="80"/>
        </w:rPr>
        <w:t xml:space="preserve"> </w:t>
      </w:r>
      <w:r>
        <w:t>The</w:t>
      </w:r>
      <w:r>
        <w:rPr>
          <w:spacing w:val="29"/>
        </w:rPr>
        <w:t xml:space="preserve"> </w:t>
      </w:r>
      <w:r>
        <w:t>median</w:t>
      </w:r>
      <w:r>
        <w:rPr>
          <w:spacing w:val="30"/>
        </w:rPr>
        <w:t xml:space="preserve"> </w:t>
      </w:r>
      <w:r>
        <w:t>time</w:t>
      </w:r>
      <w:r>
        <w:rPr>
          <w:spacing w:val="30"/>
        </w:rPr>
        <w:t xml:space="preserve"> </w:t>
      </w:r>
      <w:r>
        <w:t>to</w:t>
      </w:r>
      <w:r>
        <w:rPr>
          <w:spacing w:val="30"/>
        </w:rPr>
        <w:t xml:space="preserve"> </w:t>
      </w:r>
      <w:proofErr w:type="spellStart"/>
      <w:r>
        <w:t>ONJ</w:t>
      </w:r>
      <w:proofErr w:type="spellEnd"/>
      <w:r>
        <w:rPr>
          <w:spacing w:val="30"/>
        </w:rPr>
        <w:t xml:space="preserve"> </w:t>
      </w:r>
      <w:r>
        <w:t>was</w:t>
      </w:r>
      <w:r w:rsidR="00320262">
        <w:t xml:space="preserve"> </w:t>
      </w:r>
      <w:r>
        <w:t>18.7</w:t>
      </w:r>
      <w:r>
        <w:rPr>
          <w:spacing w:val="-13"/>
        </w:rPr>
        <w:t xml:space="preserve"> </w:t>
      </w:r>
      <w:r>
        <w:t>months</w:t>
      </w:r>
      <w:r>
        <w:rPr>
          <w:spacing w:val="-8"/>
        </w:rPr>
        <w:t xml:space="preserve"> </w:t>
      </w:r>
      <w:r>
        <w:t>(range:</w:t>
      </w:r>
      <w:r>
        <w:rPr>
          <w:spacing w:val="-7"/>
        </w:rPr>
        <w:t xml:space="preserve"> </w:t>
      </w:r>
      <w:r>
        <w:t>1</w:t>
      </w:r>
      <w:r>
        <w:rPr>
          <w:spacing w:val="-7"/>
        </w:rPr>
        <w:t xml:space="preserve"> </w:t>
      </w:r>
      <w:r>
        <w:t>–</w:t>
      </w:r>
      <w:r>
        <w:rPr>
          <w:spacing w:val="-5"/>
        </w:rPr>
        <w:t xml:space="preserve"> </w:t>
      </w:r>
      <w:r>
        <w:rPr>
          <w:spacing w:val="-4"/>
        </w:rPr>
        <w:t>44).</w:t>
      </w:r>
    </w:p>
    <w:p w14:paraId="7C901D40" w14:textId="77777777" w:rsidR="00AE135B" w:rsidRDefault="00EE5424">
      <w:pPr>
        <w:pStyle w:val="BodyText"/>
        <w:spacing w:before="135" w:line="360" w:lineRule="auto"/>
        <w:ind w:right="173"/>
        <w:jc w:val="both"/>
      </w:pPr>
      <w:r>
        <w:t>In</w:t>
      </w:r>
      <w:r>
        <w:rPr>
          <w:spacing w:val="-4"/>
        </w:rPr>
        <w:t xml:space="preserve"> </w:t>
      </w:r>
      <w:r>
        <w:t>a</w:t>
      </w:r>
      <w:r>
        <w:rPr>
          <w:spacing w:val="-3"/>
        </w:rPr>
        <w:t xml:space="preserve"> </w:t>
      </w:r>
      <w:r>
        <w:t>phase</w:t>
      </w:r>
      <w:r>
        <w:rPr>
          <w:spacing w:val="-3"/>
        </w:rPr>
        <w:t xml:space="preserve"> </w:t>
      </w:r>
      <w:r>
        <w:t>3 placebo-controlled</w:t>
      </w:r>
      <w:r>
        <w:rPr>
          <w:spacing w:val="-3"/>
        </w:rPr>
        <w:t xml:space="preserve"> </w:t>
      </w:r>
      <w:r>
        <w:t>clinical</w:t>
      </w:r>
      <w:r>
        <w:rPr>
          <w:spacing w:val="-1"/>
        </w:rPr>
        <w:t xml:space="preserve"> </w:t>
      </w:r>
      <w:r>
        <w:t>trial</w:t>
      </w:r>
      <w:r>
        <w:rPr>
          <w:spacing w:val="-4"/>
        </w:rPr>
        <w:t xml:space="preserve"> </w:t>
      </w:r>
      <w:r>
        <w:t>with</w:t>
      </w:r>
      <w:r>
        <w:rPr>
          <w:spacing w:val="-3"/>
        </w:rPr>
        <w:t xml:space="preserve"> </w:t>
      </w:r>
      <w:r>
        <w:t>an</w:t>
      </w:r>
      <w:r>
        <w:rPr>
          <w:spacing w:val="-1"/>
        </w:rPr>
        <w:t xml:space="preserve"> </w:t>
      </w:r>
      <w:r>
        <w:t>extension</w:t>
      </w:r>
      <w:r>
        <w:rPr>
          <w:spacing w:val="-4"/>
        </w:rPr>
        <w:t xml:space="preserve"> </w:t>
      </w:r>
      <w:r>
        <w:t>treatment</w:t>
      </w:r>
      <w:r>
        <w:rPr>
          <w:spacing w:val="-3"/>
        </w:rPr>
        <w:t xml:space="preserve"> </w:t>
      </w:r>
      <w:r>
        <w:t>phase</w:t>
      </w:r>
      <w:r>
        <w:rPr>
          <w:spacing w:val="-5"/>
        </w:rPr>
        <w:t xml:space="preserve"> </w:t>
      </w:r>
      <w:r>
        <w:t>evaluating</w:t>
      </w:r>
      <w:r>
        <w:rPr>
          <w:spacing w:val="-1"/>
        </w:rPr>
        <w:t xml:space="preserve"> </w:t>
      </w:r>
      <w:r>
        <w:t>denosumab</w:t>
      </w:r>
      <w:r>
        <w:rPr>
          <w:spacing w:val="-4"/>
        </w:rPr>
        <w:t xml:space="preserve"> </w:t>
      </w:r>
      <w:r>
        <w:t>for the prevention of bone metastases in patients with non-metastatic prostate cancer (a patient population for which denosumab is not indicated), with longer treatment exposure of up to 7 years, the patient-year adjusted</w:t>
      </w:r>
      <w:r>
        <w:rPr>
          <w:spacing w:val="-4"/>
        </w:rPr>
        <w:t xml:space="preserve"> </w:t>
      </w:r>
      <w:r>
        <w:t>incidence</w:t>
      </w:r>
      <w:r>
        <w:rPr>
          <w:spacing w:val="33"/>
        </w:rPr>
        <w:t xml:space="preserve"> </w:t>
      </w:r>
      <w:r>
        <w:t>of</w:t>
      </w:r>
      <w:r>
        <w:rPr>
          <w:spacing w:val="-3"/>
        </w:rPr>
        <w:t xml:space="preserve"> </w:t>
      </w:r>
      <w:r>
        <w:t>confirmed</w:t>
      </w:r>
      <w:r>
        <w:rPr>
          <w:spacing w:val="-5"/>
        </w:rPr>
        <w:t xml:space="preserve"> </w:t>
      </w:r>
      <w:proofErr w:type="spellStart"/>
      <w:r>
        <w:t>ONJ</w:t>
      </w:r>
      <w:proofErr w:type="spellEnd"/>
      <w:r>
        <w:rPr>
          <w:spacing w:val="-4"/>
        </w:rPr>
        <w:t xml:space="preserve"> </w:t>
      </w:r>
      <w:r>
        <w:t>was</w:t>
      </w:r>
      <w:r>
        <w:rPr>
          <w:spacing w:val="-5"/>
        </w:rPr>
        <w:t xml:space="preserve"> </w:t>
      </w:r>
      <w:r>
        <w:t>1.1</w:t>
      </w:r>
      <w:r>
        <w:rPr>
          <w:spacing w:val="-3"/>
        </w:rPr>
        <w:t xml:space="preserve"> </w:t>
      </w:r>
      <w:r>
        <w:t>per</w:t>
      </w:r>
      <w:r>
        <w:rPr>
          <w:spacing w:val="-3"/>
        </w:rPr>
        <w:t xml:space="preserve"> </w:t>
      </w:r>
      <w:r>
        <w:t>100</w:t>
      </w:r>
      <w:r>
        <w:rPr>
          <w:spacing w:val="-4"/>
        </w:rPr>
        <w:t xml:space="preserve"> </w:t>
      </w:r>
      <w:r>
        <w:t>patient-</w:t>
      </w:r>
      <w:r>
        <w:rPr>
          <w:spacing w:val="-4"/>
        </w:rPr>
        <w:t xml:space="preserve"> </w:t>
      </w:r>
      <w:r>
        <w:t>years</w:t>
      </w:r>
      <w:r>
        <w:rPr>
          <w:spacing w:val="-3"/>
        </w:rPr>
        <w:t xml:space="preserve"> </w:t>
      </w:r>
      <w:r>
        <w:t>during</w:t>
      </w:r>
      <w:r>
        <w:rPr>
          <w:spacing w:val="-4"/>
        </w:rPr>
        <w:t xml:space="preserve"> </w:t>
      </w:r>
      <w:r>
        <w:t>the</w:t>
      </w:r>
      <w:r>
        <w:rPr>
          <w:spacing w:val="-5"/>
        </w:rPr>
        <w:t xml:space="preserve"> </w:t>
      </w:r>
      <w:r>
        <w:t>first</w:t>
      </w:r>
      <w:r>
        <w:rPr>
          <w:spacing w:val="-3"/>
        </w:rPr>
        <w:t xml:space="preserve"> </w:t>
      </w:r>
      <w:r>
        <w:t>year</w:t>
      </w:r>
      <w:r>
        <w:rPr>
          <w:spacing w:val="-6"/>
        </w:rPr>
        <w:t xml:space="preserve"> </w:t>
      </w:r>
      <w:r>
        <w:t>of</w:t>
      </w:r>
      <w:r>
        <w:rPr>
          <w:spacing w:val="-3"/>
        </w:rPr>
        <w:t xml:space="preserve"> </w:t>
      </w:r>
      <w:r>
        <w:t>treatment,</w:t>
      </w:r>
      <w:r>
        <w:rPr>
          <w:spacing w:val="-3"/>
        </w:rPr>
        <w:t xml:space="preserve"> </w:t>
      </w:r>
      <w:r>
        <w:t>3.0 in the second year, and 7.1 thereafter.</w:t>
      </w:r>
    </w:p>
    <w:p w14:paraId="3FBF1118" w14:textId="77777777" w:rsidR="00AE135B" w:rsidRDefault="00EE5424">
      <w:pPr>
        <w:pStyle w:val="BodyText"/>
        <w:spacing w:line="360" w:lineRule="auto"/>
        <w:ind w:right="172"/>
        <w:jc w:val="both"/>
      </w:pPr>
      <w:r>
        <w:t>In</w:t>
      </w:r>
      <w:r>
        <w:rPr>
          <w:spacing w:val="40"/>
        </w:rPr>
        <w:t xml:space="preserve"> </w:t>
      </w:r>
      <w:r>
        <w:t>two</w:t>
      </w:r>
      <w:r>
        <w:rPr>
          <w:spacing w:val="40"/>
        </w:rPr>
        <w:t xml:space="preserve"> </w:t>
      </w:r>
      <w:r>
        <w:t>phase</w:t>
      </w:r>
      <w:r>
        <w:rPr>
          <w:spacing w:val="40"/>
        </w:rPr>
        <w:t xml:space="preserve"> </w:t>
      </w:r>
      <w:r>
        <w:t>2</w:t>
      </w:r>
      <w:r>
        <w:rPr>
          <w:spacing w:val="40"/>
        </w:rPr>
        <w:t xml:space="preserve"> </w:t>
      </w:r>
      <w:r>
        <w:t>open-label</w:t>
      </w:r>
      <w:r>
        <w:rPr>
          <w:spacing w:val="40"/>
        </w:rPr>
        <w:t xml:space="preserve"> </w:t>
      </w:r>
      <w:r>
        <w:t>studies</w:t>
      </w:r>
      <w:r>
        <w:rPr>
          <w:spacing w:val="40"/>
        </w:rPr>
        <w:t xml:space="preserve"> </w:t>
      </w:r>
      <w:r>
        <w:t>in</w:t>
      </w:r>
      <w:r>
        <w:rPr>
          <w:spacing w:val="40"/>
        </w:rPr>
        <w:t xml:space="preserve"> </w:t>
      </w:r>
      <w:r>
        <w:t>patients</w:t>
      </w:r>
      <w:r>
        <w:rPr>
          <w:spacing w:val="40"/>
        </w:rPr>
        <w:t xml:space="preserve"> </w:t>
      </w:r>
      <w:r>
        <w:t>with</w:t>
      </w:r>
      <w:r>
        <w:rPr>
          <w:spacing w:val="38"/>
        </w:rPr>
        <w:t xml:space="preserve"> </w:t>
      </w:r>
      <w:r>
        <w:t>giant</w:t>
      </w:r>
      <w:r>
        <w:rPr>
          <w:spacing w:val="40"/>
        </w:rPr>
        <w:t xml:space="preserve"> </w:t>
      </w:r>
      <w:r>
        <w:t>cell</w:t>
      </w:r>
      <w:r>
        <w:rPr>
          <w:spacing w:val="38"/>
        </w:rPr>
        <w:t xml:space="preserve"> </w:t>
      </w:r>
      <w:proofErr w:type="spellStart"/>
      <w:r>
        <w:t>tumour</w:t>
      </w:r>
      <w:proofErr w:type="spellEnd"/>
      <w:r>
        <w:rPr>
          <w:spacing w:val="40"/>
        </w:rPr>
        <w:t xml:space="preserve"> </w:t>
      </w:r>
      <w:r>
        <w:t>of</w:t>
      </w:r>
      <w:r>
        <w:rPr>
          <w:spacing w:val="40"/>
        </w:rPr>
        <w:t xml:space="preserve"> </w:t>
      </w:r>
      <w:r>
        <w:t>bone,</w:t>
      </w:r>
      <w:r>
        <w:rPr>
          <w:spacing w:val="40"/>
        </w:rPr>
        <w:t xml:space="preserve"> </w:t>
      </w:r>
      <w:proofErr w:type="spellStart"/>
      <w:r>
        <w:t>ONJ</w:t>
      </w:r>
      <w:proofErr w:type="spellEnd"/>
      <w:r>
        <w:rPr>
          <w:spacing w:val="40"/>
        </w:rPr>
        <w:t xml:space="preserve"> </w:t>
      </w:r>
      <w:r>
        <w:t>occurred</w:t>
      </w:r>
      <w:r>
        <w:rPr>
          <w:spacing w:val="40"/>
        </w:rPr>
        <w:t xml:space="preserve"> </w:t>
      </w:r>
      <w:r>
        <w:t>in</w:t>
      </w:r>
      <w:r>
        <w:rPr>
          <w:spacing w:val="40"/>
        </w:rPr>
        <w:t xml:space="preserve"> </w:t>
      </w:r>
      <w:r>
        <w:t>4</w:t>
      </w:r>
      <w:r>
        <w:rPr>
          <w:spacing w:val="40"/>
        </w:rPr>
        <w:t xml:space="preserve"> </w:t>
      </w:r>
      <w:r>
        <w:t xml:space="preserve">of 304 (1.3 %) of patients. The median time to </w:t>
      </w:r>
      <w:proofErr w:type="spellStart"/>
      <w:r>
        <w:t>ONJ</w:t>
      </w:r>
      <w:proofErr w:type="spellEnd"/>
      <w:r>
        <w:t xml:space="preserve"> was 16 months (range 13-20).</w:t>
      </w:r>
    </w:p>
    <w:p w14:paraId="1FFF8E7A" w14:textId="77777777" w:rsidR="00AE135B" w:rsidRDefault="00EE5424">
      <w:pPr>
        <w:pStyle w:val="BodyText"/>
        <w:spacing w:line="360" w:lineRule="auto"/>
        <w:ind w:left="297" w:right="179"/>
        <w:jc w:val="both"/>
      </w:pPr>
      <w:r>
        <w:t xml:space="preserve">In a phase 2 open-label, single-arm trial in patients with </w:t>
      </w:r>
      <w:proofErr w:type="spellStart"/>
      <w:r>
        <w:t>hypercalcaemia</w:t>
      </w:r>
      <w:proofErr w:type="spellEnd"/>
      <w:r>
        <w:t xml:space="preserve"> of malignancy refractory to intravenous bisphosphonate, no cases of </w:t>
      </w:r>
      <w:proofErr w:type="spellStart"/>
      <w:r>
        <w:t>ONJ</w:t>
      </w:r>
      <w:proofErr w:type="spellEnd"/>
      <w:r>
        <w:t xml:space="preserve"> were reported.</w:t>
      </w:r>
    </w:p>
    <w:p w14:paraId="2A09A01C" w14:textId="77777777" w:rsidR="00AE135B" w:rsidRDefault="00EE5424">
      <w:pPr>
        <w:pStyle w:val="BodyText"/>
        <w:spacing w:before="1" w:line="360" w:lineRule="auto"/>
        <w:ind w:right="171"/>
        <w:jc w:val="both"/>
      </w:pPr>
      <w:r>
        <w:t>In a phase</w:t>
      </w:r>
      <w:r>
        <w:rPr>
          <w:spacing w:val="-1"/>
        </w:rPr>
        <w:t xml:space="preserve"> </w:t>
      </w:r>
      <w:r>
        <w:t xml:space="preserve">2 open-label clinical trial in patients with giant cell </w:t>
      </w:r>
      <w:proofErr w:type="spellStart"/>
      <w:r>
        <w:t>tumour</w:t>
      </w:r>
      <w:proofErr w:type="spellEnd"/>
      <w:r>
        <w:t xml:space="preserve"> of bone (study 20062004), </w:t>
      </w:r>
      <w:proofErr w:type="spellStart"/>
      <w:r>
        <w:t>ONJ</w:t>
      </w:r>
      <w:proofErr w:type="spellEnd"/>
      <w:r>
        <w:t xml:space="preserve"> was confirmed</w:t>
      </w:r>
      <w:r>
        <w:rPr>
          <w:spacing w:val="-4"/>
        </w:rPr>
        <w:t xml:space="preserve"> </w:t>
      </w:r>
      <w:r>
        <w:t>in</w:t>
      </w:r>
      <w:r>
        <w:rPr>
          <w:spacing w:val="-7"/>
        </w:rPr>
        <w:t xml:space="preserve"> </w:t>
      </w:r>
      <w:r>
        <w:t>6.8</w:t>
      </w:r>
      <w:r>
        <w:rPr>
          <w:spacing w:val="-5"/>
        </w:rPr>
        <w:t xml:space="preserve"> </w:t>
      </w:r>
      <w:r>
        <w:t>%</w:t>
      </w:r>
      <w:r>
        <w:rPr>
          <w:spacing w:val="-5"/>
        </w:rPr>
        <w:t xml:space="preserve"> </w:t>
      </w:r>
      <w:r>
        <w:t>of</w:t>
      </w:r>
      <w:r>
        <w:rPr>
          <w:spacing w:val="-3"/>
        </w:rPr>
        <w:t xml:space="preserve"> </w:t>
      </w:r>
      <w:r>
        <w:t>patients</w:t>
      </w:r>
      <w:r>
        <w:rPr>
          <w:spacing w:val="-3"/>
        </w:rPr>
        <w:t xml:space="preserve"> </w:t>
      </w:r>
      <w:r>
        <w:t>(median</w:t>
      </w:r>
      <w:r>
        <w:rPr>
          <w:spacing w:val="-4"/>
        </w:rPr>
        <w:t xml:space="preserve"> </w:t>
      </w:r>
      <w:r>
        <w:t>number</w:t>
      </w:r>
      <w:r>
        <w:rPr>
          <w:spacing w:val="-5"/>
        </w:rPr>
        <w:t xml:space="preserve"> </w:t>
      </w:r>
      <w:r>
        <w:t>of</w:t>
      </w:r>
      <w:r>
        <w:rPr>
          <w:spacing w:val="-3"/>
        </w:rPr>
        <w:t xml:space="preserve"> </w:t>
      </w:r>
      <w:r>
        <w:t>34</w:t>
      </w:r>
      <w:r>
        <w:rPr>
          <w:spacing w:val="-5"/>
        </w:rPr>
        <w:t xml:space="preserve"> </w:t>
      </w:r>
      <w:r>
        <w:t>doses;</w:t>
      </w:r>
      <w:r>
        <w:rPr>
          <w:spacing w:val="-3"/>
        </w:rPr>
        <w:t xml:space="preserve"> </w:t>
      </w:r>
      <w:r>
        <w:t>range</w:t>
      </w:r>
      <w:r>
        <w:rPr>
          <w:spacing w:val="-5"/>
        </w:rPr>
        <w:t xml:space="preserve"> </w:t>
      </w:r>
      <w:r>
        <w:t>4</w:t>
      </w:r>
      <w:r>
        <w:rPr>
          <w:spacing w:val="-2"/>
        </w:rPr>
        <w:t xml:space="preserve"> </w:t>
      </w:r>
      <w:r>
        <w:t>–</w:t>
      </w:r>
      <w:r>
        <w:rPr>
          <w:spacing w:val="-3"/>
        </w:rPr>
        <w:t xml:space="preserve"> </w:t>
      </w:r>
      <w:r>
        <w:t>116).</w:t>
      </w:r>
      <w:r>
        <w:rPr>
          <w:spacing w:val="34"/>
        </w:rPr>
        <w:t xml:space="preserve"> </w:t>
      </w:r>
      <w:r>
        <w:t>At</w:t>
      </w:r>
      <w:r>
        <w:rPr>
          <w:spacing w:val="-6"/>
        </w:rPr>
        <w:t xml:space="preserve"> </w:t>
      </w:r>
      <w:r>
        <w:t>the</w:t>
      </w:r>
      <w:r>
        <w:rPr>
          <w:spacing w:val="-3"/>
        </w:rPr>
        <w:t xml:space="preserve"> </w:t>
      </w:r>
      <w:r>
        <w:t>completion</w:t>
      </w:r>
      <w:r>
        <w:rPr>
          <w:spacing w:val="-6"/>
        </w:rPr>
        <w:t xml:space="preserve"> </w:t>
      </w:r>
      <w:r>
        <w:t>of</w:t>
      </w:r>
      <w:r>
        <w:rPr>
          <w:spacing w:val="-6"/>
        </w:rPr>
        <w:t xml:space="preserve"> </w:t>
      </w:r>
      <w:r>
        <w:t>the</w:t>
      </w:r>
      <w:r>
        <w:rPr>
          <w:spacing w:val="-3"/>
        </w:rPr>
        <w:t xml:space="preserve"> </w:t>
      </w:r>
      <w:r>
        <w:t>trial, median</w:t>
      </w:r>
      <w:r>
        <w:rPr>
          <w:spacing w:val="-9"/>
        </w:rPr>
        <w:t xml:space="preserve"> </w:t>
      </w:r>
      <w:r>
        <w:t>time</w:t>
      </w:r>
      <w:r>
        <w:rPr>
          <w:spacing w:val="-10"/>
        </w:rPr>
        <w:t xml:space="preserve"> </w:t>
      </w:r>
      <w:r>
        <w:t>on</w:t>
      </w:r>
      <w:r>
        <w:rPr>
          <w:spacing w:val="-9"/>
        </w:rPr>
        <w:t xml:space="preserve"> </w:t>
      </w:r>
      <w:r>
        <w:t>trial</w:t>
      </w:r>
      <w:r>
        <w:rPr>
          <w:spacing w:val="-8"/>
        </w:rPr>
        <w:t xml:space="preserve"> </w:t>
      </w:r>
      <w:r>
        <w:t>including</w:t>
      </w:r>
      <w:r>
        <w:rPr>
          <w:spacing w:val="-9"/>
        </w:rPr>
        <w:t xml:space="preserve"> </w:t>
      </w:r>
      <w:r>
        <w:t>safety</w:t>
      </w:r>
      <w:r>
        <w:rPr>
          <w:spacing w:val="-7"/>
        </w:rPr>
        <w:t xml:space="preserve"> </w:t>
      </w:r>
      <w:r>
        <w:t>follow-up</w:t>
      </w:r>
      <w:r>
        <w:rPr>
          <w:spacing w:val="-9"/>
        </w:rPr>
        <w:t xml:space="preserve"> </w:t>
      </w:r>
      <w:r>
        <w:t>phase</w:t>
      </w:r>
      <w:r>
        <w:rPr>
          <w:spacing w:val="-8"/>
        </w:rPr>
        <w:t xml:space="preserve"> </w:t>
      </w:r>
      <w:r>
        <w:t>was</w:t>
      </w:r>
      <w:r>
        <w:rPr>
          <w:spacing w:val="-8"/>
        </w:rPr>
        <w:t xml:space="preserve"> </w:t>
      </w:r>
      <w:r>
        <w:t>60.9</w:t>
      </w:r>
      <w:r>
        <w:rPr>
          <w:spacing w:val="-10"/>
        </w:rPr>
        <w:t xml:space="preserve"> </w:t>
      </w:r>
      <w:r>
        <w:t>months</w:t>
      </w:r>
      <w:r>
        <w:rPr>
          <w:spacing w:val="-11"/>
        </w:rPr>
        <w:t xml:space="preserve"> </w:t>
      </w:r>
      <w:r>
        <w:t>(range:</w:t>
      </w:r>
      <w:r>
        <w:rPr>
          <w:spacing w:val="-9"/>
        </w:rPr>
        <w:t xml:space="preserve"> </w:t>
      </w:r>
      <w:r>
        <w:t>0</w:t>
      </w:r>
      <w:r>
        <w:rPr>
          <w:spacing w:val="-6"/>
        </w:rPr>
        <w:t xml:space="preserve"> </w:t>
      </w:r>
      <w:r>
        <w:t>–</w:t>
      </w:r>
      <w:r>
        <w:rPr>
          <w:spacing w:val="-8"/>
        </w:rPr>
        <w:t xml:space="preserve"> </w:t>
      </w:r>
      <w:r>
        <w:t>112.6).</w:t>
      </w:r>
      <w:r>
        <w:rPr>
          <w:spacing w:val="-8"/>
        </w:rPr>
        <w:t xml:space="preserve"> </w:t>
      </w:r>
      <w:r>
        <w:t>The</w:t>
      </w:r>
      <w:r>
        <w:rPr>
          <w:spacing w:val="-7"/>
        </w:rPr>
        <w:t xml:space="preserve"> </w:t>
      </w:r>
      <w:r>
        <w:t xml:space="preserve">patient-year </w:t>
      </w:r>
      <w:r>
        <w:rPr>
          <w:spacing w:val="-2"/>
        </w:rPr>
        <w:t>adjusted</w:t>
      </w:r>
      <w:r>
        <w:t xml:space="preserve"> </w:t>
      </w:r>
      <w:r>
        <w:rPr>
          <w:spacing w:val="-2"/>
        </w:rPr>
        <w:t>incidence</w:t>
      </w:r>
      <w:r>
        <w:rPr>
          <w:spacing w:val="-6"/>
        </w:rPr>
        <w:t xml:space="preserve"> </w:t>
      </w:r>
      <w:r>
        <w:rPr>
          <w:spacing w:val="-2"/>
        </w:rPr>
        <w:t>of</w:t>
      </w:r>
      <w:r>
        <w:rPr>
          <w:spacing w:val="-3"/>
        </w:rPr>
        <w:t xml:space="preserve"> </w:t>
      </w:r>
      <w:r>
        <w:rPr>
          <w:spacing w:val="-2"/>
        </w:rPr>
        <w:t>confirmed</w:t>
      </w:r>
      <w:r>
        <w:rPr>
          <w:spacing w:val="-3"/>
        </w:rPr>
        <w:t xml:space="preserve"> </w:t>
      </w:r>
      <w:proofErr w:type="spellStart"/>
      <w:r>
        <w:rPr>
          <w:spacing w:val="-2"/>
        </w:rPr>
        <w:t>ONJ</w:t>
      </w:r>
      <w:proofErr w:type="spellEnd"/>
      <w:r>
        <w:rPr>
          <w:spacing w:val="-4"/>
        </w:rPr>
        <w:t xml:space="preserve"> </w:t>
      </w:r>
      <w:r>
        <w:rPr>
          <w:spacing w:val="-2"/>
        </w:rPr>
        <w:t>was</w:t>
      </w:r>
      <w:r>
        <w:rPr>
          <w:spacing w:val="-3"/>
        </w:rPr>
        <w:t xml:space="preserve"> </w:t>
      </w:r>
      <w:r>
        <w:rPr>
          <w:spacing w:val="-2"/>
        </w:rPr>
        <w:t>1.5</w:t>
      </w:r>
      <w:r>
        <w:rPr>
          <w:spacing w:val="-3"/>
        </w:rPr>
        <w:t xml:space="preserve"> </w:t>
      </w:r>
      <w:r>
        <w:rPr>
          <w:spacing w:val="-2"/>
        </w:rPr>
        <w:t>per</w:t>
      </w:r>
      <w:r>
        <w:rPr>
          <w:spacing w:val="-3"/>
        </w:rPr>
        <w:t xml:space="preserve"> </w:t>
      </w:r>
      <w:r>
        <w:rPr>
          <w:spacing w:val="-2"/>
        </w:rPr>
        <w:t>100</w:t>
      </w:r>
      <w:r>
        <w:rPr>
          <w:spacing w:val="-4"/>
        </w:rPr>
        <w:t xml:space="preserve"> </w:t>
      </w:r>
      <w:r>
        <w:rPr>
          <w:spacing w:val="-2"/>
        </w:rPr>
        <w:t>patient-years</w:t>
      </w:r>
      <w:r>
        <w:rPr>
          <w:spacing w:val="-3"/>
        </w:rPr>
        <w:t xml:space="preserve"> </w:t>
      </w:r>
      <w:r>
        <w:rPr>
          <w:spacing w:val="-2"/>
        </w:rPr>
        <w:t>overall</w:t>
      </w:r>
      <w:r>
        <w:rPr>
          <w:spacing w:val="-4"/>
        </w:rPr>
        <w:t xml:space="preserve"> </w:t>
      </w:r>
      <w:r>
        <w:rPr>
          <w:spacing w:val="-2"/>
        </w:rPr>
        <w:t>(0.2</w:t>
      </w:r>
      <w:r>
        <w:rPr>
          <w:spacing w:val="-4"/>
        </w:rPr>
        <w:t xml:space="preserve"> </w:t>
      </w:r>
      <w:r>
        <w:rPr>
          <w:spacing w:val="-2"/>
        </w:rPr>
        <w:t>per</w:t>
      </w:r>
      <w:r>
        <w:rPr>
          <w:spacing w:val="-6"/>
        </w:rPr>
        <w:t xml:space="preserve"> </w:t>
      </w:r>
      <w:r>
        <w:rPr>
          <w:spacing w:val="-2"/>
        </w:rPr>
        <w:t>100 patient-years</w:t>
      </w:r>
      <w:r>
        <w:rPr>
          <w:spacing w:val="-6"/>
        </w:rPr>
        <w:t xml:space="preserve"> </w:t>
      </w:r>
      <w:r>
        <w:rPr>
          <w:spacing w:val="-2"/>
        </w:rPr>
        <w:t xml:space="preserve">during </w:t>
      </w:r>
      <w:r>
        <w:t>the</w:t>
      </w:r>
      <w:r>
        <w:rPr>
          <w:spacing w:val="-5"/>
        </w:rPr>
        <w:t xml:space="preserve"> </w:t>
      </w:r>
      <w:r>
        <w:t>first year of treatment, 1.5 in the second year, 1.8 in the third year, 2.1 in the fourth year, 1.4 in the fifth year, and 2.2 thereafter).</w:t>
      </w:r>
      <w:r>
        <w:rPr>
          <w:spacing w:val="40"/>
        </w:rPr>
        <w:t xml:space="preserve"> </w:t>
      </w:r>
      <w:r>
        <w:t xml:space="preserve">The median time to </w:t>
      </w:r>
      <w:proofErr w:type="spellStart"/>
      <w:r>
        <w:t>ONJ</w:t>
      </w:r>
      <w:proofErr w:type="spellEnd"/>
      <w:r>
        <w:t xml:space="preserve"> was 41 months (range: 11 - 96).</w:t>
      </w:r>
    </w:p>
    <w:p w14:paraId="4E501814" w14:textId="77777777" w:rsidR="00AE135B" w:rsidRDefault="00EE5424">
      <w:pPr>
        <w:pStyle w:val="BodyText"/>
        <w:spacing w:before="91" w:line="360" w:lineRule="auto"/>
        <w:ind w:right="172"/>
        <w:jc w:val="both"/>
      </w:pPr>
      <w:r>
        <w:t xml:space="preserve">Study 20140114 was conducted to continue to follow patients with </w:t>
      </w:r>
      <w:proofErr w:type="spellStart"/>
      <w:r>
        <w:t>GCTB</w:t>
      </w:r>
      <w:proofErr w:type="spellEnd"/>
      <w:r>
        <w:t xml:space="preserve"> who were treated in study 20062004 for an additional 5 or more years. </w:t>
      </w:r>
      <w:proofErr w:type="spellStart"/>
      <w:r>
        <w:t>ONJ</w:t>
      </w:r>
      <w:proofErr w:type="spellEnd"/>
      <w:r>
        <w:t xml:space="preserve"> was reported in 6 patients (11.8%) of the 51 exposed patients</w:t>
      </w:r>
      <w:r>
        <w:rPr>
          <w:spacing w:val="-8"/>
        </w:rPr>
        <w:t xml:space="preserve"> </w:t>
      </w:r>
      <w:r>
        <w:t>with</w:t>
      </w:r>
      <w:r>
        <w:rPr>
          <w:spacing w:val="-11"/>
        </w:rPr>
        <w:t xml:space="preserve"> </w:t>
      </w:r>
      <w:r>
        <w:t>median</w:t>
      </w:r>
      <w:r>
        <w:rPr>
          <w:spacing w:val="-9"/>
        </w:rPr>
        <w:t xml:space="preserve"> </w:t>
      </w:r>
      <w:proofErr w:type="gramStart"/>
      <w:r>
        <w:t>total</w:t>
      </w:r>
      <w:proofErr w:type="gramEnd"/>
      <w:r>
        <w:rPr>
          <w:spacing w:val="-10"/>
        </w:rPr>
        <w:t xml:space="preserve"> </w:t>
      </w:r>
      <w:r>
        <w:t>42</w:t>
      </w:r>
      <w:r>
        <w:rPr>
          <w:spacing w:val="-7"/>
        </w:rPr>
        <w:t xml:space="preserve"> </w:t>
      </w:r>
      <w:r>
        <w:t>doses</w:t>
      </w:r>
      <w:r>
        <w:rPr>
          <w:spacing w:val="-8"/>
        </w:rPr>
        <w:t xml:space="preserve"> </w:t>
      </w:r>
      <w:r>
        <w:t>of</w:t>
      </w:r>
      <w:r>
        <w:rPr>
          <w:spacing w:val="-8"/>
        </w:rPr>
        <w:t xml:space="preserve"> </w:t>
      </w:r>
      <w:r>
        <w:t>denosumab.</w:t>
      </w:r>
      <w:r>
        <w:rPr>
          <w:spacing w:val="-8"/>
        </w:rPr>
        <w:t xml:space="preserve"> </w:t>
      </w:r>
      <w:r>
        <w:t>Three</w:t>
      </w:r>
      <w:r>
        <w:rPr>
          <w:spacing w:val="-8"/>
        </w:rPr>
        <w:t xml:space="preserve"> </w:t>
      </w:r>
      <w:r>
        <w:t>of</w:t>
      </w:r>
      <w:r>
        <w:rPr>
          <w:spacing w:val="-8"/>
        </w:rPr>
        <w:t xml:space="preserve"> </w:t>
      </w:r>
      <w:r>
        <w:t>these</w:t>
      </w:r>
      <w:r>
        <w:rPr>
          <w:spacing w:val="-7"/>
        </w:rPr>
        <w:t xml:space="preserve"> </w:t>
      </w:r>
      <w:r>
        <w:t>cases</w:t>
      </w:r>
      <w:r>
        <w:rPr>
          <w:spacing w:val="-8"/>
        </w:rPr>
        <w:t xml:space="preserve"> </w:t>
      </w:r>
      <w:r>
        <w:t>of</w:t>
      </w:r>
      <w:r>
        <w:rPr>
          <w:spacing w:val="-8"/>
        </w:rPr>
        <w:t xml:space="preserve"> </w:t>
      </w:r>
      <w:proofErr w:type="spellStart"/>
      <w:r>
        <w:t>ONJ</w:t>
      </w:r>
      <w:proofErr w:type="spellEnd"/>
      <w:r>
        <w:rPr>
          <w:spacing w:val="-9"/>
        </w:rPr>
        <w:t xml:space="preserve"> </w:t>
      </w:r>
      <w:r>
        <w:t>were</w:t>
      </w:r>
      <w:r>
        <w:rPr>
          <w:spacing w:val="-7"/>
        </w:rPr>
        <w:t xml:space="preserve"> </w:t>
      </w:r>
      <w:r>
        <w:t>medically</w:t>
      </w:r>
      <w:r>
        <w:rPr>
          <w:spacing w:val="-7"/>
        </w:rPr>
        <w:t xml:space="preserve"> </w:t>
      </w:r>
      <w:r>
        <w:t>confirmed.</w:t>
      </w:r>
    </w:p>
    <w:p w14:paraId="71B8A329" w14:textId="77777777" w:rsidR="00AE135B" w:rsidRDefault="00EE5424">
      <w:pPr>
        <w:pStyle w:val="BodyText"/>
        <w:spacing w:before="120"/>
        <w:jc w:val="both"/>
      </w:pPr>
      <w:r>
        <w:rPr>
          <w:spacing w:val="-2"/>
          <w:u w:val="single"/>
        </w:rPr>
        <w:t>Atypical</w:t>
      </w:r>
      <w:r>
        <w:rPr>
          <w:spacing w:val="-7"/>
          <w:u w:val="single"/>
        </w:rPr>
        <w:t xml:space="preserve"> </w:t>
      </w:r>
      <w:r>
        <w:rPr>
          <w:spacing w:val="-2"/>
          <w:u w:val="single"/>
        </w:rPr>
        <w:t>Femoral</w:t>
      </w:r>
      <w:r>
        <w:rPr>
          <w:spacing w:val="-9"/>
          <w:u w:val="single"/>
        </w:rPr>
        <w:t xml:space="preserve"> </w:t>
      </w:r>
      <w:r>
        <w:rPr>
          <w:spacing w:val="-2"/>
          <w:u w:val="single"/>
        </w:rPr>
        <w:t>Fractures</w:t>
      </w:r>
      <w:r>
        <w:rPr>
          <w:spacing w:val="-7"/>
          <w:u w:val="single"/>
        </w:rPr>
        <w:t xml:space="preserve"> </w:t>
      </w:r>
      <w:r>
        <w:rPr>
          <w:spacing w:val="-2"/>
          <w:u w:val="single"/>
        </w:rPr>
        <w:t>(AFF)</w:t>
      </w:r>
    </w:p>
    <w:p w14:paraId="53584B50" w14:textId="77777777" w:rsidR="00AE135B" w:rsidRDefault="00AE135B">
      <w:pPr>
        <w:pStyle w:val="BodyText"/>
        <w:spacing w:before="113"/>
        <w:ind w:left="0"/>
      </w:pPr>
    </w:p>
    <w:p w14:paraId="7D4E19CB" w14:textId="77777777" w:rsidR="00AE135B" w:rsidRDefault="00EE5424">
      <w:pPr>
        <w:pStyle w:val="BodyText"/>
        <w:spacing w:line="360" w:lineRule="auto"/>
        <w:ind w:right="175"/>
        <w:jc w:val="both"/>
      </w:pPr>
      <w:r>
        <w:t>Atypical</w:t>
      </w:r>
      <w:r>
        <w:rPr>
          <w:spacing w:val="-8"/>
        </w:rPr>
        <w:t xml:space="preserve"> </w:t>
      </w:r>
      <w:r>
        <w:t>femoral</w:t>
      </w:r>
      <w:r>
        <w:rPr>
          <w:spacing w:val="-10"/>
        </w:rPr>
        <w:t xml:space="preserve"> </w:t>
      </w:r>
      <w:r>
        <w:t>fracture</w:t>
      </w:r>
      <w:r>
        <w:rPr>
          <w:spacing w:val="-9"/>
        </w:rPr>
        <w:t xml:space="preserve"> </w:t>
      </w:r>
      <w:r>
        <w:t>has</w:t>
      </w:r>
      <w:r>
        <w:rPr>
          <w:spacing w:val="-7"/>
        </w:rPr>
        <w:t xml:space="preserve"> </w:t>
      </w:r>
      <w:r>
        <w:t>been</w:t>
      </w:r>
      <w:r>
        <w:rPr>
          <w:spacing w:val="-11"/>
        </w:rPr>
        <w:t xml:space="preserve"> </w:t>
      </w:r>
      <w:r>
        <w:t>reported</w:t>
      </w:r>
      <w:r>
        <w:rPr>
          <w:spacing w:val="-7"/>
        </w:rPr>
        <w:t xml:space="preserve"> </w:t>
      </w:r>
      <w:r>
        <w:t>uncommonly</w:t>
      </w:r>
      <w:r>
        <w:rPr>
          <w:spacing w:val="-8"/>
        </w:rPr>
        <w:t xml:space="preserve"> </w:t>
      </w:r>
      <w:r>
        <w:t>in</w:t>
      </w:r>
      <w:r>
        <w:rPr>
          <w:spacing w:val="-7"/>
        </w:rPr>
        <w:t xml:space="preserve"> </w:t>
      </w:r>
      <w:r>
        <w:t>patients</w:t>
      </w:r>
      <w:r>
        <w:rPr>
          <w:spacing w:val="-9"/>
        </w:rPr>
        <w:t xml:space="preserve"> </w:t>
      </w:r>
      <w:r>
        <w:t>treated</w:t>
      </w:r>
      <w:r>
        <w:rPr>
          <w:spacing w:val="-6"/>
        </w:rPr>
        <w:t xml:space="preserve"> </w:t>
      </w:r>
      <w:r>
        <w:t>with</w:t>
      </w:r>
      <w:r>
        <w:rPr>
          <w:spacing w:val="-7"/>
        </w:rPr>
        <w:t xml:space="preserve"> </w:t>
      </w:r>
      <w:r>
        <w:t>denosumab</w:t>
      </w:r>
      <w:r>
        <w:rPr>
          <w:spacing w:val="-7"/>
        </w:rPr>
        <w:t xml:space="preserve"> </w:t>
      </w:r>
      <w:r>
        <w:t>and</w:t>
      </w:r>
      <w:r>
        <w:rPr>
          <w:spacing w:val="-7"/>
        </w:rPr>
        <w:t xml:space="preserve"> </w:t>
      </w:r>
      <w:r>
        <w:t>the</w:t>
      </w:r>
      <w:r>
        <w:rPr>
          <w:spacing w:val="-9"/>
        </w:rPr>
        <w:t xml:space="preserve"> </w:t>
      </w:r>
      <w:r>
        <w:t>risk increased with longer duration of</w:t>
      </w:r>
      <w:r>
        <w:rPr>
          <w:spacing w:val="-1"/>
        </w:rPr>
        <w:t xml:space="preserve"> </w:t>
      </w:r>
      <w:r>
        <w:t>treatment.</w:t>
      </w:r>
      <w:r>
        <w:rPr>
          <w:spacing w:val="40"/>
        </w:rPr>
        <w:t xml:space="preserve"> </w:t>
      </w:r>
      <w:r>
        <w:t>Events</w:t>
      </w:r>
      <w:r>
        <w:rPr>
          <w:spacing w:val="-1"/>
        </w:rPr>
        <w:t xml:space="preserve"> </w:t>
      </w:r>
      <w:proofErr w:type="gramStart"/>
      <w:r>
        <w:t>have occurred</w:t>
      </w:r>
      <w:proofErr w:type="gramEnd"/>
      <w:r>
        <w:rPr>
          <w:spacing w:val="-1"/>
        </w:rPr>
        <w:t xml:space="preserve"> </w:t>
      </w:r>
      <w:r>
        <w:t>during</w:t>
      </w:r>
      <w:r>
        <w:rPr>
          <w:spacing w:val="-1"/>
        </w:rPr>
        <w:t xml:space="preserve"> </w:t>
      </w:r>
      <w:r>
        <w:t>treatment and up to 9 months after treatment was discontinued.</w:t>
      </w:r>
    </w:p>
    <w:p w14:paraId="384089DE" w14:textId="77777777" w:rsidR="00AE135B" w:rsidRDefault="00EE5424">
      <w:pPr>
        <w:pStyle w:val="BodyText"/>
        <w:spacing w:line="360" w:lineRule="auto"/>
        <w:ind w:right="174"/>
        <w:jc w:val="both"/>
      </w:pPr>
      <w:r>
        <w:t xml:space="preserve">In the clinical trial </w:t>
      </w:r>
      <w:proofErr w:type="spellStart"/>
      <w:r>
        <w:t>programme</w:t>
      </w:r>
      <w:proofErr w:type="spellEnd"/>
      <w:r>
        <w:t xml:space="preserve"> for </w:t>
      </w:r>
      <w:proofErr w:type="spellStart"/>
      <w:r>
        <w:t>GCTB</w:t>
      </w:r>
      <w:proofErr w:type="spellEnd"/>
      <w:r>
        <w:t xml:space="preserve">, atypical femoral fractures have been reported commonly in patients treated with </w:t>
      </w:r>
      <w:proofErr w:type="spellStart"/>
      <w:r>
        <w:t>DOSTIVA</w:t>
      </w:r>
      <w:proofErr w:type="spellEnd"/>
      <w:r>
        <w:t xml:space="preserve">. In study 20062004, incidence of confirmed AFF was 0.95% (5/526) in patients with </w:t>
      </w:r>
      <w:proofErr w:type="spellStart"/>
      <w:r>
        <w:t>GCTB</w:t>
      </w:r>
      <w:proofErr w:type="spellEnd"/>
      <w:r>
        <w:t>. In the follow up study 20140114, the incidence of confirmed AFF was 3.9% (2/51) of patients exposed to denosumab.</w:t>
      </w:r>
    </w:p>
    <w:p w14:paraId="0D76E567" w14:textId="77777777" w:rsidR="00320262" w:rsidRDefault="00320262" w:rsidP="00320262"/>
    <w:p w14:paraId="56BB2B65" w14:textId="77777777" w:rsidR="00AE135B" w:rsidRDefault="00EE5424">
      <w:pPr>
        <w:pStyle w:val="BodyText"/>
        <w:spacing w:before="37"/>
      </w:pPr>
      <w:proofErr w:type="spellStart"/>
      <w:r>
        <w:rPr>
          <w:spacing w:val="-2"/>
          <w:u w:val="single"/>
        </w:rPr>
        <w:t>Paediatric</w:t>
      </w:r>
      <w:proofErr w:type="spellEnd"/>
      <w:r>
        <w:rPr>
          <w:spacing w:val="-2"/>
          <w:u w:val="single"/>
        </w:rPr>
        <w:t xml:space="preserve"> patients</w:t>
      </w:r>
    </w:p>
    <w:p w14:paraId="657CB441" w14:textId="77777777" w:rsidR="00AE135B" w:rsidRDefault="00EE5424">
      <w:pPr>
        <w:pStyle w:val="BodyText"/>
        <w:spacing w:before="248" w:line="360" w:lineRule="auto"/>
      </w:pPr>
      <w:r>
        <w:t>The</w:t>
      </w:r>
      <w:r>
        <w:rPr>
          <w:spacing w:val="-13"/>
        </w:rPr>
        <w:t xml:space="preserve"> </w:t>
      </w:r>
      <w:r>
        <w:t>safety</w:t>
      </w:r>
      <w:r>
        <w:rPr>
          <w:spacing w:val="-12"/>
        </w:rPr>
        <w:t xml:space="preserve"> </w:t>
      </w:r>
      <w:r>
        <w:t>profile</w:t>
      </w:r>
      <w:r>
        <w:rPr>
          <w:spacing w:val="-14"/>
        </w:rPr>
        <w:t xml:space="preserve"> </w:t>
      </w:r>
      <w:r>
        <w:t>of</w:t>
      </w:r>
      <w:r>
        <w:rPr>
          <w:spacing w:val="-11"/>
        </w:rPr>
        <w:t xml:space="preserve"> </w:t>
      </w:r>
      <w:r>
        <w:t>denosumab</w:t>
      </w:r>
      <w:r>
        <w:rPr>
          <w:spacing w:val="-8"/>
        </w:rPr>
        <w:t xml:space="preserve"> </w:t>
      </w:r>
      <w:r>
        <w:t>in</w:t>
      </w:r>
      <w:r>
        <w:rPr>
          <w:spacing w:val="-11"/>
        </w:rPr>
        <w:t xml:space="preserve"> </w:t>
      </w:r>
      <w:r>
        <w:t>28</w:t>
      </w:r>
      <w:r>
        <w:rPr>
          <w:spacing w:val="-13"/>
        </w:rPr>
        <w:t xml:space="preserve"> </w:t>
      </w:r>
      <w:r>
        <w:t>skeletally</w:t>
      </w:r>
      <w:r>
        <w:rPr>
          <w:spacing w:val="-13"/>
        </w:rPr>
        <w:t xml:space="preserve"> </w:t>
      </w:r>
      <w:r>
        <w:t>mature</w:t>
      </w:r>
      <w:r>
        <w:rPr>
          <w:spacing w:val="-10"/>
        </w:rPr>
        <w:t xml:space="preserve"> </w:t>
      </w:r>
      <w:r>
        <w:t>adolescent</w:t>
      </w:r>
      <w:r>
        <w:rPr>
          <w:spacing w:val="-10"/>
        </w:rPr>
        <w:t xml:space="preserve"> </w:t>
      </w:r>
      <w:r>
        <w:t>patients</w:t>
      </w:r>
      <w:r>
        <w:rPr>
          <w:spacing w:val="-10"/>
        </w:rPr>
        <w:t xml:space="preserve"> </w:t>
      </w:r>
      <w:r>
        <w:t>with</w:t>
      </w:r>
      <w:r>
        <w:rPr>
          <w:spacing w:val="-13"/>
        </w:rPr>
        <w:t xml:space="preserve"> </w:t>
      </w:r>
      <w:r>
        <w:t>giant</w:t>
      </w:r>
      <w:r>
        <w:rPr>
          <w:spacing w:val="-7"/>
        </w:rPr>
        <w:t xml:space="preserve"> </w:t>
      </w:r>
      <w:r>
        <w:t>cell</w:t>
      </w:r>
      <w:r>
        <w:rPr>
          <w:spacing w:val="-14"/>
        </w:rPr>
        <w:t xml:space="preserve"> </w:t>
      </w:r>
      <w:proofErr w:type="spellStart"/>
      <w:r>
        <w:t>tumour</w:t>
      </w:r>
      <w:proofErr w:type="spellEnd"/>
      <w:r>
        <w:rPr>
          <w:spacing w:val="-8"/>
        </w:rPr>
        <w:t xml:space="preserve"> </w:t>
      </w:r>
      <w:r>
        <w:t>of</w:t>
      </w:r>
      <w:r>
        <w:rPr>
          <w:spacing w:val="-11"/>
        </w:rPr>
        <w:t xml:space="preserve"> </w:t>
      </w:r>
      <w:r>
        <w:t xml:space="preserve">bone </w:t>
      </w:r>
      <w:r>
        <w:lastRenderedPageBreak/>
        <w:t>was consistent with that in adult patients.</w:t>
      </w:r>
    </w:p>
    <w:p w14:paraId="7C1C1766" w14:textId="77777777" w:rsidR="00AE135B" w:rsidRDefault="00EE5424">
      <w:pPr>
        <w:pStyle w:val="BodyText"/>
        <w:spacing w:before="121"/>
      </w:pPr>
      <w:r>
        <w:rPr>
          <w:spacing w:val="-2"/>
          <w:u w:val="single"/>
        </w:rPr>
        <w:t>Drug</w:t>
      </w:r>
      <w:r>
        <w:rPr>
          <w:spacing w:val="-9"/>
          <w:u w:val="single"/>
        </w:rPr>
        <w:t xml:space="preserve"> </w:t>
      </w:r>
      <w:r>
        <w:rPr>
          <w:spacing w:val="-2"/>
          <w:u w:val="single"/>
        </w:rPr>
        <w:t>hypersensitivity</w:t>
      </w:r>
      <w:r>
        <w:rPr>
          <w:spacing w:val="-6"/>
          <w:u w:val="single"/>
        </w:rPr>
        <w:t xml:space="preserve"> </w:t>
      </w:r>
      <w:r>
        <w:rPr>
          <w:spacing w:val="-2"/>
          <w:u w:val="single"/>
        </w:rPr>
        <w:t>events</w:t>
      </w:r>
    </w:p>
    <w:p w14:paraId="5CBA9293" w14:textId="77777777" w:rsidR="00AE135B" w:rsidRDefault="00AE135B">
      <w:pPr>
        <w:pStyle w:val="BodyText"/>
        <w:spacing w:before="10"/>
        <w:ind w:left="0"/>
      </w:pPr>
    </w:p>
    <w:p w14:paraId="1DFB805F" w14:textId="7DE86EE6" w:rsidR="00AE135B" w:rsidRDefault="00EE5424" w:rsidP="00320262">
      <w:pPr>
        <w:pStyle w:val="BodyText"/>
      </w:pPr>
      <w:r>
        <w:t>In</w:t>
      </w:r>
      <w:r>
        <w:rPr>
          <w:spacing w:val="-6"/>
        </w:rPr>
        <w:t xml:space="preserve"> </w:t>
      </w:r>
      <w:r>
        <w:t>clinical</w:t>
      </w:r>
      <w:r>
        <w:rPr>
          <w:spacing w:val="-4"/>
        </w:rPr>
        <w:t xml:space="preserve"> </w:t>
      </w:r>
      <w:r>
        <w:t>trials</w:t>
      </w:r>
      <w:r>
        <w:rPr>
          <w:spacing w:val="-4"/>
        </w:rPr>
        <w:t xml:space="preserve"> </w:t>
      </w:r>
      <w:r>
        <w:t>in</w:t>
      </w:r>
      <w:r>
        <w:rPr>
          <w:spacing w:val="-7"/>
        </w:rPr>
        <w:t xml:space="preserve"> </w:t>
      </w:r>
      <w:r>
        <w:t>patients</w:t>
      </w:r>
      <w:r>
        <w:rPr>
          <w:spacing w:val="-5"/>
        </w:rPr>
        <w:t xml:space="preserve"> </w:t>
      </w:r>
      <w:r>
        <w:t>with</w:t>
      </w:r>
      <w:r>
        <w:rPr>
          <w:spacing w:val="-5"/>
        </w:rPr>
        <w:t xml:space="preserve"> </w:t>
      </w:r>
      <w:r>
        <w:t>advanced</w:t>
      </w:r>
      <w:r>
        <w:rPr>
          <w:spacing w:val="-3"/>
        </w:rPr>
        <w:t xml:space="preserve"> </w:t>
      </w:r>
      <w:r>
        <w:t>cancer,</w:t>
      </w:r>
      <w:r>
        <w:rPr>
          <w:spacing w:val="-6"/>
        </w:rPr>
        <w:t xml:space="preserve"> </w:t>
      </w:r>
      <w:r>
        <w:t>drug</w:t>
      </w:r>
      <w:r>
        <w:rPr>
          <w:spacing w:val="-4"/>
        </w:rPr>
        <w:t xml:space="preserve"> </w:t>
      </w:r>
      <w:r>
        <w:t>hypersensitivity</w:t>
      </w:r>
      <w:r>
        <w:rPr>
          <w:spacing w:val="-8"/>
        </w:rPr>
        <w:t xml:space="preserve"> </w:t>
      </w:r>
      <w:r>
        <w:t>events</w:t>
      </w:r>
      <w:r>
        <w:rPr>
          <w:spacing w:val="-4"/>
        </w:rPr>
        <w:t xml:space="preserve"> </w:t>
      </w:r>
      <w:r>
        <w:t>were</w:t>
      </w:r>
      <w:r>
        <w:rPr>
          <w:spacing w:val="-6"/>
        </w:rPr>
        <w:t xml:space="preserve"> </w:t>
      </w:r>
      <w:r>
        <w:t>reported</w:t>
      </w:r>
      <w:r>
        <w:rPr>
          <w:spacing w:val="-1"/>
        </w:rPr>
        <w:t xml:space="preserve"> </w:t>
      </w:r>
      <w:r>
        <w:t>in</w:t>
      </w:r>
      <w:r>
        <w:rPr>
          <w:spacing w:val="-4"/>
        </w:rPr>
        <w:t xml:space="preserve"> </w:t>
      </w:r>
      <w:r>
        <w:t>0.9</w:t>
      </w:r>
      <w:r>
        <w:rPr>
          <w:spacing w:val="-2"/>
        </w:rPr>
        <w:t xml:space="preserve"> </w:t>
      </w:r>
      <w:r>
        <w:t>%</w:t>
      </w:r>
      <w:r>
        <w:rPr>
          <w:spacing w:val="-1"/>
        </w:rPr>
        <w:t xml:space="preserve"> </w:t>
      </w:r>
      <w:r>
        <w:rPr>
          <w:spacing w:val="-5"/>
        </w:rPr>
        <w:t>and</w:t>
      </w:r>
      <w:r w:rsidR="00320262">
        <w:t xml:space="preserve"> </w:t>
      </w:r>
      <w:r>
        <w:t>0.4</w:t>
      </w:r>
      <w:r>
        <w:rPr>
          <w:spacing w:val="-15"/>
        </w:rPr>
        <w:t xml:space="preserve"> </w:t>
      </w:r>
      <w:r>
        <w:t>%</w:t>
      </w:r>
      <w:r>
        <w:rPr>
          <w:spacing w:val="-12"/>
        </w:rPr>
        <w:t xml:space="preserve"> </w:t>
      </w:r>
      <w:r>
        <w:t>of</w:t>
      </w:r>
      <w:r>
        <w:rPr>
          <w:spacing w:val="-11"/>
        </w:rPr>
        <w:t xml:space="preserve"> </w:t>
      </w:r>
      <w:r>
        <w:t>patients</w:t>
      </w:r>
      <w:r>
        <w:rPr>
          <w:spacing w:val="-13"/>
        </w:rPr>
        <w:t xml:space="preserve"> </w:t>
      </w:r>
      <w:r>
        <w:t>treated</w:t>
      </w:r>
      <w:r>
        <w:rPr>
          <w:spacing w:val="-11"/>
        </w:rPr>
        <w:t xml:space="preserve"> </w:t>
      </w:r>
      <w:r>
        <w:t>with</w:t>
      </w:r>
      <w:r>
        <w:rPr>
          <w:spacing w:val="-10"/>
        </w:rPr>
        <w:t xml:space="preserve"> </w:t>
      </w:r>
      <w:r>
        <w:t>denosumab</w:t>
      </w:r>
      <w:r>
        <w:rPr>
          <w:spacing w:val="-11"/>
        </w:rPr>
        <w:t xml:space="preserve"> </w:t>
      </w:r>
      <w:r>
        <w:t>and</w:t>
      </w:r>
      <w:r>
        <w:rPr>
          <w:spacing w:val="-12"/>
        </w:rPr>
        <w:t xml:space="preserve"> </w:t>
      </w:r>
      <w:r>
        <w:t>zoledronic</w:t>
      </w:r>
      <w:r>
        <w:rPr>
          <w:spacing w:val="-10"/>
        </w:rPr>
        <w:t xml:space="preserve"> </w:t>
      </w:r>
      <w:r>
        <w:t>acid,</w:t>
      </w:r>
      <w:r>
        <w:rPr>
          <w:spacing w:val="-7"/>
        </w:rPr>
        <w:t xml:space="preserve"> </w:t>
      </w:r>
      <w:r>
        <w:rPr>
          <w:spacing w:val="-2"/>
        </w:rPr>
        <w:t>respectively.</w:t>
      </w:r>
    </w:p>
    <w:p w14:paraId="54787B13" w14:textId="77777777" w:rsidR="00AE135B" w:rsidRDefault="00AE135B">
      <w:pPr>
        <w:pStyle w:val="BodyText"/>
        <w:spacing w:before="120"/>
        <w:ind w:left="0"/>
      </w:pPr>
    </w:p>
    <w:p w14:paraId="2D167B71" w14:textId="77777777" w:rsidR="00AE135B" w:rsidRDefault="00EE5424">
      <w:pPr>
        <w:pStyle w:val="BodyText"/>
      </w:pPr>
      <w:r>
        <w:rPr>
          <w:spacing w:val="-2"/>
          <w:u w:val="single"/>
        </w:rPr>
        <w:t>Pancreatitis</w:t>
      </w:r>
    </w:p>
    <w:p w14:paraId="528A7B56" w14:textId="77777777" w:rsidR="00AE135B" w:rsidRDefault="00EE5424">
      <w:pPr>
        <w:pStyle w:val="BodyText"/>
        <w:spacing w:before="248" w:line="360" w:lineRule="auto"/>
        <w:ind w:right="173"/>
        <w:jc w:val="both"/>
      </w:pPr>
      <w:r>
        <w:t>In</w:t>
      </w:r>
      <w:r>
        <w:rPr>
          <w:spacing w:val="-11"/>
        </w:rPr>
        <w:t xml:space="preserve"> </w:t>
      </w:r>
      <w:r>
        <w:t>a</w:t>
      </w:r>
      <w:r>
        <w:rPr>
          <w:spacing w:val="-11"/>
        </w:rPr>
        <w:t xml:space="preserve"> </w:t>
      </w:r>
      <w:proofErr w:type="spellStart"/>
      <w:r>
        <w:t>randomised</w:t>
      </w:r>
      <w:proofErr w:type="spellEnd"/>
      <w:r>
        <w:rPr>
          <w:spacing w:val="-5"/>
        </w:rPr>
        <w:t xml:space="preserve"> </w:t>
      </w:r>
      <w:r>
        <w:t>controlled</w:t>
      </w:r>
      <w:r>
        <w:rPr>
          <w:spacing w:val="-7"/>
        </w:rPr>
        <w:t xml:space="preserve"> </w:t>
      </w:r>
      <w:r>
        <w:t>trial</w:t>
      </w:r>
      <w:r>
        <w:rPr>
          <w:spacing w:val="-9"/>
        </w:rPr>
        <w:t xml:space="preserve"> </w:t>
      </w:r>
      <w:r>
        <w:t>in</w:t>
      </w:r>
      <w:r>
        <w:rPr>
          <w:spacing w:val="-9"/>
        </w:rPr>
        <w:t xml:space="preserve"> </w:t>
      </w:r>
      <w:r>
        <w:t>postmenopausal</w:t>
      </w:r>
      <w:r>
        <w:rPr>
          <w:spacing w:val="-8"/>
        </w:rPr>
        <w:t xml:space="preserve"> </w:t>
      </w:r>
      <w:r>
        <w:t>women</w:t>
      </w:r>
      <w:r>
        <w:rPr>
          <w:spacing w:val="-6"/>
        </w:rPr>
        <w:t xml:space="preserve"> </w:t>
      </w:r>
      <w:r>
        <w:t>with</w:t>
      </w:r>
      <w:r>
        <w:rPr>
          <w:spacing w:val="-10"/>
        </w:rPr>
        <w:t xml:space="preserve"> </w:t>
      </w:r>
      <w:r>
        <w:t>osteoporosis</w:t>
      </w:r>
      <w:r>
        <w:rPr>
          <w:spacing w:val="-5"/>
        </w:rPr>
        <w:t xml:space="preserve"> </w:t>
      </w:r>
      <w:r>
        <w:t>receiving</w:t>
      </w:r>
      <w:r>
        <w:rPr>
          <w:spacing w:val="-3"/>
        </w:rPr>
        <w:t xml:space="preserve"> </w:t>
      </w:r>
      <w:r>
        <w:t>60</w:t>
      </w:r>
      <w:r>
        <w:rPr>
          <w:spacing w:val="-5"/>
        </w:rPr>
        <w:t xml:space="preserve"> </w:t>
      </w:r>
      <w:r>
        <w:t>mg</w:t>
      </w:r>
      <w:r>
        <w:rPr>
          <w:spacing w:val="-4"/>
        </w:rPr>
        <w:t xml:space="preserve"> </w:t>
      </w:r>
      <w:r>
        <w:t>denosumab or</w:t>
      </w:r>
      <w:r>
        <w:rPr>
          <w:spacing w:val="13"/>
        </w:rPr>
        <w:t xml:space="preserve"> </w:t>
      </w:r>
      <w:r>
        <w:t>placebo</w:t>
      </w:r>
      <w:r>
        <w:rPr>
          <w:spacing w:val="12"/>
        </w:rPr>
        <w:t xml:space="preserve"> </w:t>
      </w:r>
      <w:r>
        <w:t>once</w:t>
      </w:r>
      <w:r>
        <w:rPr>
          <w:spacing w:val="12"/>
        </w:rPr>
        <w:t xml:space="preserve"> </w:t>
      </w:r>
      <w:r>
        <w:t>every</w:t>
      </w:r>
      <w:r>
        <w:rPr>
          <w:spacing w:val="13"/>
        </w:rPr>
        <w:t xml:space="preserve"> </w:t>
      </w:r>
      <w:r>
        <w:t>6</w:t>
      </w:r>
      <w:r>
        <w:rPr>
          <w:spacing w:val="12"/>
        </w:rPr>
        <w:t xml:space="preserve"> </w:t>
      </w:r>
      <w:r>
        <w:t>months,</w:t>
      </w:r>
      <w:r>
        <w:rPr>
          <w:spacing w:val="16"/>
        </w:rPr>
        <w:t xml:space="preserve"> </w:t>
      </w:r>
      <w:r>
        <w:t>pancreatitis</w:t>
      </w:r>
      <w:r>
        <w:rPr>
          <w:spacing w:val="16"/>
        </w:rPr>
        <w:t xml:space="preserve"> </w:t>
      </w:r>
      <w:r>
        <w:t>was</w:t>
      </w:r>
      <w:r>
        <w:rPr>
          <w:spacing w:val="14"/>
        </w:rPr>
        <w:t xml:space="preserve"> </w:t>
      </w:r>
      <w:r>
        <w:t>reported</w:t>
      </w:r>
      <w:r>
        <w:rPr>
          <w:spacing w:val="11"/>
        </w:rPr>
        <w:t xml:space="preserve"> </w:t>
      </w:r>
      <w:r>
        <w:t>in</w:t>
      </w:r>
      <w:r>
        <w:rPr>
          <w:spacing w:val="13"/>
        </w:rPr>
        <w:t xml:space="preserve"> </w:t>
      </w:r>
      <w:r>
        <w:t>8</w:t>
      </w:r>
      <w:r>
        <w:rPr>
          <w:spacing w:val="17"/>
        </w:rPr>
        <w:t xml:space="preserve"> </w:t>
      </w:r>
      <w:r>
        <w:t>patients</w:t>
      </w:r>
      <w:r>
        <w:rPr>
          <w:spacing w:val="17"/>
        </w:rPr>
        <w:t xml:space="preserve"> </w:t>
      </w:r>
      <w:r>
        <w:t>(0.2</w:t>
      </w:r>
      <w:r>
        <w:rPr>
          <w:spacing w:val="20"/>
        </w:rPr>
        <w:t xml:space="preserve"> </w:t>
      </w:r>
      <w:r>
        <w:t>%)</w:t>
      </w:r>
      <w:r>
        <w:rPr>
          <w:spacing w:val="19"/>
        </w:rPr>
        <w:t xml:space="preserve"> </w:t>
      </w:r>
      <w:r>
        <w:t>in</w:t>
      </w:r>
      <w:r>
        <w:rPr>
          <w:spacing w:val="18"/>
        </w:rPr>
        <w:t xml:space="preserve"> </w:t>
      </w:r>
      <w:r>
        <w:t>the</w:t>
      </w:r>
      <w:r>
        <w:rPr>
          <w:spacing w:val="18"/>
        </w:rPr>
        <w:t xml:space="preserve"> </w:t>
      </w:r>
      <w:r>
        <w:t>denosumab</w:t>
      </w:r>
      <w:r>
        <w:rPr>
          <w:spacing w:val="16"/>
        </w:rPr>
        <w:t xml:space="preserve"> </w:t>
      </w:r>
      <w:r>
        <w:t>and 4 patients (0.1 %) in the placebo groups.</w:t>
      </w:r>
      <w:r>
        <w:rPr>
          <w:spacing w:val="40"/>
        </w:rPr>
        <w:t xml:space="preserve"> </w:t>
      </w:r>
      <w:r>
        <w:t xml:space="preserve">An increased incidence has not been observed in </w:t>
      </w:r>
      <w:proofErr w:type="spellStart"/>
      <w:proofErr w:type="gramStart"/>
      <w:r>
        <w:t>randomised</w:t>
      </w:r>
      <w:proofErr w:type="spellEnd"/>
      <w:proofErr w:type="gramEnd"/>
      <w:r>
        <w:t xml:space="preserve"> controlled trials in the oncology setting.</w:t>
      </w:r>
    </w:p>
    <w:p w14:paraId="25AA718E" w14:textId="77777777" w:rsidR="00AE135B" w:rsidRDefault="00EE5424">
      <w:pPr>
        <w:pStyle w:val="BodyText"/>
        <w:spacing w:before="119"/>
      </w:pPr>
      <w:proofErr w:type="spellStart"/>
      <w:r>
        <w:rPr>
          <w:spacing w:val="-2"/>
          <w:u w:val="single"/>
        </w:rPr>
        <w:t>Hypercalcaemia</w:t>
      </w:r>
      <w:proofErr w:type="spellEnd"/>
    </w:p>
    <w:p w14:paraId="16D309DD" w14:textId="77777777" w:rsidR="00AE135B" w:rsidRDefault="00EE5424">
      <w:pPr>
        <w:pStyle w:val="BodyText"/>
        <w:spacing w:before="248" w:line="362" w:lineRule="auto"/>
        <w:ind w:right="119"/>
      </w:pPr>
      <w:proofErr w:type="spellStart"/>
      <w:r>
        <w:t>Hypercalcaemia</w:t>
      </w:r>
      <w:proofErr w:type="spellEnd"/>
      <w:r>
        <w:rPr>
          <w:spacing w:val="-14"/>
        </w:rPr>
        <w:t xml:space="preserve"> </w:t>
      </w:r>
      <w:r>
        <w:t>has</w:t>
      </w:r>
      <w:r>
        <w:rPr>
          <w:spacing w:val="-13"/>
        </w:rPr>
        <w:t xml:space="preserve"> </w:t>
      </w:r>
      <w:r>
        <w:t>been</w:t>
      </w:r>
      <w:r>
        <w:rPr>
          <w:spacing w:val="-14"/>
        </w:rPr>
        <w:t xml:space="preserve"> </w:t>
      </w:r>
      <w:r>
        <w:t>observed</w:t>
      </w:r>
      <w:r>
        <w:rPr>
          <w:spacing w:val="-14"/>
        </w:rPr>
        <w:t xml:space="preserve"> </w:t>
      </w:r>
      <w:r>
        <w:t>following</w:t>
      </w:r>
      <w:r>
        <w:rPr>
          <w:spacing w:val="-13"/>
        </w:rPr>
        <w:t xml:space="preserve"> </w:t>
      </w:r>
      <w:r>
        <w:t>treatment</w:t>
      </w:r>
      <w:r>
        <w:rPr>
          <w:spacing w:val="-12"/>
        </w:rPr>
        <w:t xml:space="preserve"> </w:t>
      </w:r>
      <w:r>
        <w:t>discontinuation</w:t>
      </w:r>
      <w:r>
        <w:rPr>
          <w:spacing w:val="-13"/>
        </w:rPr>
        <w:t xml:space="preserve"> </w:t>
      </w:r>
      <w:r>
        <w:t>in</w:t>
      </w:r>
      <w:r>
        <w:rPr>
          <w:spacing w:val="-13"/>
        </w:rPr>
        <w:t xml:space="preserve"> </w:t>
      </w:r>
      <w:r>
        <w:t>patients</w:t>
      </w:r>
      <w:r>
        <w:rPr>
          <w:spacing w:val="-12"/>
        </w:rPr>
        <w:t xml:space="preserve"> </w:t>
      </w:r>
      <w:r>
        <w:t>with</w:t>
      </w:r>
      <w:r>
        <w:rPr>
          <w:spacing w:val="-13"/>
        </w:rPr>
        <w:t xml:space="preserve"> </w:t>
      </w:r>
      <w:r>
        <w:t>growing</w:t>
      </w:r>
      <w:r>
        <w:rPr>
          <w:spacing w:val="-15"/>
        </w:rPr>
        <w:t xml:space="preserve"> </w:t>
      </w:r>
      <w:r>
        <w:t>skeletons (a patient population for which denosumab is not indicated).</w:t>
      </w:r>
    </w:p>
    <w:p w14:paraId="392E1C62" w14:textId="77777777" w:rsidR="00AE135B" w:rsidRDefault="00EE5424">
      <w:pPr>
        <w:pStyle w:val="BodyText"/>
        <w:spacing w:before="113"/>
      </w:pPr>
      <w:r>
        <w:rPr>
          <w:spacing w:val="-2"/>
          <w:u w:val="single"/>
        </w:rPr>
        <w:t>Multiple</w:t>
      </w:r>
      <w:r>
        <w:rPr>
          <w:spacing w:val="-4"/>
          <w:u w:val="single"/>
        </w:rPr>
        <w:t xml:space="preserve"> </w:t>
      </w:r>
      <w:r>
        <w:rPr>
          <w:spacing w:val="-2"/>
          <w:u w:val="single"/>
        </w:rPr>
        <w:t>vertebral</w:t>
      </w:r>
      <w:r>
        <w:rPr>
          <w:spacing w:val="-5"/>
          <w:u w:val="single"/>
        </w:rPr>
        <w:t xml:space="preserve"> </w:t>
      </w:r>
      <w:r>
        <w:rPr>
          <w:spacing w:val="-2"/>
          <w:u w:val="single"/>
        </w:rPr>
        <w:t>fractures</w:t>
      </w:r>
    </w:p>
    <w:p w14:paraId="39039ED0" w14:textId="77777777" w:rsidR="00AE135B" w:rsidRDefault="00EE5424">
      <w:pPr>
        <w:pStyle w:val="BodyText"/>
        <w:spacing w:before="250" w:line="357" w:lineRule="auto"/>
        <w:ind w:right="119"/>
      </w:pPr>
      <w:r>
        <w:t>Multiple</w:t>
      </w:r>
      <w:r>
        <w:rPr>
          <w:spacing w:val="-4"/>
        </w:rPr>
        <w:t xml:space="preserve"> </w:t>
      </w:r>
      <w:r>
        <w:t>vertebral</w:t>
      </w:r>
      <w:r>
        <w:rPr>
          <w:spacing w:val="-6"/>
        </w:rPr>
        <w:t xml:space="preserve"> </w:t>
      </w:r>
      <w:r>
        <w:t>fractures,</w:t>
      </w:r>
      <w:r>
        <w:rPr>
          <w:spacing w:val="-2"/>
        </w:rPr>
        <w:t xml:space="preserve"> </w:t>
      </w:r>
      <w:r>
        <w:t>not</w:t>
      </w:r>
      <w:r>
        <w:rPr>
          <w:spacing w:val="-4"/>
        </w:rPr>
        <w:t xml:space="preserve"> </w:t>
      </w:r>
      <w:r>
        <w:t>due</w:t>
      </w:r>
      <w:r>
        <w:rPr>
          <w:spacing w:val="-4"/>
        </w:rPr>
        <w:t xml:space="preserve"> </w:t>
      </w:r>
      <w:r>
        <w:t>to</w:t>
      </w:r>
      <w:r>
        <w:rPr>
          <w:spacing w:val="-1"/>
        </w:rPr>
        <w:t xml:space="preserve"> </w:t>
      </w:r>
      <w:r>
        <w:t>bone</w:t>
      </w:r>
      <w:r>
        <w:rPr>
          <w:spacing w:val="-6"/>
        </w:rPr>
        <w:t xml:space="preserve"> </w:t>
      </w:r>
      <w:r>
        <w:t>metastases,</w:t>
      </w:r>
      <w:r>
        <w:rPr>
          <w:spacing w:val="-1"/>
        </w:rPr>
        <w:t xml:space="preserve"> </w:t>
      </w:r>
      <w:r>
        <w:t>have</w:t>
      </w:r>
      <w:r>
        <w:rPr>
          <w:spacing w:val="-3"/>
        </w:rPr>
        <w:t xml:space="preserve"> </w:t>
      </w:r>
      <w:r>
        <w:t>occurred</w:t>
      </w:r>
      <w:r>
        <w:rPr>
          <w:spacing w:val="-5"/>
        </w:rPr>
        <w:t xml:space="preserve"> </w:t>
      </w:r>
      <w:r>
        <w:t>in</w:t>
      </w:r>
      <w:r>
        <w:rPr>
          <w:spacing w:val="-5"/>
        </w:rPr>
        <w:t xml:space="preserve"> </w:t>
      </w:r>
      <w:r>
        <w:t>patients</w:t>
      </w:r>
      <w:r>
        <w:rPr>
          <w:spacing w:val="-1"/>
        </w:rPr>
        <w:t xml:space="preserve"> </w:t>
      </w:r>
      <w:r>
        <w:t>with</w:t>
      </w:r>
      <w:r>
        <w:rPr>
          <w:spacing w:val="-6"/>
        </w:rPr>
        <w:t xml:space="preserve"> </w:t>
      </w:r>
      <w:r>
        <w:t>risk</w:t>
      </w:r>
      <w:r>
        <w:rPr>
          <w:spacing w:val="-2"/>
        </w:rPr>
        <w:t xml:space="preserve"> </w:t>
      </w:r>
      <w:r>
        <w:t>factors</w:t>
      </w:r>
      <w:r>
        <w:rPr>
          <w:spacing w:val="-2"/>
        </w:rPr>
        <w:t xml:space="preserve"> </w:t>
      </w:r>
      <w:r>
        <w:t>such as osteoporosis or prior fractures following treatment discontinuation.</w:t>
      </w:r>
    </w:p>
    <w:p w14:paraId="5AF068C7" w14:textId="77777777" w:rsidR="00AE135B" w:rsidRDefault="00EE5424">
      <w:pPr>
        <w:pStyle w:val="BodyText"/>
        <w:spacing w:before="124"/>
      </w:pPr>
      <w:r>
        <w:rPr>
          <w:spacing w:val="-4"/>
          <w:u w:val="single"/>
        </w:rPr>
        <w:t>Post-marketing</w:t>
      </w:r>
      <w:r>
        <w:rPr>
          <w:spacing w:val="15"/>
          <w:u w:val="single"/>
        </w:rPr>
        <w:t xml:space="preserve"> </w:t>
      </w:r>
      <w:r>
        <w:rPr>
          <w:spacing w:val="-4"/>
          <w:u w:val="single"/>
        </w:rPr>
        <w:t>experience</w:t>
      </w:r>
    </w:p>
    <w:p w14:paraId="53F0849E" w14:textId="77777777" w:rsidR="00AE135B" w:rsidRDefault="00EE5424">
      <w:pPr>
        <w:pStyle w:val="BodyText"/>
        <w:spacing w:before="245"/>
      </w:pPr>
      <w:r>
        <w:rPr>
          <w:spacing w:val="-2"/>
        </w:rPr>
        <w:t>The</w:t>
      </w:r>
      <w:r>
        <w:rPr>
          <w:spacing w:val="-9"/>
        </w:rPr>
        <w:t xml:space="preserve"> </w:t>
      </w:r>
      <w:r>
        <w:rPr>
          <w:spacing w:val="-2"/>
        </w:rPr>
        <w:t>following</w:t>
      </w:r>
      <w:r>
        <w:rPr>
          <w:spacing w:val="-6"/>
        </w:rPr>
        <w:t xml:space="preserve"> </w:t>
      </w:r>
      <w:r>
        <w:rPr>
          <w:spacing w:val="-2"/>
        </w:rPr>
        <w:t>adverse</w:t>
      </w:r>
      <w:r>
        <w:rPr>
          <w:spacing w:val="-7"/>
        </w:rPr>
        <w:t xml:space="preserve"> </w:t>
      </w:r>
      <w:r>
        <w:rPr>
          <w:spacing w:val="-2"/>
        </w:rPr>
        <w:t>reactions</w:t>
      </w:r>
      <w:r>
        <w:rPr>
          <w:spacing w:val="-4"/>
        </w:rPr>
        <w:t xml:space="preserve"> </w:t>
      </w:r>
      <w:r>
        <w:rPr>
          <w:spacing w:val="-2"/>
        </w:rPr>
        <w:t>have</w:t>
      </w:r>
      <w:r>
        <w:rPr>
          <w:spacing w:val="-10"/>
        </w:rPr>
        <w:t xml:space="preserve"> </w:t>
      </w:r>
      <w:r>
        <w:rPr>
          <w:spacing w:val="-2"/>
        </w:rPr>
        <w:t>been</w:t>
      </w:r>
      <w:r>
        <w:rPr>
          <w:spacing w:val="-6"/>
        </w:rPr>
        <w:t xml:space="preserve"> </w:t>
      </w:r>
      <w:r>
        <w:rPr>
          <w:spacing w:val="-2"/>
        </w:rPr>
        <w:t>identified</w:t>
      </w:r>
      <w:r>
        <w:rPr>
          <w:spacing w:val="-5"/>
        </w:rPr>
        <w:t xml:space="preserve"> </w:t>
      </w:r>
      <w:r>
        <w:rPr>
          <w:spacing w:val="-2"/>
        </w:rPr>
        <w:t>during</w:t>
      </w:r>
      <w:r>
        <w:rPr>
          <w:spacing w:val="-6"/>
        </w:rPr>
        <w:t xml:space="preserve"> </w:t>
      </w:r>
      <w:r>
        <w:rPr>
          <w:spacing w:val="-2"/>
        </w:rPr>
        <w:t>post</w:t>
      </w:r>
      <w:r>
        <w:rPr>
          <w:spacing w:val="-5"/>
        </w:rPr>
        <w:t xml:space="preserve"> </w:t>
      </w:r>
      <w:r>
        <w:rPr>
          <w:spacing w:val="-2"/>
        </w:rPr>
        <w:t>approval</w:t>
      </w:r>
      <w:r>
        <w:rPr>
          <w:spacing w:val="-10"/>
        </w:rPr>
        <w:t xml:space="preserve"> </w:t>
      </w:r>
      <w:r>
        <w:rPr>
          <w:spacing w:val="-2"/>
        </w:rPr>
        <w:t>use</w:t>
      </w:r>
      <w:r>
        <w:rPr>
          <w:spacing w:val="-7"/>
        </w:rPr>
        <w:t xml:space="preserve"> </w:t>
      </w:r>
      <w:r>
        <w:rPr>
          <w:spacing w:val="-2"/>
        </w:rPr>
        <w:t>of</w:t>
      </w:r>
      <w:r>
        <w:rPr>
          <w:spacing w:val="-7"/>
        </w:rPr>
        <w:t xml:space="preserve"> </w:t>
      </w:r>
      <w:r>
        <w:rPr>
          <w:spacing w:val="-2"/>
        </w:rPr>
        <w:t>denosumab:</w:t>
      </w:r>
    </w:p>
    <w:p w14:paraId="4D1C7192" w14:textId="77777777" w:rsidR="00AE135B" w:rsidRDefault="00EE5424">
      <w:pPr>
        <w:pStyle w:val="BodyText"/>
        <w:spacing w:before="228" w:line="360" w:lineRule="auto"/>
        <w:ind w:right="173"/>
        <w:jc w:val="both"/>
      </w:pPr>
      <w:r>
        <w:t>Rare</w:t>
      </w:r>
      <w:r>
        <w:rPr>
          <w:spacing w:val="-13"/>
        </w:rPr>
        <w:t xml:space="preserve"> </w:t>
      </w:r>
      <w:r>
        <w:t>events</w:t>
      </w:r>
      <w:r>
        <w:rPr>
          <w:spacing w:val="-10"/>
        </w:rPr>
        <w:t xml:space="preserve"> </w:t>
      </w:r>
      <w:r>
        <w:t>of</w:t>
      </w:r>
      <w:r>
        <w:rPr>
          <w:spacing w:val="-11"/>
        </w:rPr>
        <w:t xml:space="preserve"> </w:t>
      </w:r>
      <w:r>
        <w:t>severe</w:t>
      </w:r>
      <w:r>
        <w:rPr>
          <w:spacing w:val="-12"/>
        </w:rPr>
        <w:t xml:space="preserve"> </w:t>
      </w:r>
      <w:r>
        <w:t>symptomatic</w:t>
      </w:r>
      <w:r>
        <w:rPr>
          <w:spacing w:val="-9"/>
        </w:rPr>
        <w:t xml:space="preserve"> </w:t>
      </w:r>
      <w:proofErr w:type="spellStart"/>
      <w:r>
        <w:t>hypocalcaemia</w:t>
      </w:r>
      <w:proofErr w:type="spellEnd"/>
      <w:r>
        <w:rPr>
          <w:spacing w:val="-10"/>
        </w:rPr>
        <w:t xml:space="preserve"> </w:t>
      </w:r>
      <w:r>
        <w:t>(including</w:t>
      </w:r>
      <w:r>
        <w:rPr>
          <w:spacing w:val="-10"/>
        </w:rPr>
        <w:t xml:space="preserve"> </w:t>
      </w:r>
      <w:r>
        <w:t>fatal</w:t>
      </w:r>
      <w:r>
        <w:rPr>
          <w:spacing w:val="-11"/>
        </w:rPr>
        <w:t xml:space="preserve"> </w:t>
      </w:r>
      <w:r>
        <w:t>cases)</w:t>
      </w:r>
      <w:r>
        <w:rPr>
          <w:spacing w:val="-9"/>
        </w:rPr>
        <w:t xml:space="preserve"> </w:t>
      </w:r>
      <w:r>
        <w:t>have</w:t>
      </w:r>
      <w:r>
        <w:rPr>
          <w:spacing w:val="-9"/>
        </w:rPr>
        <w:t xml:space="preserve"> </w:t>
      </w:r>
      <w:r>
        <w:t>been</w:t>
      </w:r>
      <w:r>
        <w:rPr>
          <w:spacing w:val="-6"/>
        </w:rPr>
        <w:t xml:space="preserve"> </w:t>
      </w:r>
      <w:r>
        <w:t>reported</w:t>
      </w:r>
      <w:r>
        <w:rPr>
          <w:spacing w:val="-8"/>
        </w:rPr>
        <w:t xml:space="preserve"> </w:t>
      </w:r>
      <w:r>
        <w:t>in</w:t>
      </w:r>
      <w:r>
        <w:rPr>
          <w:spacing w:val="-9"/>
        </w:rPr>
        <w:t xml:space="preserve"> </w:t>
      </w:r>
      <w:r>
        <w:t>patients</w:t>
      </w:r>
      <w:r>
        <w:rPr>
          <w:spacing w:val="-7"/>
        </w:rPr>
        <w:t xml:space="preserve"> </w:t>
      </w:r>
      <w:r>
        <w:t xml:space="preserve">at increased risk of </w:t>
      </w:r>
      <w:proofErr w:type="spellStart"/>
      <w:r>
        <w:t>hypocalcaemia</w:t>
      </w:r>
      <w:proofErr w:type="spellEnd"/>
      <w:r>
        <w:t xml:space="preserve">. Examples of the clinical manifestations of severe symptomatic </w:t>
      </w:r>
      <w:proofErr w:type="spellStart"/>
      <w:r>
        <w:t>hypocalcaemia</w:t>
      </w:r>
      <w:proofErr w:type="spellEnd"/>
      <w:r>
        <w:t xml:space="preserve"> have included QT interval prolongation, tetany, seizures and altered mental status (see Section 4.4 Special warnings and precautions for use, Vitamin supplementation and </w:t>
      </w:r>
      <w:proofErr w:type="spellStart"/>
      <w:r>
        <w:t>hypocalcaemia</w:t>
      </w:r>
      <w:proofErr w:type="spellEnd"/>
      <w:r>
        <w:t xml:space="preserve">). Symptoms of </w:t>
      </w:r>
      <w:proofErr w:type="spellStart"/>
      <w:r>
        <w:t>hypocalcaemia</w:t>
      </w:r>
      <w:proofErr w:type="spellEnd"/>
      <w:r>
        <w:t xml:space="preserve"> in denosumab clinical studies included </w:t>
      </w:r>
      <w:proofErr w:type="spellStart"/>
      <w:r>
        <w:t>paraesthesias</w:t>
      </w:r>
      <w:proofErr w:type="spellEnd"/>
      <w:r>
        <w:t xml:space="preserve"> or muscle stiffness, twitching, spasms and muscle cramps.</w:t>
      </w:r>
    </w:p>
    <w:p w14:paraId="573DD584" w14:textId="77777777" w:rsidR="00AE135B" w:rsidRDefault="00EE5424">
      <w:pPr>
        <w:pStyle w:val="BodyText"/>
        <w:spacing w:before="120" w:line="360" w:lineRule="auto"/>
        <w:ind w:right="5198"/>
      </w:pPr>
      <w:r>
        <w:t>Hypersensitivity,</w:t>
      </w:r>
      <w:r>
        <w:rPr>
          <w:spacing w:val="-14"/>
        </w:rPr>
        <w:t xml:space="preserve"> </w:t>
      </w:r>
      <w:r>
        <w:t>including</w:t>
      </w:r>
      <w:r>
        <w:rPr>
          <w:spacing w:val="-13"/>
        </w:rPr>
        <w:t xml:space="preserve"> </w:t>
      </w:r>
      <w:r>
        <w:t>anaphylactic</w:t>
      </w:r>
      <w:r>
        <w:rPr>
          <w:spacing w:val="-14"/>
        </w:rPr>
        <w:t xml:space="preserve"> </w:t>
      </w:r>
      <w:r>
        <w:t>reactions. Musculoskeletal pain, including severe cases.</w:t>
      </w:r>
    </w:p>
    <w:p w14:paraId="7A34FCDF" w14:textId="77777777" w:rsidR="00AE135B" w:rsidRDefault="00EE5424">
      <w:pPr>
        <w:pStyle w:val="BodyText"/>
        <w:spacing w:line="360" w:lineRule="auto"/>
        <w:ind w:right="478"/>
      </w:pPr>
      <w:r>
        <w:t>Uncommon</w:t>
      </w:r>
      <w:r>
        <w:rPr>
          <w:spacing w:val="-5"/>
        </w:rPr>
        <w:t xml:space="preserve"> </w:t>
      </w:r>
      <w:r>
        <w:t>events</w:t>
      </w:r>
      <w:r>
        <w:rPr>
          <w:spacing w:val="-4"/>
        </w:rPr>
        <w:t xml:space="preserve"> </w:t>
      </w:r>
      <w:r>
        <w:t>of</w:t>
      </w:r>
      <w:r>
        <w:rPr>
          <w:spacing w:val="-2"/>
        </w:rPr>
        <w:t xml:space="preserve"> </w:t>
      </w:r>
      <w:r>
        <w:t>injection</w:t>
      </w:r>
      <w:r>
        <w:rPr>
          <w:spacing w:val="-3"/>
        </w:rPr>
        <w:t xml:space="preserve"> </w:t>
      </w:r>
      <w:r>
        <w:t>site</w:t>
      </w:r>
      <w:r>
        <w:rPr>
          <w:spacing w:val="-2"/>
        </w:rPr>
        <w:t xml:space="preserve"> </w:t>
      </w:r>
      <w:r>
        <w:t>reactions</w:t>
      </w:r>
      <w:r>
        <w:rPr>
          <w:spacing w:val="-2"/>
        </w:rPr>
        <w:t xml:space="preserve"> </w:t>
      </w:r>
      <w:r>
        <w:t>(including</w:t>
      </w:r>
      <w:r>
        <w:rPr>
          <w:spacing w:val="-3"/>
        </w:rPr>
        <w:t xml:space="preserve"> </w:t>
      </w:r>
      <w:r>
        <w:t>injection</w:t>
      </w:r>
      <w:r>
        <w:rPr>
          <w:spacing w:val="-3"/>
        </w:rPr>
        <w:t xml:space="preserve"> </w:t>
      </w:r>
      <w:r>
        <w:t>site</w:t>
      </w:r>
      <w:r>
        <w:rPr>
          <w:spacing w:val="-4"/>
        </w:rPr>
        <w:t xml:space="preserve"> </w:t>
      </w:r>
      <w:r>
        <w:t>pain)</w:t>
      </w:r>
      <w:r>
        <w:rPr>
          <w:spacing w:val="-2"/>
        </w:rPr>
        <w:t xml:space="preserve"> </w:t>
      </w:r>
      <w:r>
        <w:t>have</w:t>
      </w:r>
      <w:r>
        <w:rPr>
          <w:spacing w:val="-2"/>
        </w:rPr>
        <w:t xml:space="preserve"> </w:t>
      </w:r>
      <w:r>
        <w:t>been</w:t>
      </w:r>
      <w:r>
        <w:rPr>
          <w:spacing w:val="-5"/>
        </w:rPr>
        <w:t xml:space="preserve"> </w:t>
      </w:r>
      <w:r>
        <w:t>observed. Lichenoid drug eruptions (e.g., lichen planus-like reactions) have been observed uncommonly. Alopecia has been observed commonly.</w:t>
      </w:r>
    </w:p>
    <w:p w14:paraId="5DD5E1A2" w14:textId="77777777" w:rsidR="00AE135B" w:rsidRDefault="00EE5424">
      <w:pPr>
        <w:pStyle w:val="BodyText"/>
        <w:spacing w:before="120"/>
        <w:rPr>
          <w:spacing w:val="-2"/>
        </w:rPr>
      </w:pPr>
      <w:r>
        <w:rPr>
          <w:spacing w:val="-2"/>
        </w:rPr>
        <w:t>There</w:t>
      </w:r>
      <w:r>
        <w:rPr>
          <w:spacing w:val="-4"/>
        </w:rPr>
        <w:t xml:space="preserve"> </w:t>
      </w:r>
      <w:r>
        <w:rPr>
          <w:spacing w:val="-2"/>
        </w:rPr>
        <w:t>have</w:t>
      </w:r>
      <w:r>
        <w:rPr>
          <w:spacing w:val="-3"/>
        </w:rPr>
        <w:t xml:space="preserve"> </w:t>
      </w:r>
      <w:r>
        <w:rPr>
          <w:spacing w:val="-2"/>
        </w:rPr>
        <w:t>been</w:t>
      </w:r>
      <w:r>
        <w:rPr>
          <w:spacing w:val="-5"/>
        </w:rPr>
        <w:t xml:space="preserve"> </w:t>
      </w:r>
      <w:r>
        <w:rPr>
          <w:spacing w:val="-2"/>
        </w:rPr>
        <w:t>reports</w:t>
      </w:r>
      <w:r>
        <w:rPr>
          <w:spacing w:val="-5"/>
        </w:rPr>
        <w:t xml:space="preserve"> </w:t>
      </w:r>
      <w:r>
        <w:rPr>
          <w:spacing w:val="-2"/>
        </w:rPr>
        <w:t>of</w:t>
      </w:r>
      <w:r>
        <w:rPr>
          <w:spacing w:val="-5"/>
        </w:rPr>
        <w:t xml:space="preserve"> </w:t>
      </w:r>
      <w:r>
        <w:rPr>
          <w:spacing w:val="-2"/>
        </w:rPr>
        <w:t>osteonecrosis</w:t>
      </w:r>
      <w:r>
        <w:rPr>
          <w:spacing w:val="-1"/>
        </w:rPr>
        <w:t xml:space="preserve"> </w:t>
      </w:r>
      <w:r>
        <w:rPr>
          <w:spacing w:val="-2"/>
        </w:rPr>
        <w:t>of</w:t>
      </w:r>
      <w:r>
        <w:rPr>
          <w:spacing w:val="-5"/>
        </w:rPr>
        <w:t xml:space="preserve"> </w:t>
      </w:r>
      <w:r>
        <w:rPr>
          <w:spacing w:val="-2"/>
        </w:rPr>
        <w:t>the</w:t>
      </w:r>
      <w:r>
        <w:rPr>
          <w:spacing w:val="-7"/>
        </w:rPr>
        <w:t xml:space="preserve"> </w:t>
      </w:r>
      <w:r>
        <w:rPr>
          <w:spacing w:val="-2"/>
        </w:rPr>
        <w:t>external</w:t>
      </w:r>
      <w:r>
        <w:rPr>
          <w:spacing w:val="-1"/>
        </w:rPr>
        <w:t xml:space="preserve"> </w:t>
      </w:r>
      <w:r>
        <w:rPr>
          <w:spacing w:val="-2"/>
        </w:rPr>
        <w:t>auditory</w:t>
      </w:r>
      <w:r>
        <w:rPr>
          <w:spacing w:val="-3"/>
        </w:rPr>
        <w:t xml:space="preserve"> </w:t>
      </w:r>
      <w:r>
        <w:rPr>
          <w:spacing w:val="-2"/>
        </w:rPr>
        <w:t>canal in patients</w:t>
      </w:r>
      <w:r>
        <w:rPr>
          <w:spacing w:val="-4"/>
        </w:rPr>
        <w:t xml:space="preserve"> </w:t>
      </w:r>
      <w:r>
        <w:rPr>
          <w:spacing w:val="-2"/>
        </w:rPr>
        <w:t>using</w:t>
      </w:r>
      <w:r>
        <w:rPr>
          <w:spacing w:val="2"/>
        </w:rPr>
        <w:t xml:space="preserve"> </w:t>
      </w:r>
      <w:r>
        <w:rPr>
          <w:spacing w:val="-2"/>
        </w:rPr>
        <w:t>denosumab.</w:t>
      </w:r>
    </w:p>
    <w:p w14:paraId="702C016A" w14:textId="77777777" w:rsidR="00AE135B" w:rsidRDefault="00EE5424" w:rsidP="00EE5424">
      <w:pPr>
        <w:pStyle w:val="Heading4"/>
        <w:pageBreakBefore/>
      </w:pPr>
      <w:r>
        <w:rPr>
          <w:spacing w:val="-2"/>
        </w:rPr>
        <w:lastRenderedPageBreak/>
        <w:t>Reporting</w:t>
      </w:r>
      <w:r>
        <w:rPr>
          <w:spacing w:val="-11"/>
        </w:rPr>
        <w:t xml:space="preserve"> </w:t>
      </w:r>
      <w:r>
        <w:rPr>
          <w:spacing w:val="-2"/>
        </w:rPr>
        <w:t>suspected</w:t>
      </w:r>
      <w:r>
        <w:rPr>
          <w:spacing w:val="-10"/>
        </w:rPr>
        <w:t xml:space="preserve"> </w:t>
      </w:r>
      <w:r>
        <w:rPr>
          <w:spacing w:val="-2"/>
        </w:rPr>
        <w:t>adverse</w:t>
      </w:r>
      <w:r>
        <w:rPr>
          <w:spacing w:val="-9"/>
        </w:rPr>
        <w:t xml:space="preserve"> </w:t>
      </w:r>
      <w:r>
        <w:rPr>
          <w:spacing w:val="-2"/>
        </w:rPr>
        <w:t>effects</w:t>
      </w:r>
    </w:p>
    <w:p w14:paraId="633F3751" w14:textId="77777777" w:rsidR="00AE135B" w:rsidRDefault="00EE5424">
      <w:pPr>
        <w:pStyle w:val="BodyText"/>
        <w:spacing w:before="198" w:line="360" w:lineRule="auto"/>
        <w:ind w:left="266" w:right="114"/>
        <w:jc w:val="both"/>
      </w:pPr>
      <w:r>
        <w:t>Reporting suspected adverse reactions after registration of the medicinal product is important.</w:t>
      </w:r>
      <w:r>
        <w:rPr>
          <w:spacing w:val="40"/>
        </w:rPr>
        <w:t xml:space="preserve"> </w:t>
      </w:r>
      <w:r>
        <w:t>It allows continued monitoring of the benefit-risk balance of the medicinal product.</w:t>
      </w:r>
      <w:r>
        <w:rPr>
          <w:spacing w:val="40"/>
        </w:rPr>
        <w:t xml:space="preserve"> </w:t>
      </w:r>
      <w:r>
        <w:t xml:space="preserve">Healthcare professionals are asked to report any suspected adverse reactions at </w:t>
      </w:r>
      <w:hyperlink r:id="rId7">
        <w:r>
          <w:rPr>
            <w:color w:val="0000FF"/>
            <w:u w:val="single" w:color="0000FF"/>
          </w:rPr>
          <w:t>http://www.tga.gov.au/reporting-problems.</w:t>
        </w:r>
      </w:hyperlink>
    </w:p>
    <w:p w14:paraId="0B3A095A" w14:textId="77777777" w:rsidR="00AE135B" w:rsidRDefault="00AE135B">
      <w:pPr>
        <w:pStyle w:val="BodyText"/>
        <w:spacing w:before="38"/>
        <w:ind w:left="0"/>
        <w:rPr>
          <w:sz w:val="24"/>
        </w:rPr>
      </w:pPr>
    </w:p>
    <w:p w14:paraId="4C857CE3" w14:textId="77777777" w:rsidR="00AE135B" w:rsidRDefault="00EE5424">
      <w:pPr>
        <w:pStyle w:val="Heading2"/>
        <w:numPr>
          <w:ilvl w:val="1"/>
          <w:numId w:val="3"/>
        </w:numPr>
        <w:tabs>
          <w:tab w:val="left" w:pos="1106"/>
        </w:tabs>
        <w:ind w:hanging="799"/>
      </w:pPr>
      <w:r>
        <w:rPr>
          <w:spacing w:val="-2"/>
        </w:rPr>
        <w:t>Overdose</w:t>
      </w:r>
    </w:p>
    <w:p w14:paraId="3814FD56" w14:textId="77777777" w:rsidR="00AE135B" w:rsidRDefault="00EE5424">
      <w:pPr>
        <w:pStyle w:val="BodyText"/>
        <w:spacing w:before="119" w:line="360" w:lineRule="auto"/>
        <w:ind w:right="179"/>
        <w:jc w:val="both"/>
      </w:pPr>
      <w:r>
        <w:t>There is no experience with overdosage with denosumab.</w:t>
      </w:r>
      <w:r>
        <w:rPr>
          <w:spacing w:val="40"/>
        </w:rPr>
        <w:t xml:space="preserve"> </w:t>
      </w:r>
      <w:r>
        <w:t>Denosumab has been administered in clinical studies using doses up to 180 mg every 4 weeks (cumulative doses up to 1080 mg over 6 months), and 120 mg weekly for 3 weeks.</w:t>
      </w:r>
    </w:p>
    <w:p w14:paraId="1847A329" w14:textId="77777777" w:rsidR="00AE135B" w:rsidRDefault="00EE5424">
      <w:pPr>
        <w:pStyle w:val="BodyText"/>
        <w:spacing w:before="122" w:line="357" w:lineRule="auto"/>
        <w:ind w:right="184"/>
        <w:jc w:val="both"/>
      </w:pPr>
      <w:r>
        <w:t xml:space="preserve">For information on the management of overdose, contact the Poison Information Centre on 131126 </w:t>
      </w:r>
      <w:r>
        <w:rPr>
          <w:spacing w:val="-2"/>
        </w:rPr>
        <w:t>(Australia).</w:t>
      </w:r>
    </w:p>
    <w:p w14:paraId="0F4B2A59" w14:textId="77777777" w:rsidR="00AE135B" w:rsidRDefault="00AE135B">
      <w:pPr>
        <w:pStyle w:val="BodyText"/>
        <w:ind w:left="0"/>
      </w:pPr>
    </w:p>
    <w:p w14:paraId="51A452A0" w14:textId="77777777" w:rsidR="00AE135B" w:rsidRDefault="00AE135B">
      <w:pPr>
        <w:pStyle w:val="BodyText"/>
        <w:spacing w:before="106"/>
        <w:ind w:left="0"/>
      </w:pPr>
    </w:p>
    <w:p w14:paraId="2802AA1B" w14:textId="77777777" w:rsidR="00AE135B" w:rsidRDefault="00EE5424">
      <w:pPr>
        <w:pStyle w:val="Heading1"/>
        <w:numPr>
          <w:ilvl w:val="0"/>
          <w:numId w:val="3"/>
        </w:numPr>
        <w:tabs>
          <w:tab w:val="left" w:pos="1106"/>
        </w:tabs>
        <w:spacing w:before="1"/>
        <w:ind w:hanging="799"/>
      </w:pPr>
      <w:r>
        <w:rPr>
          <w:spacing w:val="-4"/>
        </w:rPr>
        <w:t>PHARMACOLOGICAL</w:t>
      </w:r>
      <w:r>
        <w:t xml:space="preserve"> </w:t>
      </w:r>
      <w:r>
        <w:rPr>
          <w:spacing w:val="-2"/>
        </w:rPr>
        <w:t>PROPERTIES</w:t>
      </w:r>
    </w:p>
    <w:p w14:paraId="09448975" w14:textId="77777777" w:rsidR="00AE135B" w:rsidRDefault="00EE5424">
      <w:pPr>
        <w:pStyle w:val="Heading2"/>
        <w:numPr>
          <w:ilvl w:val="1"/>
          <w:numId w:val="3"/>
        </w:numPr>
        <w:tabs>
          <w:tab w:val="left" w:pos="1106"/>
        </w:tabs>
        <w:spacing w:before="126"/>
        <w:ind w:hanging="799"/>
      </w:pPr>
      <w:r>
        <w:rPr>
          <w:spacing w:val="-2"/>
        </w:rPr>
        <w:t>Pharmacodynamic</w:t>
      </w:r>
      <w:r>
        <w:rPr>
          <w:spacing w:val="4"/>
        </w:rPr>
        <w:t xml:space="preserve"> </w:t>
      </w:r>
      <w:r>
        <w:rPr>
          <w:spacing w:val="-2"/>
        </w:rPr>
        <w:t>properties</w:t>
      </w:r>
    </w:p>
    <w:p w14:paraId="2559F119" w14:textId="77777777" w:rsidR="00AE135B" w:rsidRDefault="00EE5424">
      <w:pPr>
        <w:pStyle w:val="BodyText"/>
        <w:spacing w:before="118"/>
        <w:jc w:val="both"/>
      </w:pPr>
      <w:r>
        <w:rPr>
          <w:spacing w:val="-2"/>
          <w:u w:val="single"/>
        </w:rPr>
        <w:t>Mechanism</w:t>
      </w:r>
      <w:r>
        <w:rPr>
          <w:spacing w:val="-3"/>
          <w:u w:val="single"/>
        </w:rPr>
        <w:t xml:space="preserve"> </w:t>
      </w:r>
      <w:r>
        <w:rPr>
          <w:spacing w:val="-2"/>
          <w:u w:val="single"/>
        </w:rPr>
        <w:t>of</w:t>
      </w:r>
      <w:r>
        <w:rPr>
          <w:spacing w:val="-5"/>
          <w:u w:val="single"/>
        </w:rPr>
        <w:t xml:space="preserve"> </w:t>
      </w:r>
      <w:r>
        <w:rPr>
          <w:spacing w:val="-2"/>
          <w:u w:val="single"/>
        </w:rPr>
        <w:t>action</w:t>
      </w:r>
    </w:p>
    <w:p w14:paraId="06830A47" w14:textId="77777777" w:rsidR="00AE135B" w:rsidRDefault="00EE5424">
      <w:pPr>
        <w:spacing w:before="245"/>
        <w:ind w:left="307"/>
        <w:jc w:val="both"/>
        <w:rPr>
          <w:i/>
        </w:rPr>
      </w:pPr>
      <w:r>
        <w:rPr>
          <w:i/>
          <w:spacing w:val="-2"/>
        </w:rPr>
        <w:t>Bone</w:t>
      </w:r>
      <w:r>
        <w:rPr>
          <w:i/>
          <w:spacing w:val="-8"/>
        </w:rPr>
        <w:t xml:space="preserve"> </w:t>
      </w:r>
      <w:r>
        <w:rPr>
          <w:i/>
          <w:spacing w:val="-2"/>
        </w:rPr>
        <w:t>metastasis</w:t>
      </w:r>
      <w:r>
        <w:rPr>
          <w:i/>
          <w:spacing w:val="-6"/>
        </w:rPr>
        <w:t xml:space="preserve"> </w:t>
      </w:r>
      <w:r>
        <w:rPr>
          <w:i/>
          <w:spacing w:val="-2"/>
        </w:rPr>
        <w:t>from</w:t>
      </w:r>
      <w:r>
        <w:rPr>
          <w:i/>
          <w:spacing w:val="-7"/>
        </w:rPr>
        <w:t xml:space="preserve"> </w:t>
      </w:r>
      <w:r>
        <w:rPr>
          <w:i/>
          <w:spacing w:val="-2"/>
        </w:rPr>
        <w:t>solid</w:t>
      </w:r>
      <w:r>
        <w:rPr>
          <w:i/>
          <w:spacing w:val="-7"/>
        </w:rPr>
        <w:t xml:space="preserve"> </w:t>
      </w:r>
      <w:proofErr w:type="spellStart"/>
      <w:r>
        <w:rPr>
          <w:i/>
          <w:spacing w:val="-2"/>
        </w:rPr>
        <w:t>tumours</w:t>
      </w:r>
      <w:proofErr w:type="spellEnd"/>
    </w:p>
    <w:p w14:paraId="6C2DF020" w14:textId="77777777" w:rsidR="00AE135B" w:rsidRDefault="00EE5424">
      <w:pPr>
        <w:pStyle w:val="BodyText"/>
        <w:spacing w:before="248" w:line="360" w:lineRule="auto"/>
        <w:ind w:right="177"/>
        <w:jc w:val="both"/>
      </w:pPr>
      <w:r>
        <w:t>RANKL exists as a transmembrane or soluble protein.</w:t>
      </w:r>
      <w:r>
        <w:rPr>
          <w:spacing w:val="40"/>
        </w:rPr>
        <w:t xml:space="preserve"> </w:t>
      </w:r>
      <w:r>
        <w:t>RANKL is essential for the formation, function and survival of osteoclasts, the sole cell type responsible for bone resorption.</w:t>
      </w:r>
    </w:p>
    <w:p w14:paraId="3961ED84" w14:textId="77777777" w:rsidR="00AE135B" w:rsidRDefault="00EE5424">
      <w:pPr>
        <w:pStyle w:val="BodyText"/>
        <w:spacing w:before="92" w:line="360" w:lineRule="auto"/>
        <w:ind w:right="171"/>
        <w:jc w:val="both"/>
      </w:pPr>
      <w:r>
        <w:t>Increased osteoclast activity, stimulated by RANKL, is a key mediator of bone destruction in bone disease in</w:t>
      </w:r>
      <w:r>
        <w:rPr>
          <w:spacing w:val="-13"/>
        </w:rPr>
        <w:t xml:space="preserve"> </w:t>
      </w:r>
      <w:r>
        <w:t>metastatic</w:t>
      </w:r>
      <w:r>
        <w:rPr>
          <w:spacing w:val="-9"/>
        </w:rPr>
        <w:t xml:space="preserve"> </w:t>
      </w:r>
      <w:proofErr w:type="spellStart"/>
      <w:r>
        <w:t>tumours</w:t>
      </w:r>
      <w:proofErr w:type="spellEnd"/>
      <w:r>
        <w:rPr>
          <w:spacing w:val="-13"/>
        </w:rPr>
        <w:t xml:space="preserve"> </w:t>
      </w:r>
      <w:r>
        <w:t>and</w:t>
      </w:r>
      <w:r>
        <w:rPr>
          <w:spacing w:val="-12"/>
        </w:rPr>
        <w:t xml:space="preserve"> </w:t>
      </w:r>
      <w:r>
        <w:t>multiple</w:t>
      </w:r>
      <w:r>
        <w:rPr>
          <w:spacing w:val="-13"/>
        </w:rPr>
        <w:t xml:space="preserve"> </w:t>
      </w:r>
      <w:r>
        <w:t>myeloma.</w:t>
      </w:r>
      <w:r>
        <w:rPr>
          <w:spacing w:val="-3"/>
        </w:rPr>
        <w:t xml:space="preserve"> </w:t>
      </w:r>
      <w:r>
        <w:t>Denosumab</w:t>
      </w:r>
      <w:r>
        <w:rPr>
          <w:spacing w:val="-11"/>
        </w:rPr>
        <w:t xml:space="preserve"> </w:t>
      </w:r>
      <w:r>
        <w:t>binds</w:t>
      </w:r>
      <w:r>
        <w:rPr>
          <w:spacing w:val="-11"/>
        </w:rPr>
        <w:t xml:space="preserve"> </w:t>
      </w:r>
      <w:r>
        <w:t>with</w:t>
      </w:r>
      <w:r>
        <w:rPr>
          <w:spacing w:val="-12"/>
        </w:rPr>
        <w:t xml:space="preserve"> </w:t>
      </w:r>
      <w:r>
        <w:t>high</w:t>
      </w:r>
      <w:r>
        <w:rPr>
          <w:spacing w:val="-12"/>
        </w:rPr>
        <w:t xml:space="preserve"> </w:t>
      </w:r>
      <w:r>
        <w:t>affinity</w:t>
      </w:r>
      <w:r>
        <w:rPr>
          <w:spacing w:val="-13"/>
        </w:rPr>
        <w:t xml:space="preserve"> </w:t>
      </w:r>
      <w:r>
        <w:t>and</w:t>
      </w:r>
      <w:r>
        <w:rPr>
          <w:spacing w:val="-11"/>
        </w:rPr>
        <w:t xml:space="preserve"> </w:t>
      </w:r>
      <w:r>
        <w:t>specificity</w:t>
      </w:r>
      <w:r>
        <w:rPr>
          <w:spacing w:val="-11"/>
        </w:rPr>
        <w:t xml:space="preserve"> </w:t>
      </w:r>
      <w:r>
        <w:t>to</w:t>
      </w:r>
      <w:r>
        <w:rPr>
          <w:spacing w:val="-13"/>
        </w:rPr>
        <w:t xml:space="preserve"> </w:t>
      </w:r>
      <w:r>
        <w:t>RANKL, preventing RANKL from activating its only receptor, RANK, on the surface of osteoclasts and their precursors.</w:t>
      </w:r>
      <w:r>
        <w:rPr>
          <w:spacing w:val="40"/>
        </w:rPr>
        <w:t xml:space="preserve"> </w:t>
      </w:r>
      <w:r>
        <w:t xml:space="preserve">Prevention of RANKL-RANK interaction results in reduced osteoclast numbers and </w:t>
      </w:r>
      <w:proofErr w:type="gramStart"/>
      <w:r>
        <w:t>function, and</w:t>
      </w:r>
      <w:proofErr w:type="gramEnd"/>
      <w:r>
        <w:t xml:space="preserve"> thereby decreases bone resorption and cancer-induced bone destruction.</w:t>
      </w:r>
    </w:p>
    <w:p w14:paraId="7CE1BE63" w14:textId="77777777" w:rsidR="00AE135B" w:rsidRDefault="00EE5424">
      <w:pPr>
        <w:pStyle w:val="BodyText"/>
        <w:spacing w:before="120" w:line="360" w:lineRule="auto"/>
        <w:ind w:right="168"/>
        <w:jc w:val="both"/>
      </w:pPr>
      <w:r>
        <w:t xml:space="preserve">RANKL inhibition resulted in reduced bone lesions and delayed formation of </w:t>
      </w:r>
      <w:r>
        <w:rPr>
          <w:i/>
        </w:rPr>
        <w:t xml:space="preserve">de novo </w:t>
      </w:r>
      <w:r>
        <w:t xml:space="preserve">bone metastases in some nonclinical models. RANKL inhibition reduced skeletal </w:t>
      </w:r>
      <w:proofErr w:type="spellStart"/>
      <w:r>
        <w:t>tumour</w:t>
      </w:r>
      <w:proofErr w:type="spellEnd"/>
      <w:r>
        <w:t xml:space="preserve"> </w:t>
      </w:r>
      <w:proofErr w:type="gramStart"/>
      <w:r>
        <w:t>growth</w:t>
      </w:r>
      <w:proofErr w:type="gramEnd"/>
      <w:r>
        <w:t xml:space="preserve"> and this effect was additive when combined with other anticancer therapies.</w:t>
      </w:r>
    </w:p>
    <w:p w14:paraId="7B51C935" w14:textId="77777777" w:rsidR="00AE135B" w:rsidRDefault="00EE5424">
      <w:pPr>
        <w:spacing w:before="121"/>
        <w:ind w:left="307"/>
        <w:jc w:val="both"/>
        <w:rPr>
          <w:i/>
        </w:rPr>
      </w:pPr>
      <w:r>
        <w:rPr>
          <w:i/>
          <w:spacing w:val="-2"/>
        </w:rPr>
        <w:t>Giant</w:t>
      </w:r>
      <w:r>
        <w:rPr>
          <w:i/>
          <w:spacing w:val="-6"/>
        </w:rPr>
        <w:t xml:space="preserve"> </w:t>
      </w:r>
      <w:r>
        <w:rPr>
          <w:i/>
          <w:spacing w:val="-2"/>
        </w:rPr>
        <w:t>cell</w:t>
      </w:r>
      <w:r>
        <w:rPr>
          <w:i/>
          <w:spacing w:val="-5"/>
        </w:rPr>
        <w:t xml:space="preserve"> </w:t>
      </w:r>
      <w:proofErr w:type="spellStart"/>
      <w:r>
        <w:rPr>
          <w:i/>
          <w:spacing w:val="-2"/>
        </w:rPr>
        <w:t>tumour</w:t>
      </w:r>
      <w:proofErr w:type="spellEnd"/>
      <w:r>
        <w:rPr>
          <w:i/>
          <w:spacing w:val="-2"/>
        </w:rPr>
        <w:t xml:space="preserve"> of</w:t>
      </w:r>
      <w:r>
        <w:rPr>
          <w:i/>
          <w:spacing w:val="-4"/>
        </w:rPr>
        <w:t xml:space="preserve"> bone</w:t>
      </w:r>
    </w:p>
    <w:p w14:paraId="0BA0F02A" w14:textId="77777777" w:rsidR="00AE135B" w:rsidRDefault="00EE5424">
      <w:pPr>
        <w:pStyle w:val="BodyText"/>
        <w:spacing w:before="248" w:line="360" w:lineRule="auto"/>
        <w:ind w:right="171"/>
        <w:jc w:val="both"/>
      </w:pPr>
      <w:r>
        <w:t xml:space="preserve">Giant cell </w:t>
      </w:r>
      <w:proofErr w:type="spellStart"/>
      <w:r>
        <w:t>tumours</w:t>
      </w:r>
      <w:proofErr w:type="spellEnd"/>
      <w:r>
        <w:t xml:space="preserve"> of bone are </w:t>
      </w:r>
      <w:proofErr w:type="spellStart"/>
      <w:r>
        <w:t>characterised</w:t>
      </w:r>
      <w:proofErr w:type="spellEnd"/>
      <w:r>
        <w:t xml:space="preserve"> by stromal cells expressing RANKL and osteoclast-like giant cells</w:t>
      </w:r>
      <w:r>
        <w:rPr>
          <w:spacing w:val="-6"/>
        </w:rPr>
        <w:t xml:space="preserve"> </w:t>
      </w:r>
      <w:r>
        <w:t>expressing</w:t>
      </w:r>
      <w:r>
        <w:rPr>
          <w:spacing w:val="-9"/>
        </w:rPr>
        <w:t xml:space="preserve"> </w:t>
      </w:r>
      <w:r>
        <w:t>RANK.</w:t>
      </w:r>
      <w:r>
        <w:rPr>
          <w:spacing w:val="27"/>
        </w:rPr>
        <w:t xml:space="preserve"> </w:t>
      </w:r>
      <w:r>
        <w:t>In</w:t>
      </w:r>
      <w:r>
        <w:rPr>
          <w:spacing w:val="-7"/>
        </w:rPr>
        <w:t xml:space="preserve"> </w:t>
      </w:r>
      <w:r>
        <w:t>patients</w:t>
      </w:r>
      <w:r>
        <w:rPr>
          <w:spacing w:val="-10"/>
        </w:rPr>
        <w:t xml:space="preserve"> </w:t>
      </w:r>
      <w:r>
        <w:t>with</w:t>
      </w:r>
      <w:r>
        <w:rPr>
          <w:spacing w:val="-9"/>
        </w:rPr>
        <w:t xml:space="preserve"> </w:t>
      </w:r>
      <w:r>
        <w:t>giant</w:t>
      </w:r>
      <w:r>
        <w:rPr>
          <w:spacing w:val="-8"/>
        </w:rPr>
        <w:t xml:space="preserve"> </w:t>
      </w:r>
      <w:r>
        <w:t>cell</w:t>
      </w:r>
      <w:r>
        <w:rPr>
          <w:spacing w:val="-7"/>
        </w:rPr>
        <w:t xml:space="preserve"> </w:t>
      </w:r>
      <w:proofErr w:type="spellStart"/>
      <w:r>
        <w:t>tumour</w:t>
      </w:r>
      <w:proofErr w:type="spellEnd"/>
      <w:r>
        <w:rPr>
          <w:spacing w:val="-9"/>
        </w:rPr>
        <w:t xml:space="preserve"> </w:t>
      </w:r>
      <w:r>
        <w:t>of</w:t>
      </w:r>
      <w:r>
        <w:rPr>
          <w:spacing w:val="-9"/>
        </w:rPr>
        <w:t xml:space="preserve"> </w:t>
      </w:r>
      <w:r>
        <w:t>bone,</w:t>
      </w:r>
      <w:r>
        <w:rPr>
          <w:spacing w:val="-8"/>
        </w:rPr>
        <w:t xml:space="preserve"> </w:t>
      </w:r>
      <w:r>
        <w:t>denosumab</w:t>
      </w:r>
      <w:r>
        <w:rPr>
          <w:spacing w:val="-6"/>
        </w:rPr>
        <w:t xml:space="preserve"> </w:t>
      </w:r>
      <w:r>
        <w:t>binds</w:t>
      </w:r>
      <w:r>
        <w:rPr>
          <w:spacing w:val="-10"/>
        </w:rPr>
        <w:t xml:space="preserve"> </w:t>
      </w:r>
      <w:r>
        <w:t>to</w:t>
      </w:r>
      <w:r>
        <w:rPr>
          <w:spacing w:val="-12"/>
        </w:rPr>
        <w:t xml:space="preserve"> </w:t>
      </w:r>
      <w:r>
        <w:t>RANKL,</w:t>
      </w:r>
      <w:r>
        <w:rPr>
          <w:spacing w:val="-9"/>
        </w:rPr>
        <w:t xml:space="preserve"> </w:t>
      </w:r>
      <w:r>
        <w:t xml:space="preserve">significantly reducing or eliminating osteoclast-like giant cells. Consequently, osteolysis is reduced and proliferative </w:t>
      </w:r>
      <w:proofErr w:type="spellStart"/>
      <w:r>
        <w:t>tumour</w:t>
      </w:r>
      <w:proofErr w:type="spellEnd"/>
      <w:r>
        <w:t xml:space="preserve"> stroma can be replaced with non-proliferative, differentiated, woven new bone which may show an increase in density.</w:t>
      </w:r>
    </w:p>
    <w:p w14:paraId="6B3E0894" w14:textId="77777777" w:rsidR="00320262" w:rsidRDefault="00320262" w:rsidP="00320262"/>
    <w:p w14:paraId="485D90CB" w14:textId="77777777" w:rsidR="00AE135B" w:rsidRDefault="00EE5424">
      <w:pPr>
        <w:spacing w:before="37"/>
        <w:ind w:left="307"/>
        <w:rPr>
          <w:i/>
        </w:rPr>
      </w:pPr>
      <w:proofErr w:type="spellStart"/>
      <w:r>
        <w:rPr>
          <w:i/>
          <w:spacing w:val="-2"/>
        </w:rPr>
        <w:t>Hypercalcaemia</w:t>
      </w:r>
      <w:proofErr w:type="spellEnd"/>
      <w:r>
        <w:rPr>
          <w:i/>
          <w:spacing w:val="-13"/>
        </w:rPr>
        <w:t xml:space="preserve"> </w:t>
      </w:r>
      <w:r>
        <w:rPr>
          <w:i/>
          <w:spacing w:val="-2"/>
        </w:rPr>
        <w:t>of</w:t>
      </w:r>
      <w:r>
        <w:rPr>
          <w:i/>
          <w:spacing w:val="-10"/>
        </w:rPr>
        <w:t xml:space="preserve"> </w:t>
      </w:r>
      <w:r>
        <w:rPr>
          <w:i/>
          <w:spacing w:val="-2"/>
        </w:rPr>
        <w:t>malignancy</w:t>
      </w:r>
      <w:r>
        <w:rPr>
          <w:i/>
          <w:spacing w:val="-11"/>
        </w:rPr>
        <w:t xml:space="preserve"> </w:t>
      </w:r>
      <w:r>
        <w:rPr>
          <w:i/>
          <w:spacing w:val="-2"/>
        </w:rPr>
        <w:t>refractory</w:t>
      </w:r>
      <w:r>
        <w:rPr>
          <w:i/>
          <w:spacing w:val="-10"/>
        </w:rPr>
        <w:t xml:space="preserve"> </w:t>
      </w:r>
      <w:r>
        <w:rPr>
          <w:i/>
          <w:spacing w:val="-2"/>
        </w:rPr>
        <w:t>to</w:t>
      </w:r>
      <w:r>
        <w:rPr>
          <w:i/>
          <w:spacing w:val="-10"/>
        </w:rPr>
        <w:t xml:space="preserve"> </w:t>
      </w:r>
      <w:r>
        <w:rPr>
          <w:i/>
          <w:spacing w:val="-2"/>
        </w:rPr>
        <w:t>intravenous</w:t>
      </w:r>
      <w:r>
        <w:rPr>
          <w:i/>
          <w:spacing w:val="-6"/>
        </w:rPr>
        <w:t xml:space="preserve"> </w:t>
      </w:r>
      <w:r>
        <w:rPr>
          <w:i/>
          <w:spacing w:val="-2"/>
        </w:rPr>
        <w:t>bisphosphonates</w:t>
      </w:r>
    </w:p>
    <w:p w14:paraId="48888CBE" w14:textId="77777777" w:rsidR="00AE135B" w:rsidRDefault="00EE5424">
      <w:pPr>
        <w:pStyle w:val="BodyText"/>
        <w:spacing w:before="241" w:line="360" w:lineRule="auto"/>
        <w:ind w:right="177"/>
        <w:jc w:val="both"/>
      </w:pPr>
      <w:r>
        <w:t xml:space="preserve">The primary </w:t>
      </w:r>
      <w:proofErr w:type="spellStart"/>
      <w:r>
        <w:t>aetiology</w:t>
      </w:r>
      <w:proofErr w:type="spellEnd"/>
      <w:r>
        <w:t xml:space="preserve"> of both skeletal and humoral </w:t>
      </w:r>
      <w:proofErr w:type="spellStart"/>
      <w:r>
        <w:t>hypercalcaemia</w:t>
      </w:r>
      <w:proofErr w:type="spellEnd"/>
      <w:r>
        <w:t xml:space="preserve"> of malignancy is increased bone resorption,</w:t>
      </w:r>
      <w:r>
        <w:rPr>
          <w:spacing w:val="-4"/>
        </w:rPr>
        <w:t xml:space="preserve"> </w:t>
      </w:r>
      <w:r>
        <w:t>which</w:t>
      </w:r>
      <w:r>
        <w:rPr>
          <w:spacing w:val="-5"/>
        </w:rPr>
        <w:t xml:space="preserve"> </w:t>
      </w:r>
      <w:r>
        <w:t>leads</w:t>
      </w:r>
      <w:r>
        <w:rPr>
          <w:spacing w:val="-3"/>
        </w:rPr>
        <w:t xml:space="preserve"> </w:t>
      </w:r>
      <w:r>
        <w:t>to</w:t>
      </w:r>
      <w:r>
        <w:rPr>
          <w:spacing w:val="-5"/>
        </w:rPr>
        <w:t xml:space="preserve"> </w:t>
      </w:r>
      <w:r>
        <w:t>elevated</w:t>
      </w:r>
      <w:r>
        <w:rPr>
          <w:spacing w:val="-5"/>
        </w:rPr>
        <w:t xml:space="preserve"> </w:t>
      </w:r>
      <w:r>
        <w:t>calcium</w:t>
      </w:r>
      <w:r>
        <w:rPr>
          <w:spacing w:val="-2"/>
        </w:rPr>
        <w:t xml:space="preserve"> </w:t>
      </w:r>
      <w:r>
        <w:t>concentrations</w:t>
      </w:r>
      <w:r>
        <w:rPr>
          <w:spacing w:val="-1"/>
        </w:rPr>
        <w:t xml:space="preserve"> </w:t>
      </w:r>
      <w:r>
        <w:t>in</w:t>
      </w:r>
      <w:r>
        <w:rPr>
          <w:spacing w:val="-5"/>
        </w:rPr>
        <w:t xml:space="preserve"> </w:t>
      </w:r>
      <w:r>
        <w:t>the</w:t>
      </w:r>
      <w:r>
        <w:rPr>
          <w:spacing w:val="-1"/>
        </w:rPr>
        <w:t xml:space="preserve"> </w:t>
      </w:r>
      <w:r>
        <w:t>extracellular</w:t>
      </w:r>
      <w:r>
        <w:rPr>
          <w:spacing w:val="-1"/>
        </w:rPr>
        <w:t xml:space="preserve"> </w:t>
      </w:r>
      <w:r>
        <w:t>fluid.</w:t>
      </w:r>
      <w:r>
        <w:rPr>
          <w:spacing w:val="40"/>
        </w:rPr>
        <w:t xml:space="preserve"> </w:t>
      </w:r>
      <w:r>
        <w:t>The</w:t>
      </w:r>
      <w:r>
        <w:rPr>
          <w:spacing w:val="-4"/>
        </w:rPr>
        <w:t xml:space="preserve"> </w:t>
      </w:r>
      <w:r>
        <w:t>increase</w:t>
      </w:r>
      <w:r>
        <w:rPr>
          <w:spacing w:val="-1"/>
        </w:rPr>
        <w:t xml:space="preserve"> </w:t>
      </w:r>
      <w:r>
        <w:t>in</w:t>
      </w:r>
      <w:r>
        <w:rPr>
          <w:spacing w:val="-5"/>
        </w:rPr>
        <w:t xml:space="preserve"> </w:t>
      </w:r>
      <w:r>
        <w:t>bone resorption</w:t>
      </w:r>
      <w:r>
        <w:rPr>
          <w:spacing w:val="-9"/>
        </w:rPr>
        <w:t xml:space="preserve"> </w:t>
      </w:r>
      <w:r>
        <w:t>is</w:t>
      </w:r>
      <w:r>
        <w:rPr>
          <w:spacing w:val="-9"/>
        </w:rPr>
        <w:t xml:space="preserve"> </w:t>
      </w:r>
      <w:r>
        <w:t>initiated</w:t>
      </w:r>
      <w:r>
        <w:rPr>
          <w:spacing w:val="-9"/>
        </w:rPr>
        <w:t xml:space="preserve"> </w:t>
      </w:r>
      <w:r>
        <w:t>by</w:t>
      </w:r>
      <w:r>
        <w:rPr>
          <w:spacing w:val="-5"/>
        </w:rPr>
        <w:t xml:space="preserve"> </w:t>
      </w:r>
      <w:r>
        <w:t>the</w:t>
      </w:r>
      <w:r>
        <w:rPr>
          <w:spacing w:val="-8"/>
        </w:rPr>
        <w:t xml:space="preserve"> </w:t>
      </w:r>
      <w:r>
        <w:t>release</w:t>
      </w:r>
      <w:r>
        <w:rPr>
          <w:spacing w:val="-8"/>
        </w:rPr>
        <w:t xml:space="preserve"> </w:t>
      </w:r>
      <w:r>
        <w:t>of</w:t>
      </w:r>
      <w:r>
        <w:rPr>
          <w:spacing w:val="-9"/>
        </w:rPr>
        <w:t xml:space="preserve"> </w:t>
      </w:r>
      <w:proofErr w:type="spellStart"/>
      <w:r>
        <w:t>signalling</w:t>
      </w:r>
      <w:proofErr w:type="spellEnd"/>
      <w:r>
        <w:rPr>
          <w:spacing w:val="-10"/>
        </w:rPr>
        <w:t xml:space="preserve"> </w:t>
      </w:r>
      <w:r>
        <w:t>molecules</w:t>
      </w:r>
      <w:r>
        <w:rPr>
          <w:spacing w:val="-8"/>
        </w:rPr>
        <w:t xml:space="preserve"> </w:t>
      </w:r>
      <w:r>
        <w:t>such</w:t>
      </w:r>
      <w:r>
        <w:rPr>
          <w:spacing w:val="-10"/>
        </w:rPr>
        <w:t xml:space="preserve"> </w:t>
      </w:r>
      <w:r>
        <w:t>as</w:t>
      </w:r>
      <w:r>
        <w:rPr>
          <w:spacing w:val="-9"/>
        </w:rPr>
        <w:t xml:space="preserve"> </w:t>
      </w:r>
      <w:proofErr w:type="spellStart"/>
      <w:r>
        <w:t>PTHrP</w:t>
      </w:r>
      <w:proofErr w:type="spellEnd"/>
      <w:r>
        <w:t>,</w:t>
      </w:r>
      <w:r>
        <w:rPr>
          <w:spacing w:val="-9"/>
        </w:rPr>
        <w:t xml:space="preserve"> </w:t>
      </w:r>
      <w:r>
        <w:t>prostaglandins,</w:t>
      </w:r>
      <w:r>
        <w:rPr>
          <w:spacing w:val="-7"/>
        </w:rPr>
        <w:t xml:space="preserve"> </w:t>
      </w:r>
      <w:r>
        <w:t>and</w:t>
      </w:r>
      <w:r>
        <w:rPr>
          <w:spacing w:val="-7"/>
        </w:rPr>
        <w:t xml:space="preserve"> </w:t>
      </w:r>
      <w:r>
        <w:t>cytokine</w:t>
      </w:r>
      <w:r>
        <w:rPr>
          <w:spacing w:val="-7"/>
        </w:rPr>
        <w:t xml:space="preserve"> </w:t>
      </w:r>
      <w:r>
        <w:t>by malignant and stromal cells. These molecules stimulate osteoblasts and other stromal cells to express RANKL, which upon binding its receptor</w:t>
      </w:r>
      <w:r>
        <w:rPr>
          <w:spacing w:val="-2"/>
        </w:rPr>
        <w:t xml:space="preserve"> </w:t>
      </w:r>
      <w:r>
        <w:t>RANK upregulates osteoclast recruitment and differentiation and thus bone resorption, with a resultant increase in calcium concentrations of the extracellular fluid and serum.</w:t>
      </w:r>
      <w:r>
        <w:rPr>
          <w:spacing w:val="10"/>
        </w:rPr>
        <w:t xml:space="preserve"> </w:t>
      </w:r>
      <w:r>
        <w:t>Denosumab</w:t>
      </w:r>
      <w:r>
        <w:rPr>
          <w:spacing w:val="-12"/>
        </w:rPr>
        <w:t xml:space="preserve"> </w:t>
      </w:r>
      <w:r>
        <w:t>binds</w:t>
      </w:r>
      <w:r>
        <w:rPr>
          <w:spacing w:val="-11"/>
        </w:rPr>
        <w:t xml:space="preserve"> </w:t>
      </w:r>
      <w:r>
        <w:t>to</w:t>
      </w:r>
      <w:r>
        <w:rPr>
          <w:spacing w:val="-10"/>
        </w:rPr>
        <w:t xml:space="preserve"> </w:t>
      </w:r>
      <w:r>
        <w:t>RANKL</w:t>
      </w:r>
      <w:r>
        <w:rPr>
          <w:spacing w:val="-11"/>
        </w:rPr>
        <w:t xml:space="preserve"> </w:t>
      </w:r>
      <w:r>
        <w:t>preventing</w:t>
      </w:r>
      <w:r>
        <w:rPr>
          <w:spacing w:val="-12"/>
        </w:rPr>
        <w:t xml:space="preserve"> </w:t>
      </w:r>
      <w:r>
        <w:t>RANK/RANKL</w:t>
      </w:r>
      <w:r>
        <w:rPr>
          <w:spacing w:val="-13"/>
        </w:rPr>
        <w:t xml:space="preserve"> </w:t>
      </w:r>
      <w:r>
        <w:t>mediated</w:t>
      </w:r>
      <w:r>
        <w:rPr>
          <w:spacing w:val="-12"/>
        </w:rPr>
        <w:t xml:space="preserve"> </w:t>
      </w:r>
      <w:r>
        <w:t>osteoclast</w:t>
      </w:r>
      <w:r>
        <w:rPr>
          <w:spacing w:val="-13"/>
        </w:rPr>
        <w:t xml:space="preserve"> </w:t>
      </w:r>
      <w:r>
        <w:t>formation,</w:t>
      </w:r>
      <w:r>
        <w:rPr>
          <w:spacing w:val="-10"/>
        </w:rPr>
        <w:t xml:space="preserve"> </w:t>
      </w:r>
      <w:r>
        <w:t>function,</w:t>
      </w:r>
      <w:r>
        <w:rPr>
          <w:spacing w:val="-13"/>
        </w:rPr>
        <w:t xml:space="preserve"> </w:t>
      </w:r>
      <w:r>
        <w:t>and survival thereby lowering serum calcium levels.</w:t>
      </w:r>
    </w:p>
    <w:p w14:paraId="398C3C6D" w14:textId="77777777" w:rsidR="00AE135B" w:rsidRDefault="00AE135B">
      <w:pPr>
        <w:pStyle w:val="BodyText"/>
        <w:spacing w:before="1"/>
        <w:ind w:left="0"/>
      </w:pPr>
    </w:p>
    <w:p w14:paraId="53F6EE8C" w14:textId="77777777" w:rsidR="00AE135B" w:rsidRDefault="00EE5424">
      <w:pPr>
        <w:pStyle w:val="BodyText"/>
      </w:pPr>
      <w:r>
        <w:rPr>
          <w:spacing w:val="-2"/>
          <w:u w:val="single"/>
        </w:rPr>
        <w:t>Pharmacodynamics</w:t>
      </w:r>
    </w:p>
    <w:p w14:paraId="432A5F9B" w14:textId="77777777" w:rsidR="00AE135B" w:rsidRDefault="00EE5424">
      <w:pPr>
        <w:pStyle w:val="BodyText"/>
        <w:spacing w:before="248" w:line="360" w:lineRule="auto"/>
        <w:ind w:right="175"/>
        <w:jc w:val="both"/>
      </w:pPr>
      <w:r>
        <w:t>In a phase 2 study of IV-bisphosphonate naïve patients with breast cancer and bone metastases, subcutaneous (SC) doses of denosumab 120 mg every 4 weeks (</w:t>
      </w:r>
      <w:proofErr w:type="spellStart"/>
      <w:r>
        <w:t>Q4W</w:t>
      </w:r>
      <w:proofErr w:type="spellEnd"/>
      <w:r>
        <w:t>), caused a rapid reduction in the markers</w:t>
      </w:r>
      <w:r>
        <w:rPr>
          <w:spacing w:val="73"/>
        </w:rPr>
        <w:t xml:space="preserve"> </w:t>
      </w:r>
      <w:r>
        <w:t>of</w:t>
      </w:r>
      <w:r>
        <w:rPr>
          <w:spacing w:val="74"/>
        </w:rPr>
        <w:t xml:space="preserve"> </w:t>
      </w:r>
      <w:r>
        <w:t>bone</w:t>
      </w:r>
      <w:r>
        <w:rPr>
          <w:spacing w:val="75"/>
        </w:rPr>
        <w:t xml:space="preserve"> </w:t>
      </w:r>
      <w:r>
        <w:t>resorption:</w:t>
      </w:r>
      <w:r>
        <w:rPr>
          <w:spacing w:val="74"/>
        </w:rPr>
        <w:t xml:space="preserve"> </w:t>
      </w:r>
      <w:r>
        <w:t>urinary</w:t>
      </w:r>
      <w:r>
        <w:rPr>
          <w:spacing w:val="75"/>
        </w:rPr>
        <w:t xml:space="preserve"> </w:t>
      </w:r>
      <w:r>
        <w:t>N-telopeptide</w:t>
      </w:r>
      <w:r>
        <w:rPr>
          <w:spacing w:val="74"/>
        </w:rPr>
        <w:t xml:space="preserve"> </w:t>
      </w:r>
      <w:r>
        <w:t>corrected</w:t>
      </w:r>
      <w:r>
        <w:rPr>
          <w:spacing w:val="74"/>
        </w:rPr>
        <w:t xml:space="preserve"> </w:t>
      </w:r>
      <w:r>
        <w:t>for</w:t>
      </w:r>
      <w:r>
        <w:rPr>
          <w:spacing w:val="75"/>
        </w:rPr>
        <w:t xml:space="preserve"> </w:t>
      </w:r>
      <w:r>
        <w:t>creatinine</w:t>
      </w:r>
      <w:r>
        <w:rPr>
          <w:spacing w:val="73"/>
        </w:rPr>
        <w:t xml:space="preserve"> </w:t>
      </w:r>
      <w:r>
        <w:t>(</w:t>
      </w:r>
      <w:proofErr w:type="spellStart"/>
      <w:r>
        <w:t>uNTx</w:t>
      </w:r>
      <w:proofErr w:type="spellEnd"/>
      <w:r>
        <w:t>/Cr)</w:t>
      </w:r>
      <w:r>
        <w:rPr>
          <w:spacing w:val="75"/>
        </w:rPr>
        <w:t xml:space="preserve"> </w:t>
      </w:r>
      <w:r>
        <w:t>and</w:t>
      </w:r>
      <w:r>
        <w:rPr>
          <w:spacing w:val="71"/>
        </w:rPr>
        <w:t xml:space="preserve"> </w:t>
      </w:r>
      <w:r>
        <w:t>serum C-telopeptide (</w:t>
      </w:r>
      <w:proofErr w:type="spellStart"/>
      <w:r>
        <w:t>sCTx</w:t>
      </w:r>
      <w:proofErr w:type="spellEnd"/>
      <w:r>
        <w:t xml:space="preserve">) with median reduction of 82 % for </w:t>
      </w:r>
      <w:proofErr w:type="spellStart"/>
      <w:r>
        <w:t>uNTx</w:t>
      </w:r>
      <w:proofErr w:type="spellEnd"/>
      <w:r>
        <w:t>/Cr within 1 week. Reductions in bone resorption</w:t>
      </w:r>
      <w:r>
        <w:rPr>
          <w:spacing w:val="-8"/>
        </w:rPr>
        <w:t xml:space="preserve"> </w:t>
      </w:r>
      <w:r>
        <w:t>markers</w:t>
      </w:r>
      <w:r>
        <w:rPr>
          <w:spacing w:val="-5"/>
        </w:rPr>
        <w:t xml:space="preserve"> </w:t>
      </w:r>
      <w:r>
        <w:t>were</w:t>
      </w:r>
      <w:r>
        <w:rPr>
          <w:spacing w:val="-7"/>
        </w:rPr>
        <w:t xml:space="preserve"> </w:t>
      </w:r>
      <w:r>
        <w:t>maintained,</w:t>
      </w:r>
      <w:r>
        <w:rPr>
          <w:spacing w:val="-5"/>
        </w:rPr>
        <w:t xml:space="preserve"> </w:t>
      </w:r>
      <w:r>
        <w:t>with</w:t>
      </w:r>
      <w:r>
        <w:rPr>
          <w:spacing w:val="-5"/>
        </w:rPr>
        <w:t xml:space="preserve"> </w:t>
      </w:r>
      <w:r>
        <w:t>median</w:t>
      </w:r>
      <w:r>
        <w:rPr>
          <w:spacing w:val="-6"/>
        </w:rPr>
        <w:t xml:space="preserve"> </w:t>
      </w:r>
      <w:proofErr w:type="spellStart"/>
      <w:r>
        <w:t>uNTx</w:t>
      </w:r>
      <w:proofErr w:type="spellEnd"/>
      <w:r>
        <w:t>/Cr</w:t>
      </w:r>
      <w:r>
        <w:rPr>
          <w:spacing w:val="-6"/>
        </w:rPr>
        <w:t xml:space="preserve"> </w:t>
      </w:r>
      <w:r>
        <w:t>reductions</w:t>
      </w:r>
      <w:r>
        <w:rPr>
          <w:spacing w:val="-5"/>
        </w:rPr>
        <w:t xml:space="preserve"> </w:t>
      </w:r>
      <w:r>
        <w:t>of</w:t>
      </w:r>
      <w:r>
        <w:rPr>
          <w:spacing w:val="-8"/>
        </w:rPr>
        <w:t xml:space="preserve"> </w:t>
      </w:r>
      <w:r>
        <w:t>74</w:t>
      </w:r>
      <w:r>
        <w:rPr>
          <w:spacing w:val="-1"/>
        </w:rPr>
        <w:t xml:space="preserve"> </w:t>
      </w:r>
      <w:r>
        <w:t>%</w:t>
      </w:r>
      <w:r>
        <w:rPr>
          <w:spacing w:val="-4"/>
        </w:rPr>
        <w:t xml:space="preserve"> </w:t>
      </w:r>
      <w:r>
        <w:t>to</w:t>
      </w:r>
      <w:r>
        <w:rPr>
          <w:spacing w:val="-7"/>
        </w:rPr>
        <w:t xml:space="preserve"> </w:t>
      </w:r>
      <w:r>
        <w:t>82</w:t>
      </w:r>
      <w:r>
        <w:rPr>
          <w:spacing w:val="-5"/>
        </w:rPr>
        <w:t xml:space="preserve"> </w:t>
      </w:r>
      <w:r>
        <w:t>%</w:t>
      </w:r>
      <w:r>
        <w:rPr>
          <w:spacing w:val="-5"/>
        </w:rPr>
        <w:t xml:space="preserve"> </w:t>
      </w:r>
      <w:r>
        <w:t>from</w:t>
      </w:r>
      <w:r>
        <w:rPr>
          <w:spacing w:val="-7"/>
        </w:rPr>
        <w:t xml:space="preserve"> </w:t>
      </w:r>
      <w:r>
        <w:t>weeks</w:t>
      </w:r>
      <w:r>
        <w:rPr>
          <w:spacing w:val="-6"/>
        </w:rPr>
        <w:t xml:space="preserve"> </w:t>
      </w:r>
      <w:r>
        <w:t>2</w:t>
      </w:r>
      <w:r>
        <w:rPr>
          <w:spacing w:val="-5"/>
        </w:rPr>
        <w:t xml:space="preserve"> </w:t>
      </w:r>
      <w:r>
        <w:t>to</w:t>
      </w:r>
      <w:r>
        <w:rPr>
          <w:spacing w:val="-6"/>
        </w:rPr>
        <w:t xml:space="preserve"> </w:t>
      </w:r>
      <w:r>
        <w:t>25 of</w:t>
      </w:r>
      <w:r>
        <w:rPr>
          <w:spacing w:val="-8"/>
        </w:rPr>
        <w:t xml:space="preserve"> </w:t>
      </w:r>
      <w:r>
        <w:t>continued</w:t>
      </w:r>
      <w:r>
        <w:rPr>
          <w:spacing w:val="-8"/>
        </w:rPr>
        <w:t xml:space="preserve"> </w:t>
      </w:r>
      <w:r>
        <w:t>120</w:t>
      </w:r>
      <w:r>
        <w:rPr>
          <w:spacing w:val="-7"/>
        </w:rPr>
        <w:t xml:space="preserve"> </w:t>
      </w:r>
      <w:r>
        <w:t>mg</w:t>
      </w:r>
      <w:r>
        <w:rPr>
          <w:spacing w:val="-6"/>
        </w:rPr>
        <w:t xml:space="preserve"> </w:t>
      </w:r>
      <w:proofErr w:type="spellStart"/>
      <w:r>
        <w:t>Q4W</w:t>
      </w:r>
      <w:proofErr w:type="spellEnd"/>
      <w:r>
        <w:rPr>
          <w:spacing w:val="-7"/>
        </w:rPr>
        <w:t xml:space="preserve"> </w:t>
      </w:r>
      <w:r>
        <w:t>dosing.</w:t>
      </w:r>
      <w:r>
        <w:rPr>
          <w:spacing w:val="-8"/>
        </w:rPr>
        <w:t xml:space="preserve"> </w:t>
      </w:r>
      <w:r>
        <w:t>Median</w:t>
      </w:r>
      <w:r>
        <w:rPr>
          <w:spacing w:val="-9"/>
        </w:rPr>
        <w:t xml:space="preserve"> </w:t>
      </w:r>
      <w:r>
        <w:t>reduction</w:t>
      </w:r>
      <w:r>
        <w:rPr>
          <w:spacing w:val="-6"/>
        </w:rPr>
        <w:t xml:space="preserve"> </w:t>
      </w:r>
      <w:r>
        <w:t>of</w:t>
      </w:r>
      <w:r>
        <w:rPr>
          <w:spacing w:val="-8"/>
        </w:rPr>
        <w:t xml:space="preserve"> </w:t>
      </w:r>
      <w:r>
        <w:t>approximately</w:t>
      </w:r>
      <w:r>
        <w:rPr>
          <w:spacing w:val="-9"/>
        </w:rPr>
        <w:t xml:space="preserve"> </w:t>
      </w:r>
      <w:r>
        <w:t>80 %</w:t>
      </w:r>
      <w:r>
        <w:rPr>
          <w:spacing w:val="-7"/>
        </w:rPr>
        <w:t xml:space="preserve"> </w:t>
      </w:r>
      <w:r>
        <w:t>in</w:t>
      </w:r>
      <w:r>
        <w:rPr>
          <w:spacing w:val="-8"/>
        </w:rPr>
        <w:t xml:space="preserve"> </w:t>
      </w:r>
      <w:proofErr w:type="spellStart"/>
      <w:r>
        <w:t>uNTx</w:t>
      </w:r>
      <w:proofErr w:type="spellEnd"/>
      <w:r>
        <w:t>/Cr</w:t>
      </w:r>
      <w:r>
        <w:rPr>
          <w:spacing w:val="-8"/>
        </w:rPr>
        <w:t xml:space="preserve"> </w:t>
      </w:r>
      <w:r>
        <w:t>from</w:t>
      </w:r>
      <w:r>
        <w:rPr>
          <w:spacing w:val="-5"/>
        </w:rPr>
        <w:t xml:space="preserve"> </w:t>
      </w:r>
      <w:r>
        <w:t>baseline</w:t>
      </w:r>
      <w:r>
        <w:rPr>
          <w:spacing w:val="-7"/>
        </w:rPr>
        <w:t xml:space="preserve"> </w:t>
      </w:r>
      <w:r>
        <w:t xml:space="preserve">after 3 months of treatment were also observed across 2075 denosumab -treated advanced cancer patients (breast, prostate, multiple myeloma or other solid </w:t>
      </w:r>
      <w:proofErr w:type="spellStart"/>
      <w:r>
        <w:t>tumours</w:t>
      </w:r>
      <w:proofErr w:type="spellEnd"/>
      <w:r>
        <w:t xml:space="preserve">) </w:t>
      </w:r>
      <w:proofErr w:type="gramStart"/>
      <w:r>
        <w:t>naïve</w:t>
      </w:r>
      <w:proofErr w:type="gramEnd"/>
      <w:r>
        <w:t xml:space="preserve"> to IV-bisphosphonate in the phase 3 clinical trials.</w:t>
      </w:r>
    </w:p>
    <w:p w14:paraId="4BA2829E" w14:textId="77777777" w:rsidR="00AE135B" w:rsidRDefault="00EE5424">
      <w:pPr>
        <w:pStyle w:val="BodyText"/>
        <w:spacing w:before="90" w:line="360" w:lineRule="auto"/>
        <w:ind w:right="170"/>
        <w:jc w:val="both"/>
      </w:pPr>
      <w:r>
        <w:t>Similarly, in a phase 2 study of patients with advanced malignancies and bone metastases (including patients with multiple myeloma and bone disease) who were receiving intravenous bisphosphonate therapy,</w:t>
      </w:r>
      <w:r>
        <w:rPr>
          <w:spacing w:val="-5"/>
        </w:rPr>
        <w:t xml:space="preserve"> </w:t>
      </w:r>
      <w:r>
        <w:t>yet</w:t>
      </w:r>
      <w:r>
        <w:rPr>
          <w:spacing w:val="-3"/>
        </w:rPr>
        <w:t xml:space="preserve"> </w:t>
      </w:r>
      <w:r>
        <w:t>had</w:t>
      </w:r>
      <w:r>
        <w:rPr>
          <w:spacing w:val="-4"/>
        </w:rPr>
        <w:t xml:space="preserve"> </w:t>
      </w:r>
      <w:proofErr w:type="spellStart"/>
      <w:r>
        <w:t>uNTx</w:t>
      </w:r>
      <w:proofErr w:type="spellEnd"/>
      <w:r>
        <w:t>/Cr</w:t>
      </w:r>
      <w:r>
        <w:rPr>
          <w:spacing w:val="-3"/>
        </w:rPr>
        <w:t xml:space="preserve"> </w:t>
      </w:r>
      <w:r>
        <w:t>levels</w:t>
      </w:r>
      <w:r>
        <w:rPr>
          <w:spacing w:val="-5"/>
        </w:rPr>
        <w:t xml:space="preserve"> </w:t>
      </w:r>
      <w:r>
        <w:t>&gt;</w:t>
      </w:r>
      <w:r>
        <w:rPr>
          <w:spacing w:val="-5"/>
        </w:rPr>
        <w:t xml:space="preserve"> </w:t>
      </w:r>
      <w:r>
        <w:t>50</w:t>
      </w:r>
      <w:r>
        <w:rPr>
          <w:spacing w:val="-5"/>
        </w:rPr>
        <w:t xml:space="preserve"> </w:t>
      </w:r>
      <w:proofErr w:type="spellStart"/>
      <w:r>
        <w:t>nM</w:t>
      </w:r>
      <w:proofErr w:type="spellEnd"/>
      <w:r>
        <w:t>/mM,</w:t>
      </w:r>
      <w:r>
        <w:rPr>
          <w:spacing w:val="-3"/>
        </w:rPr>
        <w:t xml:space="preserve"> </w:t>
      </w:r>
      <w:r>
        <w:t>SC</w:t>
      </w:r>
      <w:r>
        <w:rPr>
          <w:spacing w:val="-6"/>
        </w:rPr>
        <w:t xml:space="preserve"> </w:t>
      </w:r>
      <w:r>
        <w:t>dosing</w:t>
      </w:r>
      <w:r>
        <w:rPr>
          <w:spacing w:val="-6"/>
        </w:rPr>
        <w:t xml:space="preserve"> </w:t>
      </w:r>
      <w:r>
        <w:t>of</w:t>
      </w:r>
      <w:r>
        <w:rPr>
          <w:spacing w:val="-3"/>
        </w:rPr>
        <w:t xml:space="preserve"> </w:t>
      </w:r>
      <w:r>
        <w:t>denosumab</w:t>
      </w:r>
      <w:r>
        <w:rPr>
          <w:spacing w:val="-3"/>
        </w:rPr>
        <w:t xml:space="preserve"> </w:t>
      </w:r>
      <w:r>
        <w:t>administered</w:t>
      </w:r>
      <w:r>
        <w:rPr>
          <w:spacing w:val="-4"/>
        </w:rPr>
        <w:t xml:space="preserve"> </w:t>
      </w:r>
      <w:r>
        <w:t>either</w:t>
      </w:r>
      <w:r>
        <w:rPr>
          <w:spacing w:val="-6"/>
        </w:rPr>
        <w:t xml:space="preserve"> </w:t>
      </w:r>
      <w:r>
        <w:t>every</w:t>
      </w:r>
      <w:r>
        <w:rPr>
          <w:spacing w:val="-5"/>
        </w:rPr>
        <w:t xml:space="preserve"> </w:t>
      </w:r>
      <w:r>
        <w:t>4</w:t>
      </w:r>
      <w:r>
        <w:rPr>
          <w:spacing w:val="-5"/>
        </w:rPr>
        <w:t xml:space="preserve"> </w:t>
      </w:r>
      <w:r>
        <w:t xml:space="preserve">weeks or every 12 weeks caused an approximate 80 % reduction in </w:t>
      </w:r>
      <w:proofErr w:type="spellStart"/>
      <w:r>
        <w:t>uNTx</w:t>
      </w:r>
      <w:proofErr w:type="spellEnd"/>
      <w:r>
        <w:t>/Cr from baseline after 3 and 6 months of</w:t>
      </w:r>
      <w:r>
        <w:rPr>
          <w:spacing w:val="80"/>
        </w:rPr>
        <w:t xml:space="preserve"> </w:t>
      </w:r>
      <w:r>
        <w:t>treatment.</w:t>
      </w:r>
      <w:r>
        <w:rPr>
          <w:spacing w:val="80"/>
        </w:rPr>
        <w:t xml:space="preserve"> </w:t>
      </w:r>
      <w:r>
        <w:t>Overall,</w:t>
      </w:r>
      <w:r>
        <w:rPr>
          <w:spacing w:val="80"/>
        </w:rPr>
        <w:t xml:space="preserve"> </w:t>
      </w:r>
      <w:r>
        <w:t>97</w:t>
      </w:r>
      <w:r>
        <w:rPr>
          <w:spacing w:val="80"/>
        </w:rPr>
        <w:t xml:space="preserve"> </w:t>
      </w:r>
      <w:r>
        <w:t>%</w:t>
      </w:r>
      <w:r>
        <w:rPr>
          <w:spacing w:val="80"/>
        </w:rPr>
        <w:t xml:space="preserve"> </w:t>
      </w:r>
      <w:r>
        <w:t>of</w:t>
      </w:r>
      <w:r>
        <w:rPr>
          <w:spacing w:val="80"/>
        </w:rPr>
        <w:t xml:space="preserve"> </w:t>
      </w:r>
      <w:r>
        <w:t>patients</w:t>
      </w:r>
      <w:r>
        <w:rPr>
          <w:spacing w:val="80"/>
        </w:rPr>
        <w:t xml:space="preserve"> </w:t>
      </w:r>
      <w:r>
        <w:t>in</w:t>
      </w:r>
      <w:r>
        <w:rPr>
          <w:spacing w:val="80"/>
        </w:rPr>
        <w:t xml:space="preserve"> </w:t>
      </w:r>
      <w:r>
        <w:t>the</w:t>
      </w:r>
      <w:r>
        <w:rPr>
          <w:spacing w:val="80"/>
        </w:rPr>
        <w:t xml:space="preserve"> </w:t>
      </w:r>
      <w:r>
        <w:t>denosumab</w:t>
      </w:r>
      <w:r>
        <w:rPr>
          <w:spacing w:val="80"/>
        </w:rPr>
        <w:t xml:space="preserve"> </w:t>
      </w:r>
      <w:r>
        <w:t>groups</w:t>
      </w:r>
      <w:r>
        <w:rPr>
          <w:spacing w:val="80"/>
        </w:rPr>
        <w:t xml:space="preserve"> </w:t>
      </w:r>
      <w:r>
        <w:t>had</w:t>
      </w:r>
      <w:r>
        <w:rPr>
          <w:spacing w:val="80"/>
        </w:rPr>
        <w:t xml:space="preserve"> </w:t>
      </w:r>
      <w:r>
        <w:t>at</w:t>
      </w:r>
      <w:r>
        <w:rPr>
          <w:spacing w:val="80"/>
        </w:rPr>
        <w:t xml:space="preserve"> </w:t>
      </w:r>
      <w:r>
        <w:t>least</w:t>
      </w:r>
      <w:r>
        <w:rPr>
          <w:spacing w:val="80"/>
        </w:rPr>
        <w:t xml:space="preserve"> </w:t>
      </w:r>
      <w:r>
        <w:t>one</w:t>
      </w:r>
      <w:r>
        <w:rPr>
          <w:spacing w:val="80"/>
        </w:rPr>
        <w:t xml:space="preserve"> </w:t>
      </w:r>
      <w:proofErr w:type="spellStart"/>
      <w:r>
        <w:t>uNTx</w:t>
      </w:r>
      <w:proofErr w:type="spellEnd"/>
      <w:r>
        <w:t xml:space="preserve">/Cr value &lt; 50 </w:t>
      </w:r>
      <w:proofErr w:type="spellStart"/>
      <w:r>
        <w:t>nM</w:t>
      </w:r>
      <w:proofErr w:type="spellEnd"/>
      <w:r>
        <w:t>/mM up to week 25 of the study.</w:t>
      </w:r>
    </w:p>
    <w:p w14:paraId="3479C1EA" w14:textId="77777777" w:rsidR="00AE135B" w:rsidRDefault="00EE5424">
      <w:pPr>
        <w:pStyle w:val="BodyText"/>
        <w:spacing w:before="248" w:line="360" w:lineRule="auto"/>
        <w:ind w:right="177"/>
        <w:jc w:val="both"/>
      </w:pPr>
      <w:r>
        <w:t>In a phase 3 study of patients with newly diagnosed multiple myeloma who received SC doses of denosumab 120 mg every 4 weeks (</w:t>
      </w:r>
      <w:proofErr w:type="spellStart"/>
      <w:r>
        <w:t>Q4W</w:t>
      </w:r>
      <w:proofErr w:type="spellEnd"/>
      <w:r>
        <w:t xml:space="preserve">), median reductions in </w:t>
      </w:r>
      <w:proofErr w:type="spellStart"/>
      <w:r>
        <w:t>uNTx</w:t>
      </w:r>
      <w:proofErr w:type="spellEnd"/>
      <w:r>
        <w:t>/Cr of approximately 75 % were observed by week 5.</w:t>
      </w:r>
      <w:r>
        <w:rPr>
          <w:spacing w:val="40"/>
        </w:rPr>
        <w:t xml:space="preserve"> </w:t>
      </w:r>
      <w:r>
        <w:t xml:space="preserve">Reductions in bone turnover markers were maintained, with median reductions of 74 % to 79 % for </w:t>
      </w:r>
      <w:proofErr w:type="spellStart"/>
      <w:r>
        <w:t>uNTx</w:t>
      </w:r>
      <w:proofErr w:type="spellEnd"/>
      <w:r>
        <w:t xml:space="preserve">/Cr from weeks 9 to 49 of continued 120 mg </w:t>
      </w:r>
      <w:proofErr w:type="spellStart"/>
      <w:r>
        <w:t>Q4W</w:t>
      </w:r>
      <w:proofErr w:type="spellEnd"/>
      <w:r>
        <w:t xml:space="preserve"> dosing.</w:t>
      </w:r>
    </w:p>
    <w:p w14:paraId="2B1407C9" w14:textId="42D58A04" w:rsidR="00AE135B" w:rsidRDefault="00EE5424" w:rsidP="00320262">
      <w:pPr>
        <w:pStyle w:val="BodyText"/>
        <w:spacing w:before="121" w:line="360" w:lineRule="auto"/>
        <w:ind w:right="171"/>
        <w:jc w:val="both"/>
      </w:pPr>
      <w:r>
        <w:t xml:space="preserve">In a phase 2 study of patients with giant cell </w:t>
      </w:r>
      <w:proofErr w:type="spellStart"/>
      <w:r>
        <w:t>tumour</w:t>
      </w:r>
      <w:proofErr w:type="spellEnd"/>
      <w:r>
        <w:t xml:space="preserve"> of bone who received subcutaneous doses of denosumab 120 mg every 4 weeks (</w:t>
      </w:r>
      <w:proofErr w:type="spellStart"/>
      <w:r>
        <w:t>Q4W</w:t>
      </w:r>
      <w:proofErr w:type="spellEnd"/>
      <w:r>
        <w:t xml:space="preserve">) with loading doses on days 8 and 15 of the initial 4-week </w:t>
      </w:r>
      <w:r>
        <w:lastRenderedPageBreak/>
        <w:t xml:space="preserve">treatment period, median reductions in </w:t>
      </w:r>
      <w:proofErr w:type="spellStart"/>
      <w:r>
        <w:t>uNTx</w:t>
      </w:r>
      <w:proofErr w:type="spellEnd"/>
      <w:r>
        <w:t xml:space="preserve">/Cr and </w:t>
      </w:r>
      <w:proofErr w:type="spellStart"/>
      <w:r>
        <w:t>sCTx</w:t>
      </w:r>
      <w:proofErr w:type="spellEnd"/>
      <w:r>
        <w:t xml:space="preserve"> of approximately 80 % were</w:t>
      </w:r>
      <w:r>
        <w:rPr>
          <w:spacing w:val="-2"/>
        </w:rPr>
        <w:t xml:space="preserve"> </w:t>
      </w:r>
      <w:r>
        <w:t>observed by week</w:t>
      </w:r>
      <w:r w:rsidR="00320262">
        <w:t xml:space="preserve"> </w:t>
      </w:r>
      <w:r>
        <w:t>9.</w:t>
      </w:r>
      <w:r>
        <w:rPr>
          <w:spacing w:val="40"/>
        </w:rPr>
        <w:t xml:space="preserve"> </w:t>
      </w:r>
      <w:r>
        <w:t xml:space="preserve">Reductions in bone turnover markers were maintained, with median reductions of 56 % to 77 % for </w:t>
      </w:r>
      <w:proofErr w:type="spellStart"/>
      <w:r>
        <w:t>uNTx</w:t>
      </w:r>
      <w:proofErr w:type="spellEnd"/>
      <w:r>
        <w:t xml:space="preserve">/Cr and 79 % to 83 % for </w:t>
      </w:r>
      <w:proofErr w:type="spellStart"/>
      <w:r>
        <w:t>sCTx</w:t>
      </w:r>
      <w:proofErr w:type="spellEnd"/>
      <w:r>
        <w:t xml:space="preserve"> from weeks 5 to 25 of continued 120 mg </w:t>
      </w:r>
      <w:proofErr w:type="spellStart"/>
      <w:r>
        <w:t>Q4W</w:t>
      </w:r>
      <w:proofErr w:type="spellEnd"/>
      <w:r>
        <w:t xml:space="preserve"> dosing.</w:t>
      </w:r>
    </w:p>
    <w:p w14:paraId="02C0C522" w14:textId="77777777" w:rsidR="00320262" w:rsidRDefault="00320262" w:rsidP="00320262"/>
    <w:p w14:paraId="2E422ED2" w14:textId="77777777" w:rsidR="00AE135B" w:rsidRDefault="00EE5424">
      <w:pPr>
        <w:pStyle w:val="BodyText"/>
        <w:spacing w:before="39"/>
      </w:pPr>
      <w:r>
        <w:rPr>
          <w:spacing w:val="-4"/>
          <w:u w:val="single"/>
        </w:rPr>
        <w:t>Clinical</w:t>
      </w:r>
      <w:r>
        <w:rPr>
          <w:spacing w:val="3"/>
          <w:u w:val="single"/>
        </w:rPr>
        <w:t xml:space="preserve"> </w:t>
      </w:r>
      <w:r>
        <w:rPr>
          <w:spacing w:val="-2"/>
          <w:u w:val="single"/>
        </w:rPr>
        <w:t>trials</w:t>
      </w:r>
    </w:p>
    <w:p w14:paraId="3C0B00A3" w14:textId="77777777" w:rsidR="00AE135B" w:rsidRDefault="00EE5424">
      <w:pPr>
        <w:spacing w:before="247"/>
        <w:ind w:left="307"/>
        <w:rPr>
          <w:i/>
        </w:rPr>
      </w:pPr>
      <w:r>
        <w:rPr>
          <w:i/>
          <w:spacing w:val="-2"/>
        </w:rPr>
        <w:t>Clinical</w:t>
      </w:r>
      <w:r>
        <w:rPr>
          <w:i/>
          <w:spacing w:val="-13"/>
        </w:rPr>
        <w:t xml:space="preserve"> </w:t>
      </w:r>
      <w:r>
        <w:rPr>
          <w:i/>
          <w:spacing w:val="-2"/>
        </w:rPr>
        <w:t>efficacy</w:t>
      </w:r>
      <w:r>
        <w:rPr>
          <w:i/>
          <w:spacing w:val="-8"/>
        </w:rPr>
        <w:t xml:space="preserve"> </w:t>
      </w:r>
      <w:r>
        <w:rPr>
          <w:i/>
          <w:spacing w:val="-2"/>
        </w:rPr>
        <w:t>in</w:t>
      </w:r>
      <w:r>
        <w:rPr>
          <w:i/>
          <w:spacing w:val="-5"/>
        </w:rPr>
        <w:t xml:space="preserve"> </w:t>
      </w:r>
      <w:r>
        <w:rPr>
          <w:i/>
          <w:spacing w:val="-2"/>
        </w:rPr>
        <w:t>patients</w:t>
      </w:r>
      <w:r>
        <w:rPr>
          <w:i/>
          <w:spacing w:val="-4"/>
        </w:rPr>
        <w:t xml:space="preserve"> </w:t>
      </w:r>
      <w:r>
        <w:rPr>
          <w:i/>
          <w:spacing w:val="-2"/>
        </w:rPr>
        <w:t>with</w:t>
      </w:r>
      <w:r>
        <w:rPr>
          <w:i/>
          <w:spacing w:val="-6"/>
        </w:rPr>
        <w:t xml:space="preserve"> </w:t>
      </w:r>
      <w:r>
        <w:rPr>
          <w:i/>
          <w:spacing w:val="-2"/>
        </w:rPr>
        <w:t>bone</w:t>
      </w:r>
      <w:r>
        <w:rPr>
          <w:i/>
          <w:spacing w:val="-9"/>
        </w:rPr>
        <w:t xml:space="preserve"> </w:t>
      </w:r>
      <w:r>
        <w:rPr>
          <w:i/>
          <w:spacing w:val="-2"/>
        </w:rPr>
        <w:t>metastases</w:t>
      </w:r>
      <w:r>
        <w:rPr>
          <w:i/>
          <w:spacing w:val="-7"/>
        </w:rPr>
        <w:t xml:space="preserve"> </w:t>
      </w:r>
      <w:r>
        <w:rPr>
          <w:i/>
          <w:spacing w:val="-2"/>
        </w:rPr>
        <w:t>from</w:t>
      </w:r>
      <w:r>
        <w:rPr>
          <w:i/>
          <w:spacing w:val="-7"/>
        </w:rPr>
        <w:t xml:space="preserve"> </w:t>
      </w:r>
      <w:r>
        <w:rPr>
          <w:i/>
          <w:spacing w:val="-2"/>
        </w:rPr>
        <w:t>solid</w:t>
      </w:r>
      <w:r>
        <w:rPr>
          <w:i/>
          <w:spacing w:val="-7"/>
        </w:rPr>
        <w:t xml:space="preserve"> </w:t>
      </w:r>
      <w:proofErr w:type="spellStart"/>
      <w:r>
        <w:rPr>
          <w:i/>
          <w:spacing w:val="-2"/>
        </w:rPr>
        <w:t>tumours</w:t>
      </w:r>
      <w:proofErr w:type="spellEnd"/>
    </w:p>
    <w:p w14:paraId="0D243899" w14:textId="77777777" w:rsidR="00AE135B" w:rsidRDefault="00AE135B">
      <w:pPr>
        <w:pStyle w:val="BodyText"/>
        <w:spacing w:before="12"/>
        <w:ind w:left="0"/>
        <w:rPr>
          <w:i/>
        </w:rPr>
      </w:pPr>
    </w:p>
    <w:p w14:paraId="419BEEB8" w14:textId="77777777" w:rsidR="00AE135B" w:rsidRDefault="00EE5424" w:rsidP="00320262">
      <w:pPr>
        <w:pStyle w:val="BodyText"/>
        <w:spacing w:before="1" w:line="379" w:lineRule="auto"/>
        <w:jc w:val="both"/>
      </w:pPr>
      <w:r>
        <w:t>Efficacy and safety of 120 mg denosumab subcutaneously every 4 weeks or 4 mg zoledronic acid (dose-adjusted for reduced renal function) IV every 4 weeks</w:t>
      </w:r>
      <w:r>
        <w:rPr>
          <w:spacing w:val="-1"/>
        </w:rPr>
        <w:t xml:space="preserve"> </w:t>
      </w:r>
      <w:r>
        <w:t xml:space="preserve">were compared in three </w:t>
      </w:r>
      <w:proofErr w:type="spellStart"/>
      <w:r>
        <w:t>randomised</w:t>
      </w:r>
      <w:proofErr w:type="spellEnd"/>
      <w:r>
        <w:t xml:space="preserve">, double blind, </w:t>
      </w:r>
      <w:r>
        <w:rPr>
          <w:spacing w:val="-2"/>
        </w:rPr>
        <w:t>active</w:t>
      </w:r>
      <w:r>
        <w:rPr>
          <w:spacing w:val="-5"/>
        </w:rPr>
        <w:t xml:space="preserve"> </w:t>
      </w:r>
      <w:r>
        <w:rPr>
          <w:spacing w:val="-2"/>
        </w:rPr>
        <w:t>controlled</w:t>
      </w:r>
      <w:r>
        <w:rPr>
          <w:spacing w:val="1"/>
        </w:rPr>
        <w:t xml:space="preserve"> </w:t>
      </w:r>
      <w:r>
        <w:rPr>
          <w:spacing w:val="-2"/>
        </w:rPr>
        <w:t>studies,</w:t>
      </w:r>
      <w:r>
        <w:rPr>
          <w:spacing w:val="-1"/>
        </w:rPr>
        <w:t xml:space="preserve"> </w:t>
      </w:r>
      <w:r>
        <w:rPr>
          <w:spacing w:val="-2"/>
        </w:rPr>
        <w:t>in</w:t>
      </w:r>
      <w:r>
        <w:rPr>
          <w:spacing w:val="-3"/>
        </w:rPr>
        <w:t xml:space="preserve"> </w:t>
      </w:r>
      <w:r>
        <w:rPr>
          <w:spacing w:val="-2"/>
        </w:rPr>
        <w:t>IV-bisphosphonates</w:t>
      </w:r>
      <w:r>
        <w:rPr>
          <w:spacing w:val="-1"/>
        </w:rPr>
        <w:t xml:space="preserve"> </w:t>
      </w:r>
      <w:r>
        <w:rPr>
          <w:spacing w:val="-2"/>
        </w:rPr>
        <w:t>naïve</w:t>
      </w:r>
      <w:r>
        <w:rPr>
          <w:spacing w:val="-4"/>
        </w:rPr>
        <w:t xml:space="preserve"> </w:t>
      </w:r>
      <w:r>
        <w:rPr>
          <w:spacing w:val="-2"/>
        </w:rPr>
        <w:t>patients</w:t>
      </w:r>
      <w:r>
        <w:rPr>
          <w:spacing w:val="-3"/>
        </w:rPr>
        <w:t xml:space="preserve"> </w:t>
      </w:r>
      <w:r>
        <w:rPr>
          <w:spacing w:val="-2"/>
        </w:rPr>
        <w:t>with</w:t>
      </w:r>
      <w:r>
        <w:t xml:space="preserve"> </w:t>
      </w:r>
      <w:r>
        <w:rPr>
          <w:spacing w:val="-2"/>
        </w:rPr>
        <w:t>advanced</w:t>
      </w:r>
      <w:r>
        <w:rPr>
          <w:spacing w:val="-4"/>
        </w:rPr>
        <w:t xml:space="preserve"> </w:t>
      </w:r>
      <w:r>
        <w:rPr>
          <w:spacing w:val="-2"/>
        </w:rPr>
        <w:t>malignancies</w:t>
      </w:r>
      <w:r>
        <w:rPr>
          <w:spacing w:val="2"/>
        </w:rPr>
        <w:t xml:space="preserve"> </w:t>
      </w:r>
      <w:r>
        <w:rPr>
          <w:spacing w:val="-2"/>
        </w:rPr>
        <w:t>involving</w:t>
      </w:r>
      <w:r>
        <w:t xml:space="preserve"> </w:t>
      </w:r>
      <w:r>
        <w:rPr>
          <w:spacing w:val="-2"/>
        </w:rPr>
        <w:t>bone.</w:t>
      </w:r>
    </w:p>
    <w:p w14:paraId="2B6717BE" w14:textId="4F0A3C59" w:rsidR="00AE135B" w:rsidRDefault="00EE5424" w:rsidP="00320262">
      <w:pPr>
        <w:pStyle w:val="BodyText"/>
        <w:spacing w:before="1" w:line="379" w:lineRule="auto"/>
        <w:jc w:val="both"/>
      </w:pPr>
      <w:r>
        <w:t>A</w:t>
      </w:r>
      <w:r w:rsidRPr="00320262">
        <w:t xml:space="preserve"> </w:t>
      </w:r>
      <w:r>
        <w:t>total</w:t>
      </w:r>
      <w:r w:rsidRPr="00320262">
        <w:t xml:space="preserve"> </w:t>
      </w:r>
      <w:r>
        <w:t>of</w:t>
      </w:r>
      <w:r w:rsidRPr="00320262">
        <w:t xml:space="preserve"> </w:t>
      </w:r>
      <w:r>
        <w:t>2,046</w:t>
      </w:r>
      <w:r w:rsidRPr="00320262">
        <w:t xml:space="preserve"> </w:t>
      </w:r>
      <w:r>
        <w:t>adults</w:t>
      </w:r>
      <w:r w:rsidRPr="00320262">
        <w:t xml:space="preserve"> </w:t>
      </w:r>
      <w:r>
        <w:t>with</w:t>
      </w:r>
      <w:r w:rsidRPr="00320262">
        <w:t xml:space="preserve"> </w:t>
      </w:r>
      <w:r>
        <w:t>breast</w:t>
      </w:r>
      <w:r w:rsidRPr="00320262">
        <w:t xml:space="preserve"> </w:t>
      </w:r>
      <w:r>
        <w:t>cancer</w:t>
      </w:r>
      <w:r w:rsidRPr="00320262">
        <w:t xml:space="preserve"> </w:t>
      </w:r>
      <w:r>
        <w:t>with</w:t>
      </w:r>
      <w:r w:rsidRPr="00320262">
        <w:t xml:space="preserve"> </w:t>
      </w:r>
      <w:r>
        <w:t>at</w:t>
      </w:r>
      <w:r w:rsidRPr="00320262">
        <w:t xml:space="preserve"> </w:t>
      </w:r>
      <w:r>
        <w:t>least</w:t>
      </w:r>
      <w:r w:rsidRPr="00320262">
        <w:t xml:space="preserve"> </w:t>
      </w:r>
      <w:r>
        <w:t>one</w:t>
      </w:r>
      <w:r w:rsidRPr="00320262">
        <w:t xml:space="preserve"> </w:t>
      </w:r>
      <w:r>
        <w:t>bone</w:t>
      </w:r>
      <w:r w:rsidRPr="00320262">
        <w:t xml:space="preserve"> </w:t>
      </w:r>
      <w:r>
        <w:t>metastasis</w:t>
      </w:r>
      <w:r w:rsidRPr="00320262">
        <w:t xml:space="preserve"> </w:t>
      </w:r>
      <w:r>
        <w:t>(Study</w:t>
      </w:r>
      <w:r w:rsidRPr="00320262">
        <w:t xml:space="preserve"> </w:t>
      </w:r>
      <w:r>
        <w:t>20050136),</w:t>
      </w:r>
      <w:r w:rsidRPr="00320262">
        <w:t xml:space="preserve"> </w:t>
      </w:r>
      <w:r>
        <w:t>1,776</w:t>
      </w:r>
      <w:r w:rsidRPr="00320262">
        <w:t xml:space="preserve"> adults</w:t>
      </w:r>
      <w:r w:rsidR="00320262">
        <w:t xml:space="preserve"> </w:t>
      </w:r>
      <w:r>
        <w:t xml:space="preserve">with other solid </w:t>
      </w:r>
      <w:proofErr w:type="spellStart"/>
      <w:r>
        <w:t>tumours</w:t>
      </w:r>
      <w:proofErr w:type="spellEnd"/>
      <w:r>
        <w:t xml:space="preserve"> (including non-small cell lung cancer, renal cell cancer, colorectal cancer, small cell lung cancer, bladder cancer, head and neck cancer, gastrointestinal/genitourinary cancer and others, excluding breast and prostate cancer) with at least one bone metastasis or multiple myeloma (Study 20050244),</w:t>
      </w:r>
      <w:r w:rsidRPr="00320262">
        <w:t xml:space="preserve"> </w:t>
      </w:r>
      <w:r>
        <w:t>and</w:t>
      </w:r>
      <w:r w:rsidRPr="00320262">
        <w:t xml:space="preserve"> </w:t>
      </w:r>
      <w:r>
        <w:t>1,901</w:t>
      </w:r>
      <w:r w:rsidRPr="00320262">
        <w:t xml:space="preserve"> </w:t>
      </w:r>
      <w:r>
        <w:t>men</w:t>
      </w:r>
      <w:r w:rsidRPr="00320262">
        <w:t xml:space="preserve"> </w:t>
      </w:r>
      <w:r>
        <w:t>with</w:t>
      </w:r>
      <w:r w:rsidRPr="00320262">
        <w:t xml:space="preserve"> </w:t>
      </w:r>
      <w:r>
        <w:t>castrate-resistant</w:t>
      </w:r>
      <w:r w:rsidRPr="00320262">
        <w:t xml:space="preserve"> </w:t>
      </w:r>
      <w:r>
        <w:t>prostate</w:t>
      </w:r>
      <w:r w:rsidRPr="00320262">
        <w:t xml:space="preserve"> </w:t>
      </w:r>
      <w:r>
        <w:t>cancer</w:t>
      </w:r>
      <w:r w:rsidRPr="00320262">
        <w:t xml:space="preserve"> </w:t>
      </w:r>
      <w:r>
        <w:t>with</w:t>
      </w:r>
      <w:r w:rsidRPr="00320262">
        <w:t xml:space="preserve"> </w:t>
      </w:r>
      <w:r>
        <w:t>at</w:t>
      </w:r>
      <w:r w:rsidRPr="00320262">
        <w:t xml:space="preserve"> </w:t>
      </w:r>
      <w:r>
        <w:t>least</w:t>
      </w:r>
      <w:r w:rsidRPr="00320262">
        <w:t xml:space="preserve"> </w:t>
      </w:r>
      <w:r>
        <w:t>one</w:t>
      </w:r>
      <w:r w:rsidRPr="00320262">
        <w:t xml:space="preserve"> </w:t>
      </w:r>
      <w:r>
        <w:t>bone</w:t>
      </w:r>
      <w:r w:rsidRPr="00320262">
        <w:t xml:space="preserve"> </w:t>
      </w:r>
      <w:r>
        <w:t>metastasis</w:t>
      </w:r>
      <w:r w:rsidRPr="00320262">
        <w:t xml:space="preserve"> </w:t>
      </w:r>
      <w:r>
        <w:t>(Study 20050103)</w:t>
      </w:r>
      <w:r w:rsidRPr="00320262">
        <w:t xml:space="preserve"> </w:t>
      </w:r>
      <w:r>
        <w:t>were</w:t>
      </w:r>
      <w:r w:rsidRPr="00320262">
        <w:t xml:space="preserve"> </w:t>
      </w:r>
      <w:r>
        <w:t>included.</w:t>
      </w:r>
      <w:r w:rsidRPr="00320262">
        <w:t xml:space="preserve"> </w:t>
      </w:r>
      <w:r>
        <w:t>The</w:t>
      </w:r>
      <w:r w:rsidRPr="00320262">
        <w:t xml:space="preserve"> </w:t>
      </w:r>
      <w:r>
        <w:t>primary</w:t>
      </w:r>
      <w:r w:rsidRPr="00320262">
        <w:t xml:space="preserve"> </w:t>
      </w:r>
      <w:r>
        <w:t>and</w:t>
      </w:r>
      <w:r w:rsidRPr="00320262">
        <w:t xml:space="preserve"> </w:t>
      </w:r>
      <w:r>
        <w:t>secondary</w:t>
      </w:r>
      <w:r w:rsidRPr="00320262">
        <w:t xml:space="preserve"> </w:t>
      </w:r>
      <w:r>
        <w:t>endpoints</w:t>
      </w:r>
      <w:r w:rsidRPr="00320262">
        <w:t xml:space="preserve"> </w:t>
      </w:r>
      <w:r>
        <w:t>evaluated</w:t>
      </w:r>
      <w:r w:rsidRPr="00320262">
        <w:t xml:space="preserve"> </w:t>
      </w:r>
      <w:r>
        <w:t>the</w:t>
      </w:r>
      <w:r w:rsidRPr="00320262">
        <w:t xml:space="preserve"> </w:t>
      </w:r>
      <w:r>
        <w:t>occurrence</w:t>
      </w:r>
      <w:r w:rsidRPr="00320262">
        <w:t xml:space="preserve"> </w:t>
      </w:r>
      <w:r>
        <w:t>of</w:t>
      </w:r>
      <w:r w:rsidRPr="00320262">
        <w:t xml:space="preserve"> </w:t>
      </w:r>
      <w:r>
        <w:t>one</w:t>
      </w:r>
      <w:r w:rsidRPr="00320262">
        <w:t xml:space="preserve"> </w:t>
      </w:r>
      <w:r>
        <w:t>or</w:t>
      </w:r>
      <w:r w:rsidRPr="00320262">
        <w:t xml:space="preserve"> </w:t>
      </w:r>
      <w:r>
        <w:t>more skeletal related events (SREs) defined as any of the following: pathologic fracture, radiation therapy to bone, surgery to bone or spinal cord compression.</w:t>
      </w:r>
    </w:p>
    <w:p w14:paraId="2D0694EA" w14:textId="77777777" w:rsidR="00AE135B" w:rsidRDefault="00EE5424" w:rsidP="00320262">
      <w:pPr>
        <w:pStyle w:val="BodyText"/>
        <w:spacing w:before="248" w:line="360" w:lineRule="auto"/>
        <w:ind w:right="181" w:firstLine="48"/>
        <w:jc w:val="both"/>
      </w:pPr>
      <w:r>
        <w:t xml:space="preserve">Denosumab reduced the risk of developing a </w:t>
      </w:r>
      <w:proofErr w:type="gramStart"/>
      <w:r>
        <w:t>SRE, or</w:t>
      </w:r>
      <w:proofErr w:type="gramEnd"/>
      <w:r>
        <w:t xml:space="preserve"> developing multiple SREs (first and subsequent) in patients with advanced malignancies involving bone (see Figure 1 and Table 2).</w:t>
      </w:r>
    </w:p>
    <w:p w14:paraId="708B9405" w14:textId="77777777" w:rsidR="00AE135B" w:rsidRDefault="00EE5424" w:rsidP="00EE5424">
      <w:pPr>
        <w:pStyle w:val="Heading3"/>
        <w:pageBreakBefore/>
        <w:spacing w:before="90"/>
        <w:ind w:left="2217"/>
      </w:pPr>
      <w:r>
        <w:lastRenderedPageBreak/>
        <w:t>Figure</w:t>
      </w:r>
      <w:r>
        <w:rPr>
          <w:spacing w:val="-15"/>
        </w:rPr>
        <w:t xml:space="preserve"> </w:t>
      </w:r>
      <w:r>
        <w:t>1.</w:t>
      </w:r>
      <w:r>
        <w:rPr>
          <w:spacing w:val="18"/>
        </w:rPr>
        <w:t xml:space="preserve"> </w:t>
      </w:r>
      <w:r>
        <w:t>Kaplan-Meier</w:t>
      </w:r>
      <w:r>
        <w:rPr>
          <w:spacing w:val="-12"/>
        </w:rPr>
        <w:t xml:space="preserve"> </w:t>
      </w:r>
      <w:r>
        <w:t>Plot</w:t>
      </w:r>
      <w:r>
        <w:rPr>
          <w:spacing w:val="-13"/>
        </w:rPr>
        <w:t xml:space="preserve"> </w:t>
      </w:r>
      <w:r>
        <w:t>of</w:t>
      </w:r>
      <w:r>
        <w:rPr>
          <w:spacing w:val="-12"/>
        </w:rPr>
        <w:t xml:space="preserve"> </w:t>
      </w:r>
      <w:r>
        <w:t>Time</w:t>
      </w:r>
      <w:r>
        <w:rPr>
          <w:spacing w:val="-13"/>
        </w:rPr>
        <w:t xml:space="preserve"> </w:t>
      </w:r>
      <w:r>
        <w:t>to</w:t>
      </w:r>
      <w:r>
        <w:rPr>
          <w:spacing w:val="-12"/>
        </w:rPr>
        <w:t xml:space="preserve"> </w:t>
      </w:r>
      <w:r>
        <w:t>First</w:t>
      </w:r>
      <w:r>
        <w:rPr>
          <w:spacing w:val="-12"/>
        </w:rPr>
        <w:t xml:space="preserve"> </w:t>
      </w:r>
      <w:r>
        <w:t>On-Study</w:t>
      </w:r>
      <w:r>
        <w:rPr>
          <w:spacing w:val="-12"/>
        </w:rPr>
        <w:t xml:space="preserve"> </w:t>
      </w:r>
      <w:r>
        <w:rPr>
          <w:spacing w:val="-5"/>
        </w:rPr>
        <w:t>SRE</w:t>
      </w:r>
    </w:p>
    <w:p w14:paraId="35BA7ACE" w14:textId="77777777" w:rsidR="00AE135B" w:rsidRDefault="00EE5424" w:rsidP="00320262">
      <w:pPr>
        <w:pStyle w:val="BodyText"/>
        <w:ind w:left="0"/>
        <w:jc w:val="center"/>
        <w:rPr>
          <w:b/>
          <w:sz w:val="20"/>
        </w:rPr>
      </w:pPr>
      <w:r>
        <w:rPr>
          <w:b/>
          <w:noProof/>
          <w:sz w:val="20"/>
        </w:rPr>
        <w:drawing>
          <wp:inline distT="0" distB="0" distL="0" distR="0" wp14:anchorId="207B44FC" wp14:editId="7E588615">
            <wp:extent cx="4445627" cy="4369308"/>
            <wp:effectExtent l="0" t="0" r="0" b="0"/>
            <wp:docPr id="3" name="Image 3" descr="Figure 1. Kaplan-Meier Plot of Time to First On-Study S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Figure 1. Kaplan-Meier Plot of Time to First On-Study S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5627" cy="4369308"/>
                    </a:xfrm>
                    <a:prstGeom prst="rect">
                      <a:avLst/>
                    </a:prstGeom>
                  </pic:spPr>
                </pic:pic>
              </a:graphicData>
            </a:graphic>
          </wp:inline>
        </w:drawing>
      </w:r>
    </w:p>
    <w:p w14:paraId="4E05F565" w14:textId="77777777" w:rsidR="00AE135B" w:rsidRDefault="00EE5424">
      <w:pPr>
        <w:ind w:left="1346"/>
        <w:rPr>
          <w:spacing w:val="-2"/>
          <w:sz w:val="18"/>
        </w:rPr>
      </w:pPr>
      <w:r>
        <w:rPr>
          <w:sz w:val="18"/>
        </w:rPr>
        <w:t>N</w:t>
      </w:r>
      <w:r>
        <w:rPr>
          <w:spacing w:val="-5"/>
          <w:sz w:val="18"/>
        </w:rPr>
        <w:t xml:space="preserve"> </w:t>
      </w:r>
      <w:r>
        <w:rPr>
          <w:sz w:val="18"/>
        </w:rPr>
        <w:t xml:space="preserve">= </w:t>
      </w:r>
      <w:proofErr w:type="gramStart"/>
      <w:r>
        <w:rPr>
          <w:sz w:val="18"/>
        </w:rPr>
        <w:t>number</w:t>
      </w:r>
      <w:r>
        <w:rPr>
          <w:spacing w:val="-3"/>
          <w:sz w:val="18"/>
        </w:rPr>
        <w:t xml:space="preserve"> </w:t>
      </w:r>
      <w:r>
        <w:rPr>
          <w:sz w:val="18"/>
        </w:rPr>
        <w:t>of</w:t>
      </w:r>
      <w:r>
        <w:rPr>
          <w:spacing w:val="-5"/>
          <w:sz w:val="18"/>
        </w:rPr>
        <w:t xml:space="preserve"> </w:t>
      </w:r>
      <w:r>
        <w:rPr>
          <w:sz w:val="18"/>
        </w:rPr>
        <w:t>patients</w:t>
      </w:r>
      <w:r>
        <w:rPr>
          <w:spacing w:val="-1"/>
          <w:sz w:val="18"/>
        </w:rPr>
        <w:t xml:space="preserve"> </w:t>
      </w:r>
      <w:r>
        <w:rPr>
          <w:spacing w:val="-2"/>
          <w:sz w:val="18"/>
        </w:rPr>
        <w:t>randomized</w:t>
      </w:r>
      <w:proofErr w:type="gramEnd"/>
    </w:p>
    <w:p w14:paraId="5F50549B" w14:textId="77777777" w:rsidR="00320262" w:rsidRDefault="00320262" w:rsidP="00320262"/>
    <w:p w14:paraId="106A2EC3" w14:textId="77777777" w:rsidR="00AE135B" w:rsidRDefault="00EE5424">
      <w:pPr>
        <w:pStyle w:val="Heading3"/>
        <w:spacing w:before="39"/>
        <w:ind w:left="564"/>
      </w:pPr>
      <w:r>
        <w:rPr>
          <w:spacing w:val="-2"/>
        </w:rPr>
        <w:t>Table</w:t>
      </w:r>
      <w:r>
        <w:rPr>
          <w:spacing w:val="-9"/>
        </w:rPr>
        <w:t xml:space="preserve"> </w:t>
      </w:r>
      <w:r>
        <w:rPr>
          <w:spacing w:val="-2"/>
        </w:rPr>
        <w:t>2.</w:t>
      </w:r>
      <w:r>
        <w:rPr>
          <w:spacing w:val="51"/>
        </w:rPr>
        <w:t xml:space="preserve"> </w:t>
      </w:r>
      <w:r>
        <w:rPr>
          <w:spacing w:val="-2"/>
        </w:rPr>
        <w:t>Efficacy</w:t>
      </w:r>
      <w:r>
        <w:rPr>
          <w:spacing w:val="-5"/>
        </w:rPr>
        <w:t xml:space="preserve"> </w:t>
      </w:r>
      <w:r>
        <w:rPr>
          <w:spacing w:val="-2"/>
        </w:rPr>
        <w:t>Results in</w:t>
      </w:r>
      <w:r>
        <w:rPr>
          <w:spacing w:val="-8"/>
        </w:rPr>
        <w:t xml:space="preserve"> </w:t>
      </w:r>
      <w:r>
        <w:rPr>
          <w:spacing w:val="-2"/>
        </w:rPr>
        <w:t>Patients</w:t>
      </w:r>
      <w:r>
        <w:rPr>
          <w:spacing w:val="-6"/>
        </w:rPr>
        <w:t xml:space="preserve"> </w:t>
      </w:r>
      <w:r>
        <w:rPr>
          <w:spacing w:val="-2"/>
        </w:rPr>
        <w:t>with</w:t>
      </w:r>
      <w:r>
        <w:rPr>
          <w:spacing w:val="-5"/>
        </w:rPr>
        <w:t xml:space="preserve"> </w:t>
      </w:r>
      <w:r>
        <w:rPr>
          <w:spacing w:val="-2"/>
        </w:rPr>
        <w:t>Advanced</w:t>
      </w:r>
      <w:r>
        <w:rPr>
          <w:spacing w:val="-1"/>
        </w:rPr>
        <w:t xml:space="preserve"> </w:t>
      </w:r>
      <w:r>
        <w:rPr>
          <w:spacing w:val="-2"/>
        </w:rPr>
        <w:t>Malignancies</w:t>
      </w:r>
      <w:r>
        <w:rPr>
          <w:spacing w:val="-5"/>
        </w:rPr>
        <w:t xml:space="preserve"> </w:t>
      </w:r>
      <w:r>
        <w:rPr>
          <w:spacing w:val="-2"/>
        </w:rPr>
        <w:t xml:space="preserve">Involving </w:t>
      </w:r>
      <w:r>
        <w:rPr>
          <w:spacing w:val="-4"/>
        </w:rPr>
        <w:t>Bone</w:t>
      </w:r>
    </w:p>
    <w:p w14:paraId="54909F64" w14:textId="77777777" w:rsidR="00AE135B" w:rsidRDefault="00AE135B">
      <w:pPr>
        <w:pStyle w:val="BodyText"/>
        <w:spacing w:before="3" w:after="1"/>
        <w:ind w:left="0"/>
        <w:rPr>
          <w:b/>
          <w:sz w:val="8"/>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901"/>
        <w:gridCol w:w="900"/>
        <w:gridCol w:w="1018"/>
        <w:gridCol w:w="1042"/>
        <w:gridCol w:w="912"/>
        <w:gridCol w:w="973"/>
        <w:gridCol w:w="917"/>
        <w:gridCol w:w="898"/>
      </w:tblGrid>
      <w:tr w:rsidR="00320262" w14:paraId="11C06C23" w14:textId="77777777" w:rsidTr="00320262">
        <w:trPr>
          <w:trHeight w:val="1077"/>
          <w:tblHeader/>
        </w:trPr>
        <w:tc>
          <w:tcPr>
            <w:tcW w:w="1440" w:type="dxa"/>
            <w:vMerge w:val="restart"/>
          </w:tcPr>
          <w:p w14:paraId="4B3FB424" w14:textId="77777777" w:rsidR="00320262" w:rsidRDefault="00320262">
            <w:pPr>
              <w:pStyle w:val="TableParagraph"/>
              <w:spacing w:before="0"/>
              <w:ind w:left="0"/>
              <w:rPr>
                <w:rFonts w:ascii="Times New Roman"/>
                <w:sz w:val="18"/>
              </w:rPr>
            </w:pPr>
          </w:p>
        </w:tc>
        <w:tc>
          <w:tcPr>
            <w:tcW w:w="1801" w:type="dxa"/>
            <w:gridSpan w:val="2"/>
          </w:tcPr>
          <w:p w14:paraId="65EEA9BC" w14:textId="77777777" w:rsidR="00320262" w:rsidRDefault="00320262">
            <w:pPr>
              <w:pStyle w:val="TableParagraph"/>
              <w:spacing w:before="92" w:line="276" w:lineRule="auto"/>
              <w:ind w:left="304" w:hanging="92"/>
              <w:rPr>
                <w:rFonts w:ascii="Arial"/>
                <w:b/>
                <w:sz w:val="18"/>
              </w:rPr>
            </w:pPr>
            <w:r>
              <w:rPr>
                <w:rFonts w:ascii="Arial"/>
                <w:b/>
                <w:spacing w:val="-4"/>
                <w:sz w:val="18"/>
              </w:rPr>
              <w:t>Study</w:t>
            </w:r>
            <w:r>
              <w:rPr>
                <w:rFonts w:ascii="Arial"/>
                <w:b/>
                <w:spacing w:val="-16"/>
                <w:sz w:val="18"/>
              </w:rPr>
              <w:t xml:space="preserve"> </w:t>
            </w:r>
            <w:r>
              <w:rPr>
                <w:rFonts w:ascii="Arial"/>
                <w:b/>
                <w:spacing w:val="-4"/>
                <w:sz w:val="18"/>
              </w:rPr>
              <w:t xml:space="preserve">20050136 </w:t>
            </w:r>
            <w:r>
              <w:rPr>
                <w:rFonts w:ascii="Arial"/>
                <w:b/>
                <w:sz w:val="18"/>
              </w:rPr>
              <w:t>breast</w:t>
            </w:r>
            <w:r>
              <w:rPr>
                <w:rFonts w:ascii="Arial"/>
                <w:b/>
                <w:spacing w:val="-2"/>
                <w:sz w:val="18"/>
              </w:rPr>
              <w:t xml:space="preserve"> cancer</w:t>
            </w:r>
          </w:p>
        </w:tc>
        <w:tc>
          <w:tcPr>
            <w:tcW w:w="2060" w:type="dxa"/>
            <w:gridSpan w:val="2"/>
          </w:tcPr>
          <w:p w14:paraId="0FF27747" w14:textId="77777777" w:rsidR="00320262" w:rsidRDefault="00320262">
            <w:pPr>
              <w:pStyle w:val="TableParagraph"/>
              <w:spacing w:before="90" w:line="278" w:lineRule="auto"/>
              <w:ind w:left="176" w:right="29" w:firstLine="182"/>
              <w:rPr>
                <w:rFonts w:ascii="Arial"/>
                <w:b/>
                <w:sz w:val="18"/>
              </w:rPr>
            </w:pPr>
            <w:r>
              <w:rPr>
                <w:rFonts w:ascii="Arial"/>
                <w:b/>
                <w:sz w:val="18"/>
              </w:rPr>
              <w:t>Study 20050244 other</w:t>
            </w:r>
            <w:r>
              <w:rPr>
                <w:rFonts w:ascii="Arial"/>
                <w:b/>
                <w:spacing w:val="-3"/>
                <w:sz w:val="18"/>
              </w:rPr>
              <w:t xml:space="preserve"> </w:t>
            </w:r>
            <w:r>
              <w:rPr>
                <w:rFonts w:ascii="Arial"/>
                <w:b/>
                <w:sz w:val="18"/>
              </w:rPr>
              <w:t>solid</w:t>
            </w:r>
            <w:r>
              <w:rPr>
                <w:rFonts w:ascii="Arial"/>
                <w:b/>
                <w:spacing w:val="-3"/>
                <w:sz w:val="18"/>
              </w:rPr>
              <w:t xml:space="preserve"> </w:t>
            </w:r>
            <w:proofErr w:type="spellStart"/>
            <w:r>
              <w:rPr>
                <w:rFonts w:ascii="Arial"/>
                <w:b/>
                <w:sz w:val="18"/>
              </w:rPr>
              <w:t>tumours</w:t>
            </w:r>
            <w:proofErr w:type="spellEnd"/>
            <w:r>
              <w:rPr>
                <w:rFonts w:ascii="Arial"/>
                <w:b/>
                <w:sz w:val="18"/>
              </w:rPr>
              <w:t xml:space="preserve"> or</w:t>
            </w:r>
            <w:r>
              <w:rPr>
                <w:rFonts w:ascii="Arial"/>
                <w:b/>
                <w:spacing w:val="-7"/>
                <w:sz w:val="18"/>
              </w:rPr>
              <w:t xml:space="preserve"> </w:t>
            </w:r>
            <w:r>
              <w:rPr>
                <w:rFonts w:ascii="Arial"/>
                <w:b/>
                <w:sz w:val="18"/>
              </w:rPr>
              <w:t>multiple</w:t>
            </w:r>
            <w:r>
              <w:rPr>
                <w:rFonts w:ascii="Arial"/>
                <w:b/>
                <w:spacing w:val="-11"/>
                <w:sz w:val="18"/>
              </w:rPr>
              <w:t xml:space="preserve"> </w:t>
            </w:r>
            <w:r>
              <w:rPr>
                <w:rFonts w:ascii="Arial"/>
                <w:b/>
                <w:spacing w:val="-4"/>
                <w:sz w:val="18"/>
              </w:rPr>
              <w:t>myeloma</w:t>
            </w:r>
          </w:p>
        </w:tc>
        <w:tc>
          <w:tcPr>
            <w:tcW w:w="1885" w:type="dxa"/>
            <w:gridSpan w:val="2"/>
          </w:tcPr>
          <w:p w14:paraId="63D69A6F" w14:textId="77777777" w:rsidR="00320262" w:rsidRDefault="00320262">
            <w:pPr>
              <w:pStyle w:val="TableParagraph"/>
              <w:spacing w:before="92" w:line="276" w:lineRule="auto"/>
              <w:ind w:left="274" w:right="282" w:hanging="10"/>
              <w:rPr>
                <w:rFonts w:ascii="Arial"/>
                <w:b/>
                <w:sz w:val="18"/>
              </w:rPr>
            </w:pPr>
            <w:r>
              <w:rPr>
                <w:rFonts w:ascii="Arial"/>
                <w:b/>
                <w:spacing w:val="-2"/>
                <w:sz w:val="18"/>
              </w:rPr>
              <w:t>Study</w:t>
            </w:r>
            <w:r>
              <w:rPr>
                <w:rFonts w:ascii="Arial"/>
                <w:b/>
                <w:spacing w:val="-16"/>
                <w:sz w:val="18"/>
              </w:rPr>
              <w:t xml:space="preserve"> </w:t>
            </w:r>
            <w:r>
              <w:rPr>
                <w:rFonts w:ascii="Arial"/>
                <w:b/>
                <w:spacing w:val="-2"/>
                <w:sz w:val="18"/>
              </w:rPr>
              <w:t>20050103 prostate</w:t>
            </w:r>
            <w:r>
              <w:rPr>
                <w:rFonts w:ascii="Arial"/>
                <w:b/>
                <w:spacing w:val="-5"/>
                <w:sz w:val="18"/>
              </w:rPr>
              <w:t xml:space="preserve"> </w:t>
            </w:r>
            <w:r>
              <w:rPr>
                <w:rFonts w:ascii="Arial"/>
                <w:b/>
                <w:spacing w:val="-4"/>
                <w:sz w:val="18"/>
              </w:rPr>
              <w:t>cancer</w:t>
            </w:r>
          </w:p>
        </w:tc>
        <w:tc>
          <w:tcPr>
            <w:tcW w:w="1815" w:type="dxa"/>
            <w:gridSpan w:val="2"/>
          </w:tcPr>
          <w:p w14:paraId="3AEF84A4" w14:textId="77777777" w:rsidR="00320262" w:rsidRDefault="00320262">
            <w:pPr>
              <w:pStyle w:val="TableParagraph"/>
              <w:spacing w:before="92" w:line="276" w:lineRule="auto"/>
              <w:ind w:left="154" w:firstLine="288"/>
              <w:rPr>
                <w:rFonts w:ascii="Arial"/>
                <w:b/>
                <w:sz w:val="18"/>
              </w:rPr>
            </w:pPr>
            <w:r>
              <w:rPr>
                <w:rFonts w:ascii="Arial"/>
                <w:b/>
                <w:spacing w:val="-2"/>
                <w:sz w:val="18"/>
              </w:rPr>
              <w:t xml:space="preserve">Combined </w:t>
            </w:r>
            <w:r>
              <w:rPr>
                <w:rFonts w:ascii="Arial"/>
                <w:b/>
                <w:spacing w:val="-4"/>
                <w:sz w:val="18"/>
              </w:rPr>
              <w:t>advanced</w:t>
            </w:r>
            <w:r>
              <w:rPr>
                <w:rFonts w:ascii="Arial"/>
                <w:b/>
                <w:spacing w:val="-14"/>
                <w:sz w:val="18"/>
              </w:rPr>
              <w:t xml:space="preserve"> </w:t>
            </w:r>
            <w:r>
              <w:rPr>
                <w:rFonts w:ascii="Arial"/>
                <w:b/>
                <w:spacing w:val="-4"/>
                <w:sz w:val="18"/>
              </w:rPr>
              <w:t>cancer</w:t>
            </w:r>
          </w:p>
        </w:tc>
      </w:tr>
      <w:tr w:rsidR="00320262" w14:paraId="7B404857" w14:textId="77777777" w:rsidTr="00320262">
        <w:trPr>
          <w:trHeight w:val="599"/>
          <w:tblHeader/>
        </w:trPr>
        <w:tc>
          <w:tcPr>
            <w:tcW w:w="1440" w:type="dxa"/>
            <w:vMerge/>
          </w:tcPr>
          <w:p w14:paraId="1E01250D" w14:textId="77777777" w:rsidR="00320262" w:rsidRDefault="00320262">
            <w:pPr>
              <w:pStyle w:val="TableParagraph"/>
              <w:spacing w:before="0"/>
              <w:ind w:left="0"/>
              <w:rPr>
                <w:rFonts w:ascii="Times New Roman"/>
                <w:sz w:val="18"/>
              </w:rPr>
            </w:pPr>
          </w:p>
        </w:tc>
        <w:tc>
          <w:tcPr>
            <w:tcW w:w="901" w:type="dxa"/>
          </w:tcPr>
          <w:p w14:paraId="2CF72F40" w14:textId="77777777" w:rsidR="00320262" w:rsidRDefault="00320262">
            <w:pPr>
              <w:pStyle w:val="TableParagraph"/>
              <w:spacing w:before="90"/>
              <w:ind w:left="225" w:hanging="154"/>
              <w:rPr>
                <w:sz w:val="16"/>
              </w:rPr>
            </w:pPr>
            <w:r>
              <w:rPr>
                <w:spacing w:val="-4"/>
                <w:sz w:val="16"/>
              </w:rPr>
              <w:t>Denosumab</w:t>
            </w:r>
            <w:r>
              <w:rPr>
                <w:spacing w:val="40"/>
                <w:sz w:val="16"/>
              </w:rPr>
              <w:t xml:space="preserve"> </w:t>
            </w:r>
            <w:r>
              <w:rPr>
                <w:spacing w:val="-2"/>
                <w:sz w:val="16"/>
              </w:rPr>
              <w:t>(</w:t>
            </w:r>
            <w:proofErr w:type="spellStart"/>
            <w:r>
              <w:rPr>
                <w:spacing w:val="-2"/>
                <w:sz w:val="16"/>
              </w:rPr>
              <w:t>Xgeva</w:t>
            </w:r>
            <w:proofErr w:type="spellEnd"/>
            <w:r>
              <w:rPr>
                <w:spacing w:val="-2"/>
                <w:sz w:val="16"/>
              </w:rPr>
              <w:t>)</w:t>
            </w:r>
          </w:p>
        </w:tc>
        <w:tc>
          <w:tcPr>
            <w:tcW w:w="900" w:type="dxa"/>
          </w:tcPr>
          <w:p w14:paraId="21DC87B0" w14:textId="77777777" w:rsidR="00320262" w:rsidRDefault="00320262">
            <w:pPr>
              <w:pStyle w:val="TableParagraph"/>
              <w:spacing w:before="92" w:line="278" w:lineRule="auto"/>
              <w:ind w:left="323" w:hanging="202"/>
              <w:rPr>
                <w:sz w:val="16"/>
              </w:rPr>
            </w:pPr>
            <w:r>
              <w:rPr>
                <w:spacing w:val="-6"/>
                <w:sz w:val="16"/>
              </w:rPr>
              <w:t>zoledronic</w:t>
            </w:r>
            <w:r>
              <w:rPr>
                <w:spacing w:val="40"/>
                <w:sz w:val="16"/>
              </w:rPr>
              <w:t xml:space="preserve"> </w:t>
            </w:r>
            <w:r>
              <w:rPr>
                <w:spacing w:val="-4"/>
                <w:sz w:val="16"/>
              </w:rPr>
              <w:t>acid</w:t>
            </w:r>
          </w:p>
        </w:tc>
        <w:tc>
          <w:tcPr>
            <w:tcW w:w="1018" w:type="dxa"/>
          </w:tcPr>
          <w:p w14:paraId="244E31D2" w14:textId="77777777" w:rsidR="00320262" w:rsidRDefault="00320262">
            <w:pPr>
              <w:pStyle w:val="TableParagraph"/>
              <w:spacing w:before="90"/>
              <w:ind w:left="282" w:hanging="156"/>
              <w:rPr>
                <w:sz w:val="16"/>
              </w:rPr>
            </w:pPr>
            <w:r>
              <w:rPr>
                <w:spacing w:val="-4"/>
                <w:sz w:val="16"/>
              </w:rPr>
              <w:t>Denosumab</w:t>
            </w:r>
            <w:r>
              <w:rPr>
                <w:spacing w:val="40"/>
                <w:sz w:val="16"/>
              </w:rPr>
              <w:t xml:space="preserve"> </w:t>
            </w:r>
            <w:r>
              <w:rPr>
                <w:spacing w:val="-2"/>
                <w:sz w:val="16"/>
              </w:rPr>
              <w:t>(</w:t>
            </w:r>
            <w:proofErr w:type="spellStart"/>
            <w:r>
              <w:rPr>
                <w:spacing w:val="-2"/>
                <w:sz w:val="16"/>
              </w:rPr>
              <w:t>Xgeva</w:t>
            </w:r>
            <w:proofErr w:type="spellEnd"/>
            <w:r>
              <w:rPr>
                <w:spacing w:val="-2"/>
                <w:sz w:val="16"/>
              </w:rPr>
              <w:t>)</w:t>
            </w:r>
          </w:p>
        </w:tc>
        <w:tc>
          <w:tcPr>
            <w:tcW w:w="1042" w:type="dxa"/>
          </w:tcPr>
          <w:p w14:paraId="66DA18AF" w14:textId="77777777" w:rsidR="00320262" w:rsidRDefault="00320262">
            <w:pPr>
              <w:pStyle w:val="TableParagraph"/>
              <w:spacing w:before="92" w:line="278" w:lineRule="auto"/>
              <w:ind w:left="356" w:right="278" w:hanging="246"/>
              <w:rPr>
                <w:sz w:val="16"/>
              </w:rPr>
            </w:pPr>
            <w:r>
              <w:rPr>
                <w:spacing w:val="-6"/>
                <w:sz w:val="16"/>
              </w:rPr>
              <w:t>zoledronic</w:t>
            </w:r>
            <w:r>
              <w:rPr>
                <w:spacing w:val="40"/>
                <w:sz w:val="16"/>
              </w:rPr>
              <w:t xml:space="preserve"> </w:t>
            </w:r>
            <w:r>
              <w:rPr>
                <w:spacing w:val="-4"/>
                <w:sz w:val="16"/>
              </w:rPr>
              <w:t>acid</w:t>
            </w:r>
          </w:p>
        </w:tc>
        <w:tc>
          <w:tcPr>
            <w:tcW w:w="912" w:type="dxa"/>
          </w:tcPr>
          <w:p w14:paraId="57F1D1C8" w14:textId="77777777" w:rsidR="00320262" w:rsidRDefault="00320262">
            <w:pPr>
              <w:pStyle w:val="TableParagraph"/>
              <w:spacing w:before="90"/>
              <w:ind w:left="224" w:hanging="156"/>
              <w:rPr>
                <w:sz w:val="16"/>
              </w:rPr>
            </w:pPr>
            <w:r>
              <w:rPr>
                <w:spacing w:val="-4"/>
                <w:sz w:val="16"/>
              </w:rPr>
              <w:t>Denosumab</w:t>
            </w:r>
            <w:r>
              <w:rPr>
                <w:spacing w:val="40"/>
                <w:sz w:val="16"/>
              </w:rPr>
              <w:t xml:space="preserve"> </w:t>
            </w:r>
            <w:r>
              <w:rPr>
                <w:spacing w:val="-2"/>
                <w:sz w:val="16"/>
              </w:rPr>
              <w:t>(</w:t>
            </w:r>
            <w:proofErr w:type="spellStart"/>
            <w:r>
              <w:rPr>
                <w:spacing w:val="-2"/>
                <w:sz w:val="16"/>
              </w:rPr>
              <w:t>Xgeva</w:t>
            </w:r>
            <w:proofErr w:type="spellEnd"/>
            <w:r>
              <w:rPr>
                <w:spacing w:val="-2"/>
                <w:sz w:val="16"/>
              </w:rPr>
              <w:t>)</w:t>
            </w:r>
          </w:p>
        </w:tc>
        <w:tc>
          <w:tcPr>
            <w:tcW w:w="973" w:type="dxa"/>
          </w:tcPr>
          <w:p w14:paraId="7309C82F" w14:textId="77777777" w:rsidR="00320262" w:rsidRDefault="00320262">
            <w:pPr>
              <w:pStyle w:val="TableParagraph"/>
              <w:spacing w:before="92" w:line="278" w:lineRule="auto"/>
              <w:ind w:left="380" w:hanging="250"/>
              <w:rPr>
                <w:sz w:val="16"/>
              </w:rPr>
            </w:pPr>
            <w:r>
              <w:rPr>
                <w:spacing w:val="-6"/>
                <w:sz w:val="16"/>
              </w:rPr>
              <w:t>zoledronic</w:t>
            </w:r>
            <w:r>
              <w:rPr>
                <w:spacing w:val="40"/>
                <w:sz w:val="16"/>
              </w:rPr>
              <w:t xml:space="preserve"> </w:t>
            </w:r>
            <w:r>
              <w:rPr>
                <w:spacing w:val="-4"/>
                <w:sz w:val="16"/>
              </w:rPr>
              <w:t>acid</w:t>
            </w:r>
          </w:p>
        </w:tc>
        <w:tc>
          <w:tcPr>
            <w:tcW w:w="917" w:type="dxa"/>
          </w:tcPr>
          <w:p w14:paraId="5951ADCE" w14:textId="77777777" w:rsidR="00320262" w:rsidRDefault="00320262">
            <w:pPr>
              <w:pStyle w:val="TableParagraph"/>
              <w:spacing w:before="90"/>
              <w:ind w:left="226" w:hanging="156"/>
              <w:rPr>
                <w:sz w:val="16"/>
              </w:rPr>
            </w:pPr>
            <w:r>
              <w:rPr>
                <w:spacing w:val="-4"/>
                <w:sz w:val="16"/>
              </w:rPr>
              <w:t>Denosumab</w:t>
            </w:r>
            <w:r>
              <w:rPr>
                <w:spacing w:val="40"/>
                <w:sz w:val="16"/>
              </w:rPr>
              <w:t xml:space="preserve"> </w:t>
            </w:r>
            <w:r>
              <w:rPr>
                <w:spacing w:val="-2"/>
                <w:sz w:val="16"/>
              </w:rPr>
              <w:t>(</w:t>
            </w:r>
            <w:proofErr w:type="spellStart"/>
            <w:r>
              <w:rPr>
                <w:spacing w:val="-2"/>
                <w:sz w:val="16"/>
              </w:rPr>
              <w:t>Xgeva</w:t>
            </w:r>
            <w:proofErr w:type="spellEnd"/>
            <w:r>
              <w:rPr>
                <w:spacing w:val="-2"/>
                <w:sz w:val="16"/>
              </w:rPr>
              <w:t>)</w:t>
            </w:r>
          </w:p>
        </w:tc>
        <w:tc>
          <w:tcPr>
            <w:tcW w:w="898" w:type="dxa"/>
          </w:tcPr>
          <w:p w14:paraId="2D85A60F" w14:textId="77777777" w:rsidR="00320262" w:rsidRDefault="00320262">
            <w:pPr>
              <w:pStyle w:val="TableParagraph"/>
              <w:spacing w:before="92" w:line="278" w:lineRule="auto"/>
              <w:ind w:left="355" w:hanging="245"/>
              <w:rPr>
                <w:sz w:val="16"/>
              </w:rPr>
            </w:pPr>
            <w:r>
              <w:rPr>
                <w:spacing w:val="-6"/>
                <w:sz w:val="16"/>
              </w:rPr>
              <w:t>zoledronic</w:t>
            </w:r>
            <w:r>
              <w:rPr>
                <w:spacing w:val="40"/>
                <w:sz w:val="16"/>
              </w:rPr>
              <w:t xml:space="preserve"> </w:t>
            </w:r>
            <w:r>
              <w:rPr>
                <w:spacing w:val="-4"/>
                <w:sz w:val="16"/>
              </w:rPr>
              <w:t>acid</w:t>
            </w:r>
          </w:p>
        </w:tc>
      </w:tr>
      <w:tr w:rsidR="00AE135B" w14:paraId="6B9EE15F" w14:textId="77777777" w:rsidTr="00320262">
        <w:trPr>
          <w:trHeight w:val="362"/>
          <w:tblHeader/>
        </w:trPr>
        <w:tc>
          <w:tcPr>
            <w:tcW w:w="1440" w:type="dxa"/>
          </w:tcPr>
          <w:p w14:paraId="6C2428F7" w14:textId="77777777" w:rsidR="00AE135B" w:rsidRDefault="00EE5424">
            <w:pPr>
              <w:pStyle w:val="TableParagraph"/>
              <w:spacing w:before="95"/>
              <w:rPr>
                <w:rFonts w:ascii="Arial"/>
                <w:sz w:val="18"/>
              </w:rPr>
            </w:pPr>
            <w:r>
              <w:rPr>
                <w:rFonts w:ascii="Arial"/>
                <w:spacing w:val="-10"/>
                <w:sz w:val="18"/>
              </w:rPr>
              <w:t>N</w:t>
            </w:r>
          </w:p>
        </w:tc>
        <w:tc>
          <w:tcPr>
            <w:tcW w:w="901" w:type="dxa"/>
          </w:tcPr>
          <w:p w14:paraId="42447335" w14:textId="77777777" w:rsidR="00AE135B" w:rsidRDefault="00EE5424">
            <w:pPr>
              <w:pStyle w:val="TableParagraph"/>
              <w:spacing w:before="95"/>
              <w:ind w:left="36" w:right="6"/>
              <w:jc w:val="center"/>
              <w:rPr>
                <w:rFonts w:ascii="Arial"/>
                <w:sz w:val="18"/>
              </w:rPr>
            </w:pPr>
            <w:r>
              <w:rPr>
                <w:rFonts w:ascii="Arial"/>
                <w:spacing w:val="-4"/>
                <w:sz w:val="18"/>
              </w:rPr>
              <w:t>1026</w:t>
            </w:r>
          </w:p>
        </w:tc>
        <w:tc>
          <w:tcPr>
            <w:tcW w:w="900" w:type="dxa"/>
          </w:tcPr>
          <w:p w14:paraId="57048C3F" w14:textId="77777777" w:rsidR="00AE135B" w:rsidRDefault="00EE5424">
            <w:pPr>
              <w:pStyle w:val="TableParagraph"/>
              <w:spacing w:before="95"/>
              <w:ind w:left="31" w:right="6"/>
              <w:jc w:val="center"/>
              <w:rPr>
                <w:rFonts w:ascii="Arial"/>
                <w:sz w:val="18"/>
              </w:rPr>
            </w:pPr>
            <w:r>
              <w:rPr>
                <w:rFonts w:ascii="Arial"/>
                <w:spacing w:val="-4"/>
                <w:sz w:val="18"/>
              </w:rPr>
              <w:t>1020</w:t>
            </w:r>
          </w:p>
        </w:tc>
        <w:tc>
          <w:tcPr>
            <w:tcW w:w="1018" w:type="dxa"/>
          </w:tcPr>
          <w:p w14:paraId="64853E7A" w14:textId="77777777" w:rsidR="00AE135B" w:rsidRDefault="00EE5424">
            <w:pPr>
              <w:pStyle w:val="TableParagraph"/>
              <w:spacing w:before="95"/>
              <w:ind w:left="33" w:right="6"/>
              <w:jc w:val="center"/>
              <w:rPr>
                <w:rFonts w:ascii="Arial"/>
                <w:sz w:val="18"/>
              </w:rPr>
            </w:pPr>
            <w:r>
              <w:rPr>
                <w:rFonts w:ascii="Arial"/>
                <w:spacing w:val="-5"/>
                <w:sz w:val="18"/>
              </w:rPr>
              <w:t>886</w:t>
            </w:r>
          </w:p>
        </w:tc>
        <w:tc>
          <w:tcPr>
            <w:tcW w:w="1042" w:type="dxa"/>
          </w:tcPr>
          <w:p w14:paraId="66BAB63E" w14:textId="77777777" w:rsidR="00AE135B" w:rsidRDefault="00EE5424">
            <w:pPr>
              <w:pStyle w:val="TableParagraph"/>
              <w:spacing w:before="95"/>
              <w:ind w:left="24" w:right="7"/>
              <w:jc w:val="center"/>
              <w:rPr>
                <w:rFonts w:ascii="Arial"/>
                <w:sz w:val="18"/>
              </w:rPr>
            </w:pPr>
            <w:r>
              <w:rPr>
                <w:rFonts w:ascii="Arial"/>
                <w:spacing w:val="-5"/>
                <w:sz w:val="18"/>
              </w:rPr>
              <w:t>890</w:t>
            </w:r>
          </w:p>
        </w:tc>
        <w:tc>
          <w:tcPr>
            <w:tcW w:w="912" w:type="dxa"/>
          </w:tcPr>
          <w:p w14:paraId="23EE6641" w14:textId="77777777" w:rsidR="00AE135B" w:rsidRDefault="00EE5424">
            <w:pPr>
              <w:pStyle w:val="TableParagraph"/>
              <w:spacing w:before="95"/>
              <w:ind w:left="23" w:right="1"/>
              <w:jc w:val="center"/>
              <w:rPr>
                <w:rFonts w:ascii="Arial"/>
                <w:sz w:val="18"/>
              </w:rPr>
            </w:pPr>
            <w:r>
              <w:rPr>
                <w:rFonts w:ascii="Arial"/>
                <w:spacing w:val="-5"/>
                <w:sz w:val="18"/>
              </w:rPr>
              <w:t>950</w:t>
            </w:r>
          </w:p>
        </w:tc>
        <w:tc>
          <w:tcPr>
            <w:tcW w:w="973" w:type="dxa"/>
          </w:tcPr>
          <w:p w14:paraId="0BD59D83" w14:textId="77777777" w:rsidR="00AE135B" w:rsidRDefault="00EE5424">
            <w:pPr>
              <w:pStyle w:val="TableParagraph"/>
              <w:spacing w:before="95"/>
              <w:ind w:left="25" w:right="11"/>
              <w:jc w:val="center"/>
              <w:rPr>
                <w:rFonts w:ascii="Arial"/>
                <w:sz w:val="18"/>
              </w:rPr>
            </w:pPr>
            <w:r>
              <w:rPr>
                <w:rFonts w:ascii="Arial"/>
                <w:spacing w:val="-5"/>
                <w:sz w:val="18"/>
              </w:rPr>
              <w:t>951</w:t>
            </w:r>
          </w:p>
        </w:tc>
        <w:tc>
          <w:tcPr>
            <w:tcW w:w="917" w:type="dxa"/>
          </w:tcPr>
          <w:p w14:paraId="1D087286" w14:textId="77777777" w:rsidR="00AE135B" w:rsidRDefault="00EE5424">
            <w:pPr>
              <w:pStyle w:val="TableParagraph"/>
              <w:spacing w:before="95"/>
              <w:ind w:left="22" w:right="6"/>
              <w:jc w:val="center"/>
              <w:rPr>
                <w:rFonts w:ascii="Arial"/>
                <w:sz w:val="18"/>
              </w:rPr>
            </w:pPr>
            <w:r>
              <w:rPr>
                <w:rFonts w:ascii="Arial"/>
                <w:spacing w:val="-4"/>
                <w:sz w:val="18"/>
              </w:rPr>
              <w:t>2862</w:t>
            </w:r>
          </w:p>
        </w:tc>
        <w:tc>
          <w:tcPr>
            <w:tcW w:w="898" w:type="dxa"/>
          </w:tcPr>
          <w:p w14:paraId="681E408A" w14:textId="77777777" w:rsidR="00AE135B" w:rsidRDefault="00EE5424">
            <w:pPr>
              <w:pStyle w:val="TableParagraph"/>
              <w:spacing w:before="95"/>
              <w:ind w:left="22" w:right="2"/>
              <w:jc w:val="center"/>
              <w:rPr>
                <w:rFonts w:ascii="Arial"/>
                <w:sz w:val="18"/>
              </w:rPr>
            </w:pPr>
            <w:r>
              <w:rPr>
                <w:rFonts w:ascii="Arial"/>
                <w:spacing w:val="-4"/>
                <w:sz w:val="18"/>
              </w:rPr>
              <w:t>2861</w:t>
            </w:r>
          </w:p>
        </w:tc>
      </w:tr>
      <w:tr w:rsidR="00AE135B" w14:paraId="26279D64" w14:textId="77777777">
        <w:trPr>
          <w:trHeight w:val="357"/>
        </w:trPr>
        <w:tc>
          <w:tcPr>
            <w:tcW w:w="9001" w:type="dxa"/>
            <w:gridSpan w:val="9"/>
          </w:tcPr>
          <w:p w14:paraId="4938E14A" w14:textId="77777777" w:rsidR="00AE135B" w:rsidRDefault="00EE5424">
            <w:pPr>
              <w:pStyle w:val="TableParagraph"/>
              <w:spacing w:before="66"/>
              <w:rPr>
                <w:rFonts w:ascii="Arial"/>
                <w:b/>
                <w:sz w:val="20"/>
              </w:rPr>
            </w:pPr>
            <w:r>
              <w:rPr>
                <w:rFonts w:ascii="Arial"/>
                <w:b/>
                <w:sz w:val="20"/>
              </w:rPr>
              <w:t>First</w:t>
            </w:r>
            <w:r>
              <w:rPr>
                <w:rFonts w:ascii="Arial"/>
                <w:b/>
                <w:spacing w:val="-14"/>
                <w:sz w:val="20"/>
              </w:rPr>
              <w:t xml:space="preserve"> </w:t>
            </w:r>
            <w:r>
              <w:rPr>
                <w:rFonts w:ascii="Arial"/>
                <w:b/>
                <w:spacing w:val="-5"/>
                <w:sz w:val="20"/>
              </w:rPr>
              <w:t>SRE</w:t>
            </w:r>
          </w:p>
        </w:tc>
      </w:tr>
      <w:tr w:rsidR="00AE135B" w14:paraId="3216428C" w14:textId="77777777">
        <w:trPr>
          <w:trHeight w:val="600"/>
        </w:trPr>
        <w:tc>
          <w:tcPr>
            <w:tcW w:w="1440" w:type="dxa"/>
          </w:tcPr>
          <w:p w14:paraId="58CDC012" w14:textId="77777777" w:rsidR="00AE135B" w:rsidRDefault="00EE5424">
            <w:pPr>
              <w:pStyle w:val="TableParagraph"/>
              <w:spacing w:before="90" w:line="278" w:lineRule="auto"/>
              <w:rPr>
                <w:rFonts w:ascii="Arial"/>
                <w:sz w:val="18"/>
              </w:rPr>
            </w:pPr>
            <w:r>
              <w:rPr>
                <w:rFonts w:ascii="Arial"/>
                <w:spacing w:val="-4"/>
                <w:sz w:val="18"/>
              </w:rPr>
              <w:t>Median</w:t>
            </w:r>
            <w:r>
              <w:rPr>
                <w:rFonts w:ascii="Arial"/>
                <w:spacing w:val="-18"/>
                <w:sz w:val="18"/>
              </w:rPr>
              <w:t xml:space="preserve"> </w:t>
            </w:r>
            <w:r>
              <w:rPr>
                <w:rFonts w:ascii="Arial"/>
                <w:spacing w:val="-4"/>
                <w:sz w:val="18"/>
              </w:rPr>
              <w:t xml:space="preserve">time </w:t>
            </w:r>
            <w:r>
              <w:rPr>
                <w:rFonts w:ascii="Arial"/>
                <w:spacing w:val="-2"/>
                <w:sz w:val="18"/>
              </w:rPr>
              <w:t>(months)</w:t>
            </w:r>
          </w:p>
        </w:tc>
        <w:tc>
          <w:tcPr>
            <w:tcW w:w="901" w:type="dxa"/>
          </w:tcPr>
          <w:p w14:paraId="684E5BF6" w14:textId="77777777" w:rsidR="00AE135B" w:rsidRDefault="00EE5424">
            <w:pPr>
              <w:pStyle w:val="TableParagraph"/>
              <w:spacing w:before="90"/>
              <w:ind w:left="36" w:right="11"/>
              <w:jc w:val="center"/>
              <w:rPr>
                <w:rFonts w:ascii="Arial"/>
                <w:sz w:val="18"/>
              </w:rPr>
            </w:pPr>
            <w:r>
              <w:rPr>
                <w:rFonts w:ascii="Arial"/>
                <w:spacing w:val="-5"/>
                <w:sz w:val="18"/>
              </w:rPr>
              <w:t>NR</w:t>
            </w:r>
          </w:p>
        </w:tc>
        <w:tc>
          <w:tcPr>
            <w:tcW w:w="900" w:type="dxa"/>
          </w:tcPr>
          <w:p w14:paraId="212ADC03" w14:textId="77777777" w:rsidR="00AE135B" w:rsidRDefault="00EE5424">
            <w:pPr>
              <w:pStyle w:val="TableParagraph"/>
              <w:spacing w:before="90"/>
              <w:ind w:left="31"/>
              <w:jc w:val="center"/>
              <w:rPr>
                <w:rFonts w:ascii="Arial"/>
                <w:sz w:val="18"/>
              </w:rPr>
            </w:pPr>
            <w:r>
              <w:rPr>
                <w:rFonts w:ascii="Arial"/>
                <w:spacing w:val="-4"/>
                <w:sz w:val="18"/>
              </w:rPr>
              <w:t>26.4</w:t>
            </w:r>
          </w:p>
        </w:tc>
        <w:tc>
          <w:tcPr>
            <w:tcW w:w="1018" w:type="dxa"/>
          </w:tcPr>
          <w:p w14:paraId="04472B4C" w14:textId="77777777" w:rsidR="00AE135B" w:rsidRDefault="00EE5424">
            <w:pPr>
              <w:pStyle w:val="TableParagraph"/>
              <w:spacing w:before="90"/>
              <w:ind w:left="33"/>
              <w:jc w:val="center"/>
              <w:rPr>
                <w:rFonts w:ascii="Arial"/>
                <w:sz w:val="18"/>
              </w:rPr>
            </w:pPr>
            <w:r>
              <w:rPr>
                <w:rFonts w:ascii="Arial"/>
                <w:spacing w:val="-4"/>
                <w:sz w:val="18"/>
              </w:rPr>
              <w:t>20.6</w:t>
            </w:r>
          </w:p>
        </w:tc>
        <w:tc>
          <w:tcPr>
            <w:tcW w:w="1042" w:type="dxa"/>
          </w:tcPr>
          <w:p w14:paraId="3954ABAC" w14:textId="77777777" w:rsidR="00AE135B" w:rsidRDefault="00EE5424">
            <w:pPr>
              <w:pStyle w:val="TableParagraph"/>
              <w:spacing w:before="90"/>
              <w:ind w:left="24"/>
              <w:jc w:val="center"/>
              <w:rPr>
                <w:rFonts w:ascii="Arial"/>
                <w:sz w:val="18"/>
              </w:rPr>
            </w:pPr>
            <w:r>
              <w:rPr>
                <w:rFonts w:ascii="Arial"/>
                <w:spacing w:val="-4"/>
                <w:sz w:val="18"/>
              </w:rPr>
              <w:t>16.3</w:t>
            </w:r>
          </w:p>
        </w:tc>
        <w:tc>
          <w:tcPr>
            <w:tcW w:w="912" w:type="dxa"/>
          </w:tcPr>
          <w:p w14:paraId="004AADA5" w14:textId="77777777" w:rsidR="00AE135B" w:rsidRDefault="00EE5424">
            <w:pPr>
              <w:pStyle w:val="TableParagraph"/>
              <w:spacing w:before="90"/>
              <w:ind w:left="23"/>
              <w:jc w:val="center"/>
              <w:rPr>
                <w:rFonts w:ascii="Arial"/>
                <w:sz w:val="18"/>
              </w:rPr>
            </w:pPr>
            <w:r>
              <w:rPr>
                <w:rFonts w:ascii="Arial"/>
                <w:spacing w:val="-4"/>
                <w:sz w:val="18"/>
              </w:rPr>
              <w:t>20.7</w:t>
            </w:r>
          </w:p>
        </w:tc>
        <w:tc>
          <w:tcPr>
            <w:tcW w:w="973" w:type="dxa"/>
          </w:tcPr>
          <w:p w14:paraId="4BF44358" w14:textId="77777777" w:rsidR="00AE135B" w:rsidRDefault="00EE5424">
            <w:pPr>
              <w:pStyle w:val="TableParagraph"/>
              <w:spacing w:before="90"/>
              <w:ind w:left="25"/>
              <w:jc w:val="center"/>
              <w:rPr>
                <w:rFonts w:ascii="Arial"/>
                <w:sz w:val="18"/>
              </w:rPr>
            </w:pPr>
            <w:r>
              <w:rPr>
                <w:rFonts w:ascii="Arial"/>
                <w:spacing w:val="-4"/>
                <w:sz w:val="18"/>
              </w:rPr>
              <w:t>17.1</w:t>
            </w:r>
          </w:p>
        </w:tc>
        <w:tc>
          <w:tcPr>
            <w:tcW w:w="917" w:type="dxa"/>
          </w:tcPr>
          <w:p w14:paraId="74C86DD8" w14:textId="77777777" w:rsidR="00AE135B" w:rsidRDefault="00EE5424">
            <w:pPr>
              <w:pStyle w:val="TableParagraph"/>
              <w:spacing w:before="90"/>
              <w:ind w:left="22"/>
              <w:jc w:val="center"/>
              <w:rPr>
                <w:rFonts w:ascii="Arial"/>
                <w:sz w:val="18"/>
              </w:rPr>
            </w:pPr>
            <w:r>
              <w:rPr>
                <w:rFonts w:ascii="Arial"/>
                <w:spacing w:val="-4"/>
                <w:sz w:val="18"/>
              </w:rPr>
              <w:t>27.6</w:t>
            </w:r>
          </w:p>
        </w:tc>
        <w:tc>
          <w:tcPr>
            <w:tcW w:w="898" w:type="dxa"/>
          </w:tcPr>
          <w:p w14:paraId="482AEEC1" w14:textId="77777777" w:rsidR="00AE135B" w:rsidRDefault="00EE5424">
            <w:pPr>
              <w:pStyle w:val="TableParagraph"/>
              <w:spacing w:before="90"/>
              <w:ind w:left="22"/>
              <w:jc w:val="center"/>
              <w:rPr>
                <w:rFonts w:ascii="Arial"/>
                <w:sz w:val="18"/>
              </w:rPr>
            </w:pPr>
            <w:r>
              <w:rPr>
                <w:rFonts w:ascii="Arial"/>
                <w:spacing w:val="-4"/>
                <w:sz w:val="18"/>
              </w:rPr>
              <w:t>19.4</w:t>
            </w:r>
          </w:p>
        </w:tc>
      </w:tr>
      <w:tr w:rsidR="00AE135B" w14:paraId="059B30AB" w14:textId="77777777">
        <w:trPr>
          <w:trHeight w:val="597"/>
        </w:trPr>
        <w:tc>
          <w:tcPr>
            <w:tcW w:w="1440" w:type="dxa"/>
          </w:tcPr>
          <w:p w14:paraId="1B03C5EF" w14:textId="77777777" w:rsidR="00AE135B" w:rsidRDefault="00EE5424">
            <w:pPr>
              <w:pStyle w:val="TableParagraph"/>
              <w:spacing w:before="92" w:line="273" w:lineRule="auto"/>
              <w:rPr>
                <w:rFonts w:ascii="Arial"/>
                <w:sz w:val="18"/>
              </w:rPr>
            </w:pPr>
            <w:r>
              <w:rPr>
                <w:rFonts w:ascii="Arial"/>
                <w:spacing w:val="-2"/>
                <w:sz w:val="18"/>
              </w:rPr>
              <w:t>Diff</w:t>
            </w:r>
            <w:r>
              <w:rPr>
                <w:rFonts w:ascii="Arial"/>
                <w:spacing w:val="-16"/>
                <w:sz w:val="18"/>
              </w:rPr>
              <w:t xml:space="preserve"> </w:t>
            </w:r>
            <w:r>
              <w:rPr>
                <w:rFonts w:ascii="Arial"/>
                <w:spacing w:val="-2"/>
                <w:sz w:val="18"/>
              </w:rPr>
              <w:t>in</w:t>
            </w:r>
            <w:r>
              <w:rPr>
                <w:rFonts w:ascii="Arial"/>
                <w:spacing w:val="-14"/>
                <w:sz w:val="18"/>
              </w:rPr>
              <w:t xml:space="preserve"> </w:t>
            </w:r>
            <w:r>
              <w:rPr>
                <w:rFonts w:ascii="Arial"/>
                <w:spacing w:val="-2"/>
                <w:sz w:val="18"/>
              </w:rPr>
              <w:t xml:space="preserve">median </w:t>
            </w:r>
            <w:r>
              <w:rPr>
                <w:rFonts w:ascii="Arial"/>
                <w:sz w:val="18"/>
              </w:rPr>
              <w:t>time</w:t>
            </w:r>
            <w:r>
              <w:rPr>
                <w:rFonts w:ascii="Arial"/>
                <w:spacing w:val="-5"/>
                <w:sz w:val="18"/>
              </w:rPr>
              <w:t xml:space="preserve"> (months)</w:t>
            </w:r>
          </w:p>
        </w:tc>
        <w:tc>
          <w:tcPr>
            <w:tcW w:w="1801" w:type="dxa"/>
            <w:gridSpan w:val="2"/>
          </w:tcPr>
          <w:p w14:paraId="7ACD29D4" w14:textId="77777777" w:rsidR="00AE135B" w:rsidRDefault="00EE5424">
            <w:pPr>
              <w:pStyle w:val="TableParagraph"/>
              <w:spacing w:before="90"/>
              <w:ind w:left="33" w:right="10"/>
              <w:jc w:val="center"/>
              <w:rPr>
                <w:rFonts w:ascii="Arial"/>
                <w:sz w:val="18"/>
              </w:rPr>
            </w:pPr>
            <w:r>
              <w:rPr>
                <w:rFonts w:ascii="Arial"/>
                <w:spacing w:val="-5"/>
                <w:sz w:val="18"/>
              </w:rPr>
              <w:t>NA</w:t>
            </w:r>
          </w:p>
        </w:tc>
        <w:tc>
          <w:tcPr>
            <w:tcW w:w="2060" w:type="dxa"/>
            <w:gridSpan w:val="2"/>
          </w:tcPr>
          <w:p w14:paraId="2BCA9936" w14:textId="77777777" w:rsidR="00AE135B" w:rsidRDefault="00EE5424">
            <w:pPr>
              <w:pStyle w:val="TableParagraph"/>
              <w:spacing w:before="90"/>
              <w:ind w:left="28"/>
              <w:jc w:val="center"/>
              <w:rPr>
                <w:rFonts w:ascii="Arial"/>
                <w:sz w:val="18"/>
              </w:rPr>
            </w:pPr>
            <w:r>
              <w:rPr>
                <w:rFonts w:ascii="Arial"/>
                <w:spacing w:val="-5"/>
                <w:sz w:val="18"/>
              </w:rPr>
              <w:t>4.2</w:t>
            </w:r>
          </w:p>
        </w:tc>
        <w:tc>
          <w:tcPr>
            <w:tcW w:w="1885" w:type="dxa"/>
            <w:gridSpan w:val="2"/>
          </w:tcPr>
          <w:p w14:paraId="16647560" w14:textId="77777777" w:rsidR="00AE135B" w:rsidRDefault="00EE5424">
            <w:pPr>
              <w:pStyle w:val="TableParagraph"/>
              <w:spacing w:before="90"/>
              <w:ind w:left="25"/>
              <w:jc w:val="center"/>
              <w:rPr>
                <w:rFonts w:ascii="Arial"/>
                <w:sz w:val="18"/>
              </w:rPr>
            </w:pPr>
            <w:r>
              <w:rPr>
                <w:rFonts w:ascii="Arial"/>
                <w:spacing w:val="-5"/>
                <w:sz w:val="18"/>
              </w:rPr>
              <w:t>3.5</w:t>
            </w:r>
          </w:p>
        </w:tc>
        <w:tc>
          <w:tcPr>
            <w:tcW w:w="1815" w:type="dxa"/>
            <w:gridSpan w:val="2"/>
          </w:tcPr>
          <w:p w14:paraId="26F7A5AA" w14:textId="77777777" w:rsidR="00AE135B" w:rsidRDefault="00EE5424">
            <w:pPr>
              <w:pStyle w:val="TableParagraph"/>
              <w:spacing w:before="90"/>
              <w:ind w:left="27"/>
              <w:jc w:val="center"/>
              <w:rPr>
                <w:rFonts w:ascii="Arial"/>
                <w:sz w:val="18"/>
              </w:rPr>
            </w:pPr>
            <w:r>
              <w:rPr>
                <w:rFonts w:ascii="Arial"/>
                <w:spacing w:val="-5"/>
                <w:sz w:val="18"/>
              </w:rPr>
              <w:t>8.2</w:t>
            </w:r>
          </w:p>
        </w:tc>
      </w:tr>
      <w:tr w:rsidR="00AE135B" w14:paraId="683335E2" w14:textId="77777777">
        <w:trPr>
          <w:trHeight w:val="599"/>
        </w:trPr>
        <w:tc>
          <w:tcPr>
            <w:tcW w:w="1440" w:type="dxa"/>
          </w:tcPr>
          <w:p w14:paraId="2DA6D5A8" w14:textId="77777777" w:rsidR="00AE135B" w:rsidRDefault="00EE5424">
            <w:pPr>
              <w:pStyle w:val="TableParagraph"/>
              <w:spacing w:before="92" w:line="266" w:lineRule="auto"/>
              <w:ind w:right="175"/>
              <w:rPr>
                <w:rFonts w:ascii="Arial" w:hAnsi="Arial"/>
                <w:sz w:val="18"/>
              </w:rPr>
            </w:pPr>
            <w:r>
              <w:rPr>
                <w:rFonts w:ascii="Arial" w:hAnsi="Arial"/>
                <w:spacing w:val="-4"/>
                <w:sz w:val="18"/>
              </w:rPr>
              <w:t>Hazard</w:t>
            </w:r>
            <w:r>
              <w:rPr>
                <w:rFonts w:ascii="Arial" w:hAnsi="Arial"/>
                <w:spacing w:val="-16"/>
                <w:sz w:val="18"/>
              </w:rPr>
              <w:t xml:space="preserve"> </w:t>
            </w:r>
            <w:r>
              <w:rPr>
                <w:rFonts w:ascii="Arial" w:hAnsi="Arial"/>
                <w:spacing w:val="-4"/>
                <w:sz w:val="18"/>
              </w:rPr>
              <w:t xml:space="preserve">ratio </w:t>
            </w:r>
            <w:r>
              <w:rPr>
                <w:rFonts w:ascii="Arial" w:hAnsi="Arial"/>
                <w:sz w:val="18"/>
              </w:rPr>
              <w:t>(95</w:t>
            </w:r>
            <w:r>
              <w:rPr>
                <w:rFonts w:ascii="Symbol" w:hAnsi="Symbol"/>
                <w:sz w:val="18"/>
              </w:rPr>
              <w:t></w:t>
            </w:r>
            <w:r>
              <w:rPr>
                <w:rFonts w:ascii="Times New Roman" w:hAnsi="Times New Roman"/>
                <w:sz w:val="18"/>
              </w:rPr>
              <w:t xml:space="preserve"> </w:t>
            </w:r>
            <w:r>
              <w:rPr>
                <w:rFonts w:ascii="Arial" w:hAnsi="Arial"/>
                <w:sz w:val="18"/>
              </w:rPr>
              <w:t>CI)</w:t>
            </w:r>
          </w:p>
        </w:tc>
        <w:tc>
          <w:tcPr>
            <w:tcW w:w="1801" w:type="dxa"/>
            <w:gridSpan w:val="2"/>
          </w:tcPr>
          <w:p w14:paraId="745F5715" w14:textId="77777777" w:rsidR="00AE135B" w:rsidRDefault="00EE5424">
            <w:pPr>
              <w:pStyle w:val="TableParagraph"/>
              <w:spacing w:before="92"/>
              <w:ind w:left="230"/>
              <w:rPr>
                <w:rFonts w:ascii="Arial"/>
                <w:sz w:val="18"/>
              </w:rPr>
            </w:pPr>
            <w:r>
              <w:rPr>
                <w:rFonts w:ascii="Arial"/>
                <w:sz w:val="18"/>
              </w:rPr>
              <w:t>0.82</w:t>
            </w:r>
            <w:r>
              <w:rPr>
                <w:rFonts w:ascii="Arial"/>
                <w:spacing w:val="-9"/>
                <w:sz w:val="18"/>
              </w:rPr>
              <w:t xml:space="preserve"> </w:t>
            </w:r>
            <w:r>
              <w:rPr>
                <w:rFonts w:ascii="Arial"/>
                <w:sz w:val="18"/>
              </w:rPr>
              <w:t>(0.71,</w:t>
            </w:r>
            <w:r>
              <w:rPr>
                <w:rFonts w:ascii="Arial"/>
                <w:spacing w:val="-10"/>
                <w:sz w:val="18"/>
              </w:rPr>
              <w:t xml:space="preserve"> </w:t>
            </w:r>
            <w:r>
              <w:rPr>
                <w:rFonts w:ascii="Arial"/>
                <w:spacing w:val="-4"/>
                <w:sz w:val="18"/>
              </w:rPr>
              <w:t>0.95)</w:t>
            </w:r>
          </w:p>
        </w:tc>
        <w:tc>
          <w:tcPr>
            <w:tcW w:w="2060" w:type="dxa"/>
            <w:gridSpan w:val="2"/>
          </w:tcPr>
          <w:p w14:paraId="089CC4A8" w14:textId="77777777" w:rsidR="00AE135B" w:rsidRDefault="00EE5424">
            <w:pPr>
              <w:pStyle w:val="TableParagraph"/>
              <w:spacing w:before="92"/>
              <w:ind w:left="265"/>
              <w:rPr>
                <w:rFonts w:ascii="Arial"/>
                <w:sz w:val="18"/>
              </w:rPr>
            </w:pPr>
            <w:r>
              <w:rPr>
                <w:rFonts w:ascii="Arial"/>
                <w:sz w:val="18"/>
              </w:rPr>
              <w:t>0.84</w:t>
            </w:r>
            <w:r>
              <w:rPr>
                <w:rFonts w:ascii="Arial"/>
                <w:spacing w:val="-9"/>
                <w:sz w:val="18"/>
              </w:rPr>
              <w:t xml:space="preserve"> </w:t>
            </w:r>
            <w:r>
              <w:rPr>
                <w:rFonts w:ascii="Arial"/>
                <w:sz w:val="18"/>
              </w:rPr>
              <w:t>(0.71,</w:t>
            </w:r>
            <w:r>
              <w:rPr>
                <w:rFonts w:ascii="Arial"/>
                <w:spacing w:val="-11"/>
                <w:sz w:val="18"/>
              </w:rPr>
              <w:t xml:space="preserve"> </w:t>
            </w:r>
            <w:r>
              <w:rPr>
                <w:rFonts w:ascii="Arial"/>
                <w:spacing w:val="-2"/>
                <w:sz w:val="18"/>
              </w:rPr>
              <w:t>0.98)</w:t>
            </w:r>
          </w:p>
        </w:tc>
        <w:tc>
          <w:tcPr>
            <w:tcW w:w="1885" w:type="dxa"/>
            <w:gridSpan w:val="2"/>
          </w:tcPr>
          <w:p w14:paraId="0131169C" w14:textId="77777777" w:rsidR="00AE135B" w:rsidRDefault="00EE5424">
            <w:pPr>
              <w:pStyle w:val="TableParagraph"/>
              <w:spacing w:before="92"/>
              <w:ind w:left="284"/>
              <w:rPr>
                <w:rFonts w:ascii="Arial"/>
                <w:sz w:val="18"/>
              </w:rPr>
            </w:pPr>
            <w:r>
              <w:rPr>
                <w:rFonts w:ascii="Arial"/>
                <w:sz w:val="18"/>
              </w:rPr>
              <w:t>0.82</w:t>
            </w:r>
            <w:r>
              <w:rPr>
                <w:rFonts w:ascii="Arial"/>
                <w:spacing w:val="-9"/>
                <w:sz w:val="18"/>
              </w:rPr>
              <w:t xml:space="preserve"> </w:t>
            </w:r>
            <w:r>
              <w:rPr>
                <w:rFonts w:ascii="Arial"/>
                <w:sz w:val="18"/>
              </w:rPr>
              <w:t>(0.71,</w:t>
            </w:r>
            <w:r>
              <w:rPr>
                <w:rFonts w:ascii="Arial"/>
                <w:spacing w:val="-11"/>
                <w:sz w:val="18"/>
              </w:rPr>
              <w:t xml:space="preserve"> </w:t>
            </w:r>
            <w:r>
              <w:rPr>
                <w:rFonts w:ascii="Arial"/>
                <w:spacing w:val="-2"/>
                <w:sz w:val="18"/>
              </w:rPr>
              <w:t>0.95)</w:t>
            </w:r>
          </w:p>
        </w:tc>
        <w:tc>
          <w:tcPr>
            <w:tcW w:w="1815" w:type="dxa"/>
            <w:gridSpan w:val="2"/>
          </w:tcPr>
          <w:p w14:paraId="533D0D47" w14:textId="77777777" w:rsidR="00AE135B" w:rsidRDefault="00EE5424">
            <w:pPr>
              <w:pStyle w:val="TableParagraph"/>
              <w:spacing w:before="92"/>
              <w:ind w:left="224"/>
              <w:rPr>
                <w:rFonts w:ascii="Arial"/>
                <w:sz w:val="18"/>
              </w:rPr>
            </w:pPr>
            <w:r>
              <w:rPr>
                <w:rFonts w:ascii="Arial"/>
                <w:sz w:val="18"/>
              </w:rPr>
              <w:t>0.83</w:t>
            </w:r>
            <w:r>
              <w:rPr>
                <w:rFonts w:ascii="Arial"/>
                <w:spacing w:val="-9"/>
                <w:sz w:val="18"/>
              </w:rPr>
              <w:t xml:space="preserve"> </w:t>
            </w:r>
            <w:r>
              <w:rPr>
                <w:rFonts w:ascii="Arial"/>
                <w:sz w:val="18"/>
              </w:rPr>
              <w:t>(0.76,</w:t>
            </w:r>
            <w:r>
              <w:rPr>
                <w:rFonts w:ascii="Arial"/>
                <w:spacing w:val="-11"/>
                <w:sz w:val="18"/>
              </w:rPr>
              <w:t xml:space="preserve"> </w:t>
            </w:r>
            <w:r>
              <w:rPr>
                <w:rFonts w:ascii="Arial"/>
                <w:spacing w:val="-2"/>
                <w:sz w:val="18"/>
              </w:rPr>
              <w:t>0.90)</w:t>
            </w:r>
          </w:p>
        </w:tc>
      </w:tr>
      <w:tr w:rsidR="00AE135B" w14:paraId="65AF7934" w14:textId="77777777">
        <w:trPr>
          <w:trHeight w:val="597"/>
        </w:trPr>
        <w:tc>
          <w:tcPr>
            <w:tcW w:w="1440" w:type="dxa"/>
          </w:tcPr>
          <w:p w14:paraId="0FA70349" w14:textId="77777777" w:rsidR="00AE135B" w:rsidRDefault="00EE5424">
            <w:pPr>
              <w:pStyle w:val="TableParagraph"/>
              <w:spacing w:before="92" w:line="264" w:lineRule="auto"/>
              <w:ind w:right="175"/>
              <w:rPr>
                <w:rFonts w:ascii="Arial" w:hAnsi="Arial"/>
                <w:sz w:val="18"/>
              </w:rPr>
            </w:pPr>
            <w:r>
              <w:rPr>
                <w:rFonts w:ascii="Arial" w:hAnsi="Arial"/>
                <w:spacing w:val="-4"/>
                <w:sz w:val="18"/>
              </w:rPr>
              <w:t>Risk</w:t>
            </w:r>
            <w:r>
              <w:rPr>
                <w:rFonts w:ascii="Arial" w:hAnsi="Arial"/>
                <w:spacing w:val="-13"/>
                <w:sz w:val="18"/>
              </w:rPr>
              <w:t xml:space="preserve"> </w:t>
            </w:r>
            <w:r>
              <w:rPr>
                <w:rFonts w:ascii="Arial" w:hAnsi="Arial"/>
                <w:spacing w:val="-4"/>
                <w:sz w:val="18"/>
              </w:rPr>
              <w:t>reduction (</w:t>
            </w:r>
            <w:r>
              <w:rPr>
                <w:rFonts w:ascii="Symbol" w:hAnsi="Symbol"/>
                <w:spacing w:val="-4"/>
                <w:sz w:val="18"/>
              </w:rPr>
              <w:t></w:t>
            </w:r>
            <w:r>
              <w:rPr>
                <w:rFonts w:ascii="Arial" w:hAnsi="Arial"/>
                <w:spacing w:val="-4"/>
                <w:sz w:val="18"/>
              </w:rPr>
              <w:t>)</w:t>
            </w:r>
          </w:p>
        </w:tc>
        <w:tc>
          <w:tcPr>
            <w:tcW w:w="1801" w:type="dxa"/>
            <w:gridSpan w:val="2"/>
          </w:tcPr>
          <w:p w14:paraId="1535B561" w14:textId="77777777" w:rsidR="00AE135B" w:rsidRDefault="00EE5424">
            <w:pPr>
              <w:pStyle w:val="TableParagraph"/>
              <w:spacing w:before="90"/>
              <w:ind w:left="33"/>
              <w:jc w:val="center"/>
              <w:rPr>
                <w:rFonts w:ascii="Arial"/>
                <w:sz w:val="18"/>
              </w:rPr>
            </w:pPr>
            <w:r>
              <w:rPr>
                <w:rFonts w:ascii="Arial"/>
                <w:spacing w:val="-5"/>
                <w:sz w:val="18"/>
              </w:rPr>
              <w:t>18</w:t>
            </w:r>
          </w:p>
        </w:tc>
        <w:tc>
          <w:tcPr>
            <w:tcW w:w="2060" w:type="dxa"/>
            <w:gridSpan w:val="2"/>
          </w:tcPr>
          <w:p w14:paraId="487C0402" w14:textId="77777777" w:rsidR="00AE135B" w:rsidRDefault="00EE5424">
            <w:pPr>
              <w:pStyle w:val="TableParagraph"/>
              <w:spacing w:before="90"/>
              <w:ind w:left="28" w:right="6"/>
              <w:jc w:val="center"/>
              <w:rPr>
                <w:rFonts w:ascii="Arial"/>
                <w:sz w:val="18"/>
              </w:rPr>
            </w:pPr>
            <w:r>
              <w:rPr>
                <w:rFonts w:ascii="Arial"/>
                <w:spacing w:val="-5"/>
                <w:sz w:val="18"/>
              </w:rPr>
              <w:t>16</w:t>
            </w:r>
          </w:p>
        </w:tc>
        <w:tc>
          <w:tcPr>
            <w:tcW w:w="1885" w:type="dxa"/>
            <w:gridSpan w:val="2"/>
          </w:tcPr>
          <w:p w14:paraId="58B29C4A" w14:textId="77777777" w:rsidR="00AE135B" w:rsidRDefault="00EE5424">
            <w:pPr>
              <w:pStyle w:val="TableParagraph"/>
              <w:spacing w:before="90"/>
              <w:ind w:left="25" w:right="7"/>
              <w:jc w:val="center"/>
              <w:rPr>
                <w:rFonts w:ascii="Arial"/>
                <w:sz w:val="18"/>
              </w:rPr>
            </w:pPr>
            <w:r>
              <w:rPr>
                <w:rFonts w:ascii="Arial"/>
                <w:spacing w:val="-5"/>
                <w:sz w:val="18"/>
              </w:rPr>
              <w:t>18</w:t>
            </w:r>
          </w:p>
        </w:tc>
        <w:tc>
          <w:tcPr>
            <w:tcW w:w="1815" w:type="dxa"/>
            <w:gridSpan w:val="2"/>
          </w:tcPr>
          <w:p w14:paraId="57229B5F" w14:textId="77777777" w:rsidR="00AE135B" w:rsidRDefault="00EE5424">
            <w:pPr>
              <w:pStyle w:val="TableParagraph"/>
              <w:spacing w:before="90"/>
              <w:ind w:left="27" w:right="7"/>
              <w:jc w:val="center"/>
              <w:rPr>
                <w:rFonts w:ascii="Arial"/>
                <w:sz w:val="18"/>
              </w:rPr>
            </w:pPr>
            <w:r>
              <w:rPr>
                <w:rFonts w:ascii="Arial"/>
                <w:spacing w:val="-5"/>
                <w:sz w:val="18"/>
              </w:rPr>
              <w:t>17</w:t>
            </w:r>
          </w:p>
        </w:tc>
      </w:tr>
      <w:tr w:rsidR="00AE135B" w14:paraId="6489F6F7" w14:textId="77777777">
        <w:trPr>
          <w:trHeight w:val="602"/>
        </w:trPr>
        <w:tc>
          <w:tcPr>
            <w:tcW w:w="1440" w:type="dxa"/>
          </w:tcPr>
          <w:p w14:paraId="17C9BD19" w14:textId="77777777" w:rsidR="00AE135B" w:rsidRDefault="00EE5424">
            <w:pPr>
              <w:pStyle w:val="TableParagraph"/>
              <w:spacing w:before="97" w:line="276" w:lineRule="auto"/>
              <w:ind w:right="251"/>
              <w:rPr>
                <w:rFonts w:ascii="Arial"/>
                <w:sz w:val="18"/>
              </w:rPr>
            </w:pPr>
            <w:r>
              <w:rPr>
                <w:rFonts w:ascii="Arial"/>
                <w:spacing w:val="-6"/>
                <w:sz w:val="18"/>
              </w:rPr>
              <w:t xml:space="preserve">Non-inferiority </w:t>
            </w:r>
            <w:r>
              <w:rPr>
                <w:rFonts w:ascii="Arial"/>
                <w:spacing w:val="-2"/>
                <w:sz w:val="18"/>
              </w:rPr>
              <w:t>p-value</w:t>
            </w:r>
          </w:p>
        </w:tc>
        <w:tc>
          <w:tcPr>
            <w:tcW w:w="1801" w:type="dxa"/>
            <w:gridSpan w:val="2"/>
          </w:tcPr>
          <w:p w14:paraId="31682F91" w14:textId="77777777" w:rsidR="00AE135B" w:rsidRDefault="00EE5424">
            <w:pPr>
              <w:pStyle w:val="TableParagraph"/>
              <w:spacing w:before="85"/>
              <w:ind w:left="508"/>
              <w:rPr>
                <w:rFonts w:ascii="Arial" w:hAnsi="Arial"/>
                <w:b/>
                <w:position w:val="6"/>
                <w:sz w:val="12"/>
              </w:rPr>
            </w:pPr>
            <w:r>
              <w:rPr>
                <w:rFonts w:ascii="Symbol" w:hAnsi="Symbol"/>
                <w:sz w:val="18"/>
              </w:rPr>
              <w:t></w:t>
            </w:r>
            <w:r>
              <w:rPr>
                <w:rFonts w:ascii="Times New Roman" w:hAnsi="Times New Roman"/>
                <w:spacing w:val="5"/>
                <w:sz w:val="18"/>
              </w:rPr>
              <w:t xml:space="preserve"> </w:t>
            </w:r>
            <w:r>
              <w:rPr>
                <w:rFonts w:ascii="Arial" w:hAnsi="Arial"/>
                <w:spacing w:val="-2"/>
                <w:sz w:val="18"/>
              </w:rPr>
              <w:t>0.0001</w:t>
            </w:r>
            <w:r>
              <w:rPr>
                <w:rFonts w:ascii="Arial" w:hAnsi="Arial"/>
                <w:b/>
                <w:spacing w:val="-2"/>
                <w:position w:val="6"/>
                <w:sz w:val="12"/>
              </w:rPr>
              <w:t>†</w:t>
            </w:r>
          </w:p>
        </w:tc>
        <w:tc>
          <w:tcPr>
            <w:tcW w:w="2060" w:type="dxa"/>
            <w:gridSpan w:val="2"/>
          </w:tcPr>
          <w:p w14:paraId="04F58C18" w14:textId="77777777" w:rsidR="00AE135B" w:rsidRDefault="00EE5424">
            <w:pPr>
              <w:pStyle w:val="TableParagraph"/>
              <w:spacing w:before="91"/>
              <w:ind w:left="616"/>
              <w:rPr>
                <w:rFonts w:ascii="Arial" w:hAnsi="Arial"/>
                <w:b/>
                <w:position w:val="6"/>
                <w:sz w:val="12"/>
              </w:rPr>
            </w:pPr>
            <w:r>
              <w:rPr>
                <w:rFonts w:ascii="Arial" w:hAnsi="Arial"/>
                <w:spacing w:val="-2"/>
                <w:sz w:val="18"/>
              </w:rPr>
              <w:t>0.0007</w:t>
            </w:r>
            <w:r>
              <w:rPr>
                <w:rFonts w:ascii="Arial" w:hAnsi="Arial"/>
                <w:b/>
                <w:spacing w:val="-2"/>
                <w:position w:val="6"/>
                <w:sz w:val="12"/>
              </w:rPr>
              <w:t>†</w:t>
            </w:r>
          </w:p>
        </w:tc>
        <w:tc>
          <w:tcPr>
            <w:tcW w:w="1885" w:type="dxa"/>
            <w:gridSpan w:val="2"/>
          </w:tcPr>
          <w:p w14:paraId="5B0C33F5" w14:textId="77777777" w:rsidR="00AE135B" w:rsidRDefault="00EE5424">
            <w:pPr>
              <w:pStyle w:val="TableParagraph"/>
              <w:spacing w:before="91"/>
              <w:ind w:left="644"/>
              <w:rPr>
                <w:rFonts w:ascii="Arial" w:hAnsi="Arial"/>
                <w:b/>
                <w:position w:val="6"/>
                <w:sz w:val="12"/>
              </w:rPr>
            </w:pPr>
            <w:r>
              <w:rPr>
                <w:rFonts w:ascii="Arial" w:hAnsi="Arial"/>
                <w:spacing w:val="-2"/>
                <w:sz w:val="18"/>
              </w:rPr>
              <w:t>0.0002</w:t>
            </w:r>
            <w:r>
              <w:rPr>
                <w:rFonts w:ascii="Arial" w:hAnsi="Arial"/>
                <w:b/>
                <w:spacing w:val="-2"/>
                <w:position w:val="6"/>
                <w:sz w:val="12"/>
              </w:rPr>
              <w:t>†</w:t>
            </w:r>
          </w:p>
        </w:tc>
        <w:tc>
          <w:tcPr>
            <w:tcW w:w="1815" w:type="dxa"/>
            <w:gridSpan w:val="2"/>
          </w:tcPr>
          <w:p w14:paraId="7E322387" w14:textId="77777777" w:rsidR="00AE135B" w:rsidRDefault="00EE5424">
            <w:pPr>
              <w:pStyle w:val="TableParagraph"/>
              <w:spacing w:before="85"/>
              <w:ind w:left="536"/>
              <w:rPr>
                <w:rFonts w:ascii="Arial" w:hAnsi="Arial"/>
                <w:sz w:val="18"/>
              </w:rPr>
            </w:pPr>
            <w:r>
              <w:rPr>
                <w:rFonts w:ascii="Symbol" w:hAnsi="Symbol"/>
                <w:sz w:val="18"/>
              </w:rPr>
              <w:t></w:t>
            </w:r>
            <w:r>
              <w:rPr>
                <w:rFonts w:ascii="Times New Roman" w:hAnsi="Times New Roman"/>
                <w:spacing w:val="5"/>
                <w:sz w:val="18"/>
              </w:rPr>
              <w:t xml:space="preserve"> </w:t>
            </w:r>
            <w:r>
              <w:rPr>
                <w:rFonts w:ascii="Arial" w:hAnsi="Arial"/>
                <w:spacing w:val="-2"/>
                <w:sz w:val="18"/>
              </w:rPr>
              <w:t>0.0001</w:t>
            </w:r>
          </w:p>
        </w:tc>
      </w:tr>
      <w:tr w:rsidR="00AE135B" w14:paraId="7BC1AFF0" w14:textId="77777777">
        <w:trPr>
          <w:trHeight w:val="597"/>
        </w:trPr>
        <w:tc>
          <w:tcPr>
            <w:tcW w:w="1440" w:type="dxa"/>
          </w:tcPr>
          <w:p w14:paraId="1BD44490" w14:textId="77777777" w:rsidR="00AE135B" w:rsidRDefault="00EE5424">
            <w:pPr>
              <w:pStyle w:val="TableParagraph"/>
              <w:spacing w:before="90" w:line="278" w:lineRule="auto"/>
              <w:ind w:right="495"/>
              <w:rPr>
                <w:rFonts w:ascii="Arial"/>
                <w:sz w:val="18"/>
              </w:rPr>
            </w:pPr>
            <w:r>
              <w:rPr>
                <w:rFonts w:ascii="Arial"/>
                <w:spacing w:val="-6"/>
                <w:sz w:val="18"/>
              </w:rPr>
              <w:lastRenderedPageBreak/>
              <w:t xml:space="preserve">Superiority </w:t>
            </w:r>
            <w:r>
              <w:rPr>
                <w:rFonts w:ascii="Arial"/>
                <w:spacing w:val="-2"/>
                <w:sz w:val="18"/>
              </w:rPr>
              <w:t>p-value</w:t>
            </w:r>
          </w:p>
        </w:tc>
        <w:tc>
          <w:tcPr>
            <w:tcW w:w="1801" w:type="dxa"/>
            <w:gridSpan w:val="2"/>
          </w:tcPr>
          <w:p w14:paraId="39571231" w14:textId="77777777" w:rsidR="00AE135B" w:rsidRDefault="00EE5424">
            <w:pPr>
              <w:pStyle w:val="TableParagraph"/>
              <w:spacing w:before="89"/>
              <w:ind w:left="582"/>
              <w:rPr>
                <w:rFonts w:ascii="Arial" w:hAnsi="Arial"/>
                <w:b/>
                <w:position w:val="6"/>
                <w:sz w:val="12"/>
              </w:rPr>
            </w:pPr>
            <w:r>
              <w:rPr>
                <w:rFonts w:ascii="Arial" w:hAnsi="Arial"/>
                <w:spacing w:val="-2"/>
                <w:sz w:val="18"/>
              </w:rPr>
              <w:t>0.0101</w:t>
            </w:r>
            <w:r>
              <w:rPr>
                <w:rFonts w:ascii="Arial" w:hAnsi="Arial"/>
                <w:b/>
                <w:spacing w:val="-2"/>
                <w:position w:val="6"/>
                <w:sz w:val="12"/>
              </w:rPr>
              <w:t>†</w:t>
            </w:r>
          </w:p>
        </w:tc>
        <w:tc>
          <w:tcPr>
            <w:tcW w:w="2060" w:type="dxa"/>
            <w:gridSpan w:val="2"/>
          </w:tcPr>
          <w:p w14:paraId="5C61BF63" w14:textId="77777777" w:rsidR="00AE135B" w:rsidRDefault="00EE5424">
            <w:pPr>
              <w:pStyle w:val="TableParagraph"/>
              <w:spacing w:before="89"/>
              <w:ind w:left="616"/>
              <w:rPr>
                <w:rFonts w:ascii="Arial" w:hAnsi="Arial"/>
                <w:b/>
                <w:position w:val="6"/>
                <w:sz w:val="12"/>
              </w:rPr>
            </w:pPr>
            <w:r>
              <w:rPr>
                <w:rFonts w:ascii="Arial" w:hAnsi="Arial"/>
                <w:spacing w:val="-2"/>
                <w:sz w:val="18"/>
              </w:rPr>
              <w:t>0.0619</w:t>
            </w:r>
            <w:r>
              <w:rPr>
                <w:rFonts w:ascii="Arial" w:hAnsi="Arial"/>
                <w:b/>
                <w:spacing w:val="-2"/>
                <w:position w:val="6"/>
                <w:sz w:val="12"/>
              </w:rPr>
              <w:t>†</w:t>
            </w:r>
          </w:p>
        </w:tc>
        <w:tc>
          <w:tcPr>
            <w:tcW w:w="1885" w:type="dxa"/>
            <w:gridSpan w:val="2"/>
          </w:tcPr>
          <w:p w14:paraId="2CF80DC9" w14:textId="77777777" w:rsidR="00AE135B" w:rsidRDefault="00EE5424">
            <w:pPr>
              <w:pStyle w:val="TableParagraph"/>
              <w:spacing w:before="89"/>
              <w:ind w:left="644"/>
              <w:rPr>
                <w:rFonts w:ascii="Arial" w:hAnsi="Arial"/>
                <w:b/>
                <w:position w:val="6"/>
                <w:sz w:val="12"/>
              </w:rPr>
            </w:pPr>
            <w:r>
              <w:rPr>
                <w:rFonts w:ascii="Arial" w:hAnsi="Arial"/>
                <w:spacing w:val="-2"/>
                <w:sz w:val="18"/>
              </w:rPr>
              <w:t>0.0085</w:t>
            </w:r>
            <w:r>
              <w:rPr>
                <w:rFonts w:ascii="Arial" w:hAnsi="Arial"/>
                <w:b/>
                <w:spacing w:val="-2"/>
                <w:position w:val="6"/>
                <w:sz w:val="12"/>
              </w:rPr>
              <w:t>†</w:t>
            </w:r>
          </w:p>
        </w:tc>
        <w:tc>
          <w:tcPr>
            <w:tcW w:w="1815" w:type="dxa"/>
            <w:gridSpan w:val="2"/>
          </w:tcPr>
          <w:p w14:paraId="4335A32C" w14:textId="77777777" w:rsidR="00AE135B" w:rsidRDefault="00EE5424">
            <w:pPr>
              <w:pStyle w:val="TableParagraph"/>
              <w:spacing w:before="80"/>
              <w:ind w:left="536"/>
              <w:rPr>
                <w:rFonts w:ascii="Arial" w:hAnsi="Arial"/>
                <w:sz w:val="18"/>
              </w:rPr>
            </w:pPr>
            <w:r>
              <w:rPr>
                <w:rFonts w:ascii="Symbol" w:hAnsi="Symbol"/>
                <w:sz w:val="18"/>
              </w:rPr>
              <w:t></w:t>
            </w:r>
            <w:r>
              <w:rPr>
                <w:rFonts w:ascii="Times New Roman" w:hAnsi="Times New Roman"/>
                <w:spacing w:val="5"/>
                <w:sz w:val="18"/>
              </w:rPr>
              <w:t xml:space="preserve"> </w:t>
            </w:r>
            <w:r>
              <w:rPr>
                <w:rFonts w:ascii="Arial" w:hAnsi="Arial"/>
                <w:spacing w:val="-2"/>
                <w:sz w:val="18"/>
              </w:rPr>
              <w:t>0.0001</w:t>
            </w:r>
          </w:p>
        </w:tc>
      </w:tr>
      <w:tr w:rsidR="00AE135B" w14:paraId="2904BFEA" w14:textId="77777777">
        <w:trPr>
          <w:trHeight w:val="600"/>
        </w:trPr>
        <w:tc>
          <w:tcPr>
            <w:tcW w:w="1440" w:type="dxa"/>
          </w:tcPr>
          <w:p w14:paraId="50878C0A" w14:textId="77777777" w:rsidR="00AE135B" w:rsidRDefault="00EE5424">
            <w:pPr>
              <w:pStyle w:val="TableParagraph"/>
              <w:spacing w:before="93" w:line="266" w:lineRule="auto"/>
              <w:rPr>
                <w:rFonts w:ascii="Arial" w:hAnsi="Arial"/>
                <w:sz w:val="18"/>
              </w:rPr>
            </w:pPr>
            <w:r>
              <w:rPr>
                <w:rFonts w:ascii="Arial" w:hAnsi="Arial"/>
                <w:spacing w:val="-4"/>
                <w:sz w:val="18"/>
              </w:rPr>
              <w:t>Proportion</w:t>
            </w:r>
            <w:r>
              <w:rPr>
                <w:rFonts w:ascii="Arial" w:hAnsi="Arial"/>
                <w:spacing w:val="-18"/>
                <w:sz w:val="18"/>
              </w:rPr>
              <w:t xml:space="preserve"> </w:t>
            </w:r>
            <w:r>
              <w:rPr>
                <w:rFonts w:ascii="Arial" w:hAnsi="Arial"/>
                <w:spacing w:val="-4"/>
                <w:sz w:val="18"/>
              </w:rPr>
              <w:t xml:space="preserve">of </w:t>
            </w:r>
            <w:r>
              <w:rPr>
                <w:rFonts w:ascii="Arial" w:hAnsi="Arial"/>
                <w:sz w:val="18"/>
              </w:rPr>
              <w:t>patients (</w:t>
            </w:r>
            <w:r>
              <w:rPr>
                <w:rFonts w:ascii="Symbol" w:hAnsi="Symbol"/>
                <w:sz w:val="18"/>
              </w:rPr>
              <w:t></w:t>
            </w:r>
            <w:r>
              <w:rPr>
                <w:rFonts w:ascii="Arial" w:hAnsi="Arial"/>
                <w:sz w:val="18"/>
              </w:rPr>
              <w:t>)</w:t>
            </w:r>
          </w:p>
        </w:tc>
        <w:tc>
          <w:tcPr>
            <w:tcW w:w="901" w:type="dxa"/>
          </w:tcPr>
          <w:p w14:paraId="7B142D3A" w14:textId="77777777" w:rsidR="00AE135B" w:rsidRDefault="00EE5424">
            <w:pPr>
              <w:pStyle w:val="TableParagraph"/>
              <w:spacing w:before="93"/>
              <w:ind w:left="36"/>
              <w:jc w:val="center"/>
              <w:rPr>
                <w:rFonts w:ascii="Arial"/>
                <w:sz w:val="18"/>
              </w:rPr>
            </w:pPr>
            <w:r>
              <w:rPr>
                <w:rFonts w:ascii="Arial"/>
                <w:spacing w:val="-4"/>
                <w:sz w:val="18"/>
              </w:rPr>
              <w:t>30.7</w:t>
            </w:r>
          </w:p>
        </w:tc>
        <w:tc>
          <w:tcPr>
            <w:tcW w:w="900" w:type="dxa"/>
          </w:tcPr>
          <w:p w14:paraId="501802DB" w14:textId="77777777" w:rsidR="00AE135B" w:rsidRDefault="00EE5424">
            <w:pPr>
              <w:pStyle w:val="TableParagraph"/>
              <w:spacing w:before="93"/>
              <w:ind w:left="31"/>
              <w:jc w:val="center"/>
              <w:rPr>
                <w:rFonts w:ascii="Arial"/>
                <w:sz w:val="18"/>
              </w:rPr>
            </w:pPr>
            <w:r>
              <w:rPr>
                <w:rFonts w:ascii="Arial"/>
                <w:spacing w:val="-4"/>
                <w:sz w:val="18"/>
              </w:rPr>
              <w:t>36.5</w:t>
            </w:r>
          </w:p>
        </w:tc>
        <w:tc>
          <w:tcPr>
            <w:tcW w:w="1018" w:type="dxa"/>
          </w:tcPr>
          <w:p w14:paraId="44325DE8" w14:textId="77777777" w:rsidR="00AE135B" w:rsidRDefault="00EE5424">
            <w:pPr>
              <w:pStyle w:val="TableParagraph"/>
              <w:spacing w:before="93"/>
              <w:ind w:left="33"/>
              <w:jc w:val="center"/>
              <w:rPr>
                <w:rFonts w:ascii="Arial"/>
                <w:sz w:val="18"/>
              </w:rPr>
            </w:pPr>
            <w:r>
              <w:rPr>
                <w:rFonts w:ascii="Arial"/>
                <w:spacing w:val="-4"/>
                <w:sz w:val="18"/>
              </w:rPr>
              <w:t>31.4</w:t>
            </w:r>
          </w:p>
        </w:tc>
        <w:tc>
          <w:tcPr>
            <w:tcW w:w="1042" w:type="dxa"/>
          </w:tcPr>
          <w:p w14:paraId="5B4958A8" w14:textId="77777777" w:rsidR="00AE135B" w:rsidRDefault="00EE5424">
            <w:pPr>
              <w:pStyle w:val="TableParagraph"/>
              <w:spacing w:before="93"/>
              <w:ind w:left="24"/>
              <w:jc w:val="center"/>
              <w:rPr>
                <w:rFonts w:ascii="Arial"/>
                <w:sz w:val="18"/>
              </w:rPr>
            </w:pPr>
            <w:r>
              <w:rPr>
                <w:rFonts w:ascii="Arial"/>
                <w:spacing w:val="-4"/>
                <w:sz w:val="18"/>
              </w:rPr>
              <w:t>36.3</w:t>
            </w:r>
          </w:p>
        </w:tc>
        <w:tc>
          <w:tcPr>
            <w:tcW w:w="912" w:type="dxa"/>
          </w:tcPr>
          <w:p w14:paraId="27DB1AE5" w14:textId="77777777" w:rsidR="00AE135B" w:rsidRDefault="00EE5424">
            <w:pPr>
              <w:pStyle w:val="TableParagraph"/>
              <w:spacing w:before="93"/>
              <w:ind w:left="23"/>
              <w:jc w:val="center"/>
              <w:rPr>
                <w:rFonts w:ascii="Arial"/>
                <w:sz w:val="18"/>
              </w:rPr>
            </w:pPr>
            <w:r>
              <w:rPr>
                <w:rFonts w:ascii="Arial"/>
                <w:spacing w:val="-4"/>
                <w:sz w:val="18"/>
              </w:rPr>
              <w:t>35.9</w:t>
            </w:r>
          </w:p>
        </w:tc>
        <w:tc>
          <w:tcPr>
            <w:tcW w:w="973" w:type="dxa"/>
          </w:tcPr>
          <w:p w14:paraId="1BA39251" w14:textId="77777777" w:rsidR="00AE135B" w:rsidRDefault="00EE5424">
            <w:pPr>
              <w:pStyle w:val="TableParagraph"/>
              <w:spacing w:before="93"/>
              <w:ind w:left="25"/>
              <w:jc w:val="center"/>
              <w:rPr>
                <w:rFonts w:ascii="Arial"/>
                <w:sz w:val="18"/>
              </w:rPr>
            </w:pPr>
            <w:r>
              <w:rPr>
                <w:rFonts w:ascii="Arial"/>
                <w:spacing w:val="-4"/>
                <w:sz w:val="18"/>
              </w:rPr>
              <w:t>40.6</w:t>
            </w:r>
          </w:p>
        </w:tc>
        <w:tc>
          <w:tcPr>
            <w:tcW w:w="917" w:type="dxa"/>
          </w:tcPr>
          <w:p w14:paraId="6D310012" w14:textId="77777777" w:rsidR="00AE135B" w:rsidRDefault="00EE5424">
            <w:pPr>
              <w:pStyle w:val="TableParagraph"/>
              <w:spacing w:before="93"/>
              <w:ind w:left="22"/>
              <w:jc w:val="center"/>
              <w:rPr>
                <w:rFonts w:ascii="Arial"/>
                <w:sz w:val="18"/>
              </w:rPr>
            </w:pPr>
            <w:r>
              <w:rPr>
                <w:rFonts w:ascii="Arial"/>
                <w:spacing w:val="-4"/>
                <w:sz w:val="18"/>
              </w:rPr>
              <w:t>32.6</w:t>
            </w:r>
          </w:p>
        </w:tc>
        <w:tc>
          <w:tcPr>
            <w:tcW w:w="898" w:type="dxa"/>
          </w:tcPr>
          <w:p w14:paraId="0BDC99CB" w14:textId="77777777" w:rsidR="00AE135B" w:rsidRDefault="00EE5424">
            <w:pPr>
              <w:pStyle w:val="TableParagraph"/>
              <w:spacing w:before="93"/>
              <w:ind w:left="22"/>
              <w:jc w:val="center"/>
              <w:rPr>
                <w:rFonts w:ascii="Arial"/>
                <w:sz w:val="18"/>
              </w:rPr>
            </w:pPr>
            <w:r>
              <w:rPr>
                <w:rFonts w:ascii="Arial"/>
                <w:spacing w:val="-4"/>
                <w:sz w:val="18"/>
              </w:rPr>
              <w:t>37.8</w:t>
            </w:r>
          </w:p>
        </w:tc>
      </w:tr>
      <w:tr w:rsidR="00AE135B" w14:paraId="4A03A992" w14:textId="77777777">
        <w:trPr>
          <w:trHeight w:val="357"/>
        </w:trPr>
        <w:tc>
          <w:tcPr>
            <w:tcW w:w="9001" w:type="dxa"/>
            <w:gridSpan w:val="9"/>
          </w:tcPr>
          <w:p w14:paraId="36432C34" w14:textId="77777777" w:rsidR="00AE135B" w:rsidRDefault="00EE5424">
            <w:pPr>
              <w:pStyle w:val="TableParagraph"/>
              <w:spacing w:before="69"/>
              <w:rPr>
                <w:rFonts w:ascii="Arial"/>
                <w:b/>
                <w:sz w:val="20"/>
              </w:rPr>
            </w:pPr>
            <w:r>
              <w:rPr>
                <w:rFonts w:ascii="Arial"/>
                <w:b/>
                <w:sz w:val="20"/>
              </w:rPr>
              <w:t>First</w:t>
            </w:r>
            <w:r>
              <w:rPr>
                <w:rFonts w:ascii="Arial"/>
                <w:b/>
                <w:spacing w:val="-14"/>
                <w:sz w:val="20"/>
              </w:rPr>
              <w:t xml:space="preserve"> </w:t>
            </w:r>
            <w:r>
              <w:rPr>
                <w:rFonts w:ascii="Arial"/>
                <w:b/>
                <w:sz w:val="20"/>
              </w:rPr>
              <w:t>and</w:t>
            </w:r>
            <w:r>
              <w:rPr>
                <w:rFonts w:ascii="Arial"/>
                <w:b/>
                <w:spacing w:val="-14"/>
                <w:sz w:val="20"/>
              </w:rPr>
              <w:t xml:space="preserve"> </w:t>
            </w:r>
            <w:r>
              <w:rPr>
                <w:rFonts w:ascii="Arial"/>
                <w:b/>
                <w:sz w:val="20"/>
              </w:rPr>
              <w:t>Subsequent</w:t>
            </w:r>
            <w:r>
              <w:rPr>
                <w:rFonts w:ascii="Arial"/>
                <w:b/>
                <w:spacing w:val="-14"/>
                <w:sz w:val="20"/>
              </w:rPr>
              <w:t xml:space="preserve"> </w:t>
            </w:r>
            <w:r>
              <w:rPr>
                <w:rFonts w:ascii="Arial"/>
                <w:b/>
                <w:spacing w:val="-4"/>
                <w:sz w:val="20"/>
              </w:rPr>
              <w:t>SRE*</w:t>
            </w:r>
          </w:p>
        </w:tc>
      </w:tr>
      <w:tr w:rsidR="00AE135B" w14:paraId="57679F21" w14:textId="77777777">
        <w:trPr>
          <w:trHeight w:val="602"/>
        </w:trPr>
        <w:tc>
          <w:tcPr>
            <w:tcW w:w="1440" w:type="dxa"/>
          </w:tcPr>
          <w:p w14:paraId="098D2859" w14:textId="77777777" w:rsidR="00AE135B" w:rsidRDefault="00EE5424">
            <w:pPr>
              <w:pStyle w:val="TableParagraph"/>
              <w:spacing w:before="95" w:line="276" w:lineRule="auto"/>
              <w:ind w:right="175"/>
              <w:rPr>
                <w:rFonts w:ascii="Arial"/>
                <w:sz w:val="18"/>
              </w:rPr>
            </w:pPr>
            <w:r>
              <w:rPr>
                <w:rFonts w:ascii="Arial"/>
                <w:spacing w:val="-2"/>
                <w:sz w:val="18"/>
              </w:rPr>
              <w:t>Mean</w:t>
            </w:r>
            <w:r>
              <w:rPr>
                <w:rFonts w:ascii="Arial"/>
                <w:spacing w:val="-19"/>
                <w:sz w:val="18"/>
              </w:rPr>
              <w:t xml:space="preserve"> </w:t>
            </w:r>
            <w:r>
              <w:rPr>
                <w:rFonts w:ascii="Arial"/>
                <w:spacing w:val="-2"/>
                <w:sz w:val="18"/>
              </w:rPr>
              <w:t>number/ patient</w:t>
            </w:r>
          </w:p>
        </w:tc>
        <w:tc>
          <w:tcPr>
            <w:tcW w:w="901" w:type="dxa"/>
          </w:tcPr>
          <w:p w14:paraId="07519DCD" w14:textId="77777777" w:rsidR="00AE135B" w:rsidRDefault="00EE5424">
            <w:pPr>
              <w:pStyle w:val="TableParagraph"/>
              <w:spacing w:before="92"/>
              <w:ind w:left="36"/>
              <w:jc w:val="center"/>
              <w:rPr>
                <w:rFonts w:ascii="Arial"/>
                <w:sz w:val="18"/>
              </w:rPr>
            </w:pPr>
            <w:r>
              <w:rPr>
                <w:rFonts w:ascii="Arial"/>
                <w:spacing w:val="-4"/>
                <w:sz w:val="18"/>
              </w:rPr>
              <w:t>0.46</w:t>
            </w:r>
          </w:p>
        </w:tc>
        <w:tc>
          <w:tcPr>
            <w:tcW w:w="900" w:type="dxa"/>
          </w:tcPr>
          <w:p w14:paraId="611F6F2D" w14:textId="77777777" w:rsidR="00AE135B" w:rsidRDefault="00EE5424">
            <w:pPr>
              <w:pStyle w:val="TableParagraph"/>
              <w:spacing w:before="92"/>
              <w:ind w:left="31"/>
              <w:jc w:val="center"/>
              <w:rPr>
                <w:rFonts w:ascii="Arial"/>
                <w:sz w:val="18"/>
              </w:rPr>
            </w:pPr>
            <w:r>
              <w:rPr>
                <w:rFonts w:ascii="Arial"/>
                <w:spacing w:val="-4"/>
                <w:sz w:val="18"/>
              </w:rPr>
              <w:t>0.60</w:t>
            </w:r>
          </w:p>
        </w:tc>
        <w:tc>
          <w:tcPr>
            <w:tcW w:w="1018" w:type="dxa"/>
          </w:tcPr>
          <w:p w14:paraId="0DF909E9" w14:textId="77777777" w:rsidR="00AE135B" w:rsidRDefault="00EE5424">
            <w:pPr>
              <w:pStyle w:val="TableParagraph"/>
              <w:spacing w:before="92"/>
              <w:ind w:left="33"/>
              <w:jc w:val="center"/>
              <w:rPr>
                <w:rFonts w:ascii="Arial"/>
                <w:sz w:val="18"/>
              </w:rPr>
            </w:pPr>
            <w:r>
              <w:rPr>
                <w:rFonts w:ascii="Arial"/>
                <w:spacing w:val="-4"/>
                <w:sz w:val="18"/>
              </w:rPr>
              <w:t>0.44</w:t>
            </w:r>
          </w:p>
        </w:tc>
        <w:tc>
          <w:tcPr>
            <w:tcW w:w="1042" w:type="dxa"/>
          </w:tcPr>
          <w:p w14:paraId="25FDED16" w14:textId="77777777" w:rsidR="00AE135B" w:rsidRDefault="00EE5424">
            <w:pPr>
              <w:pStyle w:val="TableParagraph"/>
              <w:spacing w:before="92"/>
              <w:ind w:left="24"/>
              <w:jc w:val="center"/>
              <w:rPr>
                <w:rFonts w:ascii="Arial"/>
                <w:sz w:val="18"/>
              </w:rPr>
            </w:pPr>
            <w:r>
              <w:rPr>
                <w:rFonts w:ascii="Arial"/>
                <w:spacing w:val="-4"/>
                <w:sz w:val="18"/>
              </w:rPr>
              <w:t>0.49</w:t>
            </w:r>
          </w:p>
        </w:tc>
        <w:tc>
          <w:tcPr>
            <w:tcW w:w="912" w:type="dxa"/>
          </w:tcPr>
          <w:p w14:paraId="197D3CBC" w14:textId="77777777" w:rsidR="00AE135B" w:rsidRDefault="00EE5424">
            <w:pPr>
              <w:pStyle w:val="TableParagraph"/>
              <w:spacing w:before="92"/>
              <w:ind w:left="23"/>
              <w:jc w:val="center"/>
              <w:rPr>
                <w:rFonts w:ascii="Arial"/>
                <w:sz w:val="18"/>
              </w:rPr>
            </w:pPr>
            <w:r>
              <w:rPr>
                <w:rFonts w:ascii="Arial"/>
                <w:spacing w:val="-4"/>
                <w:sz w:val="18"/>
              </w:rPr>
              <w:t>0.52</w:t>
            </w:r>
          </w:p>
        </w:tc>
        <w:tc>
          <w:tcPr>
            <w:tcW w:w="973" w:type="dxa"/>
          </w:tcPr>
          <w:p w14:paraId="748FC6AB" w14:textId="77777777" w:rsidR="00AE135B" w:rsidRDefault="00EE5424">
            <w:pPr>
              <w:pStyle w:val="TableParagraph"/>
              <w:spacing w:before="92"/>
              <w:ind w:left="25"/>
              <w:jc w:val="center"/>
              <w:rPr>
                <w:rFonts w:ascii="Arial"/>
                <w:sz w:val="18"/>
              </w:rPr>
            </w:pPr>
            <w:r>
              <w:rPr>
                <w:rFonts w:ascii="Arial"/>
                <w:spacing w:val="-4"/>
                <w:sz w:val="18"/>
              </w:rPr>
              <w:t>0.61</w:t>
            </w:r>
          </w:p>
        </w:tc>
        <w:tc>
          <w:tcPr>
            <w:tcW w:w="917" w:type="dxa"/>
          </w:tcPr>
          <w:p w14:paraId="4AC58E2C" w14:textId="77777777" w:rsidR="00AE135B" w:rsidRDefault="00EE5424">
            <w:pPr>
              <w:pStyle w:val="TableParagraph"/>
              <w:spacing w:before="92"/>
              <w:ind w:left="22"/>
              <w:jc w:val="center"/>
              <w:rPr>
                <w:rFonts w:ascii="Arial"/>
                <w:sz w:val="18"/>
              </w:rPr>
            </w:pPr>
            <w:r>
              <w:rPr>
                <w:rFonts w:ascii="Arial"/>
                <w:spacing w:val="-4"/>
                <w:sz w:val="18"/>
              </w:rPr>
              <w:t>0.48</w:t>
            </w:r>
          </w:p>
        </w:tc>
        <w:tc>
          <w:tcPr>
            <w:tcW w:w="898" w:type="dxa"/>
          </w:tcPr>
          <w:p w14:paraId="17EC1829" w14:textId="77777777" w:rsidR="00AE135B" w:rsidRDefault="00EE5424">
            <w:pPr>
              <w:pStyle w:val="TableParagraph"/>
              <w:spacing w:before="92"/>
              <w:ind w:left="22"/>
              <w:jc w:val="center"/>
              <w:rPr>
                <w:rFonts w:ascii="Arial"/>
                <w:sz w:val="18"/>
              </w:rPr>
            </w:pPr>
            <w:r>
              <w:rPr>
                <w:rFonts w:ascii="Arial"/>
                <w:spacing w:val="-4"/>
                <w:sz w:val="18"/>
              </w:rPr>
              <w:t>0.57</w:t>
            </w:r>
          </w:p>
        </w:tc>
      </w:tr>
      <w:tr w:rsidR="00AE135B" w14:paraId="46902FF3" w14:textId="77777777">
        <w:trPr>
          <w:trHeight w:val="597"/>
        </w:trPr>
        <w:tc>
          <w:tcPr>
            <w:tcW w:w="1440" w:type="dxa"/>
          </w:tcPr>
          <w:p w14:paraId="3D50A4B5" w14:textId="77777777" w:rsidR="00AE135B" w:rsidRDefault="00EE5424">
            <w:pPr>
              <w:pStyle w:val="TableParagraph"/>
              <w:spacing w:before="90" w:line="266" w:lineRule="auto"/>
              <w:ind w:right="251"/>
              <w:rPr>
                <w:rFonts w:ascii="Arial" w:hAnsi="Arial"/>
                <w:sz w:val="18"/>
              </w:rPr>
            </w:pPr>
            <w:r>
              <w:rPr>
                <w:rFonts w:ascii="Arial" w:hAnsi="Arial"/>
                <w:spacing w:val="-4"/>
                <w:sz w:val="18"/>
              </w:rPr>
              <w:t>Rate</w:t>
            </w:r>
            <w:r>
              <w:rPr>
                <w:rFonts w:ascii="Arial" w:hAnsi="Arial"/>
                <w:spacing w:val="-14"/>
                <w:sz w:val="18"/>
              </w:rPr>
              <w:t xml:space="preserve"> </w:t>
            </w:r>
            <w:r>
              <w:rPr>
                <w:rFonts w:ascii="Arial" w:hAnsi="Arial"/>
                <w:spacing w:val="-4"/>
                <w:sz w:val="18"/>
              </w:rPr>
              <w:t xml:space="preserve">ratio </w:t>
            </w:r>
            <w:r>
              <w:rPr>
                <w:rFonts w:ascii="Arial" w:hAnsi="Arial"/>
                <w:sz w:val="18"/>
              </w:rPr>
              <w:t>(95</w:t>
            </w:r>
            <w:r>
              <w:rPr>
                <w:rFonts w:ascii="Symbol" w:hAnsi="Symbol"/>
                <w:sz w:val="18"/>
              </w:rPr>
              <w:t></w:t>
            </w:r>
            <w:r>
              <w:rPr>
                <w:rFonts w:ascii="Times New Roman" w:hAnsi="Times New Roman"/>
                <w:sz w:val="18"/>
              </w:rPr>
              <w:t xml:space="preserve"> </w:t>
            </w:r>
            <w:r>
              <w:rPr>
                <w:rFonts w:ascii="Arial" w:hAnsi="Arial"/>
                <w:spacing w:val="-5"/>
                <w:sz w:val="18"/>
              </w:rPr>
              <w:t>CI)</w:t>
            </w:r>
          </w:p>
        </w:tc>
        <w:tc>
          <w:tcPr>
            <w:tcW w:w="1801" w:type="dxa"/>
            <w:gridSpan w:val="2"/>
          </w:tcPr>
          <w:p w14:paraId="59CB86EC" w14:textId="77777777" w:rsidR="00AE135B" w:rsidRDefault="00EE5424">
            <w:pPr>
              <w:pStyle w:val="TableParagraph"/>
              <w:spacing w:before="90"/>
              <w:ind w:left="230"/>
              <w:rPr>
                <w:rFonts w:ascii="Arial"/>
                <w:sz w:val="18"/>
              </w:rPr>
            </w:pPr>
            <w:r>
              <w:rPr>
                <w:rFonts w:ascii="Arial"/>
                <w:sz w:val="18"/>
              </w:rPr>
              <w:t>0.77</w:t>
            </w:r>
            <w:r>
              <w:rPr>
                <w:rFonts w:ascii="Arial"/>
                <w:spacing w:val="-9"/>
                <w:sz w:val="18"/>
              </w:rPr>
              <w:t xml:space="preserve"> </w:t>
            </w:r>
            <w:r>
              <w:rPr>
                <w:rFonts w:ascii="Arial"/>
                <w:sz w:val="18"/>
              </w:rPr>
              <w:t>(0.66,</w:t>
            </w:r>
            <w:r>
              <w:rPr>
                <w:rFonts w:ascii="Arial"/>
                <w:spacing w:val="-10"/>
                <w:sz w:val="18"/>
              </w:rPr>
              <w:t xml:space="preserve"> </w:t>
            </w:r>
            <w:r>
              <w:rPr>
                <w:rFonts w:ascii="Arial"/>
                <w:spacing w:val="-4"/>
                <w:sz w:val="18"/>
              </w:rPr>
              <w:t>0.89)</w:t>
            </w:r>
          </w:p>
        </w:tc>
        <w:tc>
          <w:tcPr>
            <w:tcW w:w="2060" w:type="dxa"/>
            <w:gridSpan w:val="2"/>
          </w:tcPr>
          <w:p w14:paraId="7003FD66" w14:textId="77777777" w:rsidR="00AE135B" w:rsidRDefault="00EE5424">
            <w:pPr>
              <w:pStyle w:val="TableParagraph"/>
              <w:spacing w:before="90"/>
              <w:ind w:left="265"/>
              <w:rPr>
                <w:rFonts w:ascii="Arial"/>
                <w:sz w:val="18"/>
              </w:rPr>
            </w:pPr>
            <w:r>
              <w:rPr>
                <w:rFonts w:ascii="Arial"/>
                <w:sz w:val="18"/>
              </w:rPr>
              <w:t>0.90</w:t>
            </w:r>
            <w:r>
              <w:rPr>
                <w:rFonts w:ascii="Arial"/>
                <w:spacing w:val="-9"/>
                <w:sz w:val="18"/>
              </w:rPr>
              <w:t xml:space="preserve"> </w:t>
            </w:r>
            <w:r>
              <w:rPr>
                <w:rFonts w:ascii="Arial"/>
                <w:sz w:val="18"/>
              </w:rPr>
              <w:t>(0.77,</w:t>
            </w:r>
            <w:r>
              <w:rPr>
                <w:rFonts w:ascii="Arial"/>
                <w:spacing w:val="-11"/>
                <w:sz w:val="18"/>
              </w:rPr>
              <w:t xml:space="preserve"> </w:t>
            </w:r>
            <w:r>
              <w:rPr>
                <w:rFonts w:ascii="Arial"/>
                <w:spacing w:val="-2"/>
                <w:sz w:val="18"/>
              </w:rPr>
              <w:t>1.04)</w:t>
            </w:r>
          </w:p>
        </w:tc>
        <w:tc>
          <w:tcPr>
            <w:tcW w:w="1885" w:type="dxa"/>
            <w:gridSpan w:val="2"/>
          </w:tcPr>
          <w:p w14:paraId="641D20F2" w14:textId="77777777" w:rsidR="00AE135B" w:rsidRDefault="00EE5424">
            <w:pPr>
              <w:pStyle w:val="TableParagraph"/>
              <w:spacing w:before="90"/>
              <w:ind w:left="284"/>
              <w:rPr>
                <w:rFonts w:ascii="Arial"/>
                <w:sz w:val="18"/>
              </w:rPr>
            </w:pPr>
            <w:r>
              <w:rPr>
                <w:rFonts w:ascii="Arial"/>
                <w:sz w:val="18"/>
              </w:rPr>
              <w:t>0.82</w:t>
            </w:r>
            <w:r>
              <w:rPr>
                <w:rFonts w:ascii="Arial"/>
                <w:spacing w:val="-9"/>
                <w:sz w:val="18"/>
              </w:rPr>
              <w:t xml:space="preserve"> </w:t>
            </w:r>
            <w:r>
              <w:rPr>
                <w:rFonts w:ascii="Arial"/>
                <w:sz w:val="18"/>
              </w:rPr>
              <w:t>(0.71,</w:t>
            </w:r>
            <w:r>
              <w:rPr>
                <w:rFonts w:ascii="Arial"/>
                <w:spacing w:val="-11"/>
                <w:sz w:val="18"/>
              </w:rPr>
              <w:t xml:space="preserve"> </w:t>
            </w:r>
            <w:r>
              <w:rPr>
                <w:rFonts w:ascii="Arial"/>
                <w:spacing w:val="-2"/>
                <w:sz w:val="18"/>
              </w:rPr>
              <w:t>0.94)</w:t>
            </w:r>
          </w:p>
        </w:tc>
        <w:tc>
          <w:tcPr>
            <w:tcW w:w="1815" w:type="dxa"/>
            <w:gridSpan w:val="2"/>
          </w:tcPr>
          <w:p w14:paraId="4C85DD86" w14:textId="77777777" w:rsidR="00AE135B" w:rsidRDefault="00EE5424">
            <w:pPr>
              <w:pStyle w:val="TableParagraph"/>
              <w:spacing w:before="90"/>
              <w:ind w:left="224"/>
              <w:rPr>
                <w:rFonts w:ascii="Arial"/>
                <w:sz w:val="18"/>
              </w:rPr>
            </w:pPr>
            <w:r>
              <w:rPr>
                <w:rFonts w:ascii="Arial"/>
                <w:sz w:val="18"/>
              </w:rPr>
              <w:t>0.82</w:t>
            </w:r>
            <w:r>
              <w:rPr>
                <w:rFonts w:ascii="Arial"/>
                <w:spacing w:val="-9"/>
                <w:sz w:val="18"/>
              </w:rPr>
              <w:t xml:space="preserve"> </w:t>
            </w:r>
            <w:r>
              <w:rPr>
                <w:rFonts w:ascii="Arial"/>
                <w:sz w:val="18"/>
              </w:rPr>
              <w:t>(0.75,</w:t>
            </w:r>
            <w:r>
              <w:rPr>
                <w:rFonts w:ascii="Arial"/>
                <w:spacing w:val="-11"/>
                <w:sz w:val="18"/>
              </w:rPr>
              <w:t xml:space="preserve"> </w:t>
            </w:r>
            <w:r>
              <w:rPr>
                <w:rFonts w:ascii="Arial"/>
                <w:spacing w:val="-2"/>
                <w:sz w:val="18"/>
              </w:rPr>
              <w:t>0.89)</w:t>
            </w:r>
          </w:p>
        </w:tc>
      </w:tr>
      <w:tr w:rsidR="00AE135B" w14:paraId="01EDB4A3" w14:textId="77777777">
        <w:trPr>
          <w:trHeight w:val="602"/>
        </w:trPr>
        <w:tc>
          <w:tcPr>
            <w:tcW w:w="1440" w:type="dxa"/>
          </w:tcPr>
          <w:p w14:paraId="248C680D" w14:textId="77777777" w:rsidR="00AE135B" w:rsidRDefault="00EE5424">
            <w:pPr>
              <w:pStyle w:val="TableParagraph"/>
              <w:spacing w:before="95" w:line="266" w:lineRule="auto"/>
              <w:ind w:right="175"/>
              <w:rPr>
                <w:rFonts w:ascii="Arial" w:hAnsi="Arial"/>
                <w:sz w:val="18"/>
              </w:rPr>
            </w:pPr>
            <w:r>
              <w:rPr>
                <w:rFonts w:ascii="Arial" w:hAnsi="Arial"/>
                <w:spacing w:val="-4"/>
                <w:sz w:val="18"/>
              </w:rPr>
              <w:t>Risk</w:t>
            </w:r>
            <w:r>
              <w:rPr>
                <w:rFonts w:ascii="Arial" w:hAnsi="Arial"/>
                <w:spacing w:val="-13"/>
                <w:sz w:val="18"/>
              </w:rPr>
              <w:t xml:space="preserve"> </w:t>
            </w:r>
            <w:r>
              <w:rPr>
                <w:rFonts w:ascii="Arial" w:hAnsi="Arial"/>
                <w:spacing w:val="-4"/>
                <w:sz w:val="18"/>
              </w:rPr>
              <w:t>reduction (</w:t>
            </w:r>
            <w:r>
              <w:rPr>
                <w:rFonts w:ascii="Symbol" w:hAnsi="Symbol"/>
                <w:spacing w:val="-4"/>
                <w:sz w:val="18"/>
              </w:rPr>
              <w:t></w:t>
            </w:r>
            <w:r>
              <w:rPr>
                <w:rFonts w:ascii="Arial" w:hAnsi="Arial"/>
                <w:spacing w:val="-4"/>
                <w:sz w:val="18"/>
              </w:rPr>
              <w:t>)</w:t>
            </w:r>
          </w:p>
        </w:tc>
        <w:tc>
          <w:tcPr>
            <w:tcW w:w="1801" w:type="dxa"/>
            <w:gridSpan w:val="2"/>
          </w:tcPr>
          <w:p w14:paraId="39808E58" w14:textId="77777777" w:rsidR="00AE135B" w:rsidRDefault="00EE5424">
            <w:pPr>
              <w:pStyle w:val="TableParagraph"/>
              <w:spacing w:before="95"/>
              <w:ind w:left="33"/>
              <w:jc w:val="center"/>
              <w:rPr>
                <w:rFonts w:ascii="Arial"/>
                <w:sz w:val="18"/>
              </w:rPr>
            </w:pPr>
            <w:r>
              <w:rPr>
                <w:rFonts w:ascii="Arial"/>
                <w:spacing w:val="-5"/>
                <w:sz w:val="18"/>
              </w:rPr>
              <w:t>23</w:t>
            </w:r>
          </w:p>
        </w:tc>
        <w:tc>
          <w:tcPr>
            <w:tcW w:w="2060" w:type="dxa"/>
            <w:gridSpan w:val="2"/>
          </w:tcPr>
          <w:p w14:paraId="13E194B9" w14:textId="77777777" w:rsidR="00AE135B" w:rsidRDefault="00EE5424">
            <w:pPr>
              <w:pStyle w:val="TableParagraph"/>
              <w:spacing w:before="95"/>
              <w:ind w:left="28" w:right="6"/>
              <w:jc w:val="center"/>
              <w:rPr>
                <w:rFonts w:ascii="Arial"/>
                <w:sz w:val="18"/>
              </w:rPr>
            </w:pPr>
            <w:r>
              <w:rPr>
                <w:rFonts w:ascii="Arial"/>
                <w:spacing w:val="-5"/>
                <w:sz w:val="18"/>
              </w:rPr>
              <w:t>10</w:t>
            </w:r>
          </w:p>
        </w:tc>
        <w:tc>
          <w:tcPr>
            <w:tcW w:w="1885" w:type="dxa"/>
            <w:gridSpan w:val="2"/>
          </w:tcPr>
          <w:p w14:paraId="50132D03" w14:textId="77777777" w:rsidR="00AE135B" w:rsidRDefault="00EE5424">
            <w:pPr>
              <w:pStyle w:val="TableParagraph"/>
              <w:spacing w:before="95"/>
              <w:ind w:left="25" w:right="7"/>
              <w:jc w:val="center"/>
              <w:rPr>
                <w:rFonts w:ascii="Arial"/>
                <w:sz w:val="18"/>
              </w:rPr>
            </w:pPr>
            <w:r>
              <w:rPr>
                <w:rFonts w:ascii="Arial"/>
                <w:spacing w:val="-5"/>
                <w:sz w:val="18"/>
              </w:rPr>
              <w:t>18</w:t>
            </w:r>
          </w:p>
        </w:tc>
        <w:tc>
          <w:tcPr>
            <w:tcW w:w="1815" w:type="dxa"/>
            <w:gridSpan w:val="2"/>
          </w:tcPr>
          <w:p w14:paraId="0AB2A196" w14:textId="77777777" w:rsidR="00AE135B" w:rsidRDefault="00EE5424">
            <w:pPr>
              <w:pStyle w:val="TableParagraph"/>
              <w:spacing w:before="95"/>
              <w:ind w:left="27" w:right="7"/>
              <w:jc w:val="center"/>
              <w:rPr>
                <w:rFonts w:ascii="Arial"/>
                <w:sz w:val="18"/>
              </w:rPr>
            </w:pPr>
            <w:r>
              <w:rPr>
                <w:rFonts w:ascii="Arial"/>
                <w:spacing w:val="-5"/>
                <w:sz w:val="18"/>
              </w:rPr>
              <w:t>18</w:t>
            </w:r>
          </w:p>
        </w:tc>
      </w:tr>
      <w:tr w:rsidR="00AE135B" w14:paraId="63C33CA3" w14:textId="77777777">
        <w:trPr>
          <w:trHeight w:val="599"/>
        </w:trPr>
        <w:tc>
          <w:tcPr>
            <w:tcW w:w="1440" w:type="dxa"/>
          </w:tcPr>
          <w:p w14:paraId="17378D16" w14:textId="77777777" w:rsidR="00AE135B" w:rsidRDefault="00EE5424">
            <w:pPr>
              <w:pStyle w:val="TableParagraph"/>
              <w:spacing w:before="92" w:line="276" w:lineRule="auto"/>
              <w:ind w:right="495"/>
              <w:rPr>
                <w:rFonts w:ascii="Arial"/>
                <w:sz w:val="18"/>
              </w:rPr>
            </w:pPr>
            <w:r>
              <w:rPr>
                <w:rFonts w:ascii="Arial"/>
                <w:spacing w:val="-6"/>
                <w:sz w:val="18"/>
              </w:rPr>
              <w:t xml:space="preserve">Superiority </w:t>
            </w:r>
            <w:r>
              <w:rPr>
                <w:rFonts w:ascii="Arial"/>
                <w:spacing w:val="-2"/>
                <w:sz w:val="18"/>
              </w:rPr>
              <w:t>p-value</w:t>
            </w:r>
          </w:p>
        </w:tc>
        <w:tc>
          <w:tcPr>
            <w:tcW w:w="1801" w:type="dxa"/>
            <w:gridSpan w:val="2"/>
          </w:tcPr>
          <w:p w14:paraId="492C3D7D" w14:textId="77777777" w:rsidR="00AE135B" w:rsidRDefault="00EE5424">
            <w:pPr>
              <w:pStyle w:val="TableParagraph"/>
              <w:spacing w:before="89"/>
              <w:ind w:left="582"/>
              <w:rPr>
                <w:rFonts w:ascii="Arial" w:hAnsi="Arial"/>
                <w:b/>
                <w:position w:val="6"/>
                <w:sz w:val="12"/>
              </w:rPr>
            </w:pPr>
            <w:r>
              <w:rPr>
                <w:rFonts w:ascii="Arial" w:hAnsi="Arial"/>
                <w:spacing w:val="-2"/>
                <w:sz w:val="18"/>
              </w:rPr>
              <w:t>0.0012</w:t>
            </w:r>
            <w:r>
              <w:rPr>
                <w:rFonts w:ascii="Arial" w:hAnsi="Arial"/>
                <w:b/>
                <w:spacing w:val="-2"/>
                <w:position w:val="6"/>
                <w:sz w:val="12"/>
              </w:rPr>
              <w:t>†</w:t>
            </w:r>
          </w:p>
        </w:tc>
        <w:tc>
          <w:tcPr>
            <w:tcW w:w="2060" w:type="dxa"/>
            <w:gridSpan w:val="2"/>
          </w:tcPr>
          <w:p w14:paraId="413FD39B" w14:textId="77777777" w:rsidR="00AE135B" w:rsidRDefault="00EE5424">
            <w:pPr>
              <w:pStyle w:val="TableParagraph"/>
              <w:spacing w:before="89"/>
              <w:ind w:left="616"/>
              <w:rPr>
                <w:rFonts w:ascii="Arial" w:hAnsi="Arial"/>
                <w:b/>
                <w:position w:val="6"/>
                <w:sz w:val="12"/>
              </w:rPr>
            </w:pPr>
            <w:r>
              <w:rPr>
                <w:rFonts w:ascii="Arial" w:hAnsi="Arial"/>
                <w:spacing w:val="-2"/>
                <w:sz w:val="18"/>
              </w:rPr>
              <w:t>0.1447</w:t>
            </w:r>
            <w:r>
              <w:rPr>
                <w:rFonts w:ascii="Arial" w:hAnsi="Arial"/>
                <w:b/>
                <w:spacing w:val="-2"/>
                <w:position w:val="6"/>
                <w:sz w:val="12"/>
              </w:rPr>
              <w:t>†</w:t>
            </w:r>
          </w:p>
        </w:tc>
        <w:tc>
          <w:tcPr>
            <w:tcW w:w="1885" w:type="dxa"/>
            <w:gridSpan w:val="2"/>
          </w:tcPr>
          <w:p w14:paraId="48A5AA10" w14:textId="77777777" w:rsidR="00AE135B" w:rsidRDefault="00EE5424">
            <w:pPr>
              <w:pStyle w:val="TableParagraph"/>
              <w:spacing w:before="89"/>
              <w:ind w:left="644"/>
              <w:rPr>
                <w:rFonts w:ascii="Arial" w:hAnsi="Arial"/>
                <w:b/>
                <w:position w:val="6"/>
                <w:sz w:val="12"/>
              </w:rPr>
            </w:pPr>
            <w:r>
              <w:rPr>
                <w:rFonts w:ascii="Arial" w:hAnsi="Arial"/>
                <w:spacing w:val="-2"/>
                <w:sz w:val="18"/>
              </w:rPr>
              <w:t>0.0085</w:t>
            </w:r>
            <w:r>
              <w:rPr>
                <w:rFonts w:ascii="Arial" w:hAnsi="Arial"/>
                <w:b/>
                <w:spacing w:val="-2"/>
                <w:position w:val="6"/>
                <w:sz w:val="12"/>
              </w:rPr>
              <w:t>†</w:t>
            </w:r>
          </w:p>
        </w:tc>
        <w:tc>
          <w:tcPr>
            <w:tcW w:w="1815" w:type="dxa"/>
            <w:gridSpan w:val="2"/>
          </w:tcPr>
          <w:p w14:paraId="167A0FF7" w14:textId="77777777" w:rsidR="00AE135B" w:rsidRDefault="00EE5424">
            <w:pPr>
              <w:pStyle w:val="TableParagraph"/>
              <w:spacing w:before="80"/>
              <w:ind w:left="536"/>
              <w:rPr>
                <w:rFonts w:ascii="Arial" w:hAnsi="Arial"/>
                <w:sz w:val="18"/>
              </w:rPr>
            </w:pPr>
            <w:r>
              <w:rPr>
                <w:rFonts w:ascii="Symbol" w:hAnsi="Symbol"/>
                <w:sz w:val="18"/>
              </w:rPr>
              <w:t></w:t>
            </w:r>
            <w:r>
              <w:rPr>
                <w:rFonts w:ascii="Times New Roman" w:hAnsi="Times New Roman"/>
                <w:spacing w:val="5"/>
                <w:sz w:val="18"/>
              </w:rPr>
              <w:t xml:space="preserve"> </w:t>
            </w:r>
            <w:r>
              <w:rPr>
                <w:rFonts w:ascii="Arial" w:hAnsi="Arial"/>
                <w:spacing w:val="-2"/>
                <w:sz w:val="18"/>
              </w:rPr>
              <w:t>0.0001</w:t>
            </w:r>
          </w:p>
        </w:tc>
      </w:tr>
      <w:tr w:rsidR="00AE135B" w14:paraId="031F24BE" w14:textId="77777777">
        <w:trPr>
          <w:trHeight w:val="357"/>
        </w:trPr>
        <w:tc>
          <w:tcPr>
            <w:tcW w:w="1440" w:type="dxa"/>
          </w:tcPr>
          <w:p w14:paraId="53FA251C" w14:textId="77777777" w:rsidR="00AE135B" w:rsidRDefault="00EE5424">
            <w:pPr>
              <w:pStyle w:val="TableParagraph"/>
              <w:spacing w:before="90"/>
              <w:rPr>
                <w:rFonts w:ascii="Arial"/>
                <w:sz w:val="18"/>
              </w:rPr>
            </w:pPr>
            <w:proofErr w:type="spellStart"/>
            <w:r>
              <w:rPr>
                <w:rFonts w:ascii="Arial"/>
                <w:sz w:val="18"/>
              </w:rPr>
              <w:t>SMR</w:t>
            </w:r>
            <w:proofErr w:type="spellEnd"/>
            <w:r>
              <w:rPr>
                <w:rFonts w:ascii="Arial"/>
                <w:spacing w:val="-8"/>
                <w:sz w:val="18"/>
              </w:rPr>
              <w:t xml:space="preserve"> </w:t>
            </w:r>
            <w:r>
              <w:rPr>
                <w:rFonts w:ascii="Arial"/>
                <w:sz w:val="18"/>
              </w:rPr>
              <w:t>per</w:t>
            </w:r>
            <w:r>
              <w:rPr>
                <w:rFonts w:ascii="Arial"/>
                <w:spacing w:val="-9"/>
                <w:sz w:val="18"/>
              </w:rPr>
              <w:t xml:space="preserve"> </w:t>
            </w:r>
            <w:r>
              <w:rPr>
                <w:rFonts w:ascii="Arial"/>
                <w:spacing w:val="-4"/>
                <w:sz w:val="18"/>
              </w:rPr>
              <w:t>year</w:t>
            </w:r>
          </w:p>
        </w:tc>
        <w:tc>
          <w:tcPr>
            <w:tcW w:w="901" w:type="dxa"/>
          </w:tcPr>
          <w:p w14:paraId="3E6E9297" w14:textId="77777777" w:rsidR="00AE135B" w:rsidRDefault="00EE5424">
            <w:pPr>
              <w:pStyle w:val="TableParagraph"/>
              <w:spacing w:before="90"/>
              <w:ind w:left="36"/>
              <w:jc w:val="center"/>
              <w:rPr>
                <w:rFonts w:ascii="Arial"/>
                <w:sz w:val="18"/>
              </w:rPr>
            </w:pPr>
            <w:r>
              <w:rPr>
                <w:rFonts w:ascii="Arial"/>
                <w:spacing w:val="-4"/>
                <w:sz w:val="18"/>
              </w:rPr>
              <w:t>0.45</w:t>
            </w:r>
          </w:p>
        </w:tc>
        <w:tc>
          <w:tcPr>
            <w:tcW w:w="900" w:type="dxa"/>
          </w:tcPr>
          <w:p w14:paraId="32FA8884" w14:textId="77777777" w:rsidR="00AE135B" w:rsidRDefault="00EE5424">
            <w:pPr>
              <w:pStyle w:val="TableParagraph"/>
              <w:spacing w:before="90"/>
              <w:ind w:left="31"/>
              <w:jc w:val="center"/>
              <w:rPr>
                <w:rFonts w:ascii="Arial"/>
                <w:sz w:val="18"/>
              </w:rPr>
            </w:pPr>
            <w:r>
              <w:rPr>
                <w:rFonts w:ascii="Arial"/>
                <w:spacing w:val="-4"/>
                <w:sz w:val="18"/>
              </w:rPr>
              <w:t>0.58</w:t>
            </w:r>
          </w:p>
        </w:tc>
        <w:tc>
          <w:tcPr>
            <w:tcW w:w="1018" w:type="dxa"/>
          </w:tcPr>
          <w:p w14:paraId="50540BBD" w14:textId="77777777" w:rsidR="00AE135B" w:rsidRDefault="00EE5424">
            <w:pPr>
              <w:pStyle w:val="TableParagraph"/>
              <w:spacing w:before="90"/>
              <w:ind w:left="33"/>
              <w:jc w:val="center"/>
              <w:rPr>
                <w:rFonts w:ascii="Arial"/>
                <w:sz w:val="18"/>
              </w:rPr>
            </w:pPr>
            <w:r>
              <w:rPr>
                <w:rFonts w:ascii="Arial"/>
                <w:spacing w:val="-4"/>
                <w:sz w:val="18"/>
              </w:rPr>
              <w:t>0.86</w:t>
            </w:r>
          </w:p>
        </w:tc>
        <w:tc>
          <w:tcPr>
            <w:tcW w:w="1042" w:type="dxa"/>
          </w:tcPr>
          <w:p w14:paraId="43533F0E" w14:textId="77777777" w:rsidR="00AE135B" w:rsidRDefault="00EE5424">
            <w:pPr>
              <w:pStyle w:val="TableParagraph"/>
              <w:spacing w:before="90"/>
              <w:ind w:left="24"/>
              <w:jc w:val="center"/>
              <w:rPr>
                <w:rFonts w:ascii="Arial"/>
                <w:sz w:val="18"/>
              </w:rPr>
            </w:pPr>
            <w:r>
              <w:rPr>
                <w:rFonts w:ascii="Arial"/>
                <w:spacing w:val="-4"/>
                <w:sz w:val="18"/>
              </w:rPr>
              <w:t>1.04</w:t>
            </w:r>
          </w:p>
        </w:tc>
        <w:tc>
          <w:tcPr>
            <w:tcW w:w="912" w:type="dxa"/>
          </w:tcPr>
          <w:p w14:paraId="6BA6DD6A" w14:textId="77777777" w:rsidR="00AE135B" w:rsidRDefault="00EE5424">
            <w:pPr>
              <w:pStyle w:val="TableParagraph"/>
              <w:spacing w:before="90"/>
              <w:ind w:left="23"/>
              <w:jc w:val="center"/>
              <w:rPr>
                <w:rFonts w:ascii="Arial"/>
                <w:sz w:val="18"/>
              </w:rPr>
            </w:pPr>
            <w:r>
              <w:rPr>
                <w:rFonts w:ascii="Arial"/>
                <w:spacing w:val="-4"/>
                <w:sz w:val="18"/>
              </w:rPr>
              <w:t>0.79</w:t>
            </w:r>
          </w:p>
        </w:tc>
        <w:tc>
          <w:tcPr>
            <w:tcW w:w="973" w:type="dxa"/>
          </w:tcPr>
          <w:p w14:paraId="7B8929D5" w14:textId="77777777" w:rsidR="00AE135B" w:rsidRDefault="00EE5424">
            <w:pPr>
              <w:pStyle w:val="TableParagraph"/>
              <w:spacing w:before="90"/>
              <w:ind w:left="25"/>
              <w:jc w:val="center"/>
              <w:rPr>
                <w:rFonts w:ascii="Arial"/>
                <w:sz w:val="18"/>
              </w:rPr>
            </w:pPr>
            <w:r>
              <w:rPr>
                <w:rFonts w:ascii="Arial"/>
                <w:spacing w:val="-4"/>
                <w:sz w:val="18"/>
              </w:rPr>
              <w:t>0.83</w:t>
            </w:r>
          </w:p>
        </w:tc>
        <w:tc>
          <w:tcPr>
            <w:tcW w:w="917" w:type="dxa"/>
          </w:tcPr>
          <w:p w14:paraId="5816DA2C" w14:textId="77777777" w:rsidR="00AE135B" w:rsidRDefault="00EE5424">
            <w:pPr>
              <w:pStyle w:val="TableParagraph"/>
              <w:spacing w:before="90"/>
              <w:ind w:left="22"/>
              <w:jc w:val="center"/>
              <w:rPr>
                <w:rFonts w:ascii="Arial"/>
                <w:sz w:val="18"/>
              </w:rPr>
            </w:pPr>
            <w:r>
              <w:rPr>
                <w:rFonts w:ascii="Arial"/>
                <w:spacing w:val="-4"/>
                <w:sz w:val="18"/>
              </w:rPr>
              <w:t>0.69</w:t>
            </w:r>
          </w:p>
        </w:tc>
        <w:tc>
          <w:tcPr>
            <w:tcW w:w="898" w:type="dxa"/>
          </w:tcPr>
          <w:p w14:paraId="7FBCA552" w14:textId="77777777" w:rsidR="00AE135B" w:rsidRDefault="00EE5424">
            <w:pPr>
              <w:pStyle w:val="TableParagraph"/>
              <w:spacing w:before="90"/>
              <w:ind w:left="22"/>
              <w:jc w:val="center"/>
              <w:rPr>
                <w:rFonts w:ascii="Arial"/>
                <w:sz w:val="18"/>
              </w:rPr>
            </w:pPr>
            <w:r>
              <w:rPr>
                <w:rFonts w:ascii="Arial"/>
                <w:spacing w:val="-4"/>
                <w:sz w:val="18"/>
              </w:rPr>
              <w:t>0.81</w:t>
            </w:r>
          </w:p>
        </w:tc>
      </w:tr>
      <w:tr w:rsidR="00AE135B" w14:paraId="61BE4A85" w14:textId="77777777">
        <w:trPr>
          <w:trHeight w:val="359"/>
        </w:trPr>
        <w:tc>
          <w:tcPr>
            <w:tcW w:w="9001" w:type="dxa"/>
            <w:gridSpan w:val="9"/>
          </w:tcPr>
          <w:p w14:paraId="5CD13A81" w14:textId="77777777" w:rsidR="00AE135B" w:rsidRDefault="00EE5424">
            <w:pPr>
              <w:pStyle w:val="TableParagraph"/>
              <w:spacing w:before="69"/>
              <w:rPr>
                <w:rFonts w:ascii="Arial"/>
                <w:b/>
                <w:sz w:val="20"/>
              </w:rPr>
            </w:pPr>
            <w:r>
              <w:rPr>
                <w:rFonts w:ascii="Arial"/>
                <w:b/>
                <w:sz w:val="20"/>
              </w:rPr>
              <w:t>First</w:t>
            </w:r>
            <w:r>
              <w:rPr>
                <w:rFonts w:ascii="Arial"/>
                <w:b/>
                <w:spacing w:val="-14"/>
                <w:sz w:val="20"/>
              </w:rPr>
              <w:t xml:space="preserve"> </w:t>
            </w:r>
            <w:r>
              <w:rPr>
                <w:rFonts w:ascii="Arial"/>
                <w:b/>
                <w:sz w:val="20"/>
              </w:rPr>
              <w:t>Radiation</w:t>
            </w:r>
            <w:r>
              <w:rPr>
                <w:rFonts w:ascii="Arial"/>
                <w:b/>
                <w:spacing w:val="-13"/>
                <w:sz w:val="20"/>
              </w:rPr>
              <w:t xml:space="preserve"> </w:t>
            </w:r>
            <w:r>
              <w:rPr>
                <w:rFonts w:ascii="Arial"/>
                <w:b/>
                <w:sz w:val="20"/>
              </w:rPr>
              <w:t>to</w:t>
            </w:r>
            <w:r>
              <w:rPr>
                <w:rFonts w:ascii="Arial"/>
                <w:b/>
                <w:spacing w:val="-12"/>
                <w:sz w:val="20"/>
              </w:rPr>
              <w:t xml:space="preserve"> </w:t>
            </w:r>
            <w:r>
              <w:rPr>
                <w:rFonts w:ascii="Arial"/>
                <w:b/>
                <w:spacing w:val="-4"/>
                <w:sz w:val="20"/>
              </w:rPr>
              <w:t>Bone</w:t>
            </w:r>
          </w:p>
        </w:tc>
      </w:tr>
      <w:tr w:rsidR="00AE135B" w14:paraId="31D3726C" w14:textId="77777777">
        <w:trPr>
          <w:trHeight w:val="597"/>
        </w:trPr>
        <w:tc>
          <w:tcPr>
            <w:tcW w:w="1440" w:type="dxa"/>
          </w:tcPr>
          <w:p w14:paraId="5C3DB11F" w14:textId="77777777" w:rsidR="00AE135B" w:rsidRDefault="00EE5424">
            <w:pPr>
              <w:pStyle w:val="TableParagraph"/>
              <w:spacing w:before="90" w:line="278" w:lineRule="auto"/>
              <w:rPr>
                <w:rFonts w:ascii="Arial"/>
                <w:sz w:val="18"/>
              </w:rPr>
            </w:pPr>
            <w:r>
              <w:rPr>
                <w:rFonts w:ascii="Arial"/>
                <w:spacing w:val="-4"/>
                <w:sz w:val="18"/>
              </w:rPr>
              <w:t>Median</w:t>
            </w:r>
            <w:r>
              <w:rPr>
                <w:rFonts w:ascii="Arial"/>
                <w:spacing w:val="-18"/>
                <w:sz w:val="18"/>
              </w:rPr>
              <w:t xml:space="preserve"> </w:t>
            </w:r>
            <w:r>
              <w:rPr>
                <w:rFonts w:ascii="Arial"/>
                <w:spacing w:val="-4"/>
                <w:sz w:val="18"/>
              </w:rPr>
              <w:t xml:space="preserve">time </w:t>
            </w:r>
            <w:r>
              <w:rPr>
                <w:rFonts w:ascii="Arial"/>
                <w:spacing w:val="-2"/>
                <w:sz w:val="18"/>
              </w:rPr>
              <w:t>(months)</w:t>
            </w:r>
          </w:p>
        </w:tc>
        <w:tc>
          <w:tcPr>
            <w:tcW w:w="901" w:type="dxa"/>
          </w:tcPr>
          <w:p w14:paraId="45C0E62D" w14:textId="77777777" w:rsidR="00AE135B" w:rsidRDefault="00EE5424">
            <w:pPr>
              <w:pStyle w:val="TableParagraph"/>
              <w:spacing w:before="90"/>
              <w:ind w:left="36" w:right="11"/>
              <w:jc w:val="center"/>
              <w:rPr>
                <w:rFonts w:ascii="Arial"/>
                <w:sz w:val="18"/>
              </w:rPr>
            </w:pPr>
            <w:r>
              <w:rPr>
                <w:rFonts w:ascii="Arial"/>
                <w:spacing w:val="-5"/>
                <w:sz w:val="18"/>
              </w:rPr>
              <w:t>NR</w:t>
            </w:r>
          </w:p>
        </w:tc>
        <w:tc>
          <w:tcPr>
            <w:tcW w:w="900" w:type="dxa"/>
          </w:tcPr>
          <w:p w14:paraId="144B261D" w14:textId="77777777" w:rsidR="00AE135B" w:rsidRDefault="00EE5424">
            <w:pPr>
              <w:pStyle w:val="TableParagraph"/>
              <w:spacing w:before="90"/>
              <w:ind w:left="31" w:right="6"/>
              <w:jc w:val="center"/>
              <w:rPr>
                <w:rFonts w:ascii="Arial"/>
                <w:sz w:val="18"/>
              </w:rPr>
            </w:pPr>
            <w:r>
              <w:rPr>
                <w:rFonts w:ascii="Arial"/>
                <w:spacing w:val="-5"/>
                <w:sz w:val="18"/>
              </w:rPr>
              <w:t>NR</w:t>
            </w:r>
          </w:p>
        </w:tc>
        <w:tc>
          <w:tcPr>
            <w:tcW w:w="1018" w:type="dxa"/>
          </w:tcPr>
          <w:p w14:paraId="2201F13E" w14:textId="77777777" w:rsidR="00AE135B" w:rsidRDefault="00EE5424">
            <w:pPr>
              <w:pStyle w:val="TableParagraph"/>
              <w:spacing w:before="90"/>
              <w:ind w:left="33" w:right="11"/>
              <w:jc w:val="center"/>
              <w:rPr>
                <w:rFonts w:ascii="Arial"/>
                <w:sz w:val="18"/>
              </w:rPr>
            </w:pPr>
            <w:r>
              <w:rPr>
                <w:rFonts w:ascii="Arial"/>
                <w:spacing w:val="-5"/>
                <w:sz w:val="18"/>
              </w:rPr>
              <w:t>NR</w:t>
            </w:r>
          </w:p>
        </w:tc>
        <w:tc>
          <w:tcPr>
            <w:tcW w:w="1042" w:type="dxa"/>
          </w:tcPr>
          <w:p w14:paraId="3F908EAC" w14:textId="77777777" w:rsidR="00AE135B" w:rsidRDefault="00EE5424">
            <w:pPr>
              <w:pStyle w:val="TableParagraph"/>
              <w:spacing w:before="90"/>
              <w:ind w:left="24" w:right="11"/>
              <w:jc w:val="center"/>
              <w:rPr>
                <w:rFonts w:ascii="Arial"/>
                <w:sz w:val="18"/>
              </w:rPr>
            </w:pPr>
            <w:r>
              <w:rPr>
                <w:rFonts w:ascii="Arial"/>
                <w:spacing w:val="-5"/>
                <w:sz w:val="18"/>
              </w:rPr>
              <w:t>NR</w:t>
            </w:r>
          </w:p>
        </w:tc>
        <w:tc>
          <w:tcPr>
            <w:tcW w:w="912" w:type="dxa"/>
          </w:tcPr>
          <w:p w14:paraId="27BE2A56" w14:textId="77777777" w:rsidR="00AE135B" w:rsidRDefault="00EE5424">
            <w:pPr>
              <w:pStyle w:val="TableParagraph"/>
              <w:spacing w:before="90"/>
              <w:ind w:left="23" w:right="6"/>
              <w:jc w:val="center"/>
              <w:rPr>
                <w:rFonts w:ascii="Arial"/>
                <w:sz w:val="18"/>
              </w:rPr>
            </w:pPr>
            <w:r>
              <w:rPr>
                <w:rFonts w:ascii="Arial"/>
                <w:spacing w:val="-5"/>
                <w:sz w:val="18"/>
              </w:rPr>
              <w:t>NR</w:t>
            </w:r>
          </w:p>
        </w:tc>
        <w:tc>
          <w:tcPr>
            <w:tcW w:w="973" w:type="dxa"/>
          </w:tcPr>
          <w:p w14:paraId="456AF484" w14:textId="77777777" w:rsidR="00AE135B" w:rsidRDefault="00EE5424">
            <w:pPr>
              <w:pStyle w:val="TableParagraph"/>
              <w:spacing w:before="90"/>
              <w:ind w:left="25"/>
              <w:jc w:val="center"/>
              <w:rPr>
                <w:rFonts w:ascii="Arial"/>
                <w:sz w:val="18"/>
              </w:rPr>
            </w:pPr>
            <w:r>
              <w:rPr>
                <w:rFonts w:ascii="Arial"/>
                <w:spacing w:val="-4"/>
                <w:sz w:val="18"/>
              </w:rPr>
              <w:t>28.6</w:t>
            </w:r>
          </w:p>
        </w:tc>
        <w:tc>
          <w:tcPr>
            <w:tcW w:w="917" w:type="dxa"/>
          </w:tcPr>
          <w:p w14:paraId="33334C89" w14:textId="77777777" w:rsidR="00AE135B" w:rsidRDefault="00EE5424">
            <w:pPr>
              <w:pStyle w:val="TableParagraph"/>
              <w:spacing w:before="90"/>
              <w:ind w:left="22" w:right="6"/>
              <w:jc w:val="center"/>
              <w:rPr>
                <w:rFonts w:ascii="Arial"/>
                <w:sz w:val="18"/>
              </w:rPr>
            </w:pPr>
            <w:r>
              <w:rPr>
                <w:rFonts w:ascii="Arial"/>
                <w:spacing w:val="-5"/>
                <w:sz w:val="18"/>
              </w:rPr>
              <w:t>NR</w:t>
            </w:r>
          </w:p>
        </w:tc>
        <w:tc>
          <w:tcPr>
            <w:tcW w:w="898" w:type="dxa"/>
          </w:tcPr>
          <w:p w14:paraId="520C02C7" w14:textId="77777777" w:rsidR="00AE135B" w:rsidRDefault="00EE5424">
            <w:pPr>
              <w:pStyle w:val="TableParagraph"/>
              <w:spacing w:before="90"/>
              <w:ind w:left="22"/>
              <w:jc w:val="center"/>
              <w:rPr>
                <w:rFonts w:ascii="Arial"/>
                <w:sz w:val="18"/>
              </w:rPr>
            </w:pPr>
            <w:r>
              <w:rPr>
                <w:rFonts w:ascii="Arial"/>
                <w:spacing w:val="-4"/>
                <w:sz w:val="18"/>
              </w:rPr>
              <w:t>33.2</w:t>
            </w:r>
          </w:p>
        </w:tc>
      </w:tr>
      <w:tr w:rsidR="00AE135B" w14:paraId="4D68BAE5" w14:textId="77777777">
        <w:trPr>
          <w:trHeight w:val="601"/>
        </w:trPr>
        <w:tc>
          <w:tcPr>
            <w:tcW w:w="1440" w:type="dxa"/>
          </w:tcPr>
          <w:p w14:paraId="17D962D1" w14:textId="77777777" w:rsidR="00AE135B" w:rsidRDefault="00EE5424">
            <w:pPr>
              <w:pStyle w:val="TableParagraph"/>
              <w:spacing w:before="92" w:line="266" w:lineRule="auto"/>
              <w:ind w:right="175"/>
              <w:rPr>
                <w:rFonts w:ascii="Arial" w:hAnsi="Arial"/>
                <w:sz w:val="18"/>
              </w:rPr>
            </w:pPr>
            <w:r>
              <w:rPr>
                <w:rFonts w:ascii="Arial" w:hAnsi="Arial"/>
                <w:spacing w:val="-4"/>
                <w:sz w:val="18"/>
              </w:rPr>
              <w:t>Hazard</w:t>
            </w:r>
            <w:r>
              <w:rPr>
                <w:rFonts w:ascii="Arial" w:hAnsi="Arial"/>
                <w:spacing w:val="-16"/>
                <w:sz w:val="18"/>
              </w:rPr>
              <w:t xml:space="preserve"> </w:t>
            </w:r>
            <w:r>
              <w:rPr>
                <w:rFonts w:ascii="Arial" w:hAnsi="Arial"/>
                <w:spacing w:val="-4"/>
                <w:sz w:val="18"/>
              </w:rPr>
              <w:t xml:space="preserve">ratio </w:t>
            </w:r>
            <w:r>
              <w:rPr>
                <w:rFonts w:ascii="Arial" w:hAnsi="Arial"/>
                <w:sz w:val="18"/>
              </w:rPr>
              <w:t>(95</w:t>
            </w:r>
            <w:r>
              <w:rPr>
                <w:rFonts w:ascii="Symbol" w:hAnsi="Symbol"/>
                <w:sz w:val="18"/>
              </w:rPr>
              <w:t></w:t>
            </w:r>
            <w:r>
              <w:rPr>
                <w:rFonts w:ascii="Times New Roman" w:hAnsi="Times New Roman"/>
                <w:sz w:val="18"/>
              </w:rPr>
              <w:t xml:space="preserve"> </w:t>
            </w:r>
            <w:r>
              <w:rPr>
                <w:rFonts w:ascii="Arial" w:hAnsi="Arial"/>
                <w:sz w:val="18"/>
              </w:rPr>
              <w:t>CI)</w:t>
            </w:r>
          </w:p>
        </w:tc>
        <w:tc>
          <w:tcPr>
            <w:tcW w:w="1801" w:type="dxa"/>
            <w:gridSpan w:val="2"/>
          </w:tcPr>
          <w:p w14:paraId="09B0ADA4" w14:textId="77777777" w:rsidR="00AE135B" w:rsidRDefault="00EE5424">
            <w:pPr>
              <w:pStyle w:val="TableParagraph"/>
              <w:spacing w:before="92"/>
              <w:ind w:left="230"/>
              <w:rPr>
                <w:rFonts w:ascii="Arial"/>
                <w:sz w:val="18"/>
              </w:rPr>
            </w:pPr>
            <w:r>
              <w:rPr>
                <w:rFonts w:ascii="Arial"/>
                <w:sz w:val="18"/>
              </w:rPr>
              <w:t>0.74</w:t>
            </w:r>
            <w:r>
              <w:rPr>
                <w:rFonts w:ascii="Arial"/>
                <w:spacing w:val="-9"/>
                <w:sz w:val="18"/>
              </w:rPr>
              <w:t xml:space="preserve"> </w:t>
            </w:r>
            <w:r>
              <w:rPr>
                <w:rFonts w:ascii="Arial"/>
                <w:sz w:val="18"/>
              </w:rPr>
              <w:t>(0.59,</w:t>
            </w:r>
            <w:r>
              <w:rPr>
                <w:rFonts w:ascii="Arial"/>
                <w:spacing w:val="-8"/>
                <w:sz w:val="18"/>
              </w:rPr>
              <w:t xml:space="preserve"> </w:t>
            </w:r>
            <w:r>
              <w:rPr>
                <w:rFonts w:ascii="Arial"/>
                <w:spacing w:val="-2"/>
                <w:sz w:val="18"/>
              </w:rPr>
              <w:t>0.94)</w:t>
            </w:r>
          </w:p>
        </w:tc>
        <w:tc>
          <w:tcPr>
            <w:tcW w:w="2060" w:type="dxa"/>
            <w:gridSpan w:val="2"/>
          </w:tcPr>
          <w:p w14:paraId="5A022B84" w14:textId="77777777" w:rsidR="00AE135B" w:rsidRDefault="00EE5424">
            <w:pPr>
              <w:pStyle w:val="TableParagraph"/>
              <w:spacing w:before="92"/>
              <w:ind w:left="265"/>
              <w:rPr>
                <w:rFonts w:ascii="Arial"/>
                <w:sz w:val="18"/>
              </w:rPr>
            </w:pPr>
            <w:r>
              <w:rPr>
                <w:rFonts w:ascii="Arial"/>
                <w:sz w:val="18"/>
              </w:rPr>
              <w:t>0.78</w:t>
            </w:r>
            <w:r>
              <w:rPr>
                <w:rFonts w:ascii="Arial"/>
                <w:spacing w:val="-9"/>
                <w:sz w:val="18"/>
              </w:rPr>
              <w:t xml:space="preserve"> </w:t>
            </w:r>
            <w:r>
              <w:rPr>
                <w:rFonts w:ascii="Arial"/>
                <w:sz w:val="18"/>
              </w:rPr>
              <w:t>(0.63,</w:t>
            </w:r>
            <w:r>
              <w:rPr>
                <w:rFonts w:ascii="Arial"/>
                <w:spacing w:val="-11"/>
                <w:sz w:val="18"/>
              </w:rPr>
              <w:t xml:space="preserve"> </w:t>
            </w:r>
            <w:r>
              <w:rPr>
                <w:rFonts w:ascii="Arial"/>
                <w:spacing w:val="-2"/>
                <w:sz w:val="18"/>
              </w:rPr>
              <w:t>0.97)</w:t>
            </w:r>
          </w:p>
        </w:tc>
        <w:tc>
          <w:tcPr>
            <w:tcW w:w="1885" w:type="dxa"/>
            <w:gridSpan w:val="2"/>
          </w:tcPr>
          <w:p w14:paraId="204C56F9" w14:textId="77777777" w:rsidR="00AE135B" w:rsidRDefault="00EE5424">
            <w:pPr>
              <w:pStyle w:val="TableParagraph"/>
              <w:spacing w:before="92"/>
              <w:ind w:left="284"/>
              <w:rPr>
                <w:rFonts w:ascii="Arial"/>
                <w:sz w:val="18"/>
              </w:rPr>
            </w:pPr>
            <w:r>
              <w:rPr>
                <w:rFonts w:ascii="Arial"/>
                <w:sz w:val="18"/>
              </w:rPr>
              <w:t>0.78</w:t>
            </w:r>
            <w:r>
              <w:rPr>
                <w:rFonts w:ascii="Arial"/>
                <w:spacing w:val="-9"/>
                <w:sz w:val="18"/>
              </w:rPr>
              <w:t xml:space="preserve"> </w:t>
            </w:r>
            <w:r>
              <w:rPr>
                <w:rFonts w:ascii="Arial"/>
                <w:sz w:val="18"/>
              </w:rPr>
              <w:t>(0.66,</w:t>
            </w:r>
            <w:r>
              <w:rPr>
                <w:rFonts w:ascii="Arial"/>
                <w:spacing w:val="-11"/>
                <w:sz w:val="18"/>
              </w:rPr>
              <w:t xml:space="preserve"> </w:t>
            </w:r>
            <w:r>
              <w:rPr>
                <w:rFonts w:ascii="Arial"/>
                <w:spacing w:val="-2"/>
                <w:sz w:val="18"/>
              </w:rPr>
              <w:t>0.94)</w:t>
            </w:r>
          </w:p>
        </w:tc>
        <w:tc>
          <w:tcPr>
            <w:tcW w:w="1815" w:type="dxa"/>
            <w:gridSpan w:val="2"/>
          </w:tcPr>
          <w:p w14:paraId="2BB15724" w14:textId="77777777" w:rsidR="00AE135B" w:rsidRDefault="00EE5424">
            <w:pPr>
              <w:pStyle w:val="TableParagraph"/>
              <w:spacing w:before="92"/>
              <w:ind w:left="224"/>
              <w:rPr>
                <w:rFonts w:ascii="Arial"/>
                <w:sz w:val="18"/>
              </w:rPr>
            </w:pPr>
            <w:r>
              <w:rPr>
                <w:rFonts w:ascii="Arial"/>
                <w:sz w:val="18"/>
              </w:rPr>
              <w:t>0.77</w:t>
            </w:r>
            <w:r>
              <w:rPr>
                <w:rFonts w:ascii="Arial"/>
                <w:spacing w:val="-9"/>
                <w:sz w:val="18"/>
              </w:rPr>
              <w:t xml:space="preserve"> </w:t>
            </w:r>
            <w:r>
              <w:rPr>
                <w:rFonts w:ascii="Arial"/>
                <w:sz w:val="18"/>
              </w:rPr>
              <w:t>(0.69,</w:t>
            </w:r>
            <w:r>
              <w:rPr>
                <w:rFonts w:ascii="Arial"/>
                <w:spacing w:val="-11"/>
                <w:sz w:val="18"/>
              </w:rPr>
              <w:t xml:space="preserve"> </w:t>
            </w:r>
            <w:r>
              <w:rPr>
                <w:rFonts w:ascii="Arial"/>
                <w:spacing w:val="-2"/>
                <w:sz w:val="18"/>
              </w:rPr>
              <w:t>0.87)</w:t>
            </w:r>
          </w:p>
        </w:tc>
      </w:tr>
      <w:tr w:rsidR="00AE135B" w14:paraId="5BA78040" w14:textId="77777777">
        <w:trPr>
          <w:trHeight w:val="602"/>
        </w:trPr>
        <w:tc>
          <w:tcPr>
            <w:tcW w:w="1440" w:type="dxa"/>
          </w:tcPr>
          <w:p w14:paraId="45D6D395" w14:textId="77777777" w:rsidR="00AE135B" w:rsidRDefault="00EE5424">
            <w:pPr>
              <w:pStyle w:val="TableParagraph"/>
              <w:spacing w:before="95" w:line="264" w:lineRule="auto"/>
              <w:ind w:right="175"/>
              <w:rPr>
                <w:rFonts w:ascii="Arial" w:hAnsi="Arial"/>
                <w:sz w:val="18"/>
              </w:rPr>
            </w:pPr>
            <w:r>
              <w:rPr>
                <w:rFonts w:ascii="Arial" w:hAnsi="Arial"/>
                <w:spacing w:val="-4"/>
                <w:sz w:val="18"/>
              </w:rPr>
              <w:t>Risk</w:t>
            </w:r>
            <w:r>
              <w:rPr>
                <w:rFonts w:ascii="Arial" w:hAnsi="Arial"/>
                <w:spacing w:val="-13"/>
                <w:sz w:val="18"/>
              </w:rPr>
              <w:t xml:space="preserve"> </w:t>
            </w:r>
            <w:r>
              <w:rPr>
                <w:rFonts w:ascii="Arial" w:hAnsi="Arial"/>
                <w:spacing w:val="-4"/>
                <w:sz w:val="18"/>
              </w:rPr>
              <w:t>reduction (</w:t>
            </w:r>
            <w:r>
              <w:rPr>
                <w:rFonts w:ascii="Symbol" w:hAnsi="Symbol"/>
                <w:spacing w:val="-4"/>
                <w:sz w:val="18"/>
              </w:rPr>
              <w:t></w:t>
            </w:r>
            <w:r>
              <w:rPr>
                <w:rFonts w:ascii="Arial" w:hAnsi="Arial"/>
                <w:spacing w:val="-4"/>
                <w:sz w:val="18"/>
              </w:rPr>
              <w:t>)</w:t>
            </w:r>
          </w:p>
        </w:tc>
        <w:tc>
          <w:tcPr>
            <w:tcW w:w="1801" w:type="dxa"/>
            <w:gridSpan w:val="2"/>
          </w:tcPr>
          <w:p w14:paraId="5D7FE6A6" w14:textId="77777777" w:rsidR="00AE135B" w:rsidRDefault="00EE5424">
            <w:pPr>
              <w:pStyle w:val="TableParagraph"/>
              <w:spacing w:before="95"/>
              <w:ind w:left="33"/>
              <w:jc w:val="center"/>
              <w:rPr>
                <w:rFonts w:ascii="Arial"/>
                <w:sz w:val="18"/>
              </w:rPr>
            </w:pPr>
            <w:r>
              <w:rPr>
                <w:rFonts w:ascii="Arial"/>
                <w:spacing w:val="-5"/>
                <w:sz w:val="18"/>
              </w:rPr>
              <w:t>26</w:t>
            </w:r>
          </w:p>
        </w:tc>
        <w:tc>
          <w:tcPr>
            <w:tcW w:w="2060" w:type="dxa"/>
            <w:gridSpan w:val="2"/>
          </w:tcPr>
          <w:p w14:paraId="0EC0613F" w14:textId="77777777" w:rsidR="00AE135B" w:rsidRDefault="00EE5424">
            <w:pPr>
              <w:pStyle w:val="TableParagraph"/>
              <w:spacing w:before="95"/>
              <w:ind w:left="28" w:right="11"/>
              <w:jc w:val="center"/>
              <w:rPr>
                <w:rFonts w:ascii="Arial"/>
                <w:sz w:val="18"/>
              </w:rPr>
            </w:pPr>
            <w:r>
              <w:rPr>
                <w:rFonts w:ascii="Arial"/>
                <w:spacing w:val="-5"/>
                <w:sz w:val="18"/>
              </w:rPr>
              <w:t>22</w:t>
            </w:r>
          </w:p>
        </w:tc>
        <w:tc>
          <w:tcPr>
            <w:tcW w:w="1885" w:type="dxa"/>
            <w:gridSpan w:val="2"/>
          </w:tcPr>
          <w:p w14:paraId="055F79CB" w14:textId="77777777" w:rsidR="00AE135B" w:rsidRDefault="00EE5424">
            <w:pPr>
              <w:pStyle w:val="TableParagraph"/>
              <w:spacing w:before="95"/>
              <w:ind w:left="25" w:right="7"/>
              <w:jc w:val="center"/>
              <w:rPr>
                <w:rFonts w:ascii="Arial"/>
                <w:sz w:val="18"/>
              </w:rPr>
            </w:pPr>
            <w:r>
              <w:rPr>
                <w:rFonts w:ascii="Arial"/>
                <w:spacing w:val="-5"/>
                <w:sz w:val="18"/>
              </w:rPr>
              <w:t>22</w:t>
            </w:r>
          </w:p>
        </w:tc>
        <w:tc>
          <w:tcPr>
            <w:tcW w:w="1815" w:type="dxa"/>
            <w:gridSpan w:val="2"/>
          </w:tcPr>
          <w:p w14:paraId="3AD0144C" w14:textId="77777777" w:rsidR="00AE135B" w:rsidRDefault="00EE5424">
            <w:pPr>
              <w:pStyle w:val="TableParagraph"/>
              <w:spacing w:before="95"/>
              <w:ind w:left="27" w:right="7"/>
              <w:jc w:val="center"/>
              <w:rPr>
                <w:rFonts w:ascii="Arial"/>
                <w:sz w:val="18"/>
              </w:rPr>
            </w:pPr>
            <w:r>
              <w:rPr>
                <w:rFonts w:ascii="Arial"/>
                <w:spacing w:val="-5"/>
                <w:sz w:val="18"/>
              </w:rPr>
              <w:t>23</w:t>
            </w:r>
          </w:p>
        </w:tc>
      </w:tr>
      <w:tr w:rsidR="00AE135B" w14:paraId="6BCF1A01" w14:textId="77777777">
        <w:trPr>
          <w:trHeight w:val="597"/>
        </w:trPr>
        <w:tc>
          <w:tcPr>
            <w:tcW w:w="1440" w:type="dxa"/>
          </w:tcPr>
          <w:p w14:paraId="43EFEC85" w14:textId="77777777" w:rsidR="00AE135B" w:rsidRDefault="00EE5424">
            <w:pPr>
              <w:pStyle w:val="TableParagraph"/>
              <w:spacing w:before="92" w:line="273" w:lineRule="auto"/>
              <w:ind w:right="495"/>
              <w:rPr>
                <w:rFonts w:ascii="Arial"/>
                <w:sz w:val="18"/>
              </w:rPr>
            </w:pPr>
            <w:r>
              <w:rPr>
                <w:rFonts w:ascii="Arial"/>
                <w:spacing w:val="-6"/>
                <w:sz w:val="18"/>
              </w:rPr>
              <w:t xml:space="preserve">Superiority </w:t>
            </w:r>
            <w:r>
              <w:rPr>
                <w:rFonts w:ascii="Arial"/>
                <w:spacing w:val="-2"/>
                <w:sz w:val="18"/>
              </w:rPr>
              <w:t>p-value</w:t>
            </w:r>
          </w:p>
        </w:tc>
        <w:tc>
          <w:tcPr>
            <w:tcW w:w="1801" w:type="dxa"/>
            <w:gridSpan w:val="2"/>
          </w:tcPr>
          <w:p w14:paraId="665178EA" w14:textId="77777777" w:rsidR="00AE135B" w:rsidRDefault="00EE5424">
            <w:pPr>
              <w:pStyle w:val="TableParagraph"/>
              <w:spacing w:before="90"/>
              <w:ind w:left="33" w:right="1"/>
              <w:jc w:val="center"/>
              <w:rPr>
                <w:rFonts w:ascii="Arial"/>
                <w:sz w:val="18"/>
              </w:rPr>
            </w:pPr>
            <w:r>
              <w:rPr>
                <w:rFonts w:ascii="Arial"/>
                <w:spacing w:val="-2"/>
                <w:sz w:val="18"/>
              </w:rPr>
              <w:t>0.0121</w:t>
            </w:r>
          </w:p>
        </w:tc>
        <w:tc>
          <w:tcPr>
            <w:tcW w:w="2060" w:type="dxa"/>
            <w:gridSpan w:val="2"/>
          </w:tcPr>
          <w:p w14:paraId="5E98979A" w14:textId="77777777" w:rsidR="00AE135B" w:rsidRDefault="00EE5424">
            <w:pPr>
              <w:pStyle w:val="TableParagraph"/>
              <w:spacing w:before="90"/>
              <w:ind w:left="28" w:right="2"/>
              <w:jc w:val="center"/>
              <w:rPr>
                <w:rFonts w:ascii="Arial"/>
                <w:sz w:val="18"/>
              </w:rPr>
            </w:pPr>
            <w:r>
              <w:rPr>
                <w:rFonts w:ascii="Arial"/>
                <w:spacing w:val="-2"/>
                <w:sz w:val="18"/>
              </w:rPr>
              <w:t>0.0256</w:t>
            </w:r>
          </w:p>
        </w:tc>
        <w:tc>
          <w:tcPr>
            <w:tcW w:w="1885" w:type="dxa"/>
            <w:gridSpan w:val="2"/>
          </w:tcPr>
          <w:p w14:paraId="1EFCCCAF" w14:textId="77777777" w:rsidR="00AE135B" w:rsidRDefault="00EE5424">
            <w:pPr>
              <w:pStyle w:val="TableParagraph"/>
              <w:spacing w:before="90"/>
              <w:ind w:left="25" w:right="2"/>
              <w:jc w:val="center"/>
              <w:rPr>
                <w:rFonts w:ascii="Arial"/>
                <w:sz w:val="18"/>
              </w:rPr>
            </w:pPr>
            <w:r>
              <w:rPr>
                <w:rFonts w:ascii="Arial"/>
                <w:spacing w:val="-2"/>
                <w:sz w:val="18"/>
              </w:rPr>
              <w:t>0.0071</w:t>
            </w:r>
          </w:p>
        </w:tc>
        <w:tc>
          <w:tcPr>
            <w:tcW w:w="1815" w:type="dxa"/>
            <w:gridSpan w:val="2"/>
          </w:tcPr>
          <w:p w14:paraId="634511F7" w14:textId="77777777" w:rsidR="00AE135B" w:rsidRDefault="00EE5424">
            <w:pPr>
              <w:pStyle w:val="TableParagraph"/>
              <w:spacing w:before="80"/>
              <w:ind w:left="536"/>
              <w:rPr>
                <w:rFonts w:ascii="Arial" w:hAnsi="Arial"/>
                <w:sz w:val="18"/>
              </w:rPr>
            </w:pPr>
            <w:r>
              <w:rPr>
                <w:rFonts w:ascii="Symbol" w:hAnsi="Symbol"/>
                <w:sz w:val="18"/>
              </w:rPr>
              <w:t></w:t>
            </w:r>
            <w:r>
              <w:rPr>
                <w:rFonts w:ascii="Times New Roman" w:hAnsi="Times New Roman"/>
                <w:spacing w:val="5"/>
                <w:sz w:val="18"/>
              </w:rPr>
              <w:t xml:space="preserve"> </w:t>
            </w:r>
            <w:r>
              <w:rPr>
                <w:rFonts w:ascii="Arial" w:hAnsi="Arial"/>
                <w:spacing w:val="-2"/>
                <w:sz w:val="18"/>
              </w:rPr>
              <w:t>0.0001</w:t>
            </w:r>
          </w:p>
        </w:tc>
      </w:tr>
    </w:tbl>
    <w:p w14:paraId="03257A13" w14:textId="77777777" w:rsidR="00AE135B" w:rsidRDefault="00EE5424">
      <w:pPr>
        <w:spacing w:before="111"/>
        <w:ind w:left="206" w:right="625"/>
        <w:jc w:val="both"/>
        <w:rPr>
          <w:spacing w:val="-2"/>
          <w:sz w:val="18"/>
        </w:rPr>
      </w:pPr>
      <w:r>
        <w:rPr>
          <w:sz w:val="18"/>
        </w:rPr>
        <w:t xml:space="preserve">NR = not reached; NA = not available; CI = confidence interval; SRE = skeletal related event; </w:t>
      </w:r>
      <w:proofErr w:type="spellStart"/>
      <w:r>
        <w:rPr>
          <w:sz w:val="18"/>
        </w:rPr>
        <w:t>SMR</w:t>
      </w:r>
      <w:proofErr w:type="spellEnd"/>
      <w:r>
        <w:rPr>
          <w:sz w:val="18"/>
        </w:rPr>
        <w:t xml:space="preserve"> = skeletal morbidity rate: defined</w:t>
      </w:r>
      <w:r>
        <w:rPr>
          <w:spacing w:val="-11"/>
          <w:sz w:val="18"/>
        </w:rPr>
        <w:t xml:space="preserve"> </w:t>
      </w:r>
      <w:r>
        <w:rPr>
          <w:sz w:val="18"/>
        </w:rPr>
        <w:t>as</w:t>
      </w:r>
      <w:r>
        <w:rPr>
          <w:spacing w:val="-10"/>
          <w:sz w:val="18"/>
        </w:rPr>
        <w:t xml:space="preserve"> </w:t>
      </w:r>
      <w:r>
        <w:rPr>
          <w:sz w:val="18"/>
        </w:rPr>
        <w:t>the</w:t>
      </w:r>
      <w:r>
        <w:rPr>
          <w:spacing w:val="-10"/>
          <w:sz w:val="18"/>
        </w:rPr>
        <w:t xml:space="preserve"> </w:t>
      </w:r>
      <w:r>
        <w:rPr>
          <w:sz w:val="18"/>
        </w:rPr>
        <w:t>ratio</w:t>
      </w:r>
      <w:r>
        <w:rPr>
          <w:spacing w:val="-10"/>
          <w:sz w:val="18"/>
        </w:rPr>
        <w:t xml:space="preserve"> </w:t>
      </w:r>
      <w:r>
        <w:rPr>
          <w:sz w:val="18"/>
        </w:rPr>
        <w:t>of</w:t>
      </w:r>
      <w:r>
        <w:rPr>
          <w:spacing w:val="-10"/>
          <w:sz w:val="18"/>
        </w:rPr>
        <w:t xml:space="preserve"> </w:t>
      </w:r>
      <w:r>
        <w:rPr>
          <w:sz w:val="18"/>
        </w:rPr>
        <w:t>the</w:t>
      </w:r>
      <w:r>
        <w:rPr>
          <w:spacing w:val="-11"/>
          <w:sz w:val="18"/>
        </w:rPr>
        <w:t xml:space="preserve"> </w:t>
      </w:r>
      <w:r>
        <w:rPr>
          <w:sz w:val="18"/>
        </w:rPr>
        <w:t>number</w:t>
      </w:r>
      <w:r>
        <w:rPr>
          <w:spacing w:val="-8"/>
          <w:sz w:val="18"/>
        </w:rPr>
        <w:t xml:space="preserve"> </w:t>
      </w:r>
      <w:r>
        <w:rPr>
          <w:sz w:val="18"/>
        </w:rPr>
        <w:t>of</w:t>
      </w:r>
      <w:r>
        <w:rPr>
          <w:spacing w:val="-11"/>
          <w:sz w:val="18"/>
        </w:rPr>
        <w:t xml:space="preserve"> </w:t>
      </w:r>
      <w:r>
        <w:rPr>
          <w:sz w:val="18"/>
        </w:rPr>
        <w:t>occurrence</w:t>
      </w:r>
      <w:r>
        <w:rPr>
          <w:spacing w:val="-9"/>
          <w:sz w:val="18"/>
        </w:rPr>
        <w:t xml:space="preserve"> </w:t>
      </w:r>
      <w:r>
        <w:rPr>
          <w:sz w:val="18"/>
        </w:rPr>
        <w:t>of</w:t>
      </w:r>
      <w:r>
        <w:rPr>
          <w:spacing w:val="-9"/>
          <w:sz w:val="18"/>
        </w:rPr>
        <w:t xml:space="preserve"> </w:t>
      </w:r>
      <w:r>
        <w:rPr>
          <w:sz w:val="18"/>
        </w:rPr>
        <w:t>any</w:t>
      </w:r>
      <w:r>
        <w:rPr>
          <w:spacing w:val="-9"/>
          <w:sz w:val="18"/>
        </w:rPr>
        <w:t xml:space="preserve"> </w:t>
      </w:r>
      <w:r>
        <w:rPr>
          <w:sz w:val="18"/>
        </w:rPr>
        <w:t>SRE</w:t>
      </w:r>
      <w:r>
        <w:rPr>
          <w:spacing w:val="-11"/>
          <w:sz w:val="18"/>
        </w:rPr>
        <w:t xml:space="preserve"> </w:t>
      </w:r>
      <w:r>
        <w:rPr>
          <w:sz w:val="18"/>
        </w:rPr>
        <w:t>for</w:t>
      </w:r>
      <w:r>
        <w:rPr>
          <w:spacing w:val="-8"/>
          <w:sz w:val="18"/>
        </w:rPr>
        <w:t xml:space="preserve"> </w:t>
      </w:r>
      <w:r>
        <w:rPr>
          <w:sz w:val="18"/>
        </w:rPr>
        <w:t>a</w:t>
      </w:r>
      <w:r>
        <w:rPr>
          <w:spacing w:val="-11"/>
          <w:sz w:val="18"/>
        </w:rPr>
        <w:t xml:space="preserve"> </w:t>
      </w:r>
      <w:r>
        <w:rPr>
          <w:sz w:val="18"/>
        </w:rPr>
        <w:t>patient,</w:t>
      </w:r>
      <w:r>
        <w:rPr>
          <w:spacing w:val="-8"/>
          <w:sz w:val="18"/>
        </w:rPr>
        <w:t xml:space="preserve"> </w:t>
      </w:r>
      <w:r>
        <w:rPr>
          <w:sz w:val="18"/>
        </w:rPr>
        <w:t>allowing</w:t>
      </w:r>
      <w:r>
        <w:rPr>
          <w:spacing w:val="-10"/>
          <w:sz w:val="18"/>
        </w:rPr>
        <w:t xml:space="preserve"> </w:t>
      </w:r>
      <w:r>
        <w:rPr>
          <w:sz w:val="18"/>
        </w:rPr>
        <w:t>1</w:t>
      </w:r>
      <w:r>
        <w:rPr>
          <w:spacing w:val="-10"/>
          <w:sz w:val="18"/>
        </w:rPr>
        <w:t xml:space="preserve"> </w:t>
      </w:r>
      <w:r>
        <w:rPr>
          <w:sz w:val="18"/>
        </w:rPr>
        <w:t>event</w:t>
      </w:r>
      <w:r>
        <w:rPr>
          <w:spacing w:val="-10"/>
          <w:sz w:val="18"/>
        </w:rPr>
        <w:t xml:space="preserve"> </w:t>
      </w:r>
      <w:r>
        <w:rPr>
          <w:sz w:val="18"/>
        </w:rPr>
        <w:t>per</w:t>
      </w:r>
      <w:r>
        <w:rPr>
          <w:spacing w:val="-8"/>
          <w:sz w:val="18"/>
        </w:rPr>
        <w:t xml:space="preserve"> </w:t>
      </w:r>
      <w:r>
        <w:rPr>
          <w:sz w:val="18"/>
        </w:rPr>
        <w:t>assessing</w:t>
      </w:r>
      <w:r>
        <w:rPr>
          <w:spacing w:val="-7"/>
          <w:sz w:val="18"/>
        </w:rPr>
        <w:t xml:space="preserve"> </w:t>
      </w:r>
      <w:r>
        <w:rPr>
          <w:sz w:val="18"/>
        </w:rPr>
        <w:t>period</w:t>
      </w:r>
      <w:r>
        <w:rPr>
          <w:spacing w:val="-8"/>
          <w:sz w:val="18"/>
        </w:rPr>
        <w:t xml:space="preserve"> </w:t>
      </w:r>
      <w:r>
        <w:rPr>
          <w:sz w:val="18"/>
        </w:rPr>
        <w:t>(e.g.,</w:t>
      </w:r>
      <w:r>
        <w:rPr>
          <w:spacing w:val="-9"/>
          <w:sz w:val="18"/>
        </w:rPr>
        <w:t xml:space="preserve"> </w:t>
      </w:r>
      <w:r>
        <w:rPr>
          <w:sz w:val="18"/>
        </w:rPr>
        <w:t>3</w:t>
      </w:r>
      <w:r>
        <w:rPr>
          <w:spacing w:val="-7"/>
          <w:sz w:val="18"/>
        </w:rPr>
        <w:t xml:space="preserve"> </w:t>
      </w:r>
      <w:r>
        <w:rPr>
          <w:sz w:val="18"/>
        </w:rPr>
        <w:t>weeks), divided</w:t>
      </w:r>
      <w:r>
        <w:rPr>
          <w:spacing w:val="-10"/>
          <w:sz w:val="18"/>
        </w:rPr>
        <w:t xml:space="preserve"> </w:t>
      </w:r>
      <w:r>
        <w:rPr>
          <w:sz w:val="18"/>
        </w:rPr>
        <w:t>by</w:t>
      </w:r>
      <w:r>
        <w:rPr>
          <w:spacing w:val="-9"/>
          <w:sz w:val="18"/>
        </w:rPr>
        <w:t xml:space="preserve"> </w:t>
      </w:r>
      <w:r>
        <w:rPr>
          <w:sz w:val="18"/>
        </w:rPr>
        <w:t>the</w:t>
      </w:r>
      <w:r>
        <w:rPr>
          <w:spacing w:val="-7"/>
          <w:sz w:val="18"/>
        </w:rPr>
        <w:t xml:space="preserve"> </w:t>
      </w:r>
      <w:r>
        <w:rPr>
          <w:sz w:val="18"/>
        </w:rPr>
        <w:t>patient’s</w:t>
      </w:r>
      <w:r>
        <w:rPr>
          <w:spacing w:val="-9"/>
          <w:sz w:val="18"/>
        </w:rPr>
        <w:t xml:space="preserve"> </w:t>
      </w:r>
      <w:r>
        <w:rPr>
          <w:sz w:val="18"/>
        </w:rPr>
        <w:t>time</w:t>
      </w:r>
      <w:r>
        <w:rPr>
          <w:spacing w:val="-9"/>
          <w:sz w:val="18"/>
        </w:rPr>
        <w:t xml:space="preserve"> </w:t>
      </w:r>
      <w:r>
        <w:rPr>
          <w:sz w:val="18"/>
        </w:rPr>
        <w:t>at</w:t>
      </w:r>
      <w:r>
        <w:rPr>
          <w:spacing w:val="-8"/>
          <w:sz w:val="18"/>
        </w:rPr>
        <w:t xml:space="preserve"> </w:t>
      </w:r>
      <w:r>
        <w:rPr>
          <w:sz w:val="18"/>
        </w:rPr>
        <w:t>risk;</w:t>
      </w:r>
      <w:r>
        <w:rPr>
          <w:spacing w:val="-9"/>
          <w:sz w:val="18"/>
        </w:rPr>
        <w:t xml:space="preserve"> </w:t>
      </w:r>
      <w:r>
        <w:rPr>
          <w:sz w:val="18"/>
        </w:rPr>
        <w:t>†Adjusted</w:t>
      </w:r>
      <w:r>
        <w:rPr>
          <w:spacing w:val="-9"/>
          <w:sz w:val="18"/>
        </w:rPr>
        <w:t xml:space="preserve"> </w:t>
      </w:r>
      <w:r>
        <w:rPr>
          <w:sz w:val="18"/>
        </w:rPr>
        <w:t>p-values</w:t>
      </w:r>
      <w:r>
        <w:rPr>
          <w:spacing w:val="-9"/>
          <w:sz w:val="18"/>
        </w:rPr>
        <w:t xml:space="preserve"> </w:t>
      </w:r>
      <w:r>
        <w:rPr>
          <w:sz w:val="18"/>
        </w:rPr>
        <w:t>are</w:t>
      </w:r>
      <w:r>
        <w:rPr>
          <w:spacing w:val="-9"/>
          <w:sz w:val="18"/>
        </w:rPr>
        <w:t xml:space="preserve"> </w:t>
      </w:r>
      <w:r>
        <w:rPr>
          <w:sz w:val="18"/>
        </w:rPr>
        <w:t>presented</w:t>
      </w:r>
      <w:r>
        <w:rPr>
          <w:spacing w:val="-7"/>
          <w:sz w:val="18"/>
        </w:rPr>
        <w:t xml:space="preserve"> </w:t>
      </w:r>
      <w:r>
        <w:rPr>
          <w:sz w:val="18"/>
        </w:rPr>
        <w:t>for</w:t>
      </w:r>
      <w:r>
        <w:rPr>
          <w:spacing w:val="-9"/>
          <w:sz w:val="18"/>
        </w:rPr>
        <w:t xml:space="preserve"> </w:t>
      </w:r>
      <w:r>
        <w:rPr>
          <w:sz w:val="18"/>
        </w:rPr>
        <w:t>studies</w:t>
      </w:r>
      <w:r>
        <w:rPr>
          <w:spacing w:val="-9"/>
          <w:sz w:val="18"/>
        </w:rPr>
        <w:t xml:space="preserve"> </w:t>
      </w:r>
      <w:r>
        <w:rPr>
          <w:sz w:val="18"/>
        </w:rPr>
        <w:t>1,</w:t>
      </w:r>
      <w:r>
        <w:rPr>
          <w:spacing w:val="-8"/>
          <w:sz w:val="18"/>
        </w:rPr>
        <w:t xml:space="preserve"> </w:t>
      </w:r>
      <w:r>
        <w:rPr>
          <w:sz w:val="18"/>
        </w:rPr>
        <w:t>2</w:t>
      </w:r>
      <w:r>
        <w:rPr>
          <w:spacing w:val="-9"/>
          <w:sz w:val="18"/>
        </w:rPr>
        <w:t xml:space="preserve"> </w:t>
      </w:r>
      <w:r>
        <w:rPr>
          <w:sz w:val="18"/>
        </w:rPr>
        <w:t>and</w:t>
      </w:r>
      <w:r>
        <w:rPr>
          <w:spacing w:val="-9"/>
          <w:sz w:val="18"/>
        </w:rPr>
        <w:t xml:space="preserve"> </w:t>
      </w:r>
      <w:r>
        <w:rPr>
          <w:sz w:val="18"/>
        </w:rPr>
        <w:t>3</w:t>
      </w:r>
      <w:r>
        <w:rPr>
          <w:spacing w:val="-11"/>
          <w:sz w:val="18"/>
        </w:rPr>
        <w:t xml:space="preserve"> </w:t>
      </w:r>
      <w:r>
        <w:rPr>
          <w:sz w:val="18"/>
        </w:rPr>
        <w:t>(first</w:t>
      </w:r>
      <w:r>
        <w:rPr>
          <w:spacing w:val="-8"/>
          <w:sz w:val="18"/>
        </w:rPr>
        <w:t xml:space="preserve"> </w:t>
      </w:r>
      <w:r>
        <w:rPr>
          <w:sz w:val="18"/>
        </w:rPr>
        <w:t>SRE</w:t>
      </w:r>
      <w:r>
        <w:rPr>
          <w:spacing w:val="-6"/>
          <w:sz w:val="18"/>
        </w:rPr>
        <w:t xml:space="preserve"> </w:t>
      </w:r>
      <w:r>
        <w:rPr>
          <w:sz w:val="18"/>
        </w:rPr>
        <w:t>and</w:t>
      </w:r>
      <w:r>
        <w:rPr>
          <w:spacing w:val="-9"/>
          <w:sz w:val="18"/>
        </w:rPr>
        <w:t xml:space="preserve"> </w:t>
      </w:r>
      <w:r>
        <w:rPr>
          <w:sz w:val="18"/>
        </w:rPr>
        <w:t>first</w:t>
      </w:r>
      <w:r>
        <w:rPr>
          <w:spacing w:val="-9"/>
          <w:sz w:val="18"/>
        </w:rPr>
        <w:t xml:space="preserve"> </w:t>
      </w:r>
      <w:r>
        <w:rPr>
          <w:sz w:val="18"/>
        </w:rPr>
        <w:t>and</w:t>
      </w:r>
      <w:r>
        <w:rPr>
          <w:spacing w:val="-9"/>
          <w:sz w:val="18"/>
        </w:rPr>
        <w:t xml:space="preserve"> </w:t>
      </w:r>
      <w:r>
        <w:rPr>
          <w:sz w:val="18"/>
        </w:rPr>
        <w:t xml:space="preserve">subsequent SRE endpoints); *Accounts for all skeletal events over time; only events occurring ≥ 21 days after the previous event are </w:t>
      </w:r>
      <w:r>
        <w:rPr>
          <w:spacing w:val="-2"/>
          <w:sz w:val="18"/>
        </w:rPr>
        <w:t>counted.</w:t>
      </w:r>
    </w:p>
    <w:p w14:paraId="29F76482" w14:textId="77777777" w:rsidR="00320262" w:rsidRDefault="00320262">
      <w:pPr>
        <w:pStyle w:val="BodyText"/>
        <w:spacing w:before="36" w:line="360" w:lineRule="auto"/>
        <w:ind w:right="174"/>
        <w:jc w:val="both"/>
      </w:pPr>
    </w:p>
    <w:p w14:paraId="124A12EA" w14:textId="12D7A207" w:rsidR="00AE135B" w:rsidRDefault="00EE5424" w:rsidP="00320262">
      <w:pPr>
        <w:pStyle w:val="BodyText"/>
        <w:spacing w:before="36" w:line="360" w:lineRule="auto"/>
        <w:ind w:right="174"/>
        <w:jc w:val="both"/>
      </w:pPr>
      <w:r>
        <w:t xml:space="preserve">In a post-hoc analysis of Study 20050244 (including solid </w:t>
      </w:r>
      <w:proofErr w:type="spellStart"/>
      <w:r>
        <w:t>tumours</w:t>
      </w:r>
      <w:proofErr w:type="spellEnd"/>
      <w:r>
        <w:t>, excluding multiple myeloma), denosumab reduced the risk of developing a SRE by 19 % (p = 0.0168) and developing multiple SREs</w:t>
      </w:r>
      <w:r>
        <w:rPr>
          <w:spacing w:val="40"/>
        </w:rPr>
        <w:t xml:space="preserve"> </w:t>
      </w:r>
      <w:r>
        <w:t>by</w:t>
      </w:r>
      <w:r>
        <w:rPr>
          <w:spacing w:val="40"/>
        </w:rPr>
        <w:t xml:space="preserve"> </w:t>
      </w:r>
      <w:r>
        <w:t>15 % (p = 0.0479) compared with zoledronic acid with the median time to first SRE delayed by 6 months.</w:t>
      </w:r>
    </w:p>
    <w:p w14:paraId="3EC44531" w14:textId="77777777" w:rsidR="00AE135B" w:rsidRDefault="00AE135B">
      <w:pPr>
        <w:pStyle w:val="BodyText"/>
        <w:spacing w:before="26"/>
        <w:ind w:left="0"/>
      </w:pPr>
    </w:p>
    <w:p w14:paraId="0A9F4CC2" w14:textId="77777777" w:rsidR="00AE135B" w:rsidRDefault="00EE5424">
      <w:pPr>
        <w:pStyle w:val="Heading3"/>
        <w:jc w:val="both"/>
      </w:pPr>
      <w:r>
        <w:rPr>
          <w:spacing w:val="-2"/>
        </w:rPr>
        <w:t>Disease</w:t>
      </w:r>
      <w:r>
        <w:rPr>
          <w:spacing w:val="-8"/>
        </w:rPr>
        <w:t xml:space="preserve"> </w:t>
      </w:r>
      <w:r>
        <w:rPr>
          <w:spacing w:val="-2"/>
        </w:rPr>
        <w:t>progression</w:t>
      </w:r>
      <w:r>
        <w:rPr>
          <w:spacing w:val="-7"/>
        </w:rPr>
        <w:t xml:space="preserve"> </w:t>
      </w:r>
      <w:r>
        <w:rPr>
          <w:spacing w:val="-2"/>
        </w:rPr>
        <w:t>and</w:t>
      </w:r>
      <w:r>
        <w:rPr>
          <w:spacing w:val="-7"/>
        </w:rPr>
        <w:t xml:space="preserve"> </w:t>
      </w:r>
      <w:r>
        <w:rPr>
          <w:spacing w:val="-2"/>
        </w:rPr>
        <w:t>overall</w:t>
      </w:r>
      <w:r>
        <w:rPr>
          <w:spacing w:val="-5"/>
        </w:rPr>
        <w:t xml:space="preserve"> </w:t>
      </w:r>
      <w:r>
        <w:rPr>
          <w:spacing w:val="-2"/>
        </w:rPr>
        <w:t>survival</w:t>
      </w:r>
      <w:r>
        <w:rPr>
          <w:spacing w:val="-10"/>
        </w:rPr>
        <w:t xml:space="preserve"> </w:t>
      </w:r>
      <w:r>
        <w:rPr>
          <w:spacing w:val="-2"/>
        </w:rPr>
        <w:t>in</w:t>
      </w:r>
      <w:r>
        <w:rPr>
          <w:spacing w:val="-8"/>
        </w:rPr>
        <w:t xml:space="preserve"> </w:t>
      </w:r>
      <w:r>
        <w:rPr>
          <w:spacing w:val="-2"/>
        </w:rPr>
        <w:t>advanced</w:t>
      </w:r>
      <w:r>
        <w:rPr>
          <w:spacing w:val="-5"/>
        </w:rPr>
        <w:t xml:space="preserve"> </w:t>
      </w:r>
      <w:r>
        <w:rPr>
          <w:spacing w:val="-2"/>
        </w:rPr>
        <w:t>malignancies</w:t>
      </w:r>
      <w:r>
        <w:rPr>
          <w:spacing w:val="-5"/>
        </w:rPr>
        <w:t xml:space="preserve"> </w:t>
      </w:r>
      <w:r>
        <w:rPr>
          <w:spacing w:val="-2"/>
        </w:rPr>
        <w:t>involving</w:t>
      </w:r>
      <w:r>
        <w:rPr>
          <w:spacing w:val="-7"/>
        </w:rPr>
        <w:t xml:space="preserve"> </w:t>
      </w:r>
      <w:r>
        <w:rPr>
          <w:spacing w:val="-4"/>
        </w:rPr>
        <w:t>bone</w:t>
      </w:r>
    </w:p>
    <w:p w14:paraId="1C506DCB" w14:textId="77777777" w:rsidR="00AE135B" w:rsidRDefault="00EE5424">
      <w:pPr>
        <w:pStyle w:val="BodyText"/>
        <w:spacing w:before="250" w:line="360" w:lineRule="auto"/>
        <w:ind w:right="172"/>
        <w:jc w:val="both"/>
      </w:pPr>
      <w:r>
        <w:t>Disease</w:t>
      </w:r>
      <w:r>
        <w:rPr>
          <w:spacing w:val="-13"/>
        </w:rPr>
        <w:t xml:space="preserve"> </w:t>
      </w:r>
      <w:r>
        <w:t>progression</w:t>
      </w:r>
      <w:r>
        <w:rPr>
          <w:spacing w:val="-12"/>
        </w:rPr>
        <w:t xml:space="preserve"> </w:t>
      </w:r>
      <w:r>
        <w:t>was</w:t>
      </w:r>
      <w:r>
        <w:rPr>
          <w:spacing w:val="-13"/>
        </w:rPr>
        <w:t xml:space="preserve"> </w:t>
      </w:r>
      <w:r>
        <w:t>similar</w:t>
      </w:r>
      <w:r>
        <w:rPr>
          <w:spacing w:val="-12"/>
        </w:rPr>
        <w:t xml:space="preserve"> </w:t>
      </w:r>
      <w:r>
        <w:t>between</w:t>
      </w:r>
      <w:r>
        <w:rPr>
          <w:spacing w:val="-13"/>
        </w:rPr>
        <w:t xml:space="preserve"> </w:t>
      </w:r>
      <w:r>
        <w:t>denosumab</w:t>
      </w:r>
      <w:r>
        <w:rPr>
          <w:spacing w:val="-12"/>
        </w:rPr>
        <w:t xml:space="preserve"> </w:t>
      </w:r>
      <w:r>
        <w:t>and</w:t>
      </w:r>
      <w:r>
        <w:rPr>
          <w:spacing w:val="-13"/>
        </w:rPr>
        <w:t xml:space="preserve"> </w:t>
      </w:r>
      <w:r>
        <w:t>zoledronic</w:t>
      </w:r>
      <w:r>
        <w:rPr>
          <w:spacing w:val="-12"/>
        </w:rPr>
        <w:t xml:space="preserve"> </w:t>
      </w:r>
      <w:r>
        <w:t>acid</w:t>
      </w:r>
      <w:r>
        <w:rPr>
          <w:spacing w:val="-12"/>
        </w:rPr>
        <w:t xml:space="preserve"> </w:t>
      </w:r>
      <w:r>
        <w:t>in</w:t>
      </w:r>
      <w:r>
        <w:rPr>
          <w:spacing w:val="-13"/>
        </w:rPr>
        <w:t xml:space="preserve"> </w:t>
      </w:r>
      <w:r>
        <w:t>all</w:t>
      </w:r>
      <w:r>
        <w:rPr>
          <w:spacing w:val="-12"/>
        </w:rPr>
        <w:t xml:space="preserve"> </w:t>
      </w:r>
      <w:r>
        <w:t>three</w:t>
      </w:r>
      <w:r>
        <w:rPr>
          <w:spacing w:val="-13"/>
        </w:rPr>
        <w:t xml:space="preserve"> </w:t>
      </w:r>
      <w:r>
        <w:t>studies</w:t>
      </w:r>
      <w:r>
        <w:rPr>
          <w:spacing w:val="-12"/>
        </w:rPr>
        <w:t xml:space="preserve"> </w:t>
      </w:r>
      <w:r>
        <w:t>and</w:t>
      </w:r>
      <w:r>
        <w:rPr>
          <w:spacing w:val="-13"/>
        </w:rPr>
        <w:t xml:space="preserve"> </w:t>
      </w:r>
      <w:r>
        <w:t>in</w:t>
      </w:r>
      <w:r>
        <w:rPr>
          <w:spacing w:val="-12"/>
        </w:rPr>
        <w:t xml:space="preserve"> </w:t>
      </w:r>
      <w:r>
        <w:t>the</w:t>
      </w:r>
      <w:r>
        <w:rPr>
          <w:spacing w:val="-11"/>
        </w:rPr>
        <w:t xml:space="preserve"> </w:t>
      </w:r>
      <w:r>
        <w:t>pre-specified analysis of all three-studies combined.</w:t>
      </w:r>
    </w:p>
    <w:p w14:paraId="5490CAE1" w14:textId="77777777" w:rsidR="00AE135B" w:rsidRDefault="00EE5424">
      <w:pPr>
        <w:pStyle w:val="BodyText"/>
        <w:spacing w:before="121" w:line="360" w:lineRule="auto"/>
        <w:ind w:right="172"/>
        <w:jc w:val="both"/>
      </w:pPr>
      <w:r>
        <w:lastRenderedPageBreak/>
        <w:t>In</w:t>
      </w:r>
      <w:r>
        <w:rPr>
          <w:spacing w:val="-4"/>
        </w:rPr>
        <w:t xml:space="preserve"> </w:t>
      </w:r>
      <w:r>
        <w:t>all</w:t>
      </w:r>
      <w:r>
        <w:rPr>
          <w:spacing w:val="-4"/>
        </w:rPr>
        <w:t xml:space="preserve"> </w:t>
      </w:r>
      <w:r>
        <w:t>three</w:t>
      </w:r>
      <w:r>
        <w:rPr>
          <w:spacing w:val="-3"/>
        </w:rPr>
        <w:t xml:space="preserve"> </w:t>
      </w:r>
      <w:r>
        <w:t>studies</w:t>
      </w:r>
      <w:r>
        <w:rPr>
          <w:spacing w:val="-5"/>
        </w:rPr>
        <w:t xml:space="preserve"> </w:t>
      </w:r>
      <w:r>
        <w:t>overall</w:t>
      </w:r>
      <w:r>
        <w:rPr>
          <w:spacing w:val="-3"/>
        </w:rPr>
        <w:t xml:space="preserve"> </w:t>
      </w:r>
      <w:r>
        <w:t>survival</w:t>
      </w:r>
      <w:r>
        <w:rPr>
          <w:spacing w:val="-5"/>
        </w:rPr>
        <w:t xml:space="preserve"> </w:t>
      </w:r>
      <w:r>
        <w:t>was</w:t>
      </w:r>
      <w:r>
        <w:rPr>
          <w:spacing w:val="-5"/>
        </w:rPr>
        <w:t xml:space="preserve"> </w:t>
      </w:r>
      <w:r>
        <w:t>balanced</w:t>
      </w:r>
      <w:r>
        <w:rPr>
          <w:spacing w:val="-3"/>
        </w:rPr>
        <w:t xml:space="preserve"> </w:t>
      </w:r>
      <w:r>
        <w:t>between</w:t>
      </w:r>
      <w:r>
        <w:rPr>
          <w:spacing w:val="-1"/>
        </w:rPr>
        <w:t xml:space="preserve"> </w:t>
      </w:r>
      <w:r>
        <w:t>denosumab</w:t>
      </w:r>
      <w:r>
        <w:rPr>
          <w:spacing w:val="-3"/>
        </w:rPr>
        <w:t xml:space="preserve"> </w:t>
      </w:r>
      <w:r>
        <w:t>and</w:t>
      </w:r>
      <w:r>
        <w:rPr>
          <w:spacing w:val="-4"/>
        </w:rPr>
        <w:t xml:space="preserve"> </w:t>
      </w:r>
      <w:r>
        <w:t>zoledronic</w:t>
      </w:r>
      <w:r>
        <w:rPr>
          <w:spacing w:val="-4"/>
        </w:rPr>
        <w:t xml:space="preserve"> </w:t>
      </w:r>
      <w:r>
        <w:t>acid</w:t>
      </w:r>
      <w:r>
        <w:rPr>
          <w:spacing w:val="-4"/>
        </w:rPr>
        <w:t xml:space="preserve"> </w:t>
      </w:r>
      <w:r>
        <w:t>in</w:t>
      </w:r>
      <w:r>
        <w:rPr>
          <w:spacing w:val="-4"/>
        </w:rPr>
        <w:t xml:space="preserve"> </w:t>
      </w:r>
      <w:r>
        <w:t>patients</w:t>
      </w:r>
      <w:r>
        <w:rPr>
          <w:spacing w:val="-3"/>
        </w:rPr>
        <w:t xml:space="preserve"> </w:t>
      </w:r>
      <w:r>
        <w:t>with advanced</w:t>
      </w:r>
      <w:r>
        <w:rPr>
          <w:spacing w:val="75"/>
        </w:rPr>
        <w:t xml:space="preserve"> </w:t>
      </w:r>
      <w:r>
        <w:t>malignancies</w:t>
      </w:r>
      <w:r>
        <w:rPr>
          <w:spacing w:val="78"/>
        </w:rPr>
        <w:t xml:space="preserve"> </w:t>
      </w:r>
      <w:r>
        <w:t>involving</w:t>
      </w:r>
      <w:r>
        <w:rPr>
          <w:spacing w:val="77"/>
        </w:rPr>
        <w:t xml:space="preserve"> </w:t>
      </w:r>
      <w:r>
        <w:t>bone:</w:t>
      </w:r>
      <w:r>
        <w:rPr>
          <w:spacing w:val="78"/>
        </w:rPr>
        <w:t xml:space="preserve"> </w:t>
      </w:r>
      <w:r>
        <w:t>patients</w:t>
      </w:r>
      <w:r>
        <w:rPr>
          <w:spacing w:val="77"/>
        </w:rPr>
        <w:t xml:space="preserve"> </w:t>
      </w:r>
      <w:r>
        <w:t>with</w:t>
      </w:r>
      <w:r>
        <w:rPr>
          <w:spacing w:val="76"/>
        </w:rPr>
        <w:t xml:space="preserve"> </w:t>
      </w:r>
      <w:r>
        <w:t>breast</w:t>
      </w:r>
      <w:r>
        <w:rPr>
          <w:spacing w:val="77"/>
        </w:rPr>
        <w:t xml:space="preserve"> </w:t>
      </w:r>
      <w:r>
        <w:t>cancer</w:t>
      </w:r>
      <w:r>
        <w:rPr>
          <w:spacing w:val="77"/>
        </w:rPr>
        <w:t xml:space="preserve"> </w:t>
      </w:r>
      <w:r>
        <w:t>(hazard</w:t>
      </w:r>
      <w:r>
        <w:rPr>
          <w:spacing w:val="79"/>
        </w:rPr>
        <w:t xml:space="preserve"> </w:t>
      </w:r>
      <w:r>
        <w:t>ratio</w:t>
      </w:r>
      <w:r>
        <w:rPr>
          <w:spacing w:val="78"/>
        </w:rPr>
        <w:t xml:space="preserve"> </w:t>
      </w:r>
      <w:r>
        <w:t>[95</w:t>
      </w:r>
      <w:r>
        <w:rPr>
          <w:spacing w:val="80"/>
        </w:rPr>
        <w:t xml:space="preserve"> </w:t>
      </w:r>
      <w:r>
        <w:t>%</w:t>
      </w:r>
      <w:r>
        <w:rPr>
          <w:spacing w:val="77"/>
        </w:rPr>
        <w:t xml:space="preserve"> </w:t>
      </w:r>
      <w:r>
        <w:t>CI]</w:t>
      </w:r>
      <w:r>
        <w:rPr>
          <w:spacing w:val="76"/>
        </w:rPr>
        <w:t xml:space="preserve"> </w:t>
      </w:r>
      <w:r>
        <w:t>was 0.95</w:t>
      </w:r>
      <w:r>
        <w:rPr>
          <w:spacing w:val="-4"/>
        </w:rPr>
        <w:t xml:space="preserve"> </w:t>
      </w:r>
      <w:r>
        <w:t>[0.81,</w:t>
      </w:r>
      <w:r>
        <w:rPr>
          <w:spacing w:val="-5"/>
        </w:rPr>
        <w:t xml:space="preserve"> </w:t>
      </w:r>
      <w:r>
        <w:t>1.11]),</w:t>
      </w:r>
      <w:r>
        <w:rPr>
          <w:spacing w:val="-5"/>
        </w:rPr>
        <w:t xml:space="preserve"> </w:t>
      </w:r>
      <w:r>
        <w:t>patients</w:t>
      </w:r>
      <w:r>
        <w:rPr>
          <w:spacing w:val="-4"/>
        </w:rPr>
        <w:t xml:space="preserve"> </w:t>
      </w:r>
      <w:r>
        <w:t>with</w:t>
      </w:r>
      <w:r>
        <w:rPr>
          <w:spacing w:val="-5"/>
        </w:rPr>
        <w:t xml:space="preserve"> </w:t>
      </w:r>
      <w:r>
        <w:t>prostate</w:t>
      </w:r>
      <w:r>
        <w:rPr>
          <w:spacing w:val="-5"/>
        </w:rPr>
        <w:t xml:space="preserve"> </w:t>
      </w:r>
      <w:r>
        <w:t>cancer</w:t>
      </w:r>
      <w:r>
        <w:rPr>
          <w:spacing w:val="-5"/>
        </w:rPr>
        <w:t xml:space="preserve"> </w:t>
      </w:r>
      <w:r>
        <w:t>(hazard</w:t>
      </w:r>
      <w:r>
        <w:rPr>
          <w:spacing w:val="-6"/>
        </w:rPr>
        <w:t xml:space="preserve"> </w:t>
      </w:r>
      <w:r>
        <w:t>ratio</w:t>
      </w:r>
      <w:r>
        <w:rPr>
          <w:spacing w:val="-4"/>
        </w:rPr>
        <w:t xml:space="preserve"> </w:t>
      </w:r>
      <w:r>
        <w:t>[95 %</w:t>
      </w:r>
      <w:r>
        <w:rPr>
          <w:spacing w:val="-5"/>
        </w:rPr>
        <w:t xml:space="preserve"> </w:t>
      </w:r>
      <w:r>
        <w:t>CI]</w:t>
      </w:r>
      <w:r>
        <w:rPr>
          <w:spacing w:val="-7"/>
        </w:rPr>
        <w:t xml:space="preserve"> </w:t>
      </w:r>
      <w:r>
        <w:t>was</w:t>
      </w:r>
      <w:r>
        <w:rPr>
          <w:spacing w:val="-5"/>
        </w:rPr>
        <w:t xml:space="preserve"> </w:t>
      </w:r>
      <w:r>
        <w:t>1.03</w:t>
      </w:r>
      <w:r>
        <w:rPr>
          <w:spacing w:val="-4"/>
        </w:rPr>
        <w:t xml:space="preserve"> </w:t>
      </w:r>
      <w:r>
        <w:t>[0.91,</w:t>
      </w:r>
      <w:r>
        <w:rPr>
          <w:spacing w:val="-5"/>
        </w:rPr>
        <w:t xml:space="preserve"> </w:t>
      </w:r>
      <w:r>
        <w:t>1.17]),</w:t>
      </w:r>
      <w:r>
        <w:rPr>
          <w:spacing w:val="-5"/>
        </w:rPr>
        <w:t xml:space="preserve"> </w:t>
      </w:r>
      <w:r>
        <w:t>and</w:t>
      </w:r>
      <w:r>
        <w:rPr>
          <w:spacing w:val="-6"/>
        </w:rPr>
        <w:t xml:space="preserve"> </w:t>
      </w:r>
      <w:r>
        <w:t xml:space="preserve">patients with other solid </w:t>
      </w:r>
      <w:proofErr w:type="spellStart"/>
      <w:r>
        <w:t>tumours</w:t>
      </w:r>
      <w:proofErr w:type="spellEnd"/>
      <w:r>
        <w:t xml:space="preserve"> or multiple myeloma (hazard ratio [95 % CI] was 0.95 [0.83, 1.08]). A post-hoc analysis in Study 20050244 (patients with other solid </w:t>
      </w:r>
      <w:proofErr w:type="spellStart"/>
      <w:r>
        <w:t>tumours</w:t>
      </w:r>
      <w:proofErr w:type="spellEnd"/>
      <w:r>
        <w:t xml:space="preserve"> or multiple myeloma) examined overall survival for the three </w:t>
      </w:r>
      <w:proofErr w:type="spellStart"/>
      <w:r>
        <w:t>tumour</w:t>
      </w:r>
      <w:proofErr w:type="spellEnd"/>
      <w:r>
        <w:t xml:space="preserve"> types used for stratification (non-small cell lung cancer, multiple myeloma, and other).</w:t>
      </w:r>
    </w:p>
    <w:p w14:paraId="51C3F42D" w14:textId="77777777" w:rsidR="00AE135B" w:rsidRDefault="00EE5424">
      <w:pPr>
        <w:pStyle w:val="BodyText"/>
        <w:spacing w:line="360" w:lineRule="auto"/>
        <w:ind w:right="172"/>
        <w:jc w:val="both"/>
      </w:pPr>
      <w:r>
        <w:t>Overall</w:t>
      </w:r>
      <w:r>
        <w:rPr>
          <w:spacing w:val="40"/>
        </w:rPr>
        <w:t xml:space="preserve"> </w:t>
      </w:r>
      <w:r>
        <w:t>survival</w:t>
      </w:r>
      <w:r>
        <w:rPr>
          <w:spacing w:val="40"/>
        </w:rPr>
        <w:t xml:space="preserve"> </w:t>
      </w:r>
      <w:r>
        <w:t>was</w:t>
      </w:r>
      <w:r>
        <w:rPr>
          <w:spacing w:val="40"/>
        </w:rPr>
        <w:t xml:space="preserve"> </w:t>
      </w:r>
      <w:r>
        <w:t>longer</w:t>
      </w:r>
      <w:r>
        <w:rPr>
          <w:spacing w:val="40"/>
        </w:rPr>
        <w:t xml:space="preserve"> </w:t>
      </w:r>
      <w:r>
        <w:t>for</w:t>
      </w:r>
      <w:r>
        <w:rPr>
          <w:spacing w:val="40"/>
        </w:rPr>
        <w:t xml:space="preserve"> </w:t>
      </w:r>
      <w:r>
        <w:t>denosumab</w:t>
      </w:r>
      <w:r>
        <w:rPr>
          <w:spacing w:val="40"/>
        </w:rPr>
        <w:t xml:space="preserve"> </w:t>
      </w:r>
      <w:r>
        <w:t>in</w:t>
      </w:r>
      <w:r>
        <w:rPr>
          <w:spacing w:val="40"/>
        </w:rPr>
        <w:t xml:space="preserve"> </w:t>
      </w:r>
      <w:r>
        <w:t>non-small</w:t>
      </w:r>
      <w:r>
        <w:rPr>
          <w:spacing w:val="40"/>
        </w:rPr>
        <w:t xml:space="preserve"> </w:t>
      </w:r>
      <w:r>
        <w:t>cell</w:t>
      </w:r>
      <w:r>
        <w:rPr>
          <w:spacing w:val="40"/>
        </w:rPr>
        <w:t xml:space="preserve"> </w:t>
      </w:r>
      <w:r>
        <w:t>lung</w:t>
      </w:r>
      <w:r>
        <w:rPr>
          <w:spacing w:val="40"/>
        </w:rPr>
        <w:t xml:space="preserve"> </w:t>
      </w:r>
      <w:r>
        <w:t>cancer</w:t>
      </w:r>
      <w:r>
        <w:rPr>
          <w:spacing w:val="40"/>
        </w:rPr>
        <w:t xml:space="preserve"> </w:t>
      </w:r>
      <w:r>
        <w:t>(hazard</w:t>
      </w:r>
      <w:r>
        <w:rPr>
          <w:spacing w:val="40"/>
        </w:rPr>
        <w:t xml:space="preserve"> </w:t>
      </w:r>
      <w:r>
        <w:t>ratio</w:t>
      </w:r>
      <w:r>
        <w:rPr>
          <w:spacing w:val="40"/>
        </w:rPr>
        <w:t xml:space="preserve"> </w:t>
      </w:r>
      <w:r>
        <w:t>[95</w:t>
      </w:r>
      <w:r>
        <w:rPr>
          <w:spacing w:val="40"/>
        </w:rPr>
        <w:t xml:space="preserve"> </w:t>
      </w:r>
      <w:r>
        <w:t>%</w:t>
      </w:r>
      <w:r>
        <w:rPr>
          <w:spacing w:val="40"/>
        </w:rPr>
        <w:t xml:space="preserve"> </w:t>
      </w:r>
      <w:r>
        <w:t>CI]</w:t>
      </w:r>
      <w:r>
        <w:rPr>
          <w:spacing w:val="40"/>
        </w:rPr>
        <w:t xml:space="preserve"> </w:t>
      </w:r>
      <w:r>
        <w:t>of 0.79 [0.65, 0.95]; n = 702) and longer for zoledronic acid in multiple myeloma (hazard ratio [95 % CI] of 2.26</w:t>
      </w:r>
      <w:r>
        <w:rPr>
          <w:spacing w:val="-7"/>
        </w:rPr>
        <w:t xml:space="preserve"> </w:t>
      </w:r>
      <w:r>
        <w:t>[1.13,</w:t>
      </w:r>
      <w:r>
        <w:rPr>
          <w:spacing w:val="-7"/>
        </w:rPr>
        <w:t xml:space="preserve"> </w:t>
      </w:r>
      <w:r>
        <w:t>4.50];</w:t>
      </w:r>
      <w:r>
        <w:rPr>
          <w:spacing w:val="-7"/>
        </w:rPr>
        <w:t xml:space="preserve"> </w:t>
      </w:r>
      <w:r>
        <w:t>n</w:t>
      </w:r>
      <w:r>
        <w:rPr>
          <w:spacing w:val="-9"/>
        </w:rPr>
        <w:t xml:space="preserve"> </w:t>
      </w:r>
      <w:r>
        <w:t>=</w:t>
      </w:r>
      <w:r>
        <w:rPr>
          <w:spacing w:val="-8"/>
        </w:rPr>
        <w:t xml:space="preserve"> </w:t>
      </w:r>
      <w:r>
        <w:t>180)</w:t>
      </w:r>
      <w:r>
        <w:rPr>
          <w:spacing w:val="-7"/>
        </w:rPr>
        <w:t xml:space="preserve"> </w:t>
      </w:r>
      <w:r>
        <w:t>and</w:t>
      </w:r>
      <w:r>
        <w:rPr>
          <w:spacing w:val="-9"/>
        </w:rPr>
        <w:t xml:space="preserve"> </w:t>
      </w:r>
      <w:r>
        <w:t>similar</w:t>
      </w:r>
      <w:r>
        <w:rPr>
          <w:spacing w:val="-6"/>
        </w:rPr>
        <w:t xml:space="preserve"> </w:t>
      </w:r>
      <w:r>
        <w:t>between</w:t>
      </w:r>
      <w:r>
        <w:rPr>
          <w:spacing w:val="-9"/>
        </w:rPr>
        <w:t xml:space="preserve"> </w:t>
      </w:r>
      <w:r>
        <w:t>the</w:t>
      </w:r>
      <w:r>
        <w:rPr>
          <w:spacing w:val="-5"/>
        </w:rPr>
        <w:t xml:space="preserve"> </w:t>
      </w:r>
      <w:r>
        <w:t>denosumab</w:t>
      </w:r>
      <w:r>
        <w:rPr>
          <w:spacing w:val="-8"/>
        </w:rPr>
        <w:t xml:space="preserve"> </w:t>
      </w:r>
      <w:r>
        <w:t>and</w:t>
      </w:r>
      <w:r>
        <w:rPr>
          <w:spacing w:val="-9"/>
        </w:rPr>
        <w:t xml:space="preserve"> </w:t>
      </w:r>
      <w:r>
        <w:t>zoledronic</w:t>
      </w:r>
      <w:r>
        <w:rPr>
          <w:spacing w:val="-7"/>
        </w:rPr>
        <w:t xml:space="preserve"> </w:t>
      </w:r>
      <w:r>
        <w:t>acid</w:t>
      </w:r>
      <w:r>
        <w:rPr>
          <w:spacing w:val="-9"/>
        </w:rPr>
        <w:t xml:space="preserve"> </w:t>
      </w:r>
      <w:r>
        <w:t>groups</w:t>
      </w:r>
      <w:r>
        <w:rPr>
          <w:spacing w:val="-8"/>
        </w:rPr>
        <w:t xml:space="preserve"> </w:t>
      </w:r>
      <w:r>
        <w:t>in</w:t>
      </w:r>
      <w:r>
        <w:rPr>
          <w:spacing w:val="-9"/>
        </w:rPr>
        <w:t xml:space="preserve"> </w:t>
      </w:r>
      <w:r>
        <w:t>other</w:t>
      </w:r>
      <w:r>
        <w:rPr>
          <w:spacing w:val="-8"/>
        </w:rPr>
        <w:t xml:space="preserve"> </w:t>
      </w:r>
      <w:proofErr w:type="spellStart"/>
      <w:r>
        <w:t>tumour</w:t>
      </w:r>
      <w:proofErr w:type="spellEnd"/>
      <w:r>
        <w:t xml:space="preserve"> types</w:t>
      </w:r>
      <w:r>
        <w:rPr>
          <w:spacing w:val="-2"/>
        </w:rPr>
        <w:t xml:space="preserve"> </w:t>
      </w:r>
      <w:r>
        <w:t>(hazard</w:t>
      </w:r>
      <w:r>
        <w:rPr>
          <w:spacing w:val="-2"/>
        </w:rPr>
        <w:t xml:space="preserve"> </w:t>
      </w:r>
      <w:r>
        <w:t>ratio [95 %</w:t>
      </w:r>
      <w:r>
        <w:rPr>
          <w:spacing w:val="-3"/>
        </w:rPr>
        <w:t xml:space="preserve"> </w:t>
      </w:r>
      <w:r>
        <w:t>CI]</w:t>
      </w:r>
      <w:r>
        <w:rPr>
          <w:spacing w:val="-1"/>
        </w:rPr>
        <w:t xml:space="preserve"> </w:t>
      </w:r>
      <w:r>
        <w:t>of</w:t>
      </w:r>
      <w:r>
        <w:rPr>
          <w:spacing w:val="-3"/>
        </w:rPr>
        <w:t xml:space="preserve"> </w:t>
      </w:r>
      <w:r>
        <w:t>1.08 [0.90, 1.30]; n</w:t>
      </w:r>
      <w:r>
        <w:rPr>
          <w:spacing w:val="-4"/>
        </w:rPr>
        <w:t xml:space="preserve"> </w:t>
      </w:r>
      <w:r>
        <w:t>=</w:t>
      </w:r>
      <w:r>
        <w:rPr>
          <w:spacing w:val="-3"/>
        </w:rPr>
        <w:t xml:space="preserve"> </w:t>
      </w:r>
      <w:r>
        <w:t>894).</w:t>
      </w:r>
      <w:r>
        <w:rPr>
          <w:spacing w:val="-3"/>
        </w:rPr>
        <w:t xml:space="preserve"> </w:t>
      </w:r>
      <w:r>
        <w:t>This</w:t>
      </w:r>
      <w:r>
        <w:rPr>
          <w:spacing w:val="-4"/>
        </w:rPr>
        <w:t xml:space="preserve"> </w:t>
      </w:r>
      <w:r>
        <w:t>study</w:t>
      </w:r>
      <w:r>
        <w:rPr>
          <w:spacing w:val="-2"/>
        </w:rPr>
        <w:t xml:space="preserve"> </w:t>
      </w:r>
      <w:r>
        <w:t>did</w:t>
      </w:r>
      <w:r>
        <w:rPr>
          <w:spacing w:val="-4"/>
        </w:rPr>
        <w:t xml:space="preserve"> </w:t>
      </w:r>
      <w:r>
        <w:t xml:space="preserve">not </w:t>
      </w:r>
      <w:proofErr w:type="gramStart"/>
      <w:r>
        <w:t>control</w:t>
      </w:r>
      <w:r>
        <w:rPr>
          <w:spacing w:val="-1"/>
        </w:rPr>
        <w:t xml:space="preserve"> </w:t>
      </w:r>
      <w:r>
        <w:t>for</w:t>
      </w:r>
      <w:proofErr w:type="gramEnd"/>
      <w:r>
        <w:rPr>
          <w:spacing w:val="-3"/>
        </w:rPr>
        <w:t xml:space="preserve"> </w:t>
      </w:r>
      <w:r>
        <w:t>prognostic</w:t>
      </w:r>
      <w:r>
        <w:rPr>
          <w:spacing w:val="-1"/>
        </w:rPr>
        <w:t xml:space="preserve"> </w:t>
      </w:r>
      <w:r>
        <w:t>factors and</w:t>
      </w:r>
      <w:r>
        <w:rPr>
          <w:spacing w:val="-13"/>
        </w:rPr>
        <w:t xml:space="preserve"> </w:t>
      </w:r>
      <w:r>
        <w:t>anti-neoplastic</w:t>
      </w:r>
      <w:r>
        <w:rPr>
          <w:spacing w:val="-11"/>
        </w:rPr>
        <w:t xml:space="preserve"> </w:t>
      </w:r>
      <w:r>
        <w:t>treatments.</w:t>
      </w:r>
      <w:r>
        <w:rPr>
          <w:spacing w:val="5"/>
        </w:rPr>
        <w:t xml:space="preserve"> </w:t>
      </w:r>
      <w:r>
        <w:t>In</w:t>
      </w:r>
      <w:r>
        <w:rPr>
          <w:spacing w:val="-12"/>
        </w:rPr>
        <w:t xml:space="preserve"> </w:t>
      </w:r>
      <w:r>
        <w:t>a</w:t>
      </w:r>
      <w:r>
        <w:rPr>
          <w:spacing w:val="-12"/>
        </w:rPr>
        <w:t xml:space="preserve"> </w:t>
      </w:r>
      <w:r>
        <w:t>combined</w:t>
      </w:r>
      <w:r>
        <w:rPr>
          <w:spacing w:val="-11"/>
        </w:rPr>
        <w:t xml:space="preserve"> </w:t>
      </w:r>
      <w:r>
        <w:t>pre-</w:t>
      </w:r>
      <w:r>
        <w:rPr>
          <w:spacing w:val="-12"/>
        </w:rPr>
        <w:t xml:space="preserve"> </w:t>
      </w:r>
      <w:r>
        <w:t>specified</w:t>
      </w:r>
      <w:r>
        <w:rPr>
          <w:spacing w:val="-11"/>
        </w:rPr>
        <w:t xml:space="preserve"> </w:t>
      </w:r>
      <w:r>
        <w:t>analysis</w:t>
      </w:r>
      <w:r>
        <w:rPr>
          <w:spacing w:val="-12"/>
        </w:rPr>
        <w:t xml:space="preserve"> </w:t>
      </w:r>
      <w:r>
        <w:t>from</w:t>
      </w:r>
      <w:r>
        <w:rPr>
          <w:spacing w:val="-10"/>
        </w:rPr>
        <w:t xml:space="preserve"> </w:t>
      </w:r>
      <w:r>
        <w:t>all</w:t>
      </w:r>
      <w:r>
        <w:rPr>
          <w:spacing w:val="-13"/>
        </w:rPr>
        <w:t xml:space="preserve"> </w:t>
      </w:r>
      <w:r>
        <w:t>three</w:t>
      </w:r>
      <w:r>
        <w:rPr>
          <w:spacing w:val="-11"/>
        </w:rPr>
        <w:t xml:space="preserve"> </w:t>
      </w:r>
      <w:r>
        <w:t>studies,</w:t>
      </w:r>
      <w:r>
        <w:rPr>
          <w:spacing w:val="-13"/>
        </w:rPr>
        <w:t xml:space="preserve"> </w:t>
      </w:r>
      <w:r>
        <w:t>overall</w:t>
      </w:r>
      <w:r>
        <w:rPr>
          <w:spacing w:val="-11"/>
        </w:rPr>
        <w:t xml:space="preserve"> </w:t>
      </w:r>
      <w:r>
        <w:t>survival was similar between denosumab and zoledronic acid (hazard ratio [95 % CI] of 0.99 [0.91, 1.07]).</w:t>
      </w:r>
    </w:p>
    <w:p w14:paraId="657B4567" w14:textId="77777777" w:rsidR="00AE135B" w:rsidRDefault="00EE5424">
      <w:pPr>
        <w:spacing w:before="120"/>
        <w:ind w:left="307"/>
        <w:jc w:val="both"/>
        <w:rPr>
          <w:i/>
        </w:rPr>
      </w:pPr>
      <w:r>
        <w:rPr>
          <w:i/>
          <w:spacing w:val="-2"/>
        </w:rPr>
        <w:t>Clinical</w:t>
      </w:r>
      <w:r>
        <w:rPr>
          <w:i/>
          <w:spacing w:val="-9"/>
        </w:rPr>
        <w:t xml:space="preserve"> </w:t>
      </w:r>
      <w:r>
        <w:rPr>
          <w:i/>
          <w:spacing w:val="-2"/>
        </w:rPr>
        <w:t>efficacy</w:t>
      </w:r>
      <w:r>
        <w:rPr>
          <w:i/>
          <w:spacing w:val="-5"/>
        </w:rPr>
        <w:t xml:space="preserve"> </w:t>
      </w:r>
      <w:r>
        <w:rPr>
          <w:i/>
          <w:spacing w:val="-2"/>
        </w:rPr>
        <w:t>in</w:t>
      </w:r>
      <w:r>
        <w:rPr>
          <w:i/>
          <w:spacing w:val="-8"/>
        </w:rPr>
        <w:t xml:space="preserve"> </w:t>
      </w:r>
      <w:r>
        <w:rPr>
          <w:i/>
          <w:spacing w:val="-2"/>
        </w:rPr>
        <w:t>patients</w:t>
      </w:r>
      <w:r>
        <w:rPr>
          <w:i/>
          <w:spacing w:val="-5"/>
        </w:rPr>
        <w:t xml:space="preserve"> </w:t>
      </w:r>
      <w:r>
        <w:rPr>
          <w:i/>
          <w:spacing w:val="-2"/>
        </w:rPr>
        <w:t>with</w:t>
      </w:r>
      <w:r>
        <w:rPr>
          <w:i/>
          <w:spacing w:val="-10"/>
        </w:rPr>
        <w:t xml:space="preserve"> </w:t>
      </w:r>
      <w:r>
        <w:rPr>
          <w:i/>
          <w:spacing w:val="-2"/>
        </w:rPr>
        <w:t>multiple</w:t>
      </w:r>
      <w:r>
        <w:rPr>
          <w:i/>
          <w:spacing w:val="-5"/>
        </w:rPr>
        <w:t xml:space="preserve"> </w:t>
      </w:r>
      <w:r>
        <w:rPr>
          <w:i/>
          <w:spacing w:val="-2"/>
        </w:rPr>
        <w:t>myeloma</w:t>
      </w:r>
    </w:p>
    <w:p w14:paraId="45225F34" w14:textId="77777777" w:rsidR="00AE135B" w:rsidRDefault="00EE5424">
      <w:pPr>
        <w:pStyle w:val="BodyText"/>
        <w:spacing w:before="248" w:line="360" w:lineRule="auto"/>
        <w:ind w:right="177" w:firstLine="48"/>
        <w:jc w:val="both"/>
      </w:pPr>
      <w:r>
        <w:t xml:space="preserve">Denosumab was evaluated in an international, </w:t>
      </w:r>
      <w:proofErr w:type="spellStart"/>
      <w:r>
        <w:t>randomised</w:t>
      </w:r>
      <w:proofErr w:type="spellEnd"/>
      <w:r>
        <w:t xml:space="preserve"> (1:1), double-blind, active-controlled study comparing denosumab with zoledronic acid in patients with newly diagnosed multiple myeloma (Study </w:t>
      </w:r>
      <w:r>
        <w:rPr>
          <w:spacing w:val="-2"/>
        </w:rPr>
        <w:t>20090482).</w:t>
      </w:r>
    </w:p>
    <w:p w14:paraId="52AB1F1D" w14:textId="77777777" w:rsidR="00AE135B" w:rsidRDefault="00EE5424">
      <w:pPr>
        <w:pStyle w:val="BodyText"/>
        <w:spacing w:before="119" w:line="360" w:lineRule="auto"/>
        <w:ind w:right="170"/>
        <w:jc w:val="both"/>
        <w:rPr>
          <w:spacing w:val="-2"/>
        </w:rPr>
      </w:pPr>
      <w:r>
        <w:t xml:space="preserve">In this study, 1718 multiple myeloma patients with at least 1 bone lesion were </w:t>
      </w:r>
      <w:proofErr w:type="spellStart"/>
      <w:r>
        <w:t>randomised</w:t>
      </w:r>
      <w:proofErr w:type="spellEnd"/>
      <w:r>
        <w:t xml:space="preserve"> to receive</w:t>
      </w:r>
      <w:r>
        <w:rPr>
          <w:spacing w:val="80"/>
        </w:rPr>
        <w:t xml:space="preserve"> </w:t>
      </w:r>
      <w:r>
        <w:t>120</w:t>
      </w:r>
      <w:r>
        <w:rPr>
          <w:spacing w:val="-13"/>
        </w:rPr>
        <w:t xml:space="preserve"> </w:t>
      </w:r>
      <w:r>
        <w:t>mg</w:t>
      </w:r>
      <w:r>
        <w:rPr>
          <w:spacing w:val="-11"/>
        </w:rPr>
        <w:t xml:space="preserve"> </w:t>
      </w:r>
      <w:r>
        <w:t>denosumab</w:t>
      </w:r>
      <w:r>
        <w:rPr>
          <w:spacing w:val="-11"/>
        </w:rPr>
        <w:t xml:space="preserve"> </w:t>
      </w:r>
      <w:r>
        <w:t>subcutaneously</w:t>
      </w:r>
      <w:r>
        <w:rPr>
          <w:spacing w:val="-12"/>
        </w:rPr>
        <w:t xml:space="preserve"> </w:t>
      </w:r>
      <w:r>
        <w:t>every</w:t>
      </w:r>
      <w:r>
        <w:rPr>
          <w:spacing w:val="-12"/>
        </w:rPr>
        <w:t xml:space="preserve"> </w:t>
      </w:r>
      <w:r>
        <w:t>4</w:t>
      </w:r>
      <w:r>
        <w:rPr>
          <w:spacing w:val="-12"/>
        </w:rPr>
        <w:t xml:space="preserve"> </w:t>
      </w:r>
      <w:r>
        <w:t>weeks</w:t>
      </w:r>
      <w:r>
        <w:rPr>
          <w:spacing w:val="-12"/>
        </w:rPr>
        <w:t xml:space="preserve"> </w:t>
      </w:r>
      <w:r>
        <w:t>or</w:t>
      </w:r>
      <w:r>
        <w:rPr>
          <w:spacing w:val="-13"/>
        </w:rPr>
        <w:t xml:space="preserve"> </w:t>
      </w:r>
      <w:r>
        <w:t>4</w:t>
      </w:r>
      <w:r>
        <w:rPr>
          <w:spacing w:val="-12"/>
        </w:rPr>
        <w:t xml:space="preserve"> </w:t>
      </w:r>
      <w:r>
        <w:t>mg</w:t>
      </w:r>
      <w:r>
        <w:rPr>
          <w:spacing w:val="-11"/>
        </w:rPr>
        <w:t xml:space="preserve"> </w:t>
      </w:r>
      <w:r>
        <w:t>zoledronic</w:t>
      </w:r>
      <w:r>
        <w:rPr>
          <w:spacing w:val="-12"/>
        </w:rPr>
        <w:t xml:space="preserve"> </w:t>
      </w:r>
      <w:r>
        <w:t>acid</w:t>
      </w:r>
      <w:r>
        <w:rPr>
          <w:spacing w:val="-11"/>
        </w:rPr>
        <w:t xml:space="preserve"> </w:t>
      </w:r>
      <w:r>
        <w:t>intravenously</w:t>
      </w:r>
      <w:r>
        <w:rPr>
          <w:spacing w:val="-11"/>
        </w:rPr>
        <w:t xml:space="preserve"> </w:t>
      </w:r>
      <w:r>
        <w:t>(IV)</w:t>
      </w:r>
      <w:r>
        <w:rPr>
          <w:spacing w:val="-13"/>
        </w:rPr>
        <w:t xml:space="preserve"> </w:t>
      </w:r>
      <w:r>
        <w:t>every</w:t>
      </w:r>
      <w:r>
        <w:rPr>
          <w:spacing w:val="-12"/>
        </w:rPr>
        <w:t xml:space="preserve"> </w:t>
      </w:r>
      <w:r>
        <w:t>4</w:t>
      </w:r>
      <w:r>
        <w:rPr>
          <w:spacing w:val="-12"/>
        </w:rPr>
        <w:t xml:space="preserve"> </w:t>
      </w:r>
      <w:r>
        <w:t>weeks (dose adjusted for renal impairment and patients with creatinine clearance less than 30 mL/min were excluded</w:t>
      </w:r>
      <w:r>
        <w:rPr>
          <w:spacing w:val="-6"/>
        </w:rPr>
        <w:t xml:space="preserve"> </w:t>
      </w:r>
      <w:r>
        <w:t>based</w:t>
      </w:r>
      <w:r>
        <w:rPr>
          <w:spacing w:val="-9"/>
        </w:rPr>
        <w:t xml:space="preserve"> </w:t>
      </w:r>
      <w:r>
        <w:t>on</w:t>
      </w:r>
      <w:r>
        <w:rPr>
          <w:spacing w:val="-7"/>
        </w:rPr>
        <w:t xml:space="preserve"> </w:t>
      </w:r>
      <w:r>
        <w:t>Zometa</w:t>
      </w:r>
      <w:r>
        <w:rPr>
          <w:spacing w:val="-8"/>
        </w:rPr>
        <w:t xml:space="preserve"> </w:t>
      </w:r>
      <w:r>
        <w:t>prescribing</w:t>
      </w:r>
      <w:r>
        <w:rPr>
          <w:spacing w:val="-4"/>
        </w:rPr>
        <w:t xml:space="preserve"> </w:t>
      </w:r>
      <w:r>
        <w:t>information).</w:t>
      </w:r>
      <w:r>
        <w:rPr>
          <w:spacing w:val="-6"/>
        </w:rPr>
        <w:t xml:space="preserve"> </w:t>
      </w:r>
      <w:r>
        <w:t>The</w:t>
      </w:r>
      <w:r>
        <w:rPr>
          <w:spacing w:val="-4"/>
        </w:rPr>
        <w:t xml:space="preserve"> </w:t>
      </w:r>
      <w:proofErr w:type="gramStart"/>
      <w:r>
        <w:t>primary</w:t>
      </w:r>
      <w:r>
        <w:rPr>
          <w:spacing w:val="-11"/>
        </w:rPr>
        <w:t xml:space="preserve"> </w:t>
      </w:r>
      <w:r>
        <w:t>outcome</w:t>
      </w:r>
      <w:proofErr w:type="gramEnd"/>
      <w:r>
        <w:rPr>
          <w:spacing w:val="-11"/>
        </w:rPr>
        <w:t xml:space="preserve"> </w:t>
      </w:r>
      <w:r>
        <w:t>measure</w:t>
      </w:r>
      <w:r>
        <w:rPr>
          <w:spacing w:val="-7"/>
        </w:rPr>
        <w:t xml:space="preserve"> </w:t>
      </w:r>
      <w:r>
        <w:t>was</w:t>
      </w:r>
      <w:r>
        <w:rPr>
          <w:spacing w:val="-9"/>
        </w:rPr>
        <w:t xml:space="preserve"> </w:t>
      </w:r>
      <w:r>
        <w:t>demonstration</w:t>
      </w:r>
      <w:r>
        <w:rPr>
          <w:spacing w:val="-7"/>
        </w:rPr>
        <w:t xml:space="preserve"> </w:t>
      </w:r>
      <w:r>
        <w:t>of non-inferiority of time to first skeletal- related event (SRE) as compared to zoledronic acid.</w:t>
      </w:r>
      <w:r>
        <w:rPr>
          <w:spacing w:val="40"/>
        </w:rPr>
        <w:t xml:space="preserve"> </w:t>
      </w:r>
      <w:r>
        <w:t>Secondary outcome</w:t>
      </w:r>
      <w:r>
        <w:rPr>
          <w:spacing w:val="-10"/>
        </w:rPr>
        <w:t xml:space="preserve"> </w:t>
      </w:r>
      <w:r>
        <w:t>measures</w:t>
      </w:r>
      <w:r>
        <w:rPr>
          <w:spacing w:val="-8"/>
        </w:rPr>
        <w:t xml:space="preserve"> </w:t>
      </w:r>
      <w:r>
        <w:t>included</w:t>
      </w:r>
      <w:r>
        <w:rPr>
          <w:spacing w:val="-10"/>
        </w:rPr>
        <w:t xml:space="preserve"> </w:t>
      </w:r>
      <w:r>
        <w:t>superiority</w:t>
      </w:r>
      <w:r>
        <w:rPr>
          <w:spacing w:val="-12"/>
        </w:rPr>
        <w:t xml:space="preserve"> </w:t>
      </w:r>
      <w:r>
        <w:t>of</w:t>
      </w:r>
      <w:r>
        <w:rPr>
          <w:spacing w:val="-11"/>
        </w:rPr>
        <w:t xml:space="preserve"> </w:t>
      </w:r>
      <w:r>
        <w:t>time</w:t>
      </w:r>
      <w:r>
        <w:rPr>
          <w:spacing w:val="-12"/>
        </w:rPr>
        <w:t xml:space="preserve"> </w:t>
      </w:r>
      <w:r>
        <w:t>to</w:t>
      </w:r>
      <w:r>
        <w:rPr>
          <w:spacing w:val="-9"/>
        </w:rPr>
        <w:t xml:space="preserve"> </w:t>
      </w:r>
      <w:r>
        <w:t>first</w:t>
      </w:r>
      <w:r>
        <w:rPr>
          <w:spacing w:val="-10"/>
        </w:rPr>
        <w:t xml:space="preserve"> </w:t>
      </w:r>
      <w:r>
        <w:t>SRE,</w:t>
      </w:r>
      <w:r>
        <w:rPr>
          <w:spacing w:val="-11"/>
        </w:rPr>
        <w:t xml:space="preserve"> </w:t>
      </w:r>
      <w:r>
        <w:t>superiority</w:t>
      </w:r>
      <w:r>
        <w:rPr>
          <w:spacing w:val="-12"/>
        </w:rPr>
        <w:t xml:space="preserve"> </w:t>
      </w:r>
      <w:r>
        <w:t>of</w:t>
      </w:r>
      <w:r>
        <w:rPr>
          <w:spacing w:val="-11"/>
        </w:rPr>
        <w:t xml:space="preserve"> </w:t>
      </w:r>
      <w:r>
        <w:t>time</w:t>
      </w:r>
      <w:r>
        <w:rPr>
          <w:spacing w:val="-11"/>
        </w:rPr>
        <w:t xml:space="preserve"> </w:t>
      </w:r>
      <w:r>
        <w:t>to</w:t>
      </w:r>
      <w:r>
        <w:rPr>
          <w:spacing w:val="-12"/>
        </w:rPr>
        <w:t xml:space="preserve"> </w:t>
      </w:r>
      <w:r>
        <w:t>first</w:t>
      </w:r>
      <w:r>
        <w:rPr>
          <w:spacing w:val="-10"/>
        </w:rPr>
        <w:t xml:space="preserve"> </w:t>
      </w:r>
      <w:r>
        <w:t>and</w:t>
      </w:r>
      <w:r>
        <w:rPr>
          <w:spacing w:val="-11"/>
        </w:rPr>
        <w:t xml:space="preserve"> </w:t>
      </w:r>
      <w:r>
        <w:t>subsequent</w:t>
      </w:r>
      <w:r>
        <w:rPr>
          <w:spacing w:val="-10"/>
        </w:rPr>
        <w:t xml:space="preserve"> </w:t>
      </w:r>
      <w:r>
        <w:t>SRE, and overall survival.</w:t>
      </w:r>
      <w:r>
        <w:rPr>
          <w:spacing w:val="40"/>
        </w:rPr>
        <w:t xml:space="preserve"> </w:t>
      </w:r>
      <w:r>
        <w:t xml:space="preserve">An SRE was defined as any of the following: pathologic fracture (vertebral or non-vertebral), radiation therapy to bone (including the use of radioisotopes), surgery to bone, or spinal cord </w:t>
      </w:r>
      <w:r>
        <w:rPr>
          <w:spacing w:val="-2"/>
        </w:rPr>
        <w:t>compression.</w:t>
      </w:r>
    </w:p>
    <w:p w14:paraId="53CDF680" w14:textId="77777777" w:rsidR="00320262" w:rsidRDefault="00320262" w:rsidP="00320262"/>
    <w:p w14:paraId="5C6F3C45" w14:textId="77777777" w:rsidR="00AE135B" w:rsidRDefault="00EE5424">
      <w:pPr>
        <w:pStyle w:val="BodyText"/>
        <w:spacing w:before="39" w:line="360" w:lineRule="auto"/>
        <w:ind w:right="170"/>
        <w:jc w:val="both"/>
      </w:pPr>
      <w:r>
        <w:t xml:space="preserve">In this study, </w:t>
      </w:r>
      <w:proofErr w:type="spellStart"/>
      <w:r>
        <w:t>randomisation</w:t>
      </w:r>
      <w:proofErr w:type="spellEnd"/>
      <w:r>
        <w:t xml:space="preserve"> was stratified by intent to undergo autologous peripheral blood stem cell (PBSC) transplantation (yes or no), the anti-myeloma agent being </w:t>
      </w:r>
      <w:proofErr w:type="spellStart"/>
      <w:r>
        <w:t>utilised</w:t>
      </w:r>
      <w:proofErr w:type="spellEnd"/>
      <w:r>
        <w:t xml:space="preserve">/planned to be </w:t>
      </w:r>
      <w:proofErr w:type="spellStart"/>
      <w:r>
        <w:t>utilised</w:t>
      </w:r>
      <w:proofErr w:type="spellEnd"/>
      <w:r>
        <w:t xml:space="preserve"> in first-line therapy [novel therapy-based or non-novel therapy-based (novel therapies include bortezomib, lenalidomide, or thalidomide)], stage at diagnosis (International Staging System I or II or III), previous SRE (yes or</w:t>
      </w:r>
      <w:r>
        <w:rPr>
          <w:spacing w:val="-1"/>
        </w:rPr>
        <w:t xml:space="preserve"> </w:t>
      </w:r>
      <w:r>
        <w:t>no), and</w:t>
      </w:r>
      <w:r>
        <w:rPr>
          <w:spacing w:val="-2"/>
        </w:rPr>
        <w:t xml:space="preserve"> </w:t>
      </w:r>
      <w:r>
        <w:t>region</w:t>
      </w:r>
      <w:r>
        <w:rPr>
          <w:spacing w:val="-2"/>
        </w:rPr>
        <w:t xml:space="preserve"> </w:t>
      </w:r>
      <w:r>
        <w:t>(Japan or</w:t>
      </w:r>
      <w:r>
        <w:rPr>
          <w:spacing w:val="-4"/>
        </w:rPr>
        <w:t xml:space="preserve"> </w:t>
      </w:r>
      <w:r>
        <w:t>other countries).</w:t>
      </w:r>
      <w:r>
        <w:rPr>
          <w:spacing w:val="40"/>
        </w:rPr>
        <w:t xml:space="preserve"> </w:t>
      </w:r>
      <w:r>
        <w:t>Across</w:t>
      </w:r>
      <w:r>
        <w:rPr>
          <w:spacing w:val="-3"/>
        </w:rPr>
        <w:t xml:space="preserve"> </w:t>
      </w:r>
      <w:r>
        <w:t>both</w:t>
      </w:r>
      <w:r>
        <w:rPr>
          <w:spacing w:val="-3"/>
        </w:rPr>
        <w:t xml:space="preserve"> </w:t>
      </w:r>
      <w:r>
        <w:t>study</w:t>
      </w:r>
      <w:r>
        <w:rPr>
          <w:spacing w:val="-2"/>
        </w:rPr>
        <w:t xml:space="preserve"> </w:t>
      </w:r>
      <w:r>
        <w:t>arms,</w:t>
      </w:r>
      <w:r>
        <w:rPr>
          <w:spacing w:val="-3"/>
        </w:rPr>
        <w:t xml:space="preserve"> </w:t>
      </w:r>
      <w:r>
        <w:t>54.5</w:t>
      </w:r>
      <w:r>
        <w:rPr>
          <w:spacing w:val="-1"/>
        </w:rPr>
        <w:t xml:space="preserve"> </w:t>
      </w:r>
      <w:r>
        <w:t>% of patients</w:t>
      </w:r>
      <w:r>
        <w:rPr>
          <w:spacing w:val="-3"/>
        </w:rPr>
        <w:t xml:space="preserve"> </w:t>
      </w:r>
      <w:r>
        <w:t>intended</w:t>
      </w:r>
      <w:r>
        <w:rPr>
          <w:spacing w:val="-3"/>
        </w:rPr>
        <w:t xml:space="preserve"> </w:t>
      </w:r>
      <w:r>
        <w:t xml:space="preserve">to undergo autologous PBSC transplantation, 95.8 % of patients </w:t>
      </w:r>
      <w:proofErr w:type="spellStart"/>
      <w:r>
        <w:t>utilised</w:t>
      </w:r>
      <w:proofErr w:type="spellEnd"/>
      <w:r>
        <w:t xml:space="preserve">/planned to </w:t>
      </w:r>
      <w:proofErr w:type="spellStart"/>
      <w:r>
        <w:t>utilise</w:t>
      </w:r>
      <w:proofErr w:type="spellEnd"/>
      <w:r>
        <w:t xml:space="preserve"> a novel anti-myeloma agent in first-line therapy, and 60.7 % of patients had a previous SRE.</w:t>
      </w:r>
      <w:r>
        <w:rPr>
          <w:spacing w:val="40"/>
        </w:rPr>
        <w:t xml:space="preserve"> </w:t>
      </w:r>
      <w:r>
        <w:t xml:space="preserve">The number of patients </w:t>
      </w:r>
      <w:r>
        <w:lastRenderedPageBreak/>
        <w:t>across</w:t>
      </w:r>
      <w:r>
        <w:rPr>
          <w:spacing w:val="-5"/>
        </w:rPr>
        <w:t xml:space="preserve"> </w:t>
      </w:r>
      <w:r>
        <w:t>both</w:t>
      </w:r>
      <w:r>
        <w:rPr>
          <w:spacing w:val="-3"/>
        </w:rPr>
        <w:t xml:space="preserve"> </w:t>
      </w:r>
      <w:r>
        <w:t>study</w:t>
      </w:r>
      <w:r>
        <w:rPr>
          <w:spacing w:val="-2"/>
        </w:rPr>
        <w:t xml:space="preserve"> </w:t>
      </w:r>
      <w:r>
        <w:t>arms</w:t>
      </w:r>
      <w:r>
        <w:rPr>
          <w:spacing w:val="-3"/>
        </w:rPr>
        <w:t xml:space="preserve"> </w:t>
      </w:r>
      <w:r>
        <w:t>with</w:t>
      </w:r>
      <w:r>
        <w:rPr>
          <w:spacing w:val="-7"/>
        </w:rPr>
        <w:t xml:space="preserve"> </w:t>
      </w:r>
      <w:r>
        <w:t>ISS</w:t>
      </w:r>
      <w:r>
        <w:rPr>
          <w:spacing w:val="-6"/>
        </w:rPr>
        <w:t xml:space="preserve"> </w:t>
      </w:r>
      <w:r>
        <w:t>stage</w:t>
      </w:r>
      <w:r>
        <w:rPr>
          <w:spacing w:val="-3"/>
        </w:rPr>
        <w:t xml:space="preserve"> </w:t>
      </w:r>
      <w:r>
        <w:t>I,</w:t>
      </w:r>
      <w:r>
        <w:rPr>
          <w:spacing w:val="-3"/>
        </w:rPr>
        <w:t xml:space="preserve"> </w:t>
      </w:r>
      <w:r>
        <w:t>stage</w:t>
      </w:r>
      <w:r>
        <w:rPr>
          <w:spacing w:val="-3"/>
        </w:rPr>
        <w:t xml:space="preserve"> </w:t>
      </w:r>
      <w:r>
        <w:t>II,</w:t>
      </w:r>
      <w:r>
        <w:rPr>
          <w:spacing w:val="-3"/>
        </w:rPr>
        <w:t xml:space="preserve"> </w:t>
      </w:r>
      <w:r>
        <w:t>and</w:t>
      </w:r>
      <w:r>
        <w:rPr>
          <w:spacing w:val="-4"/>
        </w:rPr>
        <w:t xml:space="preserve"> </w:t>
      </w:r>
      <w:r>
        <w:t>stage</w:t>
      </w:r>
      <w:r>
        <w:rPr>
          <w:spacing w:val="-3"/>
        </w:rPr>
        <w:t xml:space="preserve"> </w:t>
      </w:r>
      <w:r>
        <w:t>III</w:t>
      </w:r>
      <w:r>
        <w:rPr>
          <w:spacing w:val="-4"/>
        </w:rPr>
        <w:t xml:space="preserve"> </w:t>
      </w:r>
      <w:r>
        <w:t>at</w:t>
      </w:r>
      <w:r>
        <w:rPr>
          <w:spacing w:val="-3"/>
        </w:rPr>
        <w:t xml:space="preserve"> </w:t>
      </w:r>
      <w:r>
        <w:t>diagnosis</w:t>
      </w:r>
      <w:r>
        <w:rPr>
          <w:spacing w:val="-6"/>
        </w:rPr>
        <w:t xml:space="preserve"> </w:t>
      </w:r>
      <w:r>
        <w:t>were</w:t>
      </w:r>
      <w:r>
        <w:rPr>
          <w:spacing w:val="-5"/>
        </w:rPr>
        <w:t xml:space="preserve"> </w:t>
      </w:r>
      <w:r>
        <w:t>32.4 %,</w:t>
      </w:r>
      <w:r>
        <w:rPr>
          <w:spacing w:val="-6"/>
        </w:rPr>
        <w:t xml:space="preserve"> </w:t>
      </w:r>
      <w:r>
        <w:t>38.2</w:t>
      </w:r>
      <w:r>
        <w:rPr>
          <w:spacing w:val="-5"/>
        </w:rPr>
        <w:t xml:space="preserve"> </w:t>
      </w:r>
      <w:r>
        <w:t>%,</w:t>
      </w:r>
      <w:r>
        <w:rPr>
          <w:spacing w:val="-3"/>
        </w:rPr>
        <w:t xml:space="preserve"> </w:t>
      </w:r>
      <w:r>
        <w:t>and</w:t>
      </w:r>
      <w:r>
        <w:rPr>
          <w:spacing w:val="-4"/>
        </w:rPr>
        <w:t xml:space="preserve"> </w:t>
      </w:r>
      <w:r>
        <w:t>29.3</w:t>
      </w:r>
      <w:r>
        <w:rPr>
          <w:spacing w:val="-5"/>
        </w:rPr>
        <w:t xml:space="preserve"> </w:t>
      </w:r>
      <w:r>
        <w:t xml:space="preserve">%, </w:t>
      </w:r>
      <w:r>
        <w:rPr>
          <w:spacing w:val="-2"/>
        </w:rPr>
        <w:t>respectively.</w:t>
      </w:r>
    </w:p>
    <w:p w14:paraId="326812EF" w14:textId="77777777" w:rsidR="00AE135B" w:rsidRDefault="00EE5424">
      <w:pPr>
        <w:pStyle w:val="BodyText"/>
        <w:spacing w:before="124" w:line="360" w:lineRule="auto"/>
        <w:ind w:right="172"/>
        <w:jc w:val="both"/>
      </w:pPr>
      <w:r>
        <w:t>Median</w:t>
      </w:r>
      <w:r>
        <w:rPr>
          <w:spacing w:val="-10"/>
        </w:rPr>
        <w:t xml:space="preserve"> </w:t>
      </w:r>
      <w:r>
        <w:t>age</w:t>
      </w:r>
      <w:r>
        <w:rPr>
          <w:spacing w:val="-8"/>
        </w:rPr>
        <w:t xml:space="preserve"> </w:t>
      </w:r>
      <w:r>
        <w:t>was</w:t>
      </w:r>
      <w:r>
        <w:rPr>
          <w:spacing w:val="-10"/>
        </w:rPr>
        <w:t xml:space="preserve"> </w:t>
      </w:r>
      <w:r>
        <w:t>63</w:t>
      </w:r>
      <w:r>
        <w:rPr>
          <w:spacing w:val="-10"/>
        </w:rPr>
        <w:t xml:space="preserve"> </w:t>
      </w:r>
      <w:r>
        <w:t>years,</w:t>
      </w:r>
      <w:r>
        <w:rPr>
          <w:spacing w:val="-12"/>
        </w:rPr>
        <w:t xml:space="preserve"> </w:t>
      </w:r>
      <w:r>
        <w:t>82.1</w:t>
      </w:r>
      <w:r>
        <w:rPr>
          <w:spacing w:val="-8"/>
        </w:rPr>
        <w:t xml:space="preserve"> </w:t>
      </w:r>
      <w:r>
        <w:t>%</w:t>
      </w:r>
      <w:r>
        <w:rPr>
          <w:spacing w:val="-10"/>
        </w:rPr>
        <w:t xml:space="preserve"> </w:t>
      </w:r>
      <w:r>
        <w:t>of</w:t>
      </w:r>
      <w:r>
        <w:rPr>
          <w:spacing w:val="-11"/>
        </w:rPr>
        <w:t xml:space="preserve"> </w:t>
      </w:r>
      <w:r>
        <w:t>patients</w:t>
      </w:r>
      <w:r>
        <w:rPr>
          <w:spacing w:val="-10"/>
        </w:rPr>
        <w:t xml:space="preserve"> </w:t>
      </w:r>
      <w:r>
        <w:t>were</w:t>
      </w:r>
      <w:r>
        <w:rPr>
          <w:spacing w:val="-10"/>
        </w:rPr>
        <w:t xml:space="preserve"> </w:t>
      </w:r>
      <w:r>
        <w:t>White,</w:t>
      </w:r>
      <w:r>
        <w:rPr>
          <w:spacing w:val="-7"/>
        </w:rPr>
        <w:t xml:space="preserve"> </w:t>
      </w:r>
      <w:r>
        <w:t>and</w:t>
      </w:r>
      <w:r>
        <w:rPr>
          <w:spacing w:val="-11"/>
        </w:rPr>
        <w:t xml:space="preserve"> </w:t>
      </w:r>
      <w:r>
        <w:t>45.6</w:t>
      </w:r>
      <w:r>
        <w:rPr>
          <w:spacing w:val="-4"/>
        </w:rPr>
        <w:t xml:space="preserve"> </w:t>
      </w:r>
      <w:r>
        <w:t>%</w:t>
      </w:r>
      <w:r>
        <w:rPr>
          <w:spacing w:val="-10"/>
        </w:rPr>
        <w:t xml:space="preserve"> </w:t>
      </w:r>
      <w:r>
        <w:t>of</w:t>
      </w:r>
      <w:r>
        <w:rPr>
          <w:spacing w:val="-11"/>
        </w:rPr>
        <w:t xml:space="preserve"> </w:t>
      </w:r>
      <w:r>
        <w:t>patients</w:t>
      </w:r>
      <w:r>
        <w:rPr>
          <w:spacing w:val="-7"/>
        </w:rPr>
        <w:t xml:space="preserve"> </w:t>
      </w:r>
      <w:r>
        <w:t>were</w:t>
      </w:r>
      <w:r>
        <w:rPr>
          <w:spacing w:val="-10"/>
        </w:rPr>
        <w:t xml:space="preserve"> </w:t>
      </w:r>
      <w:r>
        <w:t>women.</w:t>
      </w:r>
      <w:r>
        <w:rPr>
          <w:spacing w:val="24"/>
        </w:rPr>
        <w:t xml:space="preserve"> </w:t>
      </w:r>
      <w:r>
        <w:t>The</w:t>
      </w:r>
      <w:r>
        <w:rPr>
          <w:spacing w:val="-13"/>
        </w:rPr>
        <w:t xml:space="preserve"> </w:t>
      </w:r>
      <w:r>
        <w:t>median number of doses administered was 16 for denosumab and 15 for zoledronic acid.</w:t>
      </w:r>
      <w:r>
        <w:rPr>
          <w:spacing w:val="40"/>
        </w:rPr>
        <w:t xml:space="preserve"> </w:t>
      </w:r>
      <w:r>
        <w:t xml:space="preserve">In patients with newly diagnosed multiple myeloma, denosumab was non-inferior to zoledronic acid in delaying the time to first SRE following </w:t>
      </w:r>
      <w:proofErr w:type="spellStart"/>
      <w:r>
        <w:t>randomisation</w:t>
      </w:r>
      <w:proofErr w:type="spellEnd"/>
      <w:r>
        <w:t xml:space="preserve"> (see Figure 2 and Table 3).</w:t>
      </w:r>
    </w:p>
    <w:p w14:paraId="2CA687BF" w14:textId="77777777" w:rsidR="00AE135B" w:rsidRDefault="00AE135B">
      <w:pPr>
        <w:pStyle w:val="BodyText"/>
        <w:spacing w:before="18"/>
        <w:ind w:left="0"/>
      </w:pPr>
    </w:p>
    <w:p w14:paraId="0BB27698" w14:textId="77777777" w:rsidR="00AE135B" w:rsidRDefault="00EE5424">
      <w:pPr>
        <w:pStyle w:val="Heading3"/>
        <w:spacing w:before="1"/>
        <w:ind w:left="336" w:right="596"/>
        <w:jc w:val="center"/>
        <w:rPr>
          <w:spacing w:val="-5"/>
        </w:rPr>
      </w:pPr>
      <w:r>
        <w:t>Figure</w:t>
      </w:r>
      <w:r>
        <w:rPr>
          <w:spacing w:val="-13"/>
        </w:rPr>
        <w:t xml:space="preserve"> </w:t>
      </w:r>
      <w:r>
        <w:t>2.</w:t>
      </w:r>
      <w:r>
        <w:rPr>
          <w:spacing w:val="18"/>
        </w:rPr>
        <w:t xml:space="preserve"> </w:t>
      </w:r>
      <w:r>
        <w:t>Kaplan-Meier</w:t>
      </w:r>
      <w:r>
        <w:rPr>
          <w:spacing w:val="-12"/>
        </w:rPr>
        <w:t xml:space="preserve"> </w:t>
      </w:r>
      <w:r>
        <w:t>Plot</w:t>
      </w:r>
      <w:r>
        <w:rPr>
          <w:spacing w:val="-13"/>
        </w:rPr>
        <w:t xml:space="preserve"> </w:t>
      </w:r>
      <w:r>
        <w:t>for</w:t>
      </w:r>
      <w:r>
        <w:rPr>
          <w:spacing w:val="-12"/>
        </w:rPr>
        <w:t xml:space="preserve"> </w:t>
      </w:r>
      <w:r>
        <w:t>Time</w:t>
      </w:r>
      <w:r>
        <w:rPr>
          <w:spacing w:val="-13"/>
        </w:rPr>
        <w:t xml:space="preserve"> </w:t>
      </w:r>
      <w:r>
        <w:t>to</w:t>
      </w:r>
      <w:r>
        <w:rPr>
          <w:spacing w:val="-13"/>
        </w:rPr>
        <w:t xml:space="preserve"> </w:t>
      </w:r>
      <w:r>
        <w:t>First</w:t>
      </w:r>
      <w:r>
        <w:rPr>
          <w:spacing w:val="-12"/>
        </w:rPr>
        <w:t xml:space="preserve"> </w:t>
      </w:r>
      <w:r>
        <w:t>On-Study</w:t>
      </w:r>
      <w:r>
        <w:rPr>
          <w:spacing w:val="-12"/>
        </w:rPr>
        <w:t xml:space="preserve"> </w:t>
      </w:r>
      <w:r>
        <w:rPr>
          <w:spacing w:val="-5"/>
        </w:rPr>
        <w:t>SRE</w:t>
      </w:r>
    </w:p>
    <w:p w14:paraId="05574B38" w14:textId="77777777" w:rsidR="00320262" w:rsidRDefault="00320262" w:rsidP="00320262"/>
    <w:p w14:paraId="0150882E" w14:textId="439CA425" w:rsidR="00320262" w:rsidRDefault="00320262" w:rsidP="00320262">
      <w:pPr>
        <w:jc w:val="center"/>
      </w:pPr>
      <w:r>
        <w:rPr>
          <w:b/>
          <w:noProof/>
          <w:sz w:val="20"/>
        </w:rPr>
        <w:drawing>
          <wp:inline distT="0" distB="0" distL="0" distR="0" wp14:anchorId="6B51F65B" wp14:editId="4ED47875">
            <wp:extent cx="4578848" cy="3182969"/>
            <wp:effectExtent l="0" t="0" r="0" b="0"/>
            <wp:docPr id="4" name="Image 4" descr="Figure 2. Kaplan-Meier Plot for Time to First On-Study S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Figure 2. Kaplan-Meier Plot for Time to First On-Study S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8848" cy="3182969"/>
                    </a:xfrm>
                    <a:prstGeom prst="rect">
                      <a:avLst/>
                    </a:prstGeom>
                  </pic:spPr>
                </pic:pic>
              </a:graphicData>
            </a:graphic>
          </wp:inline>
        </w:drawing>
      </w:r>
    </w:p>
    <w:p w14:paraId="4DEC488B" w14:textId="77777777" w:rsidR="00320262" w:rsidRDefault="00320262" w:rsidP="00320262"/>
    <w:p w14:paraId="63841BD4" w14:textId="77777777" w:rsidR="00AE135B" w:rsidRDefault="00EE5424">
      <w:pPr>
        <w:pStyle w:val="Heading3"/>
        <w:spacing w:before="30"/>
        <w:ind w:left="2962" w:right="478" w:hanging="2408"/>
      </w:pPr>
      <w:r>
        <w:t>Table</w:t>
      </w:r>
      <w:r>
        <w:rPr>
          <w:spacing w:val="-7"/>
        </w:rPr>
        <w:t xml:space="preserve"> </w:t>
      </w:r>
      <w:r>
        <w:t>3.</w:t>
      </w:r>
      <w:r>
        <w:rPr>
          <w:spacing w:val="30"/>
        </w:rPr>
        <w:t xml:space="preserve"> </w:t>
      </w:r>
      <w:r>
        <w:t>Efficacy</w:t>
      </w:r>
      <w:r>
        <w:rPr>
          <w:spacing w:val="-9"/>
        </w:rPr>
        <w:t xml:space="preserve"> </w:t>
      </w:r>
      <w:r>
        <w:t>Results</w:t>
      </w:r>
      <w:r>
        <w:rPr>
          <w:spacing w:val="-8"/>
        </w:rPr>
        <w:t xml:space="preserve"> </w:t>
      </w:r>
      <w:r>
        <w:t>for</w:t>
      </w:r>
      <w:r>
        <w:rPr>
          <w:spacing w:val="-6"/>
        </w:rPr>
        <w:t xml:space="preserve"> </w:t>
      </w:r>
      <w:r>
        <w:t>denosumab</w:t>
      </w:r>
      <w:r>
        <w:rPr>
          <w:spacing w:val="-6"/>
        </w:rPr>
        <w:t xml:space="preserve"> </w:t>
      </w:r>
      <w:r>
        <w:t>(</w:t>
      </w:r>
      <w:proofErr w:type="spellStart"/>
      <w:r>
        <w:t>Xgeva</w:t>
      </w:r>
      <w:proofErr w:type="spellEnd"/>
      <w:r>
        <w:t>)</w:t>
      </w:r>
      <w:r>
        <w:rPr>
          <w:spacing w:val="-4"/>
        </w:rPr>
        <w:t xml:space="preserve"> </w:t>
      </w:r>
      <w:r>
        <w:t>Compared</w:t>
      </w:r>
      <w:r>
        <w:rPr>
          <w:spacing w:val="-9"/>
        </w:rPr>
        <w:t xml:space="preserve"> </w:t>
      </w:r>
      <w:r>
        <w:t>to</w:t>
      </w:r>
      <w:r>
        <w:rPr>
          <w:spacing w:val="-10"/>
        </w:rPr>
        <w:t xml:space="preserve"> </w:t>
      </w:r>
      <w:r>
        <w:t>Zoledronic</w:t>
      </w:r>
      <w:r>
        <w:rPr>
          <w:spacing w:val="-7"/>
        </w:rPr>
        <w:t xml:space="preserve"> </w:t>
      </w:r>
      <w:r>
        <w:t>Acid</w:t>
      </w:r>
      <w:r>
        <w:rPr>
          <w:spacing w:val="-9"/>
        </w:rPr>
        <w:t xml:space="preserve"> </w:t>
      </w:r>
      <w:r>
        <w:t>in</w:t>
      </w:r>
      <w:r>
        <w:rPr>
          <w:spacing w:val="-11"/>
        </w:rPr>
        <w:t xml:space="preserve"> </w:t>
      </w:r>
      <w:r>
        <w:t>Patients</w:t>
      </w:r>
      <w:r>
        <w:rPr>
          <w:spacing w:val="-10"/>
        </w:rPr>
        <w:t xml:space="preserve"> </w:t>
      </w:r>
      <w:r>
        <w:t>with Newly Diagnosed Multiple Myeloma</w:t>
      </w:r>
    </w:p>
    <w:p w14:paraId="5E2C7AE4" w14:textId="77777777" w:rsidR="00AE135B" w:rsidRDefault="00AE135B">
      <w:pPr>
        <w:pStyle w:val="BodyText"/>
        <w:spacing w:before="2"/>
        <w:ind w:left="0"/>
        <w:rPr>
          <w:b/>
          <w:sz w:val="8"/>
        </w:rPr>
      </w:pPr>
    </w:p>
    <w:tbl>
      <w:tblPr>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2069"/>
        <w:gridCol w:w="2225"/>
      </w:tblGrid>
      <w:tr w:rsidR="00AE135B" w14:paraId="16CC6084" w14:textId="77777777" w:rsidTr="00320262">
        <w:trPr>
          <w:trHeight w:val="702"/>
          <w:tblHeader/>
        </w:trPr>
        <w:tc>
          <w:tcPr>
            <w:tcW w:w="3687" w:type="dxa"/>
          </w:tcPr>
          <w:p w14:paraId="6B7365BA" w14:textId="77777777" w:rsidR="00AE135B" w:rsidRDefault="00AE135B">
            <w:pPr>
              <w:pStyle w:val="TableParagraph"/>
              <w:spacing w:before="0"/>
              <w:ind w:left="0"/>
              <w:rPr>
                <w:rFonts w:ascii="Times New Roman"/>
                <w:sz w:val="20"/>
              </w:rPr>
            </w:pPr>
          </w:p>
        </w:tc>
        <w:tc>
          <w:tcPr>
            <w:tcW w:w="2069" w:type="dxa"/>
          </w:tcPr>
          <w:p w14:paraId="451275CC" w14:textId="77777777" w:rsidR="00AE135B" w:rsidRDefault="00EE5424">
            <w:pPr>
              <w:pStyle w:val="TableParagraph"/>
              <w:spacing w:before="5" w:line="320" w:lineRule="atLeast"/>
              <w:ind w:left="201" w:right="235" w:firstLine="261"/>
              <w:rPr>
                <w:b/>
              </w:rPr>
            </w:pPr>
            <w:r>
              <w:rPr>
                <w:b/>
                <w:spacing w:val="-2"/>
              </w:rPr>
              <w:t xml:space="preserve">Denosumab </w:t>
            </w:r>
            <w:r>
              <w:rPr>
                <w:b/>
              </w:rPr>
              <w:t>(</w:t>
            </w:r>
            <w:proofErr w:type="spellStart"/>
            <w:r>
              <w:rPr>
                <w:b/>
              </w:rPr>
              <w:t>XGEVA</w:t>
            </w:r>
            <w:proofErr w:type="spellEnd"/>
            <w:r>
              <w:rPr>
                <w:b/>
              </w:rPr>
              <w:t>)</w:t>
            </w:r>
            <w:r>
              <w:rPr>
                <w:b/>
                <w:spacing w:val="-16"/>
              </w:rPr>
              <w:t xml:space="preserve"> </w:t>
            </w:r>
            <w:r>
              <w:rPr>
                <w:b/>
              </w:rPr>
              <w:t>(N</w:t>
            </w:r>
            <w:r>
              <w:rPr>
                <w:b/>
                <w:spacing w:val="-13"/>
              </w:rPr>
              <w:t xml:space="preserve"> </w:t>
            </w:r>
            <w:r>
              <w:rPr>
                <w:b/>
              </w:rPr>
              <w:t>=</w:t>
            </w:r>
            <w:r>
              <w:rPr>
                <w:b/>
                <w:spacing w:val="-13"/>
              </w:rPr>
              <w:t xml:space="preserve"> </w:t>
            </w:r>
            <w:r>
              <w:rPr>
                <w:b/>
              </w:rPr>
              <w:t>859)</w:t>
            </w:r>
          </w:p>
        </w:tc>
        <w:tc>
          <w:tcPr>
            <w:tcW w:w="2225" w:type="dxa"/>
          </w:tcPr>
          <w:p w14:paraId="703DFC3B" w14:textId="77777777" w:rsidR="00AE135B" w:rsidRDefault="00EE5424">
            <w:pPr>
              <w:pStyle w:val="TableParagraph"/>
              <w:ind w:left="316"/>
              <w:rPr>
                <w:b/>
              </w:rPr>
            </w:pPr>
            <w:r>
              <w:rPr>
                <w:b/>
                <w:spacing w:val="-4"/>
              </w:rPr>
              <w:t>Zoledronic</w:t>
            </w:r>
            <w:r>
              <w:rPr>
                <w:b/>
                <w:spacing w:val="-6"/>
              </w:rPr>
              <w:t xml:space="preserve"> </w:t>
            </w:r>
            <w:r>
              <w:rPr>
                <w:b/>
                <w:spacing w:val="-4"/>
              </w:rPr>
              <w:t>Acid</w:t>
            </w:r>
            <w:r>
              <w:rPr>
                <w:b/>
                <w:spacing w:val="6"/>
              </w:rPr>
              <w:t xml:space="preserve"> </w:t>
            </w:r>
            <w:r>
              <w:rPr>
                <w:b/>
                <w:spacing w:val="-5"/>
              </w:rPr>
              <w:t>(N</w:t>
            </w:r>
          </w:p>
          <w:p w14:paraId="15025D92" w14:textId="77777777" w:rsidR="00AE135B" w:rsidRDefault="00EE5424">
            <w:pPr>
              <w:pStyle w:val="TableParagraph"/>
              <w:spacing w:before="65"/>
              <w:ind w:left="603"/>
              <w:rPr>
                <w:b/>
              </w:rPr>
            </w:pPr>
            <w:r>
              <w:rPr>
                <w:b/>
              </w:rPr>
              <w:t xml:space="preserve">= </w:t>
            </w:r>
            <w:r>
              <w:rPr>
                <w:b/>
                <w:spacing w:val="-4"/>
              </w:rPr>
              <w:t>859)</w:t>
            </w:r>
          </w:p>
        </w:tc>
      </w:tr>
      <w:tr w:rsidR="00AE135B" w14:paraId="31D0F924" w14:textId="77777777">
        <w:trPr>
          <w:trHeight w:val="371"/>
        </w:trPr>
        <w:tc>
          <w:tcPr>
            <w:tcW w:w="7981" w:type="dxa"/>
            <w:gridSpan w:val="3"/>
          </w:tcPr>
          <w:p w14:paraId="399F5D74" w14:textId="77777777" w:rsidR="00AE135B" w:rsidRDefault="00EE5424">
            <w:pPr>
              <w:pStyle w:val="TableParagraph"/>
              <w:ind w:left="117"/>
              <w:rPr>
                <w:b/>
              </w:rPr>
            </w:pPr>
            <w:r>
              <w:rPr>
                <w:b/>
                <w:spacing w:val="-2"/>
              </w:rPr>
              <w:t>First</w:t>
            </w:r>
            <w:r>
              <w:rPr>
                <w:b/>
                <w:spacing w:val="-5"/>
              </w:rPr>
              <w:t xml:space="preserve"> SRE</w:t>
            </w:r>
          </w:p>
        </w:tc>
      </w:tr>
      <w:tr w:rsidR="00AE135B" w14:paraId="72957050" w14:textId="77777777">
        <w:trPr>
          <w:trHeight w:val="472"/>
        </w:trPr>
        <w:tc>
          <w:tcPr>
            <w:tcW w:w="3687" w:type="dxa"/>
          </w:tcPr>
          <w:p w14:paraId="38F2B74A" w14:textId="77777777" w:rsidR="00AE135B" w:rsidRDefault="00EE5424">
            <w:pPr>
              <w:pStyle w:val="TableParagraph"/>
              <w:ind w:left="117"/>
            </w:pPr>
            <w:r>
              <w:rPr>
                <w:spacing w:val="-2"/>
              </w:rPr>
              <w:t>Number</w:t>
            </w:r>
            <w:r>
              <w:rPr>
                <w:spacing w:val="-9"/>
              </w:rPr>
              <w:t xml:space="preserve"> </w:t>
            </w:r>
            <w:r>
              <w:rPr>
                <w:spacing w:val="-2"/>
              </w:rPr>
              <w:t>of</w:t>
            </w:r>
            <w:r>
              <w:rPr>
                <w:spacing w:val="-11"/>
              </w:rPr>
              <w:t xml:space="preserve"> </w:t>
            </w:r>
            <w:r>
              <w:rPr>
                <w:spacing w:val="-2"/>
              </w:rPr>
              <w:t>Patients</w:t>
            </w:r>
            <w:r>
              <w:rPr>
                <w:spacing w:val="-7"/>
              </w:rPr>
              <w:t xml:space="preserve"> </w:t>
            </w:r>
            <w:r>
              <w:rPr>
                <w:spacing w:val="-2"/>
              </w:rPr>
              <w:t>who</w:t>
            </w:r>
            <w:r>
              <w:rPr>
                <w:spacing w:val="-9"/>
              </w:rPr>
              <w:t xml:space="preserve"> </w:t>
            </w:r>
            <w:r>
              <w:rPr>
                <w:spacing w:val="-2"/>
              </w:rPr>
              <w:t>had</w:t>
            </w:r>
            <w:r>
              <w:rPr>
                <w:spacing w:val="-10"/>
              </w:rPr>
              <w:t xml:space="preserve"> </w:t>
            </w:r>
            <w:r>
              <w:rPr>
                <w:spacing w:val="-2"/>
              </w:rPr>
              <w:t>SREs</w:t>
            </w:r>
            <w:r>
              <w:rPr>
                <w:spacing w:val="2"/>
              </w:rPr>
              <w:t xml:space="preserve"> </w:t>
            </w:r>
            <w:r>
              <w:rPr>
                <w:spacing w:val="-5"/>
              </w:rPr>
              <w:t>(%)</w:t>
            </w:r>
          </w:p>
        </w:tc>
        <w:tc>
          <w:tcPr>
            <w:tcW w:w="2069" w:type="dxa"/>
          </w:tcPr>
          <w:p w14:paraId="526E6A39" w14:textId="77777777" w:rsidR="00AE135B" w:rsidRDefault="00EE5424">
            <w:pPr>
              <w:pStyle w:val="TableParagraph"/>
              <w:ind w:left="600"/>
            </w:pPr>
            <w:r>
              <w:t>376</w:t>
            </w:r>
            <w:r>
              <w:rPr>
                <w:spacing w:val="-8"/>
              </w:rPr>
              <w:t xml:space="preserve"> </w:t>
            </w:r>
            <w:r>
              <w:rPr>
                <w:spacing w:val="-2"/>
              </w:rPr>
              <w:t>(43.8)</w:t>
            </w:r>
          </w:p>
        </w:tc>
        <w:tc>
          <w:tcPr>
            <w:tcW w:w="2225" w:type="dxa"/>
          </w:tcPr>
          <w:p w14:paraId="70EDEC76" w14:textId="77777777" w:rsidR="00AE135B" w:rsidRDefault="00EE5424">
            <w:pPr>
              <w:pStyle w:val="TableParagraph"/>
              <w:ind w:left="682"/>
            </w:pPr>
            <w:r>
              <w:t>383</w:t>
            </w:r>
            <w:r>
              <w:rPr>
                <w:spacing w:val="-8"/>
              </w:rPr>
              <w:t xml:space="preserve"> </w:t>
            </w:r>
            <w:r>
              <w:rPr>
                <w:spacing w:val="-2"/>
              </w:rPr>
              <w:t>(44.6)</w:t>
            </w:r>
          </w:p>
        </w:tc>
      </w:tr>
      <w:tr w:rsidR="00AE135B" w14:paraId="27329452" w14:textId="77777777">
        <w:trPr>
          <w:trHeight w:val="438"/>
        </w:trPr>
        <w:tc>
          <w:tcPr>
            <w:tcW w:w="3687" w:type="dxa"/>
          </w:tcPr>
          <w:p w14:paraId="6A029A3B" w14:textId="77777777" w:rsidR="00AE135B" w:rsidRDefault="00EE5424">
            <w:pPr>
              <w:pStyle w:val="TableParagraph"/>
              <w:ind w:left="117"/>
            </w:pPr>
            <w:r>
              <w:t>Median</w:t>
            </w:r>
            <w:r>
              <w:rPr>
                <w:spacing w:val="-13"/>
              </w:rPr>
              <w:t xml:space="preserve"> </w:t>
            </w:r>
            <w:r>
              <w:t>Time</w:t>
            </w:r>
            <w:r>
              <w:rPr>
                <w:spacing w:val="-12"/>
              </w:rPr>
              <w:t xml:space="preserve"> </w:t>
            </w:r>
            <w:r>
              <w:t>to</w:t>
            </w:r>
            <w:r>
              <w:rPr>
                <w:spacing w:val="-12"/>
              </w:rPr>
              <w:t xml:space="preserve"> </w:t>
            </w:r>
            <w:r>
              <w:t>SRE</w:t>
            </w:r>
            <w:r>
              <w:rPr>
                <w:spacing w:val="-11"/>
              </w:rPr>
              <w:t xml:space="preserve"> </w:t>
            </w:r>
            <w:r>
              <w:rPr>
                <w:spacing w:val="-2"/>
              </w:rPr>
              <w:t>(months)</w:t>
            </w:r>
          </w:p>
        </w:tc>
        <w:tc>
          <w:tcPr>
            <w:tcW w:w="2069" w:type="dxa"/>
          </w:tcPr>
          <w:p w14:paraId="00E3BC4E" w14:textId="77777777" w:rsidR="00AE135B" w:rsidRDefault="00EE5424">
            <w:pPr>
              <w:pStyle w:val="TableParagraph"/>
              <w:ind w:left="297"/>
            </w:pPr>
            <w:r>
              <w:t>22.8</w:t>
            </w:r>
            <w:r>
              <w:rPr>
                <w:spacing w:val="-15"/>
              </w:rPr>
              <w:t xml:space="preserve"> </w:t>
            </w:r>
            <w:r>
              <w:t>(14.7,</w:t>
            </w:r>
            <w:r>
              <w:rPr>
                <w:spacing w:val="-8"/>
              </w:rPr>
              <w:t xml:space="preserve"> </w:t>
            </w:r>
            <w:r>
              <w:rPr>
                <w:spacing w:val="-5"/>
              </w:rPr>
              <w:t>NE)</w:t>
            </w:r>
          </w:p>
        </w:tc>
        <w:tc>
          <w:tcPr>
            <w:tcW w:w="2225" w:type="dxa"/>
          </w:tcPr>
          <w:p w14:paraId="3BBB9AE8" w14:textId="77777777" w:rsidR="00AE135B" w:rsidRDefault="00EE5424">
            <w:pPr>
              <w:pStyle w:val="TableParagraph"/>
              <w:spacing w:before="49"/>
              <w:ind w:left="398"/>
            </w:pPr>
            <w:r>
              <w:rPr>
                <w:spacing w:val="-2"/>
              </w:rPr>
              <w:t>23.98</w:t>
            </w:r>
            <w:r>
              <w:rPr>
                <w:spacing w:val="-8"/>
              </w:rPr>
              <w:t xml:space="preserve"> </w:t>
            </w:r>
            <w:r>
              <w:rPr>
                <w:spacing w:val="-2"/>
              </w:rPr>
              <w:t>(16.56,</w:t>
            </w:r>
            <w:r>
              <w:rPr>
                <w:spacing w:val="-3"/>
              </w:rPr>
              <w:t xml:space="preserve"> </w:t>
            </w:r>
            <w:r>
              <w:rPr>
                <w:spacing w:val="-2"/>
              </w:rPr>
              <w:t>33.31)</w:t>
            </w:r>
          </w:p>
        </w:tc>
      </w:tr>
      <w:tr w:rsidR="00AE135B" w14:paraId="791618D4" w14:textId="77777777">
        <w:trPr>
          <w:trHeight w:val="385"/>
        </w:trPr>
        <w:tc>
          <w:tcPr>
            <w:tcW w:w="3687" w:type="dxa"/>
          </w:tcPr>
          <w:p w14:paraId="5A70CB27" w14:textId="77777777" w:rsidR="00AE135B" w:rsidRDefault="00EE5424">
            <w:pPr>
              <w:pStyle w:val="TableParagraph"/>
              <w:ind w:left="117"/>
            </w:pPr>
            <w:r>
              <w:t>Hazard</w:t>
            </w:r>
            <w:r>
              <w:rPr>
                <w:spacing w:val="-13"/>
              </w:rPr>
              <w:t xml:space="preserve"> </w:t>
            </w:r>
            <w:r>
              <w:t>ratio</w:t>
            </w:r>
            <w:r>
              <w:rPr>
                <w:spacing w:val="-13"/>
              </w:rPr>
              <w:t xml:space="preserve"> </w:t>
            </w:r>
            <w:r>
              <w:t>(95</w:t>
            </w:r>
            <w:r>
              <w:rPr>
                <w:spacing w:val="-9"/>
              </w:rPr>
              <w:t xml:space="preserve"> </w:t>
            </w:r>
            <w:r>
              <w:t>%</w:t>
            </w:r>
            <w:r>
              <w:rPr>
                <w:spacing w:val="-6"/>
              </w:rPr>
              <w:t xml:space="preserve"> </w:t>
            </w:r>
            <w:r>
              <w:rPr>
                <w:spacing w:val="-5"/>
              </w:rPr>
              <w:t>CI)</w:t>
            </w:r>
          </w:p>
        </w:tc>
        <w:tc>
          <w:tcPr>
            <w:tcW w:w="4294" w:type="dxa"/>
            <w:gridSpan w:val="2"/>
          </w:tcPr>
          <w:p w14:paraId="342E8E4E" w14:textId="77777777" w:rsidR="00AE135B" w:rsidRDefault="00EE5424">
            <w:pPr>
              <w:pStyle w:val="TableParagraph"/>
              <w:ind w:left="1274"/>
            </w:pPr>
            <w:r>
              <w:t>0.98</w:t>
            </w:r>
            <w:r>
              <w:rPr>
                <w:spacing w:val="-12"/>
              </w:rPr>
              <w:t xml:space="preserve"> </w:t>
            </w:r>
            <w:r>
              <w:t>(0.85,</w:t>
            </w:r>
            <w:r>
              <w:rPr>
                <w:spacing w:val="-7"/>
              </w:rPr>
              <w:t xml:space="preserve"> </w:t>
            </w:r>
            <w:r>
              <w:rPr>
                <w:spacing w:val="-2"/>
              </w:rPr>
              <w:t>1.14)</w:t>
            </w:r>
          </w:p>
        </w:tc>
      </w:tr>
      <w:tr w:rsidR="00AE135B" w14:paraId="5A9F509B" w14:textId="77777777">
        <w:trPr>
          <w:trHeight w:val="374"/>
        </w:trPr>
        <w:tc>
          <w:tcPr>
            <w:tcW w:w="3687" w:type="dxa"/>
          </w:tcPr>
          <w:p w14:paraId="5FC37CB1" w14:textId="77777777" w:rsidR="00AE135B" w:rsidRDefault="00EE5424">
            <w:pPr>
              <w:pStyle w:val="TableParagraph"/>
              <w:ind w:left="117"/>
            </w:pPr>
            <w:r>
              <w:rPr>
                <w:spacing w:val="-4"/>
              </w:rPr>
              <w:t>Non-inferiority</w:t>
            </w:r>
            <w:r>
              <w:rPr>
                <w:spacing w:val="22"/>
              </w:rPr>
              <w:t xml:space="preserve"> </w:t>
            </w:r>
            <w:r>
              <w:rPr>
                <w:spacing w:val="-4"/>
              </w:rPr>
              <w:t>p-value</w:t>
            </w:r>
          </w:p>
        </w:tc>
        <w:tc>
          <w:tcPr>
            <w:tcW w:w="4294" w:type="dxa"/>
            <w:gridSpan w:val="2"/>
          </w:tcPr>
          <w:p w14:paraId="69937FEB" w14:textId="77777777" w:rsidR="00AE135B" w:rsidRDefault="00EE5424">
            <w:pPr>
              <w:pStyle w:val="TableParagraph"/>
              <w:ind w:left="40" w:right="3"/>
              <w:jc w:val="center"/>
            </w:pPr>
            <w:r>
              <w:rPr>
                <w:spacing w:val="-2"/>
              </w:rPr>
              <w:t>0.010</w:t>
            </w:r>
          </w:p>
        </w:tc>
      </w:tr>
      <w:tr w:rsidR="00AE135B" w14:paraId="6E902D80" w14:textId="77777777">
        <w:trPr>
          <w:trHeight w:val="371"/>
        </w:trPr>
        <w:tc>
          <w:tcPr>
            <w:tcW w:w="3687" w:type="dxa"/>
          </w:tcPr>
          <w:p w14:paraId="2CE43C47" w14:textId="77777777" w:rsidR="00AE135B" w:rsidRDefault="00EE5424">
            <w:pPr>
              <w:pStyle w:val="TableParagraph"/>
              <w:ind w:left="117"/>
            </w:pPr>
            <w:r>
              <w:rPr>
                <w:spacing w:val="-2"/>
              </w:rPr>
              <w:t>Superiority</w:t>
            </w:r>
            <w:r>
              <w:rPr>
                <w:spacing w:val="-9"/>
              </w:rPr>
              <w:t xml:space="preserve"> </w:t>
            </w:r>
            <w:r>
              <w:rPr>
                <w:spacing w:val="-2"/>
              </w:rPr>
              <w:t>p-value*</w:t>
            </w:r>
          </w:p>
        </w:tc>
        <w:tc>
          <w:tcPr>
            <w:tcW w:w="4294" w:type="dxa"/>
            <w:gridSpan w:val="2"/>
          </w:tcPr>
          <w:p w14:paraId="4AE92DD5" w14:textId="77777777" w:rsidR="00AE135B" w:rsidRDefault="00EE5424">
            <w:pPr>
              <w:pStyle w:val="TableParagraph"/>
              <w:ind w:left="40"/>
              <w:jc w:val="center"/>
            </w:pPr>
            <w:r>
              <w:rPr>
                <w:spacing w:val="-4"/>
              </w:rPr>
              <w:t>0.84</w:t>
            </w:r>
          </w:p>
        </w:tc>
      </w:tr>
      <w:tr w:rsidR="00AE135B" w14:paraId="0F3000B1" w14:textId="77777777">
        <w:trPr>
          <w:trHeight w:val="371"/>
        </w:trPr>
        <w:tc>
          <w:tcPr>
            <w:tcW w:w="7981" w:type="dxa"/>
            <w:gridSpan w:val="3"/>
          </w:tcPr>
          <w:p w14:paraId="2C2E81A2" w14:textId="77777777" w:rsidR="00AE135B" w:rsidRDefault="00EE5424">
            <w:pPr>
              <w:pStyle w:val="TableParagraph"/>
              <w:ind w:left="117"/>
            </w:pPr>
            <w:r>
              <w:rPr>
                <w:spacing w:val="-2"/>
              </w:rPr>
              <w:t>Components</w:t>
            </w:r>
            <w:r>
              <w:rPr>
                <w:spacing w:val="-9"/>
              </w:rPr>
              <w:t xml:space="preserve"> </w:t>
            </w:r>
            <w:r>
              <w:rPr>
                <w:spacing w:val="-2"/>
              </w:rPr>
              <w:t>of</w:t>
            </w:r>
            <w:r>
              <w:rPr>
                <w:spacing w:val="-9"/>
              </w:rPr>
              <w:t xml:space="preserve"> </w:t>
            </w:r>
            <w:r>
              <w:rPr>
                <w:spacing w:val="-2"/>
              </w:rPr>
              <w:t>First</w:t>
            </w:r>
            <w:r>
              <w:rPr>
                <w:spacing w:val="-3"/>
              </w:rPr>
              <w:t xml:space="preserve"> </w:t>
            </w:r>
            <w:r>
              <w:rPr>
                <w:spacing w:val="-5"/>
              </w:rPr>
              <w:t>SRE</w:t>
            </w:r>
          </w:p>
        </w:tc>
      </w:tr>
      <w:tr w:rsidR="00AE135B" w14:paraId="055649F7" w14:textId="77777777">
        <w:trPr>
          <w:trHeight w:val="371"/>
        </w:trPr>
        <w:tc>
          <w:tcPr>
            <w:tcW w:w="3687" w:type="dxa"/>
          </w:tcPr>
          <w:p w14:paraId="3F973BCD" w14:textId="77777777" w:rsidR="00AE135B" w:rsidRDefault="00EE5424">
            <w:pPr>
              <w:pStyle w:val="TableParagraph"/>
              <w:ind w:left="367"/>
            </w:pPr>
            <w:r>
              <w:rPr>
                <w:spacing w:val="-2"/>
              </w:rPr>
              <w:t>Radiation</w:t>
            </w:r>
            <w:r>
              <w:rPr>
                <w:spacing w:val="-12"/>
              </w:rPr>
              <w:t xml:space="preserve"> </w:t>
            </w:r>
            <w:r>
              <w:rPr>
                <w:spacing w:val="-2"/>
              </w:rPr>
              <w:t>to</w:t>
            </w:r>
            <w:r>
              <w:rPr>
                <w:spacing w:val="-5"/>
              </w:rPr>
              <w:t xml:space="preserve"> </w:t>
            </w:r>
            <w:r>
              <w:rPr>
                <w:spacing w:val="-4"/>
              </w:rPr>
              <w:t>Bone</w:t>
            </w:r>
          </w:p>
        </w:tc>
        <w:tc>
          <w:tcPr>
            <w:tcW w:w="2069" w:type="dxa"/>
          </w:tcPr>
          <w:p w14:paraId="27DDF57A" w14:textId="77777777" w:rsidR="00AE135B" w:rsidRDefault="00EE5424">
            <w:pPr>
              <w:pStyle w:val="TableParagraph"/>
              <w:ind w:left="710"/>
            </w:pPr>
            <w:r>
              <w:t>47</w:t>
            </w:r>
            <w:r>
              <w:rPr>
                <w:spacing w:val="-4"/>
              </w:rPr>
              <w:t xml:space="preserve"> </w:t>
            </w:r>
            <w:r>
              <w:rPr>
                <w:spacing w:val="-2"/>
              </w:rPr>
              <w:t>(5.5)</w:t>
            </w:r>
          </w:p>
        </w:tc>
        <w:tc>
          <w:tcPr>
            <w:tcW w:w="2225" w:type="dxa"/>
          </w:tcPr>
          <w:p w14:paraId="091F002C" w14:textId="77777777" w:rsidR="00AE135B" w:rsidRDefault="00EE5424">
            <w:pPr>
              <w:pStyle w:val="TableParagraph"/>
              <w:ind w:left="45" w:right="6"/>
              <w:jc w:val="center"/>
            </w:pPr>
            <w:r>
              <w:t>62</w:t>
            </w:r>
            <w:r>
              <w:rPr>
                <w:spacing w:val="-4"/>
              </w:rPr>
              <w:t xml:space="preserve"> </w:t>
            </w:r>
            <w:r>
              <w:rPr>
                <w:spacing w:val="-2"/>
              </w:rPr>
              <w:t>(7.2)</w:t>
            </w:r>
          </w:p>
        </w:tc>
      </w:tr>
      <w:tr w:rsidR="00AE135B" w14:paraId="695390A7" w14:textId="77777777">
        <w:trPr>
          <w:trHeight w:val="371"/>
        </w:trPr>
        <w:tc>
          <w:tcPr>
            <w:tcW w:w="3687" w:type="dxa"/>
          </w:tcPr>
          <w:p w14:paraId="5A604220" w14:textId="77777777" w:rsidR="00AE135B" w:rsidRDefault="00EE5424">
            <w:pPr>
              <w:pStyle w:val="TableParagraph"/>
              <w:spacing w:before="61"/>
              <w:ind w:left="367"/>
            </w:pPr>
            <w:r>
              <w:rPr>
                <w:spacing w:val="-4"/>
              </w:rPr>
              <w:t>Pathological</w:t>
            </w:r>
            <w:r>
              <w:rPr>
                <w:spacing w:val="8"/>
              </w:rPr>
              <w:t xml:space="preserve"> </w:t>
            </w:r>
            <w:r>
              <w:rPr>
                <w:spacing w:val="-2"/>
              </w:rPr>
              <w:t>Fracture</w:t>
            </w:r>
          </w:p>
        </w:tc>
        <w:tc>
          <w:tcPr>
            <w:tcW w:w="2069" w:type="dxa"/>
          </w:tcPr>
          <w:p w14:paraId="39D5A4B6" w14:textId="77777777" w:rsidR="00AE135B" w:rsidRDefault="00EE5424">
            <w:pPr>
              <w:pStyle w:val="TableParagraph"/>
              <w:spacing w:before="61"/>
              <w:ind w:left="600"/>
            </w:pPr>
            <w:r>
              <w:t>342</w:t>
            </w:r>
            <w:r>
              <w:rPr>
                <w:spacing w:val="-8"/>
              </w:rPr>
              <w:t xml:space="preserve"> </w:t>
            </w:r>
            <w:r>
              <w:rPr>
                <w:spacing w:val="-2"/>
              </w:rPr>
              <w:t>(39.8)</w:t>
            </w:r>
          </w:p>
        </w:tc>
        <w:tc>
          <w:tcPr>
            <w:tcW w:w="2225" w:type="dxa"/>
          </w:tcPr>
          <w:p w14:paraId="541CA0D9" w14:textId="77777777" w:rsidR="00AE135B" w:rsidRDefault="00EE5424">
            <w:pPr>
              <w:pStyle w:val="TableParagraph"/>
              <w:spacing w:before="61"/>
              <w:ind w:left="682"/>
            </w:pPr>
            <w:r>
              <w:t>338</w:t>
            </w:r>
            <w:r>
              <w:rPr>
                <w:spacing w:val="-8"/>
              </w:rPr>
              <w:t xml:space="preserve"> </w:t>
            </w:r>
            <w:r>
              <w:rPr>
                <w:spacing w:val="-2"/>
              </w:rPr>
              <w:t>(39.3)</w:t>
            </w:r>
          </w:p>
        </w:tc>
      </w:tr>
      <w:tr w:rsidR="00AE135B" w14:paraId="37BFD5AE" w14:textId="77777777">
        <w:trPr>
          <w:trHeight w:val="371"/>
        </w:trPr>
        <w:tc>
          <w:tcPr>
            <w:tcW w:w="3687" w:type="dxa"/>
          </w:tcPr>
          <w:p w14:paraId="45E13F1E" w14:textId="77777777" w:rsidR="00AE135B" w:rsidRDefault="00EE5424">
            <w:pPr>
              <w:pStyle w:val="TableParagraph"/>
              <w:ind w:left="367"/>
            </w:pPr>
            <w:r>
              <w:rPr>
                <w:spacing w:val="-2"/>
              </w:rPr>
              <w:lastRenderedPageBreak/>
              <w:t>Surgery</w:t>
            </w:r>
            <w:r>
              <w:rPr>
                <w:spacing w:val="-7"/>
              </w:rPr>
              <w:t xml:space="preserve"> </w:t>
            </w:r>
            <w:r>
              <w:rPr>
                <w:spacing w:val="-2"/>
              </w:rPr>
              <w:t>to</w:t>
            </w:r>
            <w:r>
              <w:rPr>
                <w:spacing w:val="-4"/>
              </w:rPr>
              <w:t xml:space="preserve"> Bone</w:t>
            </w:r>
          </w:p>
        </w:tc>
        <w:tc>
          <w:tcPr>
            <w:tcW w:w="2069" w:type="dxa"/>
          </w:tcPr>
          <w:p w14:paraId="6D3F43AD" w14:textId="77777777" w:rsidR="00AE135B" w:rsidRDefault="00EE5424">
            <w:pPr>
              <w:pStyle w:val="TableParagraph"/>
              <w:ind w:left="710"/>
            </w:pPr>
            <w:r>
              <w:t>37</w:t>
            </w:r>
            <w:r>
              <w:rPr>
                <w:spacing w:val="-4"/>
              </w:rPr>
              <w:t xml:space="preserve"> </w:t>
            </w:r>
            <w:r>
              <w:rPr>
                <w:spacing w:val="-2"/>
              </w:rPr>
              <w:t>(4.3)</w:t>
            </w:r>
          </w:p>
        </w:tc>
        <w:tc>
          <w:tcPr>
            <w:tcW w:w="2225" w:type="dxa"/>
          </w:tcPr>
          <w:p w14:paraId="2F1445A0" w14:textId="77777777" w:rsidR="00AE135B" w:rsidRDefault="00EE5424">
            <w:pPr>
              <w:pStyle w:val="TableParagraph"/>
              <w:ind w:left="45" w:right="6"/>
              <w:jc w:val="center"/>
            </w:pPr>
            <w:r>
              <w:t>48</w:t>
            </w:r>
            <w:r>
              <w:rPr>
                <w:spacing w:val="-4"/>
              </w:rPr>
              <w:t xml:space="preserve"> </w:t>
            </w:r>
            <w:r>
              <w:rPr>
                <w:spacing w:val="-2"/>
              </w:rPr>
              <w:t>(5.6)</w:t>
            </w:r>
          </w:p>
        </w:tc>
      </w:tr>
      <w:tr w:rsidR="00AE135B" w14:paraId="5351FE13" w14:textId="77777777">
        <w:trPr>
          <w:trHeight w:val="371"/>
        </w:trPr>
        <w:tc>
          <w:tcPr>
            <w:tcW w:w="3687" w:type="dxa"/>
          </w:tcPr>
          <w:p w14:paraId="557543C9" w14:textId="77777777" w:rsidR="00AE135B" w:rsidRDefault="00EE5424">
            <w:pPr>
              <w:pStyle w:val="TableParagraph"/>
              <w:ind w:left="367"/>
            </w:pPr>
            <w:r>
              <w:rPr>
                <w:spacing w:val="-2"/>
              </w:rPr>
              <w:t>Spinal</w:t>
            </w:r>
            <w:r>
              <w:rPr>
                <w:spacing w:val="-8"/>
              </w:rPr>
              <w:t xml:space="preserve"> </w:t>
            </w:r>
            <w:r>
              <w:rPr>
                <w:spacing w:val="-2"/>
              </w:rPr>
              <w:t>Cord</w:t>
            </w:r>
            <w:r>
              <w:rPr>
                <w:spacing w:val="-7"/>
              </w:rPr>
              <w:t xml:space="preserve"> </w:t>
            </w:r>
            <w:r>
              <w:rPr>
                <w:spacing w:val="-2"/>
              </w:rPr>
              <w:t>Compression</w:t>
            </w:r>
          </w:p>
        </w:tc>
        <w:tc>
          <w:tcPr>
            <w:tcW w:w="2069" w:type="dxa"/>
          </w:tcPr>
          <w:p w14:paraId="0EB64C1E" w14:textId="77777777" w:rsidR="00AE135B" w:rsidRDefault="00EE5424">
            <w:pPr>
              <w:pStyle w:val="TableParagraph"/>
              <w:ind w:left="42" w:right="2"/>
              <w:jc w:val="center"/>
            </w:pPr>
            <w:r>
              <w:t>6</w:t>
            </w:r>
            <w:r>
              <w:rPr>
                <w:spacing w:val="-1"/>
              </w:rPr>
              <w:t xml:space="preserve"> </w:t>
            </w:r>
            <w:r>
              <w:rPr>
                <w:spacing w:val="-4"/>
              </w:rPr>
              <w:t>(0.7)</w:t>
            </w:r>
          </w:p>
        </w:tc>
        <w:tc>
          <w:tcPr>
            <w:tcW w:w="2225" w:type="dxa"/>
          </w:tcPr>
          <w:p w14:paraId="0292C310" w14:textId="77777777" w:rsidR="00AE135B" w:rsidRDefault="00EE5424">
            <w:pPr>
              <w:pStyle w:val="TableParagraph"/>
              <w:ind w:left="45" w:right="6"/>
              <w:jc w:val="center"/>
            </w:pPr>
            <w:r>
              <w:t>4</w:t>
            </w:r>
            <w:r>
              <w:rPr>
                <w:spacing w:val="-1"/>
              </w:rPr>
              <w:t xml:space="preserve"> </w:t>
            </w:r>
            <w:r>
              <w:rPr>
                <w:spacing w:val="-4"/>
              </w:rPr>
              <w:t>(0.5)</w:t>
            </w:r>
          </w:p>
        </w:tc>
      </w:tr>
      <w:tr w:rsidR="00AE135B" w14:paraId="3B630BDC" w14:textId="77777777">
        <w:trPr>
          <w:trHeight w:val="371"/>
        </w:trPr>
        <w:tc>
          <w:tcPr>
            <w:tcW w:w="7981" w:type="dxa"/>
            <w:gridSpan w:val="3"/>
          </w:tcPr>
          <w:p w14:paraId="0B8D00C4" w14:textId="77777777" w:rsidR="00AE135B" w:rsidRDefault="00EE5424">
            <w:pPr>
              <w:pStyle w:val="TableParagraph"/>
              <w:ind w:left="117"/>
              <w:rPr>
                <w:b/>
              </w:rPr>
            </w:pPr>
            <w:r>
              <w:rPr>
                <w:b/>
                <w:spacing w:val="-2"/>
              </w:rPr>
              <w:t>First</w:t>
            </w:r>
            <w:r>
              <w:rPr>
                <w:b/>
                <w:spacing w:val="-5"/>
              </w:rPr>
              <w:t xml:space="preserve"> </w:t>
            </w:r>
            <w:r>
              <w:rPr>
                <w:b/>
                <w:spacing w:val="-2"/>
              </w:rPr>
              <w:t>and</w:t>
            </w:r>
            <w:r>
              <w:rPr>
                <w:b/>
                <w:spacing w:val="-5"/>
              </w:rPr>
              <w:t xml:space="preserve"> </w:t>
            </w:r>
            <w:r>
              <w:rPr>
                <w:b/>
                <w:spacing w:val="-2"/>
              </w:rPr>
              <w:t xml:space="preserve">Subsequent </w:t>
            </w:r>
            <w:r>
              <w:rPr>
                <w:b/>
                <w:spacing w:val="-5"/>
              </w:rPr>
              <w:t>SRE</w:t>
            </w:r>
          </w:p>
        </w:tc>
      </w:tr>
      <w:tr w:rsidR="00AE135B" w14:paraId="1A4E022D" w14:textId="77777777">
        <w:trPr>
          <w:trHeight w:val="371"/>
        </w:trPr>
        <w:tc>
          <w:tcPr>
            <w:tcW w:w="3687" w:type="dxa"/>
          </w:tcPr>
          <w:p w14:paraId="61CADAA6" w14:textId="77777777" w:rsidR="00AE135B" w:rsidRDefault="00EE5424">
            <w:pPr>
              <w:pStyle w:val="TableParagraph"/>
              <w:ind w:left="117"/>
            </w:pPr>
            <w:r>
              <w:t>Mean</w:t>
            </w:r>
            <w:r>
              <w:rPr>
                <w:spacing w:val="-13"/>
              </w:rPr>
              <w:t xml:space="preserve"> </w:t>
            </w:r>
            <w:r>
              <w:t>number</w:t>
            </w:r>
            <w:r>
              <w:rPr>
                <w:spacing w:val="-12"/>
              </w:rPr>
              <w:t xml:space="preserve"> </w:t>
            </w:r>
            <w:r>
              <w:t>of</w:t>
            </w:r>
            <w:r>
              <w:rPr>
                <w:spacing w:val="-12"/>
              </w:rPr>
              <w:t xml:space="preserve"> </w:t>
            </w:r>
            <w:proofErr w:type="gramStart"/>
            <w:r>
              <w:rPr>
                <w:spacing w:val="-2"/>
              </w:rPr>
              <w:t>events/patient</w:t>
            </w:r>
            <w:proofErr w:type="gramEnd"/>
          </w:p>
        </w:tc>
        <w:tc>
          <w:tcPr>
            <w:tcW w:w="2069" w:type="dxa"/>
          </w:tcPr>
          <w:p w14:paraId="3E330971" w14:textId="77777777" w:rsidR="00AE135B" w:rsidRDefault="00EE5424">
            <w:pPr>
              <w:pStyle w:val="TableParagraph"/>
              <w:ind w:left="42"/>
              <w:jc w:val="center"/>
            </w:pPr>
            <w:r>
              <w:rPr>
                <w:spacing w:val="-4"/>
              </w:rPr>
              <w:t>0.66</w:t>
            </w:r>
          </w:p>
        </w:tc>
        <w:tc>
          <w:tcPr>
            <w:tcW w:w="2225" w:type="dxa"/>
          </w:tcPr>
          <w:p w14:paraId="46FE068C" w14:textId="77777777" w:rsidR="00AE135B" w:rsidRDefault="00EE5424">
            <w:pPr>
              <w:pStyle w:val="TableParagraph"/>
              <w:ind w:left="45"/>
              <w:jc w:val="center"/>
            </w:pPr>
            <w:r>
              <w:rPr>
                <w:spacing w:val="-4"/>
              </w:rPr>
              <w:t>0.66</w:t>
            </w:r>
          </w:p>
        </w:tc>
      </w:tr>
      <w:tr w:rsidR="00AE135B" w14:paraId="5241EFAD" w14:textId="77777777">
        <w:trPr>
          <w:trHeight w:val="388"/>
        </w:trPr>
        <w:tc>
          <w:tcPr>
            <w:tcW w:w="3687" w:type="dxa"/>
          </w:tcPr>
          <w:p w14:paraId="3DB63F9B" w14:textId="77777777" w:rsidR="00AE135B" w:rsidRDefault="00EE5424">
            <w:pPr>
              <w:pStyle w:val="TableParagraph"/>
              <w:ind w:left="117"/>
            </w:pPr>
            <w:r>
              <w:t>Rate</w:t>
            </w:r>
            <w:r>
              <w:rPr>
                <w:spacing w:val="-12"/>
              </w:rPr>
              <w:t xml:space="preserve"> </w:t>
            </w:r>
            <w:r>
              <w:t>Ratio</w:t>
            </w:r>
            <w:r>
              <w:rPr>
                <w:spacing w:val="-10"/>
              </w:rPr>
              <w:t xml:space="preserve"> </w:t>
            </w:r>
            <w:r>
              <w:t>(95</w:t>
            </w:r>
            <w:r>
              <w:rPr>
                <w:spacing w:val="-7"/>
              </w:rPr>
              <w:t xml:space="preserve"> </w:t>
            </w:r>
            <w:r>
              <w:t>%</w:t>
            </w:r>
            <w:r>
              <w:rPr>
                <w:spacing w:val="-3"/>
              </w:rPr>
              <w:t xml:space="preserve"> </w:t>
            </w:r>
            <w:r>
              <w:rPr>
                <w:spacing w:val="-5"/>
              </w:rPr>
              <w:t>CI)</w:t>
            </w:r>
          </w:p>
        </w:tc>
        <w:tc>
          <w:tcPr>
            <w:tcW w:w="4294" w:type="dxa"/>
            <w:gridSpan w:val="2"/>
          </w:tcPr>
          <w:p w14:paraId="13B2ED2F" w14:textId="77777777" w:rsidR="00AE135B" w:rsidRDefault="00EE5424">
            <w:pPr>
              <w:pStyle w:val="TableParagraph"/>
              <w:ind w:left="1274"/>
            </w:pPr>
            <w:r>
              <w:t>1.01</w:t>
            </w:r>
            <w:r>
              <w:rPr>
                <w:spacing w:val="-12"/>
              </w:rPr>
              <w:t xml:space="preserve"> </w:t>
            </w:r>
            <w:r>
              <w:t>(0.89,</w:t>
            </w:r>
            <w:r>
              <w:rPr>
                <w:spacing w:val="-7"/>
              </w:rPr>
              <w:t xml:space="preserve"> </w:t>
            </w:r>
            <w:r>
              <w:rPr>
                <w:spacing w:val="-2"/>
              </w:rPr>
              <w:t>1.15)</w:t>
            </w:r>
          </w:p>
        </w:tc>
      </w:tr>
      <w:tr w:rsidR="00AE135B" w14:paraId="4D107AA5" w14:textId="77777777">
        <w:trPr>
          <w:trHeight w:val="371"/>
        </w:trPr>
        <w:tc>
          <w:tcPr>
            <w:tcW w:w="3687" w:type="dxa"/>
          </w:tcPr>
          <w:p w14:paraId="4694A440" w14:textId="77777777" w:rsidR="00AE135B" w:rsidRDefault="00EE5424">
            <w:pPr>
              <w:pStyle w:val="TableParagraph"/>
              <w:ind w:left="117"/>
            </w:pPr>
            <w:r>
              <w:rPr>
                <w:spacing w:val="-2"/>
              </w:rPr>
              <w:t>Superiority</w:t>
            </w:r>
            <w:r>
              <w:rPr>
                <w:spacing w:val="-9"/>
              </w:rPr>
              <w:t xml:space="preserve"> </w:t>
            </w:r>
            <w:r>
              <w:rPr>
                <w:spacing w:val="-2"/>
              </w:rPr>
              <w:t>p-value*</w:t>
            </w:r>
          </w:p>
        </w:tc>
        <w:tc>
          <w:tcPr>
            <w:tcW w:w="4294" w:type="dxa"/>
            <w:gridSpan w:val="2"/>
          </w:tcPr>
          <w:p w14:paraId="4F6E1460" w14:textId="77777777" w:rsidR="00AE135B" w:rsidRDefault="00EE5424">
            <w:pPr>
              <w:pStyle w:val="TableParagraph"/>
              <w:ind w:left="40"/>
              <w:jc w:val="center"/>
            </w:pPr>
            <w:r>
              <w:rPr>
                <w:spacing w:val="-4"/>
              </w:rPr>
              <w:t>0.84</w:t>
            </w:r>
          </w:p>
        </w:tc>
      </w:tr>
      <w:tr w:rsidR="00AE135B" w14:paraId="3012E036" w14:textId="77777777">
        <w:trPr>
          <w:trHeight w:val="373"/>
        </w:trPr>
        <w:tc>
          <w:tcPr>
            <w:tcW w:w="3687" w:type="dxa"/>
          </w:tcPr>
          <w:p w14:paraId="0C3DE8A2" w14:textId="77777777" w:rsidR="00AE135B" w:rsidRDefault="00EE5424">
            <w:pPr>
              <w:pStyle w:val="TableParagraph"/>
              <w:spacing w:before="61"/>
              <w:ind w:left="117"/>
            </w:pPr>
            <w:r>
              <w:rPr>
                <w:spacing w:val="-2"/>
              </w:rPr>
              <w:t>Skeletal</w:t>
            </w:r>
            <w:r>
              <w:rPr>
                <w:spacing w:val="-9"/>
              </w:rPr>
              <w:t xml:space="preserve"> </w:t>
            </w:r>
            <w:r>
              <w:rPr>
                <w:spacing w:val="-2"/>
              </w:rPr>
              <w:t>Morbidity</w:t>
            </w:r>
            <w:r>
              <w:t xml:space="preserve"> </w:t>
            </w:r>
            <w:r>
              <w:rPr>
                <w:spacing w:val="-2"/>
              </w:rPr>
              <w:t>Rate</w:t>
            </w:r>
            <w:r>
              <w:rPr>
                <w:spacing w:val="-1"/>
              </w:rPr>
              <w:t xml:space="preserve"> </w:t>
            </w:r>
            <w:r>
              <w:rPr>
                <w:spacing w:val="-2"/>
              </w:rPr>
              <w:t>per</w:t>
            </w:r>
            <w:r>
              <w:rPr>
                <w:spacing w:val="-5"/>
              </w:rPr>
              <w:t xml:space="preserve"> </w:t>
            </w:r>
            <w:r>
              <w:rPr>
                <w:spacing w:val="-4"/>
              </w:rPr>
              <w:t>year</w:t>
            </w:r>
          </w:p>
        </w:tc>
        <w:tc>
          <w:tcPr>
            <w:tcW w:w="2069" w:type="dxa"/>
          </w:tcPr>
          <w:p w14:paraId="3E12366A" w14:textId="77777777" w:rsidR="00AE135B" w:rsidRDefault="00EE5424">
            <w:pPr>
              <w:pStyle w:val="TableParagraph"/>
              <w:spacing w:before="61"/>
              <w:ind w:left="42"/>
              <w:jc w:val="center"/>
            </w:pPr>
            <w:r>
              <w:rPr>
                <w:spacing w:val="-4"/>
              </w:rPr>
              <w:t>0.61</w:t>
            </w:r>
          </w:p>
        </w:tc>
        <w:tc>
          <w:tcPr>
            <w:tcW w:w="2225" w:type="dxa"/>
          </w:tcPr>
          <w:p w14:paraId="5BBE56C0" w14:textId="77777777" w:rsidR="00AE135B" w:rsidRDefault="00EE5424">
            <w:pPr>
              <w:pStyle w:val="TableParagraph"/>
              <w:spacing w:before="61"/>
              <w:ind w:left="45"/>
              <w:jc w:val="center"/>
            </w:pPr>
            <w:r>
              <w:rPr>
                <w:spacing w:val="-4"/>
              </w:rPr>
              <w:t>0.62</w:t>
            </w:r>
          </w:p>
        </w:tc>
      </w:tr>
    </w:tbl>
    <w:p w14:paraId="5F305700" w14:textId="77777777" w:rsidR="00AE135B" w:rsidRDefault="00EE5424">
      <w:pPr>
        <w:spacing w:before="34"/>
        <w:ind w:left="307"/>
        <w:rPr>
          <w:sz w:val="18"/>
        </w:rPr>
      </w:pPr>
      <w:r>
        <w:rPr>
          <w:sz w:val="18"/>
        </w:rPr>
        <w:t>NE</w:t>
      </w:r>
      <w:r>
        <w:rPr>
          <w:spacing w:val="-3"/>
          <w:sz w:val="18"/>
        </w:rPr>
        <w:t xml:space="preserve"> </w:t>
      </w:r>
      <w:r>
        <w:rPr>
          <w:sz w:val="18"/>
        </w:rPr>
        <w:t>=</w:t>
      </w:r>
      <w:r>
        <w:rPr>
          <w:spacing w:val="2"/>
          <w:sz w:val="18"/>
        </w:rPr>
        <w:t xml:space="preserve"> </w:t>
      </w:r>
      <w:r>
        <w:rPr>
          <w:sz w:val="18"/>
        </w:rPr>
        <w:t>not</w:t>
      </w:r>
      <w:r>
        <w:rPr>
          <w:spacing w:val="-1"/>
          <w:sz w:val="18"/>
        </w:rPr>
        <w:t xml:space="preserve"> </w:t>
      </w:r>
      <w:proofErr w:type="gramStart"/>
      <w:r>
        <w:rPr>
          <w:spacing w:val="-2"/>
          <w:sz w:val="18"/>
        </w:rPr>
        <w:t>estimable</w:t>
      </w:r>
      <w:proofErr w:type="gramEnd"/>
    </w:p>
    <w:p w14:paraId="5C867D9B" w14:textId="77777777" w:rsidR="00AE135B" w:rsidRDefault="00EE5424">
      <w:pPr>
        <w:spacing w:before="1"/>
        <w:ind w:left="307" w:right="7484"/>
        <w:rPr>
          <w:sz w:val="18"/>
        </w:rPr>
      </w:pPr>
      <w:r>
        <w:rPr>
          <w:spacing w:val="-2"/>
          <w:sz w:val="18"/>
        </w:rPr>
        <w:t>SRE</w:t>
      </w:r>
      <w:r>
        <w:rPr>
          <w:spacing w:val="-9"/>
          <w:sz w:val="18"/>
        </w:rPr>
        <w:t xml:space="preserve"> </w:t>
      </w:r>
      <w:r>
        <w:rPr>
          <w:spacing w:val="-2"/>
          <w:sz w:val="18"/>
        </w:rPr>
        <w:t>=</w:t>
      </w:r>
      <w:r>
        <w:rPr>
          <w:spacing w:val="-9"/>
          <w:sz w:val="18"/>
        </w:rPr>
        <w:t xml:space="preserve"> </w:t>
      </w:r>
      <w:r>
        <w:rPr>
          <w:spacing w:val="-2"/>
          <w:sz w:val="18"/>
        </w:rPr>
        <w:t>skeletal-related</w:t>
      </w:r>
      <w:r>
        <w:rPr>
          <w:spacing w:val="-11"/>
          <w:sz w:val="18"/>
        </w:rPr>
        <w:t xml:space="preserve"> </w:t>
      </w:r>
      <w:r>
        <w:rPr>
          <w:spacing w:val="-2"/>
          <w:sz w:val="18"/>
        </w:rPr>
        <w:t>events</w:t>
      </w:r>
      <w:r>
        <w:rPr>
          <w:sz w:val="18"/>
        </w:rPr>
        <w:t xml:space="preserve"> CI = confidence interval</w:t>
      </w:r>
    </w:p>
    <w:p w14:paraId="2E8D7EA6" w14:textId="77777777" w:rsidR="00AE135B" w:rsidRDefault="00EE5424">
      <w:pPr>
        <w:spacing w:line="217" w:lineRule="exact"/>
        <w:ind w:left="307"/>
        <w:rPr>
          <w:sz w:val="18"/>
        </w:rPr>
      </w:pPr>
      <w:r>
        <w:rPr>
          <w:spacing w:val="-2"/>
          <w:sz w:val="18"/>
        </w:rPr>
        <w:t>*Adjusted</w:t>
      </w:r>
      <w:r>
        <w:rPr>
          <w:spacing w:val="-5"/>
          <w:sz w:val="18"/>
        </w:rPr>
        <w:t xml:space="preserve"> </w:t>
      </w:r>
      <w:r>
        <w:rPr>
          <w:spacing w:val="-2"/>
          <w:sz w:val="18"/>
        </w:rPr>
        <w:t>p-value</w:t>
      </w:r>
      <w:r>
        <w:rPr>
          <w:spacing w:val="-5"/>
          <w:sz w:val="18"/>
        </w:rPr>
        <w:t xml:space="preserve"> </w:t>
      </w:r>
      <w:r>
        <w:rPr>
          <w:spacing w:val="-2"/>
          <w:sz w:val="18"/>
        </w:rPr>
        <w:t>presented</w:t>
      </w:r>
    </w:p>
    <w:p w14:paraId="054069E5" w14:textId="77777777" w:rsidR="00AE135B" w:rsidRDefault="00AE135B">
      <w:pPr>
        <w:pStyle w:val="BodyText"/>
        <w:ind w:left="0"/>
        <w:rPr>
          <w:sz w:val="18"/>
        </w:rPr>
      </w:pPr>
    </w:p>
    <w:p w14:paraId="132B2387" w14:textId="77777777" w:rsidR="00AE135B" w:rsidRDefault="00AE135B">
      <w:pPr>
        <w:pStyle w:val="BodyText"/>
        <w:spacing w:before="78"/>
        <w:ind w:left="0"/>
        <w:rPr>
          <w:sz w:val="18"/>
        </w:rPr>
      </w:pPr>
    </w:p>
    <w:p w14:paraId="78FEA165" w14:textId="77777777" w:rsidR="00AE135B" w:rsidRDefault="00EE5424">
      <w:pPr>
        <w:pStyle w:val="Heading3"/>
        <w:rPr>
          <w:rFonts w:ascii="Arial"/>
        </w:rPr>
      </w:pPr>
      <w:r>
        <w:rPr>
          <w:rFonts w:ascii="Arial"/>
          <w:spacing w:val="-2"/>
        </w:rPr>
        <w:t>Overall</w:t>
      </w:r>
      <w:r>
        <w:rPr>
          <w:rFonts w:ascii="Arial"/>
          <w:spacing w:val="-10"/>
        </w:rPr>
        <w:t xml:space="preserve"> </w:t>
      </w:r>
      <w:r>
        <w:rPr>
          <w:rFonts w:ascii="Arial"/>
          <w:spacing w:val="-2"/>
        </w:rPr>
        <w:t>survival</w:t>
      </w:r>
      <w:r>
        <w:rPr>
          <w:rFonts w:ascii="Arial"/>
          <w:spacing w:val="-7"/>
        </w:rPr>
        <w:t xml:space="preserve"> </w:t>
      </w:r>
      <w:r>
        <w:rPr>
          <w:rFonts w:ascii="Arial"/>
          <w:spacing w:val="-2"/>
        </w:rPr>
        <w:t>and</w:t>
      </w:r>
      <w:r>
        <w:rPr>
          <w:rFonts w:ascii="Arial"/>
          <w:spacing w:val="-7"/>
        </w:rPr>
        <w:t xml:space="preserve"> </w:t>
      </w:r>
      <w:r>
        <w:rPr>
          <w:rFonts w:ascii="Arial"/>
          <w:spacing w:val="-2"/>
        </w:rPr>
        <w:t>progression</w:t>
      </w:r>
      <w:r>
        <w:rPr>
          <w:rFonts w:ascii="Arial"/>
          <w:spacing w:val="-10"/>
        </w:rPr>
        <w:t xml:space="preserve"> </w:t>
      </w:r>
      <w:r>
        <w:rPr>
          <w:rFonts w:ascii="Arial"/>
          <w:spacing w:val="-2"/>
        </w:rPr>
        <w:t>free</w:t>
      </w:r>
      <w:r>
        <w:rPr>
          <w:rFonts w:ascii="Arial"/>
          <w:spacing w:val="-6"/>
        </w:rPr>
        <w:t xml:space="preserve"> </w:t>
      </w:r>
      <w:r>
        <w:rPr>
          <w:rFonts w:ascii="Arial"/>
          <w:spacing w:val="-2"/>
        </w:rPr>
        <w:t>survival</w:t>
      </w:r>
      <w:r>
        <w:rPr>
          <w:rFonts w:ascii="Arial"/>
          <w:spacing w:val="-6"/>
        </w:rPr>
        <w:t xml:space="preserve"> </w:t>
      </w:r>
      <w:r>
        <w:rPr>
          <w:rFonts w:ascii="Arial"/>
          <w:spacing w:val="-2"/>
        </w:rPr>
        <w:t>in</w:t>
      </w:r>
      <w:r>
        <w:rPr>
          <w:rFonts w:ascii="Arial"/>
          <w:spacing w:val="-9"/>
        </w:rPr>
        <w:t xml:space="preserve"> </w:t>
      </w:r>
      <w:r>
        <w:rPr>
          <w:rFonts w:ascii="Arial"/>
          <w:spacing w:val="-2"/>
        </w:rPr>
        <w:t>multiple</w:t>
      </w:r>
      <w:r>
        <w:rPr>
          <w:rFonts w:ascii="Arial"/>
          <w:spacing w:val="-8"/>
        </w:rPr>
        <w:t xml:space="preserve"> </w:t>
      </w:r>
      <w:r>
        <w:rPr>
          <w:rFonts w:ascii="Arial"/>
          <w:spacing w:val="-2"/>
        </w:rPr>
        <w:t>myeloma</w:t>
      </w:r>
    </w:p>
    <w:p w14:paraId="5B82981A" w14:textId="77777777" w:rsidR="00AE135B" w:rsidRDefault="00EE5424">
      <w:pPr>
        <w:pStyle w:val="BodyText"/>
        <w:spacing w:before="246" w:line="360" w:lineRule="auto"/>
        <w:ind w:right="171"/>
        <w:jc w:val="both"/>
      </w:pPr>
      <w:r>
        <w:t>The</w:t>
      </w:r>
      <w:r>
        <w:rPr>
          <w:spacing w:val="-12"/>
        </w:rPr>
        <w:t xml:space="preserve"> </w:t>
      </w:r>
      <w:r>
        <w:t>hazard</w:t>
      </w:r>
      <w:r>
        <w:rPr>
          <w:spacing w:val="-12"/>
        </w:rPr>
        <w:t xml:space="preserve"> </w:t>
      </w:r>
      <w:r>
        <w:t>ratio</w:t>
      </w:r>
      <w:r>
        <w:rPr>
          <w:spacing w:val="-13"/>
        </w:rPr>
        <w:t xml:space="preserve"> </w:t>
      </w:r>
      <w:r>
        <w:t>between</w:t>
      </w:r>
      <w:r>
        <w:rPr>
          <w:spacing w:val="-10"/>
        </w:rPr>
        <w:t xml:space="preserve"> </w:t>
      </w:r>
      <w:r>
        <w:t>denosumab</w:t>
      </w:r>
      <w:r>
        <w:rPr>
          <w:spacing w:val="-12"/>
        </w:rPr>
        <w:t xml:space="preserve"> </w:t>
      </w:r>
      <w:r>
        <w:t>and</w:t>
      </w:r>
      <w:r>
        <w:rPr>
          <w:spacing w:val="-12"/>
        </w:rPr>
        <w:t xml:space="preserve"> </w:t>
      </w:r>
      <w:r>
        <w:t>zoledronic</w:t>
      </w:r>
      <w:r>
        <w:rPr>
          <w:spacing w:val="-10"/>
        </w:rPr>
        <w:t xml:space="preserve"> </w:t>
      </w:r>
      <w:r>
        <w:t>acid</w:t>
      </w:r>
      <w:r>
        <w:rPr>
          <w:spacing w:val="-12"/>
        </w:rPr>
        <w:t xml:space="preserve"> </w:t>
      </w:r>
      <w:r>
        <w:t>treatment</w:t>
      </w:r>
      <w:r>
        <w:rPr>
          <w:spacing w:val="-10"/>
        </w:rPr>
        <w:t xml:space="preserve"> </w:t>
      </w:r>
      <w:r>
        <w:t>groups</w:t>
      </w:r>
      <w:r>
        <w:rPr>
          <w:spacing w:val="-13"/>
        </w:rPr>
        <w:t xml:space="preserve"> </w:t>
      </w:r>
      <w:r>
        <w:t>and</w:t>
      </w:r>
      <w:r>
        <w:rPr>
          <w:spacing w:val="-11"/>
        </w:rPr>
        <w:t xml:space="preserve"> </w:t>
      </w:r>
      <w:r>
        <w:t>95</w:t>
      </w:r>
      <w:r>
        <w:rPr>
          <w:spacing w:val="-11"/>
        </w:rPr>
        <w:t xml:space="preserve"> </w:t>
      </w:r>
      <w:r>
        <w:t>%</w:t>
      </w:r>
      <w:r>
        <w:rPr>
          <w:spacing w:val="-13"/>
        </w:rPr>
        <w:t xml:space="preserve"> </w:t>
      </w:r>
      <w:r>
        <w:t>CI</w:t>
      </w:r>
      <w:r>
        <w:rPr>
          <w:spacing w:val="-11"/>
        </w:rPr>
        <w:t xml:space="preserve"> </w:t>
      </w:r>
      <w:r>
        <w:t>for</w:t>
      </w:r>
      <w:r>
        <w:rPr>
          <w:spacing w:val="-13"/>
        </w:rPr>
        <w:t xml:space="preserve"> </w:t>
      </w:r>
      <w:r>
        <w:t>overall</w:t>
      </w:r>
      <w:r>
        <w:rPr>
          <w:spacing w:val="-11"/>
        </w:rPr>
        <w:t xml:space="preserve"> </w:t>
      </w:r>
      <w:r>
        <w:t>survival (OS) was 0.90 (0.70, 1.16) (see Figure 3). Progression-free survival (</w:t>
      </w:r>
      <w:proofErr w:type="spellStart"/>
      <w:r>
        <w:t>PFS</w:t>
      </w:r>
      <w:proofErr w:type="spellEnd"/>
      <w:r>
        <w:t>) was assessed as an exploratory endpoint. Median</w:t>
      </w:r>
      <w:r>
        <w:rPr>
          <w:spacing w:val="-13"/>
        </w:rPr>
        <w:t xml:space="preserve"> </w:t>
      </w:r>
      <w:proofErr w:type="spellStart"/>
      <w:r>
        <w:t>PFS</w:t>
      </w:r>
      <w:proofErr w:type="spellEnd"/>
      <w:r>
        <w:rPr>
          <w:spacing w:val="-10"/>
        </w:rPr>
        <w:t xml:space="preserve"> </w:t>
      </w:r>
      <w:r>
        <w:t>(95</w:t>
      </w:r>
      <w:r>
        <w:rPr>
          <w:spacing w:val="-13"/>
        </w:rPr>
        <w:t xml:space="preserve"> </w:t>
      </w:r>
      <w:r>
        <w:t>%</w:t>
      </w:r>
      <w:r>
        <w:rPr>
          <w:spacing w:val="-9"/>
        </w:rPr>
        <w:t xml:space="preserve"> </w:t>
      </w:r>
      <w:r>
        <w:t>CI)</w:t>
      </w:r>
      <w:r>
        <w:rPr>
          <w:spacing w:val="-13"/>
        </w:rPr>
        <w:t xml:space="preserve"> </w:t>
      </w:r>
      <w:r>
        <w:t>was</w:t>
      </w:r>
      <w:r>
        <w:rPr>
          <w:spacing w:val="-11"/>
        </w:rPr>
        <w:t xml:space="preserve"> </w:t>
      </w:r>
      <w:r>
        <w:t>46.1</w:t>
      </w:r>
      <w:r>
        <w:rPr>
          <w:spacing w:val="-12"/>
        </w:rPr>
        <w:t xml:space="preserve"> </w:t>
      </w:r>
      <w:r>
        <w:t>(34.3,</w:t>
      </w:r>
      <w:r>
        <w:rPr>
          <w:spacing w:val="-12"/>
        </w:rPr>
        <w:t xml:space="preserve"> </w:t>
      </w:r>
      <w:r>
        <w:t>not</w:t>
      </w:r>
      <w:r>
        <w:rPr>
          <w:spacing w:val="-10"/>
        </w:rPr>
        <w:t xml:space="preserve"> </w:t>
      </w:r>
      <w:r>
        <w:t>estimable)</w:t>
      </w:r>
      <w:r>
        <w:rPr>
          <w:spacing w:val="-13"/>
        </w:rPr>
        <w:t xml:space="preserve"> </w:t>
      </w:r>
      <w:r>
        <w:t>months</w:t>
      </w:r>
      <w:r>
        <w:rPr>
          <w:spacing w:val="-10"/>
        </w:rPr>
        <w:t xml:space="preserve"> </w:t>
      </w:r>
      <w:r>
        <w:t>for</w:t>
      </w:r>
      <w:r>
        <w:rPr>
          <w:spacing w:val="-11"/>
        </w:rPr>
        <w:t xml:space="preserve"> </w:t>
      </w:r>
      <w:r>
        <w:t>the</w:t>
      </w:r>
      <w:r>
        <w:rPr>
          <w:spacing w:val="-12"/>
        </w:rPr>
        <w:t xml:space="preserve"> </w:t>
      </w:r>
      <w:r>
        <w:t>denosumab</w:t>
      </w:r>
      <w:r>
        <w:rPr>
          <w:spacing w:val="-13"/>
        </w:rPr>
        <w:t xml:space="preserve"> </w:t>
      </w:r>
      <w:r>
        <w:t>treatment</w:t>
      </w:r>
      <w:r>
        <w:rPr>
          <w:spacing w:val="-9"/>
        </w:rPr>
        <w:t xml:space="preserve"> </w:t>
      </w:r>
      <w:r>
        <w:t>group and</w:t>
      </w:r>
      <w:r>
        <w:rPr>
          <w:spacing w:val="-7"/>
        </w:rPr>
        <w:t xml:space="preserve"> </w:t>
      </w:r>
      <w:r>
        <w:t>35.4</w:t>
      </w:r>
      <w:r>
        <w:rPr>
          <w:spacing w:val="-3"/>
        </w:rPr>
        <w:t xml:space="preserve"> </w:t>
      </w:r>
      <w:r>
        <w:t>(30.2,</w:t>
      </w:r>
      <w:r>
        <w:rPr>
          <w:spacing w:val="-3"/>
        </w:rPr>
        <w:t xml:space="preserve"> </w:t>
      </w:r>
      <w:r>
        <w:t>not</w:t>
      </w:r>
      <w:r>
        <w:rPr>
          <w:spacing w:val="-4"/>
        </w:rPr>
        <w:t xml:space="preserve"> </w:t>
      </w:r>
      <w:r>
        <w:t>estimable)</w:t>
      </w:r>
      <w:r>
        <w:rPr>
          <w:spacing w:val="-5"/>
        </w:rPr>
        <w:t xml:space="preserve"> </w:t>
      </w:r>
      <w:r>
        <w:t>months</w:t>
      </w:r>
      <w:r>
        <w:rPr>
          <w:spacing w:val="-8"/>
        </w:rPr>
        <w:t xml:space="preserve"> </w:t>
      </w:r>
      <w:r>
        <w:t>for</w:t>
      </w:r>
      <w:r>
        <w:rPr>
          <w:spacing w:val="-4"/>
        </w:rPr>
        <w:t xml:space="preserve"> </w:t>
      </w:r>
      <w:r>
        <w:t>the</w:t>
      </w:r>
      <w:r>
        <w:rPr>
          <w:spacing w:val="-4"/>
        </w:rPr>
        <w:t xml:space="preserve"> </w:t>
      </w:r>
      <w:r>
        <w:t>zoledronic</w:t>
      </w:r>
      <w:r>
        <w:rPr>
          <w:spacing w:val="-3"/>
        </w:rPr>
        <w:t xml:space="preserve"> </w:t>
      </w:r>
      <w:r>
        <w:t>acid</w:t>
      </w:r>
      <w:r>
        <w:rPr>
          <w:spacing w:val="-5"/>
        </w:rPr>
        <w:t xml:space="preserve"> </w:t>
      </w:r>
      <w:r>
        <w:t>group</w:t>
      </w:r>
      <w:r>
        <w:rPr>
          <w:spacing w:val="-5"/>
        </w:rPr>
        <w:t xml:space="preserve"> </w:t>
      </w:r>
      <w:r>
        <w:t>(HR</w:t>
      </w:r>
      <w:r>
        <w:rPr>
          <w:spacing w:val="-5"/>
        </w:rPr>
        <w:t xml:space="preserve"> </w:t>
      </w:r>
      <w:r>
        <w:t>[95</w:t>
      </w:r>
      <w:r>
        <w:rPr>
          <w:spacing w:val="-3"/>
        </w:rPr>
        <w:t xml:space="preserve"> </w:t>
      </w:r>
      <w:r>
        <w:t>%</w:t>
      </w:r>
      <w:r>
        <w:rPr>
          <w:spacing w:val="-3"/>
        </w:rPr>
        <w:t xml:space="preserve"> </w:t>
      </w:r>
      <w:r>
        <w:t>CI]</w:t>
      </w:r>
      <w:r>
        <w:rPr>
          <w:spacing w:val="-8"/>
        </w:rPr>
        <w:t xml:space="preserve"> </w:t>
      </w:r>
      <w:r>
        <w:t>of</w:t>
      </w:r>
      <w:r>
        <w:rPr>
          <w:spacing w:val="-4"/>
        </w:rPr>
        <w:t xml:space="preserve"> </w:t>
      </w:r>
      <w:r>
        <w:t>0.82</w:t>
      </w:r>
      <w:r>
        <w:rPr>
          <w:spacing w:val="-3"/>
        </w:rPr>
        <w:t xml:space="preserve"> </w:t>
      </w:r>
      <w:r>
        <w:t>[0.68,</w:t>
      </w:r>
      <w:r>
        <w:rPr>
          <w:spacing w:val="-4"/>
        </w:rPr>
        <w:t xml:space="preserve"> </w:t>
      </w:r>
      <w:r>
        <w:t>0.99])</w:t>
      </w:r>
      <w:r>
        <w:rPr>
          <w:spacing w:val="-4"/>
        </w:rPr>
        <w:t xml:space="preserve"> </w:t>
      </w:r>
      <w:r>
        <w:t>(see Figure 4).</w:t>
      </w:r>
    </w:p>
    <w:p w14:paraId="17B303EB" w14:textId="77777777" w:rsidR="00AE135B" w:rsidRDefault="00EE5424" w:rsidP="00EE5424">
      <w:pPr>
        <w:pStyle w:val="Heading3"/>
        <w:pageBreakBefore/>
        <w:spacing w:before="30"/>
        <w:ind w:left="335" w:right="607"/>
        <w:jc w:val="center"/>
        <w:rPr>
          <w:spacing w:val="-2"/>
        </w:rPr>
      </w:pPr>
      <w:r>
        <w:lastRenderedPageBreak/>
        <w:t>Figure</w:t>
      </w:r>
      <w:r>
        <w:rPr>
          <w:spacing w:val="-15"/>
        </w:rPr>
        <w:t xml:space="preserve"> </w:t>
      </w:r>
      <w:r>
        <w:t>3.</w:t>
      </w:r>
      <w:r>
        <w:rPr>
          <w:spacing w:val="20"/>
        </w:rPr>
        <w:t xml:space="preserve"> </w:t>
      </w:r>
      <w:r>
        <w:t>Kaplan-Meier</w:t>
      </w:r>
      <w:r>
        <w:rPr>
          <w:spacing w:val="-12"/>
        </w:rPr>
        <w:t xml:space="preserve"> </w:t>
      </w:r>
      <w:r>
        <w:t>Plot</w:t>
      </w:r>
      <w:r>
        <w:rPr>
          <w:spacing w:val="-13"/>
        </w:rPr>
        <w:t xml:space="preserve"> </w:t>
      </w:r>
      <w:r>
        <w:t>of</w:t>
      </w:r>
      <w:r>
        <w:rPr>
          <w:spacing w:val="-12"/>
        </w:rPr>
        <w:t xml:space="preserve"> </w:t>
      </w:r>
      <w:r>
        <w:t>Overall</w:t>
      </w:r>
      <w:r>
        <w:rPr>
          <w:spacing w:val="-12"/>
        </w:rPr>
        <w:t xml:space="preserve"> </w:t>
      </w:r>
      <w:r>
        <w:rPr>
          <w:spacing w:val="-2"/>
        </w:rPr>
        <w:t>Survival</w:t>
      </w:r>
    </w:p>
    <w:p w14:paraId="2492B207" w14:textId="77777777" w:rsidR="00401300" w:rsidRDefault="00401300" w:rsidP="00401300"/>
    <w:p w14:paraId="49AA17E0" w14:textId="77777777" w:rsidR="00AE135B" w:rsidRDefault="00EE5424" w:rsidP="00401300">
      <w:pPr>
        <w:pStyle w:val="BodyText"/>
        <w:spacing w:before="6"/>
        <w:ind w:left="0"/>
        <w:jc w:val="center"/>
        <w:rPr>
          <w:b/>
          <w:sz w:val="19"/>
        </w:rPr>
      </w:pPr>
      <w:r>
        <w:rPr>
          <w:b/>
          <w:noProof/>
          <w:sz w:val="19"/>
        </w:rPr>
        <w:drawing>
          <wp:inline distT="0" distB="0" distL="0" distR="0" wp14:anchorId="6DBDFD0A" wp14:editId="547B9EC5">
            <wp:extent cx="5412314" cy="3866388"/>
            <wp:effectExtent l="0" t="0" r="0" b="1270"/>
            <wp:docPr id="5" name="Image 5" descr="Figure 3. Kaplan-Meier Plot of Overall Surviv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Figure 3. Kaplan-Meier Plot of Overall Surviva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12314" cy="3866388"/>
                    </a:xfrm>
                    <a:prstGeom prst="rect">
                      <a:avLst/>
                    </a:prstGeom>
                  </pic:spPr>
                </pic:pic>
              </a:graphicData>
            </a:graphic>
          </wp:inline>
        </w:drawing>
      </w:r>
    </w:p>
    <w:p w14:paraId="1D62CD7C" w14:textId="77777777" w:rsidR="00AE135B" w:rsidRDefault="00AE135B">
      <w:pPr>
        <w:pStyle w:val="BodyText"/>
        <w:spacing w:before="209"/>
        <w:ind w:left="0"/>
        <w:rPr>
          <w:b/>
        </w:rPr>
      </w:pPr>
    </w:p>
    <w:p w14:paraId="7271D11B" w14:textId="77777777" w:rsidR="00AE135B" w:rsidRDefault="00EE5424">
      <w:pPr>
        <w:pStyle w:val="Heading3"/>
        <w:ind w:left="336" w:right="606"/>
        <w:jc w:val="center"/>
        <w:rPr>
          <w:spacing w:val="-2"/>
        </w:rPr>
      </w:pPr>
      <w:r>
        <w:rPr>
          <w:spacing w:val="-2"/>
        </w:rPr>
        <w:t>Figure</w:t>
      </w:r>
      <w:r>
        <w:rPr>
          <w:spacing w:val="-8"/>
        </w:rPr>
        <w:t xml:space="preserve"> </w:t>
      </w:r>
      <w:r>
        <w:rPr>
          <w:spacing w:val="-2"/>
        </w:rPr>
        <w:t>4.</w:t>
      </w:r>
      <w:r>
        <w:rPr>
          <w:spacing w:val="42"/>
        </w:rPr>
        <w:t xml:space="preserve"> </w:t>
      </w:r>
      <w:r>
        <w:rPr>
          <w:spacing w:val="-2"/>
        </w:rPr>
        <w:t>Kaplan-Meier</w:t>
      </w:r>
      <w:r>
        <w:rPr>
          <w:spacing w:val="-6"/>
        </w:rPr>
        <w:t xml:space="preserve"> </w:t>
      </w:r>
      <w:r>
        <w:rPr>
          <w:spacing w:val="-2"/>
        </w:rPr>
        <w:t>Plot</w:t>
      </w:r>
      <w:r>
        <w:rPr>
          <w:spacing w:val="-4"/>
        </w:rPr>
        <w:t xml:space="preserve"> </w:t>
      </w:r>
      <w:r>
        <w:rPr>
          <w:spacing w:val="-2"/>
        </w:rPr>
        <w:t>of</w:t>
      </w:r>
      <w:r>
        <w:rPr>
          <w:spacing w:val="-5"/>
        </w:rPr>
        <w:t xml:space="preserve"> </w:t>
      </w:r>
      <w:r>
        <w:rPr>
          <w:spacing w:val="-2"/>
        </w:rPr>
        <w:t>Progression-free</w:t>
      </w:r>
      <w:r>
        <w:rPr>
          <w:spacing w:val="-8"/>
        </w:rPr>
        <w:t xml:space="preserve"> </w:t>
      </w:r>
      <w:r>
        <w:rPr>
          <w:spacing w:val="-2"/>
        </w:rPr>
        <w:t>Survival</w:t>
      </w:r>
    </w:p>
    <w:p w14:paraId="204B4B38" w14:textId="77777777" w:rsidR="00401300" w:rsidRDefault="00401300" w:rsidP="00401300"/>
    <w:p w14:paraId="7CA4E72B" w14:textId="3A5FA199" w:rsidR="00401300" w:rsidRDefault="00401300" w:rsidP="00401300">
      <w:pPr>
        <w:jc w:val="center"/>
      </w:pPr>
      <w:r>
        <w:rPr>
          <w:b/>
          <w:noProof/>
          <w:sz w:val="14"/>
        </w:rPr>
        <w:drawing>
          <wp:inline distT="0" distB="0" distL="0" distR="0" wp14:anchorId="25F3A7B1" wp14:editId="231E1796">
            <wp:extent cx="5196824" cy="3686555"/>
            <wp:effectExtent l="0" t="0" r="4445" b="0"/>
            <wp:docPr id="6" name="Image 6" descr="Figure 4. Kaplan-Meier Plot of Progression-free Surviv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Figure 4. Kaplan-Meier Plot of Progression-free Surviv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96824" cy="3686555"/>
                    </a:xfrm>
                    <a:prstGeom prst="rect">
                      <a:avLst/>
                    </a:prstGeom>
                  </pic:spPr>
                </pic:pic>
              </a:graphicData>
            </a:graphic>
          </wp:inline>
        </w:drawing>
      </w:r>
    </w:p>
    <w:p w14:paraId="4AD5A781" w14:textId="77777777" w:rsidR="00401300" w:rsidRDefault="00401300" w:rsidP="00401300"/>
    <w:p w14:paraId="690F9D22" w14:textId="77777777" w:rsidR="00AE135B" w:rsidRDefault="00EE5424">
      <w:pPr>
        <w:spacing w:before="39"/>
        <w:ind w:left="307"/>
        <w:rPr>
          <w:i/>
        </w:rPr>
      </w:pPr>
      <w:r>
        <w:rPr>
          <w:i/>
          <w:u w:val="single"/>
        </w:rPr>
        <w:lastRenderedPageBreak/>
        <w:t>Effect</w:t>
      </w:r>
      <w:r>
        <w:rPr>
          <w:i/>
          <w:spacing w:val="-10"/>
          <w:u w:val="single"/>
        </w:rPr>
        <w:t xml:space="preserve"> </w:t>
      </w:r>
      <w:r>
        <w:rPr>
          <w:i/>
          <w:u w:val="single"/>
        </w:rPr>
        <w:t>on</w:t>
      </w:r>
      <w:r>
        <w:rPr>
          <w:i/>
          <w:spacing w:val="-8"/>
          <w:u w:val="single"/>
        </w:rPr>
        <w:t xml:space="preserve"> </w:t>
      </w:r>
      <w:r>
        <w:rPr>
          <w:i/>
          <w:spacing w:val="-4"/>
          <w:u w:val="single"/>
        </w:rPr>
        <w:t>pain</w:t>
      </w:r>
    </w:p>
    <w:p w14:paraId="170C07A2" w14:textId="77777777" w:rsidR="00AE135B" w:rsidRDefault="00EE5424">
      <w:pPr>
        <w:pStyle w:val="BodyText"/>
        <w:spacing w:before="247" w:line="360" w:lineRule="auto"/>
        <w:ind w:right="173"/>
        <w:jc w:val="both"/>
      </w:pPr>
      <w:r>
        <w:t>Levels of pain were examined using the Brief Pain Inventory – Short Form (BPI-SF) questionnaire as an exploratory endpoint.</w:t>
      </w:r>
    </w:p>
    <w:p w14:paraId="438D8301" w14:textId="77777777" w:rsidR="00AE135B" w:rsidRDefault="00EE5424">
      <w:pPr>
        <w:pStyle w:val="BodyText"/>
        <w:spacing w:before="121" w:line="360" w:lineRule="auto"/>
        <w:ind w:right="174"/>
        <w:jc w:val="both"/>
      </w:pPr>
      <w:r>
        <w:t>For pain measures based on BPI-SF, the point estimate (95 % CI) of the average AUC of the pain severity score, relative to baseline, was -0.72 (-0.92, -0.51) for denosumab and -0.40 (-0.59, - 0.20) for zoledronic acid, with a point estimate (95 % CI) for the treatment difference of -0.32 (-0.60, -0.04) and p = 0.024.</w:t>
      </w:r>
    </w:p>
    <w:p w14:paraId="1E866D38" w14:textId="53E39D0E" w:rsidR="00AE135B" w:rsidRDefault="00EE5424" w:rsidP="00401300">
      <w:pPr>
        <w:pStyle w:val="BodyText"/>
        <w:spacing w:before="121"/>
        <w:jc w:val="both"/>
      </w:pPr>
      <w:r>
        <w:t>Denosumab</w:t>
      </w:r>
      <w:r>
        <w:rPr>
          <w:spacing w:val="9"/>
        </w:rPr>
        <w:t xml:space="preserve"> </w:t>
      </w:r>
      <w:r>
        <w:t>and</w:t>
      </w:r>
      <w:r>
        <w:rPr>
          <w:spacing w:val="13"/>
        </w:rPr>
        <w:t xml:space="preserve"> </w:t>
      </w:r>
      <w:r>
        <w:t>zoledronic</w:t>
      </w:r>
      <w:r>
        <w:rPr>
          <w:spacing w:val="15"/>
        </w:rPr>
        <w:t xml:space="preserve"> </w:t>
      </w:r>
      <w:r>
        <w:t>acid</w:t>
      </w:r>
      <w:r>
        <w:rPr>
          <w:spacing w:val="10"/>
        </w:rPr>
        <w:t xml:space="preserve"> </w:t>
      </w:r>
      <w:r>
        <w:t>showed</w:t>
      </w:r>
      <w:r>
        <w:rPr>
          <w:spacing w:val="11"/>
        </w:rPr>
        <w:t xml:space="preserve"> </w:t>
      </w:r>
      <w:r>
        <w:t>similar</w:t>
      </w:r>
      <w:r>
        <w:rPr>
          <w:spacing w:val="11"/>
        </w:rPr>
        <w:t xml:space="preserve"> </w:t>
      </w:r>
      <w:r>
        <w:t>results</w:t>
      </w:r>
      <w:r>
        <w:rPr>
          <w:spacing w:val="15"/>
        </w:rPr>
        <w:t xml:space="preserve"> </w:t>
      </w:r>
      <w:r>
        <w:t>in</w:t>
      </w:r>
      <w:r>
        <w:rPr>
          <w:spacing w:val="10"/>
        </w:rPr>
        <w:t xml:space="preserve"> </w:t>
      </w:r>
      <w:r>
        <w:t>time</w:t>
      </w:r>
      <w:r>
        <w:rPr>
          <w:spacing w:val="13"/>
        </w:rPr>
        <w:t xml:space="preserve"> </w:t>
      </w:r>
      <w:proofErr w:type="gramStart"/>
      <w:r>
        <w:t>to</w:t>
      </w:r>
      <w:proofErr w:type="gramEnd"/>
      <w:r>
        <w:t>,</w:t>
      </w:r>
      <w:r>
        <w:rPr>
          <w:spacing w:val="14"/>
        </w:rPr>
        <w:t xml:space="preserve"> </w:t>
      </w:r>
      <w:r>
        <w:t>and</w:t>
      </w:r>
      <w:r>
        <w:rPr>
          <w:spacing w:val="14"/>
        </w:rPr>
        <w:t xml:space="preserve"> </w:t>
      </w:r>
      <w:r>
        <w:t>proportion</w:t>
      </w:r>
      <w:r>
        <w:rPr>
          <w:spacing w:val="13"/>
        </w:rPr>
        <w:t xml:space="preserve"> </w:t>
      </w:r>
      <w:r>
        <w:t>by</w:t>
      </w:r>
      <w:r>
        <w:rPr>
          <w:spacing w:val="11"/>
        </w:rPr>
        <w:t xml:space="preserve"> </w:t>
      </w:r>
      <w:r>
        <w:t>visit</w:t>
      </w:r>
      <w:r>
        <w:rPr>
          <w:spacing w:val="12"/>
        </w:rPr>
        <w:t xml:space="preserve"> </w:t>
      </w:r>
      <w:r>
        <w:t>for</w:t>
      </w:r>
      <w:r>
        <w:rPr>
          <w:spacing w:val="12"/>
        </w:rPr>
        <w:t xml:space="preserve"> </w:t>
      </w:r>
      <w:r>
        <w:t>≥</w:t>
      </w:r>
      <w:r>
        <w:rPr>
          <w:spacing w:val="12"/>
        </w:rPr>
        <w:t xml:space="preserve"> </w:t>
      </w:r>
      <w:r>
        <w:t>2-</w:t>
      </w:r>
      <w:r>
        <w:rPr>
          <w:spacing w:val="12"/>
        </w:rPr>
        <w:t xml:space="preserve"> </w:t>
      </w:r>
      <w:r>
        <w:rPr>
          <w:spacing w:val="-2"/>
        </w:rPr>
        <w:t>point</w:t>
      </w:r>
      <w:r w:rsidR="00401300">
        <w:t xml:space="preserve"> </w:t>
      </w:r>
      <w:r>
        <w:t>decrease,</w:t>
      </w:r>
      <w:r>
        <w:rPr>
          <w:spacing w:val="-3"/>
        </w:rPr>
        <w:t xml:space="preserve"> </w:t>
      </w:r>
      <w:r>
        <w:t>≥</w:t>
      </w:r>
      <w:r>
        <w:rPr>
          <w:spacing w:val="-5"/>
        </w:rPr>
        <w:t xml:space="preserve"> </w:t>
      </w:r>
      <w:r>
        <w:t>2-point</w:t>
      </w:r>
      <w:r>
        <w:rPr>
          <w:spacing w:val="-3"/>
        </w:rPr>
        <w:t xml:space="preserve"> </w:t>
      </w:r>
      <w:r>
        <w:t>increase,</w:t>
      </w:r>
      <w:r>
        <w:rPr>
          <w:spacing w:val="-3"/>
        </w:rPr>
        <w:t xml:space="preserve"> </w:t>
      </w:r>
      <w:r>
        <w:t>and</w:t>
      </w:r>
      <w:r>
        <w:rPr>
          <w:spacing w:val="-4"/>
        </w:rPr>
        <w:t xml:space="preserve"> </w:t>
      </w:r>
      <w:r>
        <w:t>&gt;</w:t>
      </w:r>
      <w:r>
        <w:rPr>
          <w:spacing w:val="-4"/>
        </w:rPr>
        <w:t xml:space="preserve"> </w:t>
      </w:r>
      <w:r>
        <w:t>4-point</w:t>
      </w:r>
      <w:r>
        <w:rPr>
          <w:spacing w:val="-5"/>
        </w:rPr>
        <w:t xml:space="preserve"> </w:t>
      </w:r>
      <w:r>
        <w:t>in</w:t>
      </w:r>
      <w:r>
        <w:rPr>
          <w:spacing w:val="-3"/>
        </w:rPr>
        <w:t xml:space="preserve"> </w:t>
      </w:r>
      <w:r>
        <w:t>worst</w:t>
      </w:r>
      <w:r>
        <w:rPr>
          <w:spacing w:val="-6"/>
        </w:rPr>
        <w:t xml:space="preserve"> </w:t>
      </w:r>
      <w:r>
        <w:t>pain</w:t>
      </w:r>
      <w:r>
        <w:rPr>
          <w:spacing w:val="-4"/>
        </w:rPr>
        <w:t xml:space="preserve"> </w:t>
      </w:r>
      <w:r>
        <w:rPr>
          <w:spacing w:val="-2"/>
        </w:rPr>
        <w:t>score.</w:t>
      </w:r>
    </w:p>
    <w:p w14:paraId="2618BFF5" w14:textId="77777777" w:rsidR="00AE135B" w:rsidRDefault="00EE5424">
      <w:pPr>
        <w:pStyle w:val="BodyText"/>
        <w:spacing w:before="255" w:line="360" w:lineRule="auto"/>
        <w:ind w:right="182"/>
        <w:jc w:val="both"/>
      </w:pPr>
      <w:r>
        <w:t>Other measures showed similar results between denosumab and zoledronic acid, and results suggested that there were unlikely to be clinically significant differences between denosumab and zoledronic acid with regards to effects on pain.</w:t>
      </w:r>
    </w:p>
    <w:p w14:paraId="1E88DFD7" w14:textId="77777777" w:rsidR="00AE135B" w:rsidRDefault="00EE5424">
      <w:pPr>
        <w:spacing w:before="116"/>
        <w:ind w:left="307"/>
        <w:jc w:val="both"/>
        <w:rPr>
          <w:i/>
        </w:rPr>
      </w:pPr>
      <w:r>
        <w:rPr>
          <w:i/>
          <w:spacing w:val="-2"/>
        </w:rPr>
        <w:t>Clinical</w:t>
      </w:r>
      <w:r>
        <w:rPr>
          <w:i/>
          <w:spacing w:val="-10"/>
        </w:rPr>
        <w:t xml:space="preserve"> </w:t>
      </w:r>
      <w:r>
        <w:rPr>
          <w:i/>
          <w:spacing w:val="-2"/>
        </w:rPr>
        <w:t>efficacy</w:t>
      </w:r>
      <w:r>
        <w:rPr>
          <w:i/>
          <w:spacing w:val="-5"/>
        </w:rPr>
        <w:t xml:space="preserve"> </w:t>
      </w:r>
      <w:r>
        <w:rPr>
          <w:i/>
          <w:spacing w:val="-2"/>
        </w:rPr>
        <w:t>in</w:t>
      </w:r>
      <w:r>
        <w:rPr>
          <w:i/>
          <w:spacing w:val="-6"/>
        </w:rPr>
        <w:t xml:space="preserve"> </w:t>
      </w:r>
      <w:r>
        <w:rPr>
          <w:i/>
          <w:spacing w:val="-2"/>
        </w:rPr>
        <w:t>adults</w:t>
      </w:r>
      <w:r>
        <w:rPr>
          <w:i/>
          <w:spacing w:val="-3"/>
        </w:rPr>
        <w:t xml:space="preserve"> </w:t>
      </w:r>
      <w:r>
        <w:rPr>
          <w:i/>
          <w:spacing w:val="-2"/>
        </w:rPr>
        <w:t>and</w:t>
      </w:r>
      <w:r>
        <w:rPr>
          <w:i/>
          <w:spacing w:val="-8"/>
        </w:rPr>
        <w:t xml:space="preserve"> </w:t>
      </w:r>
      <w:r>
        <w:rPr>
          <w:i/>
          <w:spacing w:val="-2"/>
        </w:rPr>
        <w:t>skeletally</w:t>
      </w:r>
      <w:r>
        <w:rPr>
          <w:i/>
        </w:rPr>
        <w:t xml:space="preserve"> </w:t>
      </w:r>
      <w:r>
        <w:rPr>
          <w:i/>
          <w:spacing w:val="-2"/>
        </w:rPr>
        <w:t>mature</w:t>
      </w:r>
      <w:r>
        <w:rPr>
          <w:i/>
          <w:spacing w:val="-10"/>
        </w:rPr>
        <w:t xml:space="preserve"> </w:t>
      </w:r>
      <w:r>
        <w:rPr>
          <w:i/>
          <w:spacing w:val="-2"/>
        </w:rPr>
        <w:t>adolescents</w:t>
      </w:r>
      <w:r>
        <w:rPr>
          <w:i/>
          <w:spacing w:val="-4"/>
        </w:rPr>
        <w:t xml:space="preserve"> </w:t>
      </w:r>
      <w:r>
        <w:rPr>
          <w:i/>
          <w:spacing w:val="-2"/>
        </w:rPr>
        <w:t>with</w:t>
      </w:r>
      <w:r>
        <w:rPr>
          <w:i/>
          <w:spacing w:val="-7"/>
        </w:rPr>
        <w:t xml:space="preserve"> </w:t>
      </w:r>
      <w:r>
        <w:rPr>
          <w:i/>
          <w:spacing w:val="-2"/>
        </w:rPr>
        <w:t>giant</w:t>
      </w:r>
      <w:r>
        <w:rPr>
          <w:i/>
          <w:spacing w:val="-5"/>
        </w:rPr>
        <w:t xml:space="preserve"> </w:t>
      </w:r>
      <w:r>
        <w:rPr>
          <w:i/>
          <w:spacing w:val="-2"/>
        </w:rPr>
        <w:t>cell</w:t>
      </w:r>
      <w:r>
        <w:rPr>
          <w:i/>
          <w:spacing w:val="-5"/>
        </w:rPr>
        <w:t xml:space="preserve"> </w:t>
      </w:r>
      <w:proofErr w:type="spellStart"/>
      <w:r>
        <w:rPr>
          <w:i/>
          <w:spacing w:val="-2"/>
        </w:rPr>
        <w:t>tumour</w:t>
      </w:r>
      <w:proofErr w:type="spellEnd"/>
      <w:r>
        <w:rPr>
          <w:i/>
          <w:spacing w:val="-4"/>
        </w:rPr>
        <w:t xml:space="preserve"> </w:t>
      </w:r>
      <w:r>
        <w:rPr>
          <w:i/>
          <w:spacing w:val="-2"/>
        </w:rPr>
        <w:t>of</w:t>
      </w:r>
      <w:r>
        <w:rPr>
          <w:i/>
          <w:spacing w:val="-7"/>
        </w:rPr>
        <w:t xml:space="preserve"> </w:t>
      </w:r>
      <w:r>
        <w:rPr>
          <w:i/>
          <w:spacing w:val="-4"/>
        </w:rPr>
        <w:t>bone</w:t>
      </w:r>
    </w:p>
    <w:p w14:paraId="03FFF9AD" w14:textId="77777777" w:rsidR="00AE135B" w:rsidRDefault="00EE5424">
      <w:pPr>
        <w:pStyle w:val="BodyText"/>
        <w:spacing w:before="250" w:line="360" w:lineRule="auto"/>
        <w:ind w:right="173"/>
        <w:jc w:val="both"/>
      </w:pPr>
      <w:r>
        <w:t xml:space="preserve">The safety and efficacy of denosumab was studied in two phase 2 open-label, single arm trials (Studies 20040215 and 20062004). </w:t>
      </w:r>
      <w:proofErr w:type="gramStart"/>
      <w:r>
        <w:t>The interim analysis,</w:t>
      </w:r>
      <w:proofErr w:type="gramEnd"/>
      <w:r>
        <w:t xml:space="preserve"> enrolled 305 patients with giant cell </w:t>
      </w:r>
      <w:proofErr w:type="spellStart"/>
      <w:r>
        <w:t>tumour</w:t>
      </w:r>
      <w:proofErr w:type="spellEnd"/>
      <w:r>
        <w:t xml:space="preserve"> of bone that was</w:t>
      </w:r>
      <w:r>
        <w:rPr>
          <w:spacing w:val="-8"/>
        </w:rPr>
        <w:t xml:space="preserve"> </w:t>
      </w:r>
      <w:r>
        <w:t>either</w:t>
      </w:r>
      <w:r>
        <w:rPr>
          <w:spacing w:val="-8"/>
        </w:rPr>
        <w:t xml:space="preserve"> </w:t>
      </w:r>
      <w:r>
        <w:t>unresectable</w:t>
      </w:r>
      <w:r>
        <w:rPr>
          <w:spacing w:val="-8"/>
        </w:rPr>
        <w:t xml:space="preserve"> </w:t>
      </w:r>
      <w:r>
        <w:t>or</w:t>
      </w:r>
      <w:r>
        <w:rPr>
          <w:spacing w:val="-11"/>
        </w:rPr>
        <w:t xml:space="preserve"> </w:t>
      </w:r>
      <w:r>
        <w:t>for</w:t>
      </w:r>
      <w:r>
        <w:rPr>
          <w:spacing w:val="-8"/>
        </w:rPr>
        <w:t xml:space="preserve"> </w:t>
      </w:r>
      <w:r>
        <w:t>which</w:t>
      </w:r>
      <w:r>
        <w:rPr>
          <w:spacing w:val="-9"/>
        </w:rPr>
        <w:t xml:space="preserve"> </w:t>
      </w:r>
      <w:r>
        <w:t>surgery</w:t>
      </w:r>
      <w:r>
        <w:rPr>
          <w:spacing w:val="-7"/>
        </w:rPr>
        <w:t xml:space="preserve"> </w:t>
      </w:r>
      <w:r>
        <w:t>would</w:t>
      </w:r>
      <w:r>
        <w:rPr>
          <w:spacing w:val="-9"/>
        </w:rPr>
        <w:t xml:space="preserve"> </w:t>
      </w:r>
      <w:r>
        <w:t>be</w:t>
      </w:r>
      <w:r>
        <w:rPr>
          <w:spacing w:val="-10"/>
        </w:rPr>
        <w:t xml:space="preserve"> </w:t>
      </w:r>
      <w:r>
        <w:t>associated</w:t>
      </w:r>
      <w:r>
        <w:rPr>
          <w:spacing w:val="-6"/>
        </w:rPr>
        <w:t xml:space="preserve"> </w:t>
      </w:r>
      <w:r>
        <w:t>with</w:t>
      </w:r>
      <w:r>
        <w:rPr>
          <w:spacing w:val="-8"/>
        </w:rPr>
        <w:t xml:space="preserve"> </w:t>
      </w:r>
      <w:r>
        <w:t>severe</w:t>
      </w:r>
      <w:r>
        <w:rPr>
          <w:spacing w:val="-7"/>
        </w:rPr>
        <w:t xml:space="preserve"> </w:t>
      </w:r>
      <w:r>
        <w:t>morbidity.</w:t>
      </w:r>
      <w:r>
        <w:rPr>
          <w:spacing w:val="-8"/>
        </w:rPr>
        <w:t xml:space="preserve"> </w:t>
      </w:r>
      <w:r>
        <w:t>Patients</w:t>
      </w:r>
      <w:r>
        <w:rPr>
          <w:spacing w:val="-7"/>
        </w:rPr>
        <w:t xml:space="preserve"> </w:t>
      </w:r>
      <w:r>
        <w:t>received 120 mg denosumab subcutaneously every 4 weeks with a loading dose of</w:t>
      </w:r>
      <w:r>
        <w:rPr>
          <w:spacing w:val="-1"/>
        </w:rPr>
        <w:t xml:space="preserve"> </w:t>
      </w:r>
      <w:r>
        <w:t>120</w:t>
      </w:r>
      <w:r>
        <w:rPr>
          <w:spacing w:val="-2"/>
        </w:rPr>
        <w:t xml:space="preserve"> </w:t>
      </w:r>
      <w:r>
        <w:t>mg</w:t>
      </w:r>
      <w:r>
        <w:rPr>
          <w:spacing w:val="-2"/>
        </w:rPr>
        <w:t xml:space="preserve"> </w:t>
      </w:r>
      <w:r>
        <w:t>on</w:t>
      </w:r>
      <w:r>
        <w:rPr>
          <w:spacing w:val="-2"/>
        </w:rPr>
        <w:t xml:space="preserve"> </w:t>
      </w:r>
      <w:r>
        <w:t>days</w:t>
      </w:r>
      <w:r>
        <w:rPr>
          <w:spacing w:val="-1"/>
        </w:rPr>
        <w:t xml:space="preserve"> </w:t>
      </w:r>
      <w:r>
        <w:t>8 and 15</w:t>
      </w:r>
      <w:r>
        <w:rPr>
          <w:spacing w:val="-1"/>
        </w:rPr>
        <w:t xml:space="preserve"> </w:t>
      </w:r>
      <w:r>
        <w:t>of</w:t>
      </w:r>
      <w:r>
        <w:rPr>
          <w:spacing w:val="-1"/>
        </w:rPr>
        <w:t xml:space="preserve"> </w:t>
      </w:r>
      <w:r>
        <w:t>the initial 4-week treatment period.</w:t>
      </w:r>
    </w:p>
    <w:p w14:paraId="0E1A08AA" w14:textId="77777777" w:rsidR="00AE135B" w:rsidRDefault="00EE5424">
      <w:pPr>
        <w:pStyle w:val="BodyText"/>
        <w:spacing w:before="120" w:line="360" w:lineRule="auto"/>
        <w:ind w:right="171"/>
        <w:jc w:val="both"/>
      </w:pPr>
      <w:r>
        <w:t xml:space="preserve">Study 20040215 enrolled 37 adult patients with histologically confirmed unresectable or recurrent giant cell </w:t>
      </w:r>
      <w:proofErr w:type="spellStart"/>
      <w:r>
        <w:t>tumour</w:t>
      </w:r>
      <w:proofErr w:type="spellEnd"/>
      <w:r>
        <w:t xml:space="preserve"> of bone. The main outcome measure of the trial was response rate, defined as either at</w:t>
      </w:r>
      <w:r>
        <w:rPr>
          <w:spacing w:val="-3"/>
        </w:rPr>
        <w:t xml:space="preserve"> </w:t>
      </w:r>
      <w:r>
        <w:t xml:space="preserve">least 90 % elimination of giant cells relative to baseline (or complete elimination of giant cells in cases where giant cells represent &lt; 5 % of </w:t>
      </w:r>
      <w:proofErr w:type="spellStart"/>
      <w:r>
        <w:t>tumour</w:t>
      </w:r>
      <w:proofErr w:type="spellEnd"/>
      <w:r>
        <w:t xml:space="preserve"> cells), or a lack of progression of the target lesion by radiographic measurements in cases where histopathology was not available.</w:t>
      </w:r>
    </w:p>
    <w:p w14:paraId="17CB18AF" w14:textId="77777777" w:rsidR="00AE135B" w:rsidRDefault="00EE5424">
      <w:pPr>
        <w:pStyle w:val="BodyText"/>
        <w:spacing w:before="120" w:line="360" w:lineRule="auto"/>
        <w:ind w:right="175"/>
        <w:jc w:val="both"/>
      </w:pPr>
      <w:r>
        <w:t>Of the 35 patients included</w:t>
      </w:r>
      <w:r>
        <w:rPr>
          <w:spacing w:val="-1"/>
        </w:rPr>
        <w:t xml:space="preserve"> </w:t>
      </w:r>
      <w:r>
        <w:t>in the efficacy analysis,</w:t>
      </w:r>
      <w:r>
        <w:rPr>
          <w:spacing w:val="-1"/>
        </w:rPr>
        <w:t xml:space="preserve"> </w:t>
      </w:r>
      <w:r>
        <w:t>85.7 % (95 % CI: 69.7,</w:t>
      </w:r>
      <w:r>
        <w:rPr>
          <w:spacing w:val="-1"/>
        </w:rPr>
        <w:t xml:space="preserve"> </w:t>
      </w:r>
      <w:r>
        <w:t>95.2) had a treatment response to</w:t>
      </w:r>
      <w:r>
        <w:rPr>
          <w:spacing w:val="-2"/>
        </w:rPr>
        <w:t xml:space="preserve"> </w:t>
      </w:r>
      <w:r>
        <w:t>denosumab.</w:t>
      </w:r>
      <w:r>
        <w:rPr>
          <w:spacing w:val="-3"/>
        </w:rPr>
        <w:t xml:space="preserve"> </w:t>
      </w:r>
      <w:r>
        <w:t>All</w:t>
      </w:r>
      <w:r>
        <w:rPr>
          <w:spacing w:val="-3"/>
        </w:rPr>
        <w:t xml:space="preserve"> </w:t>
      </w:r>
      <w:r>
        <w:t>20</w:t>
      </w:r>
      <w:r>
        <w:rPr>
          <w:spacing w:val="-2"/>
        </w:rPr>
        <w:t xml:space="preserve"> </w:t>
      </w:r>
      <w:r>
        <w:t>patients</w:t>
      </w:r>
      <w:r>
        <w:rPr>
          <w:spacing w:val="-2"/>
        </w:rPr>
        <w:t xml:space="preserve"> </w:t>
      </w:r>
      <w:r>
        <w:t>(100</w:t>
      </w:r>
      <w:r>
        <w:rPr>
          <w:spacing w:val="-2"/>
        </w:rPr>
        <w:t xml:space="preserve"> </w:t>
      </w:r>
      <w:r>
        <w:t>%)</w:t>
      </w:r>
      <w:r>
        <w:rPr>
          <w:spacing w:val="-3"/>
        </w:rPr>
        <w:t xml:space="preserve"> </w:t>
      </w:r>
      <w:r>
        <w:t>with</w:t>
      </w:r>
      <w:r>
        <w:rPr>
          <w:spacing w:val="-3"/>
        </w:rPr>
        <w:t xml:space="preserve"> </w:t>
      </w:r>
      <w:r>
        <w:t>histology</w:t>
      </w:r>
      <w:r>
        <w:rPr>
          <w:spacing w:val="-1"/>
        </w:rPr>
        <w:t xml:space="preserve"> </w:t>
      </w:r>
      <w:r>
        <w:t>assessments</w:t>
      </w:r>
      <w:r>
        <w:rPr>
          <w:spacing w:val="-5"/>
        </w:rPr>
        <w:t xml:space="preserve"> </w:t>
      </w:r>
      <w:r>
        <w:t>met</w:t>
      </w:r>
      <w:r>
        <w:rPr>
          <w:spacing w:val="-2"/>
        </w:rPr>
        <w:t xml:space="preserve"> </w:t>
      </w:r>
      <w:r>
        <w:t>response</w:t>
      </w:r>
      <w:r>
        <w:rPr>
          <w:spacing w:val="-4"/>
        </w:rPr>
        <w:t xml:space="preserve"> </w:t>
      </w:r>
      <w:r>
        <w:t>criteria.</w:t>
      </w:r>
      <w:r>
        <w:rPr>
          <w:spacing w:val="-3"/>
        </w:rPr>
        <w:t xml:space="preserve"> </w:t>
      </w:r>
      <w:r>
        <w:t>Of</w:t>
      </w:r>
      <w:r>
        <w:rPr>
          <w:spacing w:val="-6"/>
        </w:rPr>
        <w:t xml:space="preserve"> </w:t>
      </w:r>
      <w:r>
        <w:t>the</w:t>
      </w:r>
      <w:r>
        <w:rPr>
          <w:spacing w:val="-8"/>
        </w:rPr>
        <w:t xml:space="preserve"> </w:t>
      </w:r>
      <w:r>
        <w:t>remaining 15 patients, 10 (67 %) met response criteria based on radiology data.</w:t>
      </w:r>
    </w:p>
    <w:p w14:paraId="5DE5EF19" w14:textId="1526F27F" w:rsidR="00AE135B" w:rsidRDefault="00EE5424" w:rsidP="00EE5424">
      <w:pPr>
        <w:pStyle w:val="BodyText"/>
        <w:spacing w:before="123" w:line="360" w:lineRule="auto"/>
        <w:ind w:right="171"/>
        <w:jc w:val="both"/>
      </w:pPr>
      <w:r>
        <w:t>Study</w:t>
      </w:r>
      <w:r>
        <w:rPr>
          <w:spacing w:val="-11"/>
        </w:rPr>
        <w:t xml:space="preserve"> </w:t>
      </w:r>
      <w:r>
        <w:t>20062004</w:t>
      </w:r>
      <w:r>
        <w:rPr>
          <w:spacing w:val="-10"/>
        </w:rPr>
        <w:t xml:space="preserve"> </w:t>
      </w:r>
      <w:r>
        <w:t>interim</w:t>
      </w:r>
      <w:r>
        <w:rPr>
          <w:spacing w:val="-9"/>
        </w:rPr>
        <w:t xml:space="preserve"> </w:t>
      </w:r>
      <w:r>
        <w:t>analysis</w:t>
      </w:r>
      <w:r>
        <w:rPr>
          <w:spacing w:val="-11"/>
        </w:rPr>
        <w:t xml:space="preserve"> </w:t>
      </w:r>
      <w:r>
        <w:t>enrolled</w:t>
      </w:r>
      <w:r>
        <w:rPr>
          <w:spacing w:val="-11"/>
        </w:rPr>
        <w:t xml:space="preserve"> </w:t>
      </w:r>
      <w:r>
        <w:t>282</w:t>
      </w:r>
      <w:r>
        <w:rPr>
          <w:spacing w:val="-10"/>
        </w:rPr>
        <w:t xml:space="preserve"> </w:t>
      </w:r>
      <w:r>
        <w:t>adult</w:t>
      </w:r>
      <w:r>
        <w:rPr>
          <w:spacing w:val="-11"/>
        </w:rPr>
        <w:t xml:space="preserve"> </w:t>
      </w:r>
      <w:r>
        <w:t>or</w:t>
      </w:r>
      <w:r>
        <w:rPr>
          <w:spacing w:val="-12"/>
        </w:rPr>
        <w:t xml:space="preserve"> </w:t>
      </w:r>
      <w:r>
        <w:t>skeletally</w:t>
      </w:r>
      <w:r>
        <w:rPr>
          <w:spacing w:val="-10"/>
        </w:rPr>
        <w:t xml:space="preserve"> </w:t>
      </w:r>
      <w:r>
        <w:t>mature</w:t>
      </w:r>
      <w:r>
        <w:rPr>
          <w:spacing w:val="-11"/>
        </w:rPr>
        <w:t xml:space="preserve"> </w:t>
      </w:r>
      <w:r>
        <w:t>adolescents</w:t>
      </w:r>
      <w:r>
        <w:rPr>
          <w:spacing w:val="-10"/>
        </w:rPr>
        <w:t xml:space="preserve"> </w:t>
      </w:r>
      <w:r>
        <w:t>with</w:t>
      </w:r>
      <w:r>
        <w:rPr>
          <w:spacing w:val="-9"/>
        </w:rPr>
        <w:t xml:space="preserve"> </w:t>
      </w:r>
      <w:r>
        <w:t>giant</w:t>
      </w:r>
      <w:r>
        <w:rPr>
          <w:spacing w:val="-6"/>
        </w:rPr>
        <w:t xml:space="preserve"> </w:t>
      </w:r>
      <w:r>
        <w:t>cell</w:t>
      </w:r>
      <w:r>
        <w:rPr>
          <w:spacing w:val="-13"/>
        </w:rPr>
        <w:t xml:space="preserve"> </w:t>
      </w:r>
      <w:proofErr w:type="spellStart"/>
      <w:r>
        <w:t>tumour</w:t>
      </w:r>
      <w:proofErr w:type="spellEnd"/>
      <w:r>
        <w:t xml:space="preserve"> of bone. Patients were assigned to one of three cohorts: Cohort 1 included patients with surgically unsalvageable disease (e.g., sacral, spinal, or multiple lesions, including pulmonary metastases); Cohort</w:t>
      </w:r>
      <w:r>
        <w:rPr>
          <w:spacing w:val="-1"/>
        </w:rPr>
        <w:t xml:space="preserve"> </w:t>
      </w:r>
      <w:r>
        <w:t>2 included patients with surgically salvageable disease whose planned surgery was associated with severe morbidity (e.g., joint resection, limb amputation, or hemipelvectomy); Cohort 3 included patients previously participating in</w:t>
      </w:r>
      <w:r>
        <w:rPr>
          <w:spacing w:val="-2"/>
        </w:rPr>
        <w:t xml:space="preserve"> </w:t>
      </w:r>
      <w:r>
        <w:t>20040215 and rolled over into this study. The secondary outcome measures of the</w:t>
      </w:r>
      <w:r>
        <w:rPr>
          <w:spacing w:val="-12"/>
        </w:rPr>
        <w:t xml:space="preserve"> </w:t>
      </w:r>
      <w:r>
        <w:t>study</w:t>
      </w:r>
      <w:r>
        <w:rPr>
          <w:spacing w:val="-9"/>
        </w:rPr>
        <w:t xml:space="preserve"> </w:t>
      </w:r>
      <w:r>
        <w:t>were</w:t>
      </w:r>
      <w:r>
        <w:rPr>
          <w:spacing w:val="-13"/>
        </w:rPr>
        <w:t xml:space="preserve"> </w:t>
      </w:r>
      <w:r>
        <w:t>time</w:t>
      </w:r>
      <w:r>
        <w:rPr>
          <w:spacing w:val="-12"/>
        </w:rPr>
        <w:t xml:space="preserve"> </w:t>
      </w:r>
      <w:r>
        <w:t>to</w:t>
      </w:r>
      <w:r>
        <w:rPr>
          <w:spacing w:val="-13"/>
        </w:rPr>
        <w:t xml:space="preserve"> </w:t>
      </w:r>
      <w:r>
        <w:t>disease</w:t>
      </w:r>
      <w:r>
        <w:rPr>
          <w:spacing w:val="-10"/>
        </w:rPr>
        <w:t xml:space="preserve"> </w:t>
      </w:r>
      <w:r>
        <w:t>progression</w:t>
      </w:r>
      <w:r>
        <w:rPr>
          <w:spacing w:val="-13"/>
        </w:rPr>
        <w:t xml:space="preserve"> </w:t>
      </w:r>
      <w:r>
        <w:t>(based</w:t>
      </w:r>
      <w:r>
        <w:rPr>
          <w:spacing w:val="-10"/>
        </w:rPr>
        <w:t xml:space="preserve"> </w:t>
      </w:r>
      <w:r>
        <w:t>on</w:t>
      </w:r>
      <w:r>
        <w:rPr>
          <w:spacing w:val="-12"/>
        </w:rPr>
        <w:t xml:space="preserve"> </w:t>
      </w:r>
      <w:r>
        <w:t>investigator</w:t>
      </w:r>
      <w:r>
        <w:rPr>
          <w:spacing w:val="-13"/>
        </w:rPr>
        <w:t xml:space="preserve"> </w:t>
      </w:r>
      <w:r>
        <w:t>assessment)</w:t>
      </w:r>
      <w:r>
        <w:rPr>
          <w:spacing w:val="-9"/>
        </w:rPr>
        <w:t xml:space="preserve"> </w:t>
      </w:r>
      <w:r>
        <w:t>for</w:t>
      </w:r>
      <w:r>
        <w:rPr>
          <w:spacing w:val="-13"/>
        </w:rPr>
        <w:t xml:space="preserve"> </w:t>
      </w:r>
      <w:r>
        <w:t>Cohort</w:t>
      </w:r>
      <w:r>
        <w:rPr>
          <w:spacing w:val="-12"/>
        </w:rPr>
        <w:t xml:space="preserve"> </w:t>
      </w:r>
      <w:r>
        <w:t>1</w:t>
      </w:r>
      <w:r>
        <w:rPr>
          <w:spacing w:val="-11"/>
        </w:rPr>
        <w:t xml:space="preserve"> </w:t>
      </w:r>
      <w:r>
        <w:t>and</w:t>
      </w:r>
      <w:r>
        <w:rPr>
          <w:spacing w:val="-12"/>
        </w:rPr>
        <w:t xml:space="preserve"> </w:t>
      </w:r>
      <w:r>
        <w:t xml:space="preserve">proportion </w:t>
      </w:r>
      <w:r>
        <w:lastRenderedPageBreak/>
        <w:t>of</w:t>
      </w:r>
      <w:r>
        <w:rPr>
          <w:spacing w:val="24"/>
        </w:rPr>
        <w:t xml:space="preserve"> </w:t>
      </w:r>
      <w:r>
        <w:t>patients</w:t>
      </w:r>
      <w:r>
        <w:rPr>
          <w:spacing w:val="27"/>
        </w:rPr>
        <w:t xml:space="preserve"> </w:t>
      </w:r>
      <w:r>
        <w:t>without</w:t>
      </w:r>
      <w:r>
        <w:rPr>
          <w:spacing w:val="30"/>
        </w:rPr>
        <w:t xml:space="preserve"> </w:t>
      </w:r>
      <w:r>
        <w:t>any</w:t>
      </w:r>
      <w:r>
        <w:rPr>
          <w:spacing w:val="31"/>
        </w:rPr>
        <w:t xml:space="preserve"> </w:t>
      </w:r>
      <w:r>
        <w:t>surgery</w:t>
      </w:r>
      <w:r>
        <w:rPr>
          <w:spacing w:val="28"/>
        </w:rPr>
        <w:t xml:space="preserve"> </w:t>
      </w:r>
      <w:r>
        <w:t>at</w:t>
      </w:r>
      <w:r>
        <w:rPr>
          <w:spacing w:val="27"/>
        </w:rPr>
        <w:t xml:space="preserve"> </w:t>
      </w:r>
      <w:r>
        <w:t>month</w:t>
      </w:r>
      <w:r>
        <w:rPr>
          <w:spacing w:val="24"/>
        </w:rPr>
        <w:t xml:space="preserve"> </w:t>
      </w:r>
      <w:r>
        <w:t>6</w:t>
      </w:r>
      <w:r>
        <w:rPr>
          <w:spacing w:val="28"/>
        </w:rPr>
        <w:t xml:space="preserve"> </w:t>
      </w:r>
      <w:r>
        <w:t>for</w:t>
      </w:r>
      <w:r>
        <w:rPr>
          <w:spacing w:val="27"/>
        </w:rPr>
        <w:t xml:space="preserve"> </w:t>
      </w:r>
      <w:r>
        <w:t>Cohort</w:t>
      </w:r>
      <w:r>
        <w:rPr>
          <w:spacing w:val="27"/>
        </w:rPr>
        <w:t xml:space="preserve"> </w:t>
      </w:r>
      <w:r>
        <w:t>2.</w:t>
      </w:r>
      <w:r>
        <w:rPr>
          <w:spacing w:val="26"/>
        </w:rPr>
        <w:t xml:space="preserve"> </w:t>
      </w:r>
      <w:r>
        <w:t>Pain</w:t>
      </w:r>
      <w:r>
        <w:rPr>
          <w:spacing w:val="26"/>
        </w:rPr>
        <w:t xml:space="preserve"> </w:t>
      </w:r>
      <w:r>
        <w:t>outcomes</w:t>
      </w:r>
      <w:r>
        <w:rPr>
          <w:spacing w:val="30"/>
        </w:rPr>
        <w:t xml:space="preserve"> </w:t>
      </w:r>
      <w:r>
        <w:t>and</w:t>
      </w:r>
      <w:r>
        <w:rPr>
          <w:spacing w:val="27"/>
        </w:rPr>
        <w:t xml:space="preserve"> </w:t>
      </w:r>
      <w:r>
        <w:t>investigator</w:t>
      </w:r>
      <w:r>
        <w:rPr>
          <w:spacing w:val="28"/>
        </w:rPr>
        <w:t xml:space="preserve"> </w:t>
      </w:r>
      <w:r>
        <w:t>determined clinical</w:t>
      </w:r>
      <w:r>
        <w:rPr>
          <w:spacing w:val="-10"/>
        </w:rPr>
        <w:t xml:space="preserve"> </w:t>
      </w:r>
      <w:r>
        <w:t>benefit</w:t>
      </w:r>
      <w:r>
        <w:rPr>
          <w:spacing w:val="-12"/>
        </w:rPr>
        <w:t xml:space="preserve"> </w:t>
      </w:r>
      <w:r>
        <w:t>were</w:t>
      </w:r>
      <w:r>
        <w:rPr>
          <w:spacing w:val="-9"/>
        </w:rPr>
        <w:t xml:space="preserve"> </w:t>
      </w:r>
      <w:r>
        <w:t>also</w:t>
      </w:r>
      <w:r>
        <w:rPr>
          <w:spacing w:val="-8"/>
        </w:rPr>
        <w:t xml:space="preserve"> </w:t>
      </w:r>
      <w:r>
        <w:rPr>
          <w:spacing w:val="-2"/>
        </w:rPr>
        <w:t>assessed.</w:t>
      </w:r>
    </w:p>
    <w:p w14:paraId="59127BA8" w14:textId="77777777" w:rsidR="00AE135B" w:rsidRDefault="00EE5424">
      <w:pPr>
        <w:pStyle w:val="BodyText"/>
        <w:spacing w:before="255" w:line="360" w:lineRule="auto"/>
        <w:ind w:right="171"/>
        <w:jc w:val="both"/>
      </w:pPr>
      <w:r>
        <w:t xml:space="preserve">In Cohort 1, median time to disease progression was not reached, as only 6 of the 169 </w:t>
      </w:r>
      <w:proofErr w:type="gramStart"/>
      <w:r>
        <w:t>treated patients</w:t>
      </w:r>
      <w:proofErr w:type="gramEnd"/>
      <w:r>
        <w:t xml:space="preserve"> (3.6 %) had disease progression. In Cohort 2, denosumab prolonged the time to surgery, reduced the morbidity of planned surgery, and reduced the proportion of patients undergoing surgery (see Table 4). Sixty-four of the 71 (90.1 %; 95 % CI: 80.7 %, 95.9 %) evaluable patients treated with denosumab had not undergone</w:t>
      </w:r>
      <w:r>
        <w:rPr>
          <w:spacing w:val="-6"/>
        </w:rPr>
        <w:t xml:space="preserve"> </w:t>
      </w:r>
      <w:r>
        <w:t>surgery</w:t>
      </w:r>
      <w:r>
        <w:rPr>
          <w:spacing w:val="-5"/>
        </w:rPr>
        <w:t xml:space="preserve"> </w:t>
      </w:r>
      <w:r>
        <w:t>by</w:t>
      </w:r>
      <w:r>
        <w:rPr>
          <w:spacing w:val="-5"/>
        </w:rPr>
        <w:t xml:space="preserve"> </w:t>
      </w:r>
      <w:r>
        <w:t>month</w:t>
      </w:r>
      <w:r>
        <w:rPr>
          <w:spacing w:val="-5"/>
        </w:rPr>
        <w:t xml:space="preserve"> </w:t>
      </w:r>
      <w:r>
        <w:t>6.</w:t>
      </w:r>
      <w:r>
        <w:rPr>
          <w:spacing w:val="-6"/>
        </w:rPr>
        <w:t xml:space="preserve"> </w:t>
      </w:r>
      <w:r>
        <w:t>Overall,</w:t>
      </w:r>
      <w:r>
        <w:rPr>
          <w:spacing w:val="-4"/>
        </w:rPr>
        <w:t xml:space="preserve"> </w:t>
      </w:r>
      <w:r>
        <w:t>of</w:t>
      </w:r>
      <w:r>
        <w:rPr>
          <w:spacing w:val="-8"/>
        </w:rPr>
        <w:t xml:space="preserve"> </w:t>
      </w:r>
      <w:r>
        <w:t>100</w:t>
      </w:r>
      <w:r>
        <w:rPr>
          <w:spacing w:val="-5"/>
        </w:rPr>
        <w:t xml:space="preserve"> </w:t>
      </w:r>
      <w:r>
        <w:t>patients</w:t>
      </w:r>
      <w:r>
        <w:rPr>
          <w:spacing w:val="-5"/>
        </w:rPr>
        <w:t xml:space="preserve"> </w:t>
      </w:r>
      <w:r>
        <w:t>for</w:t>
      </w:r>
      <w:r>
        <w:rPr>
          <w:spacing w:val="-6"/>
        </w:rPr>
        <w:t xml:space="preserve"> </w:t>
      </w:r>
      <w:r>
        <w:t>whom</w:t>
      </w:r>
      <w:r>
        <w:rPr>
          <w:spacing w:val="-4"/>
        </w:rPr>
        <w:t xml:space="preserve"> </w:t>
      </w:r>
      <w:r>
        <w:t>surgery</w:t>
      </w:r>
      <w:r>
        <w:rPr>
          <w:spacing w:val="-5"/>
        </w:rPr>
        <w:t xml:space="preserve"> </w:t>
      </w:r>
      <w:r>
        <w:t>was</w:t>
      </w:r>
      <w:r>
        <w:rPr>
          <w:spacing w:val="-5"/>
        </w:rPr>
        <w:t xml:space="preserve"> </w:t>
      </w:r>
      <w:r>
        <w:t>planned,</w:t>
      </w:r>
      <w:r>
        <w:rPr>
          <w:spacing w:val="-6"/>
        </w:rPr>
        <w:t xml:space="preserve"> </w:t>
      </w:r>
      <w:r>
        <w:t>74</w:t>
      </w:r>
      <w:r>
        <w:rPr>
          <w:spacing w:val="-5"/>
        </w:rPr>
        <w:t xml:space="preserve"> </w:t>
      </w:r>
      <w:r>
        <w:t>patients</w:t>
      </w:r>
      <w:r>
        <w:rPr>
          <w:spacing w:val="-5"/>
        </w:rPr>
        <w:t xml:space="preserve"> </w:t>
      </w:r>
      <w:r>
        <w:t>(74</w:t>
      </w:r>
      <w:r>
        <w:rPr>
          <w:spacing w:val="-2"/>
        </w:rPr>
        <w:t xml:space="preserve"> </w:t>
      </w:r>
      <w:r>
        <w:t>%) had no surgery performed, and 16 patients (16 %) underwent a less morbid surgical procedure from that planned at baseline (see Table 4).</w:t>
      </w:r>
    </w:p>
    <w:p w14:paraId="351EB340" w14:textId="77777777" w:rsidR="00AE135B" w:rsidRDefault="00EE5424">
      <w:pPr>
        <w:pStyle w:val="BodyText"/>
        <w:spacing w:before="121" w:line="362" w:lineRule="auto"/>
        <w:ind w:right="184"/>
        <w:jc w:val="both"/>
      </w:pPr>
      <w:r>
        <w:t>A retrospective independent review of radiographic imaging data was performed for patients enrolled in 20040215 and 20062004. Of the 305 patients enrolled in these studies, 190 had at least 1 evaluable timepoint response and were included in the analysis (see Table 5).</w:t>
      </w:r>
    </w:p>
    <w:p w14:paraId="75CF6235" w14:textId="77777777" w:rsidR="00AE135B" w:rsidRDefault="00EE5424">
      <w:pPr>
        <w:pStyle w:val="BodyText"/>
        <w:spacing w:before="111"/>
        <w:jc w:val="both"/>
      </w:pPr>
      <w:r>
        <w:rPr>
          <w:spacing w:val="-2"/>
        </w:rPr>
        <w:t>Patients</w:t>
      </w:r>
      <w:r>
        <w:rPr>
          <w:spacing w:val="-6"/>
        </w:rPr>
        <w:t xml:space="preserve"> </w:t>
      </w:r>
      <w:r>
        <w:rPr>
          <w:spacing w:val="-2"/>
        </w:rPr>
        <w:t>were</w:t>
      </w:r>
      <w:r>
        <w:rPr>
          <w:spacing w:val="-1"/>
        </w:rPr>
        <w:t xml:space="preserve"> </w:t>
      </w:r>
      <w:r>
        <w:rPr>
          <w:spacing w:val="-2"/>
        </w:rPr>
        <w:t>evaluated</w:t>
      </w:r>
      <w:r>
        <w:rPr>
          <w:spacing w:val="-6"/>
        </w:rPr>
        <w:t xml:space="preserve"> </w:t>
      </w:r>
      <w:r>
        <w:rPr>
          <w:spacing w:val="-2"/>
        </w:rPr>
        <w:t>by</w:t>
      </w:r>
      <w:r>
        <w:rPr>
          <w:spacing w:val="-5"/>
        </w:rPr>
        <w:t xml:space="preserve"> </w:t>
      </w:r>
      <w:r>
        <w:rPr>
          <w:spacing w:val="-2"/>
        </w:rPr>
        <w:t>the</w:t>
      </w:r>
      <w:r>
        <w:rPr>
          <w:spacing w:val="-3"/>
        </w:rPr>
        <w:t xml:space="preserve"> </w:t>
      </w:r>
      <w:r>
        <w:rPr>
          <w:spacing w:val="-2"/>
        </w:rPr>
        <w:t>following</w:t>
      </w:r>
      <w:r>
        <w:rPr>
          <w:spacing w:val="-5"/>
        </w:rPr>
        <w:t xml:space="preserve"> </w:t>
      </w:r>
      <w:r>
        <w:rPr>
          <w:spacing w:val="-2"/>
        </w:rPr>
        <w:t>response</w:t>
      </w:r>
      <w:r>
        <w:t xml:space="preserve"> </w:t>
      </w:r>
      <w:r>
        <w:rPr>
          <w:spacing w:val="-2"/>
        </w:rPr>
        <w:t>criteria</w:t>
      </w:r>
      <w:r>
        <w:rPr>
          <w:spacing w:val="-3"/>
        </w:rPr>
        <w:t xml:space="preserve"> </w:t>
      </w:r>
      <w:r>
        <w:rPr>
          <w:spacing w:val="-2"/>
        </w:rPr>
        <w:t>to</w:t>
      </w:r>
      <w:r>
        <w:rPr>
          <w:spacing w:val="2"/>
        </w:rPr>
        <w:t xml:space="preserve"> </w:t>
      </w:r>
      <w:r>
        <w:rPr>
          <w:spacing w:val="-2"/>
        </w:rPr>
        <w:t>determine</w:t>
      </w:r>
      <w:r>
        <w:rPr>
          <w:spacing w:val="-4"/>
        </w:rPr>
        <w:t xml:space="preserve"> </w:t>
      </w:r>
      <w:r>
        <w:rPr>
          <w:spacing w:val="-2"/>
        </w:rPr>
        <w:t>objective</w:t>
      </w:r>
      <w:r>
        <w:rPr>
          <w:spacing w:val="-5"/>
        </w:rPr>
        <w:t xml:space="preserve"> </w:t>
      </w:r>
      <w:proofErr w:type="spellStart"/>
      <w:r>
        <w:rPr>
          <w:spacing w:val="-2"/>
        </w:rPr>
        <w:t>tumour</w:t>
      </w:r>
      <w:proofErr w:type="spellEnd"/>
      <w:r>
        <w:rPr>
          <w:spacing w:val="4"/>
        </w:rPr>
        <w:t xml:space="preserve"> </w:t>
      </w:r>
      <w:r>
        <w:rPr>
          <w:spacing w:val="-2"/>
        </w:rPr>
        <w:t>response:</w:t>
      </w:r>
    </w:p>
    <w:p w14:paraId="2FF781CB" w14:textId="77777777" w:rsidR="00AE135B" w:rsidRDefault="00EE5424">
      <w:pPr>
        <w:pStyle w:val="ListParagraph"/>
        <w:numPr>
          <w:ilvl w:val="0"/>
          <w:numId w:val="2"/>
        </w:numPr>
        <w:tabs>
          <w:tab w:val="left" w:pos="1027"/>
        </w:tabs>
        <w:spacing w:before="262" w:line="348" w:lineRule="auto"/>
        <w:ind w:right="340"/>
      </w:pPr>
      <w:r>
        <w:t>Modified</w:t>
      </w:r>
      <w:r>
        <w:rPr>
          <w:spacing w:val="-5"/>
        </w:rPr>
        <w:t xml:space="preserve"> </w:t>
      </w:r>
      <w:r>
        <w:t>Response</w:t>
      </w:r>
      <w:r>
        <w:rPr>
          <w:spacing w:val="-4"/>
        </w:rPr>
        <w:t xml:space="preserve"> </w:t>
      </w:r>
      <w:r>
        <w:t>Evaluation</w:t>
      </w:r>
      <w:r>
        <w:rPr>
          <w:spacing w:val="-3"/>
        </w:rPr>
        <w:t xml:space="preserve"> </w:t>
      </w:r>
      <w:r>
        <w:t>Criteria</w:t>
      </w:r>
      <w:r>
        <w:rPr>
          <w:spacing w:val="-2"/>
        </w:rPr>
        <w:t xml:space="preserve"> </w:t>
      </w:r>
      <w:r>
        <w:t>in</w:t>
      </w:r>
      <w:r>
        <w:rPr>
          <w:spacing w:val="-3"/>
        </w:rPr>
        <w:t xml:space="preserve"> </w:t>
      </w:r>
      <w:r>
        <w:t>Solid</w:t>
      </w:r>
      <w:r>
        <w:rPr>
          <w:spacing w:val="-6"/>
        </w:rPr>
        <w:t xml:space="preserve"> </w:t>
      </w:r>
      <w:proofErr w:type="spellStart"/>
      <w:r>
        <w:t>Tumours</w:t>
      </w:r>
      <w:proofErr w:type="spellEnd"/>
      <w:r>
        <w:rPr>
          <w:spacing w:val="-2"/>
        </w:rPr>
        <w:t xml:space="preserve"> </w:t>
      </w:r>
      <w:r>
        <w:t>(RECIST</w:t>
      </w:r>
      <w:r>
        <w:rPr>
          <w:spacing w:val="-4"/>
        </w:rPr>
        <w:t xml:space="preserve"> </w:t>
      </w:r>
      <w:r>
        <w:t>1.1)</w:t>
      </w:r>
      <w:r>
        <w:rPr>
          <w:spacing w:val="-2"/>
        </w:rPr>
        <w:t xml:space="preserve"> </w:t>
      </w:r>
      <w:r>
        <w:t>to</w:t>
      </w:r>
      <w:r>
        <w:rPr>
          <w:spacing w:val="-3"/>
        </w:rPr>
        <w:t xml:space="preserve"> </w:t>
      </w:r>
      <w:r>
        <w:t>evaluate</w:t>
      </w:r>
      <w:r>
        <w:rPr>
          <w:spacing w:val="-2"/>
        </w:rPr>
        <w:t xml:space="preserve"> </w:t>
      </w:r>
      <w:proofErr w:type="spellStart"/>
      <w:r>
        <w:t>tumour</w:t>
      </w:r>
      <w:proofErr w:type="spellEnd"/>
      <w:r>
        <w:rPr>
          <w:spacing w:val="-2"/>
        </w:rPr>
        <w:t xml:space="preserve"> </w:t>
      </w:r>
      <w:r>
        <w:t>burden based on computed tomography (CT)/magnetic resonance imaging (MRI)</w:t>
      </w:r>
    </w:p>
    <w:p w14:paraId="453B0A02" w14:textId="77777777" w:rsidR="00AE135B" w:rsidRDefault="00EE5424">
      <w:pPr>
        <w:pStyle w:val="ListParagraph"/>
        <w:numPr>
          <w:ilvl w:val="0"/>
          <w:numId w:val="2"/>
        </w:numPr>
        <w:tabs>
          <w:tab w:val="left" w:pos="1027"/>
        </w:tabs>
        <w:spacing w:before="147" w:line="350" w:lineRule="auto"/>
        <w:ind w:right="258"/>
      </w:pPr>
      <w:r>
        <w:t>Modified</w:t>
      </w:r>
      <w:r>
        <w:rPr>
          <w:spacing w:val="40"/>
        </w:rPr>
        <w:t xml:space="preserve"> </w:t>
      </w:r>
      <w:r>
        <w:t>European</w:t>
      </w:r>
      <w:r>
        <w:rPr>
          <w:spacing w:val="40"/>
        </w:rPr>
        <w:t xml:space="preserve"> </w:t>
      </w:r>
      <w:proofErr w:type="spellStart"/>
      <w:r>
        <w:t>Organisation</w:t>
      </w:r>
      <w:proofErr w:type="spellEnd"/>
      <w:r>
        <w:rPr>
          <w:spacing w:val="40"/>
        </w:rPr>
        <w:t xml:space="preserve"> </w:t>
      </w:r>
      <w:r>
        <w:t>for</w:t>
      </w:r>
      <w:r>
        <w:rPr>
          <w:spacing w:val="40"/>
        </w:rPr>
        <w:t xml:space="preserve"> </w:t>
      </w:r>
      <w:r>
        <w:t>Research</w:t>
      </w:r>
      <w:r>
        <w:rPr>
          <w:spacing w:val="40"/>
        </w:rPr>
        <w:t xml:space="preserve"> </w:t>
      </w:r>
      <w:r>
        <w:t>and</w:t>
      </w:r>
      <w:r>
        <w:rPr>
          <w:spacing w:val="40"/>
        </w:rPr>
        <w:t xml:space="preserve"> </w:t>
      </w:r>
      <w:r>
        <w:t>Treatment</w:t>
      </w:r>
      <w:r>
        <w:rPr>
          <w:spacing w:val="40"/>
        </w:rPr>
        <w:t xml:space="preserve"> </w:t>
      </w:r>
      <w:r>
        <w:t>of</w:t>
      </w:r>
      <w:r>
        <w:rPr>
          <w:spacing w:val="40"/>
        </w:rPr>
        <w:t xml:space="preserve"> </w:t>
      </w:r>
      <w:r>
        <w:t>Cancer</w:t>
      </w:r>
      <w:r>
        <w:rPr>
          <w:spacing w:val="40"/>
        </w:rPr>
        <w:t xml:space="preserve"> </w:t>
      </w:r>
      <w:r>
        <w:t>(EORTC)</w:t>
      </w:r>
      <w:r>
        <w:rPr>
          <w:spacing w:val="40"/>
        </w:rPr>
        <w:t xml:space="preserve"> </w:t>
      </w:r>
      <w:r>
        <w:t>criteria</w:t>
      </w:r>
      <w:r>
        <w:rPr>
          <w:spacing w:val="40"/>
        </w:rPr>
        <w:t xml:space="preserve"> </w:t>
      </w:r>
      <w:r>
        <w:t>to evaluate</w:t>
      </w:r>
      <w:r>
        <w:rPr>
          <w:spacing w:val="-5"/>
        </w:rPr>
        <w:t xml:space="preserve"> </w:t>
      </w:r>
      <w:r>
        <w:t>metabolic</w:t>
      </w:r>
      <w:r>
        <w:rPr>
          <w:spacing w:val="-4"/>
        </w:rPr>
        <w:t xml:space="preserve"> </w:t>
      </w:r>
      <w:r>
        <w:t>response</w:t>
      </w:r>
      <w:r>
        <w:rPr>
          <w:spacing w:val="-3"/>
        </w:rPr>
        <w:t xml:space="preserve"> </w:t>
      </w:r>
      <w:r>
        <w:t>using</w:t>
      </w:r>
      <w:r>
        <w:rPr>
          <w:spacing w:val="-4"/>
        </w:rPr>
        <w:t xml:space="preserve"> </w:t>
      </w:r>
      <w:r>
        <w:t>fluorodeoxyglucose</w:t>
      </w:r>
      <w:r>
        <w:rPr>
          <w:spacing w:val="-4"/>
        </w:rPr>
        <w:t xml:space="preserve"> </w:t>
      </w:r>
      <w:r>
        <w:t>positron</w:t>
      </w:r>
      <w:r>
        <w:rPr>
          <w:spacing w:val="-2"/>
        </w:rPr>
        <w:t xml:space="preserve"> </w:t>
      </w:r>
      <w:r>
        <w:t>emission</w:t>
      </w:r>
      <w:r>
        <w:rPr>
          <w:spacing w:val="-4"/>
        </w:rPr>
        <w:t xml:space="preserve"> </w:t>
      </w:r>
      <w:r>
        <w:t>tomography</w:t>
      </w:r>
      <w:r>
        <w:rPr>
          <w:spacing w:val="-4"/>
        </w:rPr>
        <w:t xml:space="preserve"> </w:t>
      </w:r>
      <w:r>
        <w:t>(</w:t>
      </w:r>
      <w:proofErr w:type="spellStart"/>
      <w:r>
        <w:t>FDG</w:t>
      </w:r>
      <w:proofErr w:type="spellEnd"/>
      <w:r>
        <w:t>-PET)</w:t>
      </w:r>
    </w:p>
    <w:p w14:paraId="04FBD096" w14:textId="77777777" w:rsidR="00AE135B" w:rsidRDefault="00EE5424">
      <w:pPr>
        <w:pStyle w:val="ListParagraph"/>
        <w:numPr>
          <w:ilvl w:val="0"/>
          <w:numId w:val="2"/>
        </w:numPr>
        <w:tabs>
          <w:tab w:val="left" w:pos="1027"/>
        </w:tabs>
        <w:spacing w:before="143" w:line="348" w:lineRule="auto"/>
        <w:ind w:right="227"/>
      </w:pPr>
      <w:r>
        <w:t>Modified</w:t>
      </w:r>
      <w:r>
        <w:rPr>
          <w:spacing w:val="-13"/>
        </w:rPr>
        <w:t xml:space="preserve"> </w:t>
      </w:r>
      <w:r>
        <w:t>Inverse</w:t>
      </w:r>
      <w:r>
        <w:rPr>
          <w:spacing w:val="-12"/>
        </w:rPr>
        <w:t xml:space="preserve"> </w:t>
      </w:r>
      <w:r>
        <w:t>Choi</w:t>
      </w:r>
      <w:r>
        <w:rPr>
          <w:spacing w:val="-12"/>
        </w:rPr>
        <w:t xml:space="preserve"> </w:t>
      </w:r>
      <w:r>
        <w:t>criteria</w:t>
      </w:r>
      <w:r>
        <w:rPr>
          <w:spacing w:val="-9"/>
        </w:rPr>
        <w:t xml:space="preserve"> </w:t>
      </w:r>
      <w:r>
        <w:t>to</w:t>
      </w:r>
      <w:r>
        <w:rPr>
          <w:spacing w:val="-10"/>
        </w:rPr>
        <w:t xml:space="preserve"> </w:t>
      </w:r>
      <w:r>
        <w:t>evaluate</w:t>
      </w:r>
      <w:r>
        <w:rPr>
          <w:spacing w:val="-12"/>
        </w:rPr>
        <w:t xml:space="preserve"> </w:t>
      </w:r>
      <w:proofErr w:type="spellStart"/>
      <w:r>
        <w:t>tumour</w:t>
      </w:r>
      <w:proofErr w:type="spellEnd"/>
      <w:r>
        <w:rPr>
          <w:spacing w:val="-11"/>
        </w:rPr>
        <w:t xml:space="preserve"> </w:t>
      </w:r>
      <w:r>
        <w:t>size</w:t>
      </w:r>
      <w:r>
        <w:rPr>
          <w:spacing w:val="-13"/>
        </w:rPr>
        <w:t xml:space="preserve"> </w:t>
      </w:r>
      <w:r>
        <w:t>and</w:t>
      </w:r>
      <w:r>
        <w:rPr>
          <w:spacing w:val="-9"/>
        </w:rPr>
        <w:t xml:space="preserve"> </w:t>
      </w:r>
      <w:r>
        <w:t>density</w:t>
      </w:r>
      <w:r>
        <w:rPr>
          <w:spacing w:val="-11"/>
        </w:rPr>
        <w:t xml:space="preserve"> </w:t>
      </w:r>
      <w:r>
        <w:t>using</w:t>
      </w:r>
      <w:r>
        <w:rPr>
          <w:spacing w:val="-13"/>
        </w:rPr>
        <w:t xml:space="preserve"> </w:t>
      </w:r>
      <w:r>
        <w:t>Hounsfield</w:t>
      </w:r>
      <w:r>
        <w:rPr>
          <w:spacing w:val="-9"/>
        </w:rPr>
        <w:t xml:space="preserve"> </w:t>
      </w:r>
      <w:r>
        <w:t>units</w:t>
      </w:r>
      <w:r>
        <w:rPr>
          <w:spacing w:val="-9"/>
        </w:rPr>
        <w:t xml:space="preserve"> </w:t>
      </w:r>
      <w:r>
        <w:t>based</w:t>
      </w:r>
      <w:r>
        <w:rPr>
          <w:spacing w:val="-9"/>
        </w:rPr>
        <w:t xml:space="preserve"> </w:t>
      </w:r>
      <w:r>
        <w:t>on CT/MRI (Density/Size)</w:t>
      </w:r>
    </w:p>
    <w:p w14:paraId="33355606" w14:textId="743BFC3A" w:rsidR="00AE135B" w:rsidRDefault="00EE5424" w:rsidP="00401300">
      <w:pPr>
        <w:pStyle w:val="BodyText"/>
        <w:spacing w:before="149" w:line="360" w:lineRule="auto"/>
        <w:ind w:right="171" w:firstLine="48"/>
        <w:jc w:val="both"/>
        <w:rPr>
          <w:spacing w:val="-2"/>
        </w:rPr>
      </w:pPr>
      <w:r>
        <w:t>Denosumab</w:t>
      </w:r>
      <w:r>
        <w:rPr>
          <w:spacing w:val="-11"/>
        </w:rPr>
        <w:t xml:space="preserve"> </w:t>
      </w:r>
      <w:r>
        <w:t>achieved</w:t>
      </w:r>
      <w:r>
        <w:rPr>
          <w:spacing w:val="-11"/>
        </w:rPr>
        <w:t xml:space="preserve"> </w:t>
      </w:r>
      <w:r>
        <w:t>objective</w:t>
      </w:r>
      <w:r>
        <w:rPr>
          <w:spacing w:val="-8"/>
        </w:rPr>
        <w:t xml:space="preserve"> </w:t>
      </w:r>
      <w:proofErr w:type="spellStart"/>
      <w:r>
        <w:t>tumour</w:t>
      </w:r>
      <w:proofErr w:type="spellEnd"/>
      <w:r>
        <w:rPr>
          <w:spacing w:val="-10"/>
        </w:rPr>
        <w:t xml:space="preserve"> </w:t>
      </w:r>
      <w:r>
        <w:t>responses</w:t>
      </w:r>
      <w:r>
        <w:rPr>
          <w:spacing w:val="-8"/>
        </w:rPr>
        <w:t xml:space="preserve"> </w:t>
      </w:r>
      <w:r>
        <w:t>in</w:t>
      </w:r>
      <w:r>
        <w:rPr>
          <w:spacing w:val="-13"/>
        </w:rPr>
        <w:t xml:space="preserve"> </w:t>
      </w:r>
      <w:r>
        <w:t>136</w:t>
      </w:r>
      <w:r>
        <w:rPr>
          <w:spacing w:val="-12"/>
        </w:rPr>
        <w:t xml:space="preserve"> </w:t>
      </w:r>
      <w:r>
        <w:t>of</w:t>
      </w:r>
      <w:r>
        <w:rPr>
          <w:spacing w:val="-11"/>
        </w:rPr>
        <w:t xml:space="preserve"> </w:t>
      </w:r>
      <w:r>
        <w:t>these</w:t>
      </w:r>
      <w:r>
        <w:rPr>
          <w:spacing w:val="-12"/>
        </w:rPr>
        <w:t xml:space="preserve"> </w:t>
      </w:r>
      <w:r>
        <w:t>190</w:t>
      </w:r>
      <w:r>
        <w:rPr>
          <w:spacing w:val="-12"/>
        </w:rPr>
        <w:t xml:space="preserve"> </w:t>
      </w:r>
      <w:r>
        <w:t>patients</w:t>
      </w:r>
      <w:r>
        <w:rPr>
          <w:spacing w:val="-10"/>
        </w:rPr>
        <w:t xml:space="preserve"> </w:t>
      </w:r>
      <w:r>
        <w:t>(71.6</w:t>
      </w:r>
      <w:r>
        <w:rPr>
          <w:spacing w:val="-8"/>
        </w:rPr>
        <w:t xml:space="preserve"> </w:t>
      </w:r>
      <w:r>
        <w:t>%;</w:t>
      </w:r>
      <w:r>
        <w:rPr>
          <w:spacing w:val="-12"/>
        </w:rPr>
        <w:t xml:space="preserve"> </w:t>
      </w:r>
      <w:r>
        <w:t>95</w:t>
      </w:r>
      <w:r>
        <w:rPr>
          <w:spacing w:val="-10"/>
        </w:rPr>
        <w:t xml:space="preserve"> </w:t>
      </w:r>
      <w:r>
        <w:t>%</w:t>
      </w:r>
      <w:r>
        <w:rPr>
          <w:spacing w:val="-8"/>
        </w:rPr>
        <w:t xml:space="preserve"> </w:t>
      </w:r>
      <w:r>
        <w:t>CI:</w:t>
      </w:r>
      <w:r>
        <w:rPr>
          <w:spacing w:val="-10"/>
        </w:rPr>
        <w:t xml:space="preserve"> </w:t>
      </w:r>
      <w:r>
        <w:t>64.6,</w:t>
      </w:r>
      <w:r>
        <w:rPr>
          <w:spacing w:val="-10"/>
        </w:rPr>
        <w:t xml:space="preserve"> </w:t>
      </w:r>
      <w:r>
        <w:t>77.9) (see Table 5). The median time to response was 3.1 months (95 % CI: 2.89, 3.65). The median duration of response</w:t>
      </w:r>
      <w:r>
        <w:rPr>
          <w:spacing w:val="-3"/>
        </w:rPr>
        <w:t xml:space="preserve"> </w:t>
      </w:r>
      <w:r>
        <w:t>was</w:t>
      </w:r>
      <w:r>
        <w:rPr>
          <w:spacing w:val="-1"/>
        </w:rPr>
        <w:t xml:space="preserve"> </w:t>
      </w:r>
      <w:r>
        <w:t>not</w:t>
      </w:r>
      <w:r>
        <w:rPr>
          <w:spacing w:val="-1"/>
        </w:rPr>
        <w:t xml:space="preserve"> </w:t>
      </w:r>
      <w:r>
        <w:t>estimable, as</w:t>
      </w:r>
      <w:r>
        <w:rPr>
          <w:spacing w:val="-1"/>
        </w:rPr>
        <w:t xml:space="preserve"> </w:t>
      </w:r>
      <w:r>
        <w:t>few</w:t>
      </w:r>
      <w:r>
        <w:rPr>
          <w:spacing w:val="-2"/>
        </w:rPr>
        <w:t xml:space="preserve"> </w:t>
      </w:r>
      <w:r>
        <w:t>patients</w:t>
      </w:r>
      <w:r>
        <w:rPr>
          <w:spacing w:val="-3"/>
        </w:rPr>
        <w:t xml:space="preserve"> </w:t>
      </w:r>
      <w:r>
        <w:t>experienced disease progression,</w:t>
      </w:r>
      <w:r>
        <w:rPr>
          <w:spacing w:val="-3"/>
        </w:rPr>
        <w:t xml:space="preserve"> </w:t>
      </w:r>
      <w:r>
        <w:t>with</w:t>
      </w:r>
      <w:r>
        <w:rPr>
          <w:spacing w:val="-4"/>
        </w:rPr>
        <w:t xml:space="preserve"> </w:t>
      </w:r>
      <w:r>
        <w:t>a</w:t>
      </w:r>
      <w:r>
        <w:rPr>
          <w:spacing w:val="-4"/>
        </w:rPr>
        <w:t xml:space="preserve"> </w:t>
      </w:r>
      <w:r>
        <w:t>median</w:t>
      </w:r>
      <w:r>
        <w:rPr>
          <w:spacing w:val="-2"/>
        </w:rPr>
        <w:t xml:space="preserve"> </w:t>
      </w:r>
      <w:r>
        <w:t>follow-up</w:t>
      </w:r>
      <w:r>
        <w:rPr>
          <w:spacing w:val="-7"/>
        </w:rPr>
        <w:t xml:space="preserve"> </w:t>
      </w:r>
      <w:r>
        <w:t>of</w:t>
      </w:r>
      <w:r w:rsidR="00401300">
        <w:t xml:space="preserve"> </w:t>
      </w:r>
      <w:r>
        <w:t>13.4</w:t>
      </w:r>
      <w:r>
        <w:rPr>
          <w:spacing w:val="-5"/>
        </w:rPr>
        <w:t xml:space="preserve"> </w:t>
      </w:r>
      <w:r>
        <w:t>months.</w:t>
      </w:r>
      <w:r>
        <w:rPr>
          <w:spacing w:val="-1"/>
        </w:rPr>
        <w:t xml:space="preserve"> </w:t>
      </w:r>
      <w:r>
        <w:t>Efficacy</w:t>
      </w:r>
      <w:r>
        <w:rPr>
          <w:spacing w:val="-2"/>
        </w:rPr>
        <w:t xml:space="preserve"> </w:t>
      </w:r>
      <w:r>
        <w:t>results in</w:t>
      </w:r>
      <w:r>
        <w:rPr>
          <w:spacing w:val="-1"/>
        </w:rPr>
        <w:t xml:space="preserve"> </w:t>
      </w:r>
      <w:r>
        <w:t>skeletally mature</w:t>
      </w:r>
      <w:r>
        <w:rPr>
          <w:spacing w:val="-1"/>
        </w:rPr>
        <w:t xml:space="preserve"> </w:t>
      </w:r>
      <w:r>
        <w:t>adolescents appeared</w:t>
      </w:r>
      <w:r>
        <w:rPr>
          <w:spacing w:val="-1"/>
        </w:rPr>
        <w:t xml:space="preserve"> </w:t>
      </w:r>
      <w:r>
        <w:t xml:space="preserve">to be </w:t>
      </w:r>
      <w:proofErr w:type="gramStart"/>
      <w:r>
        <w:t>similar</w:t>
      </w:r>
      <w:r>
        <w:rPr>
          <w:spacing w:val="-1"/>
        </w:rPr>
        <w:t xml:space="preserve"> </w:t>
      </w:r>
      <w:r>
        <w:t>to</w:t>
      </w:r>
      <w:proofErr w:type="gramEnd"/>
      <w:r>
        <w:t xml:space="preserve"> those</w:t>
      </w:r>
      <w:r>
        <w:rPr>
          <w:spacing w:val="-3"/>
        </w:rPr>
        <w:t xml:space="preserve"> </w:t>
      </w:r>
      <w:r>
        <w:t xml:space="preserve">observed in </w:t>
      </w:r>
      <w:r>
        <w:rPr>
          <w:spacing w:val="-2"/>
        </w:rPr>
        <w:t>adults.</w:t>
      </w:r>
    </w:p>
    <w:p w14:paraId="3655C6F0" w14:textId="77777777" w:rsidR="00401300" w:rsidRDefault="00401300" w:rsidP="00401300"/>
    <w:p w14:paraId="376F688F" w14:textId="77777777" w:rsidR="00AE135B" w:rsidRDefault="00EE5424">
      <w:pPr>
        <w:spacing w:before="30"/>
        <w:ind w:left="545"/>
        <w:rPr>
          <w:b/>
        </w:rPr>
      </w:pPr>
      <w:r>
        <w:rPr>
          <w:b/>
        </w:rPr>
        <w:t>Table</w:t>
      </w:r>
      <w:r>
        <w:rPr>
          <w:b/>
          <w:spacing w:val="-15"/>
        </w:rPr>
        <w:t xml:space="preserve"> </w:t>
      </w:r>
      <w:r>
        <w:rPr>
          <w:b/>
        </w:rPr>
        <w:t>4.</w:t>
      </w:r>
      <w:r>
        <w:rPr>
          <w:b/>
          <w:spacing w:val="13"/>
        </w:rPr>
        <w:t xml:space="preserve"> </w:t>
      </w:r>
      <w:r>
        <w:rPr>
          <w:b/>
        </w:rPr>
        <w:t>Distribution</w:t>
      </w:r>
      <w:r>
        <w:rPr>
          <w:b/>
          <w:spacing w:val="-12"/>
        </w:rPr>
        <w:t xml:space="preserve"> </w:t>
      </w:r>
      <w:r>
        <w:rPr>
          <w:b/>
        </w:rPr>
        <w:t>of</w:t>
      </w:r>
      <w:r>
        <w:rPr>
          <w:b/>
          <w:spacing w:val="-11"/>
        </w:rPr>
        <w:t xml:space="preserve"> </w:t>
      </w:r>
      <w:r>
        <w:rPr>
          <w:b/>
        </w:rPr>
        <w:t>Planned</w:t>
      </w:r>
      <w:r>
        <w:rPr>
          <w:b/>
          <w:spacing w:val="-11"/>
        </w:rPr>
        <w:t xml:space="preserve"> </w:t>
      </w:r>
      <w:r>
        <w:rPr>
          <w:b/>
        </w:rPr>
        <w:t>Versus</w:t>
      </w:r>
      <w:r>
        <w:rPr>
          <w:b/>
          <w:spacing w:val="-12"/>
        </w:rPr>
        <w:t xml:space="preserve"> </w:t>
      </w:r>
      <w:r>
        <w:rPr>
          <w:b/>
        </w:rPr>
        <w:t>Actual</w:t>
      </w:r>
      <w:r>
        <w:rPr>
          <w:b/>
          <w:spacing w:val="-13"/>
        </w:rPr>
        <w:t xml:space="preserve"> </w:t>
      </w:r>
      <w:r>
        <w:rPr>
          <w:b/>
        </w:rPr>
        <w:t>Surgery</w:t>
      </w:r>
      <w:r>
        <w:rPr>
          <w:b/>
          <w:spacing w:val="-11"/>
        </w:rPr>
        <w:t xml:space="preserve"> </w:t>
      </w:r>
      <w:r>
        <w:rPr>
          <w:b/>
        </w:rPr>
        <w:t>in</w:t>
      </w:r>
      <w:r>
        <w:rPr>
          <w:b/>
          <w:spacing w:val="-13"/>
        </w:rPr>
        <w:t xml:space="preserve"> </w:t>
      </w:r>
      <w:r>
        <w:rPr>
          <w:b/>
        </w:rPr>
        <w:t>Patients</w:t>
      </w:r>
      <w:r>
        <w:rPr>
          <w:b/>
          <w:spacing w:val="-13"/>
        </w:rPr>
        <w:t xml:space="preserve"> </w:t>
      </w:r>
      <w:r>
        <w:rPr>
          <w:b/>
        </w:rPr>
        <w:t>with</w:t>
      </w:r>
      <w:r>
        <w:rPr>
          <w:b/>
          <w:spacing w:val="-12"/>
        </w:rPr>
        <w:t xml:space="preserve"> </w:t>
      </w:r>
      <w:r>
        <w:rPr>
          <w:b/>
        </w:rPr>
        <w:t>Giant</w:t>
      </w:r>
      <w:r>
        <w:rPr>
          <w:b/>
          <w:spacing w:val="-12"/>
        </w:rPr>
        <w:t xml:space="preserve"> </w:t>
      </w:r>
      <w:r>
        <w:rPr>
          <w:b/>
        </w:rPr>
        <w:t>Cell</w:t>
      </w:r>
      <w:r>
        <w:rPr>
          <w:b/>
          <w:spacing w:val="-10"/>
        </w:rPr>
        <w:t xml:space="preserve"> </w:t>
      </w:r>
      <w:proofErr w:type="spellStart"/>
      <w:r>
        <w:rPr>
          <w:b/>
        </w:rPr>
        <w:t>Tumour</w:t>
      </w:r>
      <w:proofErr w:type="spellEnd"/>
      <w:r>
        <w:rPr>
          <w:b/>
          <w:spacing w:val="-8"/>
        </w:rPr>
        <w:t xml:space="preserve"> </w:t>
      </w:r>
      <w:r>
        <w:rPr>
          <w:b/>
        </w:rPr>
        <w:t>of</w:t>
      </w:r>
      <w:r>
        <w:rPr>
          <w:b/>
          <w:spacing w:val="-10"/>
        </w:rPr>
        <w:t xml:space="preserve"> </w:t>
      </w:r>
      <w:r>
        <w:rPr>
          <w:b/>
          <w:spacing w:val="-4"/>
        </w:rPr>
        <w:t>Bone</w:t>
      </w:r>
    </w:p>
    <w:p w14:paraId="480B163B" w14:textId="77777777" w:rsidR="00AE135B" w:rsidRDefault="00EE5424">
      <w:pPr>
        <w:ind w:left="336" w:right="2501"/>
        <w:jc w:val="center"/>
        <w:rPr>
          <w:b/>
        </w:rPr>
      </w:pPr>
      <w:r>
        <w:rPr>
          <w:b/>
          <w:spacing w:val="-2"/>
        </w:rPr>
        <w:t>(Cohort</w:t>
      </w:r>
      <w:r>
        <w:rPr>
          <w:b/>
        </w:rPr>
        <w:t xml:space="preserve"> </w:t>
      </w:r>
      <w:r>
        <w:rPr>
          <w:b/>
          <w:spacing w:val="-5"/>
        </w:rPr>
        <w:t>2)</w:t>
      </w:r>
    </w:p>
    <w:p w14:paraId="6C60BEEE" w14:textId="77777777" w:rsidR="00AE135B" w:rsidRDefault="00AE135B">
      <w:pPr>
        <w:pStyle w:val="BodyText"/>
        <w:spacing w:before="6" w:after="1"/>
        <w:ind w:left="0"/>
        <w:rPr>
          <w:b/>
          <w:sz w:val="8"/>
        </w:rPr>
      </w:pP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2"/>
        <w:gridCol w:w="2369"/>
        <w:gridCol w:w="2463"/>
      </w:tblGrid>
      <w:tr w:rsidR="00AE135B" w14:paraId="751ECF01" w14:textId="77777777" w:rsidTr="00EE5424">
        <w:trPr>
          <w:trHeight w:val="683"/>
          <w:tblHeader/>
        </w:trPr>
        <w:tc>
          <w:tcPr>
            <w:tcW w:w="3812" w:type="dxa"/>
          </w:tcPr>
          <w:p w14:paraId="5689A712" w14:textId="77777777" w:rsidR="00AE135B" w:rsidRDefault="00EE5424">
            <w:pPr>
              <w:pStyle w:val="TableParagraph"/>
              <w:spacing w:before="205"/>
              <w:ind w:left="117"/>
              <w:rPr>
                <w:b/>
              </w:rPr>
            </w:pPr>
            <w:r>
              <w:rPr>
                <w:b/>
                <w:spacing w:val="-2"/>
              </w:rPr>
              <w:t>Surgical</w:t>
            </w:r>
            <w:r>
              <w:rPr>
                <w:b/>
                <w:spacing w:val="-8"/>
              </w:rPr>
              <w:t xml:space="preserve"> </w:t>
            </w:r>
            <w:r>
              <w:rPr>
                <w:b/>
                <w:spacing w:val="-2"/>
              </w:rPr>
              <w:t>Procedure,</w:t>
            </w:r>
            <w:r>
              <w:rPr>
                <w:b/>
                <w:spacing w:val="-7"/>
              </w:rPr>
              <w:t xml:space="preserve"> </w:t>
            </w:r>
            <w:r>
              <w:rPr>
                <w:b/>
                <w:spacing w:val="-10"/>
              </w:rPr>
              <w:t>n</w:t>
            </w:r>
          </w:p>
        </w:tc>
        <w:tc>
          <w:tcPr>
            <w:tcW w:w="2369" w:type="dxa"/>
          </w:tcPr>
          <w:p w14:paraId="79DB4C0E" w14:textId="77777777" w:rsidR="00AE135B" w:rsidRDefault="00EE5424">
            <w:pPr>
              <w:pStyle w:val="TableParagraph"/>
              <w:spacing w:before="0" w:line="340" w:lineRule="exact"/>
              <w:ind w:left="789" w:right="409" w:hanging="360"/>
              <w:rPr>
                <w:b/>
              </w:rPr>
            </w:pPr>
            <w:r>
              <w:rPr>
                <w:b/>
                <w:spacing w:val="-4"/>
              </w:rPr>
              <w:t>Baseline</w:t>
            </w:r>
            <w:r>
              <w:rPr>
                <w:b/>
                <w:spacing w:val="-17"/>
              </w:rPr>
              <w:t xml:space="preserve"> </w:t>
            </w:r>
            <w:r>
              <w:rPr>
                <w:b/>
                <w:spacing w:val="-4"/>
              </w:rPr>
              <w:t xml:space="preserve">Planned </w:t>
            </w:r>
            <w:r>
              <w:rPr>
                <w:b/>
              </w:rPr>
              <w:t>(N = 100)</w:t>
            </w:r>
          </w:p>
        </w:tc>
        <w:tc>
          <w:tcPr>
            <w:tcW w:w="2463" w:type="dxa"/>
          </w:tcPr>
          <w:p w14:paraId="6D01B237" w14:textId="77777777" w:rsidR="00AE135B" w:rsidRDefault="00EE5424">
            <w:pPr>
              <w:pStyle w:val="TableParagraph"/>
              <w:spacing w:before="0" w:line="340" w:lineRule="exact"/>
              <w:ind w:left="861" w:right="549" w:hanging="185"/>
              <w:rPr>
                <w:b/>
              </w:rPr>
            </w:pPr>
            <w:r>
              <w:rPr>
                <w:b/>
                <w:spacing w:val="-4"/>
              </w:rPr>
              <w:t>Actual</w:t>
            </w:r>
            <w:r>
              <w:rPr>
                <w:b/>
                <w:spacing w:val="-20"/>
              </w:rPr>
              <w:t xml:space="preserve"> </w:t>
            </w:r>
            <w:r>
              <w:rPr>
                <w:b/>
                <w:spacing w:val="-4"/>
              </w:rPr>
              <w:t xml:space="preserve">Total </w:t>
            </w:r>
            <w:r>
              <w:rPr>
                <w:b/>
              </w:rPr>
              <w:t>(N = 26)</w:t>
            </w:r>
          </w:p>
        </w:tc>
      </w:tr>
      <w:tr w:rsidR="00AE135B" w14:paraId="71D2D42D" w14:textId="77777777">
        <w:trPr>
          <w:trHeight w:val="369"/>
        </w:trPr>
        <w:tc>
          <w:tcPr>
            <w:tcW w:w="3812" w:type="dxa"/>
          </w:tcPr>
          <w:p w14:paraId="39F85046" w14:textId="77777777" w:rsidR="00AE135B" w:rsidRDefault="00EE5424">
            <w:pPr>
              <w:pStyle w:val="TableParagraph"/>
              <w:ind w:left="117"/>
            </w:pPr>
            <w:r>
              <w:rPr>
                <w:spacing w:val="-2"/>
              </w:rPr>
              <w:t>Total</w:t>
            </w:r>
            <w:r>
              <w:rPr>
                <w:spacing w:val="-7"/>
              </w:rPr>
              <w:t xml:space="preserve"> </w:t>
            </w:r>
            <w:r>
              <w:rPr>
                <w:spacing w:val="-2"/>
              </w:rPr>
              <w:t>number</w:t>
            </w:r>
            <w:r>
              <w:rPr>
                <w:spacing w:val="-3"/>
              </w:rPr>
              <w:t xml:space="preserve"> </w:t>
            </w:r>
            <w:r>
              <w:rPr>
                <w:spacing w:val="-2"/>
              </w:rPr>
              <w:t>of</w:t>
            </w:r>
            <w:r>
              <w:rPr>
                <w:spacing w:val="-3"/>
              </w:rPr>
              <w:t xml:space="preserve"> </w:t>
            </w:r>
            <w:r>
              <w:rPr>
                <w:spacing w:val="-2"/>
              </w:rPr>
              <w:t>surgeries</w:t>
            </w:r>
          </w:p>
        </w:tc>
        <w:tc>
          <w:tcPr>
            <w:tcW w:w="2369" w:type="dxa"/>
          </w:tcPr>
          <w:p w14:paraId="062C7176" w14:textId="77777777" w:rsidR="00AE135B" w:rsidRDefault="00EE5424">
            <w:pPr>
              <w:pStyle w:val="TableParagraph"/>
              <w:ind w:left="47" w:right="12"/>
              <w:jc w:val="center"/>
            </w:pPr>
            <w:r>
              <w:rPr>
                <w:spacing w:val="-5"/>
              </w:rPr>
              <w:t>100</w:t>
            </w:r>
          </w:p>
        </w:tc>
        <w:tc>
          <w:tcPr>
            <w:tcW w:w="2463" w:type="dxa"/>
          </w:tcPr>
          <w:p w14:paraId="72098226" w14:textId="77777777" w:rsidR="00AE135B" w:rsidRDefault="00EE5424">
            <w:pPr>
              <w:pStyle w:val="TableParagraph"/>
              <w:ind w:left="49" w:right="15"/>
              <w:jc w:val="center"/>
            </w:pPr>
            <w:r>
              <w:rPr>
                <w:spacing w:val="-5"/>
              </w:rPr>
              <w:t>26</w:t>
            </w:r>
          </w:p>
        </w:tc>
      </w:tr>
      <w:tr w:rsidR="00AE135B" w14:paraId="5182FD15" w14:textId="77777777">
        <w:trPr>
          <w:trHeight w:val="373"/>
        </w:trPr>
        <w:tc>
          <w:tcPr>
            <w:tcW w:w="3812" w:type="dxa"/>
          </w:tcPr>
          <w:p w14:paraId="4022C399" w14:textId="77777777" w:rsidR="00AE135B" w:rsidRDefault="00EE5424">
            <w:pPr>
              <w:pStyle w:val="TableParagraph"/>
              <w:spacing w:before="61"/>
              <w:ind w:left="117"/>
            </w:pPr>
            <w:r>
              <w:rPr>
                <w:spacing w:val="-2"/>
              </w:rPr>
              <w:t>Major</w:t>
            </w:r>
            <w:r>
              <w:rPr>
                <w:spacing w:val="-6"/>
              </w:rPr>
              <w:t xml:space="preserve"> </w:t>
            </w:r>
            <w:r>
              <w:rPr>
                <w:spacing w:val="-2"/>
              </w:rPr>
              <w:t>surgeries</w:t>
            </w:r>
          </w:p>
        </w:tc>
        <w:tc>
          <w:tcPr>
            <w:tcW w:w="2369" w:type="dxa"/>
          </w:tcPr>
          <w:p w14:paraId="10B6AB29" w14:textId="77777777" w:rsidR="00AE135B" w:rsidRDefault="00EE5424">
            <w:pPr>
              <w:pStyle w:val="TableParagraph"/>
              <w:spacing w:before="61"/>
              <w:ind w:left="47" w:right="21"/>
              <w:jc w:val="center"/>
            </w:pPr>
            <w:r>
              <w:rPr>
                <w:spacing w:val="-5"/>
              </w:rPr>
              <w:t>44</w:t>
            </w:r>
          </w:p>
        </w:tc>
        <w:tc>
          <w:tcPr>
            <w:tcW w:w="2463" w:type="dxa"/>
          </w:tcPr>
          <w:p w14:paraId="4AD110EC" w14:textId="77777777" w:rsidR="00AE135B" w:rsidRDefault="00EE5424">
            <w:pPr>
              <w:pStyle w:val="TableParagraph"/>
              <w:spacing w:before="61"/>
              <w:ind w:left="49"/>
              <w:jc w:val="center"/>
            </w:pPr>
            <w:r>
              <w:rPr>
                <w:spacing w:val="-10"/>
              </w:rPr>
              <w:t>3</w:t>
            </w:r>
          </w:p>
        </w:tc>
      </w:tr>
      <w:tr w:rsidR="00AE135B" w14:paraId="4843DB0D" w14:textId="77777777">
        <w:trPr>
          <w:trHeight w:val="374"/>
        </w:trPr>
        <w:tc>
          <w:tcPr>
            <w:tcW w:w="3812" w:type="dxa"/>
          </w:tcPr>
          <w:p w14:paraId="2933F62E" w14:textId="77777777" w:rsidR="00AE135B" w:rsidRDefault="00EE5424">
            <w:pPr>
              <w:pStyle w:val="TableParagraph"/>
              <w:ind w:left="434"/>
            </w:pPr>
            <w:r>
              <w:rPr>
                <w:spacing w:val="-2"/>
              </w:rPr>
              <w:t>Hemipelvectomy</w:t>
            </w:r>
          </w:p>
        </w:tc>
        <w:tc>
          <w:tcPr>
            <w:tcW w:w="2369" w:type="dxa"/>
          </w:tcPr>
          <w:p w14:paraId="49781D99" w14:textId="77777777" w:rsidR="00AE135B" w:rsidRDefault="00EE5424">
            <w:pPr>
              <w:pStyle w:val="TableParagraph"/>
              <w:ind w:left="47"/>
              <w:jc w:val="center"/>
            </w:pPr>
            <w:r>
              <w:rPr>
                <w:spacing w:val="-10"/>
              </w:rPr>
              <w:t>4</w:t>
            </w:r>
          </w:p>
        </w:tc>
        <w:tc>
          <w:tcPr>
            <w:tcW w:w="2463" w:type="dxa"/>
          </w:tcPr>
          <w:p w14:paraId="20145D16" w14:textId="77777777" w:rsidR="00AE135B" w:rsidRDefault="00EE5424">
            <w:pPr>
              <w:pStyle w:val="TableParagraph"/>
              <w:ind w:left="49"/>
              <w:jc w:val="center"/>
            </w:pPr>
            <w:r>
              <w:rPr>
                <w:spacing w:val="-10"/>
              </w:rPr>
              <w:t>0</w:t>
            </w:r>
          </w:p>
        </w:tc>
      </w:tr>
      <w:tr w:rsidR="00AE135B" w14:paraId="5C26C40C" w14:textId="77777777">
        <w:trPr>
          <w:trHeight w:val="369"/>
        </w:trPr>
        <w:tc>
          <w:tcPr>
            <w:tcW w:w="3812" w:type="dxa"/>
          </w:tcPr>
          <w:p w14:paraId="6E375531" w14:textId="77777777" w:rsidR="00AE135B" w:rsidRDefault="00EE5424">
            <w:pPr>
              <w:pStyle w:val="TableParagraph"/>
              <w:ind w:left="434"/>
            </w:pPr>
            <w:r>
              <w:rPr>
                <w:spacing w:val="-2"/>
              </w:rPr>
              <w:t>Amputation</w:t>
            </w:r>
          </w:p>
        </w:tc>
        <w:tc>
          <w:tcPr>
            <w:tcW w:w="2369" w:type="dxa"/>
          </w:tcPr>
          <w:p w14:paraId="5BCC1FFA" w14:textId="77777777" w:rsidR="00AE135B" w:rsidRDefault="00EE5424">
            <w:pPr>
              <w:pStyle w:val="TableParagraph"/>
              <w:ind w:left="47" w:right="21"/>
              <w:jc w:val="center"/>
            </w:pPr>
            <w:r>
              <w:rPr>
                <w:spacing w:val="-5"/>
              </w:rPr>
              <w:t>17</w:t>
            </w:r>
          </w:p>
        </w:tc>
        <w:tc>
          <w:tcPr>
            <w:tcW w:w="2463" w:type="dxa"/>
          </w:tcPr>
          <w:p w14:paraId="40F3984E" w14:textId="77777777" w:rsidR="00AE135B" w:rsidRDefault="00EE5424">
            <w:pPr>
              <w:pStyle w:val="TableParagraph"/>
              <w:ind w:left="49"/>
              <w:jc w:val="center"/>
            </w:pPr>
            <w:r>
              <w:rPr>
                <w:spacing w:val="-10"/>
              </w:rPr>
              <w:t>0</w:t>
            </w:r>
          </w:p>
        </w:tc>
      </w:tr>
      <w:tr w:rsidR="00AE135B" w14:paraId="2DEDF8AA" w14:textId="77777777">
        <w:trPr>
          <w:trHeight w:val="374"/>
        </w:trPr>
        <w:tc>
          <w:tcPr>
            <w:tcW w:w="3812" w:type="dxa"/>
          </w:tcPr>
          <w:p w14:paraId="563BE6C9" w14:textId="77777777" w:rsidR="00AE135B" w:rsidRDefault="00EE5424">
            <w:pPr>
              <w:pStyle w:val="TableParagraph"/>
              <w:ind w:left="434"/>
            </w:pPr>
            <w:r>
              <w:rPr>
                <w:spacing w:val="-4"/>
              </w:rPr>
              <w:lastRenderedPageBreak/>
              <w:t>Joint/prosthesis</w:t>
            </w:r>
            <w:r>
              <w:rPr>
                <w:spacing w:val="13"/>
              </w:rPr>
              <w:t xml:space="preserve"> </w:t>
            </w:r>
            <w:r>
              <w:rPr>
                <w:spacing w:val="-2"/>
              </w:rPr>
              <w:t>replacement</w:t>
            </w:r>
          </w:p>
        </w:tc>
        <w:tc>
          <w:tcPr>
            <w:tcW w:w="2369" w:type="dxa"/>
          </w:tcPr>
          <w:p w14:paraId="53119279" w14:textId="77777777" w:rsidR="00AE135B" w:rsidRDefault="00EE5424">
            <w:pPr>
              <w:pStyle w:val="TableParagraph"/>
              <w:ind w:left="47"/>
              <w:jc w:val="center"/>
            </w:pPr>
            <w:r>
              <w:rPr>
                <w:spacing w:val="-10"/>
              </w:rPr>
              <w:t>9</w:t>
            </w:r>
          </w:p>
        </w:tc>
        <w:tc>
          <w:tcPr>
            <w:tcW w:w="2463" w:type="dxa"/>
          </w:tcPr>
          <w:p w14:paraId="642D038C" w14:textId="77777777" w:rsidR="00AE135B" w:rsidRDefault="00EE5424">
            <w:pPr>
              <w:pStyle w:val="TableParagraph"/>
              <w:ind w:left="49"/>
              <w:jc w:val="center"/>
            </w:pPr>
            <w:r>
              <w:rPr>
                <w:spacing w:val="-10"/>
              </w:rPr>
              <w:t>1</w:t>
            </w:r>
          </w:p>
        </w:tc>
      </w:tr>
      <w:tr w:rsidR="00AE135B" w14:paraId="6BF84BBE" w14:textId="77777777">
        <w:trPr>
          <w:trHeight w:val="369"/>
        </w:trPr>
        <w:tc>
          <w:tcPr>
            <w:tcW w:w="3812" w:type="dxa"/>
          </w:tcPr>
          <w:p w14:paraId="1D694D54" w14:textId="77777777" w:rsidR="00AE135B" w:rsidRDefault="00EE5424">
            <w:pPr>
              <w:pStyle w:val="TableParagraph"/>
              <w:ind w:left="434"/>
            </w:pPr>
            <w:r>
              <w:rPr>
                <w:spacing w:val="-2"/>
              </w:rPr>
              <w:t>Joint</w:t>
            </w:r>
            <w:r>
              <w:rPr>
                <w:spacing w:val="-4"/>
              </w:rPr>
              <w:t xml:space="preserve"> </w:t>
            </w:r>
            <w:r>
              <w:rPr>
                <w:spacing w:val="-2"/>
              </w:rPr>
              <w:t>resection</w:t>
            </w:r>
          </w:p>
        </w:tc>
        <w:tc>
          <w:tcPr>
            <w:tcW w:w="2369" w:type="dxa"/>
          </w:tcPr>
          <w:p w14:paraId="6BC85280" w14:textId="77777777" w:rsidR="00AE135B" w:rsidRDefault="00EE5424">
            <w:pPr>
              <w:pStyle w:val="TableParagraph"/>
              <w:ind w:left="47" w:right="21"/>
              <w:jc w:val="center"/>
            </w:pPr>
            <w:r>
              <w:rPr>
                <w:spacing w:val="-5"/>
              </w:rPr>
              <w:t>14</w:t>
            </w:r>
          </w:p>
        </w:tc>
        <w:tc>
          <w:tcPr>
            <w:tcW w:w="2463" w:type="dxa"/>
          </w:tcPr>
          <w:p w14:paraId="7F11E12C" w14:textId="77777777" w:rsidR="00AE135B" w:rsidRDefault="00EE5424">
            <w:pPr>
              <w:pStyle w:val="TableParagraph"/>
              <w:ind w:left="49"/>
              <w:jc w:val="center"/>
            </w:pPr>
            <w:r>
              <w:rPr>
                <w:spacing w:val="-10"/>
              </w:rPr>
              <w:t>2</w:t>
            </w:r>
          </w:p>
        </w:tc>
      </w:tr>
      <w:tr w:rsidR="00AE135B" w14:paraId="1CC0E47D" w14:textId="77777777">
        <w:trPr>
          <w:trHeight w:val="625"/>
        </w:trPr>
        <w:tc>
          <w:tcPr>
            <w:tcW w:w="3812" w:type="dxa"/>
          </w:tcPr>
          <w:p w14:paraId="2F7EB47B" w14:textId="77777777" w:rsidR="00AE135B" w:rsidRDefault="00EE5424">
            <w:pPr>
              <w:pStyle w:val="TableParagraph"/>
              <w:spacing w:line="242" w:lineRule="auto"/>
              <w:ind w:left="117" w:right="354"/>
            </w:pPr>
            <w:r>
              <w:t>Marginal</w:t>
            </w:r>
            <w:r>
              <w:rPr>
                <w:spacing w:val="-14"/>
              </w:rPr>
              <w:t xml:space="preserve"> </w:t>
            </w:r>
            <w:r>
              <w:t>excision,</w:t>
            </w:r>
            <w:r>
              <w:rPr>
                <w:spacing w:val="-13"/>
              </w:rPr>
              <w:t xml:space="preserve"> </w:t>
            </w:r>
            <w:proofErr w:type="spellStart"/>
            <w:r>
              <w:t>en</w:t>
            </w:r>
            <w:proofErr w:type="spellEnd"/>
            <w:r>
              <w:rPr>
                <w:spacing w:val="-14"/>
              </w:rPr>
              <w:t xml:space="preserve"> </w:t>
            </w:r>
            <w:r>
              <w:t>bloc</w:t>
            </w:r>
            <w:r>
              <w:rPr>
                <w:spacing w:val="-12"/>
              </w:rPr>
              <w:t xml:space="preserve"> </w:t>
            </w:r>
            <w:r>
              <w:t>excision,</w:t>
            </w:r>
            <w:r>
              <w:rPr>
                <w:spacing w:val="-16"/>
              </w:rPr>
              <w:t xml:space="preserve"> </w:t>
            </w:r>
            <w:r>
              <w:t xml:space="preserve">or </w:t>
            </w:r>
            <w:proofErr w:type="spellStart"/>
            <w:r>
              <w:t>en</w:t>
            </w:r>
            <w:proofErr w:type="spellEnd"/>
            <w:r>
              <w:t xml:space="preserve"> bloc resection</w:t>
            </w:r>
          </w:p>
        </w:tc>
        <w:tc>
          <w:tcPr>
            <w:tcW w:w="2369" w:type="dxa"/>
          </w:tcPr>
          <w:p w14:paraId="2ADEA149" w14:textId="77777777" w:rsidR="00AE135B" w:rsidRDefault="00EE5424">
            <w:pPr>
              <w:pStyle w:val="TableParagraph"/>
              <w:ind w:left="47" w:right="21"/>
              <w:jc w:val="center"/>
            </w:pPr>
            <w:r>
              <w:rPr>
                <w:spacing w:val="-5"/>
              </w:rPr>
              <w:t>42</w:t>
            </w:r>
          </w:p>
        </w:tc>
        <w:tc>
          <w:tcPr>
            <w:tcW w:w="2463" w:type="dxa"/>
          </w:tcPr>
          <w:p w14:paraId="39DE35C0" w14:textId="77777777" w:rsidR="00AE135B" w:rsidRDefault="00EE5424">
            <w:pPr>
              <w:pStyle w:val="TableParagraph"/>
              <w:ind w:left="49"/>
              <w:jc w:val="center"/>
            </w:pPr>
            <w:r>
              <w:rPr>
                <w:spacing w:val="-10"/>
              </w:rPr>
              <w:t>6</w:t>
            </w:r>
          </w:p>
        </w:tc>
      </w:tr>
      <w:tr w:rsidR="00AE135B" w14:paraId="13342A2A" w14:textId="77777777">
        <w:trPr>
          <w:trHeight w:val="371"/>
        </w:trPr>
        <w:tc>
          <w:tcPr>
            <w:tcW w:w="3812" w:type="dxa"/>
          </w:tcPr>
          <w:p w14:paraId="2F0A4BCE" w14:textId="77777777" w:rsidR="00AE135B" w:rsidRDefault="00EE5424">
            <w:pPr>
              <w:pStyle w:val="TableParagraph"/>
              <w:ind w:left="117"/>
            </w:pPr>
            <w:r>
              <w:rPr>
                <w:spacing w:val="-2"/>
              </w:rPr>
              <w:t>Curettage</w:t>
            </w:r>
          </w:p>
        </w:tc>
        <w:tc>
          <w:tcPr>
            <w:tcW w:w="2369" w:type="dxa"/>
          </w:tcPr>
          <w:p w14:paraId="390AE0BF" w14:textId="77777777" w:rsidR="00AE135B" w:rsidRDefault="00EE5424">
            <w:pPr>
              <w:pStyle w:val="TableParagraph"/>
              <w:ind w:left="47" w:right="21"/>
              <w:jc w:val="center"/>
            </w:pPr>
            <w:r>
              <w:rPr>
                <w:spacing w:val="-5"/>
              </w:rPr>
              <w:t>13</w:t>
            </w:r>
          </w:p>
        </w:tc>
        <w:tc>
          <w:tcPr>
            <w:tcW w:w="2463" w:type="dxa"/>
          </w:tcPr>
          <w:p w14:paraId="715CE117" w14:textId="77777777" w:rsidR="00AE135B" w:rsidRDefault="00EE5424">
            <w:pPr>
              <w:pStyle w:val="TableParagraph"/>
              <w:ind w:left="49" w:right="15"/>
              <w:jc w:val="center"/>
            </w:pPr>
            <w:r>
              <w:rPr>
                <w:spacing w:val="-5"/>
              </w:rPr>
              <w:t>16</w:t>
            </w:r>
          </w:p>
        </w:tc>
      </w:tr>
      <w:tr w:rsidR="00AE135B" w14:paraId="14816915" w14:textId="77777777">
        <w:trPr>
          <w:trHeight w:val="371"/>
        </w:trPr>
        <w:tc>
          <w:tcPr>
            <w:tcW w:w="3812" w:type="dxa"/>
          </w:tcPr>
          <w:p w14:paraId="53425C02" w14:textId="77777777" w:rsidR="00AE135B" w:rsidRDefault="00EE5424">
            <w:pPr>
              <w:pStyle w:val="TableParagraph"/>
              <w:ind w:left="117"/>
            </w:pPr>
            <w:r>
              <w:rPr>
                <w:spacing w:val="-2"/>
              </w:rPr>
              <w:t>Other</w:t>
            </w:r>
          </w:p>
        </w:tc>
        <w:tc>
          <w:tcPr>
            <w:tcW w:w="2369" w:type="dxa"/>
          </w:tcPr>
          <w:p w14:paraId="33D08EE5" w14:textId="77777777" w:rsidR="00AE135B" w:rsidRDefault="00EE5424">
            <w:pPr>
              <w:pStyle w:val="TableParagraph"/>
              <w:ind w:left="47"/>
              <w:jc w:val="center"/>
            </w:pPr>
            <w:r>
              <w:rPr>
                <w:spacing w:val="-10"/>
              </w:rPr>
              <w:t>1</w:t>
            </w:r>
          </w:p>
        </w:tc>
        <w:tc>
          <w:tcPr>
            <w:tcW w:w="2463" w:type="dxa"/>
          </w:tcPr>
          <w:p w14:paraId="6306BCAF" w14:textId="77777777" w:rsidR="00AE135B" w:rsidRDefault="00EE5424">
            <w:pPr>
              <w:pStyle w:val="TableParagraph"/>
              <w:ind w:left="49"/>
              <w:jc w:val="center"/>
            </w:pPr>
            <w:r>
              <w:rPr>
                <w:spacing w:val="-10"/>
              </w:rPr>
              <w:t>1</w:t>
            </w:r>
          </w:p>
        </w:tc>
      </w:tr>
      <w:tr w:rsidR="00AE135B" w14:paraId="54A360D6" w14:textId="77777777">
        <w:trPr>
          <w:trHeight w:val="371"/>
        </w:trPr>
        <w:tc>
          <w:tcPr>
            <w:tcW w:w="3812" w:type="dxa"/>
          </w:tcPr>
          <w:p w14:paraId="43A9067F" w14:textId="77777777" w:rsidR="00AE135B" w:rsidRDefault="00EE5424">
            <w:pPr>
              <w:pStyle w:val="TableParagraph"/>
              <w:ind w:left="117"/>
            </w:pPr>
            <w:r>
              <w:t>No</w:t>
            </w:r>
            <w:r>
              <w:rPr>
                <w:spacing w:val="-10"/>
              </w:rPr>
              <w:t xml:space="preserve"> </w:t>
            </w:r>
            <w:r>
              <w:rPr>
                <w:spacing w:val="-2"/>
              </w:rPr>
              <w:t>surgery</w:t>
            </w:r>
          </w:p>
        </w:tc>
        <w:tc>
          <w:tcPr>
            <w:tcW w:w="2369" w:type="dxa"/>
          </w:tcPr>
          <w:p w14:paraId="466B14FF" w14:textId="77777777" w:rsidR="00AE135B" w:rsidRDefault="00EE5424">
            <w:pPr>
              <w:pStyle w:val="TableParagraph"/>
              <w:ind w:left="47"/>
              <w:jc w:val="center"/>
            </w:pPr>
            <w:r>
              <w:rPr>
                <w:spacing w:val="-10"/>
              </w:rPr>
              <w:t>0</w:t>
            </w:r>
          </w:p>
        </w:tc>
        <w:tc>
          <w:tcPr>
            <w:tcW w:w="2463" w:type="dxa"/>
          </w:tcPr>
          <w:p w14:paraId="151152D5" w14:textId="77777777" w:rsidR="00AE135B" w:rsidRDefault="00EE5424">
            <w:pPr>
              <w:pStyle w:val="TableParagraph"/>
              <w:ind w:left="49" w:right="15"/>
              <w:jc w:val="center"/>
            </w:pPr>
            <w:r>
              <w:rPr>
                <w:spacing w:val="-5"/>
              </w:rPr>
              <w:t>74</w:t>
            </w:r>
          </w:p>
        </w:tc>
      </w:tr>
    </w:tbl>
    <w:p w14:paraId="1AC6D912" w14:textId="77777777" w:rsidR="00AE135B" w:rsidRDefault="00AE135B">
      <w:pPr>
        <w:pStyle w:val="BodyText"/>
        <w:spacing w:before="263"/>
        <w:ind w:left="0"/>
        <w:rPr>
          <w:b/>
        </w:rPr>
      </w:pPr>
    </w:p>
    <w:p w14:paraId="59824D85" w14:textId="77777777" w:rsidR="00AE135B" w:rsidRDefault="00EE5424">
      <w:pPr>
        <w:spacing w:before="1"/>
        <w:ind w:left="566"/>
        <w:rPr>
          <w:b/>
        </w:rPr>
      </w:pPr>
      <w:r>
        <w:rPr>
          <w:b/>
        </w:rPr>
        <w:t>Table</w:t>
      </w:r>
      <w:r>
        <w:rPr>
          <w:b/>
          <w:spacing w:val="-13"/>
        </w:rPr>
        <w:t xml:space="preserve"> </w:t>
      </w:r>
      <w:r>
        <w:rPr>
          <w:b/>
        </w:rPr>
        <w:t>5.</w:t>
      </w:r>
      <w:r>
        <w:rPr>
          <w:b/>
          <w:spacing w:val="5"/>
        </w:rPr>
        <w:t xml:space="preserve"> </w:t>
      </w:r>
      <w:r>
        <w:rPr>
          <w:b/>
        </w:rPr>
        <w:t>Objective</w:t>
      </w:r>
      <w:r>
        <w:rPr>
          <w:b/>
          <w:spacing w:val="-13"/>
        </w:rPr>
        <w:t xml:space="preserve"> </w:t>
      </w:r>
      <w:r>
        <w:rPr>
          <w:b/>
        </w:rPr>
        <w:t>Treatment</w:t>
      </w:r>
      <w:r>
        <w:rPr>
          <w:b/>
          <w:spacing w:val="-11"/>
        </w:rPr>
        <w:t xml:space="preserve"> </w:t>
      </w:r>
      <w:r>
        <w:rPr>
          <w:b/>
        </w:rPr>
        <w:t>Response</w:t>
      </w:r>
      <w:r>
        <w:rPr>
          <w:b/>
          <w:spacing w:val="-13"/>
        </w:rPr>
        <w:t xml:space="preserve"> </w:t>
      </w:r>
      <w:r>
        <w:rPr>
          <w:b/>
        </w:rPr>
        <w:t>in</w:t>
      </w:r>
      <w:r>
        <w:rPr>
          <w:b/>
          <w:spacing w:val="-12"/>
        </w:rPr>
        <w:t xml:space="preserve"> </w:t>
      </w:r>
      <w:r>
        <w:rPr>
          <w:b/>
        </w:rPr>
        <w:t>305</w:t>
      </w:r>
      <w:r>
        <w:rPr>
          <w:b/>
          <w:spacing w:val="-9"/>
        </w:rPr>
        <w:t xml:space="preserve"> </w:t>
      </w:r>
      <w:r>
        <w:rPr>
          <w:b/>
        </w:rPr>
        <w:t>Patients</w:t>
      </w:r>
      <w:r>
        <w:rPr>
          <w:b/>
          <w:spacing w:val="-13"/>
        </w:rPr>
        <w:t xml:space="preserve"> </w:t>
      </w:r>
      <w:r>
        <w:rPr>
          <w:b/>
        </w:rPr>
        <w:t>with</w:t>
      </w:r>
      <w:r>
        <w:rPr>
          <w:b/>
          <w:spacing w:val="-15"/>
        </w:rPr>
        <w:t xml:space="preserve"> </w:t>
      </w:r>
      <w:r>
        <w:rPr>
          <w:b/>
        </w:rPr>
        <w:t>Giant</w:t>
      </w:r>
      <w:r>
        <w:rPr>
          <w:b/>
          <w:spacing w:val="-12"/>
        </w:rPr>
        <w:t xml:space="preserve"> </w:t>
      </w:r>
      <w:r>
        <w:rPr>
          <w:b/>
        </w:rPr>
        <w:t>Cell</w:t>
      </w:r>
      <w:r>
        <w:rPr>
          <w:b/>
          <w:spacing w:val="-13"/>
        </w:rPr>
        <w:t xml:space="preserve"> </w:t>
      </w:r>
      <w:proofErr w:type="spellStart"/>
      <w:r>
        <w:rPr>
          <w:b/>
        </w:rPr>
        <w:t>Tumour</w:t>
      </w:r>
      <w:proofErr w:type="spellEnd"/>
      <w:r>
        <w:rPr>
          <w:b/>
          <w:spacing w:val="-11"/>
        </w:rPr>
        <w:t xml:space="preserve"> </w:t>
      </w:r>
      <w:r>
        <w:rPr>
          <w:b/>
        </w:rPr>
        <w:t>of</w:t>
      </w:r>
      <w:r>
        <w:rPr>
          <w:b/>
          <w:spacing w:val="-10"/>
        </w:rPr>
        <w:t xml:space="preserve"> </w:t>
      </w:r>
      <w:r>
        <w:rPr>
          <w:b/>
          <w:spacing w:val="-4"/>
        </w:rPr>
        <w:t>Bone</w:t>
      </w: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1"/>
        <w:gridCol w:w="1539"/>
        <w:gridCol w:w="1419"/>
        <w:gridCol w:w="1844"/>
        <w:gridCol w:w="1983"/>
      </w:tblGrid>
      <w:tr w:rsidR="00AE135B" w14:paraId="73F518BD" w14:textId="77777777" w:rsidTr="00401300">
        <w:trPr>
          <w:trHeight w:val="1036"/>
          <w:tblHeader/>
        </w:trPr>
        <w:tc>
          <w:tcPr>
            <w:tcW w:w="1861" w:type="dxa"/>
          </w:tcPr>
          <w:p w14:paraId="76E4DA2E" w14:textId="77777777" w:rsidR="00AE135B" w:rsidRDefault="00AE135B">
            <w:pPr>
              <w:pStyle w:val="TableParagraph"/>
              <w:spacing w:before="0"/>
              <w:ind w:left="0"/>
              <w:rPr>
                <w:rFonts w:ascii="Times New Roman"/>
                <w:sz w:val="20"/>
              </w:rPr>
            </w:pPr>
          </w:p>
        </w:tc>
        <w:tc>
          <w:tcPr>
            <w:tcW w:w="1539" w:type="dxa"/>
          </w:tcPr>
          <w:p w14:paraId="44930202" w14:textId="77777777" w:rsidR="00AE135B" w:rsidRDefault="00EE5424">
            <w:pPr>
              <w:pStyle w:val="TableParagraph"/>
              <w:spacing w:before="61"/>
              <w:ind w:left="246" w:right="225" w:firstLine="1"/>
              <w:jc w:val="center"/>
              <w:rPr>
                <w:b/>
                <w:sz w:val="20"/>
              </w:rPr>
            </w:pPr>
            <w:r>
              <w:rPr>
                <w:b/>
                <w:sz w:val="20"/>
              </w:rPr>
              <w:t>Number</w:t>
            </w:r>
            <w:r>
              <w:rPr>
                <w:b/>
                <w:spacing w:val="-15"/>
                <w:sz w:val="20"/>
              </w:rPr>
              <w:t xml:space="preserve"> </w:t>
            </w:r>
            <w:r>
              <w:rPr>
                <w:b/>
                <w:sz w:val="20"/>
              </w:rPr>
              <w:t xml:space="preserve">of </w:t>
            </w:r>
            <w:r>
              <w:rPr>
                <w:b/>
                <w:spacing w:val="-2"/>
                <w:sz w:val="20"/>
              </w:rPr>
              <w:t>patients</w:t>
            </w:r>
          </w:p>
          <w:p w14:paraId="56C0E4C3" w14:textId="77777777" w:rsidR="00AE135B" w:rsidRDefault="00EE5424">
            <w:pPr>
              <w:pStyle w:val="TableParagraph"/>
              <w:spacing w:before="3" w:line="232" w:lineRule="exact"/>
              <w:ind w:left="246" w:right="217" w:hanging="8"/>
              <w:jc w:val="center"/>
              <w:rPr>
                <w:b/>
                <w:sz w:val="20"/>
              </w:rPr>
            </w:pPr>
            <w:r>
              <w:rPr>
                <w:b/>
                <w:spacing w:val="-2"/>
                <w:sz w:val="20"/>
              </w:rPr>
              <w:t>evaluable</w:t>
            </w:r>
            <w:r>
              <w:rPr>
                <w:b/>
                <w:spacing w:val="-10"/>
                <w:sz w:val="20"/>
              </w:rPr>
              <w:t xml:space="preserve"> </w:t>
            </w:r>
            <w:r>
              <w:rPr>
                <w:b/>
                <w:spacing w:val="-2"/>
                <w:sz w:val="20"/>
              </w:rPr>
              <w:t xml:space="preserve">for </w:t>
            </w:r>
            <w:r>
              <w:rPr>
                <w:b/>
                <w:sz w:val="20"/>
              </w:rPr>
              <w:t>the</w:t>
            </w:r>
            <w:r>
              <w:rPr>
                <w:b/>
                <w:spacing w:val="-4"/>
                <w:sz w:val="20"/>
              </w:rPr>
              <w:t xml:space="preserve"> endpoint</w:t>
            </w:r>
          </w:p>
        </w:tc>
        <w:tc>
          <w:tcPr>
            <w:tcW w:w="1419" w:type="dxa"/>
          </w:tcPr>
          <w:p w14:paraId="4114E51B" w14:textId="77777777" w:rsidR="00AE135B" w:rsidRDefault="00EE5424">
            <w:pPr>
              <w:pStyle w:val="TableParagraph"/>
              <w:spacing w:before="61"/>
              <w:ind w:left="128" w:right="202" w:firstLine="93"/>
              <w:rPr>
                <w:b/>
                <w:sz w:val="20"/>
              </w:rPr>
            </w:pPr>
            <w:r>
              <w:rPr>
                <w:b/>
                <w:sz w:val="20"/>
              </w:rPr>
              <w:t>Number</w:t>
            </w:r>
            <w:r>
              <w:rPr>
                <w:b/>
                <w:spacing w:val="-14"/>
                <w:sz w:val="20"/>
              </w:rPr>
              <w:t xml:space="preserve"> </w:t>
            </w:r>
            <w:r>
              <w:rPr>
                <w:b/>
                <w:sz w:val="20"/>
              </w:rPr>
              <w:t xml:space="preserve">of </w:t>
            </w:r>
            <w:r>
              <w:rPr>
                <w:b/>
                <w:spacing w:val="-4"/>
                <w:sz w:val="20"/>
              </w:rPr>
              <w:t>patients</w:t>
            </w:r>
            <w:r>
              <w:rPr>
                <w:b/>
                <w:spacing w:val="-14"/>
                <w:sz w:val="20"/>
              </w:rPr>
              <w:t xml:space="preserve"> </w:t>
            </w:r>
            <w:r>
              <w:rPr>
                <w:b/>
                <w:spacing w:val="-4"/>
                <w:sz w:val="20"/>
              </w:rPr>
              <w:t xml:space="preserve">with </w:t>
            </w:r>
            <w:r>
              <w:rPr>
                <w:b/>
                <w:sz w:val="20"/>
              </w:rPr>
              <w:t>the</w:t>
            </w:r>
            <w:r>
              <w:rPr>
                <w:b/>
                <w:spacing w:val="-4"/>
                <w:sz w:val="20"/>
              </w:rPr>
              <w:t xml:space="preserve"> </w:t>
            </w:r>
            <w:r>
              <w:rPr>
                <w:b/>
                <w:spacing w:val="-2"/>
                <w:sz w:val="20"/>
              </w:rPr>
              <w:t>endpoint</w:t>
            </w:r>
          </w:p>
        </w:tc>
        <w:tc>
          <w:tcPr>
            <w:tcW w:w="1844" w:type="dxa"/>
          </w:tcPr>
          <w:p w14:paraId="59A61599" w14:textId="77777777" w:rsidR="00AE135B" w:rsidRDefault="00EE5424">
            <w:pPr>
              <w:pStyle w:val="TableParagraph"/>
              <w:spacing w:before="0"/>
              <w:ind w:left="406" w:right="193" w:hanging="168"/>
              <w:rPr>
                <w:b/>
                <w:sz w:val="20"/>
              </w:rPr>
            </w:pPr>
            <w:r>
              <w:rPr>
                <w:b/>
                <w:spacing w:val="-4"/>
                <w:sz w:val="20"/>
              </w:rPr>
              <w:t>Proportion</w:t>
            </w:r>
            <w:r>
              <w:rPr>
                <w:b/>
                <w:spacing w:val="-22"/>
                <w:sz w:val="20"/>
              </w:rPr>
              <w:t xml:space="preserve"> </w:t>
            </w:r>
            <w:r>
              <w:rPr>
                <w:b/>
                <w:spacing w:val="-4"/>
                <w:sz w:val="20"/>
              </w:rPr>
              <w:t>(</w:t>
            </w:r>
            <w:r>
              <w:rPr>
                <w:spacing w:val="-4"/>
              </w:rPr>
              <w:t>%</w:t>
            </w:r>
            <w:r>
              <w:rPr>
                <w:b/>
                <w:spacing w:val="-4"/>
                <w:sz w:val="20"/>
              </w:rPr>
              <w:t xml:space="preserve">) </w:t>
            </w:r>
            <w:r>
              <w:rPr>
                <w:b/>
                <w:sz w:val="20"/>
              </w:rPr>
              <w:t xml:space="preserve">(95 </w:t>
            </w:r>
            <w:r>
              <w:t xml:space="preserve">% </w:t>
            </w:r>
            <w:r>
              <w:rPr>
                <w:b/>
                <w:sz w:val="20"/>
              </w:rPr>
              <w:t>CI) a</w:t>
            </w:r>
          </w:p>
        </w:tc>
        <w:tc>
          <w:tcPr>
            <w:tcW w:w="1983" w:type="dxa"/>
          </w:tcPr>
          <w:p w14:paraId="539771C9" w14:textId="77777777" w:rsidR="00AE135B" w:rsidRDefault="00EE5424">
            <w:pPr>
              <w:pStyle w:val="TableParagraph"/>
              <w:spacing w:before="1"/>
              <w:ind w:left="276" w:right="332" w:hanging="4"/>
              <w:jc w:val="center"/>
              <w:rPr>
                <w:b/>
                <w:sz w:val="20"/>
              </w:rPr>
            </w:pPr>
            <w:r>
              <w:rPr>
                <w:b/>
                <w:sz w:val="20"/>
              </w:rPr>
              <w:t xml:space="preserve">KM estimate of </w:t>
            </w:r>
            <w:r>
              <w:rPr>
                <w:b/>
                <w:spacing w:val="-2"/>
                <w:sz w:val="20"/>
              </w:rPr>
              <w:t>median</w:t>
            </w:r>
            <w:r>
              <w:rPr>
                <w:b/>
                <w:spacing w:val="-15"/>
                <w:sz w:val="20"/>
              </w:rPr>
              <w:t xml:space="preserve"> </w:t>
            </w:r>
            <w:r>
              <w:rPr>
                <w:b/>
                <w:spacing w:val="-2"/>
                <w:sz w:val="20"/>
              </w:rPr>
              <w:t>(95</w:t>
            </w:r>
            <w:r>
              <w:rPr>
                <w:b/>
                <w:spacing w:val="-12"/>
                <w:sz w:val="20"/>
              </w:rPr>
              <w:t xml:space="preserve"> </w:t>
            </w:r>
            <w:r>
              <w:rPr>
                <w:spacing w:val="-2"/>
              </w:rPr>
              <w:t>%</w:t>
            </w:r>
            <w:r>
              <w:rPr>
                <w:spacing w:val="-18"/>
              </w:rPr>
              <w:t xml:space="preserve"> </w:t>
            </w:r>
            <w:r>
              <w:rPr>
                <w:b/>
                <w:spacing w:val="-2"/>
                <w:sz w:val="20"/>
              </w:rPr>
              <w:t>CI) (Months)</w:t>
            </w:r>
          </w:p>
        </w:tc>
      </w:tr>
      <w:tr w:rsidR="00AE135B" w14:paraId="7EFDCF34" w14:textId="77777777">
        <w:trPr>
          <w:trHeight w:val="306"/>
        </w:trPr>
        <w:tc>
          <w:tcPr>
            <w:tcW w:w="8646" w:type="dxa"/>
            <w:gridSpan w:val="5"/>
          </w:tcPr>
          <w:p w14:paraId="1CC2FA02" w14:textId="77777777" w:rsidR="00AE135B" w:rsidRDefault="00EE5424">
            <w:pPr>
              <w:pStyle w:val="TableParagraph"/>
              <w:spacing w:before="51" w:line="235" w:lineRule="exact"/>
              <w:ind w:left="117"/>
              <w:rPr>
                <w:b/>
                <w:sz w:val="20"/>
              </w:rPr>
            </w:pPr>
            <w:r>
              <w:rPr>
                <w:b/>
                <w:spacing w:val="-2"/>
                <w:sz w:val="20"/>
              </w:rPr>
              <w:t>Proportion of</w:t>
            </w:r>
            <w:r>
              <w:rPr>
                <w:b/>
                <w:spacing w:val="-3"/>
                <w:sz w:val="20"/>
              </w:rPr>
              <w:t xml:space="preserve"> </w:t>
            </w:r>
            <w:r>
              <w:rPr>
                <w:b/>
                <w:spacing w:val="-2"/>
                <w:sz w:val="20"/>
              </w:rPr>
              <w:t>patients</w:t>
            </w:r>
            <w:r>
              <w:rPr>
                <w:b/>
                <w:spacing w:val="-5"/>
                <w:sz w:val="20"/>
              </w:rPr>
              <w:t xml:space="preserve"> </w:t>
            </w:r>
            <w:r>
              <w:rPr>
                <w:b/>
                <w:spacing w:val="-2"/>
                <w:sz w:val="20"/>
              </w:rPr>
              <w:t>with</w:t>
            </w:r>
            <w:r>
              <w:rPr>
                <w:b/>
                <w:sz w:val="20"/>
              </w:rPr>
              <w:t xml:space="preserve"> </w:t>
            </w:r>
            <w:r>
              <w:rPr>
                <w:b/>
                <w:spacing w:val="-2"/>
                <w:sz w:val="20"/>
              </w:rPr>
              <w:t>an</w:t>
            </w:r>
            <w:r>
              <w:rPr>
                <w:b/>
                <w:spacing w:val="-5"/>
                <w:sz w:val="20"/>
              </w:rPr>
              <w:t xml:space="preserve"> </w:t>
            </w:r>
            <w:r>
              <w:rPr>
                <w:b/>
                <w:spacing w:val="-2"/>
                <w:sz w:val="20"/>
              </w:rPr>
              <w:t>objective</w:t>
            </w:r>
            <w:r>
              <w:rPr>
                <w:b/>
                <w:sz w:val="20"/>
              </w:rPr>
              <w:t xml:space="preserve"> </w:t>
            </w:r>
            <w:proofErr w:type="spellStart"/>
            <w:r>
              <w:rPr>
                <w:b/>
                <w:spacing w:val="-2"/>
                <w:sz w:val="20"/>
              </w:rPr>
              <w:t>tumour</w:t>
            </w:r>
            <w:proofErr w:type="spellEnd"/>
            <w:r>
              <w:rPr>
                <w:b/>
                <w:spacing w:val="-4"/>
                <w:sz w:val="20"/>
              </w:rPr>
              <w:t xml:space="preserve"> </w:t>
            </w:r>
            <w:r>
              <w:rPr>
                <w:b/>
                <w:spacing w:val="-2"/>
                <w:sz w:val="20"/>
              </w:rPr>
              <w:t>response</w:t>
            </w:r>
            <w:r>
              <w:rPr>
                <w:b/>
                <w:spacing w:val="-3"/>
                <w:sz w:val="20"/>
              </w:rPr>
              <w:t xml:space="preserve"> </w:t>
            </w:r>
            <w:r>
              <w:rPr>
                <w:b/>
                <w:spacing w:val="-2"/>
                <w:sz w:val="20"/>
              </w:rPr>
              <w:t>(CR,</w:t>
            </w:r>
            <w:r>
              <w:rPr>
                <w:b/>
                <w:spacing w:val="-3"/>
                <w:sz w:val="20"/>
              </w:rPr>
              <w:t xml:space="preserve"> </w:t>
            </w:r>
            <w:r>
              <w:rPr>
                <w:b/>
                <w:spacing w:val="-5"/>
                <w:sz w:val="20"/>
              </w:rPr>
              <w:t>PR)</w:t>
            </w:r>
          </w:p>
        </w:tc>
      </w:tr>
      <w:tr w:rsidR="00AE135B" w14:paraId="446E77E2" w14:textId="77777777">
        <w:trPr>
          <w:trHeight w:val="623"/>
        </w:trPr>
        <w:tc>
          <w:tcPr>
            <w:tcW w:w="1861" w:type="dxa"/>
          </w:tcPr>
          <w:p w14:paraId="6A02EBBC" w14:textId="77777777" w:rsidR="00AE135B" w:rsidRDefault="00EE5424">
            <w:pPr>
              <w:pStyle w:val="TableParagraph"/>
              <w:ind w:left="117"/>
              <w:rPr>
                <w:sz w:val="20"/>
              </w:rPr>
            </w:pPr>
            <w:r>
              <w:rPr>
                <w:spacing w:val="-4"/>
                <w:sz w:val="20"/>
              </w:rPr>
              <w:t>Based</w:t>
            </w:r>
            <w:r>
              <w:rPr>
                <w:spacing w:val="-21"/>
                <w:sz w:val="20"/>
              </w:rPr>
              <w:t xml:space="preserve"> </w:t>
            </w:r>
            <w:r>
              <w:rPr>
                <w:spacing w:val="-4"/>
                <w:sz w:val="20"/>
              </w:rPr>
              <w:t>on</w:t>
            </w:r>
            <w:r>
              <w:rPr>
                <w:spacing w:val="-16"/>
                <w:sz w:val="20"/>
              </w:rPr>
              <w:t xml:space="preserve"> </w:t>
            </w:r>
            <w:r>
              <w:rPr>
                <w:spacing w:val="-4"/>
                <w:sz w:val="20"/>
              </w:rPr>
              <w:t xml:space="preserve">best </w:t>
            </w:r>
            <w:r>
              <w:rPr>
                <w:spacing w:val="-2"/>
                <w:sz w:val="20"/>
              </w:rPr>
              <w:t>response</w:t>
            </w:r>
          </w:p>
        </w:tc>
        <w:tc>
          <w:tcPr>
            <w:tcW w:w="1539" w:type="dxa"/>
          </w:tcPr>
          <w:p w14:paraId="0D1A703B" w14:textId="77777777" w:rsidR="00AE135B" w:rsidRDefault="00EE5424">
            <w:pPr>
              <w:pStyle w:val="TableParagraph"/>
              <w:spacing w:before="186"/>
              <w:ind w:left="116"/>
              <w:rPr>
                <w:sz w:val="20"/>
              </w:rPr>
            </w:pPr>
            <w:r>
              <w:rPr>
                <w:spacing w:val="-5"/>
                <w:sz w:val="20"/>
              </w:rPr>
              <w:t>190</w:t>
            </w:r>
          </w:p>
        </w:tc>
        <w:tc>
          <w:tcPr>
            <w:tcW w:w="1419" w:type="dxa"/>
          </w:tcPr>
          <w:p w14:paraId="4A502E3F" w14:textId="77777777" w:rsidR="00AE135B" w:rsidRDefault="00EE5424">
            <w:pPr>
              <w:pStyle w:val="TableParagraph"/>
              <w:spacing w:before="186"/>
              <w:ind w:left="118"/>
              <w:rPr>
                <w:sz w:val="20"/>
              </w:rPr>
            </w:pPr>
            <w:r>
              <w:rPr>
                <w:spacing w:val="-5"/>
                <w:sz w:val="20"/>
              </w:rPr>
              <w:t>136</w:t>
            </w:r>
          </w:p>
        </w:tc>
        <w:tc>
          <w:tcPr>
            <w:tcW w:w="1844" w:type="dxa"/>
          </w:tcPr>
          <w:p w14:paraId="010B042D" w14:textId="77777777" w:rsidR="00AE135B" w:rsidRDefault="00EE5424">
            <w:pPr>
              <w:pStyle w:val="TableParagraph"/>
              <w:spacing w:before="186"/>
              <w:ind w:left="113"/>
              <w:rPr>
                <w:sz w:val="20"/>
              </w:rPr>
            </w:pPr>
            <w:r>
              <w:rPr>
                <w:spacing w:val="-2"/>
                <w:sz w:val="20"/>
              </w:rPr>
              <w:t>71.6(64.6,</w:t>
            </w:r>
            <w:r>
              <w:rPr>
                <w:spacing w:val="-7"/>
                <w:sz w:val="20"/>
              </w:rPr>
              <w:t xml:space="preserve"> </w:t>
            </w:r>
            <w:r>
              <w:rPr>
                <w:spacing w:val="-2"/>
                <w:sz w:val="20"/>
              </w:rPr>
              <w:t>77.9)</w:t>
            </w:r>
          </w:p>
        </w:tc>
        <w:tc>
          <w:tcPr>
            <w:tcW w:w="1983" w:type="dxa"/>
          </w:tcPr>
          <w:p w14:paraId="1EABEB4C" w14:textId="77777777" w:rsidR="00AE135B" w:rsidRDefault="00EE5424">
            <w:pPr>
              <w:pStyle w:val="TableParagraph"/>
              <w:spacing w:before="186"/>
              <w:rPr>
                <w:sz w:val="20"/>
              </w:rPr>
            </w:pPr>
            <w:r>
              <w:rPr>
                <w:spacing w:val="-10"/>
                <w:sz w:val="20"/>
              </w:rPr>
              <w:t>-</w:t>
            </w:r>
          </w:p>
        </w:tc>
      </w:tr>
      <w:tr w:rsidR="00AE135B" w14:paraId="5A359098" w14:textId="77777777">
        <w:trPr>
          <w:trHeight w:val="373"/>
        </w:trPr>
        <w:tc>
          <w:tcPr>
            <w:tcW w:w="1861" w:type="dxa"/>
          </w:tcPr>
          <w:p w14:paraId="5CFA040F" w14:textId="77777777" w:rsidR="00AE135B" w:rsidRDefault="00EE5424">
            <w:pPr>
              <w:pStyle w:val="TableParagraph"/>
              <w:ind w:left="117"/>
              <w:rPr>
                <w:sz w:val="20"/>
              </w:rPr>
            </w:pPr>
            <w:r>
              <w:rPr>
                <w:spacing w:val="-2"/>
                <w:sz w:val="20"/>
              </w:rPr>
              <w:t>RECIST</w:t>
            </w:r>
            <w:r>
              <w:rPr>
                <w:spacing w:val="-11"/>
                <w:sz w:val="20"/>
              </w:rPr>
              <w:t xml:space="preserve"> </w:t>
            </w:r>
            <w:r>
              <w:rPr>
                <w:spacing w:val="-5"/>
                <w:sz w:val="20"/>
              </w:rPr>
              <w:t>1.1</w:t>
            </w:r>
          </w:p>
        </w:tc>
        <w:tc>
          <w:tcPr>
            <w:tcW w:w="1539" w:type="dxa"/>
          </w:tcPr>
          <w:p w14:paraId="7E7AABA1" w14:textId="77777777" w:rsidR="00AE135B" w:rsidRDefault="00EE5424">
            <w:pPr>
              <w:pStyle w:val="TableParagraph"/>
              <w:ind w:left="116"/>
              <w:rPr>
                <w:sz w:val="20"/>
              </w:rPr>
            </w:pPr>
            <w:r>
              <w:rPr>
                <w:spacing w:val="-5"/>
                <w:sz w:val="20"/>
              </w:rPr>
              <w:t>187</w:t>
            </w:r>
          </w:p>
        </w:tc>
        <w:tc>
          <w:tcPr>
            <w:tcW w:w="1419" w:type="dxa"/>
          </w:tcPr>
          <w:p w14:paraId="43174D2E" w14:textId="77777777" w:rsidR="00AE135B" w:rsidRDefault="00EE5424">
            <w:pPr>
              <w:pStyle w:val="TableParagraph"/>
              <w:ind w:left="118"/>
              <w:rPr>
                <w:sz w:val="20"/>
              </w:rPr>
            </w:pPr>
            <w:r>
              <w:rPr>
                <w:spacing w:val="-5"/>
                <w:sz w:val="20"/>
              </w:rPr>
              <w:t>47</w:t>
            </w:r>
          </w:p>
        </w:tc>
        <w:tc>
          <w:tcPr>
            <w:tcW w:w="1844" w:type="dxa"/>
          </w:tcPr>
          <w:p w14:paraId="6FF8A3C4" w14:textId="77777777" w:rsidR="00AE135B" w:rsidRDefault="00EE5424">
            <w:pPr>
              <w:pStyle w:val="TableParagraph"/>
              <w:ind w:left="113"/>
              <w:rPr>
                <w:sz w:val="20"/>
              </w:rPr>
            </w:pPr>
            <w:r>
              <w:rPr>
                <w:spacing w:val="-2"/>
                <w:sz w:val="20"/>
              </w:rPr>
              <w:t>25.1(19.1,</w:t>
            </w:r>
            <w:r>
              <w:rPr>
                <w:spacing w:val="-7"/>
                <w:sz w:val="20"/>
              </w:rPr>
              <w:t xml:space="preserve"> </w:t>
            </w:r>
            <w:r>
              <w:rPr>
                <w:spacing w:val="-2"/>
                <w:sz w:val="20"/>
              </w:rPr>
              <w:t>32.0)</w:t>
            </w:r>
          </w:p>
        </w:tc>
        <w:tc>
          <w:tcPr>
            <w:tcW w:w="1983" w:type="dxa"/>
          </w:tcPr>
          <w:p w14:paraId="30AF900A" w14:textId="77777777" w:rsidR="00AE135B" w:rsidRDefault="00EE5424">
            <w:pPr>
              <w:pStyle w:val="TableParagraph"/>
              <w:rPr>
                <w:sz w:val="20"/>
              </w:rPr>
            </w:pPr>
            <w:r>
              <w:rPr>
                <w:spacing w:val="-10"/>
                <w:sz w:val="20"/>
              </w:rPr>
              <w:t>-</w:t>
            </w:r>
          </w:p>
        </w:tc>
      </w:tr>
      <w:tr w:rsidR="00AE135B" w14:paraId="6DB6B1C8" w14:textId="77777777">
        <w:trPr>
          <w:trHeight w:val="371"/>
        </w:trPr>
        <w:tc>
          <w:tcPr>
            <w:tcW w:w="1861" w:type="dxa"/>
          </w:tcPr>
          <w:p w14:paraId="53F90390" w14:textId="77777777" w:rsidR="00AE135B" w:rsidRDefault="00EE5424">
            <w:pPr>
              <w:pStyle w:val="TableParagraph"/>
              <w:ind w:left="117"/>
              <w:rPr>
                <w:sz w:val="20"/>
              </w:rPr>
            </w:pPr>
            <w:r>
              <w:rPr>
                <w:spacing w:val="-2"/>
                <w:sz w:val="20"/>
              </w:rPr>
              <w:t>EORTC</w:t>
            </w:r>
          </w:p>
        </w:tc>
        <w:tc>
          <w:tcPr>
            <w:tcW w:w="1539" w:type="dxa"/>
          </w:tcPr>
          <w:p w14:paraId="130A9E2E" w14:textId="77777777" w:rsidR="00AE135B" w:rsidRDefault="00EE5424">
            <w:pPr>
              <w:pStyle w:val="TableParagraph"/>
              <w:ind w:left="116"/>
              <w:rPr>
                <w:sz w:val="20"/>
              </w:rPr>
            </w:pPr>
            <w:r>
              <w:rPr>
                <w:spacing w:val="-5"/>
                <w:sz w:val="20"/>
              </w:rPr>
              <w:t>26</w:t>
            </w:r>
          </w:p>
        </w:tc>
        <w:tc>
          <w:tcPr>
            <w:tcW w:w="1419" w:type="dxa"/>
          </w:tcPr>
          <w:p w14:paraId="19630FA6" w14:textId="77777777" w:rsidR="00AE135B" w:rsidRDefault="00EE5424">
            <w:pPr>
              <w:pStyle w:val="TableParagraph"/>
              <w:ind w:left="118"/>
              <w:rPr>
                <w:sz w:val="20"/>
              </w:rPr>
            </w:pPr>
            <w:r>
              <w:rPr>
                <w:spacing w:val="-5"/>
                <w:sz w:val="20"/>
              </w:rPr>
              <w:t>25</w:t>
            </w:r>
          </w:p>
        </w:tc>
        <w:tc>
          <w:tcPr>
            <w:tcW w:w="1844" w:type="dxa"/>
          </w:tcPr>
          <w:p w14:paraId="085C0AFB" w14:textId="77777777" w:rsidR="00AE135B" w:rsidRDefault="00EE5424">
            <w:pPr>
              <w:pStyle w:val="TableParagraph"/>
              <w:ind w:left="113"/>
              <w:rPr>
                <w:sz w:val="20"/>
              </w:rPr>
            </w:pPr>
            <w:r>
              <w:rPr>
                <w:spacing w:val="-2"/>
                <w:sz w:val="20"/>
              </w:rPr>
              <w:t>96.2(80.4,</w:t>
            </w:r>
            <w:r>
              <w:rPr>
                <w:spacing w:val="-7"/>
                <w:sz w:val="20"/>
              </w:rPr>
              <w:t xml:space="preserve"> </w:t>
            </w:r>
            <w:r>
              <w:rPr>
                <w:spacing w:val="-2"/>
                <w:sz w:val="20"/>
              </w:rPr>
              <w:t>99.9)</w:t>
            </w:r>
          </w:p>
        </w:tc>
        <w:tc>
          <w:tcPr>
            <w:tcW w:w="1983" w:type="dxa"/>
          </w:tcPr>
          <w:p w14:paraId="4E1DF116" w14:textId="77777777" w:rsidR="00AE135B" w:rsidRDefault="00EE5424">
            <w:pPr>
              <w:pStyle w:val="TableParagraph"/>
              <w:rPr>
                <w:sz w:val="20"/>
              </w:rPr>
            </w:pPr>
            <w:r>
              <w:rPr>
                <w:spacing w:val="-10"/>
                <w:sz w:val="20"/>
              </w:rPr>
              <w:t>-</w:t>
            </w:r>
          </w:p>
        </w:tc>
      </w:tr>
      <w:tr w:rsidR="00AE135B" w14:paraId="3D7E0CE2" w14:textId="77777777">
        <w:trPr>
          <w:trHeight w:val="374"/>
        </w:trPr>
        <w:tc>
          <w:tcPr>
            <w:tcW w:w="1861" w:type="dxa"/>
          </w:tcPr>
          <w:p w14:paraId="14CF28DD" w14:textId="77777777" w:rsidR="00AE135B" w:rsidRDefault="00EE5424">
            <w:pPr>
              <w:pStyle w:val="TableParagraph"/>
              <w:spacing w:before="61"/>
              <w:ind w:left="117"/>
              <w:rPr>
                <w:sz w:val="20"/>
              </w:rPr>
            </w:pPr>
            <w:r>
              <w:rPr>
                <w:spacing w:val="-2"/>
                <w:sz w:val="20"/>
              </w:rPr>
              <w:t>Density/Size</w:t>
            </w:r>
          </w:p>
        </w:tc>
        <w:tc>
          <w:tcPr>
            <w:tcW w:w="1539" w:type="dxa"/>
          </w:tcPr>
          <w:p w14:paraId="6A5F6CA4" w14:textId="77777777" w:rsidR="00AE135B" w:rsidRDefault="00EE5424">
            <w:pPr>
              <w:pStyle w:val="TableParagraph"/>
              <w:spacing w:before="61"/>
              <w:ind w:left="116"/>
              <w:rPr>
                <w:sz w:val="20"/>
              </w:rPr>
            </w:pPr>
            <w:r>
              <w:rPr>
                <w:spacing w:val="-5"/>
                <w:sz w:val="20"/>
              </w:rPr>
              <w:t>176</w:t>
            </w:r>
          </w:p>
        </w:tc>
        <w:tc>
          <w:tcPr>
            <w:tcW w:w="1419" w:type="dxa"/>
          </w:tcPr>
          <w:p w14:paraId="69D7BEEB" w14:textId="77777777" w:rsidR="00AE135B" w:rsidRDefault="00EE5424">
            <w:pPr>
              <w:pStyle w:val="TableParagraph"/>
              <w:spacing w:before="61"/>
              <w:ind w:left="118"/>
              <w:rPr>
                <w:sz w:val="20"/>
              </w:rPr>
            </w:pPr>
            <w:r>
              <w:rPr>
                <w:spacing w:val="-5"/>
                <w:sz w:val="20"/>
              </w:rPr>
              <w:t>134</w:t>
            </w:r>
          </w:p>
        </w:tc>
        <w:tc>
          <w:tcPr>
            <w:tcW w:w="1844" w:type="dxa"/>
          </w:tcPr>
          <w:p w14:paraId="14C43A6E" w14:textId="77777777" w:rsidR="00AE135B" w:rsidRDefault="00EE5424">
            <w:pPr>
              <w:pStyle w:val="TableParagraph"/>
              <w:spacing w:before="61"/>
              <w:ind w:left="113"/>
              <w:rPr>
                <w:sz w:val="20"/>
              </w:rPr>
            </w:pPr>
            <w:r>
              <w:rPr>
                <w:spacing w:val="-2"/>
                <w:sz w:val="20"/>
              </w:rPr>
              <w:t>76.1(69.1,</w:t>
            </w:r>
            <w:r>
              <w:rPr>
                <w:spacing w:val="-7"/>
                <w:sz w:val="20"/>
              </w:rPr>
              <w:t xml:space="preserve"> </w:t>
            </w:r>
            <w:r>
              <w:rPr>
                <w:spacing w:val="-2"/>
                <w:sz w:val="20"/>
              </w:rPr>
              <w:t>82.2)</w:t>
            </w:r>
          </w:p>
        </w:tc>
        <w:tc>
          <w:tcPr>
            <w:tcW w:w="1983" w:type="dxa"/>
          </w:tcPr>
          <w:p w14:paraId="47024781" w14:textId="77777777" w:rsidR="00AE135B" w:rsidRDefault="00EE5424">
            <w:pPr>
              <w:pStyle w:val="TableParagraph"/>
              <w:spacing w:before="61"/>
              <w:rPr>
                <w:sz w:val="20"/>
              </w:rPr>
            </w:pPr>
            <w:r>
              <w:rPr>
                <w:spacing w:val="-10"/>
                <w:sz w:val="20"/>
              </w:rPr>
              <w:t>-</w:t>
            </w:r>
          </w:p>
        </w:tc>
      </w:tr>
      <w:tr w:rsidR="00AE135B" w14:paraId="36CD6336" w14:textId="77777777">
        <w:trPr>
          <w:trHeight w:val="302"/>
        </w:trPr>
        <w:tc>
          <w:tcPr>
            <w:tcW w:w="8646" w:type="dxa"/>
            <w:gridSpan w:val="5"/>
          </w:tcPr>
          <w:p w14:paraId="27C11EF5" w14:textId="77777777" w:rsidR="00AE135B" w:rsidRDefault="00EE5424">
            <w:pPr>
              <w:pStyle w:val="TableParagraph"/>
              <w:spacing w:before="47" w:line="235" w:lineRule="exact"/>
              <w:ind w:left="117"/>
              <w:rPr>
                <w:b/>
                <w:sz w:val="20"/>
              </w:rPr>
            </w:pPr>
            <w:r>
              <w:rPr>
                <w:b/>
                <w:spacing w:val="-2"/>
                <w:sz w:val="20"/>
              </w:rPr>
              <w:t>Duration</w:t>
            </w:r>
            <w:r>
              <w:rPr>
                <w:b/>
                <w:spacing w:val="-7"/>
                <w:sz w:val="20"/>
              </w:rPr>
              <w:t xml:space="preserve"> </w:t>
            </w:r>
            <w:r>
              <w:rPr>
                <w:b/>
                <w:spacing w:val="-2"/>
                <w:sz w:val="20"/>
              </w:rPr>
              <w:t>of</w:t>
            </w:r>
            <w:r>
              <w:rPr>
                <w:b/>
                <w:spacing w:val="-4"/>
                <w:sz w:val="20"/>
              </w:rPr>
              <w:t xml:space="preserve"> </w:t>
            </w:r>
            <w:r>
              <w:rPr>
                <w:b/>
                <w:spacing w:val="-2"/>
                <w:sz w:val="20"/>
              </w:rPr>
              <w:t>objective</w:t>
            </w:r>
            <w:r>
              <w:rPr>
                <w:b/>
                <w:sz w:val="20"/>
              </w:rPr>
              <w:t xml:space="preserve"> </w:t>
            </w:r>
            <w:proofErr w:type="spellStart"/>
            <w:r>
              <w:rPr>
                <w:b/>
                <w:spacing w:val="-2"/>
                <w:sz w:val="20"/>
              </w:rPr>
              <w:t>tumour</w:t>
            </w:r>
            <w:proofErr w:type="spellEnd"/>
            <w:r>
              <w:rPr>
                <w:b/>
                <w:spacing w:val="-4"/>
                <w:sz w:val="20"/>
              </w:rPr>
              <w:t xml:space="preserve"> </w:t>
            </w:r>
            <w:r>
              <w:rPr>
                <w:b/>
                <w:spacing w:val="-2"/>
                <w:sz w:val="20"/>
              </w:rPr>
              <w:t>response (time to</w:t>
            </w:r>
            <w:r>
              <w:rPr>
                <w:b/>
                <w:spacing w:val="-1"/>
                <w:sz w:val="20"/>
              </w:rPr>
              <w:t xml:space="preserve"> </w:t>
            </w:r>
            <w:r>
              <w:rPr>
                <w:b/>
                <w:spacing w:val="-2"/>
                <w:sz w:val="20"/>
              </w:rPr>
              <w:t>PD</w:t>
            </w:r>
            <w:r>
              <w:rPr>
                <w:b/>
                <w:spacing w:val="-4"/>
                <w:sz w:val="20"/>
              </w:rPr>
              <w:t xml:space="preserve"> </w:t>
            </w:r>
            <w:r>
              <w:rPr>
                <w:b/>
                <w:spacing w:val="-2"/>
                <w:sz w:val="20"/>
              </w:rPr>
              <w:t>from the</w:t>
            </w:r>
            <w:r>
              <w:rPr>
                <w:b/>
                <w:spacing w:val="-3"/>
                <w:sz w:val="20"/>
              </w:rPr>
              <w:t xml:space="preserve"> </w:t>
            </w:r>
            <w:r>
              <w:rPr>
                <w:b/>
                <w:spacing w:val="-2"/>
                <w:sz w:val="20"/>
              </w:rPr>
              <w:t>first</w:t>
            </w:r>
            <w:r>
              <w:rPr>
                <w:b/>
                <w:spacing w:val="-3"/>
                <w:sz w:val="20"/>
              </w:rPr>
              <w:t xml:space="preserve"> </w:t>
            </w:r>
            <w:r>
              <w:rPr>
                <w:b/>
                <w:spacing w:val="-2"/>
                <w:sz w:val="20"/>
              </w:rPr>
              <w:t>objective</w:t>
            </w:r>
            <w:r>
              <w:rPr>
                <w:b/>
                <w:spacing w:val="1"/>
                <w:sz w:val="20"/>
              </w:rPr>
              <w:t xml:space="preserve"> </w:t>
            </w:r>
            <w:proofErr w:type="spellStart"/>
            <w:r>
              <w:rPr>
                <w:b/>
                <w:spacing w:val="-2"/>
                <w:sz w:val="20"/>
              </w:rPr>
              <w:t>tumour</w:t>
            </w:r>
            <w:proofErr w:type="spellEnd"/>
            <w:r>
              <w:rPr>
                <w:b/>
                <w:spacing w:val="2"/>
                <w:sz w:val="20"/>
              </w:rPr>
              <w:t xml:space="preserve"> </w:t>
            </w:r>
            <w:r>
              <w:rPr>
                <w:b/>
                <w:spacing w:val="-2"/>
                <w:sz w:val="20"/>
              </w:rPr>
              <w:t>response)</w:t>
            </w:r>
          </w:p>
        </w:tc>
      </w:tr>
      <w:tr w:rsidR="00AE135B" w14:paraId="76AD035F" w14:textId="77777777">
        <w:trPr>
          <w:trHeight w:val="626"/>
        </w:trPr>
        <w:tc>
          <w:tcPr>
            <w:tcW w:w="1861" w:type="dxa"/>
          </w:tcPr>
          <w:p w14:paraId="0063F007" w14:textId="77777777" w:rsidR="00AE135B" w:rsidRDefault="00EE5424">
            <w:pPr>
              <w:pStyle w:val="TableParagraph"/>
              <w:spacing w:before="62"/>
              <w:ind w:left="117"/>
              <w:rPr>
                <w:sz w:val="20"/>
              </w:rPr>
            </w:pPr>
            <w:r>
              <w:rPr>
                <w:spacing w:val="-4"/>
                <w:sz w:val="20"/>
              </w:rPr>
              <w:t>Based</w:t>
            </w:r>
            <w:r>
              <w:rPr>
                <w:spacing w:val="-21"/>
                <w:sz w:val="20"/>
              </w:rPr>
              <w:t xml:space="preserve"> </w:t>
            </w:r>
            <w:r>
              <w:rPr>
                <w:spacing w:val="-4"/>
                <w:sz w:val="20"/>
              </w:rPr>
              <w:t>on</w:t>
            </w:r>
            <w:r>
              <w:rPr>
                <w:spacing w:val="-16"/>
                <w:sz w:val="20"/>
              </w:rPr>
              <w:t xml:space="preserve"> </w:t>
            </w:r>
            <w:r>
              <w:rPr>
                <w:spacing w:val="-4"/>
                <w:sz w:val="20"/>
              </w:rPr>
              <w:t xml:space="preserve">best </w:t>
            </w:r>
            <w:r>
              <w:rPr>
                <w:spacing w:val="-2"/>
                <w:sz w:val="20"/>
              </w:rPr>
              <w:t>response</w:t>
            </w:r>
          </w:p>
        </w:tc>
        <w:tc>
          <w:tcPr>
            <w:tcW w:w="1539" w:type="dxa"/>
          </w:tcPr>
          <w:p w14:paraId="14FBF51E" w14:textId="77777777" w:rsidR="00AE135B" w:rsidRDefault="00EE5424">
            <w:pPr>
              <w:pStyle w:val="TableParagraph"/>
              <w:spacing w:before="189"/>
              <w:ind w:left="116"/>
              <w:rPr>
                <w:sz w:val="20"/>
              </w:rPr>
            </w:pPr>
            <w:r>
              <w:rPr>
                <w:spacing w:val="-5"/>
                <w:sz w:val="20"/>
              </w:rPr>
              <w:t>136</w:t>
            </w:r>
          </w:p>
        </w:tc>
        <w:tc>
          <w:tcPr>
            <w:tcW w:w="1419" w:type="dxa"/>
          </w:tcPr>
          <w:p w14:paraId="20F738B3" w14:textId="77777777" w:rsidR="00AE135B" w:rsidRDefault="00EE5424">
            <w:pPr>
              <w:pStyle w:val="TableParagraph"/>
              <w:spacing w:before="189"/>
              <w:ind w:left="118"/>
              <w:rPr>
                <w:sz w:val="20"/>
              </w:rPr>
            </w:pPr>
            <w:r>
              <w:rPr>
                <w:spacing w:val="-10"/>
                <w:sz w:val="20"/>
              </w:rPr>
              <w:t>1</w:t>
            </w:r>
          </w:p>
        </w:tc>
        <w:tc>
          <w:tcPr>
            <w:tcW w:w="1844" w:type="dxa"/>
          </w:tcPr>
          <w:p w14:paraId="4746E0BB" w14:textId="77777777" w:rsidR="00AE135B" w:rsidRDefault="00EE5424">
            <w:pPr>
              <w:pStyle w:val="TableParagraph"/>
              <w:spacing w:before="189"/>
              <w:ind w:left="113"/>
              <w:rPr>
                <w:sz w:val="20"/>
              </w:rPr>
            </w:pPr>
            <w:r>
              <w:rPr>
                <w:spacing w:val="-5"/>
                <w:sz w:val="20"/>
              </w:rPr>
              <w:t>0.7</w:t>
            </w:r>
          </w:p>
        </w:tc>
        <w:tc>
          <w:tcPr>
            <w:tcW w:w="1983" w:type="dxa"/>
          </w:tcPr>
          <w:p w14:paraId="052850B6" w14:textId="77777777" w:rsidR="00AE135B" w:rsidRDefault="00EE5424">
            <w:pPr>
              <w:pStyle w:val="TableParagraph"/>
              <w:spacing w:before="189"/>
              <w:rPr>
                <w:sz w:val="20"/>
              </w:rPr>
            </w:pPr>
            <w:r>
              <w:rPr>
                <w:sz w:val="20"/>
              </w:rPr>
              <w:t>NE</w:t>
            </w:r>
            <w:r>
              <w:rPr>
                <w:spacing w:val="-8"/>
                <w:sz w:val="20"/>
              </w:rPr>
              <w:t xml:space="preserve"> </w:t>
            </w:r>
            <w:r>
              <w:rPr>
                <w:sz w:val="20"/>
              </w:rPr>
              <w:t>(NE,</w:t>
            </w:r>
            <w:r>
              <w:rPr>
                <w:spacing w:val="-4"/>
                <w:sz w:val="20"/>
              </w:rPr>
              <w:t xml:space="preserve"> </w:t>
            </w:r>
            <w:proofErr w:type="gramStart"/>
            <w:r>
              <w:rPr>
                <w:spacing w:val="-4"/>
                <w:sz w:val="20"/>
              </w:rPr>
              <w:t>NE)b</w:t>
            </w:r>
            <w:proofErr w:type="gramEnd"/>
          </w:p>
        </w:tc>
      </w:tr>
      <w:tr w:rsidR="00AE135B" w14:paraId="156302A4" w14:textId="77777777">
        <w:trPr>
          <w:trHeight w:val="373"/>
        </w:trPr>
        <w:tc>
          <w:tcPr>
            <w:tcW w:w="1861" w:type="dxa"/>
          </w:tcPr>
          <w:p w14:paraId="6667489F" w14:textId="77777777" w:rsidR="00AE135B" w:rsidRDefault="00EE5424">
            <w:pPr>
              <w:pStyle w:val="TableParagraph"/>
              <w:spacing w:before="61"/>
              <w:ind w:left="117"/>
              <w:rPr>
                <w:sz w:val="20"/>
              </w:rPr>
            </w:pPr>
            <w:r>
              <w:rPr>
                <w:spacing w:val="-2"/>
                <w:sz w:val="20"/>
              </w:rPr>
              <w:t>RECIST</w:t>
            </w:r>
            <w:r>
              <w:rPr>
                <w:spacing w:val="-11"/>
                <w:sz w:val="20"/>
              </w:rPr>
              <w:t xml:space="preserve"> </w:t>
            </w:r>
            <w:r>
              <w:rPr>
                <w:spacing w:val="-5"/>
                <w:sz w:val="20"/>
              </w:rPr>
              <w:t>1.1</w:t>
            </w:r>
          </w:p>
        </w:tc>
        <w:tc>
          <w:tcPr>
            <w:tcW w:w="1539" w:type="dxa"/>
          </w:tcPr>
          <w:p w14:paraId="2359F85F" w14:textId="77777777" w:rsidR="00AE135B" w:rsidRDefault="00EE5424">
            <w:pPr>
              <w:pStyle w:val="TableParagraph"/>
              <w:spacing w:before="61"/>
              <w:ind w:left="116"/>
              <w:rPr>
                <w:sz w:val="20"/>
              </w:rPr>
            </w:pPr>
            <w:r>
              <w:rPr>
                <w:spacing w:val="-5"/>
                <w:sz w:val="20"/>
              </w:rPr>
              <w:t>47</w:t>
            </w:r>
          </w:p>
        </w:tc>
        <w:tc>
          <w:tcPr>
            <w:tcW w:w="1419" w:type="dxa"/>
          </w:tcPr>
          <w:p w14:paraId="4D9A0A9C" w14:textId="77777777" w:rsidR="00AE135B" w:rsidRDefault="00EE5424">
            <w:pPr>
              <w:pStyle w:val="TableParagraph"/>
              <w:spacing w:before="61"/>
              <w:ind w:left="118"/>
              <w:rPr>
                <w:sz w:val="20"/>
              </w:rPr>
            </w:pPr>
            <w:r>
              <w:rPr>
                <w:spacing w:val="-10"/>
                <w:sz w:val="20"/>
              </w:rPr>
              <w:t>3</w:t>
            </w:r>
          </w:p>
        </w:tc>
        <w:tc>
          <w:tcPr>
            <w:tcW w:w="1844" w:type="dxa"/>
          </w:tcPr>
          <w:p w14:paraId="2995E20F" w14:textId="77777777" w:rsidR="00AE135B" w:rsidRDefault="00EE5424">
            <w:pPr>
              <w:pStyle w:val="TableParagraph"/>
              <w:spacing w:before="61"/>
              <w:ind w:left="113"/>
              <w:rPr>
                <w:sz w:val="20"/>
              </w:rPr>
            </w:pPr>
            <w:r>
              <w:rPr>
                <w:spacing w:val="-5"/>
                <w:sz w:val="20"/>
              </w:rPr>
              <w:t>6.4</w:t>
            </w:r>
          </w:p>
        </w:tc>
        <w:tc>
          <w:tcPr>
            <w:tcW w:w="1983" w:type="dxa"/>
          </w:tcPr>
          <w:p w14:paraId="760E15B0" w14:textId="77777777" w:rsidR="00AE135B" w:rsidRDefault="00EE5424">
            <w:pPr>
              <w:pStyle w:val="TableParagraph"/>
              <w:spacing w:before="61"/>
              <w:rPr>
                <w:sz w:val="20"/>
              </w:rPr>
            </w:pPr>
            <w:r>
              <w:rPr>
                <w:sz w:val="20"/>
              </w:rPr>
              <w:t>NE</w:t>
            </w:r>
            <w:r>
              <w:rPr>
                <w:spacing w:val="-11"/>
                <w:sz w:val="20"/>
              </w:rPr>
              <w:t xml:space="preserve"> </w:t>
            </w:r>
            <w:r>
              <w:rPr>
                <w:sz w:val="20"/>
              </w:rPr>
              <w:t>(19.94,</w:t>
            </w:r>
            <w:r>
              <w:rPr>
                <w:spacing w:val="-6"/>
                <w:sz w:val="20"/>
              </w:rPr>
              <w:t xml:space="preserve"> </w:t>
            </w:r>
            <w:r>
              <w:rPr>
                <w:spacing w:val="-5"/>
                <w:sz w:val="20"/>
              </w:rPr>
              <w:t>NE)</w:t>
            </w:r>
          </w:p>
        </w:tc>
      </w:tr>
      <w:tr w:rsidR="00AE135B" w14:paraId="6124AAC1" w14:textId="77777777">
        <w:trPr>
          <w:trHeight w:val="369"/>
        </w:trPr>
        <w:tc>
          <w:tcPr>
            <w:tcW w:w="1861" w:type="dxa"/>
          </w:tcPr>
          <w:p w14:paraId="1269113E" w14:textId="77777777" w:rsidR="00AE135B" w:rsidRDefault="00EE5424">
            <w:pPr>
              <w:pStyle w:val="TableParagraph"/>
              <w:spacing w:before="61"/>
              <w:ind w:left="117"/>
              <w:rPr>
                <w:sz w:val="20"/>
              </w:rPr>
            </w:pPr>
            <w:r>
              <w:rPr>
                <w:spacing w:val="-2"/>
                <w:sz w:val="20"/>
              </w:rPr>
              <w:t>EORTC</w:t>
            </w:r>
          </w:p>
        </w:tc>
        <w:tc>
          <w:tcPr>
            <w:tcW w:w="1539" w:type="dxa"/>
          </w:tcPr>
          <w:p w14:paraId="63C72BD2" w14:textId="77777777" w:rsidR="00AE135B" w:rsidRDefault="00EE5424">
            <w:pPr>
              <w:pStyle w:val="TableParagraph"/>
              <w:spacing w:before="61"/>
              <w:ind w:left="116"/>
              <w:rPr>
                <w:sz w:val="20"/>
              </w:rPr>
            </w:pPr>
            <w:r>
              <w:rPr>
                <w:spacing w:val="-5"/>
                <w:sz w:val="20"/>
              </w:rPr>
              <w:t>25</w:t>
            </w:r>
          </w:p>
        </w:tc>
        <w:tc>
          <w:tcPr>
            <w:tcW w:w="1419" w:type="dxa"/>
          </w:tcPr>
          <w:p w14:paraId="6AE90F3F" w14:textId="77777777" w:rsidR="00AE135B" w:rsidRDefault="00EE5424">
            <w:pPr>
              <w:pStyle w:val="TableParagraph"/>
              <w:spacing w:before="61"/>
              <w:ind w:left="118"/>
              <w:rPr>
                <w:sz w:val="20"/>
              </w:rPr>
            </w:pPr>
            <w:r>
              <w:rPr>
                <w:spacing w:val="-10"/>
                <w:sz w:val="20"/>
              </w:rPr>
              <w:t>0</w:t>
            </w:r>
          </w:p>
        </w:tc>
        <w:tc>
          <w:tcPr>
            <w:tcW w:w="1844" w:type="dxa"/>
          </w:tcPr>
          <w:p w14:paraId="09FADCAD" w14:textId="77777777" w:rsidR="00AE135B" w:rsidRDefault="00EE5424">
            <w:pPr>
              <w:pStyle w:val="TableParagraph"/>
              <w:spacing w:before="61"/>
              <w:ind w:left="113"/>
              <w:rPr>
                <w:sz w:val="20"/>
              </w:rPr>
            </w:pPr>
            <w:r>
              <w:rPr>
                <w:spacing w:val="-5"/>
                <w:sz w:val="20"/>
              </w:rPr>
              <w:t>0.0</w:t>
            </w:r>
          </w:p>
        </w:tc>
        <w:tc>
          <w:tcPr>
            <w:tcW w:w="1983" w:type="dxa"/>
          </w:tcPr>
          <w:p w14:paraId="77F084D4" w14:textId="77777777" w:rsidR="00AE135B" w:rsidRDefault="00EE5424">
            <w:pPr>
              <w:pStyle w:val="TableParagraph"/>
              <w:spacing w:before="61"/>
              <w:rPr>
                <w:sz w:val="20"/>
              </w:rPr>
            </w:pPr>
            <w:r>
              <w:rPr>
                <w:sz w:val="20"/>
              </w:rPr>
              <w:t>NE</w:t>
            </w:r>
            <w:r>
              <w:rPr>
                <w:spacing w:val="-8"/>
                <w:sz w:val="20"/>
              </w:rPr>
              <w:t xml:space="preserve"> </w:t>
            </w:r>
            <w:r>
              <w:rPr>
                <w:sz w:val="20"/>
              </w:rPr>
              <w:t>(NE,</w:t>
            </w:r>
            <w:r>
              <w:rPr>
                <w:spacing w:val="-4"/>
                <w:sz w:val="20"/>
              </w:rPr>
              <w:t xml:space="preserve"> </w:t>
            </w:r>
            <w:r>
              <w:rPr>
                <w:spacing w:val="-5"/>
                <w:sz w:val="20"/>
              </w:rPr>
              <w:t>NE)</w:t>
            </w:r>
          </w:p>
        </w:tc>
      </w:tr>
      <w:tr w:rsidR="00AE135B" w14:paraId="1F2646B8" w14:textId="77777777">
        <w:trPr>
          <w:trHeight w:val="374"/>
        </w:trPr>
        <w:tc>
          <w:tcPr>
            <w:tcW w:w="1861" w:type="dxa"/>
          </w:tcPr>
          <w:p w14:paraId="56B7A420" w14:textId="77777777" w:rsidR="00AE135B" w:rsidRDefault="00EE5424">
            <w:pPr>
              <w:pStyle w:val="TableParagraph"/>
              <w:spacing w:before="61"/>
              <w:ind w:left="117"/>
              <w:rPr>
                <w:sz w:val="20"/>
              </w:rPr>
            </w:pPr>
            <w:r>
              <w:rPr>
                <w:spacing w:val="-2"/>
                <w:sz w:val="20"/>
              </w:rPr>
              <w:t>Density/Size</w:t>
            </w:r>
          </w:p>
        </w:tc>
        <w:tc>
          <w:tcPr>
            <w:tcW w:w="1539" w:type="dxa"/>
          </w:tcPr>
          <w:p w14:paraId="5E203CAF" w14:textId="77777777" w:rsidR="00AE135B" w:rsidRDefault="00EE5424">
            <w:pPr>
              <w:pStyle w:val="TableParagraph"/>
              <w:spacing w:before="61"/>
              <w:ind w:left="116"/>
              <w:rPr>
                <w:sz w:val="20"/>
              </w:rPr>
            </w:pPr>
            <w:r>
              <w:rPr>
                <w:spacing w:val="-5"/>
                <w:sz w:val="20"/>
              </w:rPr>
              <w:t>134</w:t>
            </w:r>
          </w:p>
        </w:tc>
        <w:tc>
          <w:tcPr>
            <w:tcW w:w="1419" w:type="dxa"/>
          </w:tcPr>
          <w:p w14:paraId="15C4F658" w14:textId="77777777" w:rsidR="00AE135B" w:rsidRDefault="00EE5424">
            <w:pPr>
              <w:pStyle w:val="TableParagraph"/>
              <w:spacing w:before="61"/>
              <w:ind w:left="118"/>
              <w:rPr>
                <w:sz w:val="20"/>
              </w:rPr>
            </w:pPr>
            <w:r>
              <w:rPr>
                <w:spacing w:val="-10"/>
                <w:sz w:val="20"/>
              </w:rPr>
              <w:t>1</w:t>
            </w:r>
          </w:p>
        </w:tc>
        <w:tc>
          <w:tcPr>
            <w:tcW w:w="1844" w:type="dxa"/>
          </w:tcPr>
          <w:p w14:paraId="402B4F9B" w14:textId="77777777" w:rsidR="00AE135B" w:rsidRDefault="00EE5424">
            <w:pPr>
              <w:pStyle w:val="TableParagraph"/>
              <w:spacing w:before="61"/>
              <w:ind w:left="113"/>
              <w:rPr>
                <w:sz w:val="20"/>
              </w:rPr>
            </w:pPr>
            <w:r>
              <w:rPr>
                <w:spacing w:val="-5"/>
                <w:sz w:val="20"/>
              </w:rPr>
              <w:t>0.7</w:t>
            </w:r>
          </w:p>
        </w:tc>
        <w:tc>
          <w:tcPr>
            <w:tcW w:w="1983" w:type="dxa"/>
          </w:tcPr>
          <w:p w14:paraId="5899CBA4" w14:textId="77777777" w:rsidR="00AE135B" w:rsidRDefault="00EE5424">
            <w:pPr>
              <w:pStyle w:val="TableParagraph"/>
              <w:spacing w:before="61"/>
              <w:rPr>
                <w:sz w:val="20"/>
              </w:rPr>
            </w:pPr>
            <w:r>
              <w:rPr>
                <w:sz w:val="20"/>
              </w:rPr>
              <w:t>NE</w:t>
            </w:r>
            <w:r>
              <w:rPr>
                <w:spacing w:val="-8"/>
                <w:sz w:val="20"/>
              </w:rPr>
              <w:t xml:space="preserve"> </w:t>
            </w:r>
            <w:r>
              <w:rPr>
                <w:sz w:val="20"/>
              </w:rPr>
              <w:t>(NE,</w:t>
            </w:r>
            <w:r>
              <w:rPr>
                <w:spacing w:val="-4"/>
                <w:sz w:val="20"/>
              </w:rPr>
              <w:t xml:space="preserve"> </w:t>
            </w:r>
            <w:r>
              <w:rPr>
                <w:spacing w:val="-5"/>
                <w:sz w:val="20"/>
              </w:rPr>
              <w:t>NE)</w:t>
            </w:r>
          </w:p>
        </w:tc>
      </w:tr>
      <w:tr w:rsidR="00AE135B" w14:paraId="66F89B82" w14:textId="77777777">
        <w:trPr>
          <w:trHeight w:val="340"/>
        </w:trPr>
        <w:tc>
          <w:tcPr>
            <w:tcW w:w="8646" w:type="dxa"/>
            <w:gridSpan w:val="5"/>
          </w:tcPr>
          <w:p w14:paraId="1A73C927" w14:textId="77777777" w:rsidR="00AE135B" w:rsidRDefault="00EE5424">
            <w:pPr>
              <w:pStyle w:val="TableParagraph"/>
              <w:ind w:left="117"/>
              <w:rPr>
                <w:b/>
                <w:sz w:val="20"/>
              </w:rPr>
            </w:pPr>
            <w:r>
              <w:rPr>
                <w:b/>
                <w:spacing w:val="-2"/>
                <w:sz w:val="20"/>
              </w:rPr>
              <w:t>Time</w:t>
            </w:r>
            <w:r>
              <w:rPr>
                <w:b/>
                <w:spacing w:val="-6"/>
                <w:sz w:val="20"/>
              </w:rPr>
              <w:t xml:space="preserve"> </w:t>
            </w:r>
            <w:r>
              <w:rPr>
                <w:b/>
                <w:spacing w:val="-2"/>
                <w:sz w:val="20"/>
              </w:rPr>
              <w:t>to</w:t>
            </w:r>
            <w:r>
              <w:rPr>
                <w:b/>
                <w:spacing w:val="-6"/>
                <w:sz w:val="20"/>
              </w:rPr>
              <w:t xml:space="preserve"> </w:t>
            </w:r>
            <w:r>
              <w:rPr>
                <w:b/>
                <w:spacing w:val="-2"/>
                <w:sz w:val="20"/>
              </w:rPr>
              <w:t>first</w:t>
            </w:r>
            <w:r>
              <w:rPr>
                <w:b/>
                <w:spacing w:val="-3"/>
                <w:sz w:val="20"/>
              </w:rPr>
              <w:t xml:space="preserve"> </w:t>
            </w:r>
            <w:r>
              <w:rPr>
                <w:b/>
                <w:spacing w:val="-2"/>
                <w:sz w:val="20"/>
              </w:rPr>
              <w:t>objective</w:t>
            </w:r>
            <w:r>
              <w:rPr>
                <w:b/>
                <w:spacing w:val="-1"/>
                <w:sz w:val="20"/>
              </w:rPr>
              <w:t xml:space="preserve"> </w:t>
            </w:r>
            <w:proofErr w:type="spellStart"/>
            <w:r>
              <w:rPr>
                <w:b/>
                <w:spacing w:val="-2"/>
                <w:sz w:val="20"/>
              </w:rPr>
              <w:t>tumour</w:t>
            </w:r>
            <w:proofErr w:type="spellEnd"/>
            <w:r>
              <w:rPr>
                <w:b/>
                <w:spacing w:val="-3"/>
                <w:sz w:val="20"/>
              </w:rPr>
              <w:t xml:space="preserve"> </w:t>
            </w:r>
            <w:r>
              <w:rPr>
                <w:b/>
                <w:spacing w:val="-2"/>
                <w:sz w:val="20"/>
              </w:rPr>
              <w:t>response</w:t>
            </w:r>
          </w:p>
        </w:tc>
      </w:tr>
      <w:tr w:rsidR="00AE135B" w14:paraId="08190EC2" w14:textId="77777777">
        <w:trPr>
          <w:trHeight w:val="623"/>
        </w:trPr>
        <w:tc>
          <w:tcPr>
            <w:tcW w:w="1861" w:type="dxa"/>
          </w:tcPr>
          <w:p w14:paraId="6A72A8DC" w14:textId="77777777" w:rsidR="00AE135B" w:rsidRDefault="00EE5424">
            <w:pPr>
              <w:pStyle w:val="TableParagraph"/>
              <w:spacing w:before="61"/>
              <w:ind w:left="117"/>
              <w:rPr>
                <w:sz w:val="20"/>
              </w:rPr>
            </w:pPr>
            <w:r>
              <w:rPr>
                <w:spacing w:val="-4"/>
                <w:sz w:val="20"/>
              </w:rPr>
              <w:t>Based</w:t>
            </w:r>
            <w:r>
              <w:rPr>
                <w:spacing w:val="-21"/>
                <w:sz w:val="20"/>
              </w:rPr>
              <w:t xml:space="preserve"> </w:t>
            </w:r>
            <w:r>
              <w:rPr>
                <w:spacing w:val="-4"/>
                <w:sz w:val="20"/>
              </w:rPr>
              <w:t>on</w:t>
            </w:r>
            <w:r>
              <w:rPr>
                <w:spacing w:val="-16"/>
                <w:sz w:val="20"/>
              </w:rPr>
              <w:t xml:space="preserve"> </w:t>
            </w:r>
            <w:r>
              <w:rPr>
                <w:spacing w:val="-4"/>
                <w:sz w:val="20"/>
              </w:rPr>
              <w:t xml:space="preserve">best </w:t>
            </w:r>
            <w:r>
              <w:rPr>
                <w:spacing w:val="-2"/>
                <w:sz w:val="20"/>
              </w:rPr>
              <w:t>response</w:t>
            </w:r>
          </w:p>
        </w:tc>
        <w:tc>
          <w:tcPr>
            <w:tcW w:w="1539" w:type="dxa"/>
          </w:tcPr>
          <w:p w14:paraId="4BC4E992" w14:textId="77777777" w:rsidR="00AE135B" w:rsidRDefault="00EE5424">
            <w:pPr>
              <w:pStyle w:val="TableParagraph"/>
              <w:spacing w:before="188"/>
              <w:ind w:left="116"/>
              <w:rPr>
                <w:sz w:val="20"/>
              </w:rPr>
            </w:pPr>
            <w:r>
              <w:rPr>
                <w:spacing w:val="-5"/>
                <w:sz w:val="20"/>
              </w:rPr>
              <w:t>190</w:t>
            </w:r>
          </w:p>
        </w:tc>
        <w:tc>
          <w:tcPr>
            <w:tcW w:w="1419" w:type="dxa"/>
          </w:tcPr>
          <w:p w14:paraId="5C416439" w14:textId="77777777" w:rsidR="00AE135B" w:rsidRDefault="00EE5424">
            <w:pPr>
              <w:pStyle w:val="TableParagraph"/>
              <w:spacing w:before="188"/>
              <w:ind w:left="118"/>
              <w:rPr>
                <w:sz w:val="20"/>
              </w:rPr>
            </w:pPr>
            <w:r>
              <w:rPr>
                <w:spacing w:val="-5"/>
                <w:sz w:val="20"/>
              </w:rPr>
              <w:t>136</w:t>
            </w:r>
          </w:p>
        </w:tc>
        <w:tc>
          <w:tcPr>
            <w:tcW w:w="1844" w:type="dxa"/>
          </w:tcPr>
          <w:p w14:paraId="53AEC4E9" w14:textId="77777777" w:rsidR="00AE135B" w:rsidRDefault="00EE5424">
            <w:pPr>
              <w:pStyle w:val="TableParagraph"/>
              <w:spacing w:before="188"/>
              <w:ind w:left="113"/>
              <w:rPr>
                <w:sz w:val="20"/>
              </w:rPr>
            </w:pPr>
            <w:r>
              <w:rPr>
                <w:spacing w:val="-4"/>
                <w:sz w:val="20"/>
              </w:rPr>
              <w:t>71.6</w:t>
            </w:r>
          </w:p>
        </w:tc>
        <w:tc>
          <w:tcPr>
            <w:tcW w:w="1983" w:type="dxa"/>
          </w:tcPr>
          <w:p w14:paraId="72C4EF31" w14:textId="77777777" w:rsidR="00AE135B" w:rsidRDefault="00EE5424">
            <w:pPr>
              <w:pStyle w:val="TableParagraph"/>
              <w:spacing w:before="188"/>
              <w:rPr>
                <w:sz w:val="20"/>
              </w:rPr>
            </w:pPr>
            <w:r>
              <w:rPr>
                <w:sz w:val="20"/>
              </w:rPr>
              <w:t>3.1</w:t>
            </w:r>
            <w:r>
              <w:rPr>
                <w:spacing w:val="-12"/>
                <w:sz w:val="20"/>
              </w:rPr>
              <w:t xml:space="preserve"> </w:t>
            </w:r>
            <w:r>
              <w:rPr>
                <w:sz w:val="20"/>
              </w:rPr>
              <w:t>(2.89,</w:t>
            </w:r>
            <w:r>
              <w:rPr>
                <w:spacing w:val="-5"/>
                <w:sz w:val="20"/>
              </w:rPr>
              <w:t xml:space="preserve"> </w:t>
            </w:r>
            <w:r>
              <w:rPr>
                <w:spacing w:val="-2"/>
                <w:sz w:val="20"/>
              </w:rPr>
              <w:t>3.65)</w:t>
            </w:r>
          </w:p>
        </w:tc>
      </w:tr>
      <w:tr w:rsidR="00AE135B" w14:paraId="4A4200D1" w14:textId="77777777">
        <w:trPr>
          <w:trHeight w:val="373"/>
        </w:trPr>
        <w:tc>
          <w:tcPr>
            <w:tcW w:w="1861" w:type="dxa"/>
          </w:tcPr>
          <w:p w14:paraId="4457E7F1" w14:textId="77777777" w:rsidR="00AE135B" w:rsidRDefault="00EE5424">
            <w:pPr>
              <w:pStyle w:val="TableParagraph"/>
              <w:spacing w:before="61"/>
              <w:ind w:left="117"/>
              <w:rPr>
                <w:sz w:val="20"/>
              </w:rPr>
            </w:pPr>
            <w:r>
              <w:rPr>
                <w:spacing w:val="-2"/>
                <w:sz w:val="20"/>
              </w:rPr>
              <w:t>RECIST</w:t>
            </w:r>
            <w:r>
              <w:rPr>
                <w:spacing w:val="-11"/>
                <w:sz w:val="20"/>
              </w:rPr>
              <w:t xml:space="preserve"> </w:t>
            </w:r>
            <w:r>
              <w:rPr>
                <w:spacing w:val="-5"/>
                <w:sz w:val="20"/>
              </w:rPr>
              <w:t>1.1</w:t>
            </w:r>
          </w:p>
        </w:tc>
        <w:tc>
          <w:tcPr>
            <w:tcW w:w="1539" w:type="dxa"/>
          </w:tcPr>
          <w:p w14:paraId="7B69DC9E" w14:textId="77777777" w:rsidR="00AE135B" w:rsidRDefault="00EE5424">
            <w:pPr>
              <w:pStyle w:val="TableParagraph"/>
              <w:spacing w:before="61"/>
              <w:ind w:left="116"/>
              <w:rPr>
                <w:sz w:val="20"/>
              </w:rPr>
            </w:pPr>
            <w:r>
              <w:rPr>
                <w:spacing w:val="-5"/>
                <w:sz w:val="20"/>
              </w:rPr>
              <w:t>187</w:t>
            </w:r>
          </w:p>
        </w:tc>
        <w:tc>
          <w:tcPr>
            <w:tcW w:w="1419" w:type="dxa"/>
          </w:tcPr>
          <w:p w14:paraId="274191F6" w14:textId="77777777" w:rsidR="00AE135B" w:rsidRDefault="00EE5424">
            <w:pPr>
              <w:pStyle w:val="TableParagraph"/>
              <w:spacing w:before="61"/>
              <w:ind w:left="118"/>
              <w:rPr>
                <w:sz w:val="20"/>
              </w:rPr>
            </w:pPr>
            <w:r>
              <w:rPr>
                <w:spacing w:val="-5"/>
                <w:sz w:val="20"/>
              </w:rPr>
              <w:t>47</w:t>
            </w:r>
          </w:p>
        </w:tc>
        <w:tc>
          <w:tcPr>
            <w:tcW w:w="1844" w:type="dxa"/>
          </w:tcPr>
          <w:p w14:paraId="198947E3" w14:textId="77777777" w:rsidR="00AE135B" w:rsidRDefault="00EE5424">
            <w:pPr>
              <w:pStyle w:val="TableParagraph"/>
              <w:spacing w:before="61"/>
              <w:ind w:left="113"/>
              <w:rPr>
                <w:sz w:val="20"/>
              </w:rPr>
            </w:pPr>
            <w:r>
              <w:rPr>
                <w:spacing w:val="-4"/>
                <w:sz w:val="20"/>
              </w:rPr>
              <w:t>25.1</w:t>
            </w:r>
          </w:p>
        </w:tc>
        <w:tc>
          <w:tcPr>
            <w:tcW w:w="1983" w:type="dxa"/>
          </w:tcPr>
          <w:p w14:paraId="429787D0" w14:textId="77777777" w:rsidR="00AE135B" w:rsidRDefault="00EE5424">
            <w:pPr>
              <w:pStyle w:val="TableParagraph"/>
              <w:spacing w:before="61"/>
              <w:rPr>
                <w:sz w:val="20"/>
              </w:rPr>
            </w:pPr>
            <w:r>
              <w:rPr>
                <w:sz w:val="20"/>
              </w:rPr>
              <w:t>NE</w:t>
            </w:r>
            <w:r>
              <w:rPr>
                <w:spacing w:val="-11"/>
                <w:sz w:val="20"/>
              </w:rPr>
              <w:t xml:space="preserve"> </w:t>
            </w:r>
            <w:r>
              <w:rPr>
                <w:sz w:val="20"/>
              </w:rPr>
              <w:t>(20.93,</w:t>
            </w:r>
            <w:r>
              <w:rPr>
                <w:spacing w:val="-6"/>
                <w:sz w:val="20"/>
              </w:rPr>
              <w:t xml:space="preserve"> </w:t>
            </w:r>
            <w:r>
              <w:rPr>
                <w:spacing w:val="-5"/>
                <w:sz w:val="20"/>
              </w:rPr>
              <w:t>NE)</w:t>
            </w:r>
          </w:p>
        </w:tc>
      </w:tr>
      <w:tr w:rsidR="00AE135B" w14:paraId="3241322E" w14:textId="77777777">
        <w:trPr>
          <w:trHeight w:val="372"/>
        </w:trPr>
        <w:tc>
          <w:tcPr>
            <w:tcW w:w="1861" w:type="dxa"/>
          </w:tcPr>
          <w:p w14:paraId="61262BFD" w14:textId="77777777" w:rsidR="00AE135B" w:rsidRDefault="00EE5424">
            <w:pPr>
              <w:pStyle w:val="TableParagraph"/>
              <w:spacing w:before="61"/>
              <w:ind w:left="117"/>
              <w:rPr>
                <w:sz w:val="20"/>
              </w:rPr>
            </w:pPr>
            <w:r>
              <w:rPr>
                <w:spacing w:val="-2"/>
                <w:sz w:val="20"/>
              </w:rPr>
              <w:t>EORTC</w:t>
            </w:r>
          </w:p>
        </w:tc>
        <w:tc>
          <w:tcPr>
            <w:tcW w:w="1539" w:type="dxa"/>
          </w:tcPr>
          <w:p w14:paraId="10726F7D" w14:textId="77777777" w:rsidR="00AE135B" w:rsidRDefault="00EE5424">
            <w:pPr>
              <w:pStyle w:val="TableParagraph"/>
              <w:spacing w:before="61"/>
              <w:ind w:left="116"/>
              <w:rPr>
                <w:sz w:val="20"/>
              </w:rPr>
            </w:pPr>
            <w:r>
              <w:rPr>
                <w:spacing w:val="-5"/>
                <w:sz w:val="20"/>
              </w:rPr>
              <w:t>26</w:t>
            </w:r>
          </w:p>
        </w:tc>
        <w:tc>
          <w:tcPr>
            <w:tcW w:w="1419" w:type="dxa"/>
          </w:tcPr>
          <w:p w14:paraId="112BDB71" w14:textId="77777777" w:rsidR="00AE135B" w:rsidRDefault="00EE5424">
            <w:pPr>
              <w:pStyle w:val="TableParagraph"/>
              <w:spacing w:before="61"/>
              <w:ind w:left="118"/>
              <w:rPr>
                <w:sz w:val="20"/>
              </w:rPr>
            </w:pPr>
            <w:r>
              <w:rPr>
                <w:spacing w:val="-5"/>
                <w:sz w:val="20"/>
              </w:rPr>
              <w:t>25</w:t>
            </w:r>
          </w:p>
        </w:tc>
        <w:tc>
          <w:tcPr>
            <w:tcW w:w="1844" w:type="dxa"/>
          </w:tcPr>
          <w:p w14:paraId="5A8E2709" w14:textId="77777777" w:rsidR="00AE135B" w:rsidRDefault="00EE5424">
            <w:pPr>
              <w:pStyle w:val="TableParagraph"/>
              <w:spacing w:before="61"/>
              <w:ind w:left="113"/>
              <w:rPr>
                <w:sz w:val="20"/>
              </w:rPr>
            </w:pPr>
            <w:r>
              <w:rPr>
                <w:spacing w:val="-4"/>
                <w:sz w:val="20"/>
              </w:rPr>
              <w:t>96.2</w:t>
            </w:r>
          </w:p>
        </w:tc>
        <w:tc>
          <w:tcPr>
            <w:tcW w:w="1983" w:type="dxa"/>
          </w:tcPr>
          <w:p w14:paraId="1A7C6BD3" w14:textId="77777777" w:rsidR="00AE135B" w:rsidRDefault="00EE5424">
            <w:pPr>
              <w:pStyle w:val="TableParagraph"/>
              <w:spacing w:before="61"/>
              <w:rPr>
                <w:sz w:val="20"/>
              </w:rPr>
            </w:pPr>
            <w:r>
              <w:rPr>
                <w:sz w:val="20"/>
              </w:rPr>
              <w:t>2.7</w:t>
            </w:r>
            <w:r>
              <w:rPr>
                <w:spacing w:val="-12"/>
                <w:sz w:val="20"/>
              </w:rPr>
              <w:t xml:space="preserve"> </w:t>
            </w:r>
            <w:r>
              <w:rPr>
                <w:sz w:val="20"/>
              </w:rPr>
              <w:t>(1.64,</w:t>
            </w:r>
            <w:r>
              <w:rPr>
                <w:spacing w:val="-5"/>
                <w:sz w:val="20"/>
              </w:rPr>
              <w:t xml:space="preserve"> </w:t>
            </w:r>
            <w:r>
              <w:rPr>
                <w:spacing w:val="-2"/>
                <w:sz w:val="20"/>
              </w:rPr>
              <w:t>2.79)</w:t>
            </w:r>
          </w:p>
        </w:tc>
      </w:tr>
      <w:tr w:rsidR="00AE135B" w14:paraId="19660681" w14:textId="77777777">
        <w:trPr>
          <w:trHeight w:val="371"/>
        </w:trPr>
        <w:tc>
          <w:tcPr>
            <w:tcW w:w="1861" w:type="dxa"/>
          </w:tcPr>
          <w:p w14:paraId="0A2ECEDA" w14:textId="77777777" w:rsidR="00AE135B" w:rsidRDefault="00EE5424">
            <w:pPr>
              <w:pStyle w:val="TableParagraph"/>
              <w:spacing w:before="61"/>
              <w:ind w:left="117"/>
              <w:rPr>
                <w:sz w:val="20"/>
              </w:rPr>
            </w:pPr>
            <w:r>
              <w:rPr>
                <w:spacing w:val="-2"/>
                <w:sz w:val="20"/>
              </w:rPr>
              <w:t>Density/Size</w:t>
            </w:r>
          </w:p>
        </w:tc>
        <w:tc>
          <w:tcPr>
            <w:tcW w:w="1539" w:type="dxa"/>
          </w:tcPr>
          <w:p w14:paraId="40C24741" w14:textId="77777777" w:rsidR="00AE135B" w:rsidRDefault="00EE5424">
            <w:pPr>
              <w:pStyle w:val="TableParagraph"/>
              <w:spacing w:before="61"/>
              <w:ind w:left="116"/>
              <w:rPr>
                <w:sz w:val="20"/>
              </w:rPr>
            </w:pPr>
            <w:r>
              <w:rPr>
                <w:spacing w:val="-5"/>
                <w:sz w:val="20"/>
              </w:rPr>
              <w:t>176</w:t>
            </w:r>
          </w:p>
        </w:tc>
        <w:tc>
          <w:tcPr>
            <w:tcW w:w="1419" w:type="dxa"/>
          </w:tcPr>
          <w:p w14:paraId="78345C15" w14:textId="77777777" w:rsidR="00AE135B" w:rsidRDefault="00EE5424">
            <w:pPr>
              <w:pStyle w:val="TableParagraph"/>
              <w:spacing w:before="61"/>
              <w:ind w:left="118"/>
              <w:rPr>
                <w:sz w:val="20"/>
              </w:rPr>
            </w:pPr>
            <w:r>
              <w:rPr>
                <w:spacing w:val="-5"/>
                <w:sz w:val="20"/>
              </w:rPr>
              <w:t>134</w:t>
            </w:r>
          </w:p>
        </w:tc>
        <w:tc>
          <w:tcPr>
            <w:tcW w:w="1844" w:type="dxa"/>
          </w:tcPr>
          <w:p w14:paraId="0BBD78CF" w14:textId="77777777" w:rsidR="00AE135B" w:rsidRDefault="00EE5424">
            <w:pPr>
              <w:pStyle w:val="TableParagraph"/>
              <w:spacing w:before="61"/>
              <w:ind w:left="113"/>
              <w:rPr>
                <w:sz w:val="20"/>
              </w:rPr>
            </w:pPr>
            <w:r>
              <w:rPr>
                <w:spacing w:val="-4"/>
                <w:sz w:val="20"/>
              </w:rPr>
              <w:t>76.1</w:t>
            </w:r>
          </w:p>
        </w:tc>
        <w:tc>
          <w:tcPr>
            <w:tcW w:w="1983" w:type="dxa"/>
          </w:tcPr>
          <w:p w14:paraId="7ED05551" w14:textId="77777777" w:rsidR="00AE135B" w:rsidRDefault="00EE5424">
            <w:pPr>
              <w:pStyle w:val="TableParagraph"/>
              <w:spacing w:before="61"/>
              <w:rPr>
                <w:sz w:val="20"/>
              </w:rPr>
            </w:pPr>
            <w:r>
              <w:rPr>
                <w:sz w:val="20"/>
              </w:rPr>
              <w:t>3.0</w:t>
            </w:r>
            <w:r>
              <w:rPr>
                <w:spacing w:val="-12"/>
                <w:sz w:val="20"/>
              </w:rPr>
              <w:t xml:space="preserve"> </w:t>
            </w:r>
            <w:r>
              <w:rPr>
                <w:sz w:val="20"/>
              </w:rPr>
              <w:t>(2.79,</w:t>
            </w:r>
            <w:r>
              <w:rPr>
                <w:spacing w:val="-5"/>
                <w:sz w:val="20"/>
              </w:rPr>
              <w:t xml:space="preserve"> </w:t>
            </w:r>
            <w:r>
              <w:rPr>
                <w:spacing w:val="-2"/>
                <w:sz w:val="20"/>
              </w:rPr>
              <w:t>3.48)</w:t>
            </w:r>
          </w:p>
        </w:tc>
      </w:tr>
    </w:tbl>
    <w:p w14:paraId="7A1442EC" w14:textId="77777777" w:rsidR="00AE135B" w:rsidRDefault="00EE5424">
      <w:pPr>
        <w:spacing w:before="21"/>
        <w:ind w:left="477"/>
        <w:rPr>
          <w:sz w:val="18"/>
        </w:rPr>
      </w:pPr>
      <w:proofErr w:type="gramStart"/>
      <w:r>
        <w:rPr>
          <w:position w:val="6"/>
          <w:sz w:val="18"/>
        </w:rPr>
        <w:t>a</w:t>
      </w:r>
      <w:proofErr w:type="gramEnd"/>
      <w:r>
        <w:rPr>
          <w:spacing w:val="-8"/>
          <w:position w:val="6"/>
          <w:sz w:val="18"/>
        </w:rPr>
        <w:t xml:space="preserve"> </w:t>
      </w:r>
      <w:r>
        <w:rPr>
          <w:sz w:val="18"/>
        </w:rPr>
        <w:t>Exact</w:t>
      </w:r>
      <w:r>
        <w:rPr>
          <w:spacing w:val="-8"/>
          <w:sz w:val="18"/>
        </w:rPr>
        <w:t xml:space="preserve"> </w:t>
      </w:r>
      <w:r>
        <w:rPr>
          <w:sz w:val="18"/>
        </w:rPr>
        <w:t>Confidence</w:t>
      </w:r>
      <w:r>
        <w:rPr>
          <w:spacing w:val="-8"/>
          <w:sz w:val="18"/>
        </w:rPr>
        <w:t xml:space="preserve"> </w:t>
      </w:r>
      <w:r>
        <w:rPr>
          <w:spacing w:val="-2"/>
          <w:sz w:val="18"/>
        </w:rPr>
        <w:t>Interval</w:t>
      </w:r>
    </w:p>
    <w:p w14:paraId="7658638C" w14:textId="77777777" w:rsidR="00AE135B" w:rsidRDefault="00EE5424">
      <w:pPr>
        <w:spacing w:before="1"/>
        <w:ind w:left="477"/>
        <w:rPr>
          <w:spacing w:val="-2"/>
          <w:sz w:val="18"/>
        </w:rPr>
      </w:pPr>
      <w:r>
        <w:rPr>
          <w:position w:val="6"/>
          <w:sz w:val="18"/>
        </w:rPr>
        <w:t>b</w:t>
      </w:r>
      <w:r>
        <w:rPr>
          <w:spacing w:val="-2"/>
          <w:position w:val="6"/>
          <w:sz w:val="18"/>
        </w:rPr>
        <w:t xml:space="preserve"> </w:t>
      </w:r>
      <w:r>
        <w:rPr>
          <w:sz w:val="18"/>
        </w:rPr>
        <w:t>NE</w:t>
      </w:r>
      <w:r>
        <w:rPr>
          <w:spacing w:val="-5"/>
          <w:sz w:val="18"/>
        </w:rPr>
        <w:t xml:space="preserve"> </w:t>
      </w:r>
      <w:r>
        <w:rPr>
          <w:sz w:val="18"/>
        </w:rPr>
        <w:t>=</w:t>
      </w:r>
      <w:r>
        <w:rPr>
          <w:spacing w:val="2"/>
          <w:sz w:val="18"/>
        </w:rPr>
        <w:t xml:space="preserve"> </w:t>
      </w:r>
      <w:r>
        <w:rPr>
          <w:sz w:val="18"/>
        </w:rPr>
        <w:t>Not</w:t>
      </w:r>
      <w:r>
        <w:rPr>
          <w:spacing w:val="-3"/>
          <w:sz w:val="18"/>
        </w:rPr>
        <w:t xml:space="preserve"> </w:t>
      </w:r>
      <w:r>
        <w:rPr>
          <w:spacing w:val="-2"/>
          <w:sz w:val="18"/>
        </w:rPr>
        <w:t>Estimable</w:t>
      </w:r>
    </w:p>
    <w:p w14:paraId="2FAA89DB" w14:textId="77777777" w:rsidR="00401300" w:rsidRDefault="00401300" w:rsidP="00401300"/>
    <w:p w14:paraId="0AD5A52F" w14:textId="77777777" w:rsidR="00AE135B" w:rsidRDefault="00EE5424">
      <w:pPr>
        <w:pStyle w:val="Heading3"/>
        <w:spacing w:before="38"/>
        <w:jc w:val="both"/>
      </w:pPr>
      <w:r>
        <w:t>Effect</w:t>
      </w:r>
      <w:r>
        <w:rPr>
          <w:spacing w:val="-12"/>
        </w:rPr>
        <w:t xml:space="preserve"> </w:t>
      </w:r>
      <w:r>
        <w:t>on</w:t>
      </w:r>
      <w:r>
        <w:rPr>
          <w:spacing w:val="-8"/>
        </w:rPr>
        <w:t xml:space="preserve"> </w:t>
      </w:r>
      <w:r>
        <w:rPr>
          <w:spacing w:val="-4"/>
        </w:rPr>
        <w:t>pain</w:t>
      </w:r>
    </w:p>
    <w:p w14:paraId="412EB65E" w14:textId="77777777" w:rsidR="00AE135B" w:rsidRDefault="00EE5424">
      <w:pPr>
        <w:pStyle w:val="BodyText"/>
        <w:spacing w:before="229" w:line="360" w:lineRule="auto"/>
        <w:ind w:right="169"/>
        <w:jc w:val="both"/>
      </w:pPr>
      <w:r>
        <w:t>In Study 20062004 interim analysis, Cohorts 1 and 2 combined, a clinically meaningful reduction in worst pain</w:t>
      </w:r>
      <w:r>
        <w:rPr>
          <w:spacing w:val="-4"/>
        </w:rPr>
        <w:t xml:space="preserve"> </w:t>
      </w:r>
      <w:r>
        <w:t>(i.e.,</w:t>
      </w:r>
      <w:r>
        <w:rPr>
          <w:spacing w:val="-2"/>
        </w:rPr>
        <w:t xml:space="preserve"> </w:t>
      </w:r>
      <w:r>
        <w:t>≥ 2-point decrease</w:t>
      </w:r>
      <w:r>
        <w:rPr>
          <w:spacing w:val="-2"/>
        </w:rPr>
        <w:t xml:space="preserve"> </w:t>
      </w:r>
      <w:r>
        <w:t>from baseline)</w:t>
      </w:r>
      <w:r>
        <w:rPr>
          <w:spacing w:val="-2"/>
        </w:rPr>
        <w:t xml:space="preserve"> </w:t>
      </w:r>
      <w:r>
        <w:t>was</w:t>
      </w:r>
      <w:r>
        <w:rPr>
          <w:spacing w:val="-3"/>
        </w:rPr>
        <w:t xml:space="preserve"> </w:t>
      </w:r>
      <w:r>
        <w:t>reported</w:t>
      </w:r>
      <w:r>
        <w:rPr>
          <w:spacing w:val="-3"/>
        </w:rPr>
        <w:t xml:space="preserve"> </w:t>
      </w:r>
      <w:r>
        <w:t>for</w:t>
      </w:r>
      <w:r>
        <w:rPr>
          <w:spacing w:val="-3"/>
        </w:rPr>
        <w:t xml:space="preserve"> </w:t>
      </w:r>
      <w:r>
        <w:t>31.4</w:t>
      </w:r>
      <w:r>
        <w:rPr>
          <w:spacing w:val="-1"/>
        </w:rPr>
        <w:t xml:space="preserve"> </w:t>
      </w:r>
      <w:r>
        <w:t>%</w:t>
      </w:r>
      <w:r>
        <w:rPr>
          <w:spacing w:val="-2"/>
        </w:rPr>
        <w:t xml:space="preserve"> </w:t>
      </w:r>
      <w:r>
        <w:t>of</w:t>
      </w:r>
      <w:r>
        <w:rPr>
          <w:spacing w:val="-3"/>
        </w:rPr>
        <w:t xml:space="preserve"> </w:t>
      </w:r>
      <w:r>
        <w:t>patients at</w:t>
      </w:r>
      <w:r>
        <w:rPr>
          <w:spacing w:val="-3"/>
        </w:rPr>
        <w:t xml:space="preserve"> </w:t>
      </w:r>
      <w:r>
        <w:t>risk</w:t>
      </w:r>
      <w:r>
        <w:rPr>
          <w:spacing w:val="-3"/>
        </w:rPr>
        <w:t xml:space="preserve"> </w:t>
      </w:r>
      <w:r>
        <w:t>(i.e.</w:t>
      </w:r>
      <w:r>
        <w:rPr>
          <w:spacing w:val="-1"/>
        </w:rPr>
        <w:t xml:space="preserve"> </w:t>
      </w:r>
      <w:r>
        <w:t>those</w:t>
      </w:r>
      <w:r>
        <w:rPr>
          <w:spacing w:val="-5"/>
        </w:rPr>
        <w:t xml:space="preserve"> </w:t>
      </w:r>
      <w:r>
        <w:t xml:space="preserve">who had a worst pain score of ≥ 2 at baseline) within 1 week of treatment, and ≥ 50 % at week 5. These pain </w:t>
      </w:r>
      <w:r>
        <w:lastRenderedPageBreak/>
        <w:t>improvements were maintained at all subsequent evaluations. In a post-hoc analysis, at least half of evaluable</w:t>
      </w:r>
      <w:r>
        <w:rPr>
          <w:spacing w:val="-7"/>
        </w:rPr>
        <w:t xml:space="preserve"> </w:t>
      </w:r>
      <w:r>
        <w:t>patients</w:t>
      </w:r>
      <w:r>
        <w:rPr>
          <w:spacing w:val="-7"/>
        </w:rPr>
        <w:t xml:space="preserve"> </w:t>
      </w:r>
      <w:r>
        <w:t>had</w:t>
      </w:r>
      <w:r>
        <w:rPr>
          <w:spacing w:val="-9"/>
        </w:rPr>
        <w:t xml:space="preserve"> </w:t>
      </w:r>
      <w:r>
        <w:t>a</w:t>
      </w:r>
      <w:r>
        <w:rPr>
          <w:spacing w:val="-5"/>
        </w:rPr>
        <w:t xml:space="preserve"> </w:t>
      </w:r>
      <w:r>
        <w:t>≥</w:t>
      </w:r>
      <w:r>
        <w:rPr>
          <w:spacing w:val="-10"/>
        </w:rPr>
        <w:t xml:space="preserve"> </w:t>
      </w:r>
      <w:r>
        <w:t>30</w:t>
      </w:r>
      <w:r>
        <w:rPr>
          <w:spacing w:val="-10"/>
        </w:rPr>
        <w:t xml:space="preserve"> </w:t>
      </w:r>
      <w:r>
        <w:t>%</w:t>
      </w:r>
      <w:r>
        <w:rPr>
          <w:spacing w:val="-7"/>
        </w:rPr>
        <w:t xml:space="preserve"> </w:t>
      </w:r>
      <w:r>
        <w:t>reduction</w:t>
      </w:r>
      <w:r>
        <w:rPr>
          <w:spacing w:val="-8"/>
        </w:rPr>
        <w:t xml:space="preserve"> </w:t>
      </w:r>
      <w:r>
        <w:t>in</w:t>
      </w:r>
      <w:r>
        <w:rPr>
          <w:spacing w:val="-9"/>
        </w:rPr>
        <w:t xml:space="preserve"> </w:t>
      </w:r>
      <w:r>
        <w:t>worst</w:t>
      </w:r>
      <w:r>
        <w:rPr>
          <w:spacing w:val="-7"/>
        </w:rPr>
        <w:t xml:space="preserve"> </w:t>
      </w:r>
      <w:r>
        <w:t>pain</w:t>
      </w:r>
      <w:r>
        <w:rPr>
          <w:spacing w:val="-9"/>
        </w:rPr>
        <w:t xml:space="preserve"> </w:t>
      </w:r>
      <w:r>
        <w:t>score</w:t>
      </w:r>
      <w:r>
        <w:rPr>
          <w:spacing w:val="-7"/>
        </w:rPr>
        <w:t xml:space="preserve"> </w:t>
      </w:r>
      <w:r>
        <w:t>from</w:t>
      </w:r>
      <w:r>
        <w:rPr>
          <w:spacing w:val="-7"/>
        </w:rPr>
        <w:t xml:space="preserve"> </w:t>
      </w:r>
      <w:r>
        <w:t>baseline</w:t>
      </w:r>
      <w:r>
        <w:rPr>
          <w:spacing w:val="-9"/>
        </w:rPr>
        <w:t xml:space="preserve"> </w:t>
      </w:r>
      <w:r>
        <w:t>at</w:t>
      </w:r>
      <w:r>
        <w:rPr>
          <w:spacing w:val="-7"/>
        </w:rPr>
        <w:t xml:space="preserve"> </w:t>
      </w:r>
      <w:r>
        <w:t>all</w:t>
      </w:r>
      <w:r>
        <w:rPr>
          <w:spacing w:val="-11"/>
        </w:rPr>
        <w:t xml:space="preserve"> </w:t>
      </w:r>
      <w:r>
        <w:t>post-baseline</w:t>
      </w:r>
      <w:r>
        <w:rPr>
          <w:spacing w:val="-9"/>
        </w:rPr>
        <w:t xml:space="preserve"> </w:t>
      </w:r>
      <w:r>
        <w:t>time</w:t>
      </w:r>
      <w:r>
        <w:rPr>
          <w:spacing w:val="-8"/>
        </w:rPr>
        <w:t xml:space="preserve"> </w:t>
      </w:r>
      <w:r>
        <w:t>points beginning</w:t>
      </w:r>
      <w:r>
        <w:rPr>
          <w:spacing w:val="-13"/>
        </w:rPr>
        <w:t xml:space="preserve"> </w:t>
      </w:r>
      <w:r>
        <w:t>at</w:t>
      </w:r>
      <w:r>
        <w:rPr>
          <w:spacing w:val="-12"/>
        </w:rPr>
        <w:t xml:space="preserve"> </w:t>
      </w:r>
      <w:r>
        <w:t>week</w:t>
      </w:r>
      <w:r>
        <w:rPr>
          <w:spacing w:val="-13"/>
        </w:rPr>
        <w:t xml:space="preserve"> </w:t>
      </w:r>
      <w:r>
        <w:t>9.</w:t>
      </w:r>
      <w:r>
        <w:rPr>
          <w:spacing w:val="-12"/>
        </w:rPr>
        <w:t xml:space="preserve"> </w:t>
      </w:r>
      <w:r>
        <w:t>Overall,</w:t>
      </w:r>
      <w:r>
        <w:rPr>
          <w:spacing w:val="-13"/>
        </w:rPr>
        <w:t xml:space="preserve"> </w:t>
      </w:r>
      <w:r>
        <w:t>pain</w:t>
      </w:r>
      <w:r>
        <w:rPr>
          <w:spacing w:val="-12"/>
        </w:rPr>
        <w:t xml:space="preserve"> </w:t>
      </w:r>
      <w:r>
        <w:t>improvement</w:t>
      </w:r>
      <w:r>
        <w:rPr>
          <w:spacing w:val="-13"/>
        </w:rPr>
        <w:t xml:space="preserve"> </w:t>
      </w:r>
      <w:r>
        <w:t>and</w:t>
      </w:r>
      <w:r>
        <w:rPr>
          <w:spacing w:val="-12"/>
        </w:rPr>
        <w:t xml:space="preserve"> </w:t>
      </w:r>
      <w:r>
        <w:t>clinical</w:t>
      </w:r>
      <w:r>
        <w:rPr>
          <w:spacing w:val="-12"/>
        </w:rPr>
        <w:t xml:space="preserve"> </w:t>
      </w:r>
      <w:r>
        <w:t>benefit</w:t>
      </w:r>
      <w:r>
        <w:rPr>
          <w:spacing w:val="-13"/>
        </w:rPr>
        <w:t xml:space="preserve"> </w:t>
      </w:r>
      <w:r>
        <w:t>did</w:t>
      </w:r>
      <w:r>
        <w:rPr>
          <w:spacing w:val="-12"/>
        </w:rPr>
        <w:t xml:space="preserve"> </w:t>
      </w:r>
      <w:r>
        <w:t>not</w:t>
      </w:r>
      <w:r>
        <w:rPr>
          <w:spacing w:val="-13"/>
        </w:rPr>
        <w:t xml:space="preserve"> </w:t>
      </w:r>
      <w:r>
        <w:t>correlate</w:t>
      </w:r>
      <w:r>
        <w:rPr>
          <w:spacing w:val="-12"/>
        </w:rPr>
        <w:t xml:space="preserve"> </w:t>
      </w:r>
      <w:r>
        <w:t>with</w:t>
      </w:r>
      <w:r>
        <w:rPr>
          <w:spacing w:val="-13"/>
        </w:rPr>
        <w:t xml:space="preserve"> </w:t>
      </w:r>
      <w:r>
        <w:t>objective</w:t>
      </w:r>
      <w:r>
        <w:rPr>
          <w:spacing w:val="-12"/>
        </w:rPr>
        <w:t xml:space="preserve"> </w:t>
      </w:r>
      <w:proofErr w:type="spellStart"/>
      <w:r>
        <w:t>tumour</w:t>
      </w:r>
      <w:proofErr w:type="spellEnd"/>
      <w:r>
        <w:t xml:space="preserve"> </w:t>
      </w:r>
      <w:r>
        <w:rPr>
          <w:spacing w:val="-2"/>
        </w:rPr>
        <w:t>response.</w:t>
      </w:r>
    </w:p>
    <w:p w14:paraId="38171A20" w14:textId="77777777" w:rsidR="00AE135B" w:rsidRDefault="00EE5424">
      <w:pPr>
        <w:spacing w:before="89"/>
        <w:ind w:left="307"/>
        <w:jc w:val="both"/>
        <w:rPr>
          <w:i/>
        </w:rPr>
      </w:pPr>
      <w:r>
        <w:rPr>
          <w:i/>
          <w:spacing w:val="-2"/>
        </w:rPr>
        <w:t>Clinical</w:t>
      </w:r>
      <w:r>
        <w:rPr>
          <w:i/>
          <w:spacing w:val="-10"/>
        </w:rPr>
        <w:t xml:space="preserve"> </w:t>
      </w:r>
      <w:r>
        <w:rPr>
          <w:i/>
          <w:spacing w:val="-2"/>
        </w:rPr>
        <w:t>efficacy</w:t>
      </w:r>
      <w:r>
        <w:rPr>
          <w:i/>
          <w:spacing w:val="-8"/>
        </w:rPr>
        <w:t xml:space="preserve"> </w:t>
      </w:r>
      <w:r>
        <w:rPr>
          <w:i/>
          <w:spacing w:val="-2"/>
        </w:rPr>
        <w:t>in</w:t>
      </w:r>
      <w:r>
        <w:rPr>
          <w:i/>
          <w:spacing w:val="-8"/>
        </w:rPr>
        <w:t xml:space="preserve"> </w:t>
      </w:r>
      <w:r>
        <w:rPr>
          <w:i/>
          <w:spacing w:val="-2"/>
        </w:rPr>
        <w:t>treatment</w:t>
      </w:r>
      <w:r>
        <w:rPr>
          <w:i/>
          <w:spacing w:val="-3"/>
        </w:rPr>
        <w:t xml:space="preserve"> </w:t>
      </w:r>
      <w:r>
        <w:rPr>
          <w:i/>
          <w:spacing w:val="-2"/>
        </w:rPr>
        <w:t>of</w:t>
      </w:r>
      <w:r>
        <w:rPr>
          <w:i/>
          <w:spacing w:val="-5"/>
        </w:rPr>
        <w:t xml:space="preserve"> </w:t>
      </w:r>
      <w:proofErr w:type="spellStart"/>
      <w:r>
        <w:rPr>
          <w:i/>
          <w:spacing w:val="-2"/>
        </w:rPr>
        <w:t>hypercalcaemia</w:t>
      </w:r>
      <w:proofErr w:type="spellEnd"/>
      <w:r>
        <w:rPr>
          <w:i/>
          <w:spacing w:val="-8"/>
        </w:rPr>
        <w:t xml:space="preserve"> </w:t>
      </w:r>
      <w:r>
        <w:rPr>
          <w:i/>
          <w:spacing w:val="-2"/>
        </w:rPr>
        <w:t>of</w:t>
      </w:r>
      <w:r>
        <w:rPr>
          <w:i/>
          <w:spacing w:val="-4"/>
        </w:rPr>
        <w:t xml:space="preserve"> </w:t>
      </w:r>
      <w:r>
        <w:rPr>
          <w:i/>
          <w:spacing w:val="-2"/>
        </w:rPr>
        <w:t>malignancy</w:t>
      </w:r>
    </w:p>
    <w:p w14:paraId="69521FA1" w14:textId="77777777" w:rsidR="00AE135B" w:rsidRDefault="00AE135B">
      <w:pPr>
        <w:pStyle w:val="BodyText"/>
        <w:spacing w:before="114"/>
        <w:ind w:left="0"/>
        <w:rPr>
          <w:i/>
        </w:rPr>
      </w:pPr>
    </w:p>
    <w:p w14:paraId="0E9453CF" w14:textId="77777777" w:rsidR="00AE135B" w:rsidRDefault="00EE5424">
      <w:pPr>
        <w:pStyle w:val="BodyText"/>
        <w:spacing w:line="360" w:lineRule="auto"/>
        <w:ind w:right="173"/>
        <w:jc w:val="both"/>
      </w:pPr>
      <w:r>
        <w:t>The safety and efficacy of denosumab was studied in a phase 2 open-label, single-arm trial (Study 20070315)</w:t>
      </w:r>
      <w:r>
        <w:rPr>
          <w:spacing w:val="-12"/>
        </w:rPr>
        <w:t xml:space="preserve"> </w:t>
      </w:r>
      <w:r>
        <w:t>that</w:t>
      </w:r>
      <w:r>
        <w:rPr>
          <w:spacing w:val="-13"/>
        </w:rPr>
        <w:t xml:space="preserve"> </w:t>
      </w:r>
      <w:r>
        <w:t>enrolled</w:t>
      </w:r>
      <w:r>
        <w:rPr>
          <w:spacing w:val="-9"/>
        </w:rPr>
        <w:t xml:space="preserve"> </w:t>
      </w:r>
      <w:r>
        <w:t>33</w:t>
      </w:r>
      <w:r>
        <w:rPr>
          <w:spacing w:val="-12"/>
        </w:rPr>
        <w:t xml:space="preserve"> </w:t>
      </w:r>
      <w:r>
        <w:t>patients</w:t>
      </w:r>
      <w:r>
        <w:rPr>
          <w:spacing w:val="-13"/>
        </w:rPr>
        <w:t xml:space="preserve"> </w:t>
      </w:r>
      <w:r>
        <w:t>with</w:t>
      </w:r>
      <w:r>
        <w:rPr>
          <w:spacing w:val="-9"/>
        </w:rPr>
        <w:t xml:space="preserve"> </w:t>
      </w:r>
      <w:proofErr w:type="spellStart"/>
      <w:r>
        <w:t>hypercalcaemia</w:t>
      </w:r>
      <w:proofErr w:type="spellEnd"/>
      <w:r>
        <w:rPr>
          <w:spacing w:val="-13"/>
        </w:rPr>
        <w:t xml:space="preserve"> </w:t>
      </w:r>
      <w:r>
        <w:t>of</w:t>
      </w:r>
      <w:r>
        <w:rPr>
          <w:spacing w:val="-12"/>
        </w:rPr>
        <w:t xml:space="preserve"> </w:t>
      </w:r>
      <w:r>
        <w:t>malignancy</w:t>
      </w:r>
      <w:r>
        <w:rPr>
          <w:spacing w:val="-9"/>
        </w:rPr>
        <w:t xml:space="preserve"> </w:t>
      </w:r>
      <w:r>
        <w:t>(with</w:t>
      </w:r>
      <w:r>
        <w:rPr>
          <w:spacing w:val="-12"/>
        </w:rPr>
        <w:t xml:space="preserve"> </w:t>
      </w:r>
      <w:r>
        <w:t>or</w:t>
      </w:r>
      <w:r>
        <w:rPr>
          <w:spacing w:val="-13"/>
        </w:rPr>
        <w:t xml:space="preserve"> </w:t>
      </w:r>
      <w:r>
        <w:t>without</w:t>
      </w:r>
      <w:r>
        <w:rPr>
          <w:spacing w:val="-11"/>
        </w:rPr>
        <w:t xml:space="preserve"> </w:t>
      </w:r>
      <w:r>
        <w:t>bone</w:t>
      </w:r>
      <w:r>
        <w:rPr>
          <w:spacing w:val="-12"/>
        </w:rPr>
        <w:t xml:space="preserve"> </w:t>
      </w:r>
      <w:r>
        <w:t>metastases) refractory to treatment with intravenous bisphosphonate. In this study,</w:t>
      </w:r>
      <w:r>
        <w:rPr>
          <w:spacing w:val="40"/>
        </w:rPr>
        <w:t xml:space="preserve"> </w:t>
      </w:r>
      <w:r>
        <w:t xml:space="preserve">refractory </w:t>
      </w:r>
      <w:proofErr w:type="spellStart"/>
      <w:r>
        <w:t>hypercalcaemia</w:t>
      </w:r>
      <w:proofErr w:type="spellEnd"/>
      <w:r>
        <w:t xml:space="preserve"> of malignancy</w:t>
      </w:r>
      <w:r>
        <w:rPr>
          <w:spacing w:val="-13"/>
        </w:rPr>
        <w:t xml:space="preserve"> </w:t>
      </w:r>
      <w:r>
        <w:t>was</w:t>
      </w:r>
      <w:r>
        <w:rPr>
          <w:spacing w:val="-12"/>
        </w:rPr>
        <w:t xml:space="preserve"> </w:t>
      </w:r>
      <w:r>
        <w:t>defined</w:t>
      </w:r>
      <w:r>
        <w:rPr>
          <w:spacing w:val="-13"/>
        </w:rPr>
        <w:t xml:space="preserve"> </w:t>
      </w:r>
      <w:r>
        <w:t>as</w:t>
      </w:r>
      <w:r>
        <w:rPr>
          <w:spacing w:val="-12"/>
        </w:rPr>
        <w:t xml:space="preserve"> </w:t>
      </w:r>
      <w:r>
        <w:t>an</w:t>
      </w:r>
      <w:r>
        <w:rPr>
          <w:spacing w:val="-13"/>
        </w:rPr>
        <w:t xml:space="preserve"> </w:t>
      </w:r>
      <w:r>
        <w:t>albumin-corrected</w:t>
      </w:r>
      <w:r>
        <w:rPr>
          <w:spacing w:val="-12"/>
        </w:rPr>
        <w:t xml:space="preserve"> </w:t>
      </w:r>
      <w:r>
        <w:t>serum</w:t>
      </w:r>
      <w:r>
        <w:rPr>
          <w:spacing w:val="-13"/>
        </w:rPr>
        <w:t xml:space="preserve"> </w:t>
      </w:r>
      <w:r>
        <w:t>calcium</w:t>
      </w:r>
      <w:r>
        <w:rPr>
          <w:spacing w:val="-12"/>
        </w:rPr>
        <w:t xml:space="preserve"> </w:t>
      </w:r>
      <w:r>
        <w:t>(CSC)</w:t>
      </w:r>
      <w:r>
        <w:rPr>
          <w:spacing w:val="-12"/>
        </w:rPr>
        <w:t xml:space="preserve"> </w:t>
      </w:r>
      <w:r>
        <w:t>of</w:t>
      </w:r>
      <w:r>
        <w:rPr>
          <w:spacing w:val="-13"/>
        </w:rPr>
        <w:t xml:space="preserve"> </w:t>
      </w:r>
      <w:r>
        <w:t>&gt;</w:t>
      </w:r>
      <w:r>
        <w:rPr>
          <w:spacing w:val="-12"/>
        </w:rPr>
        <w:t xml:space="preserve"> </w:t>
      </w:r>
      <w:r>
        <w:t>12.5</w:t>
      </w:r>
      <w:r>
        <w:rPr>
          <w:spacing w:val="-13"/>
        </w:rPr>
        <w:t xml:space="preserve"> </w:t>
      </w:r>
      <w:r>
        <w:t>mg/dL</w:t>
      </w:r>
      <w:r>
        <w:rPr>
          <w:spacing w:val="-12"/>
        </w:rPr>
        <w:t xml:space="preserve"> </w:t>
      </w:r>
      <w:r>
        <w:t>(3.1</w:t>
      </w:r>
      <w:r>
        <w:rPr>
          <w:spacing w:val="-13"/>
        </w:rPr>
        <w:t xml:space="preserve"> </w:t>
      </w:r>
      <w:r>
        <w:t>mmol/L)</w:t>
      </w:r>
      <w:r>
        <w:rPr>
          <w:spacing w:val="-12"/>
        </w:rPr>
        <w:t xml:space="preserve"> </w:t>
      </w:r>
      <w:r>
        <w:t>despite treatment with intravenous bisphosphonate in the last 7-30 days.</w:t>
      </w:r>
    </w:p>
    <w:p w14:paraId="59AFCF06" w14:textId="2F860C46" w:rsidR="00AE135B" w:rsidRDefault="00EE5424" w:rsidP="00401300">
      <w:pPr>
        <w:pStyle w:val="BodyText"/>
        <w:spacing w:before="119" w:line="360" w:lineRule="auto"/>
        <w:ind w:right="173"/>
        <w:jc w:val="both"/>
      </w:pPr>
      <w:r>
        <w:t xml:space="preserve">Twenty-six (79 %) patients had advanced solid </w:t>
      </w:r>
      <w:proofErr w:type="spellStart"/>
      <w:proofErr w:type="gramStart"/>
      <w:r>
        <w:t>tumours</w:t>
      </w:r>
      <w:proofErr w:type="spellEnd"/>
      <w:proofErr w:type="gramEnd"/>
      <w:r>
        <w:t xml:space="preserve"> and 7 (21 %) patients had advanced hematologic malignancies. Twenty-five patients (76 %) had poor performance status (Eastern Cooperative Oncology Group [ECOG] ≥ 2) at baseline. Metastatic disease was present in 30 (91 %) patients and metastatic bone disease</w:t>
      </w:r>
      <w:r>
        <w:rPr>
          <w:spacing w:val="-6"/>
        </w:rPr>
        <w:t xml:space="preserve"> </w:t>
      </w:r>
      <w:r>
        <w:t>in</w:t>
      </w:r>
      <w:r>
        <w:rPr>
          <w:spacing w:val="-11"/>
        </w:rPr>
        <w:t xml:space="preserve"> </w:t>
      </w:r>
      <w:r>
        <w:t>13</w:t>
      </w:r>
      <w:r>
        <w:rPr>
          <w:spacing w:val="-7"/>
        </w:rPr>
        <w:t xml:space="preserve"> </w:t>
      </w:r>
      <w:r>
        <w:t>(39</w:t>
      </w:r>
      <w:r>
        <w:rPr>
          <w:spacing w:val="-5"/>
        </w:rPr>
        <w:t xml:space="preserve"> </w:t>
      </w:r>
      <w:r>
        <w:t>%)</w:t>
      </w:r>
      <w:r>
        <w:rPr>
          <w:spacing w:val="-5"/>
        </w:rPr>
        <w:t xml:space="preserve"> </w:t>
      </w:r>
      <w:r>
        <w:t>patients</w:t>
      </w:r>
      <w:r>
        <w:rPr>
          <w:spacing w:val="-8"/>
        </w:rPr>
        <w:t xml:space="preserve"> </w:t>
      </w:r>
      <w:r>
        <w:t>at</w:t>
      </w:r>
      <w:r>
        <w:rPr>
          <w:spacing w:val="-8"/>
        </w:rPr>
        <w:t xml:space="preserve"> </w:t>
      </w:r>
      <w:r>
        <w:t>baseline.</w:t>
      </w:r>
      <w:r>
        <w:rPr>
          <w:spacing w:val="-5"/>
        </w:rPr>
        <w:t xml:space="preserve"> </w:t>
      </w:r>
      <w:r>
        <w:t>Three</w:t>
      </w:r>
      <w:r>
        <w:rPr>
          <w:spacing w:val="-8"/>
        </w:rPr>
        <w:t xml:space="preserve"> </w:t>
      </w:r>
      <w:r>
        <w:t>(9</w:t>
      </w:r>
      <w:r>
        <w:rPr>
          <w:spacing w:val="-5"/>
        </w:rPr>
        <w:t xml:space="preserve"> </w:t>
      </w:r>
      <w:r>
        <w:t>%)</w:t>
      </w:r>
      <w:r>
        <w:rPr>
          <w:spacing w:val="-5"/>
        </w:rPr>
        <w:t xml:space="preserve"> </w:t>
      </w:r>
      <w:r>
        <w:t>patients</w:t>
      </w:r>
      <w:r>
        <w:rPr>
          <w:spacing w:val="-5"/>
        </w:rPr>
        <w:t xml:space="preserve"> </w:t>
      </w:r>
      <w:r>
        <w:t>had</w:t>
      </w:r>
      <w:r>
        <w:rPr>
          <w:spacing w:val="-7"/>
        </w:rPr>
        <w:t xml:space="preserve"> </w:t>
      </w:r>
      <w:r>
        <w:t>non-metastatic</w:t>
      </w:r>
      <w:r>
        <w:rPr>
          <w:spacing w:val="-7"/>
        </w:rPr>
        <w:t xml:space="preserve"> </w:t>
      </w:r>
      <w:r>
        <w:t>disease,</w:t>
      </w:r>
      <w:r>
        <w:rPr>
          <w:spacing w:val="-8"/>
        </w:rPr>
        <w:t xml:space="preserve"> </w:t>
      </w:r>
      <w:r>
        <w:t>2</w:t>
      </w:r>
      <w:r>
        <w:rPr>
          <w:spacing w:val="-5"/>
        </w:rPr>
        <w:t xml:space="preserve"> </w:t>
      </w:r>
      <w:r>
        <w:t>with</w:t>
      </w:r>
      <w:r>
        <w:rPr>
          <w:spacing w:val="-8"/>
        </w:rPr>
        <w:t xml:space="preserve"> </w:t>
      </w:r>
      <w:r>
        <w:t xml:space="preserve">myeloma and 1 with non-Hodgkin’s lymphoma. Nineteen patients (58 %) reported symptoms related to </w:t>
      </w:r>
      <w:proofErr w:type="spellStart"/>
      <w:r>
        <w:t>hypercalcaemia</w:t>
      </w:r>
      <w:proofErr w:type="spellEnd"/>
      <w:r>
        <w:rPr>
          <w:spacing w:val="-6"/>
        </w:rPr>
        <w:t xml:space="preserve"> </w:t>
      </w:r>
      <w:r>
        <w:t>of</w:t>
      </w:r>
      <w:r>
        <w:rPr>
          <w:spacing w:val="-4"/>
        </w:rPr>
        <w:t xml:space="preserve"> </w:t>
      </w:r>
      <w:r>
        <w:t>malignancy</w:t>
      </w:r>
      <w:r>
        <w:rPr>
          <w:spacing w:val="-2"/>
        </w:rPr>
        <w:t xml:space="preserve"> </w:t>
      </w:r>
      <w:r>
        <w:t>at</w:t>
      </w:r>
      <w:r>
        <w:rPr>
          <w:spacing w:val="-3"/>
        </w:rPr>
        <w:t xml:space="preserve"> </w:t>
      </w:r>
      <w:r>
        <w:t>baseline.</w:t>
      </w:r>
      <w:r>
        <w:rPr>
          <w:spacing w:val="-3"/>
        </w:rPr>
        <w:t xml:space="preserve"> </w:t>
      </w:r>
      <w:r>
        <w:t>At</w:t>
      </w:r>
      <w:r>
        <w:rPr>
          <w:spacing w:val="-3"/>
        </w:rPr>
        <w:t xml:space="preserve"> </w:t>
      </w:r>
      <w:r>
        <w:t>the time</w:t>
      </w:r>
      <w:r>
        <w:rPr>
          <w:spacing w:val="-5"/>
        </w:rPr>
        <w:t xml:space="preserve"> </w:t>
      </w:r>
      <w:r>
        <w:t>of</w:t>
      </w:r>
      <w:r>
        <w:rPr>
          <w:spacing w:val="-4"/>
        </w:rPr>
        <w:t xml:space="preserve"> </w:t>
      </w:r>
      <w:r>
        <w:t>enrollment, the</w:t>
      </w:r>
      <w:r>
        <w:rPr>
          <w:spacing w:val="-6"/>
        </w:rPr>
        <w:t xml:space="preserve"> </w:t>
      </w:r>
      <w:r>
        <w:t>median</w:t>
      </w:r>
      <w:r>
        <w:rPr>
          <w:spacing w:val="-4"/>
        </w:rPr>
        <w:t xml:space="preserve"> </w:t>
      </w:r>
      <w:r>
        <w:t>serum calcium</w:t>
      </w:r>
      <w:r>
        <w:rPr>
          <w:spacing w:val="-3"/>
        </w:rPr>
        <w:t xml:space="preserve"> </w:t>
      </w:r>
      <w:r>
        <w:t>level</w:t>
      </w:r>
      <w:r>
        <w:rPr>
          <w:spacing w:val="-3"/>
        </w:rPr>
        <w:t xml:space="preserve"> </w:t>
      </w:r>
      <w:r>
        <w:t>was</w:t>
      </w:r>
      <w:r w:rsidR="00401300">
        <w:t xml:space="preserve"> </w:t>
      </w:r>
      <w:r>
        <w:t>13.7</w:t>
      </w:r>
      <w:r>
        <w:rPr>
          <w:spacing w:val="-13"/>
        </w:rPr>
        <w:t xml:space="preserve"> </w:t>
      </w:r>
      <w:r>
        <w:t>mg/dL</w:t>
      </w:r>
      <w:r>
        <w:rPr>
          <w:spacing w:val="-9"/>
        </w:rPr>
        <w:t xml:space="preserve"> </w:t>
      </w:r>
      <w:r>
        <w:t>(3.42</w:t>
      </w:r>
      <w:r>
        <w:rPr>
          <w:spacing w:val="-9"/>
        </w:rPr>
        <w:t xml:space="preserve"> </w:t>
      </w:r>
      <w:r>
        <w:rPr>
          <w:spacing w:val="-2"/>
        </w:rPr>
        <w:t>mmol/L).</w:t>
      </w:r>
    </w:p>
    <w:p w14:paraId="48A60B25" w14:textId="77777777" w:rsidR="00AE135B" w:rsidRDefault="00AE135B">
      <w:pPr>
        <w:pStyle w:val="BodyText"/>
        <w:spacing w:before="113"/>
        <w:ind w:left="0"/>
      </w:pPr>
    </w:p>
    <w:p w14:paraId="25066ED9" w14:textId="77777777" w:rsidR="00AE135B" w:rsidRDefault="00EE5424">
      <w:pPr>
        <w:pStyle w:val="BodyText"/>
        <w:spacing w:before="1" w:line="360" w:lineRule="auto"/>
        <w:ind w:right="176"/>
        <w:jc w:val="both"/>
      </w:pPr>
      <w:r>
        <w:t xml:space="preserve">The primary endpoint was the proportion of patients achieving a response, defined as CSC ≤ </w:t>
      </w:r>
      <w:proofErr w:type="spellStart"/>
      <w:r>
        <w:t>11.5mg</w:t>
      </w:r>
      <w:proofErr w:type="spellEnd"/>
      <w:r>
        <w:t>/dL (2.9</w:t>
      </w:r>
      <w:r>
        <w:rPr>
          <w:spacing w:val="-13"/>
        </w:rPr>
        <w:t xml:space="preserve"> </w:t>
      </w:r>
      <w:r>
        <w:t>mmol/L),</w:t>
      </w:r>
      <w:r>
        <w:rPr>
          <w:spacing w:val="-12"/>
        </w:rPr>
        <w:t xml:space="preserve"> </w:t>
      </w:r>
      <w:r>
        <w:t>within</w:t>
      </w:r>
      <w:r>
        <w:rPr>
          <w:spacing w:val="-13"/>
        </w:rPr>
        <w:t xml:space="preserve"> </w:t>
      </w:r>
      <w:r>
        <w:t>10</w:t>
      </w:r>
      <w:r>
        <w:rPr>
          <w:spacing w:val="-12"/>
        </w:rPr>
        <w:t xml:space="preserve"> </w:t>
      </w:r>
      <w:r>
        <w:t>days</w:t>
      </w:r>
      <w:r>
        <w:rPr>
          <w:spacing w:val="-13"/>
        </w:rPr>
        <w:t xml:space="preserve"> </w:t>
      </w:r>
      <w:r>
        <w:t>after</w:t>
      </w:r>
      <w:r>
        <w:rPr>
          <w:spacing w:val="-12"/>
        </w:rPr>
        <w:t xml:space="preserve"> </w:t>
      </w:r>
      <w:r>
        <w:t>denosumab</w:t>
      </w:r>
      <w:r>
        <w:rPr>
          <w:spacing w:val="-13"/>
        </w:rPr>
        <w:t xml:space="preserve"> </w:t>
      </w:r>
      <w:r>
        <w:t>administration.</w:t>
      </w:r>
      <w:r>
        <w:rPr>
          <w:spacing w:val="-12"/>
        </w:rPr>
        <w:t xml:space="preserve"> </w:t>
      </w:r>
      <w:r>
        <w:t>The</w:t>
      </w:r>
      <w:r>
        <w:rPr>
          <w:spacing w:val="-12"/>
        </w:rPr>
        <w:t xml:space="preserve"> </w:t>
      </w:r>
      <w:r>
        <w:t>secondary</w:t>
      </w:r>
      <w:r>
        <w:rPr>
          <w:spacing w:val="-13"/>
        </w:rPr>
        <w:t xml:space="preserve"> </w:t>
      </w:r>
      <w:r>
        <w:t>objectives</w:t>
      </w:r>
      <w:r>
        <w:rPr>
          <w:spacing w:val="-12"/>
        </w:rPr>
        <w:t xml:space="preserve"> </w:t>
      </w:r>
      <w:r>
        <w:t>were</w:t>
      </w:r>
      <w:r>
        <w:rPr>
          <w:spacing w:val="-13"/>
        </w:rPr>
        <w:t xml:space="preserve"> </w:t>
      </w:r>
      <w:r>
        <w:t>to</w:t>
      </w:r>
      <w:r>
        <w:rPr>
          <w:spacing w:val="-12"/>
        </w:rPr>
        <w:t xml:space="preserve"> </w:t>
      </w:r>
      <w:r>
        <w:t>determine the duration of the treatment effect, the time to response, the time to relapse/nonresponse and to evaluate changes in CSC level from baseline.</w:t>
      </w:r>
    </w:p>
    <w:p w14:paraId="02D73D99" w14:textId="77777777" w:rsidR="00AE135B" w:rsidRDefault="00EE5424">
      <w:pPr>
        <w:pStyle w:val="BodyText"/>
        <w:spacing w:before="117" w:line="362" w:lineRule="auto"/>
        <w:ind w:right="176"/>
        <w:jc w:val="both"/>
      </w:pPr>
      <w:r>
        <w:t>Patients received denosumab subcutaneously every 4 weeks with additional 120 mg doses on days 8 and 15 of the first month of therapy.</w:t>
      </w:r>
    </w:p>
    <w:p w14:paraId="234C9E9D" w14:textId="1A549C3B" w:rsidR="00401300" w:rsidRDefault="00EE5424" w:rsidP="00EE5424">
      <w:pPr>
        <w:pStyle w:val="BodyText"/>
        <w:spacing w:before="120" w:line="357" w:lineRule="auto"/>
        <w:ind w:right="175" w:firstLine="48"/>
        <w:jc w:val="both"/>
      </w:pPr>
      <w:r>
        <w:rPr>
          <w:spacing w:val="-2"/>
        </w:rPr>
        <w:t>Denosumab</w:t>
      </w:r>
      <w:r>
        <w:rPr>
          <w:spacing w:val="-3"/>
        </w:rPr>
        <w:t xml:space="preserve"> </w:t>
      </w:r>
      <w:r>
        <w:rPr>
          <w:spacing w:val="-2"/>
        </w:rPr>
        <w:t>was</w:t>
      </w:r>
      <w:r>
        <w:rPr>
          <w:spacing w:val="-4"/>
        </w:rPr>
        <w:t xml:space="preserve"> </w:t>
      </w:r>
      <w:r>
        <w:rPr>
          <w:spacing w:val="-2"/>
        </w:rPr>
        <w:t>associated</w:t>
      </w:r>
      <w:r>
        <w:rPr>
          <w:spacing w:val="-3"/>
        </w:rPr>
        <w:t xml:space="preserve"> </w:t>
      </w:r>
      <w:r>
        <w:rPr>
          <w:spacing w:val="-2"/>
        </w:rPr>
        <w:t>with</w:t>
      </w:r>
      <w:r>
        <w:rPr>
          <w:spacing w:val="-7"/>
        </w:rPr>
        <w:t xml:space="preserve"> </w:t>
      </w:r>
      <w:r>
        <w:rPr>
          <w:spacing w:val="-2"/>
        </w:rPr>
        <w:t>rapid</w:t>
      </w:r>
      <w:r>
        <w:rPr>
          <w:spacing w:val="-7"/>
        </w:rPr>
        <w:t xml:space="preserve"> </w:t>
      </w:r>
      <w:r>
        <w:rPr>
          <w:spacing w:val="-2"/>
        </w:rPr>
        <w:t>and</w:t>
      </w:r>
      <w:r>
        <w:rPr>
          <w:spacing w:val="-7"/>
        </w:rPr>
        <w:t xml:space="preserve"> </w:t>
      </w:r>
      <w:r>
        <w:rPr>
          <w:spacing w:val="-2"/>
        </w:rPr>
        <w:t>sustained decreases</w:t>
      </w:r>
      <w:r>
        <w:rPr>
          <w:spacing w:val="-3"/>
        </w:rPr>
        <w:t xml:space="preserve"> </w:t>
      </w:r>
      <w:r>
        <w:rPr>
          <w:spacing w:val="-2"/>
        </w:rPr>
        <w:t>in</w:t>
      </w:r>
      <w:r>
        <w:rPr>
          <w:spacing w:val="-4"/>
        </w:rPr>
        <w:t xml:space="preserve"> </w:t>
      </w:r>
      <w:r>
        <w:rPr>
          <w:spacing w:val="-2"/>
        </w:rPr>
        <w:t>serum calcium in</w:t>
      </w:r>
      <w:r>
        <w:rPr>
          <w:spacing w:val="-7"/>
        </w:rPr>
        <w:t xml:space="preserve"> </w:t>
      </w:r>
      <w:proofErr w:type="gramStart"/>
      <w:r>
        <w:rPr>
          <w:spacing w:val="-2"/>
        </w:rPr>
        <w:t>the</w:t>
      </w:r>
      <w:r>
        <w:rPr>
          <w:spacing w:val="-5"/>
        </w:rPr>
        <w:t xml:space="preserve"> </w:t>
      </w:r>
      <w:r>
        <w:rPr>
          <w:spacing w:val="-2"/>
        </w:rPr>
        <w:t>majority of</w:t>
      </w:r>
      <w:proofErr w:type="gramEnd"/>
      <w:r>
        <w:rPr>
          <w:spacing w:val="-4"/>
        </w:rPr>
        <w:t xml:space="preserve"> </w:t>
      </w:r>
      <w:r>
        <w:rPr>
          <w:spacing w:val="-2"/>
        </w:rPr>
        <w:t xml:space="preserve">patients </w:t>
      </w:r>
      <w:r>
        <w:t>including those with or without bone metastases (see Figure 5 and Table 6).</w:t>
      </w:r>
    </w:p>
    <w:p w14:paraId="007BDB84" w14:textId="77777777" w:rsidR="00AE135B" w:rsidRDefault="00EE5424" w:rsidP="00EE5424">
      <w:pPr>
        <w:pStyle w:val="Heading3"/>
        <w:pageBreakBefore/>
        <w:spacing w:before="30"/>
        <w:ind w:left="811"/>
        <w:rPr>
          <w:spacing w:val="-2"/>
        </w:rPr>
      </w:pPr>
      <w:r>
        <w:rPr>
          <w:spacing w:val="-2"/>
        </w:rPr>
        <w:lastRenderedPageBreak/>
        <w:t>Figure</w:t>
      </w:r>
      <w:r>
        <w:rPr>
          <w:spacing w:val="-10"/>
        </w:rPr>
        <w:t xml:space="preserve"> </w:t>
      </w:r>
      <w:r>
        <w:rPr>
          <w:spacing w:val="-2"/>
        </w:rPr>
        <w:t>5.</w:t>
      </w:r>
      <w:r>
        <w:rPr>
          <w:spacing w:val="45"/>
        </w:rPr>
        <w:t xml:space="preserve"> </w:t>
      </w:r>
      <w:r>
        <w:rPr>
          <w:spacing w:val="-2"/>
        </w:rPr>
        <w:t>Corrected</w:t>
      </w:r>
      <w:r>
        <w:rPr>
          <w:spacing w:val="-8"/>
        </w:rPr>
        <w:t xml:space="preserve"> </w:t>
      </w:r>
      <w:r>
        <w:rPr>
          <w:spacing w:val="-2"/>
        </w:rPr>
        <w:t>Serum</w:t>
      </w:r>
      <w:r>
        <w:rPr>
          <w:spacing w:val="-5"/>
        </w:rPr>
        <w:t xml:space="preserve"> </w:t>
      </w:r>
      <w:r>
        <w:rPr>
          <w:spacing w:val="-2"/>
        </w:rPr>
        <w:t>Calcium</w:t>
      </w:r>
      <w:r>
        <w:rPr>
          <w:spacing w:val="-3"/>
        </w:rPr>
        <w:t xml:space="preserve"> </w:t>
      </w:r>
      <w:r>
        <w:rPr>
          <w:spacing w:val="-2"/>
        </w:rPr>
        <w:t>by</w:t>
      </w:r>
      <w:r>
        <w:rPr>
          <w:spacing w:val="-6"/>
        </w:rPr>
        <w:t xml:space="preserve"> </w:t>
      </w:r>
      <w:r>
        <w:rPr>
          <w:spacing w:val="-2"/>
        </w:rPr>
        <w:t>Visit</w:t>
      </w:r>
      <w:r>
        <w:rPr>
          <w:spacing w:val="-5"/>
        </w:rPr>
        <w:t xml:space="preserve"> </w:t>
      </w:r>
      <w:r>
        <w:rPr>
          <w:spacing w:val="-2"/>
        </w:rPr>
        <w:t>(median</w:t>
      </w:r>
      <w:r>
        <w:rPr>
          <w:spacing w:val="-5"/>
        </w:rPr>
        <w:t xml:space="preserve"> </w:t>
      </w:r>
      <w:r>
        <w:rPr>
          <w:spacing w:val="-2"/>
        </w:rPr>
        <w:t>and</w:t>
      </w:r>
      <w:r>
        <w:rPr>
          <w:spacing w:val="-5"/>
        </w:rPr>
        <w:t xml:space="preserve"> </w:t>
      </w:r>
      <w:r>
        <w:rPr>
          <w:spacing w:val="-2"/>
        </w:rPr>
        <w:t>interquartile</w:t>
      </w:r>
      <w:r>
        <w:rPr>
          <w:spacing w:val="-5"/>
        </w:rPr>
        <w:t xml:space="preserve"> </w:t>
      </w:r>
      <w:r>
        <w:rPr>
          <w:spacing w:val="-2"/>
        </w:rPr>
        <w:t>range)</w:t>
      </w:r>
    </w:p>
    <w:p w14:paraId="6A088272" w14:textId="77777777" w:rsidR="00401300" w:rsidRDefault="00401300" w:rsidP="00401300"/>
    <w:p w14:paraId="2AA0FDC5" w14:textId="77777777" w:rsidR="00AE135B" w:rsidRDefault="00EE5424" w:rsidP="00401300">
      <w:pPr>
        <w:pStyle w:val="BodyText"/>
        <w:ind w:left="0"/>
        <w:jc w:val="center"/>
        <w:rPr>
          <w:b/>
          <w:sz w:val="19"/>
        </w:rPr>
      </w:pPr>
      <w:r>
        <w:rPr>
          <w:b/>
          <w:noProof/>
          <w:sz w:val="19"/>
        </w:rPr>
        <w:drawing>
          <wp:inline distT="0" distB="0" distL="0" distR="0" wp14:anchorId="6C440EF0" wp14:editId="6A53923D">
            <wp:extent cx="3719093" cy="3120390"/>
            <wp:effectExtent l="0" t="0" r="0" b="3810"/>
            <wp:docPr id="7" name="Image 7" descr="Figure 5. Corrected Serum Calcium by Visit (median and interquartile ran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Figure 5. Corrected Serum Calcium by Visit (median and interquartile rang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19093" cy="3120390"/>
                    </a:xfrm>
                    <a:prstGeom prst="rect">
                      <a:avLst/>
                    </a:prstGeom>
                  </pic:spPr>
                </pic:pic>
              </a:graphicData>
            </a:graphic>
          </wp:inline>
        </w:drawing>
      </w:r>
    </w:p>
    <w:p w14:paraId="548F1738" w14:textId="77777777" w:rsidR="00AE135B" w:rsidRDefault="00EE5424">
      <w:pPr>
        <w:spacing w:before="1"/>
        <w:ind w:left="307"/>
        <w:rPr>
          <w:sz w:val="18"/>
        </w:rPr>
      </w:pPr>
      <w:r>
        <w:rPr>
          <w:sz w:val="18"/>
        </w:rPr>
        <w:t>N</w:t>
      </w:r>
      <w:r>
        <w:rPr>
          <w:spacing w:val="-9"/>
          <w:sz w:val="18"/>
        </w:rPr>
        <w:t xml:space="preserve"> </w:t>
      </w:r>
      <w:r>
        <w:rPr>
          <w:sz w:val="18"/>
        </w:rPr>
        <w:t>= Number</w:t>
      </w:r>
      <w:r>
        <w:rPr>
          <w:spacing w:val="-6"/>
          <w:sz w:val="18"/>
        </w:rPr>
        <w:t xml:space="preserve"> </w:t>
      </w:r>
      <w:r>
        <w:rPr>
          <w:sz w:val="18"/>
        </w:rPr>
        <w:t>of</w:t>
      </w:r>
      <w:r>
        <w:rPr>
          <w:spacing w:val="-4"/>
          <w:sz w:val="18"/>
        </w:rPr>
        <w:t xml:space="preserve"> </w:t>
      </w:r>
      <w:r>
        <w:rPr>
          <w:sz w:val="18"/>
        </w:rPr>
        <w:t>patients</w:t>
      </w:r>
      <w:r>
        <w:rPr>
          <w:spacing w:val="-4"/>
          <w:sz w:val="18"/>
        </w:rPr>
        <w:t xml:space="preserve"> </w:t>
      </w:r>
      <w:r>
        <w:rPr>
          <w:sz w:val="18"/>
        </w:rPr>
        <w:t>who</w:t>
      </w:r>
      <w:r>
        <w:rPr>
          <w:spacing w:val="-7"/>
          <w:sz w:val="18"/>
        </w:rPr>
        <w:t xml:space="preserve"> </w:t>
      </w:r>
      <w:r>
        <w:rPr>
          <w:sz w:val="18"/>
        </w:rPr>
        <w:t>received</w:t>
      </w:r>
      <w:r>
        <w:rPr>
          <w:spacing w:val="-7"/>
          <w:sz w:val="18"/>
        </w:rPr>
        <w:t xml:space="preserve"> </w:t>
      </w:r>
      <w:r>
        <w:rPr>
          <w:sz w:val="18"/>
        </w:rPr>
        <w:t>at</w:t>
      </w:r>
      <w:r>
        <w:rPr>
          <w:spacing w:val="-6"/>
          <w:sz w:val="18"/>
        </w:rPr>
        <w:t xml:space="preserve"> </w:t>
      </w:r>
      <w:r>
        <w:rPr>
          <w:sz w:val="18"/>
        </w:rPr>
        <w:t>least</w:t>
      </w:r>
      <w:r>
        <w:rPr>
          <w:spacing w:val="-3"/>
          <w:sz w:val="18"/>
        </w:rPr>
        <w:t xml:space="preserve"> </w:t>
      </w:r>
      <w:r>
        <w:rPr>
          <w:sz w:val="18"/>
        </w:rPr>
        <w:t>1</w:t>
      </w:r>
      <w:r>
        <w:rPr>
          <w:spacing w:val="-9"/>
          <w:sz w:val="18"/>
        </w:rPr>
        <w:t xml:space="preserve"> </w:t>
      </w:r>
      <w:r>
        <w:rPr>
          <w:sz w:val="18"/>
        </w:rPr>
        <w:t>dose</w:t>
      </w:r>
      <w:r>
        <w:rPr>
          <w:spacing w:val="-4"/>
          <w:sz w:val="18"/>
        </w:rPr>
        <w:t xml:space="preserve"> </w:t>
      </w:r>
      <w:r>
        <w:rPr>
          <w:sz w:val="18"/>
        </w:rPr>
        <w:t>of</w:t>
      </w:r>
      <w:r>
        <w:rPr>
          <w:spacing w:val="-5"/>
          <w:sz w:val="18"/>
        </w:rPr>
        <w:t xml:space="preserve"> </w:t>
      </w:r>
      <w:r>
        <w:rPr>
          <w:spacing w:val="-2"/>
          <w:sz w:val="18"/>
        </w:rPr>
        <w:t>denosumab</w:t>
      </w:r>
    </w:p>
    <w:p w14:paraId="107AA9AC" w14:textId="77777777" w:rsidR="00AE135B" w:rsidRDefault="00EE5424">
      <w:pPr>
        <w:spacing w:before="1"/>
        <w:ind w:left="307" w:right="3044"/>
        <w:rPr>
          <w:sz w:val="18"/>
        </w:rPr>
      </w:pPr>
      <w:r>
        <w:rPr>
          <w:sz w:val="18"/>
        </w:rPr>
        <w:t>n</w:t>
      </w:r>
      <w:r>
        <w:rPr>
          <w:spacing w:val="-8"/>
          <w:sz w:val="18"/>
        </w:rPr>
        <w:t xml:space="preserve"> </w:t>
      </w:r>
      <w:r>
        <w:rPr>
          <w:sz w:val="18"/>
        </w:rPr>
        <w:t>=</w:t>
      </w:r>
      <w:r>
        <w:rPr>
          <w:spacing w:val="-6"/>
          <w:sz w:val="18"/>
        </w:rPr>
        <w:t xml:space="preserve"> </w:t>
      </w:r>
      <w:r>
        <w:rPr>
          <w:sz w:val="18"/>
        </w:rPr>
        <w:t>Number</w:t>
      </w:r>
      <w:r>
        <w:rPr>
          <w:spacing w:val="-7"/>
          <w:sz w:val="18"/>
        </w:rPr>
        <w:t xml:space="preserve"> </w:t>
      </w:r>
      <w:r>
        <w:rPr>
          <w:sz w:val="18"/>
        </w:rPr>
        <w:t>of</w:t>
      </w:r>
      <w:r>
        <w:rPr>
          <w:spacing w:val="-7"/>
          <w:sz w:val="18"/>
        </w:rPr>
        <w:t xml:space="preserve"> </w:t>
      </w:r>
      <w:r>
        <w:rPr>
          <w:sz w:val="18"/>
        </w:rPr>
        <w:t>patients</w:t>
      </w:r>
      <w:r>
        <w:rPr>
          <w:spacing w:val="-8"/>
          <w:sz w:val="18"/>
        </w:rPr>
        <w:t xml:space="preserve"> </w:t>
      </w:r>
      <w:r>
        <w:rPr>
          <w:sz w:val="18"/>
        </w:rPr>
        <w:t>who</w:t>
      </w:r>
      <w:r>
        <w:rPr>
          <w:spacing w:val="-5"/>
          <w:sz w:val="18"/>
        </w:rPr>
        <w:t xml:space="preserve"> </w:t>
      </w:r>
      <w:r>
        <w:rPr>
          <w:sz w:val="18"/>
        </w:rPr>
        <w:t>had</w:t>
      </w:r>
      <w:r>
        <w:rPr>
          <w:spacing w:val="-6"/>
          <w:sz w:val="18"/>
        </w:rPr>
        <w:t xml:space="preserve"> </w:t>
      </w:r>
      <w:r>
        <w:rPr>
          <w:sz w:val="18"/>
        </w:rPr>
        <w:t>no</w:t>
      </w:r>
      <w:r>
        <w:rPr>
          <w:spacing w:val="-9"/>
          <w:sz w:val="18"/>
        </w:rPr>
        <w:t xml:space="preserve"> </w:t>
      </w:r>
      <w:r>
        <w:rPr>
          <w:sz w:val="18"/>
        </w:rPr>
        <w:t>missing</w:t>
      </w:r>
      <w:r>
        <w:rPr>
          <w:spacing w:val="-8"/>
          <w:sz w:val="18"/>
        </w:rPr>
        <w:t xml:space="preserve"> </w:t>
      </w:r>
      <w:r>
        <w:rPr>
          <w:sz w:val="18"/>
        </w:rPr>
        <w:t>data</w:t>
      </w:r>
      <w:r>
        <w:rPr>
          <w:spacing w:val="-10"/>
          <w:sz w:val="18"/>
        </w:rPr>
        <w:t xml:space="preserve"> </w:t>
      </w:r>
      <w:r>
        <w:rPr>
          <w:sz w:val="18"/>
        </w:rPr>
        <w:t>at</w:t>
      </w:r>
      <w:r>
        <w:rPr>
          <w:spacing w:val="-7"/>
          <w:sz w:val="18"/>
        </w:rPr>
        <w:t xml:space="preserve"> </w:t>
      </w:r>
      <w:r>
        <w:rPr>
          <w:sz w:val="18"/>
        </w:rPr>
        <w:t>baseline</w:t>
      </w:r>
      <w:r>
        <w:rPr>
          <w:spacing w:val="-10"/>
          <w:sz w:val="18"/>
        </w:rPr>
        <w:t xml:space="preserve"> </w:t>
      </w:r>
      <w:r>
        <w:rPr>
          <w:sz w:val="18"/>
        </w:rPr>
        <w:t>and</w:t>
      </w:r>
      <w:r>
        <w:rPr>
          <w:spacing w:val="-7"/>
          <w:sz w:val="18"/>
        </w:rPr>
        <w:t xml:space="preserve"> </w:t>
      </w:r>
      <w:r>
        <w:rPr>
          <w:sz w:val="18"/>
        </w:rPr>
        <w:t>the</w:t>
      </w:r>
      <w:r>
        <w:rPr>
          <w:spacing w:val="-8"/>
          <w:sz w:val="18"/>
        </w:rPr>
        <w:t xml:space="preserve"> </w:t>
      </w:r>
      <w:r>
        <w:rPr>
          <w:sz w:val="18"/>
        </w:rPr>
        <w:t>timepoint</w:t>
      </w:r>
      <w:r>
        <w:rPr>
          <w:spacing w:val="-7"/>
          <w:sz w:val="18"/>
        </w:rPr>
        <w:t xml:space="preserve"> </w:t>
      </w:r>
      <w:r>
        <w:rPr>
          <w:sz w:val="18"/>
        </w:rPr>
        <w:t>of</w:t>
      </w:r>
      <w:r>
        <w:rPr>
          <w:spacing w:val="-9"/>
          <w:sz w:val="18"/>
        </w:rPr>
        <w:t xml:space="preserve"> </w:t>
      </w:r>
      <w:r>
        <w:rPr>
          <w:sz w:val="18"/>
        </w:rPr>
        <w:t>interest BL = Baseline</w:t>
      </w:r>
    </w:p>
    <w:p w14:paraId="4CCBD54B" w14:textId="77777777" w:rsidR="00AE135B" w:rsidRDefault="00AE135B">
      <w:pPr>
        <w:pStyle w:val="BodyText"/>
        <w:ind w:left="0"/>
        <w:rPr>
          <w:sz w:val="18"/>
        </w:rPr>
      </w:pPr>
    </w:p>
    <w:p w14:paraId="42C285B9" w14:textId="77777777" w:rsidR="00AE135B" w:rsidRDefault="00AE135B">
      <w:pPr>
        <w:pStyle w:val="BodyText"/>
        <w:spacing w:before="91"/>
        <w:ind w:left="0"/>
        <w:rPr>
          <w:sz w:val="18"/>
        </w:rPr>
      </w:pPr>
    </w:p>
    <w:p w14:paraId="3B90DE21" w14:textId="77777777" w:rsidR="00AE135B" w:rsidRDefault="00EE5424">
      <w:pPr>
        <w:pStyle w:val="Heading3"/>
        <w:ind w:left="1145" w:right="119" w:hanging="552"/>
      </w:pPr>
      <w:r>
        <w:t>Table</w:t>
      </w:r>
      <w:r>
        <w:rPr>
          <w:spacing w:val="-7"/>
        </w:rPr>
        <w:t xml:space="preserve"> </w:t>
      </w:r>
      <w:r>
        <w:t>6.</w:t>
      </w:r>
      <w:r>
        <w:rPr>
          <w:spacing w:val="29"/>
        </w:rPr>
        <w:t xml:space="preserve"> </w:t>
      </w:r>
      <w:r>
        <w:t>Efficacy</w:t>
      </w:r>
      <w:r>
        <w:rPr>
          <w:spacing w:val="-11"/>
        </w:rPr>
        <w:t xml:space="preserve"> </w:t>
      </w:r>
      <w:r>
        <w:t>Results</w:t>
      </w:r>
      <w:r>
        <w:rPr>
          <w:spacing w:val="-13"/>
        </w:rPr>
        <w:t xml:space="preserve"> </w:t>
      </w:r>
      <w:r>
        <w:t>in</w:t>
      </w:r>
      <w:r>
        <w:rPr>
          <w:spacing w:val="-9"/>
        </w:rPr>
        <w:t xml:space="preserve"> </w:t>
      </w:r>
      <w:r>
        <w:t>Patients</w:t>
      </w:r>
      <w:r>
        <w:rPr>
          <w:spacing w:val="-13"/>
        </w:rPr>
        <w:t xml:space="preserve"> </w:t>
      </w:r>
      <w:r>
        <w:t>with</w:t>
      </w:r>
      <w:r>
        <w:rPr>
          <w:spacing w:val="-8"/>
        </w:rPr>
        <w:t xml:space="preserve"> </w:t>
      </w:r>
      <w:r>
        <w:t>Skeletal</w:t>
      </w:r>
      <w:r>
        <w:rPr>
          <w:spacing w:val="-7"/>
        </w:rPr>
        <w:t xml:space="preserve"> </w:t>
      </w:r>
      <w:r>
        <w:t>or</w:t>
      </w:r>
      <w:r>
        <w:rPr>
          <w:spacing w:val="-6"/>
        </w:rPr>
        <w:t xml:space="preserve"> </w:t>
      </w:r>
      <w:r>
        <w:t>Humoral</w:t>
      </w:r>
      <w:r>
        <w:rPr>
          <w:spacing w:val="-6"/>
        </w:rPr>
        <w:t xml:space="preserve"> </w:t>
      </w:r>
      <w:proofErr w:type="spellStart"/>
      <w:r>
        <w:t>Hypercalcaemia</w:t>
      </w:r>
      <w:proofErr w:type="spellEnd"/>
      <w:r>
        <w:rPr>
          <w:spacing w:val="-6"/>
        </w:rPr>
        <w:t xml:space="preserve"> </w:t>
      </w:r>
      <w:r>
        <w:t>of</w:t>
      </w:r>
      <w:r>
        <w:rPr>
          <w:spacing w:val="-9"/>
        </w:rPr>
        <w:t xml:space="preserve"> </w:t>
      </w:r>
      <w:r>
        <w:t>Malignancy Refractory to Treatment with Intravenous Bisphosphonate</w:t>
      </w:r>
    </w:p>
    <w:p w14:paraId="3FA65C40" w14:textId="77777777" w:rsidR="00AE135B" w:rsidRDefault="00AE135B">
      <w:pPr>
        <w:pStyle w:val="BodyText"/>
        <w:spacing w:before="9"/>
        <w:ind w:left="0"/>
        <w:rPr>
          <w:b/>
          <w:sz w:val="8"/>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0"/>
        <w:gridCol w:w="1728"/>
        <w:gridCol w:w="1728"/>
        <w:gridCol w:w="1803"/>
        <w:gridCol w:w="1800"/>
      </w:tblGrid>
      <w:tr w:rsidR="00AE135B" w14:paraId="62B63D4F" w14:textId="77777777" w:rsidTr="00401300">
        <w:trPr>
          <w:trHeight w:val="782"/>
          <w:tblHeader/>
        </w:trPr>
        <w:tc>
          <w:tcPr>
            <w:tcW w:w="2210" w:type="dxa"/>
          </w:tcPr>
          <w:p w14:paraId="6C2DC8EE" w14:textId="77777777" w:rsidR="00AE135B" w:rsidRDefault="00AE135B">
            <w:pPr>
              <w:pStyle w:val="TableParagraph"/>
              <w:spacing w:before="0"/>
              <w:ind w:left="0"/>
              <w:rPr>
                <w:rFonts w:ascii="Times New Roman"/>
                <w:sz w:val="18"/>
              </w:rPr>
            </w:pPr>
          </w:p>
        </w:tc>
        <w:tc>
          <w:tcPr>
            <w:tcW w:w="1728" w:type="dxa"/>
          </w:tcPr>
          <w:p w14:paraId="33824FD1" w14:textId="77777777" w:rsidR="00AE135B" w:rsidRDefault="00EE5424">
            <w:pPr>
              <w:pStyle w:val="TableParagraph"/>
              <w:spacing w:before="61"/>
              <w:ind w:left="207" w:right="172" w:hanging="10"/>
              <w:jc w:val="center"/>
              <w:rPr>
                <w:b/>
                <w:sz w:val="18"/>
              </w:rPr>
            </w:pPr>
            <w:r>
              <w:rPr>
                <w:b/>
                <w:sz w:val="18"/>
              </w:rPr>
              <w:t>Number</w:t>
            </w:r>
            <w:r>
              <w:rPr>
                <w:b/>
                <w:spacing w:val="-4"/>
                <w:sz w:val="18"/>
              </w:rPr>
              <w:t xml:space="preserve"> </w:t>
            </w:r>
            <w:r>
              <w:rPr>
                <w:b/>
                <w:sz w:val="18"/>
              </w:rPr>
              <w:t xml:space="preserve">of </w:t>
            </w:r>
            <w:r>
              <w:rPr>
                <w:b/>
                <w:spacing w:val="-4"/>
                <w:sz w:val="18"/>
              </w:rPr>
              <w:t>patients</w:t>
            </w:r>
            <w:r>
              <w:rPr>
                <w:b/>
                <w:spacing w:val="-14"/>
                <w:sz w:val="18"/>
              </w:rPr>
              <w:t xml:space="preserve"> </w:t>
            </w:r>
            <w:r>
              <w:rPr>
                <w:b/>
                <w:spacing w:val="-4"/>
                <w:sz w:val="18"/>
              </w:rPr>
              <w:t>evaluable</w:t>
            </w:r>
            <w:r>
              <w:rPr>
                <w:b/>
                <w:sz w:val="18"/>
              </w:rPr>
              <w:t xml:space="preserve"> for the endpoint</w:t>
            </w:r>
          </w:p>
        </w:tc>
        <w:tc>
          <w:tcPr>
            <w:tcW w:w="1728" w:type="dxa"/>
          </w:tcPr>
          <w:p w14:paraId="293CDA6C" w14:textId="77777777" w:rsidR="00AE135B" w:rsidRDefault="00EE5424">
            <w:pPr>
              <w:pStyle w:val="TableParagraph"/>
              <w:spacing w:before="61"/>
              <w:ind w:left="211" w:hanging="65"/>
              <w:rPr>
                <w:b/>
                <w:sz w:val="18"/>
              </w:rPr>
            </w:pPr>
            <w:r>
              <w:rPr>
                <w:b/>
                <w:spacing w:val="-2"/>
                <w:sz w:val="18"/>
              </w:rPr>
              <w:t>Number</w:t>
            </w:r>
            <w:r>
              <w:rPr>
                <w:b/>
                <w:spacing w:val="-13"/>
                <w:sz w:val="18"/>
              </w:rPr>
              <w:t xml:space="preserve"> </w:t>
            </w:r>
            <w:r>
              <w:rPr>
                <w:b/>
                <w:spacing w:val="-2"/>
                <w:sz w:val="18"/>
              </w:rPr>
              <w:t>of</w:t>
            </w:r>
            <w:r>
              <w:rPr>
                <w:b/>
                <w:spacing w:val="-9"/>
                <w:sz w:val="18"/>
              </w:rPr>
              <w:t xml:space="preserve"> </w:t>
            </w:r>
            <w:r>
              <w:rPr>
                <w:b/>
                <w:spacing w:val="-2"/>
                <w:sz w:val="18"/>
              </w:rPr>
              <w:t>patients</w:t>
            </w:r>
            <w:r>
              <w:rPr>
                <w:b/>
                <w:sz w:val="18"/>
              </w:rPr>
              <w:t xml:space="preserve"> with</w:t>
            </w:r>
            <w:r>
              <w:rPr>
                <w:b/>
                <w:spacing w:val="-4"/>
                <w:sz w:val="18"/>
              </w:rPr>
              <w:t xml:space="preserve"> </w:t>
            </w:r>
            <w:r>
              <w:rPr>
                <w:b/>
                <w:sz w:val="18"/>
              </w:rPr>
              <w:t>the</w:t>
            </w:r>
            <w:r>
              <w:rPr>
                <w:b/>
                <w:spacing w:val="-1"/>
                <w:sz w:val="18"/>
              </w:rPr>
              <w:t xml:space="preserve"> </w:t>
            </w:r>
            <w:r>
              <w:rPr>
                <w:b/>
                <w:spacing w:val="-2"/>
                <w:sz w:val="18"/>
              </w:rPr>
              <w:t>endpoint</w:t>
            </w:r>
          </w:p>
        </w:tc>
        <w:tc>
          <w:tcPr>
            <w:tcW w:w="1803" w:type="dxa"/>
          </w:tcPr>
          <w:p w14:paraId="1E941E61" w14:textId="77777777" w:rsidR="00AE135B" w:rsidRDefault="00EE5424">
            <w:pPr>
              <w:pStyle w:val="TableParagraph"/>
              <w:spacing w:before="61"/>
              <w:ind w:left="51" w:right="21"/>
              <w:jc w:val="center"/>
              <w:rPr>
                <w:b/>
                <w:sz w:val="18"/>
              </w:rPr>
            </w:pPr>
            <w:r>
              <w:rPr>
                <w:b/>
                <w:spacing w:val="-2"/>
                <w:sz w:val="18"/>
              </w:rPr>
              <w:t>Proportion</w:t>
            </w:r>
            <w:r>
              <w:rPr>
                <w:b/>
                <w:spacing w:val="-17"/>
                <w:sz w:val="18"/>
              </w:rPr>
              <w:t xml:space="preserve"> </w:t>
            </w:r>
            <w:r>
              <w:rPr>
                <w:b/>
                <w:spacing w:val="-2"/>
                <w:sz w:val="18"/>
              </w:rPr>
              <w:t>of</w:t>
            </w:r>
            <w:r>
              <w:rPr>
                <w:b/>
                <w:spacing w:val="-9"/>
                <w:sz w:val="18"/>
              </w:rPr>
              <w:t xml:space="preserve"> </w:t>
            </w:r>
            <w:r>
              <w:rPr>
                <w:b/>
                <w:spacing w:val="-2"/>
                <w:sz w:val="18"/>
              </w:rPr>
              <w:t>patients</w:t>
            </w:r>
            <w:r>
              <w:rPr>
                <w:b/>
                <w:sz w:val="18"/>
              </w:rPr>
              <w:t xml:space="preserve"> </w:t>
            </w:r>
            <w:r>
              <w:rPr>
                <w:b/>
                <w:spacing w:val="-4"/>
                <w:sz w:val="18"/>
              </w:rPr>
              <w:t>(</w:t>
            </w:r>
            <w:r>
              <w:rPr>
                <w:spacing w:val="-4"/>
                <w:sz w:val="18"/>
              </w:rPr>
              <w:t>%</w:t>
            </w:r>
            <w:r>
              <w:rPr>
                <w:b/>
                <w:spacing w:val="-4"/>
                <w:sz w:val="18"/>
              </w:rPr>
              <w:t>)</w:t>
            </w:r>
          </w:p>
          <w:p w14:paraId="335E2B1B" w14:textId="77777777" w:rsidR="00AE135B" w:rsidRDefault="00EE5424">
            <w:pPr>
              <w:pStyle w:val="TableParagraph"/>
              <w:spacing w:before="50" w:line="211" w:lineRule="exact"/>
              <w:ind w:left="51" w:right="13"/>
              <w:jc w:val="center"/>
              <w:rPr>
                <w:b/>
                <w:sz w:val="18"/>
              </w:rPr>
            </w:pPr>
            <w:r>
              <w:rPr>
                <w:b/>
                <w:sz w:val="18"/>
              </w:rPr>
              <w:t>(95</w:t>
            </w:r>
            <w:r>
              <w:rPr>
                <w:b/>
                <w:spacing w:val="-2"/>
                <w:sz w:val="18"/>
              </w:rPr>
              <w:t xml:space="preserve"> </w:t>
            </w:r>
            <w:r>
              <w:rPr>
                <w:sz w:val="18"/>
              </w:rPr>
              <w:t>%</w:t>
            </w:r>
            <w:r>
              <w:rPr>
                <w:spacing w:val="1"/>
                <w:sz w:val="18"/>
              </w:rPr>
              <w:t xml:space="preserve"> </w:t>
            </w:r>
            <w:r>
              <w:rPr>
                <w:b/>
                <w:spacing w:val="-5"/>
                <w:sz w:val="18"/>
              </w:rPr>
              <w:t>CI)</w:t>
            </w:r>
          </w:p>
        </w:tc>
        <w:tc>
          <w:tcPr>
            <w:tcW w:w="1800" w:type="dxa"/>
          </w:tcPr>
          <w:p w14:paraId="3EA889AB" w14:textId="77777777" w:rsidR="00AE135B" w:rsidRDefault="00EE5424">
            <w:pPr>
              <w:pStyle w:val="TableParagraph"/>
              <w:spacing w:before="61" w:line="302" w:lineRule="auto"/>
              <w:ind w:left="591" w:hanging="528"/>
              <w:rPr>
                <w:b/>
                <w:sz w:val="18"/>
              </w:rPr>
            </w:pPr>
            <w:r>
              <w:rPr>
                <w:b/>
                <w:spacing w:val="-4"/>
                <w:sz w:val="18"/>
              </w:rPr>
              <w:t>KM</w:t>
            </w:r>
            <w:r>
              <w:rPr>
                <w:b/>
                <w:spacing w:val="-4"/>
                <w:position w:val="5"/>
                <w:sz w:val="12"/>
              </w:rPr>
              <w:t xml:space="preserve">g </w:t>
            </w:r>
            <w:r>
              <w:rPr>
                <w:b/>
                <w:spacing w:val="-4"/>
                <w:sz w:val="18"/>
              </w:rPr>
              <w:t>estimate</w:t>
            </w:r>
            <w:r>
              <w:rPr>
                <w:b/>
                <w:spacing w:val="-7"/>
                <w:sz w:val="18"/>
              </w:rPr>
              <w:t xml:space="preserve"> </w:t>
            </w:r>
            <w:r>
              <w:rPr>
                <w:b/>
                <w:spacing w:val="-4"/>
                <w:sz w:val="18"/>
              </w:rPr>
              <w:t>(median)</w:t>
            </w:r>
            <w:r>
              <w:rPr>
                <w:b/>
                <w:sz w:val="18"/>
              </w:rPr>
              <w:t xml:space="preserve"> (95 </w:t>
            </w:r>
            <w:r>
              <w:rPr>
                <w:sz w:val="18"/>
              </w:rPr>
              <w:t xml:space="preserve">% </w:t>
            </w:r>
            <w:r>
              <w:rPr>
                <w:b/>
                <w:sz w:val="18"/>
              </w:rPr>
              <w:t>CI)</w:t>
            </w:r>
          </w:p>
        </w:tc>
      </w:tr>
      <w:tr w:rsidR="00AE135B" w14:paraId="1DF86548" w14:textId="77777777">
        <w:trPr>
          <w:trHeight w:val="683"/>
        </w:trPr>
        <w:tc>
          <w:tcPr>
            <w:tcW w:w="2210" w:type="dxa"/>
          </w:tcPr>
          <w:p w14:paraId="045AF7E3" w14:textId="77777777" w:rsidR="00AE135B" w:rsidRDefault="00EE5424">
            <w:pPr>
              <w:pStyle w:val="TableParagraph"/>
              <w:spacing w:before="61"/>
              <w:ind w:left="114"/>
              <w:rPr>
                <w:b/>
                <w:sz w:val="20"/>
              </w:rPr>
            </w:pPr>
            <w:r>
              <w:rPr>
                <w:b/>
                <w:sz w:val="20"/>
              </w:rPr>
              <w:t>Response</w:t>
            </w:r>
            <w:r>
              <w:rPr>
                <w:b/>
                <w:spacing w:val="-16"/>
                <w:sz w:val="20"/>
              </w:rPr>
              <w:t xml:space="preserve"> </w:t>
            </w:r>
            <w:r>
              <w:rPr>
                <w:b/>
                <w:sz w:val="20"/>
              </w:rPr>
              <w:t>by</w:t>
            </w:r>
            <w:r>
              <w:rPr>
                <w:b/>
                <w:spacing w:val="-12"/>
                <w:sz w:val="20"/>
              </w:rPr>
              <w:t xml:space="preserve"> </w:t>
            </w:r>
            <w:r>
              <w:rPr>
                <w:b/>
                <w:sz w:val="20"/>
              </w:rPr>
              <w:t>Day</w:t>
            </w:r>
            <w:r>
              <w:rPr>
                <w:b/>
                <w:spacing w:val="-7"/>
                <w:sz w:val="20"/>
              </w:rPr>
              <w:t xml:space="preserve"> </w:t>
            </w:r>
            <w:proofErr w:type="spellStart"/>
            <w:r>
              <w:rPr>
                <w:b/>
                <w:spacing w:val="-5"/>
                <w:sz w:val="20"/>
              </w:rPr>
              <w:t>10</w:t>
            </w:r>
            <w:r>
              <w:rPr>
                <w:b/>
                <w:spacing w:val="-5"/>
                <w:sz w:val="20"/>
                <w:vertAlign w:val="superscript"/>
              </w:rPr>
              <w:t>a</w:t>
            </w:r>
            <w:proofErr w:type="spellEnd"/>
          </w:p>
        </w:tc>
        <w:tc>
          <w:tcPr>
            <w:tcW w:w="1728" w:type="dxa"/>
          </w:tcPr>
          <w:p w14:paraId="30E4806E" w14:textId="77777777" w:rsidR="00AE135B" w:rsidRDefault="00EE5424">
            <w:pPr>
              <w:pStyle w:val="TableParagraph"/>
              <w:spacing w:before="61"/>
              <w:ind w:left="37" w:right="12"/>
              <w:jc w:val="center"/>
              <w:rPr>
                <w:sz w:val="20"/>
              </w:rPr>
            </w:pPr>
            <w:r>
              <w:rPr>
                <w:spacing w:val="-5"/>
                <w:sz w:val="20"/>
              </w:rPr>
              <w:t>33</w:t>
            </w:r>
          </w:p>
        </w:tc>
        <w:tc>
          <w:tcPr>
            <w:tcW w:w="1728" w:type="dxa"/>
          </w:tcPr>
          <w:p w14:paraId="491FC1F2" w14:textId="77777777" w:rsidR="00AE135B" w:rsidRDefault="00EE5424">
            <w:pPr>
              <w:pStyle w:val="TableParagraph"/>
              <w:spacing w:before="61"/>
              <w:ind w:left="37" w:right="12"/>
              <w:jc w:val="center"/>
              <w:rPr>
                <w:sz w:val="20"/>
              </w:rPr>
            </w:pPr>
            <w:r>
              <w:rPr>
                <w:spacing w:val="-5"/>
                <w:sz w:val="20"/>
              </w:rPr>
              <w:t>21</w:t>
            </w:r>
          </w:p>
        </w:tc>
        <w:tc>
          <w:tcPr>
            <w:tcW w:w="1803" w:type="dxa"/>
          </w:tcPr>
          <w:p w14:paraId="62602D6A" w14:textId="77777777" w:rsidR="00AE135B" w:rsidRDefault="00EE5424">
            <w:pPr>
              <w:pStyle w:val="TableParagraph"/>
              <w:spacing w:before="61"/>
              <w:ind w:left="51" w:right="13"/>
              <w:jc w:val="center"/>
              <w:rPr>
                <w:sz w:val="20"/>
              </w:rPr>
            </w:pPr>
            <w:r>
              <w:rPr>
                <w:spacing w:val="-4"/>
                <w:sz w:val="20"/>
              </w:rPr>
              <w:t>63.6</w:t>
            </w:r>
          </w:p>
          <w:p w14:paraId="1EBB26CF" w14:textId="77777777" w:rsidR="00AE135B" w:rsidRDefault="00EE5424">
            <w:pPr>
              <w:pStyle w:val="TableParagraph"/>
              <w:spacing w:before="61"/>
              <w:ind w:left="51" w:right="20"/>
              <w:jc w:val="center"/>
              <w:rPr>
                <w:sz w:val="20"/>
              </w:rPr>
            </w:pPr>
            <w:r>
              <w:rPr>
                <w:sz w:val="20"/>
              </w:rPr>
              <w:t>(45.1,</w:t>
            </w:r>
            <w:r>
              <w:rPr>
                <w:spacing w:val="-10"/>
                <w:sz w:val="20"/>
              </w:rPr>
              <w:t xml:space="preserve"> </w:t>
            </w:r>
            <w:r>
              <w:rPr>
                <w:spacing w:val="-2"/>
                <w:sz w:val="20"/>
              </w:rPr>
              <w:t>79.6)</w:t>
            </w:r>
          </w:p>
        </w:tc>
        <w:tc>
          <w:tcPr>
            <w:tcW w:w="1800" w:type="dxa"/>
          </w:tcPr>
          <w:p w14:paraId="0CCC8AE0" w14:textId="77777777" w:rsidR="00AE135B" w:rsidRDefault="00EE5424">
            <w:pPr>
              <w:pStyle w:val="TableParagraph"/>
              <w:spacing w:before="61"/>
              <w:ind w:left="49"/>
              <w:jc w:val="center"/>
              <w:rPr>
                <w:sz w:val="20"/>
              </w:rPr>
            </w:pPr>
            <w:r>
              <w:rPr>
                <w:spacing w:val="-6"/>
                <w:sz w:val="20"/>
              </w:rPr>
              <w:t>-</w:t>
            </w:r>
            <w:r>
              <w:rPr>
                <w:spacing w:val="-10"/>
                <w:sz w:val="20"/>
              </w:rPr>
              <w:t>-</w:t>
            </w:r>
          </w:p>
        </w:tc>
      </w:tr>
      <w:tr w:rsidR="00AE135B" w14:paraId="7B34704A" w14:textId="77777777">
        <w:trPr>
          <w:trHeight w:val="324"/>
        </w:trPr>
        <w:tc>
          <w:tcPr>
            <w:tcW w:w="2210" w:type="dxa"/>
            <w:tcBorders>
              <w:bottom w:val="nil"/>
            </w:tcBorders>
          </w:tcPr>
          <w:p w14:paraId="5D522D95" w14:textId="77777777" w:rsidR="00AE135B" w:rsidRDefault="00EE5424">
            <w:pPr>
              <w:pStyle w:val="TableParagraph"/>
              <w:spacing w:before="63" w:line="240" w:lineRule="exact"/>
              <w:ind w:left="114"/>
              <w:rPr>
                <w:b/>
                <w:sz w:val="20"/>
              </w:rPr>
            </w:pPr>
            <w:proofErr w:type="gramStart"/>
            <w:r>
              <w:rPr>
                <w:b/>
                <w:spacing w:val="-2"/>
                <w:sz w:val="20"/>
              </w:rPr>
              <w:t>Overall</w:t>
            </w:r>
            <w:proofErr w:type="gramEnd"/>
            <w:r>
              <w:rPr>
                <w:b/>
                <w:spacing w:val="-12"/>
                <w:sz w:val="20"/>
              </w:rPr>
              <w:t xml:space="preserve"> </w:t>
            </w:r>
            <w:r>
              <w:rPr>
                <w:b/>
                <w:spacing w:val="-2"/>
                <w:sz w:val="20"/>
              </w:rPr>
              <w:t>on-</w:t>
            </w:r>
            <w:r>
              <w:rPr>
                <w:b/>
                <w:spacing w:val="3"/>
                <w:sz w:val="20"/>
              </w:rPr>
              <w:t xml:space="preserve"> </w:t>
            </w:r>
            <w:r>
              <w:rPr>
                <w:b/>
                <w:spacing w:val="-2"/>
                <w:sz w:val="20"/>
              </w:rPr>
              <w:t>study</w:t>
            </w:r>
          </w:p>
        </w:tc>
        <w:tc>
          <w:tcPr>
            <w:tcW w:w="1728" w:type="dxa"/>
            <w:vMerge w:val="restart"/>
          </w:tcPr>
          <w:p w14:paraId="34AB9056" w14:textId="77777777" w:rsidR="00AE135B" w:rsidRDefault="00EE5424">
            <w:pPr>
              <w:pStyle w:val="TableParagraph"/>
              <w:spacing w:before="63"/>
              <w:ind w:left="37" w:right="12"/>
              <w:jc w:val="center"/>
              <w:rPr>
                <w:sz w:val="20"/>
              </w:rPr>
            </w:pPr>
            <w:r>
              <w:rPr>
                <w:spacing w:val="-5"/>
                <w:sz w:val="20"/>
              </w:rPr>
              <w:t>33</w:t>
            </w:r>
          </w:p>
        </w:tc>
        <w:tc>
          <w:tcPr>
            <w:tcW w:w="1728" w:type="dxa"/>
            <w:vMerge w:val="restart"/>
          </w:tcPr>
          <w:p w14:paraId="34CCF99A" w14:textId="77777777" w:rsidR="00AE135B" w:rsidRDefault="00EE5424">
            <w:pPr>
              <w:pStyle w:val="TableParagraph"/>
              <w:spacing w:before="63"/>
              <w:ind w:left="37" w:right="12"/>
              <w:jc w:val="center"/>
              <w:rPr>
                <w:sz w:val="20"/>
              </w:rPr>
            </w:pPr>
            <w:r>
              <w:rPr>
                <w:spacing w:val="-5"/>
                <w:sz w:val="20"/>
              </w:rPr>
              <w:t>23</w:t>
            </w:r>
          </w:p>
        </w:tc>
        <w:tc>
          <w:tcPr>
            <w:tcW w:w="1803" w:type="dxa"/>
            <w:tcBorders>
              <w:bottom w:val="nil"/>
            </w:tcBorders>
          </w:tcPr>
          <w:p w14:paraId="369051ED" w14:textId="77777777" w:rsidR="00AE135B" w:rsidRDefault="00EE5424">
            <w:pPr>
              <w:pStyle w:val="TableParagraph"/>
              <w:spacing w:before="63" w:line="240" w:lineRule="exact"/>
              <w:ind w:left="51" w:right="13"/>
              <w:jc w:val="center"/>
              <w:rPr>
                <w:sz w:val="20"/>
              </w:rPr>
            </w:pPr>
            <w:r>
              <w:rPr>
                <w:spacing w:val="-4"/>
                <w:sz w:val="20"/>
              </w:rPr>
              <w:t>69.7</w:t>
            </w:r>
          </w:p>
        </w:tc>
        <w:tc>
          <w:tcPr>
            <w:tcW w:w="1800" w:type="dxa"/>
            <w:vMerge w:val="restart"/>
          </w:tcPr>
          <w:p w14:paraId="59A3C7CA" w14:textId="77777777" w:rsidR="00AE135B" w:rsidRDefault="00EE5424">
            <w:pPr>
              <w:pStyle w:val="TableParagraph"/>
              <w:spacing w:before="63"/>
              <w:ind w:left="49"/>
              <w:jc w:val="center"/>
              <w:rPr>
                <w:sz w:val="20"/>
              </w:rPr>
            </w:pPr>
            <w:r>
              <w:rPr>
                <w:spacing w:val="-6"/>
                <w:sz w:val="20"/>
              </w:rPr>
              <w:t>-</w:t>
            </w:r>
            <w:r>
              <w:rPr>
                <w:spacing w:val="-10"/>
                <w:sz w:val="20"/>
              </w:rPr>
              <w:t>-</w:t>
            </w:r>
          </w:p>
        </w:tc>
      </w:tr>
      <w:tr w:rsidR="00AE135B" w14:paraId="5E113B90" w14:textId="77777777">
        <w:trPr>
          <w:trHeight w:val="332"/>
        </w:trPr>
        <w:tc>
          <w:tcPr>
            <w:tcW w:w="2210" w:type="dxa"/>
            <w:tcBorders>
              <w:top w:val="nil"/>
            </w:tcBorders>
          </w:tcPr>
          <w:p w14:paraId="25C4B3E8" w14:textId="77777777" w:rsidR="00AE135B" w:rsidRDefault="00EE5424">
            <w:pPr>
              <w:pStyle w:val="TableParagraph"/>
              <w:spacing w:before="0" w:line="223" w:lineRule="exact"/>
              <w:ind w:left="114"/>
              <w:rPr>
                <w:b/>
                <w:sz w:val="20"/>
              </w:rPr>
            </w:pPr>
            <w:r>
              <w:rPr>
                <w:b/>
                <w:spacing w:val="-2"/>
                <w:sz w:val="20"/>
              </w:rPr>
              <w:t>response</w:t>
            </w:r>
          </w:p>
        </w:tc>
        <w:tc>
          <w:tcPr>
            <w:tcW w:w="1728" w:type="dxa"/>
            <w:vMerge/>
            <w:tcBorders>
              <w:top w:val="nil"/>
            </w:tcBorders>
          </w:tcPr>
          <w:p w14:paraId="063689DA" w14:textId="77777777" w:rsidR="00AE135B" w:rsidRDefault="00AE135B">
            <w:pPr>
              <w:rPr>
                <w:sz w:val="2"/>
                <w:szCs w:val="2"/>
              </w:rPr>
            </w:pPr>
          </w:p>
        </w:tc>
        <w:tc>
          <w:tcPr>
            <w:tcW w:w="1728" w:type="dxa"/>
            <w:vMerge/>
            <w:tcBorders>
              <w:top w:val="nil"/>
            </w:tcBorders>
          </w:tcPr>
          <w:p w14:paraId="75531701" w14:textId="77777777" w:rsidR="00AE135B" w:rsidRDefault="00AE135B">
            <w:pPr>
              <w:rPr>
                <w:sz w:val="2"/>
                <w:szCs w:val="2"/>
              </w:rPr>
            </w:pPr>
          </w:p>
        </w:tc>
        <w:tc>
          <w:tcPr>
            <w:tcW w:w="1803" w:type="dxa"/>
            <w:tcBorders>
              <w:top w:val="nil"/>
            </w:tcBorders>
          </w:tcPr>
          <w:p w14:paraId="0FA68504" w14:textId="77777777" w:rsidR="00AE135B" w:rsidRDefault="00EE5424">
            <w:pPr>
              <w:pStyle w:val="TableParagraph"/>
              <w:spacing w:before="32"/>
              <w:ind w:left="51" w:right="20"/>
              <w:jc w:val="center"/>
              <w:rPr>
                <w:sz w:val="20"/>
              </w:rPr>
            </w:pPr>
            <w:r>
              <w:rPr>
                <w:sz w:val="20"/>
              </w:rPr>
              <w:t>(51.3,</w:t>
            </w:r>
            <w:r>
              <w:rPr>
                <w:spacing w:val="-10"/>
                <w:sz w:val="20"/>
              </w:rPr>
              <w:t xml:space="preserve"> </w:t>
            </w:r>
            <w:r>
              <w:rPr>
                <w:spacing w:val="-2"/>
                <w:sz w:val="20"/>
              </w:rPr>
              <w:t>84.4)</w:t>
            </w:r>
          </w:p>
        </w:tc>
        <w:tc>
          <w:tcPr>
            <w:tcW w:w="1800" w:type="dxa"/>
            <w:vMerge/>
            <w:tcBorders>
              <w:top w:val="nil"/>
            </w:tcBorders>
          </w:tcPr>
          <w:p w14:paraId="0249A37A" w14:textId="77777777" w:rsidR="00AE135B" w:rsidRDefault="00AE135B">
            <w:pPr>
              <w:rPr>
                <w:sz w:val="2"/>
                <w:szCs w:val="2"/>
              </w:rPr>
            </w:pPr>
          </w:p>
        </w:tc>
      </w:tr>
      <w:tr w:rsidR="00AE135B" w14:paraId="12D8503D" w14:textId="77777777">
        <w:trPr>
          <w:trHeight w:val="612"/>
        </w:trPr>
        <w:tc>
          <w:tcPr>
            <w:tcW w:w="2210" w:type="dxa"/>
          </w:tcPr>
          <w:p w14:paraId="5626DEA7" w14:textId="77777777" w:rsidR="00AE135B" w:rsidRDefault="00EE5424">
            <w:pPr>
              <w:pStyle w:val="TableParagraph"/>
              <w:ind w:left="114"/>
              <w:rPr>
                <w:b/>
                <w:sz w:val="20"/>
              </w:rPr>
            </w:pPr>
            <w:r>
              <w:rPr>
                <w:b/>
                <w:spacing w:val="-2"/>
                <w:sz w:val="20"/>
              </w:rPr>
              <w:t>Duration</w:t>
            </w:r>
            <w:r>
              <w:rPr>
                <w:b/>
                <w:spacing w:val="-11"/>
                <w:sz w:val="20"/>
              </w:rPr>
              <w:t xml:space="preserve"> </w:t>
            </w:r>
            <w:r>
              <w:rPr>
                <w:b/>
                <w:spacing w:val="-2"/>
                <w:sz w:val="20"/>
              </w:rPr>
              <w:t>of</w:t>
            </w:r>
            <w:r>
              <w:rPr>
                <w:b/>
                <w:spacing w:val="2"/>
                <w:sz w:val="20"/>
              </w:rPr>
              <w:t xml:space="preserve"> </w:t>
            </w:r>
            <w:proofErr w:type="spellStart"/>
            <w:r>
              <w:rPr>
                <w:b/>
                <w:spacing w:val="-2"/>
                <w:sz w:val="20"/>
              </w:rPr>
              <w:t>response</w:t>
            </w:r>
            <w:r>
              <w:rPr>
                <w:b/>
                <w:spacing w:val="-2"/>
                <w:sz w:val="20"/>
                <w:vertAlign w:val="superscript"/>
              </w:rPr>
              <w:t>b</w:t>
            </w:r>
            <w:proofErr w:type="spellEnd"/>
          </w:p>
        </w:tc>
        <w:tc>
          <w:tcPr>
            <w:tcW w:w="1728" w:type="dxa"/>
          </w:tcPr>
          <w:p w14:paraId="2C388742" w14:textId="77777777" w:rsidR="00AE135B" w:rsidRDefault="00EE5424">
            <w:pPr>
              <w:pStyle w:val="TableParagraph"/>
              <w:ind w:left="37" w:right="12"/>
              <w:jc w:val="center"/>
              <w:rPr>
                <w:sz w:val="20"/>
              </w:rPr>
            </w:pPr>
            <w:r>
              <w:rPr>
                <w:spacing w:val="-5"/>
                <w:sz w:val="20"/>
              </w:rPr>
              <w:t>23</w:t>
            </w:r>
          </w:p>
        </w:tc>
        <w:tc>
          <w:tcPr>
            <w:tcW w:w="1728" w:type="dxa"/>
          </w:tcPr>
          <w:p w14:paraId="0FA9B99C" w14:textId="77777777" w:rsidR="00AE135B" w:rsidRDefault="00EE5424">
            <w:pPr>
              <w:pStyle w:val="TableParagraph"/>
              <w:ind w:left="37"/>
              <w:jc w:val="center"/>
              <w:rPr>
                <w:sz w:val="20"/>
              </w:rPr>
            </w:pPr>
            <w:proofErr w:type="spellStart"/>
            <w:r>
              <w:rPr>
                <w:spacing w:val="-5"/>
                <w:sz w:val="20"/>
              </w:rPr>
              <w:t>10</w:t>
            </w:r>
            <w:r>
              <w:rPr>
                <w:spacing w:val="-5"/>
                <w:sz w:val="20"/>
                <w:vertAlign w:val="superscript"/>
              </w:rPr>
              <w:t>e</w:t>
            </w:r>
            <w:proofErr w:type="spellEnd"/>
          </w:p>
        </w:tc>
        <w:tc>
          <w:tcPr>
            <w:tcW w:w="1803" w:type="dxa"/>
          </w:tcPr>
          <w:p w14:paraId="7D4245D9" w14:textId="77777777" w:rsidR="00AE135B" w:rsidRDefault="00EE5424">
            <w:pPr>
              <w:pStyle w:val="TableParagraph"/>
              <w:ind w:left="51"/>
              <w:jc w:val="center"/>
              <w:rPr>
                <w:sz w:val="20"/>
              </w:rPr>
            </w:pPr>
            <w:r>
              <w:rPr>
                <w:spacing w:val="-6"/>
                <w:sz w:val="20"/>
              </w:rPr>
              <w:t>-</w:t>
            </w:r>
            <w:r>
              <w:rPr>
                <w:spacing w:val="-10"/>
                <w:sz w:val="20"/>
              </w:rPr>
              <w:t>-</w:t>
            </w:r>
          </w:p>
        </w:tc>
        <w:tc>
          <w:tcPr>
            <w:tcW w:w="1800" w:type="dxa"/>
          </w:tcPr>
          <w:p w14:paraId="727E8E2A" w14:textId="77777777" w:rsidR="00AE135B" w:rsidRDefault="00EE5424">
            <w:pPr>
              <w:pStyle w:val="TableParagraph"/>
              <w:ind w:left="49" w:right="18"/>
              <w:jc w:val="center"/>
              <w:rPr>
                <w:sz w:val="20"/>
              </w:rPr>
            </w:pPr>
            <w:r>
              <w:rPr>
                <w:spacing w:val="-5"/>
                <w:sz w:val="20"/>
              </w:rPr>
              <w:t>104</w:t>
            </w:r>
          </w:p>
          <w:p w14:paraId="7C20D6AB" w14:textId="77777777" w:rsidR="00AE135B" w:rsidRDefault="00EE5424">
            <w:pPr>
              <w:pStyle w:val="TableParagraph"/>
              <w:spacing w:before="54" w:line="235" w:lineRule="exact"/>
              <w:ind w:left="49" w:right="10"/>
              <w:jc w:val="center"/>
              <w:rPr>
                <w:sz w:val="20"/>
              </w:rPr>
            </w:pPr>
            <w:r>
              <w:rPr>
                <w:sz w:val="20"/>
              </w:rPr>
              <w:t>(9.0,</w:t>
            </w:r>
            <w:r>
              <w:rPr>
                <w:spacing w:val="-9"/>
                <w:sz w:val="20"/>
              </w:rPr>
              <w:t xml:space="preserve"> </w:t>
            </w:r>
            <w:proofErr w:type="spellStart"/>
            <w:r>
              <w:rPr>
                <w:spacing w:val="-4"/>
                <w:sz w:val="20"/>
              </w:rPr>
              <w:t>NE</w:t>
            </w:r>
            <w:r>
              <w:rPr>
                <w:spacing w:val="-4"/>
                <w:sz w:val="20"/>
                <w:vertAlign w:val="superscript"/>
              </w:rPr>
              <w:t>h</w:t>
            </w:r>
            <w:proofErr w:type="spellEnd"/>
            <w:r>
              <w:rPr>
                <w:spacing w:val="-4"/>
                <w:sz w:val="20"/>
              </w:rPr>
              <w:t>)</w:t>
            </w:r>
          </w:p>
        </w:tc>
      </w:tr>
      <w:tr w:rsidR="00AE135B" w14:paraId="59DFD44B" w14:textId="77777777">
        <w:trPr>
          <w:trHeight w:val="316"/>
        </w:trPr>
        <w:tc>
          <w:tcPr>
            <w:tcW w:w="2210" w:type="dxa"/>
            <w:tcBorders>
              <w:bottom w:val="nil"/>
            </w:tcBorders>
          </w:tcPr>
          <w:p w14:paraId="0F8B0037" w14:textId="77777777" w:rsidR="00AE135B" w:rsidRDefault="00EE5424">
            <w:pPr>
              <w:pStyle w:val="TableParagraph"/>
              <w:spacing w:before="66" w:line="231" w:lineRule="exact"/>
              <w:ind w:left="114"/>
              <w:rPr>
                <w:b/>
                <w:sz w:val="20"/>
              </w:rPr>
            </w:pPr>
            <w:r>
              <w:rPr>
                <w:b/>
                <w:spacing w:val="-4"/>
                <w:sz w:val="20"/>
              </w:rPr>
              <w:t>Complete</w:t>
            </w:r>
            <w:r>
              <w:rPr>
                <w:b/>
                <w:spacing w:val="6"/>
                <w:sz w:val="20"/>
              </w:rPr>
              <w:t xml:space="preserve"> </w:t>
            </w:r>
            <w:r>
              <w:rPr>
                <w:b/>
                <w:spacing w:val="-4"/>
                <w:sz w:val="20"/>
              </w:rPr>
              <w:t>response</w:t>
            </w:r>
            <w:r>
              <w:rPr>
                <w:b/>
                <w:spacing w:val="-7"/>
                <w:sz w:val="20"/>
              </w:rPr>
              <w:t xml:space="preserve"> </w:t>
            </w:r>
            <w:r>
              <w:rPr>
                <w:b/>
                <w:spacing w:val="-5"/>
                <w:sz w:val="20"/>
              </w:rPr>
              <w:t>by</w:t>
            </w:r>
          </w:p>
        </w:tc>
        <w:tc>
          <w:tcPr>
            <w:tcW w:w="1728" w:type="dxa"/>
            <w:vMerge w:val="restart"/>
          </w:tcPr>
          <w:p w14:paraId="6293FF77" w14:textId="77777777" w:rsidR="00AE135B" w:rsidRDefault="00EE5424">
            <w:pPr>
              <w:pStyle w:val="TableParagraph"/>
              <w:spacing w:before="66"/>
              <w:ind w:left="37" w:right="12"/>
              <w:jc w:val="center"/>
              <w:rPr>
                <w:sz w:val="20"/>
              </w:rPr>
            </w:pPr>
            <w:r>
              <w:rPr>
                <w:spacing w:val="-5"/>
                <w:sz w:val="20"/>
              </w:rPr>
              <w:t>33</w:t>
            </w:r>
          </w:p>
        </w:tc>
        <w:tc>
          <w:tcPr>
            <w:tcW w:w="1728" w:type="dxa"/>
            <w:vMerge w:val="restart"/>
          </w:tcPr>
          <w:p w14:paraId="62BC6EFD" w14:textId="77777777" w:rsidR="00AE135B" w:rsidRDefault="00EE5424">
            <w:pPr>
              <w:pStyle w:val="TableParagraph"/>
              <w:spacing w:before="66"/>
              <w:ind w:left="37" w:right="12"/>
              <w:jc w:val="center"/>
              <w:rPr>
                <w:sz w:val="20"/>
              </w:rPr>
            </w:pPr>
            <w:r>
              <w:rPr>
                <w:spacing w:val="-5"/>
                <w:sz w:val="20"/>
              </w:rPr>
              <w:t>12</w:t>
            </w:r>
          </w:p>
        </w:tc>
        <w:tc>
          <w:tcPr>
            <w:tcW w:w="1803" w:type="dxa"/>
            <w:tcBorders>
              <w:bottom w:val="nil"/>
            </w:tcBorders>
          </w:tcPr>
          <w:p w14:paraId="71FADC4A" w14:textId="77777777" w:rsidR="00AE135B" w:rsidRDefault="00EE5424">
            <w:pPr>
              <w:pStyle w:val="TableParagraph"/>
              <w:spacing w:before="66" w:line="231" w:lineRule="exact"/>
              <w:ind w:left="51" w:right="13"/>
              <w:jc w:val="center"/>
              <w:rPr>
                <w:sz w:val="20"/>
              </w:rPr>
            </w:pPr>
            <w:r>
              <w:rPr>
                <w:spacing w:val="-4"/>
                <w:sz w:val="20"/>
              </w:rPr>
              <w:t>36.4</w:t>
            </w:r>
          </w:p>
        </w:tc>
        <w:tc>
          <w:tcPr>
            <w:tcW w:w="1800" w:type="dxa"/>
            <w:vMerge w:val="restart"/>
          </w:tcPr>
          <w:p w14:paraId="3FE1F0CE" w14:textId="77777777" w:rsidR="00AE135B" w:rsidRDefault="00EE5424">
            <w:pPr>
              <w:pStyle w:val="TableParagraph"/>
              <w:spacing w:before="66"/>
              <w:ind w:left="49"/>
              <w:jc w:val="center"/>
              <w:rPr>
                <w:sz w:val="20"/>
              </w:rPr>
            </w:pPr>
            <w:r>
              <w:rPr>
                <w:spacing w:val="-6"/>
                <w:sz w:val="20"/>
              </w:rPr>
              <w:t>-</w:t>
            </w:r>
            <w:r>
              <w:rPr>
                <w:spacing w:val="-10"/>
                <w:sz w:val="20"/>
              </w:rPr>
              <w:t>-</w:t>
            </w:r>
          </w:p>
        </w:tc>
      </w:tr>
      <w:tr w:rsidR="00AE135B" w14:paraId="5ADE7754" w14:textId="77777777">
        <w:trPr>
          <w:trHeight w:val="294"/>
        </w:trPr>
        <w:tc>
          <w:tcPr>
            <w:tcW w:w="2210" w:type="dxa"/>
            <w:tcBorders>
              <w:top w:val="nil"/>
            </w:tcBorders>
          </w:tcPr>
          <w:p w14:paraId="7AE029B1" w14:textId="77777777" w:rsidR="00AE135B" w:rsidRDefault="00EE5424">
            <w:pPr>
              <w:pStyle w:val="TableParagraph"/>
              <w:spacing w:before="0" w:line="231" w:lineRule="exact"/>
              <w:ind w:left="114"/>
              <w:rPr>
                <w:b/>
                <w:sz w:val="20"/>
              </w:rPr>
            </w:pPr>
            <w:r>
              <w:rPr>
                <w:b/>
                <w:sz w:val="20"/>
              </w:rPr>
              <w:t>Day</w:t>
            </w:r>
            <w:r>
              <w:rPr>
                <w:b/>
                <w:spacing w:val="-6"/>
                <w:sz w:val="20"/>
              </w:rPr>
              <w:t xml:space="preserve"> </w:t>
            </w:r>
            <w:proofErr w:type="spellStart"/>
            <w:r>
              <w:rPr>
                <w:b/>
                <w:spacing w:val="-5"/>
                <w:sz w:val="20"/>
              </w:rPr>
              <w:t>10</w:t>
            </w:r>
            <w:r>
              <w:rPr>
                <w:b/>
                <w:spacing w:val="-5"/>
                <w:sz w:val="20"/>
                <w:vertAlign w:val="superscript"/>
              </w:rPr>
              <w:t>c</w:t>
            </w:r>
            <w:proofErr w:type="spellEnd"/>
          </w:p>
        </w:tc>
        <w:tc>
          <w:tcPr>
            <w:tcW w:w="1728" w:type="dxa"/>
            <w:vMerge/>
            <w:tcBorders>
              <w:top w:val="nil"/>
            </w:tcBorders>
          </w:tcPr>
          <w:p w14:paraId="04AC7373" w14:textId="77777777" w:rsidR="00AE135B" w:rsidRDefault="00AE135B">
            <w:pPr>
              <w:rPr>
                <w:sz w:val="2"/>
                <w:szCs w:val="2"/>
              </w:rPr>
            </w:pPr>
          </w:p>
        </w:tc>
        <w:tc>
          <w:tcPr>
            <w:tcW w:w="1728" w:type="dxa"/>
            <w:vMerge/>
            <w:tcBorders>
              <w:top w:val="nil"/>
            </w:tcBorders>
          </w:tcPr>
          <w:p w14:paraId="66D5B7E6" w14:textId="77777777" w:rsidR="00AE135B" w:rsidRDefault="00AE135B">
            <w:pPr>
              <w:rPr>
                <w:sz w:val="2"/>
                <w:szCs w:val="2"/>
              </w:rPr>
            </w:pPr>
          </w:p>
        </w:tc>
        <w:tc>
          <w:tcPr>
            <w:tcW w:w="1803" w:type="dxa"/>
            <w:tcBorders>
              <w:top w:val="nil"/>
            </w:tcBorders>
          </w:tcPr>
          <w:p w14:paraId="2FFCEA71" w14:textId="77777777" w:rsidR="00AE135B" w:rsidRDefault="00EE5424">
            <w:pPr>
              <w:pStyle w:val="TableParagraph"/>
              <w:spacing w:before="34" w:line="240" w:lineRule="exact"/>
              <w:ind w:left="51" w:right="20"/>
              <w:jc w:val="center"/>
              <w:rPr>
                <w:sz w:val="20"/>
              </w:rPr>
            </w:pPr>
            <w:r>
              <w:rPr>
                <w:sz w:val="20"/>
              </w:rPr>
              <w:t>(20.4,</w:t>
            </w:r>
            <w:r>
              <w:rPr>
                <w:spacing w:val="-10"/>
                <w:sz w:val="20"/>
              </w:rPr>
              <w:t xml:space="preserve"> </w:t>
            </w:r>
            <w:r>
              <w:rPr>
                <w:spacing w:val="-2"/>
                <w:sz w:val="20"/>
              </w:rPr>
              <w:t>54.9)</w:t>
            </w:r>
          </w:p>
        </w:tc>
        <w:tc>
          <w:tcPr>
            <w:tcW w:w="1800" w:type="dxa"/>
            <w:vMerge/>
            <w:tcBorders>
              <w:top w:val="nil"/>
            </w:tcBorders>
          </w:tcPr>
          <w:p w14:paraId="14BABC82" w14:textId="77777777" w:rsidR="00AE135B" w:rsidRDefault="00AE135B">
            <w:pPr>
              <w:rPr>
                <w:sz w:val="2"/>
                <w:szCs w:val="2"/>
              </w:rPr>
            </w:pPr>
          </w:p>
        </w:tc>
      </w:tr>
      <w:tr w:rsidR="00AE135B" w14:paraId="5C1D7CDF" w14:textId="77777777">
        <w:trPr>
          <w:trHeight w:val="322"/>
        </w:trPr>
        <w:tc>
          <w:tcPr>
            <w:tcW w:w="2210" w:type="dxa"/>
            <w:tcBorders>
              <w:bottom w:val="nil"/>
            </w:tcBorders>
          </w:tcPr>
          <w:p w14:paraId="2394C2E2" w14:textId="77777777" w:rsidR="00AE135B" w:rsidRDefault="00EE5424">
            <w:pPr>
              <w:pStyle w:val="TableParagraph"/>
              <w:spacing w:before="63" w:line="239" w:lineRule="exact"/>
              <w:ind w:left="114"/>
              <w:rPr>
                <w:b/>
                <w:sz w:val="20"/>
              </w:rPr>
            </w:pPr>
            <w:proofErr w:type="gramStart"/>
            <w:r>
              <w:rPr>
                <w:b/>
                <w:spacing w:val="-2"/>
                <w:sz w:val="20"/>
              </w:rPr>
              <w:t>Overall</w:t>
            </w:r>
            <w:proofErr w:type="gramEnd"/>
            <w:r>
              <w:rPr>
                <w:b/>
                <w:spacing w:val="-12"/>
                <w:sz w:val="20"/>
              </w:rPr>
              <w:t xml:space="preserve"> </w:t>
            </w:r>
            <w:r>
              <w:rPr>
                <w:b/>
                <w:spacing w:val="-2"/>
                <w:sz w:val="20"/>
              </w:rPr>
              <w:t>on-</w:t>
            </w:r>
            <w:r>
              <w:rPr>
                <w:b/>
                <w:spacing w:val="3"/>
                <w:sz w:val="20"/>
              </w:rPr>
              <w:t xml:space="preserve"> </w:t>
            </w:r>
            <w:r>
              <w:rPr>
                <w:b/>
                <w:spacing w:val="-2"/>
                <w:sz w:val="20"/>
              </w:rPr>
              <w:t>study</w:t>
            </w:r>
          </w:p>
        </w:tc>
        <w:tc>
          <w:tcPr>
            <w:tcW w:w="1728" w:type="dxa"/>
            <w:vMerge w:val="restart"/>
          </w:tcPr>
          <w:p w14:paraId="1D052B20" w14:textId="77777777" w:rsidR="00AE135B" w:rsidRDefault="00EE5424">
            <w:pPr>
              <w:pStyle w:val="TableParagraph"/>
              <w:spacing w:before="63"/>
              <w:ind w:left="37" w:right="12"/>
              <w:jc w:val="center"/>
              <w:rPr>
                <w:sz w:val="20"/>
              </w:rPr>
            </w:pPr>
            <w:r>
              <w:rPr>
                <w:spacing w:val="-5"/>
                <w:sz w:val="20"/>
              </w:rPr>
              <w:t>33</w:t>
            </w:r>
          </w:p>
        </w:tc>
        <w:tc>
          <w:tcPr>
            <w:tcW w:w="1728" w:type="dxa"/>
            <w:vMerge w:val="restart"/>
          </w:tcPr>
          <w:p w14:paraId="6A5427FD" w14:textId="77777777" w:rsidR="00AE135B" w:rsidRDefault="00EE5424">
            <w:pPr>
              <w:pStyle w:val="TableParagraph"/>
              <w:spacing w:before="63"/>
              <w:ind w:left="37" w:right="12"/>
              <w:jc w:val="center"/>
              <w:rPr>
                <w:sz w:val="20"/>
              </w:rPr>
            </w:pPr>
            <w:r>
              <w:rPr>
                <w:spacing w:val="-5"/>
                <w:sz w:val="20"/>
              </w:rPr>
              <w:t>21</w:t>
            </w:r>
          </w:p>
        </w:tc>
        <w:tc>
          <w:tcPr>
            <w:tcW w:w="1803" w:type="dxa"/>
            <w:tcBorders>
              <w:bottom w:val="nil"/>
            </w:tcBorders>
          </w:tcPr>
          <w:p w14:paraId="398F0C0C" w14:textId="77777777" w:rsidR="00AE135B" w:rsidRDefault="00EE5424">
            <w:pPr>
              <w:pStyle w:val="TableParagraph"/>
              <w:spacing w:before="63" w:line="239" w:lineRule="exact"/>
              <w:ind w:left="51" w:right="13"/>
              <w:jc w:val="center"/>
              <w:rPr>
                <w:sz w:val="20"/>
              </w:rPr>
            </w:pPr>
            <w:r>
              <w:rPr>
                <w:spacing w:val="-4"/>
                <w:sz w:val="20"/>
              </w:rPr>
              <w:t>63.6</w:t>
            </w:r>
          </w:p>
        </w:tc>
        <w:tc>
          <w:tcPr>
            <w:tcW w:w="1800" w:type="dxa"/>
            <w:vMerge w:val="restart"/>
          </w:tcPr>
          <w:p w14:paraId="3FCDFADB" w14:textId="77777777" w:rsidR="00AE135B" w:rsidRDefault="00EE5424">
            <w:pPr>
              <w:pStyle w:val="TableParagraph"/>
              <w:spacing w:before="63"/>
              <w:ind w:left="49"/>
              <w:jc w:val="center"/>
              <w:rPr>
                <w:sz w:val="20"/>
              </w:rPr>
            </w:pPr>
            <w:r>
              <w:rPr>
                <w:spacing w:val="-6"/>
                <w:sz w:val="20"/>
              </w:rPr>
              <w:t>-</w:t>
            </w:r>
            <w:r>
              <w:rPr>
                <w:spacing w:val="-10"/>
                <w:sz w:val="20"/>
              </w:rPr>
              <w:t>-</w:t>
            </w:r>
          </w:p>
        </w:tc>
      </w:tr>
      <w:tr w:rsidR="00AE135B" w14:paraId="25E2F093" w14:textId="77777777">
        <w:trPr>
          <w:trHeight w:val="285"/>
        </w:trPr>
        <w:tc>
          <w:tcPr>
            <w:tcW w:w="2210" w:type="dxa"/>
            <w:tcBorders>
              <w:top w:val="nil"/>
            </w:tcBorders>
          </w:tcPr>
          <w:p w14:paraId="724C64A1" w14:textId="77777777" w:rsidR="00AE135B" w:rsidRDefault="00EE5424">
            <w:pPr>
              <w:pStyle w:val="TableParagraph"/>
              <w:spacing w:before="0" w:line="222" w:lineRule="exact"/>
              <w:ind w:left="114"/>
              <w:rPr>
                <w:b/>
                <w:sz w:val="20"/>
              </w:rPr>
            </w:pPr>
            <w:r>
              <w:rPr>
                <w:b/>
                <w:spacing w:val="-4"/>
                <w:sz w:val="20"/>
              </w:rPr>
              <w:t xml:space="preserve">complete </w:t>
            </w:r>
            <w:r>
              <w:rPr>
                <w:b/>
                <w:spacing w:val="-2"/>
                <w:sz w:val="20"/>
              </w:rPr>
              <w:t>response</w:t>
            </w:r>
          </w:p>
        </w:tc>
        <w:tc>
          <w:tcPr>
            <w:tcW w:w="1728" w:type="dxa"/>
            <w:vMerge/>
            <w:tcBorders>
              <w:top w:val="nil"/>
            </w:tcBorders>
          </w:tcPr>
          <w:p w14:paraId="77BD6AB9" w14:textId="77777777" w:rsidR="00AE135B" w:rsidRDefault="00AE135B">
            <w:pPr>
              <w:rPr>
                <w:sz w:val="2"/>
                <w:szCs w:val="2"/>
              </w:rPr>
            </w:pPr>
          </w:p>
        </w:tc>
        <w:tc>
          <w:tcPr>
            <w:tcW w:w="1728" w:type="dxa"/>
            <w:vMerge/>
            <w:tcBorders>
              <w:top w:val="nil"/>
            </w:tcBorders>
          </w:tcPr>
          <w:p w14:paraId="38B42D53" w14:textId="77777777" w:rsidR="00AE135B" w:rsidRDefault="00AE135B">
            <w:pPr>
              <w:rPr>
                <w:sz w:val="2"/>
                <w:szCs w:val="2"/>
              </w:rPr>
            </w:pPr>
          </w:p>
        </w:tc>
        <w:tc>
          <w:tcPr>
            <w:tcW w:w="1803" w:type="dxa"/>
            <w:tcBorders>
              <w:top w:val="nil"/>
            </w:tcBorders>
          </w:tcPr>
          <w:p w14:paraId="733B9534" w14:textId="77777777" w:rsidR="00AE135B" w:rsidRDefault="00EE5424">
            <w:pPr>
              <w:pStyle w:val="TableParagraph"/>
              <w:spacing w:before="28" w:line="237" w:lineRule="exact"/>
              <w:ind w:left="51" w:right="20"/>
              <w:jc w:val="center"/>
              <w:rPr>
                <w:sz w:val="20"/>
              </w:rPr>
            </w:pPr>
            <w:r>
              <w:rPr>
                <w:sz w:val="20"/>
              </w:rPr>
              <w:t>(45.1,</w:t>
            </w:r>
            <w:r>
              <w:rPr>
                <w:spacing w:val="-10"/>
                <w:sz w:val="20"/>
              </w:rPr>
              <w:t xml:space="preserve"> </w:t>
            </w:r>
            <w:r>
              <w:rPr>
                <w:spacing w:val="-2"/>
                <w:sz w:val="20"/>
              </w:rPr>
              <w:t>79.6)</w:t>
            </w:r>
          </w:p>
        </w:tc>
        <w:tc>
          <w:tcPr>
            <w:tcW w:w="1800" w:type="dxa"/>
            <w:vMerge/>
            <w:tcBorders>
              <w:top w:val="nil"/>
            </w:tcBorders>
          </w:tcPr>
          <w:p w14:paraId="4FD7D3BE" w14:textId="77777777" w:rsidR="00AE135B" w:rsidRDefault="00AE135B">
            <w:pPr>
              <w:rPr>
                <w:sz w:val="2"/>
                <w:szCs w:val="2"/>
              </w:rPr>
            </w:pPr>
          </w:p>
        </w:tc>
      </w:tr>
      <w:tr w:rsidR="00AE135B" w14:paraId="17C4EBAD" w14:textId="77777777">
        <w:trPr>
          <w:trHeight w:val="314"/>
        </w:trPr>
        <w:tc>
          <w:tcPr>
            <w:tcW w:w="2210" w:type="dxa"/>
            <w:tcBorders>
              <w:bottom w:val="nil"/>
            </w:tcBorders>
          </w:tcPr>
          <w:p w14:paraId="0E33F4FF" w14:textId="77777777" w:rsidR="00AE135B" w:rsidRDefault="00EE5424">
            <w:pPr>
              <w:pStyle w:val="TableParagraph"/>
              <w:spacing w:before="63" w:line="231" w:lineRule="exact"/>
              <w:ind w:left="114"/>
              <w:rPr>
                <w:b/>
                <w:sz w:val="20"/>
              </w:rPr>
            </w:pPr>
            <w:r>
              <w:rPr>
                <w:b/>
                <w:spacing w:val="-2"/>
                <w:sz w:val="20"/>
              </w:rPr>
              <w:t>Duration</w:t>
            </w:r>
            <w:r>
              <w:rPr>
                <w:b/>
                <w:spacing w:val="-11"/>
                <w:sz w:val="20"/>
              </w:rPr>
              <w:t xml:space="preserve"> </w:t>
            </w:r>
            <w:r>
              <w:rPr>
                <w:b/>
                <w:spacing w:val="-2"/>
                <w:sz w:val="20"/>
              </w:rPr>
              <w:t>of</w:t>
            </w:r>
            <w:r>
              <w:rPr>
                <w:b/>
                <w:spacing w:val="2"/>
                <w:sz w:val="20"/>
              </w:rPr>
              <w:t xml:space="preserve"> </w:t>
            </w:r>
            <w:r>
              <w:rPr>
                <w:b/>
                <w:spacing w:val="-2"/>
                <w:sz w:val="20"/>
              </w:rPr>
              <w:t>complete</w:t>
            </w:r>
          </w:p>
        </w:tc>
        <w:tc>
          <w:tcPr>
            <w:tcW w:w="1728" w:type="dxa"/>
            <w:vMerge w:val="restart"/>
          </w:tcPr>
          <w:p w14:paraId="7A4A99F3" w14:textId="77777777" w:rsidR="00AE135B" w:rsidRDefault="00EE5424">
            <w:pPr>
              <w:pStyle w:val="TableParagraph"/>
              <w:spacing w:before="63"/>
              <w:ind w:left="37" w:right="12"/>
              <w:jc w:val="center"/>
              <w:rPr>
                <w:sz w:val="20"/>
              </w:rPr>
            </w:pPr>
            <w:r>
              <w:rPr>
                <w:spacing w:val="-5"/>
                <w:sz w:val="20"/>
              </w:rPr>
              <w:t>21</w:t>
            </w:r>
          </w:p>
        </w:tc>
        <w:tc>
          <w:tcPr>
            <w:tcW w:w="1728" w:type="dxa"/>
            <w:vMerge w:val="restart"/>
          </w:tcPr>
          <w:p w14:paraId="1B00EBC7" w14:textId="77777777" w:rsidR="00AE135B" w:rsidRDefault="00EE5424">
            <w:pPr>
              <w:pStyle w:val="TableParagraph"/>
              <w:spacing w:before="63"/>
              <w:ind w:left="37" w:right="1"/>
              <w:jc w:val="center"/>
              <w:rPr>
                <w:sz w:val="20"/>
              </w:rPr>
            </w:pPr>
            <w:proofErr w:type="spellStart"/>
            <w:r>
              <w:rPr>
                <w:spacing w:val="-5"/>
                <w:sz w:val="20"/>
              </w:rPr>
              <w:t>14</w:t>
            </w:r>
            <w:r>
              <w:rPr>
                <w:spacing w:val="-5"/>
                <w:sz w:val="20"/>
                <w:vertAlign w:val="superscript"/>
              </w:rPr>
              <w:t>f</w:t>
            </w:r>
            <w:proofErr w:type="spellEnd"/>
          </w:p>
        </w:tc>
        <w:tc>
          <w:tcPr>
            <w:tcW w:w="1803" w:type="dxa"/>
            <w:vMerge w:val="restart"/>
          </w:tcPr>
          <w:p w14:paraId="0D61E55F" w14:textId="77777777" w:rsidR="00AE135B" w:rsidRDefault="00EE5424">
            <w:pPr>
              <w:pStyle w:val="TableParagraph"/>
              <w:spacing w:before="63"/>
              <w:ind w:left="51"/>
              <w:jc w:val="center"/>
              <w:rPr>
                <w:sz w:val="20"/>
              </w:rPr>
            </w:pPr>
            <w:r>
              <w:rPr>
                <w:spacing w:val="-6"/>
                <w:sz w:val="20"/>
              </w:rPr>
              <w:t>-</w:t>
            </w:r>
            <w:r>
              <w:rPr>
                <w:spacing w:val="-10"/>
                <w:sz w:val="20"/>
              </w:rPr>
              <w:t>-</w:t>
            </w:r>
          </w:p>
        </w:tc>
        <w:tc>
          <w:tcPr>
            <w:tcW w:w="1800" w:type="dxa"/>
            <w:tcBorders>
              <w:bottom w:val="nil"/>
            </w:tcBorders>
          </w:tcPr>
          <w:p w14:paraId="7FA92A33" w14:textId="77777777" w:rsidR="00AE135B" w:rsidRDefault="00EE5424">
            <w:pPr>
              <w:pStyle w:val="TableParagraph"/>
              <w:spacing w:before="63" w:line="231" w:lineRule="exact"/>
              <w:ind w:left="49" w:right="18"/>
              <w:jc w:val="center"/>
              <w:rPr>
                <w:sz w:val="20"/>
              </w:rPr>
            </w:pPr>
            <w:r>
              <w:rPr>
                <w:spacing w:val="-5"/>
                <w:sz w:val="20"/>
              </w:rPr>
              <w:t>34</w:t>
            </w:r>
          </w:p>
        </w:tc>
      </w:tr>
      <w:tr w:rsidR="00AE135B" w14:paraId="606C4D9B" w14:textId="77777777">
        <w:trPr>
          <w:trHeight w:val="296"/>
        </w:trPr>
        <w:tc>
          <w:tcPr>
            <w:tcW w:w="2210" w:type="dxa"/>
            <w:tcBorders>
              <w:top w:val="nil"/>
            </w:tcBorders>
          </w:tcPr>
          <w:p w14:paraId="78921D24" w14:textId="7BF4C193" w:rsidR="00AE135B" w:rsidRDefault="00EE5424" w:rsidP="00401300">
            <w:pPr>
              <w:pStyle w:val="TableParagraph"/>
              <w:tabs>
                <w:tab w:val="left" w:pos="1515"/>
              </w:tabs>
              <w:spacing w:before="0" w:line="231" w:lineRule="exact"/>
              <w:ind w:left="114"/>
              <w:rPr>
                <w:b/>
                <w:sz w:val="20"/>
              </w:rPr>
            </w:pPr>
            <w:proofErr w:type="spellStart"/>
            <w:r>
              <w:rPr>
                <w:b/>
                <w:spacing w:val="-2"/>
                <w:sz w:val="20"/>
              </w:rPr>
              <w:t>response</w:t>
            </w:r>
            <w:r>
              <w:rPr>
                <w:b/>
                <w:spacing w:val="-2"/>
                <w:sz w:val="20"/>
                <w:vertAlign w:val="superscript"/>
              </w:rPr>
              <w:t>d</w:t>
            </w:r>
            <w:proofErr w:type="spellEnd"/>
            <w:r w:rsidR="00401300">
              <w:rPr>
                <w:b/>
                <w:spacing w:val="-2"/>
                <w:sz w:val="20"/>
                <w:vertAlign w:val="superscript"/>
              </w:rPr>
              <w:tab/>
            </w:r>
          </w:p>
        </w:tc>
        <w:tc>
          <w:tcPr>
            <w:tcW w:w="1728" w:type="dxa"/>
            <w:vMerge/>
            <w:tcBorders>
              <w:top w:val="nil"/>
            </w:tcBorders>
          </w:tcPr>
          <w:p w14:paraId="1874F15B" w14:textId="77777777" w:rsidR="00AE135B" w:rsidRDefault="00AE135B">
            <w:pPr>
              <w:rPr>
                <w:sz w:val="2"/>
                <w:szCs w:val="2"/>
              </w:rPr>
            </w:pPr>
          </w:p>
        </w:tc>
        <w:tc>
          <w:tcPr>
            <w:tcW w:w="1728" w:type="dxa"/>
            <w:vMerge/>
            <w:tcBorders>
              <w:top w:val="nil"/>
            </w:tcBorders>
          </w:tcPr>
          <w:p w14:paraId="595BEC86" w14:textId="77777777" w:rsidR="00AE135B" w:rsidRDefault="00AE135B">
            <w:pPr>
              <w:rPr>
                <w:sz w:val="2"/>
                <w:szCs w:val="2"/>
              </w:rPr>
            </w:pPr>
          </w:p>
        </w:tc>
        <w:tc>
          <w:tcPr>
            <w:tcW w:w="1803" w:type="dxa"/>
            <w:vMerge/>
            <w:tcBorders>
              <w:top w:val="nil"/>
            </w:tcBorders>
          </w:tcPr>
          <w:p w14:paraId="368DC0EC" w14:textId="77777777" w:rsidR="00AE135B" w:rsidRDefault="00AE135B">
            <w:pPr>
              <w:rPr>
                <w:sz w:val="2"/>
                <w:szCs w:val="2"/>
              </w:rPr>
            </w:pPr>
          </w:p>
        </w:tc>
        <w:tc>
          <w:tcPr>
            <w:tcW w:w="1800" w:type="dxa"/>
            <w:tcBorders>
              <w:top w:val="nil"/>
            </w:tcBorders>
          </w:tcPr>
          <w:p w14:paraId="772EFB51" w14:textId="77777777" w:rsidR="00AE135B" w:rsidRDefault="00EE5424">
            <w:pPr>
              <w:pStyle w:val="TableParagraph"/>
              <w:spacing w:before="39" w:line="237" w:lineRule="exact"/>
              <w:ind w:left="49" w:right="15"/>
              <w:jc w:val="center"/>
              <w:rPr>
                <w:sz w:val="20"/>
              </w:rPr>
            </w:pPr>
            <w:r>
              <w:rPr>
                <w:sz w:val="20"/>
              </w:rPr>
              <w:t>(1.0,</w:t>
            </w:r>
            <w:r>
              <w:rPr>
                <w:spacing w:val="-9"/>
                <w:sz w:val="20"/>
              </w:rPr>
              <w:t xml:space="preserve"> </w:t>
            </w:r>
            <w:r>
              <w:rPr>
                <w:spacing w:val="-2"/>
                <w:sz w:val="20"/>
              </w:rPr>
              <w:t>134.0)</w:t>
            </w:r>
          </w:p>
        </w:tc>
      </w:tr>
    </w:tbl>
    <w:p w14:paraId="35EA24D3" w14:textId="77777777" w:rsidR="00AE135B" w:rsidRDefault="00EE5424">
      <w:pPr>
        <w:spacing w:before="13"/>
        <w:ind w:left="307"/>
        <w:rPr>
          <w:position w:val="1"/>
          <w:sz w:val="16"/>
        </w:rPr>
      </w:pPr>
      <w:r>
        <w:rPr>
          <w:position w:val="7"/>
          <w:sz w:val="16"/>
        </w:rPr>
        <w:t>a</w:t>
      </w:r>
      <w:r>
        <w:rPr>
          <w:spacing w:val="8"/>
          <w:position w:val="7"/>
          <w:sz w:val="16"/>
        </w:rPr>
        <w:t xml:space="preserve"> </w:t>
      </w:r>
      <w:r>
        <w:rPr>
          <w:position w:val="1"/>
          <w:sz w:val="16"/>
        </w:rPr>
        <w:t>CSC</w:t>
      </w:r>
      <w:r>
        <w:rPr>
          <w:spacing w:val="4"/>
          <w:position w:val="1"/>
          <w:sz w:val="16"/>
        </w:rPr>
        <w:t xml:space="preserve"> </w:t>
      </w:r>
      <w:r>
        <w:rPr>
          <w:noProof/>
          <w:spacing w:val="5"/>
          <w:sz w:val="16"/>
        </w:rPr>
        <w:drawing>
          <wp:inline distT="0" distB="0" distL="0" distR="0" wp14:anchorId="72E160A9" wp14:editId="4B462908">
            <wp:extent cx="46412" cy="6585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46412" cy="65853"/>
                    </a:xfrm>
                    <a:prstGeom prst="rect">
                      <a:avLst/>
                    </a:prstGeom>
                  </pic:spPr>
                </pic:pic>
              </a:graphicData>
            </a:graphic>
          </wp:inline>
        </w:drawing>
      </w:r>
      <w:r>
        <w:rPr>
          <w:rFonts w:ascii="Times New Roman"/>
          <w:spacing w:val="-17"/>
          <w:position w:val="1"/>
          <w:sz w:val="16"/>
        </w:rPr>
        <w:t xml:space="preserve"> </w:t>
      </w:r>
      <w:r>
        <w:rPr>
          <w:position w:val="1"/>
          <w:sz w:val="16"/>
        </w:rPr>
        <w:t>11.5</w:t>
      </w:r>
      <w:r>
        <w:rPr>
          <w:spacing w:val="-9"/>
          <w:position w:val="1"/>
          <w:sz w:val="16"/>
        </w:rPr>
        <w:t xml:space="preserve"> </w:t>
      </w:r>
      <w:r>
        <w:rPr>
          <w:position w:val="1"/>
          <w:sz w:val="16"/>
        </w:rPr>
        <w:t>mg/dL</w:t>
      </w:r>
      <w:r>
        <w:rPr>
          <w:spacing w:val="-4"/>
          <w:position w:val="1"/>
          <w:sz w:val="16"/>
        </w:rPr>
        <w:t xml:space="preserve"> </w:t>
      </w:r>
      <w:r>
        <w:rPr>
          <w:position w:val="1"/>
          <w:sz w:val="16"/>
        </w:rPr>
        <w:t>(2.9</w:t>
      </w:r>
      <w:r>
        <w:rPr>
          <w:spacing w:val="-5"/>
          <w:position w:val="1"/>
          <w:sz w:val="16"/>
        </w:rPr>
        <w:t xml:space="preserve"> </w:t>
      </w:r>
      <w:r>
        <w:rPr>
          <w:spacing w:val="-2"/>
          <w:position w:val="1"/>
          <w:sz w:val="16"/>
        </w:rPr>
        <w:t>mmol/L)</w:t>
      </w:r>
    </w:p>
    <w:p w14:paraId="7293939B" w14:textId="77777777" w:rsidR="00AE135B" w:rsidRDefault="00EE5424">
      <w:pPr>
        <w:spacing w:line="255" w:lineRule="exact"/>
        <w:ind w:left="307"/>
        <w:rPr>
          <w:sz w:val="16"/>
        </w:rPr>
      </w:pPr>
      <w:r>
        <w:rPr>
          <w:position w:val="6"/>
          <w:sz w:val="16"/>
        </w:rPr>
        <w:t>b</w:t>
      </w:r>
      <w:r>
        <w:rPr>
          <w:spacing w:val="-7"/>
          <w:position w:val="6"/>
          <w:sz w:val="16"/>
        </w:rPr>
        <w:t xml:space="preserve"> </w:t>
      </w:r>
      <w:r>
        <w:rPr>
          <w:sz w:val="16"/>
        </w:rPr>
        <w:t>Number</w:t>
      </w:r>
      <w:r>
        <w:rPr>
          <w:spacing w:val="-9"/>
          <w:sz w:val="16"/>
        </w:rPr>
        <w:t xml:space="preserve"> </w:t>
      </w:r>
      <w:r>
        <w:rPr>
          <w:sz w:val="16"/>
        </w:rPr>
        <w:t>of</w:t>
      </w:r>
      <w:r>
        <w:rPr>
          <w:spacing w:val="-9"/>
          <w:sz w:val="16"/>
        </w:rPr>
        <w:t xml:space="preserve"> </w:t>
      </w:r>
      <w:r>
        <w:rPr>
          <w:sz w:val="16"/>
        </w:rPr>
        <w:t>days</w:t>
      </w:r>
      <w:r>
        <w:rPr>
          <w:spacing w:val="-6"/>
          <w:sz w:val="16"/>
        </w:rPr>
        <w:t xml:space="preserve"> </w:t>
      </w:r>
      <w:r>
        <w:rPr>
          <w:sz w:val="16"/>
        </w:rPr>
        <w:t>from</w:t>
      </w:r>
      <w:r>
        <w:rPr>
          <w:spacing w:val="-9"/>
          <w:sz w:val="16"/>
        </w:rPr>
        <w:t xml:space="preserve"> </w:t>
      </w:r>
      <w:r>
        <w:rPr>
          <w:sz w:val="16"/>
        </w:rPr>
        <w:t>the</w:t>
      </w:r>
      <w:r>
        <w:rPr>
          <w:spacing w:val="-9"/>
          <w:sz w:val="16"/>
        </w:rPr>
        <w:t xml:space="preserve"> </w:t>
      </w:r>
      <w:r>
        <w:rPr>
          <w:sz w:val="16"/>
        </w:rPr>
        <w:t>occurrence</w:t>
      </w:r>
      <w:r>
        <w:rPr>
          <w:spacing w:val="-9"/>
          <w:sz w:val="16"/>
        </w:rPr>
        <w:t xml:space="preserve"> </w:t>
      </w:r>
      <w:r>
        <w:rPr>
          <w:sz w:val="16"/>
        </w:rPr>
        <w:t>of</w:t>
      </w:r>
      <w:r>
        <w:rPr>
          <w:spacing w:val="-9"/>
          <w:sz w:val="16"/>
        </w:rPr>
        <w:t xml:space="preserve"> </w:t>
      </w:r>
      <w:r>
        <w:rPr>
          <w:sz w:val="16"/>
        </w:rPr>
        <w:t>first</w:t>
      </w:r>
      <w:r>
        <w:rPr>
          <w:spacing w:val="-9"/>
          <w:sz w:val="16"/>
        </w:rPr>
        <w:t xml:space="preserve"> </w:t>
      </w:r>
      <w:r>
        <w:rPr>
          <w:sz w:val="16"/>
        </w:rPr>
        <w:t>response</w:t>
      </w:r>
      <w:r>
        <w:rPr>
          <w:spacing w:val="-9"/>
          <w:sz w:val="16"/>
        </w:rPr>
        <w:t xml:space="preserve"> </w:t>
      </w:r>
      <w:r>
        <w:rPr>
          <w:sz w:val="16"/>
        </w:rPr>
        <w:t>until</w:t>
      </w:r>
      <w:r>
        <w:rPr>
          <w:spacing w:val="-8"/>
          <w:sz w:val="16"/>
        </w:rPr>
        <w:t xml:space="preserve"> </w:t>
      </w:r>
      <w:r>
        <w:rPr>
          <w:sz w:val="16"/>
        </w:rPr>
        <w:t>last</w:t>
      </w:r>
      <w:r>
        <w:rPr>
          <w:spacing w:val="-9"/>
          <w:sz w:val="16"/>
        </w:rPr>
        <w:t xml:space="preserve"> </w:t>
      </w:r>
      <w:r>
        <w:rPr>
          <w:sz w:val="16"/>
        </w:rPr>
        <w:t>CSC</w:t>
      </w:r>
      <w:r>
        <w:rPr>
          <w:spacing w:val="-4"/>
          <w:sz w:val="16"/>
        </w:rPr>
        <w:t xml:space="preserve"> </w:t>
      </w:r>
      <w:r>
        <w:rPr>
          <w:sz w:val="16"/>
        </w:rPr>
        <w:t>≤</w:t>
      </w:r>
      <w:r>
        <w:rPr>
          <w:spacing w:val="-6"/>
          <w:sz w:val="16"/>
        </w:rPr>
        <w:t xml:space="preserve"> </w:t>
      </w:r>
      <w:r>
        <w:rPr>
          <w:sz w:val="16"/>
        </w:rPr>
        <w:t>11.5</w:t>
      </w:r>
      <w:r>
        <w:rPr>
          <w:spacing w:val="-10"/>
          <w:sz w:val="16"/>
        </w:rPr>
        <w:t xml:space="preserve"> </w:t>
      </w:r>
      <w:r>
        <w:rPr>
          <w:sz w:val="16"/>
        </w:rPr>
        <w:t>mg/dL</w:t>
      </w:r>
      <w:r>
        <w:rPr>
          <w:spacing w:val="-9"/>
          <w:sz w:val="16"/>
        </w:rPr>
        <w:t xml:space="preserve"> </w:t>
      </w:r>
      <w:r>
        <w:rPr>
          <w:sz w:val="16"/>
        </w:rPr>
        <w:t>(2.9</w:t>
      </w:r>
      <w:r>
        <w:rPr>
          <w:spacing w:val="-9"/>
          <w:sz w:val="16"/>
        </w:rPr>
        <w:t xml:space="preserve"> </w:t>
      </w:r>
      <w:r>
        <w:rPr>
          <w:spacing w:val="-2"/>
          <w:sz w:val="16"/>
        </w:rPr>
        <w:t>mmol/L)</w:t>
      </w:r>
    </w:p>
    <w:p w14:paraId="2292A329" w14:textId="77777777" w:rsidR="00AE135B" w:rsidRDefault="00EE5424">
      <w:pPr>
        <w:spacing w:line="245" w:lineRule="exact"/>
        <w:ind w:left="307"/>
        <w:rPr>
          <w:sz w:val="16"/>
        </w:rPr>
      </w:pPr>
      <w:r>
        <w:rPr>
          <w:position w:val="6"/>
          <w:sz w:val="16"/>
        </w:rPr>
        <w:t>c</w:t>
      </w:r>
      <w:r>
        <w:rPr>
          <w:spacing w:val="4"/>
          <w:position w:val="6"/>
          <w:sz w:val="16"/>
        </w:rPr>
        <w:t xml:space="preserve"> </w:t>
      </w:r>
      <w:r>
        <w:rPr>
          <w:sz w:val="16"/>
        </w:rPr>
        <w:t>CSC</w:t>
      </w:r>
      <w:r>
        <w:rPr>
          <w:spacing w:val="-6"/>
          <w:sz w:val="16"/>
        </w:rPr>
        <w:t xml:space="preserve"> </w:t>
      </w:r>
      <w:r>
        <w:rPr>
          <w:sz w:val="16"/>
        </w:rPr>
        <w:t>≤</w:t>
      </w:r>
      <w:r>
        <w:rPr>
          <w:spacing w:val="-5"/>
          <w:sz w:val="16"/>
        </w:rPr>
        <w:t xml:space="preserve"> </w:t>
      </w:r>
      <w:r>
        <w:rPr>
          <w:sz w:val="16"/>
        </w:rPr>
        <w:t>10.8</w:t>
      </w:r>
      <w:r>
        <w:rPr>
          <w:spacing w:val="-10"/>
          <w:sz w:val="16"/>
        </w:rPr>
        <w:t xml:space="preserve"> </w:t>
      </w:r>
      <w:r>
        <w:rPr>
          <w:sz w:val="16"/>
        </w:rPr>
        <w:t>mg/dL</w:t>
      </w:r>
      <w:r>
        <w:rPr>
          <w:spacing w:val="-9"/>
          <w:sz w:val="16"/>
        </w:rPr>
        <w:t xml:space="preserve"> </w:t>
      </w:r>
      <w:r>
        <w:rPr>
          <w:sz w:val="16"/>
        </w:rPr>
        <w:t>(2.7</w:t>
      </w:r>
      <w:r>
        <w:rPr>
          <w:spacing w:val="-5"/>
          <w:sz w:val="16"/>
        </w:rPr>
        <w:t xml:space="preserve"> </w:t>
      </w:r>
      <w:r>
        <w:rPr>
          <w:spacing w:val="-2"/>
          <w:sz w:val="16"/>
        </w:rPr>
        <w:t>mmol/L)</w:t>
      </w:r>
    </w:p>
    <w:p w14:paraId="6E8A2D7D" w14:textId="77777777" w:rsidR="00AE135B" w:rsidRDefault="00EE5424">
      <w:pPr>
        <w:spacing w:line="228" w:lineRule="exact"/>
        <w:ind w:left="307"/>
        <w:rPr>
          <w:sz w:val="16"/>
        </w:rPr>
      </w:pPr>
      <w:r>
        <w:rPr>
          <w:position w:val="6"/>
          <w:sz w:val="16"/>
        </w:rPr>
        <w:t>d</w:t>
      </w:r>
      <w:r>
        <w:rPr>
          <w:spacing w:val="-11"/>
          <w:position w:val="6"/>
          <w:sz w:val="16"/>
        </w:rPr>
        <w:t xml:space="preserve"> </w:t>
      </w:r>
      <w:r>
        <w:rPr>
          <w:sz w:val="16"/>
        </w:rPr>
        <w:t>Number</w:t>
      </w:r>
      <w:r>
        <w:rPr>
          <w:spacing w:val="-9"/>
          <w:sz w:val="16"/>
        </w:rPr>
        <w:t xml:space="preserve"> </w:t>
      </w:r>
      <w:r>
        <w:rPr>
          <w:sz w:val="16"/>
        </w:rPr>
        <w:t>of</w:t>
      </w:r>
      <w:r>
        <w:rPr>
          <w:spacing w:val="-9"/>
          <w:sz w:val="16"/>
        </w:rPr>
        <w:t xml:space="preserve"> </w:t>
      </w:r>
      <w:r>
        <w:rPr>
          <w:sz w:val="16"/>
        </w:rPr>
        <w:t>days</w:t>
      </w:r>
      <w:r>
        <w:rPr>
          <w:spacing w:val="-9"/>
          <w:sz w:val="16"/>
        </w:rPr>
        <w:t xml:space="preserve"> </w:t>
      </w:r>
      <w:r>
        <w:rPr>
          <w:sz w:val="16"/>
        </w:rPr>
        <w:t>from</w:t>
      </w:r>
      <w:r>
        <w:rPr>
          <w:spacing w:val="-6"/>
          <w:sz w:val="16"/>
        </w:rPr>
        <w:t xml:space="preserve"> </w:t>
      </w:r>
      <w:r>
        <w:rPr>
          <w:sz w:val="16"/>
        </w:rPr>
        <w:t>the</w:t>
      </w:r>
      <w:r>
        <w:rPr>
          <w:spacing w:val="-9"/>
          <w:sz w:val="16"/>
        </w:rPr>
        <w:t xml:space="preserve"> </w:t>
      </w:r>
      <w:r>
        <w:rPr>
          <w:sz w:val="16"/>
        </w:rPr>
        <w:t>occurrence</w:t>
      </w:r>
      <w:r>
        <w:rPr>
          <w:spacing w:val="-9"/>
          <w:sz w:val="16"/>
        </w:rPr>
        <w:t xml:space="preserve"> </w:t>
      </w:r>
      <w:r>
        <w:rPr>
          <w:sz w:val="16"/>
        </w:rPr>
        <w:t>of</w:t>
      </w:r>
      <w:r>
        <w:rPr>
          <w:spacing w:val="-10"/>
          <w:sz w:val="16"/>
        </w:rPr>
        <w:t xml:space="preserve"> </w:t>
      </w:r>
      <w:r>
        <w:rPr>
          <w:sz w:val="16"/>
        </w:rPr>
        <w:t>first</w:t>
      </w:r>
      <w:r>
        <w:rPr>
          <w:spacing w:val="-9"/>
          <w:sz w:val="16"/>
        </w:rPr>
        <w:t xml:space="preserve"> </w:t>
      </w:r>
      <w:r>
        <w:rPr>
          <w:sz w:val="16"/>
        </w:rPr>
        <w:t>complete</w:t>
      </w:r>
      <w:r>
        <w:rPr>
          <w:spacing w:val="-9"/>
          <w:sz w:val="16"/>
        </w:rPr>
        <w:t xml:space="preserve"> </w:t>
      </w:r>
      <w:r>
        <w:rPr>
          <w:sz w:val="16"/>
        </w:rPr>
        <w:t>response</w:t>
      </w:r>
      <w:r>
        <w:rPr>
          <w:spacing w:val="-9"/>
          <w:sz w:val="16"/>
        </w:rPr>
        <w:t xml:space="preserve"> </w:t>
      </w:r>
      <w:r>
        <w:rPr>
          <w:sz w:val="16"/>
        </w:rPr>
        <w:t>until</w:t>
      </w:r>
      <w:r>
        <w:rPr>
          <w:spacing w:val="-8"/>
          <w:sz w:val="16"/>
        </w:rPr>
        <w:t xml:space="preserve"> </w:t>
      </w:r>
      <w:r>
        <w:rPr>
          <w:sz w:val="16"/>
        </w:rPr>
        <w:t>last</w:t>
      </w:r>
      <w:r>
        <w:rPr>
          <w:spacing w:val="-6"/>
          <w:sz w:val="16"/>
        </w:rPr>
        <w:t xml:space="preserve"> </w:t>
      </w:r>
      <w:r>
        <w:rPr>
          <w:sz w:val="16"/>
        </w:rPr>
        <w:t>CSC</w:t>
      </w:r>
      <w:r>
        <w:rPr>
          <w:spacing w:val="-5"/>
          <w:sz w:val="16"/>
        </w:rPr>
        <w:t xml:space="preserve"> </w:t>
      </w:r>
      <w:r>
        <w:rPr>
          <w:sz w:val="16"/>
        </w:rPr>
        <w:t>≤</w:t>
      </w:r>
      <w:r>
        <w:rPr>
          <w:spacing w:val="-6"/>
          <w:sz w:val="16"/>
        </w:rPr>
        <w:t xml:space="preserve"> </w:t>
      </w:r>
      <w:r>
        <w:rPr>
          <w:sz w:val="16"/>
        </w:rPr>
        <w:t>10.8</w:t>
      </w:r>
      <w:r>
        <w:rPr>
          <w:spacing w:val="-10"/>
          <w:sz w:val="16"/>
        </w:rPr>
        <w:t xml:space="preserve"> </w:t>
      </w:r>
      <w:r>
        <w:rPr>
          <w:sz w:val="16"/>
        </w:rPr>
        <w:t>mg/dL</w:t>
      </w:r>
      <w:r>
        <w:rPr>
          <w:spacing w:val="-9"/>
          <w:sz w:val="16"/>
        </w:rPr>
        <w:t xml:space="preserve"> </w:t>
      </w:r>
      <w:r>
        <w:rPr>
          <w:sz w:val="16"/>
        </w:rPr>
        <w:t>(2.70</w:t>
      </w:r>
      <w:r>
        <w:rPr>
          <w:spacing w:val="-9"/>
          <w:sz w:val="16"/>
        </w:rPr>
        <w:t xml:space="preserve"> </w:t>
      </w:r>
      <w:r>
        <w:rPr>
          <w:spacing w:val="-2"/>
          <w:sz w:val="16"/>
        </w:rPr>
        <w:t>mmol/L)</w:t>
      </w:r>
    </w:p>
    <w:p w14:paraId="46000D32" w14:textId="77777777" w:rsidR="00AE135B" w:rsidRDefault="00EE5424">
      <w:pPr>
        <w:spacing w:line="217" w:lineRule="exact"/>
        <w:ind w:left="307"/>
        <w:rPr>
          <w:sz w:val="16"/>
        </w:rPr>
      </w:pPr>
      <w:r>
        <w:rPr>
          <w:position w:val="6"/>
          <w:sz w:val="16"/>
        </w:rPr>
        <w:t>e</w:t>
      </w:r>
      <w:r>
        <w:rPr>
          <w:spacing w:val="-11"/>
          <w:position w:val="6"/>
          <w:sz w:val="16"/>
        </w:rPr>
        <w:t xml:space="preserve"> </w:t>
      </w:r>
      <w:r>
        <w:rPr>
          <w:sz w:val="16"/>
        </w:rPr>
        <w:t>Number</w:t>
      </w:r>
      <w:r>
        <w:rPr>
          <w:spacing w:val="-10"/>
          <w:sz w:val="16"/>
        </w:rPr>
        <w:t xml:space="preserve"> </w:t>
      </w:r>
      <w:r>
        <w:rPr>
          <w:sz w:val="16"/>
        </w:rPr>
        <w:t>of</w:t>
      </w:r>
      <w:r>
        <w:rPr>
          <w:spacing w:val="-11"/>
          <w:sz w:val="16"/>
        </w:rPr>
        <w:t xml:space="preserve"> </w:t>
      </w:r>
      <w:r>
        <w:rPr>
          <w:sz w:val="16"/>
        </w:rPr>
        <w:t>patients</w:t>
      </w:r>
      <w:r>
        <w:rPr>
          <w:spacing w:val="-9"/>
          <w:sz w:val="16"/>
        </w:rPr>
        <w:t xml:space="preserve"> </w:t>
      </w:r>
      <w:r>
        <w:rPr>
          <w:sz w:val="16"/>
        </w:rPr>
        <w:t>whose</w:t>
      </w:r>
      <w:r>
        <w:rPr>
          <w:spacing w:val="-9"/>
          <w:sz w:val="16"/>
        </w:rPr>
        <w:t xml:space="preserve"> </w:t>
      </w:r>
      <w:r>
        <w:rPr>
          <w:sz w:val="16"/>
        </w:rPr>
        <w:t>CSC</w:t>
      </w:r>
      <w:r>
        <w:rPr>
          <w:spacing w:val="-9"/>
          <w:sz w:val="16"/>
        </w:rPr>
        <w:t xml:space="preserve"> </w:t>
      </w:r>
      <w:r>
        <w:rPr>
          <w:sz w:val="16"/>
        </w:rPr>
        <w:t>level</w:t>
      </w:r>
      <w:r>
        <w:rPr>
          <w:spacing w:val="-9"/>
          <w:sz w:val="16"/>
        </w:rPr>
        <w:t xml:space="preserve"> </w:t>
      </w:r>
      <w:r>
        <w:rPr>
          <w:sz w:val="16"/>
        </w:rPr>
        <w:t>reached</w:t>
      </w:r>
      <w:r>
        <w:rPr>
          <w:spacing w:val="-9"/>
          <w:sz w:val="16"/>
        </w:rPr>
        <w:t xml:space="preserve"> </w:t>
      </w:r>
      <w:r>
        <w:rPr>
          <w:sz w:val="16"/>
        </w:rPr>
        <w:t>&gt;</w:t>
      </w:r>
      <w:r>
        <w:rPr>
          <w:spacing w:val="-9"/>
          <w:sz w:val="16"/>
        </w:rPr>
        <w:t xml:space="preserve"> </w:t>
      </w:r>
      <w:r>
        <w:rPr>
          <w:sz w:val="16"/>
        </w:rPr>
        <w:t>11.5</w:t>
      </w:r>
      <w:r>
        <w:rPr>
          <w:spacing w:val="-9"/>
          <w:sz w:val="16"/>
        </w:rPr>
        <w:t xml:space="preserve"> </w:t>
      </w:r>
      <w:r>
        <w:rPr>
          <w:sz w:val="16"/>
        </w:rPr>
        <w:t>mg/dL</w:t>
      </w:r>
      <w:r>
        <w:rPr>
          <w:spacing w:val="-9"/>
          <w:sz w:val="16"/>
        </w:rPr>
        <w:t xml:space="preserve"> </w:t>
      </w:r>
      <w:r>
        <w:rPr>
          <w:sz w:val="16"/>
        </w:rPr>
        <w:t>after</w:t>
      </w:r>
      <w:r>
        <w:rPr>
          <w:spacing w:val="-11"/>
          <w:sz w:val="16"/>
        </w:rPr>
        <w:t xml:space="preserve"> </w:t>
      </w:r>
      <w:r>
        <w:rPr>
          <w:sz w:val="16"/>
        </w:rPr>
        <w:t>the</w:t>
      </w:r>
      <w:r>
        <w:rPr>
          <w:spacing w:val="-9"/>
          <w:sz w:val="16"/>
        </w:rPr>
        <w:t xml:space="preserve"> </w:t>
      </w:r>
      <w:r>
        <w:rPr>
          <w:sz w:val="16"/>
        </w:rPr>
        <w:t>first</w:t>
      </w:r>
      <w:r>
        <w:rPr>
          <w:spacing w:val="-8"/>
          <w:sz w:val="16"/>
        </w:rPr>
        <w:t xml:space="preserve"> </w:t>
      </w:r>
      <w:r>
        <w:rPr>
          <w:spacing w:val="-2"/>
          <w:sz w:val="16"/>
        </w:rPr>
        <w:t>response</w:t>
      </w:r>
    </w:p>
    <w:p w14:paraId="0B070984" w14:textId="77777777" w:rsidR="00AE135B" w:rsidRDefault="00EE5424">
      <w:pPr>
        <w:spacing w:line="214" w:lineRule="exact"/>
        <w:ind w:left="307"/>
        <w:rPr>
          <w:sz w:val="16"/>
        </w:rPr>
      </w:pPr>
      <w:r>
        <w:rPr>
          <w:position w:val="6"/>
          <w:sz w:val="16"/>
        </w:rPr>
        <w:t>f</w:t>
      </w:r>
      <w:r>
        <w:rPr>
          <w:spacing w:val="-12"/>
          <w:position w:val="6"/>
          <w:sz w:val="16"/>
        </w:rPr>
        <w:t xml:space="preserve"> </w:t>
      </w:r>
      <w:r>
        <w:rPr>
          <w:sz w:val="16"/>
        </w:rPr>
        <w:t>Number</w:t>
      </w:r>
      <w:r>
        <w:rPr>
          <w:spacing w:val="-11"/>
          <w:sz w:val="16"/>
        </w:rPr>
        <w:t xml:space="preserve"> </w:t>
      </w:r>
      <w:r>
        <w:rPr>
          <w:sz w:val="16"/>
        </w:rPr>
        <w:t>of</w:t>
      </w:r>
      <w:r>
        <w:rPr>
          <w:spacing w:val="-9"/>
          <w:sz w:val="16"/>
        </w:rPr>
        <w:t xml:space="preserve"> </w:t>
      </w:r>
      <w:r>
        <w:rPr>
          <w:sz w:val="16"/>
        </w:rPr>
        <w:t>patients</w:t>
      </w:r>
      <w:r>
        <w:rPr>
          <w:spacing w:val="-9"/>
          <w:sz w:val="16"/>
        </w:rPr>
        <w:t xml:space="preserve"> </w:t>
      </w:r>
      <w:r>
        <w:rPr>
          <w:sz w:val="16"/>
        </w:rPr>
        <w:t>whose</w:t>
      </w:r>
      <w:r>
        <w:rPr>
          <w:spacing w:val="-9"/>
          <w:sz w:val="16"/>
        </w:rPr>
        <w:t xml:space="preserve"> </w:t>
      </w:r>
      <w:r>
        <w:rPr>
          <w:sz w:val="16"/>
        </w:rPr>
        <w:t>CSC</w:t>
      </w:r>
      <w:r>
        <w:rPr>
          <w:spacing w:val="-9"/>
          <w:sz w:val="16"/>
        </w:rPr>
        <w:t xml:space="preserve"> </w:t>
      </w:r>
      <w:r>
        <w:rPr>
          <w:sz w:val="16"/>
        </w:rPr>
        <w:t>level</w:t>
      </w:r>
      <w:r>
        <w:rPr>
          <w:spacing w:val="-9"/>
          <w:sz w:val="16"/>
        </w:rPr>
        <w:t xml:space="preserve"> </w:t>
      </w:r>
      <w:r>
        <w:rPr>
          <w:sz w:val="16"/>
        </w:rPr>
        <w:t>reached</w:t>
      </w:r>
      <w:r>
        <w:rPr>
          <w:spacing w:val="-9"/>
          <w:sz w:val="16"/>
        </w:rPr>
        <w:t xml:space="preserve"> </w:t>
      </w:r>
      <w:r>
        <w:rPr>
          <w:sz w:val="16"/>
        </w:rPr>
        <w:t>&gt;</w:t>
      </w:r>
      <w:r>
        <w:rPr>
          <w:spacing w:val="-8"/>
          <w:sz w:val="16"/>
        </w:rPr>
        <w:t xml:space="preserve"> </w:t>
      </w:r>
      <w:r>
        <w:rPr>
          <w:sz w:val="16"/>
        </w:rPr>
        <w:t>10.8</w:t>
      </w:r>
      <w:r>
        <w:rPr>
          <w:spacing w:val="-9"/>
          <w:sz w:val="16"/>
        </w:rPr>
        <w:t xml:space="preserve"> </w:t>
      </w:r>
      <w:r>
        <w:rPr>
          <w:sz w:val="16"/>
        </w:rPr>
        <w:t>mg/dL</w:t>
      </w:r>
      <w:r>
        <w:rPr>
          <w:spacing w:val="-9"/>
          <w:sz w:val="16"/>
        </w:rPr>
        <w:t xml:space="preserve"> </w:t>
      </w:r>
      <w:r>
        <w:rPr>
          <w:sz w:val="16"/>
        </w:rPr>
        <w:t>after</w:t>
      </w:r>
      <w:r>
        <w:rPr>
          <w:spacing w:val="-11"/>
          <w:sz w:val="16"/>
        </w:rPr>
        <w:t xml:space="preserve"> </w:t>
      </w:r>
      <w:r>
        <w:rPr>
          <w:sz w:val="16"/>
        </w:rPr>
        <w:t>the</w:t>
      </w:r>
      <w:r>
        <w:rPr>
          <w:spacing w:val="-9"/>
          <w:sz w:val="16"/>
        </w:rPr>
        <w:t xml:space="preserve"> </w:t>
      </w:r>
      <w:r>
        <w:rPr>
          <w:sz w:val="16"/>
        </w:rPr>
        <w:t>first</w:t>
      </w:r>
      <w:r>
        <w:rPr>
          <w:spacing w:val="-6"/>
          <w:sz w:val="16"/>
        </w:rPr>
        <w:t xml:space="preserve"> </w:t>
      </w:r>
      <w:r>
        <w:rPr>
          <w:sz w:val="16"/>
        </w:rPr>
        <w:t>complete</w:t>
      </w:r>
      <w:r>
        <w:rPr>
          <w:spacing w:val="-9"/>
          <w:sz w:val="16"/>
        </w:rPr>
        <w:t xml:space="preserve"> </w:t>
      </w:r>
      <w:r>
        <w:rPr>
          <w:spacing w:val="-2"/>
          <w:sz w:val="16"/>
        </w:rPr>
        <w:t>response</w:t>
      </w:r>
    </w:p>
    <w:p w14:paraId="2804B1F8" w14:textId="77777777" w:rsidR="00AE135B" w:rsidRDefault="00EE5424">
      <w:pPr>
        <w:spacing w:line="220" w:lineRule="exact"/>
        <w:ind w:left="307"/>
        <w:rPr>
          <w:sz w:val="16"/>
        </w:rPr>
      </w:pPr>
      <w:r>
        <w:rPr>
          <w:position w:val="6"/>
          <w:sz w:val="16"/>
        </w:rPr>
        <w:t>g</w:t>
      </w:r>
      <w:r>
        <w:rPr>
          <w:spacing w:val="5"/>
          <w:position w:val="6"/>
          <w:sz w:val="16"/>
        </w:rPr>
        <w:t xml:space="preserve"> </w:t>
      </w:r>
      <w:r>
        <w:rPr>
          <w:sz w:val="16"/>
        </w:rPr>
        <w:t>Kaplan-</w:t>
      </w:r>
      <w:r>
        <w:rPr>
          <w:spacing w:val="-2"/>
          <w:sz w:val="16"/>
        </w:rPr>
        <w:t>Meier</w:t>
      </w:r>
    </w:p>
    <w:p w14:paraId="19A6B265" w14:textId="3AFA3F27" w:rsidR="00401300" w:rsidRPr="00EE5424" w:rsidRDefault="00EE5424" w:rsidP="00EE5424">
      <w:pPr>
        <w:spacing w:line="240" w:lineRule="exact"/>
        <w:ind w:left="307"/>
        <w:rPr>
          <w:spacing w:val="-2"/>
          <w:sz w:val="16"/>
        </w:rPr>
      </w:pPr>
      <w:r>
        <w:rPr>
          <w:position w:val="6"/>
          <w:sz w:val="16"/>
        </w:rPr>
        <w:t>h</w:t>
      </w:r>
      <w:r>
        <w:rPr>
          <w:spacing w:val="9"/>
          <w:position w:val="6"/>
          <w:sz w:val="16"/>
        </w:rPr>
        <w:t xml:space="preserve"> </w:t>
      </w:r>
      <w:r>
        <w:rPr>
          <w:sz w:val="16"/>
        </w:rPr>
        <w:t>Not</w:t>
      </w:r>
      <w:r>
        <w:rPr>
          <w:spacing w:val="-4"/>
          <w:sz w:val="16"/>
        </w:rPr>
        <w:t xml:space="preserve"> </w:t>
      </w:r>
      <w:r>
        <w:rPr>
          <w:spacing w:val="-2"/>
          <w:sz w:val="16"/>
        </w:rPr>
        <w:t>estimable</w:t>
      </w:r>
    </w:p>
    <w:p w14:paraId="1ABC769E" w14:textId="77777777" w:rsidR="00AE135B" w:rsidRDefault="00EE5424">
      <w:pPr>
        <w:pStyle w:val="Heading3"/>
        <w:spacing w:before="39"/>
      </w:pPr>
      <w:r>
        <w:rPr>
          <w:spacing w:val="-2"/>
        </w:rPr>
        <w:lastRenderedPageBreak/>
        <w:t>Symptom</w:t>
      </w:r>
      <w:r>
        <w:rPr>
          <w:spacing w:val="-13"/>
        </w:rPr>
        <w:t xml:space="preserve"> </w:t>
      </w:r>
      <w:r>
        <w:rPr>
          <w:spacing w:val="-2"/>
        </w:rPr>
        <w:t>improvement</w:t>
      </w:r>
      <w:r>
        <w:rPr>
          <w:spacing w:val="-10"/>
        </w:rPr>
        <w:t xml:space="preserve"> </w:t>
      </w:r>
      <w:r>
        <w:rPr>
          <w:spacing w:val="-2"/>
        </w:rPr>
        <w:t>in</w:t>
      </w:r>
      <w:r>
        <w:rPr>
          <w:spacing w:val="-11"/>
        </w:rPr>
        <w:t xml:space="preserve"> </w:t>
      </w:r>
      <w:r>
        <w:rPr>
          <w:spacing w:val="-2"/>
        </w:rPr>
        <w:t>patients</w:t>
      </w:r>
      <w:r>
        <w:rPr>
          <w:spacing w:val="-7"/>
        </w:rPr>
        <w:t xml:space="preserve"> </w:t>
      </w:r>
      <w:r>
        <w:rPr>
          <w:spacing w:val="-2"/>
        </w:rPr>
        <w:t>with</w:t>
      </w:r>
      <w:r>
        <w:rPr>
          <w:spacing w:val="-10"/>
        </w:rPr>
        <w:t xml:space="preserve"> </w:t>
      </w:r>
      <w:r>
        <w:rPr>
          <w:spacing w:val="-2"/>
        </w:rPr>
        <w:t>refractory</w:t>
      </w:r>
      <w:r>
        <w:rPr>
          <w:spacing w:val="-6"/>
        </w:rPr>
        <w:t xml:space="preserve"> </w:t>
      </w:r>
      <w:proofErr w:type="spellStart"/>
      <w:r>
        <w:rPr>
          <w:spacing w:val="-2"/>
        </w:rPr>
        <w:t>hypercalcaemia</w:t>
      </w:r>
      <w:proofErr w:type="spellEnd"/>
      <w:r>
        <w:rPr>
          <w:spacing w:val="-8"/>
        </w:rPr>
        <w:t xml:space="preserve"> </w:t>
      </w:r>
      <w:r>
        <w:rPr>
          <w:spacing w:val="-2"/>
        </w:rPr>
        <w:t>of</w:t>
      </w:r>
      <w:r>
        <w:rPr>
          <w:spacing w:val="-6"/>
        </w:rPr>
        <w:t xml:space="preserve"> </w:t>
      </w:r>
      <w:r>
        <w:rPr>
          <w:spacing w:val="-2"/>
        </w:rPr>
        <w:t>malignancy</w:t>
      </w:r>
    </w:p>
    <w:p w14:paraId="4B1F4C49" w14:textId="77777777" w:rsidR="00AE135B" w:rsidRDefault="00EE5424">
      <w:pPr>
        <w:pStyle w:val="BodyText"/>
        <w:spacing w:before="247" w:line="360" w:lineRule="auto"/>
        <w:ind w:right="267"/>
        <w:jc w:val="both"/>
      </w:pPr>
      <w:r>
        <w:t xml:space="preserve">In Study 20070315, data regarding </w:t>
      </w:r>
      <w:proofErr w:type="spellStart"/>
      <w:r>
        <w:t>hypercalcaemia</w:t>
      </w:r>
      <w:proofErr w:type="spellEnd"/>
      <w:r>
        <w:t xml:space="preserve"> of malignancy symptoms were collected on a dedicated case report form. In the study population, a total of 48 </w:t>
      </w:r>
      <w:proofErr w:type="spellStart"/>
      <w:r>
        <w:t>hypercalcaemia</w:t>
      </w:r>
      <w:proofErr w:type="spellEnd"/>
      <w:r>
        <w:t xml:space="preserve"> of malignancy symptoms were reported in 19 patients at baseline. Each symptom status was based on the best status by study day 10.</w:t>
      </w:r>
    </w:p>
    <w:p w14:paraId="0ABE71E7" w14:textId="77777777" w:rsidR="00AE135B" w:rsidRDefault="00EE5424">
      <w:pPr>
        <w:pStyle w:val="ListParagraph"/>
        <w:numPr>
          <w:ilvl w:val="0"/>
          <w:numId w:val="1"/>
        </w:numPr>
        <w:tabs>
          <w:tab w:val="left" w:pos="1027"/>
        </w:tabs>
        <w:spacing w:before="119"/>
      </w:pPr>
      <w:r>
        <w:rPr>
          <w:spacing w:val="-2"/>
        </w:rPr>
        <w:t>8</w:t>
      </w:r>
      <w:r>
        <w:rPr>
          <w:spacing w:val="-7"/>
        </w:rPr>
        <w:t xml:space="preserve"> </w:t>
      </w:r>
      <w:r>
        <w:rPr>
          <w:spacing w:val="-2"/>
        </w:rPr>
        <w:t>(42</w:t>
      </w:r>
      <w:r>
        <w:t xml:space="preserve"> </w:t>
      </w:r>
      <w:r>
        <w:rPr>
          <w:spacing w:val="-2"/>
        </w:rPr>
        <w:t>%)</w:t>
      </w:r>
      <w:r>
        <w:rPr>
          <w:spacing w:val="-4"/>
        </w:rPr>
        <w:t xml:space="preserve"> </w:t>
      </w:r>
      <w:r>
        <w:rPr>
          <w:spacing w:val="-2"/>
        </w:rPr>
        <w:t>patients</w:t>
      </w:r>
      <w:r>
        <w:rPr>
          <w:spacing w:val="-6"/>
        </w:rPr>
        <w:t xml:space="preserve"> </w:t>
      </w:r>
      <w:r>
        <w:rPr>
          <w:spacing w:val="-2"/>
        </w:rPr>
        <w:t>reported</w:t>
      </w:r>
      <w:r>
        <w:rPr>
          <w:spacing w:val="-4"/>
        </w:rPr>
        <w:t xml:space="preserve"> </w:t>
      </w:r>
      <w:r>
        <w:rPr>
          <w:spacing w:val="-2"/>
        </w:rPr>
        <w:t>resolution</w:t>
      </w:r>
      <w:r>
        <w:rPr>
          <w:spacing w:val="-10"/>
        </w:rPr>
        <w:t xml:space="preserve"> </w:t>
      </w:r>
      <w:r>
        <w:rPr>
          <w:spacing w:val="-2"/>
        </w:rPr>
        <w:t>of</w:t>
      </w:r>
      <w:r>
        <w:rPr>
          <w:spacing w:val="-1"/>
        </w:rPr>
        <w:t xml:space="preserve"> </w:t>
      </w:r>
      <w:r>
        <w:rPr>
          <w:spacing w:val="-2"/>
        </w:rPr>
        <w:t>at</w:t>
      </w:r>
      <w:r>
        <w:rPr>
          <w:spacing w:val="-4"/>
        </w:rPr>
        <w:t xml:space="preserve"> </w:t>
      </w:r>
      <w:r>
        <w:rPr>
          <w:spacing w:val="-2"/>
        </w:rPr>
        <w:t>least</w:t>
      </w:r>
      <w:r>
        <w:rPr>
          <w:spacing w:val="-4"/>
        </w:rPr>
        <w:t xml:space="preserve"> </w:t>
      </w:r>
      <w:r>
        <w:rPr>
          <w:spacing w:val="-2"/>
        </w:rPr>
        <w:t>1</w:t>
      </w:r>
      <w:r>
        <w:rPr>
          <w:spacing w:val="-6"/>
        </w:rPr>
        <w:t xml:space="preserve"> </w:t>
      </w:r>
      <w:r>
        <w:rPr>
          <w:spacing w:val="-2"/>
        </w:rPr>
        <w:t>symptom</w:t>
      </w:r>
    </w:p>
    <w:p w14:paraId="4724552D" w14:textId="77777777" w:rsidR="00AE135B" w:rsidRDefault="00EE5424">
      <w:pPr>
        <w:pStyle w:val="ListParagraph"/>
        <w:numPr>
          <w:ilvl w:val="0"/>
          <w:numId w:val="1"/>
        </w:numPr>
        <w:tabs>
          <w:tab w:val="left" w:pos="1027"/>
        </w:tabs>
        <w:spacing w:before="121"/>
      </w:pPr>
      <w:r>
        <w:rPr>
          <w:spacing w:val="-2"/>
        </w:rPr>
        <w:t>4</w:t>
      </w:r>
      <w:r>
        <w:rPr>
          <w:spacing w:val="-6"/>
        </w:rPr>
        <w:t xml:space="preserve"> </w:t>
      </w:r>
      <w:r>
        <w:rPr>
          <w:spacing w:val="-2"/>
        </w:rPr>
        <w:t>(21</w:t>
      </w:r>
      <w:r>
        <w:rPr>
          <w:spacing w:val="1"/>
        </w:rPr>
        <w:t xml:space="preserve"> </w:t>
      </w:r>
      <w:r>
        <w:rPr>
          <w:spacing w:val="-2"/>
        </w:rPr>
        <w:t>%)</w:t>
      </w:r>
      <w:r>
        <w:rPr>
          <w:spacing w:val="-5"/>
        </w:rPr>
        <w:t xml:space="preserve"> </w:t>
      </w:r>
      <w:r>
        <w:rPr>
          <w:spacing w:val="-2"/>
        </w:rPr>
        <w:t>patients</w:t>
      </w:r>
      <w:r>
        <w:rPr>
          <w:spacing w:val="-5"/>
        </w:rPr>
        <w:t xml:space="preserve"> </w:t>
      </w:r>
      <w:r>
        <w:rPr>
          <w:spacing w:val="-2"/>
        </w:rPr>
        <w:t>reported</w:t>
      </w:r>
      <w:r>
        <w:rPr>
          <w:spacing w:val="-4"/>
        </w:rPr>
        <w:t xml:space="preserve"> </w:t>
      </w:r>
      <w:r>
        <w:rPr>
          <w:spacing w:val="-2"/>
        </w:rPr>
        <w:t>resolution</w:t>
      </w:r>
      <w:r>
        <w:rPr>
          <w:spacing w:val="-6"/>
        </w:rPr>
        <w:t xml:space="preserve"> </w:t>
      </w:r>
      <w:r>
        <w:rPr>
          <w:spacing w:val="-2"/>
        </w:rPr>
        <w:t>of</w:t>
      </w:r>
      <w:r>
        <w:rPr>
          <w:spacing w:val="-4"/>
        </w:rPr>
        <w:t xml:space="preserve"> </w:t>
      </w:r>
      <w:r>
        <w:rPr>
          <w:spacing w:val="-2"/>
        </w:rPr>
        <w:t>all</w:t>
      </w:r>
      <w:r>
        <w:rPr>
          <w:spacing w:val="-3"/>
        </w:rPr>
        <w:t xml:space="preserve"> </w:t>
      </w:r>
      <w:r>
        <w:rPr>
          <w:spacing w:val="-2"/>
        </w:rPr>
        <w:t>symptoms</w:t>
      </w:r>
    </w:p>
    <w:p w14:paraId="57E48A45" w14:textId="77777777" w:rsidR="00AE135B" w:rsidRDefault="00EE5424">
      <w:pPr>
        <w:pStyle w:val="ListParagraph"/>
        <w:numPr>
          <w:ilvl w:val="0"/>
          <w:numId w:val="1"/>
        </w:numPr>
        <w:tabs>
          <w:tab w:val="left" w:pos="1027"/>
        </w:tabs>
        <w:spacing w:before="118"/>
      </w:pPr>
      <w:r>
        <w:t>15</w:t>
      </w:r>
      <w:r>
        <w:rPr>
          <w:spacing w:val="-13"/>
        </w:rPr>
        <w:t xml:space="preserve"> </w:t>
      </w:r>
      <w:r>
        <w:t>(31</w:t>
      </w:r>
      <w:r>
        <w:rPr>
          <w:spacing w:val="-12"/>
        </w:rPr>
        <w:t xml:space="preserve"> </w:t>
      </w:r>
      <w:r>
        <w:t>%)</w:t>
      </w:r>
      <w:r>
        <w:rPr>
          <w:spacing w:val="-13"/>
        </w:rPr>
        <w:t xml:space="preserve"> </w:t>
      </w:r>
      <w:r>
        <w:t>of</w:t>
      </w:r>
      <w:r>
        <w:rPr>
          <w:spacing w:val="-14"/>
        </w:rPr>
        <w:t xml:space="preserve"> </w:t>
      </w:r>
      <w:r>
        <w:t>the</w:t>
      </w:r>
      <w:r>
        <w:rPr>
          <w:spacing w:val="-12"/>
        </w:rPr>
        <w:t xml:space="preserve"> </w:t>
      </w:r>
      <w:r>
        <w:t>symptoms</w:t>
      </w:r>
      <w:r>
        <w:rPr>
          <w:spacing w:val="-13"/>
        </w:rPr>
        <w:t xml:space="preserve"> </w:t>
      </w:r>
      <w:r>
        <w:t>present</w:t>
      </w:r>
      <w:r>
        <w:rPr>
          <w:spacing w:val="-12"/>
        </w:rPr>
        <w:t xml:space="preserve"> </w:t>
      </w:r>
      <w:r>
        <w:t>at</w:t>
      </w:r>
      <w:r>
        <w:rPr>
          <w:spacing w:val="-13"/>
        </w:rPr>
        <w:t xml:space="preserve"> </w:t>
      </w:r>
      <w:r>
        <w:t>baseline</w:t>
      </w:r>
      <w:r>
        <w:rPr>
          <w:spacing w:val="-10"/>
        </w:rPr>
        <w:t xml:space="preserve"> </w:t>
      </w:r>
      <w:r>
        <w:rPr>
          <w:spacing w:val="-2"/>
        </w:rPr>
        <w:t>resolved</w:t>
      </w:r>
    </w:p>
    <w:p w14:paraId="75995A9F" w14:textId="77777777" w:rsidR="00AE135B" w:rsidRDefault="00EE5424">
      <w:pPr>
        <w:pStyle w:val="ListParagraph"/>
        <w:numPr>
          <w:ilvl w:val="0"/>
          <w:numId w:val="1"/>
        </w:numPr>
        <w:tabs>
          <w:tab w:val="left" w:pos="1027"/>
        </w:tabs>
        <w:spacing w:before="121"/>
      </w:pPr>
      <w:r>
        <w:t>5</w:t>
      </w:r>
      <w:r>
        <w:rPr>
          <w:spacing w:val="-11"/>
        </w:rPr>
        <w:t xml:space="preserve"> </w:t>
      </w:r>
      <w:r>
        <w:t>(10</w:t>
      </w:r>
      <w:r>
        <w:rPr>
          <w:spacing w:val="-8"/>
        </w:rPr>
        <w:t xml:space="preserve"> </w:t>
      </w:r>
      <w:r>
        <w:t>%)</w:t>
      </w:r>
      <w:r>
        <w:rPr>
          <w:spacing w:val="-10"/>
        </w:rPr>
        <w:t xml:space="preserve"> </w:t>
      </w:r>
      <w:r>
        <w:t>of</w:t>
      </w:r>
      <w:r>
        <w:rPr>
          <w:spacing w:val="-11"/>
        </w:rPr>
        <w:t xml:space="preserve"> </w:t>
      </w:r>
      <w:r>
        <w:t>the</w:t>
      </w:r>
      <w:r>
        <w:rPr>
          <w:spacing w:val="-11"/>
        </w:rPr>
        <w:t xml:space="preserve"> </w:t>
      </w:r>
      <w:r>
        <w:t>symptoms</w:t>
      </w:r>
      <w:r>
        <w:rPr>
          <w:spacing w:val="-7"/>
        </w:rPr>
        <w:t xml:space="preserve"> </w:t>
      </w:r>
      <w:r>
        <w:rPr>
          <w:spacing w:val="-2"/>
        </w:rPr>
        <w:t>improved</w:t>
      </w:r>
    </w:p>
    <w:p w14:paraId="173672A3" w14:textId="77777777" w:rsidR="00AE135B" w:rsidRDefault="00EE5424">
      <w:pPr>
        <w:pStyle w:val="ListParagraph"/>
        <w:numPr>
          <w:ilvl w:val="0"/>
          <w:numId w:val="1"/>
        </w:numPr>
        <w:tabs>
          <w:tab w:val="left" w:pos="1027"/>
        </w:tabs>
        <w:spacing w:before="121"/>
      </w:pPr>
      <w:r>
        <w:t>2</w:t>
      </w:r>
      <w:r>
        <w:rPr>
          <w:spacing w:val="-12"/>
        </w:rPr>
        <w:t xml:space="preserve"> </w:t>
      </w:r>
      <w:r>
        <w:t>(4</w:t>
      </w:r>
      <w:r>
        <w:rPr>
          <w:spacing w:val="-8"/>
        </w:rPr>
        <w:t xml:space="preserve"> </w:t>
      </w:r>
      <w:r>
        <w:t>%)</w:t>
      </w:r>
      <w:r>
        <w:rPr>
          <w:spacing w:val="-12"/>
        </w:rPr>
        <w:t xml:space="preserve"> </w:t>
      </w:r>
      <w:r>
        <w:t>of</w:t>
      </w:r>
      <w:r>
        <w:rPr>
          <w:spacing w:val="-9"/>
        </w:rPr>
        <w:t xml:space="preserve"> </w:t>
      </w:r>
      <w:r>
        <w:t>the</w:t>
      </w:r>
      <w:r>
        <w:rPr>
          <w:spacing w:val="-11"/>
        </w:rPr>
        <w:t xml:space="preserve"> </w:t>
      </w:r>
      <w:r>
        <w:t>symptoms</w:t>
      </w:r>
      <w:r>
        <w:rPr>
          <w:spacing w:val="-10"/>
        </w:rPr>
        <w:t xml:space="preserve"> </w:t>
      </w:r>
      <w:r>
        <w:t>got</w:t>
      </w:r>
      <w:r>
        <w:rPr>
          <w:spacing w:val="-8"/>
        </w:rPr>
        <w:t xml:space="preserve"> </w:t>
      </w:r>
      <w:r>
        <w:rPr>
          <w:spacing w:val="-4"/>
        </w:rPr>
        <w:t>worse</w:t>
      </w:r>
    </w:p>
    <w:p w14:paraId="1ED887D8" w14:textId="77777777" w:rsidR="00AE135B" w:rsidRDefault="00EE5424">
      <w:pPr>
        <w:pStyle w:val="ListParagraph"/>
        <w:numPr>
          <w:ilvl w:val="0"/>
          <w:numId w:val="1"/>
        </w:numPr>
        <w:tabs>
          <w:tab w:val="left" w:pos="1027"/>
        </w:tabs>
        <w:spacing w:before="120"/>
      </w:pPr>
      <w:r>
        <w:t>26</w:t>
      </w:r>
      <w:r>
        <w:rPr>
          <w:spacing w:val="-13"/>
        </w:rPr>
        <w:t xml:space="preserve"> </w:t>
      </w:r>
      <w:r>
        <w:t>(54</w:t>
      </w:r>
      <w:r>
        <w:rPr>
          <w:spacing w:val="-12"/>
        </w:rPr>
        <w:t xml:space="preserve"> </w:t>
      </w:r>
      <w:r>
        <w:t>%)</w:t>
      </w:r>
      <w:r>
        <w:rPr>
          <w:spacing w:val="-13"/>
        </w:rPr>
        <w:t xml:space="preserve"> </w:t>
      </w:r>
      <w:r>
        <w:t>of</w:t>
      </w:r>
      <w:r>
        <w:rPr>
          <w:spacing w:val="-12"/>
        </w:rPr>
        <w:t xml:space="preserve"> </w:t>
      </w:r>
      <w:r>
        <w:t>the</w:t>
      </w:r>
      <w:r>
        <w:rPr>
          <w:spacing w:val="-14"/>
        </w:rPr>
        <w:t xml:space="preserve"> </w:t>
      </w:r>
      <w:r>
        <w:t>symptoms</w:t>
      </w:r>
      <w:r>
        <w:rPr>
          <w:spacing w:val="-11"/>
        </w:rPr>
        <w:t xml:space="preserve"> </w:t>
      </w:r>
      <w:r>
        <w:t>remained</w:t>
      </w:r>
      <w:r>
        <w:rPr>
          <w:spacing w:val="-11"/>
        </w:rPr>
        <w:t xml:space="preserve"> </w:t>
      </w:r>
      <w:r>
        <w:rPr>
          <w:spacing w:val="-2"/>
        </w:rPr>
        <w:t>stable</w:t>
      </w:r>
    </w:p>
    <w:p w14:paraId="73E03EE2" w14:textId="77777777" w:rsidR="00AE135B" w:rsidRDefault="00AE135B">
      <w:pPr>
        <w:pStyle w:val="BodyText"/>
        <w:spacing w:before="92"/>
        <w:ind w:left="0"/>
      </w:pPr>
    </w:p>
    <w:p w14:paraId="7CD966FF" w14:textId="77777777" w:rsidR="00AE135B" w:rsidRDefault="00EE5424">
      <w:pPr>
        <w:pStyle w:val="BodyText"/>
        <w:spacing w:line="360" w:lineRule="auto"/>
        <w:ind w:right="186"/>
        <w:jc w:val="both"/>
      </w:pPr>
      <w:r>
        <w:t xml:space="preserve">Nine patients reported a total of 12 </w:t>
      </w:r>
      <w:proofErr w:type="spellStart"/>
      <w:r>
        <w:t>hypercalcaemia</w:t>
      </w:r>
      <w:proofErr w:type="spellEnd"/>
      <w:r>
        <w:t xml:space="preserve"> of malignancy symptoms of cognitive impairment at baseline. Each symptom status was based on the best status by study day 10.</w:t>
      </w:r>
    </w:p>
    <w:p w14:paraId="3B51516D" w14:textId="77777777" w:rsidR="00AE135B" w:rsidRDefault="00EE5424">
      <w:pPr>
        <w:pStyle w:val="ListParagraph"/>
        <w:numPr>
          <w:ilvl w:val="0"/>
          <w:numId w:val="1"/>
        </w:numPr>
        <w:tabs>
          <w:tab w:val="left" w:pos="1027"/>
        </w:tabs>
        <w:spacing w:before="116"/>
      </w:pPr>
      <w:r>
        <w:rPr>
          <w:spacing w:val="-2"/>
        </w:rPr>
        <w:t>5</w:t>
      </w:r>
      <w:r>
        <w:rPr>
          <w:spacing w:val="-8"/>
        </w:rPr>
        <w:t xml:space="preserve"> </w:t>
      </w:r>
      <w:r>
        <w:rPr>
          <w:spacing w:val="-2"/>
        </w:rPr>
        <w:t>(56</w:t>
      </w:r>
      <w:r>
        <w:rPr>
          <w:spacing w:val="1"/>
        </w:rPr>
        <w:t xml:space="preserve"> </w:t>
      </w:r>
      <w:r>
        <w:rPr>
          <w:spacing w:val="-2"/>
        </w:rPr>
        <w:t>%)</w:t>
      </w:r>
      <w:r>
        <w:rPr>
          <w:spacing w:val="-5"/>
        </w:rPr>
        <w:t xml:space="preserve"> </w:t>
      </w:r>
      <w:r>
        <w:rPr>
          <w:spacing w:val="-2"/>
        </w:rPr>
        <w:t>of</w:t>
      </w:r>
      <w:r>
        <w:rPr>
          <w:spacing w:val="-9"/>
        </w:rPr>
        <w:t xml:space="preserve"> </w:t>
      </w:r>
      <w:r>
        <w:rPr>
          <w:spacing w:val="-2"/>
        </w:rPr>
        <w:t>patients reported</w:t>
      </w:r>
      <w:r>
        <w:rPr>
          <w:spacing w:val="-7"/>
        </w:rPr>
        <w:t xml:space="preserve"> </w:t>
      </w:r>
      <w:r>
        <w:rPr>
          <w:spacing w:val="-2"/>
        </w:rPr>
        <w:t>resolution</w:t>
      </w:r>
      <w:r>
        <w:rPr>
          <w:spacing w:val="-6"/>
        </w:rPr>
        <w:t xml:space="preserve"> </w:t>
      </w:r>
      <w:r>
        <w:rPr>
          <w:spacing w:val="-2"/>
        </w:rPr>
        <w:t>of</w:t>
      </w:r>
      <w:r>
        <w:rPr>
          <w:spacing w:val="-3"/>
        </w:rPr>
        <w:t xml:space="preserve"> </w:t>
      </w:r>
      <w:r>
        <w:rPr>
          <w:spacing w:val="-2"/>
        </w:rPr>
        <w:t>at</w:t>
      </w:r>
      <w:r>
        <w:rPr>
          <w:spacing w:val="-3"/>
        </w:rPr>
        <w:t xml:space="preserve"> </w:t>
      </w:r>
      <w:r>
        <w:rPr>
          <w:spacing w:val="-2"/>
        </w:rPr>
        <w:t>least</w:t>
      </w:r>
      <w:r>
        <w:rPr>
          <w:spacing w:val="-5"/>
        </w:rPr>
        <w:t xml:space="preserve"> </w:t>
      </w:r>
      <w:r>
        <w:rPr>
          <w:spacing w:val="-2"/>
        </w:rPr>
        <w:t>1</w:t>
      </w:r>
      <w:r>
        <w:rPr>
          <w:spacing w:val="-5"/>
        </w:rPr>
        <w:t xml:space="preserve"> </w:t>
      </w:r>
      <w:r>
        <w:rPr>
          <w:spacing w:val="-2"/>
        </w:rPr>
        <w:t>symptom</w:t>
      </w:r>
      <w:r>
        <w:rPr>
          <w:spacing w:val="-4"/>
        </w:rPr>
        <w:t xml:space="preserve"> </w:t>
      </w:r>
      <w:r>
        <w:rPr>
          <w:spacing w:val="-2"/>
        </w:rPr>
        <w:t>of</w:t>
      </w:r>
      <w:r>
        <w:rPr>
          <w:spacing w:val="-4"/>
        </w:rPr>
        <w:t xml:space="preserve"> </w:t>
      </w:r>
      <w:r>
        <w:rPr>
          <w:spacing w:val="-2"/>
        </w:rPr>
        <w:t>cognitive</w:t>
      </w:r>
      <w:r>
        <w:rPr>
          <w:spacing w:val="-1"/>
        </w:rPr>
        <w:t xml:space="preserve"> </w:t>
      </w:r>
      <w:r>
        <w:rPr>
          <w:spacing w:val="-2"/>
        </w:rPr>
        <w:t>impairment</w:t>
      </w:r>
    </w:p>
    <w:p w14:paraId="39ADA820" w14:textId="77777777" w:rsidR="00AE135B" w:rsidRDefault="00EE5424">
      <w:pPr>
        <w:pStyle w:val="ListParagraph"/>
        <w:numPr>
          <w:ilvl w:val="0"/>
          <w:numId w:val="1"/>
        </w:numPr>
        <w:tabs>
          <w:tab w:val="left" w:pos="1027"/>
        </w:tabs>
        <w:spacing w:before="123"/>
      </w:pPr>
      <w:r>
        <w:rPr>
          <w:spacing w:val="-2"/>
        </w:rPr>
        <w:t>4</w:t>
      </w:r>
      <w:r>
        <w:rPr>
          <w:spacing w:val="-7"/>
        </w:rPr>
        <w:t xml:space="preserve"> </w:t>
      </w:r>
      <w:r>
        <w:rPr>
          <w:spacing w:val="-2"/>
        </w:rPr>
        <w:t>(44</w:t>
      </w:r>
      <w:r>
        <w:rPr>
          <w:spacing w:val="2"/>
        </w:rPr>
        <w:t xml:space="preserve"> </w:t>
      </w:r>
      <w:r>
        <w:rPr>
          <w:spacing w:val="-2"/>
        </w:rPr>
        <w:t>%)</w:t>
      </w:r>
      <w:r>
        <w:rPr>
          <w:spacing w:val="-5"/>
        </w:rPr>
        <w:t xml:space="preserve"> </w:t>
      </w:r>
      <w:r>
        <w:rPr>
          <w:spacing w:val="-2"/>
        </w:rPr>
        <w:t>of</w:t>
      </w:r>
      <w:r>
        <w:rPr>
          <w:spacing w:val="-8"/>
        </w:rPr>
        <w:t xml:space="preserve"> </w:t>
      </w:r>
      <w:r>
        <w:rPr>
          <w:spacing w:val="-2"/>
        </w:rPr>
        <w:t>patients reported</w:t>
      </w:r>
      <w:r>
        <w:rPr>
          <w:spacing w:val="-5"/>
        </w:rPr>
        <w:t xml:space="preserve"> </w:t>
      </w:r>
      <w:r>
        <w:rPr>
          <w:spacing w:val="-2"/>
        </w:rPr>
        <w:t>resolution</w:t>
      </w:r>
      <w:r>
        <w:rPr>
          <w:spacing w:val="-6"/>
        </w:rPr>
        <w:t xml:space="preserve"> </w:t>
      </w:r>
      <w:r>
        <w:rPr>
          <w:spacing w:val="-2"/>
        </w:rPr>
        <w:t>of all</w:t>
      </w:r>
      <w:r>
        <w:rPr>
          <w:spacing w:val="-7"/>
        </w:rPr>
        <w:t xml:space="preserve"> </w:t>
      </w:r>
      <w:r>
        <w:rPr>
          <w:spacing w:val="-2"/>
        </w:rPr>
        <w:t>symptoms of</w:t>
      </w:r>
      <w:r>
        <w:rPr>
          <w:spacing w:val="-5"/>
        </w:rPr>
        <w:t xml:space="preserve"> </w:t>
      </w:r>
      <w:r>
        <w:rPr>
          <w:spacing w:val="-2"/>
        </w:rPr>
        <w:t>cognitive</w:t>
      </w:r>
      <w:r>
        <w:rPr>
          <w:spacing w:val="-4"/>
        </w:rPr>
        <w:t xml:space="preserve"> </w:t>
      </w:r>
      <w:r>
        <w:rPr>
          <w:spacing w:val="-2"/>
        </w:rPr>
        <w:t>impairment</w:t>
      </w:r>
    </w:p>
    <w:p w14:paraId="5617B22F" w14:textId="77777777" w:rsidR="00AE135B" w:rsidRDefault="00EE5424">
      <w:pPr>
        <w:pStyle w:val="ListParagraph"/>
        <w:numPr>
          <w:ilvl w:val="0"/>
          <w:numId w:val="1"/>
        </w:numPr>
        <w:tabs>
          <w:tab w:val="left" w:pos="1027"/>
        </w:tabs>
        <w:spacing w:before="119"/>
      </w:pPr>
      <w:r>
        <w:rPr>
          <w:spacing w:val="-2"/>
        </w:rPr>
        <w:t>7</w:t>
      </w:r>
      <w:r>
        <w:rPr>
          <w:spacing w:val="-7"/>
        </w:rPr>
        <w:t xml:space="preserve"> </w:t>
      </w:r>
      <w:r>
        <w:rPr>
          <w:spacing w:val="-2"/>
        </w:rPr>
        <w:t>(58</w:t>
      </w:r>
      <w:r>
        <w:rPr>
          <w:spacing w:val="1"/>
        </w:rPr>
        <w:t xml:space="preserve"> </w:t>
      </w:r>
      <w:r>
        <w:rPr>
          <w:spacing w:val="-2"/>
        </w:rPr>
        <w:t>%)</w:t>
      </w:r>
      <w:r>
        <w:rPr>
          <w:spacing w:val="-4"/>
        </w:rPr>
        <w:t xml:space="preserve"> </w:t>
      </w:r>
      <w:r>
        <w:rPr>
          <w:spacing w:val="-2"/>
        </w:rPr>
        <w:t>of</w:t>
      </w:r>
      <w:r>
        <w:rPr>
          <w:spacing w:val="-8"/>
        </w:rPr>
        <w:t xml:space="preserve"> </w:t>
      </w:r>
      <w:r>
        <w:rPr>
          <w:spacing w:val="-2"/>
        </w:rPr>
        <w:t>the</w:t>
      </w:r>
      <w:r>
        <w:rPr>
          <w:spacing w:val="-6"/>
        </w:rPr>
        <w:t xml:space="preserve"> </w:t>
      </w:r>
      <w:r>
        <w:rPr>
          <w:spacing w:val="-2"/>
        </w:rPr>
        <w:t>symptoms</w:t>
      </w:r>
      <w:r>
        <w:rPr>
          <w:spacing w:val="-4"/>
        </w:rPr>
        <w:t xml:space="preserve"> </w:t>
      </w:r>
      <w:r>
        <w:rPr>
          <w:spacing w:val="-2"/>
        </w:rPr>
        <w:t>of</w:t>
      </w:r>
      <w:r>
        <w:rPr>
          <w:spacing w:val="-8"/>
        </w:rPr>
        <w:t xml:space="preserve"> </w:t>
      </w:r>
      <w:r>
        <w:rPr>
          <w:spacing w:val="-2"/>
        </w:rPr>
        <w:t>cognitive</w:t>
      </w:r>
      <w:r>
        <w:rPr>
          <w:spacing w:val="-5"/>
        </w:rPr>
        <w:t xml:space="preserve"> </w:t>
      </w:r>
      <w:r>
        <w:rPr>
          <w:spacing w:val="-2"/>
        </w:rPr>
        <w:t>impairment</w:t>
      </w:r>
      <w:r>
        <w:rPr>
          <w:spacing w:val="-4"/>
        </w:rPr>
        <w:t xml:space="preserve"> </w:t>
      </w:r>
      <w:r>
        <w:rPr>
          <w:spacing w:val="-2"/>
        </w:rPr>
        <w:t>present</w:t>
      </w:r>
      <w:r>
        <w:rPr>
          <w:spacing w:val="-5"/>
        </w:rPr>
        <w:t xml:space="preserve"> </w:t>
      </w:r>
      <w:r>
        <w:rPr>
          <w:spacing w:val="-2"/>
        </w:rPr>
        <w:t>at</w:t>
      </w:r>
      <w:r>
        <w:rPr>
          <w:spacing w:val="-4"/>
        </w:rPr>
        <w:t xml:space="preserve"> </w:t>
      </w:r>
      <w:r>
        <w:rPr>
          <w:spacing w:val="-2"/>
        </w:rPr>
        <w:t>baseline</w:t>
      </w:r>
      <w:r>
        <w:rPr>
          <w:spacing w:val="-1"/>
        </w:rPr>
        <w:t xml:space="preserve"> </w:t>
      </w:r>
      <w:r>
        <w:rPr>
          <w:spacing w:val="-2"/>
        </w:rPr>
        <w:t>resolved</w:t>
      </w:r>
    </w:p>
    <w:p w14:paraId="661B97C1" w14:textId="77777777" w:rsidR="00AE135B" w:rsidRDefault="00EE5424">
      <w:pPr>
        <w:pStyle w:val="ListParagraph"/>
        <w:numPr>
          <w:ilvl w:val="0"/>
          <w:numId w:val="1"/>
        </w:numPr>
        <w:tabs>
          <w:tab w:val="left" w:pos="1027"/>
        </w:tabs>
        <w:spacing w:before="120"/>
      </w:pPr>
      <w:r>
        <w:rPr>
          <w:spacing w:val="-2"/>
        </w:rPr>
        <w:t>1</w:t>
      </w:r>
      <w:r>
        <w:rPr>
          <w:spacing w:val="-5"/>
        </w:rPr>
        <w:t xml:space="preserve"> </w:t>
      </w:r>
      <w:r>
        <w:rPr>
          <w:spacing w:val="-2"/>
        </w:rPr>
        <w:t>(8 %)</w:t>
      </w:r>
      <w:r>
        <w:rPr>
          <w:spacing w:val="-8"/>
        </w:rPr>
        <w:t xml:space="preserve"> </w:t>
      </w:r>
      <w:r>
        <w:rPr>
          <w:spacing w:val="-2"/>
        </w:rPr>
        <w:t>cognitive</w:t>
      </w:r>
      <w:r>
        <w:rPr>
          <w:spacing w:val="-4"/>
        </w:rPr>
        <w:t xml:space="preserve"> </w:t>
      </w:r>
      <w:r>
        <w:rPr>
          <w:spacing w:val="-2"/>
        </w:rPr>
        <w:t>impairment</w:t>
      </w:r>
      <w:r>
        <w:rPr>
          <w:spacing w:val="-4"/>
        </w:rPr>
        <w:t xml:space="preserve"> </w:t>
      </w:r>
      <w:r>
        <w:rPr>
          <w:spacing w:val="-2"/>
        </w:rPr>
        <w:t>symptom</w:t>
      </w:r>
      <w:r>
        <w:rPr>
          <w:spacing w:val="-3"/>
        </w:rPr>
        <w:t xml:space="preserve"> </w:t>
      </w:r>
      <w:r>
        <w:rPr>
          <w:spacing w:val="-2"/>
        </w:rPr>
        <w:t>worsened</w:t>
      </w:r>
    </w:p>
    <w:p w14:paraId="4B99A96B" w14:textId="77777777" w:rsidR="00AE135B" w:rsidRDefault="00EE5424">
      <w:pPr>
        <w:pStyle w:val="ListParagraph"/>
        <w:numPr>
          <w:ilvl w:val="0"/>
          <w:numId w:val="1"/>
        </w:numPr>
        <w:tabs>
          <w:tab w:val="left" w:pos="1027"/>
        </w:tabs>
        <w:spacing w:before="121"/>
      </w:pPr>
      <w:r>
        <w:rPr>
          <w:spacing w:val="-2"/>
        </w:rPr>
        <w:t>4</w:t>
      </w:r>
      <w:r>
        <w:rPr>
          <w:spacing w:val="-7"/>
        </w:rPr>
        <w:t xml:space="preserve"> </w:t>
      </w:r>
      <w:r>
        <w:rPr>
          <w:spacing w:val="-2"/>
        </w:rPr>
        <w:t>(33</w:t>
      </w:r>
      <w:r>
        <w:rPr>
          <w:spacing w:val="-5"/>
        </w:rPr>
        <w:t xml:space="preserve"> </w:t>
      </w:r>
      <w:r>
        <w:rPr>
          <w:spacing w:val="-2"/>
        </w:rPr>
        <w:t>%)</w:t>
      </w:r>
      <w:r>
        <w:rPr>
          <w:spacing w:val="-10"/>
        </w:rPr>
        <w:t xml:space="preserve"> </w:t>
      </w:r>
      <w:r>
        <w:rPr>
          <w:spacing w:val="-2"/>
        </w:rPr>
        <w:t>of</w:t>
      </w:r>
      <w:r>
        <w:rPr>
          <w:spacing w:val="-6"/>
        </w:rPr>
        <w:t xml:space="preserve"> </w:t>
      </w:r>
      <w:r>
        <w:rPr>
          <w:spacing w:val="-2"/>
        </w:rPr>
        <w:t>the</w:t>
      </w:r>
      <w:r>
        <w:rPr>
          <w:spacing w:val="-8"/>
        </w:rPr>
        <w:t xml:space="preserve"> </w:t>
      </w:r>
      <w:r>
        <w:rPr>
          <w:spacing w:val="-2"/>
        </w:rPr>
        <w:t>cognitive</w:t>
      </w:r>
      <w:r>
        <w:rPr>
          <w:spacing w:val="-5"/>
        </w:rPr>
        <w:t xml:space="preserve"> </w:t>
      </w:r>
      <w:r>
        <w:rPr>
          <w:spacing w:val="-2"/>
        </w:rPr>
        <w:t>impairment</w:t>
      </w:r>
      <w:r>
        <w:rPr>
          <w:spacing w:val="-8"/>
        </w:rPr>
        <w:t xml:space="preserve"> </w:t>
      </w:r>
      <w:r>
        <w:rPr>
          <w:spacing w:val="-2"/>
        </w:rPr>
        <w:t>symptoms</w:t>
      </w:r>
      <w:r>
        <w:rPr>
          <w:spacing w:val="-5"/>
        </w:rPr>
        <w:t xml:space="preserve"> </w:t>
      </w:r>
      <w:r>
        <w:rPr>
          <w:spacing w:val="-2"/>
        </w:rPr>
        <w:t>remained</w:t>
      </w:r>
      <w:r>
        <w:rPr>
          <w:spacing w:val="-5"/>
        </w:rPr>
        <w:t xml:space="preserve"> </w:t>
      </w:r>
      <w:r>
        <w:rPr>
          <w:spacing w:val="-2"/>
        </w:rPr>
        <w:t>stable</w:t>
      </w:r>
    </w:p>
    <w:p w14:paraId="610553B2" w14:textId="77777777" w:rsidR="00AE135B" w:rsidRDefault="00AE135B">
      <w:pPr>
        <w:pStyle w:val="BodyText"/>
        <w:spacing w:before="241"/>
        <w:ind w:left="0"/>
      </w:pPr>
    </w:p>
    <w:p w14:paraId="2468CE19" w14:textId="77777777" w:rsidR="00AE135B" w:rsidRDefault="00EE5424">
      <w:pPr>
        <w:pStyle w:val="Heading2"/>
        <w:numPr>
          <w:ilvl w:val="1"/>
          <w:numId w:val="3"/>
        </w:numPr>
        <w:tabs>
          <w:tab w:val="left" w:pos="1106"/>
        </w:tabs>
        <w:ind w:hanging="799"/>
      </w:pPr>
      <w:r>
        <w:rPr>
          <w:spacing w:val="-2"/>
        </w:rPr>
        <w:t>Pharmacokinetic</w:t>
      </w:r>
      <w:r>
        <w:rPr>
          <w:spacing w:val="11"/>
        </w:rPr>
        <w:t xml:space="preserve"> </w:t>
      </w:r>
      <w:r>
        <w:rPr>
          <w:spacing w:val="-2"/>
        </w:rPr>
        <w:t>properties</w:t>
      </w:r>
    </w:p>
    <w:p w14:paraId="63B76747" w14:textId="77777777" w:rsidR="00AE135B" w:rsidRDefault="00EE5424">
      <w:pPr>
        <w:pStyle w:val="BodyText"/>
        <w:spacing w:before="119"/>
      </w:pPr>
      <w:r>
        <w:rPr>
          <w:spacing w:val="-2"/>
          <w:u w:val="single"/>
        </w:rPr>
        <w:t>Absorption</w:t>
      </w:r>
    </w:p>
    <w:p w14:paraId="0E01F29A" w14:textId="77777777" w:rsidR="00AE135B" w:rsidRDefault="00EE5424">
      <w:pPr>
        <w:pStyle w:val="BodyText"/>
        <w:spacing w:before="248"/>
      </w:pPr>
      <w:r>
        <w:rPr>
          <w:spacing w:val="-2"/>
        </w:rPr>
        <w:t>Following</w:t>
      </w:r>
      <w:r>
        <w:rPr>
          <w:spacing w:val="-8"/>
        </w:rPr>
        <w:t xml:space="preserve"> </w:t>
      </w:r>
      <w:r>
        <w:rPr>
          <w:spacing w:val="-2"/>
        </w:rPr>
        <w:t>subcutaneous</w:t>
      </w:r>
      <w:r>
        <w:rPr>
          <w:spacing w:val="-7"/>
        </w:rPr>
        <w:t xml:space="preserve"> </w:t>
      </w:r>
      <w:r>
        <w:rPr>
          <w:spacing w:val="-2"/>
        </w:rPr>
        <w:t>administration,</w:t>
      </w:r>
      <w:r>
        <w:rPr>
          <w:spacing w:val="-4"/>
        </w:rPr>
        <w:t xml:space="preserve"> </w:t>
      </w:r>
      <w:r>
        <w:rPr>
          <w:spacing w:val="-2"/>
        </w:rPr>
        <w:t>bioavailability</w:t>
      </w:r>
      <w:r>
        <w:rPr>
          <w:spacing w:val="-4"/>
        </w:rPr>
        <w:t xml:space="preserve"> </w:t>
      </w:r>
      <w:r>
        <w:rPr>
          <w:spacing w:val="-2"/>
        </w:rPr>
        <w:t>was</w:t>
      </w:r>
      <w:r>
        <w:rPr>
          <w:spacing w:val="-7"/>
        </w:rPr>
        <w:t xml:space="preserve"> </w:t>
      </w:r>
      <w:r>
        <w:rPr>
          <w:spacing w:val="-2"/>
        </w:rPr>
        <w:t>62</w:t>
      </w:r>
      <w:r>
        <w:rPr>
          <w:spacing w:val="1"/>
        </w:rPr>
        <w:t xml:space="preserve"> </w:t>
      </w:r>
      <w:r>
        <w:rPr>
          <w:spacing w:val="-5"/>
        </w:rPr>
        <w:t>%.</w:t>
      </w:r>
    </w:p>
    <w:p w14:paraId="7BC4AF52" w14:textId="77777777" w:rsidR="00AE135B" w:rsidRDefault="00AE135B">
      <w:pPr>
        <w:pStyle w:val="BodyText"/>
        <w:spacing w:before="231"/>
        <w:ind w:left="0"/>
      </w:pPr>
    </w:p>
    <w:p w14:paraId="4386D187" w14:textId="77777777" w:rsidR="00AE135B" w:rsidRDefault="00EE5424">
      <w:pPr>
        <w:pStyle w:val="BodyText"/>
      </w:pPr>
      <w:r>
        <w:rPr>
          <w:spacing w:val="-2"/>
          <w:u w:val="single"/>
        </w:rPr>
        <w:t>Distribution</w:t>
      </w:r>
    </w:p>
    <w:p w14:paraId="262101E2" w14:textId="77777777" w:rsidR="00AE135B" w:rsidRDefault="00EE5424">
      <w:pPr>
        <w:pStyle w:val="BodyText"/>
        <w:spacing w:before="260" w:line="360" w:lineRule="auto"/>
        <w:ind w:right="178"/>
        <w:jc w:val="both"/>
      </w:pPr>
      <w:r>
        <w:t>Denosumab displayed non-linear pharmacokinetics with dose over a wide dose range, but approximately dose-proportional increases in exposure for doses of 60 mg (or 1 mg/kg) and higher.</w:t>
      </w:r>
    </w:p>
    <w:p w14:paraId="5B520CC6" w14:textId="77777777" w:rsidR="00AE135B" w:rsidRDefault="00EE5424">
      <w:pPr>
        <w:pStyle w:val="BodyText"/>
        <w:spacing w:before="123" w:line="360" w:lineRule="auto"/>
        <w:ind w:right="175"/>
        <w:jc w:val="both"/>
      </w:pPr>
      <w:r>
        <w:t>In patients with advanced cancer who received multiple doses of 120 mg every 4 weeks (</w:t>
      </w:r>
      <w:proofErr w:type="spellStart"/>
      <w:r>
        <w:t>Q4W</w:t>
      </w:r>
      <w:proofErr w:type="spellEnd"/>
      <w:r>
        <w:t>) an approximate</w:t>
      </w:r>
      <w:r>
        <w:rPr>
          <w:spacing w:val="-10"/>
        </w:rPr>
        <w:t xml:space="preserve"> </w:t>
      </w:r>
      <w:r>
        <w:t>2-fold</w:t>
      </w:r>
      <w:r>
        <w:rPr>
          <w:spacing w:val="-10"/>
        </w:rPr>
        <w:t xml:space="preserve"> </w:t>
      </w:r>
      <w:r>
        <w:t>accumulation</w:t>
      </w:r>
      <w:r>
        <w:rPr>
          <w:spacing w:val="-8"/>
        </w:rPr>
        <w:t xml:space="preserve"> </w:t>
      </w:r>
      <w:r>
        <w:t>in</w:t>
      </w:r>
      <w:r>
        <w:rPr>
          <w:spacing w:val="-10"/>
        </w:rPr>
        <w:t xml:space="preserve"> </w:t>
      </w:r>
      <w:r>
        <w:t>serum</w:t>
      </w:r>
      <w:r>
        <w:rPr>
          <w:spacing w:val="-7"/>
        </w:rPr>
        <w:t xml:space="preserve"> </w:t>
      </w:r>
      <w:r>
        <w:t>denosumab</w:t>
      </w:r>
      <w:r>
        <w:rPr>
          <w:spacing w:val="-9"/>
        </w:rPr>
        <w:t xml:space="preserve"> </w:t>
      </w:r>
      <w:r>
        <w:t>concentrations</w:t>
      </w:r>
      <w:r>
        <w:rPr>
          <w:spacing w:val="-9"/>
        </w:rPr>
        <w:t xml:space="preserve"> </w:t>
      </w:r>
      <w:r>
        <w:t>was</w:t>
      </w:r>
      <w:r>
        <w:rPr>
          <w:spacing w:val="-9"/>
        </w:rPr>
        <w:t xml:space="preserve"> </w:t>
      </w:r>
      <w:r>
        <w:t>observed</w:t>
      </w:r>
      <w:r>
        <w:rPr>
          <w:spacing w:val="-8"/>
        </w:rPr>
        <w:t xml:space="preserve"> </w:t>
      </w:r>
      <w:r>
        <w:t>and</w:t>
      </w:r>
      <w:r>
        <w:rPr>
          <w:spacing w:val="-12"/>
        </w:rPr>
        <w:t xml:space="preserve"> </w:t>
      </w:r>
      <w:r>
        <w:t>steady-state</w:t>
      </w:r>
      <w:r>
        <w:rPr>
          <w:spacing w:val="-13"/>
        </w:rPr>
        <w:t xml:space="preserve"> </w:t>
      </w:r>
      <w:r>
        <w:t>was achieved by 6 months, consistent with time-independent pharmacokinetics.</w:t>
      </w:r>
    </w:p>
    <w:p w14:paraId="75C0E151" w14:textId="77777777" w:rsidR="00AE135B" w:rsidRDefault="00EE5424">
      <w:pPr>
        <w:pStyle w:val="BodyText"/>
        <w:spacing w:before="121" w:line="360" w:lineRule="auto"/>
        <w:ind w:right="169"/>
        <w:jc w:val="both"/>
      </w:pPr>
      <w:r>
        <w:t xml:space="preserve">At </w:t>
      </w:r>
      <w:proofErr w:type="gramStart"/>
      <w:r>
        <w:t>steady-state</w:t>
      </w:r>
      <w:proofErr w:type="gramEnd"/>
      <w:r>
        <w:t xml:space="preserve">, the mean serum trough concentration was 20.6 </w:t>
      </w:r>
      <w:proofErr w:type="spellStart"/>
      <w:r>
        <w:t>μg</w:t>
      </w:r>
      <w:proofErr w:type="spellEnd"/>
      <w:r>
        <w:t xml:space="preserve">/mL (range: 0.456 to 56.9 </w:t>
      </w:r>
      <w:proofErr w:type="spellStart"/>
      <w:r>
        <w:t>μg</w:t>
      </w:r>
      <w:proofErr w:type="spellEnd"/>
      <w:r>
        <w:t>/mL).</w:t>
      </w:r>
      <w:r>
        <w:rPr>
          <w:spacing w:val="40"/>
        </w:rPr>
        <w:t xml:space="preserve"> </w:t>
      </w:r>
      <w:r>
        <w:t>In patients with multiple myeloma who received 120 mg every 4 weeks, median trough levels varied by less than 8 % between months 6 and 12.</w:t>
      </w:r>
    </w:p>
    <w:p w14:paraId="10E8AB3C" w14:textId="1E8265CD" w:rsidR="00AE135B" w:rsidRPr="00401300" w:rsidRDefault="00EE5424" w:rsidP="00401300">
      <w:pPr>
        <w:pStyle w:val="BodyText"/>
        <w:spacing w:before="248" w:line="360" w:lineRule="auto"/>
        <w:ind w:right="175"/>
        <w:jc w:val="both"/>
      </w:pPr>
      <w:r w:rsidRPr="00401300">
        <w:lastRenderedPageBreak/>
        <w:t xml:space="preserve">In patients with giant cell </w:t>
      </w:r>
      <w:proofErr w:type="spellStart"/>
      <w:r w:rsidRPr="00401300">
        <w:t>tumour</w:t>
      </w:r>
      <w:proofErr w:type="spellEnd"/>
      <w:r w:rsidRPr="00401300">
        <w:t xml:space="preserve"> of bone who received 120 mg every 4 weeks with a loading dose on days</w:t>
      </w:r>
      <w:r w:rsidR="00401300" w:rsidRPr="00401300">
        <w:t xml:space="preserve"> </w:t>
      </w:r>
      <w:r>
        <w:t>8</w:t>
      </w:r>
      <w:r w:rsidRPr="00401300">
        <w:t xml:space="preserve"> </w:t>
      </w:r>
      <w:r>
        <w:t>and</w:t>
      </w:r>
      <w:r w:rsidRPr="00401300">
        <w:t xml:space="preserve"> </w:t>
      </w:r>
      <w:r>
        <w:t>15,</w:t>
      </w:r>
      <w:r w:rsidRPr="00401300">
        <w:t xml:space="preserve"> </w:t>
      </w:r>
      <w:r>
        <w:t>steady-state</w:t>
      </w:r>
      <w:r w:rsidRPr="00401300">
        <w:t xml:space="preserve"> </w:t>
      </w:r>
      <w:r>
        <w:t>levels</w:t>
      </w:r>
      <w:r w:rsidRPr="00401300">
        <w:t xml:space="preserve"> </w:t>
      </w:r>
      <w:r>
        <w:t>were</w:t>
      </w:r>
      <w:r w:rsidRPr="00401300">
        <w:t xml:space="preserve"> </w:t>
      </w:r>
      <w:r>
        <w:t>achieved</w:t>
      </w:r>
      <w:r w:rsidRPr="00401300">
        <w:t xml:space="preserve"> </w:t>
      </w:r>
      <w:r>
        <w:t>within</w:t>
      </w:r>
      <w:r w:rsidRPr="00401300">
        <w:t xml:space="preserve"> </w:t>
      </w:r>
      <w:r>
        <w:t>the</w:t>
      </w:r>
      <w:r w:rsidRPr="00401300">
        <w:t xml:space="preserve"> </w:t>
      </w:r>
      <w:r>
        <w:t>first</w:t>
      </w:r>
      <w:r w:rsidRPr="00401300">
        <w:t xml:space="preserve"> </w:t>
      </w:r>
      <w:r>
        <w:t>month</w:t>
      </w:r>
      <w:r w:rsidRPr="00401300">
        <w:t xml:space="preserve"> </w:t>
      </w:r>
      <w:r>
        <w:t>of</w:t>
      </w:r>
      <w:r w:rsidRPr="00401300">
        <w:t xml:space="preserve"> </w:t>
      </w:r>
      <w:r>
        <w:t>treatment.</w:t>
      </w:r>
      <w:r w:rsidRPr="00401300">
        <w:t xml:space="preserve"> </w:t>
      </w:r>
      <w:r>
        <w:t>Between</w:t>
      </w:r>
      <w:r w:rsidRPr="00401300">
        <w:t xml:space="preserve"> </w:t>
      </w:r>
      <w:r>
        <w:t>weeks</w:t>
      </w:r>
      <w:r w:rsidRPr="00401300">
        <w:t xml:space="preserve"> </w:t>
      </w:r>
      <w:r>
        <w:t>9</w:t>
      </w:r>
      <w:r w:rsidRPr="00401300">
        <w:t xml:space="preserve"> </w:t>
      </w:r>
      <w:r>
        <w:t>and</w:t>
      </w:r>
      <w:r w:rsidRPr="00401300">
        <w:t xml:space="preserve"> </w:t>
      </w:r>
      <w:r>
        <w:t>49, median trough levels varied by less than 9 %.</w:t>
      </w:r>
    </w:p>
    <w:p w14:paraId="48FDD751" w14:textId="77777777" w:rsidR="00AE135B" w:rsidRDefault="00EE5424">
      <w:pPr>
        <w:pStyle w:val="BodyText"/>
        <w:spacing w:before="121"/>
      </w:pPr>
      <w:r>
        <w:rPr>
          <w:spacing w:val="-2"/>
          <w:u w:val="single"/>
        </w:rPr>
        <w:t>Metabolism</w:t>
      </w:r>
    </w:p>
    <w:p w14:paraId="4D3A12F2" w14:textId="77777777" w:rsidR="00AE135B" w:rsidRDefault="00EE5424">
      <w:pPr>
        <w:pStyle w:val="BodyText"/>
        <w:spacing w:before="248" w:line="360" w:lineRule="auto"/>
        <w:ind w:right="175"/>
        <w:jc w:val="both"/>
      </w:pPr>
      <w:r>
        <w:t>Denosumab</w:t>
      </w:r>
      <w:r>
        <w:rPr>
          <w:spacing w:val="-9"/>
        </w:rPr>
        <w:t xml:space="preserve"> </w:t>
      </w:r>
      <w:r>
        <w:t>is</w:t>
      </w:r>
      <w:r>
        <w:rPr>
          <w:spacing w:val="-13"/>
        </w:rPr>
        <w:t xml:space="preserve"> </w:t>
      </w:r>
      <w:r>
        <w:t>composed</w:t>
      </w:r>
      <w:r>
        <w:rPr>
          <w:spacing w:val="-9"/>
        </w:rPr>
        <w:t xml:space="preserve"> </w:t>
      </w:r>
      <w:r>
        <w:t>solely</w:t>
      </w:r>
      <w:r>
        <w:rPr>
          <w:spacing w:val="-12"/>
        </w:rPr>
        <w:t xml:space="preserve"> </w:t>
      </w:r>
      <w:r>
        <w:t>of</w:t>
      </w:r>
      <w:r>
        <w:rPr>
          <w:spacing w:val="-11"/>
        </w:rPr>
        <w:t xml:space="preserve"> </w:t>
      </w:r>
      <w:r>
        <w:t>amino</w:t>
      </w:r>
      <w:r>
        <w:rPr>
          <w:spacing w:val="-10"/>
        </w:rPr>
        <w:t xml:space="preserve"> </w:t>
      </w:r>
      <w:r>
        <w:t>acids</w:t>
      </w:r>
      <w:r>
        <w:rPr>
          <w:spacing w:val="-11"/>
        </w:rPr>
        <w:t xml:space="preserve"> </w:t>
      </w:r>
      <w:r>
        <w:t>and</w:t>
      </w:r>
      <w:r>
        <w:rPr>
          <w:spacing w:val="-11"/>
        </w:rPr>
        <w:t xml:space="preserve"> </w:t>
      </w:r>
      <w:r>
        <w:t>carbohydrates</w:t>
      </w:r>
      <w:r>
        <w:rPr>
          <w:spacing w:val="-7"/>
        </w:rPr>
        <w:t xml:space="preserve"> </w:t>
      </w:r>
      <w:r>
        <w:t>as</w:t>
      </w:r>
      <w:r>
        <w:rPr>
          <w:spacing w:val="-11"/>
        </w:rPr>
        <w:t xml:space="preserve"> </w:t>
      </w:r>
      <w:r>
        <w:t>native</w:t>
      </w:r>
      <w:r>
        <w:rPr>
          <w:spacing w:val="-11"/>
        </w:rPr>
        <w:t xml:space="preserve"> </w:t>
      </w:r>
      <w:r>
        <w:t>immunoglobulin</w:t>
      </w:r>
      <w:r>
        <w:rPr>
          <w:spacing w:val="-9"/>
        </w:rPr>
        <w:t xml:space="preserve"> </w:t>
      </w:r>
      <w:r>
        <w:t>and</w:t>
      </w:r>
      <w:r>
        <w:rPr>
          <w:spacing w:val="-10"/>
        </w:rPr>
        <w:t xml:space="preserve"> </w:t>
      </w:r>
      <w:r>
        <w:t>is</w:t>
      </w:r>
      <w:r>
        <w:rPr>
          <w:spacing w:val="-6"/>
        </w:rPr>
        <w:t xml:space="preserve"> </w:t>
      </w:r>
      <w:r>
        <w:t>unlikely to</w:t>
      </w:r>
      <w:r>
        <w:rPr>
          <w:spacing w:val="-8"/>
        </w:rPr>
        <w:t xml:space="preserve"> </w:t>
      </w:r>
      <w:r>
        <w:t>be</w:t>
      </w:r>
      <w:r>
        <w:rPr>
          <w:spacing w:val="-11"/>
        </w:rPr>
        <w:t xml:space="preserve"> </w:t>
      </w:r>
      <w:r>
        <w:t>eliminated</w:t>
      </w:r>
      <w:r>
        <w:rPr>
          <w:spacing w:val="-11"/>
        </w:rPr>
        <w:t xml:space="preserve"> </w:t>
      </w:r>
      <w:r>
        <w:t>via</w:t>
      </w:r>
      <w:r>
        <w:rPr>
          <w:spacing w:val="-7"/>
        </w:rPr>
        <w:t xml:space="preserve"> </w:t>
      </w:r>
      <w:r>
        <w:t>hepatic</w:t>
      </w:r>
      <w:r>
        <w:rPr>
          <w:spacing w:val="-11"/>
        </w:rPr>
        <w:t xml:space="preserve"> </w:t>
      </w:r>
      <w:r>
        <w:t>metabolic</w:t>
      </w:r>
      <w:r>
        <w:rPr>
          <w:spacing w:val="-8"/>
        </w:rPr>
        <w:t xml:space="preserve"> </w:t>
      </w:r>
      <w:r>
        <w:t>mechanisms.</w:t>
      </w:r>
      <w:r>
        <w:rPr>
          <w:spacing w:val="-6"/>
        </w:rPr>
        <w:t xml:space="preserve"> </w:t>
      </w:r>
      <w:r>
        <w:t>Its</w:t>
      </w:r>
      <w:r>
        <w:rPr>
          <w:spacing w:val="-9"/>
        </w:rPr>
        <w:t xml:space="preserve"> </w:t>
      </w:r>
      <w:r>
        <w:t>metabolism</w:t>
      </w:r>
      <w:r>
        <w:rPr>
          <w:spacing w:val="-7"/>
        </w:rPr>
        <w:t xml:space="preserve"> </w:t>
      </w:r>
      <w:r>
        <w:t>and</w:t>
      </w:r>
      <w:r>
        <w:rPr>
          <w:spacing w:val="-10"/>
        </w:rPr>
        <w:t xml:space="preserve"> </w:t>
      </w:r>
      <w:r>
        <w:t>elimination</w:t>
      </w:r>
      <w:r>
        <w:rPr>
          <w:spacing w:val="-9"/>
        </w:rPr>
        <w:t xml:space="preserve"> </w:t>
      </w:r>
      <w:r>
        <w:t>are</w:t>
      </w:r>
      <w:r>
        <w:rPr>
          <w:spacing w:val="-9"/>
        </w:rPr>
        <w:t xml:space="preserve"> </w:t>
      </w:r>
      <w:r>
        <w:t>expected</w:t>
      </w:r>
      <w:r>
        <w:rPr>
          <w:spacing w:val="-10"/>
        </w:rPr>
        <w:t xml:space="preserve"> </w:t>
      </w:r>
      <w:r>
        <w:t>to</w:t>
      </w:r>
      <w:r>
        <w:rPr>
          <w:spacing w:val="-8"/>
        </w:rPr>
        <w:t xml:space="preserve"> </w:t>
      </w:r>
      <w:r>
        <w:t xml:space="preserve">follow the immunoglobulin clearance pathways, resulting in degradation to small peptides and individual amino </w:t>
      </w:r>
      <w:r>
        <w:rPr>
          <w:spacing w:val="-2"/>
        </w:rPr>
        <w:t>acids.</w:t>
      </w:r>
    </w:p>
    <w:p w14:paraId="47F5A38F" w14:textId="77777777" w:rsidR="00AE135B" w:rsidRDefault="00EE5424">
      <w:pPr>
        <w:pStyle w:val="BodyText"/>
        <w:spacing w:before="116"/>
      </w:pPr>
      <w:r>
        <w:rPr>
          <w:spacing w:val="-2"/>
          <w:u w:val="single"/>
        </w:rPr>
        <w:t>Excretion</w:t>
      </w:r>
    </w:p>
    <w:p w14:paraId="35907007" w14:textId="77777777" w:rsidR="00AE135B" w:rsidRDefault="00EE5424">
      <w:pPr>
        <w:pStyle w:val="BodyText"/>
        <w:spacing w:before="251" w:line="360" w:lineRule="auto"/>
        <w:ind w:right="119"/>
      </w:pPr>
      <w:r>
        <w:t>In</w:t>
      </w:r>
      <w:r>
        <w:rPr>
          <w:spacing w:val="-9"/>
        </w:rPr>
        <w:t xml:space="preserve"> </w:t>
      </w:r>
      <w:r>
        <w:t>patients</w:t>
      </w:r>
      <w:r>
        <w:rPr>
          <w:spacing w:val="-8"/>
        </w:rPr>
        <w:t xml:space="preserve"> </w:t>
      </w:r>
      <w:r>
        <w:t>with</w:t>
      </w:r>
      <w:r>
        <w:rPr>
          <w:spacing w:val="-10"/>
        </w:rPr>
        <w:t xml:space="preserve"> </w:t>
      </w:r>
      <w:r>
        <w:t>advanced</w:t>
      </w:r>
      <w:r>
        <w:rPr>
          <w:spacing w:val="-7"/>
        </w:rPr>
        <w:t xml:space="preserve"> </w:t>
      </w:r>
      <w:r>
        <w:t>cancer</w:t>
      </w:r>
      <w:r>
        <w:rPr>
          <w:spacing w:val="-7"/>
        </w:rPr>
        <w:t xml:space="preserve"> </w:t>
      </w:r>
      <w:r>
        <w:t>who</w:t>
      </w:r>
      <w:r>
        <w:rPr>
          <w:spacing w:val="-7"/>
        </w:rPr>
        <w:t xml:space="preserve"> </w:t>
      </w:r>
      <w:r>
        <w:t>discontinued</w:t>
      </w:r>
      <w:r>
        <w:rPr>
          <w:spacing w:val="-8"/>
        </w:rPr>
        <w:t xml:space="preserve"> </w:t>
      </w:r>
      <w:r>
        <w:t>doses</w:t>
      </w:r>
      <w:r>
        <w:rPr>
          <w:spacing w:val="-10"/>
        </w:rPr>
        <w:t xml:space="preserve"> </w:t>
      </w:r>
      <w:r>
        <w:t>of</w:t>
      </w:r>
      <w:r>
        <w:rPr>
          <w:spacing w:val="-11"/>
        </w:rPr>
        <w:t xml:space="preserve"> </w:t>
      </w:r>
      <w:r>
        <w:t>120</w:t>
      </w:r>
      <w:r>
        <w:rPr>
          <w:spacing w:val="-12"/>
        </w:rPr>
        <w:t xml:space="preserve"> </w:t>
      </w:r>
      <w:r>
        <w:t>mg</w:t>
      </w:r>
      <w:r>
        <w:rPr>
          <w:spacing w:val="-9"/>
        </w:rPr>
        <w:t xml:space="preserve"> </w:t>
      </w:r>
      <w:r>
        <w:t>every</w:t>
      </w:r>
      <w:r>
        <w:rPr>
          <w:spacing w:val="-9"/>
        </w:rPr>
        <w:t xml:space="preserve"> </w:t>
      </w:r>
      <w:r>
        <w:t>4</w:t>
      </w:r>
      <w:r>
        <w:rPr>
          <w:spacing w:val="-7"/>
        </w:rPr>
        <w:t xml:space="preserve"> </w:t>
      </w:r>
      <w:r>
        <w:t>weeks,</w:t>
      </w:r>
      <w:r>
        <w:rPr>
          <w:spacing w:val="-7"/>
        </w:rPr>
        <w:t xml:space="preserve"> </w:t>
      </w:r>
      <w:r>
        <w:t>the</w:t>
      </w:r>
      <w:r>
        <w:rPr>
          <w:spacing w:val="-10"/>
        </w:rPr>
        <w:t xml:space="preserve"> </w:t>
      </w:r>
      <w:r>
        <w:t>mean</w:t>
      </w:r>
      <w:r>
        <w:rPr>
          <w:spacing w:val="-6"/>
        </w:rPr>
        <w:t xml:space="preserve"> </w:t>
      </w:r>
      <w:r>
        <w:t>half-life</w:t>
      </w:r>
      <w:r>
        <w:rPr>
          <w:spacing w:val="-10"/>
        </w:rPr>
        <w:t xml:space="preserve"> </w:t>
      </w:r>
      <w:r>
        <w:t>was 28 days (range: 14 to 55 days).</w:t>
      </w:r>
    </w:p>
    <w:p w14:paraId="01269689" w14:textId="77777777" w:rsidR="00AE135B" w:rsidRDefault="00AE135B">
      <w:pPr>
        <w:pStyle w:val="BodyText"/>
        <w:spacing w:before="90"/>
        <w:ind w:left="0"/>
      </w:pPr>
    </w:p>
    <w:p w14:paraId="4069BF04" w14:textId="77777777" w:rsidR="00AE135B" w:rsidRDefault="00EE5424">
      <w:pPr>
        <w:pStyle w:val="Heading3"/>
      </w:pPr>
      <w:r>
        <w:rPr>
          <w:spacing w:val="-2"/>
          <w:u w:val="single"/>
        </w:rPr>
        <w:t>Special</w:t>
      </w:r>
      <w:r>
        <w:rPr>
          <w:spacing w:val="-10"/>
          <w:u w:val="single"/>
        </w:rPr>
        <w:t xml:space="preserve"> </w:t>
      </w:r>
      <w:r>
        <w:rPr>
          <w:spacing w:val="-2"/>
          <w:u w:val="single"/>
        </w:rPr>
        <w:t>populations</w:t>
      </w:r>
    </w:p>
    <w:p w14:paraId="33D1CD9A" w14:textId="77777777" w:rsidR="00AE135B" w:rsidRDefault="00EE5424">
      <w:pPr>
        <w:pStyle w:val="BodyText"/>
        <w:spacing w:before="247" w:line="360" w:lineRule="auto"/>
        <w:ind w:right="177"/>
        <w:jc w:val="both"/>
      </w:pPr>
      <w:r>
        <w:t>A</w:t>
      </w:r>
      <w:r>
        <w:rPr>
          <w:spacing w:val="-1"/>
        </w:rPr>
        <w:t xml:space="preserve"> </w:t>
      </w:r>
      <w:r>
        <w:t>population</w:t>
      </w:r>
      <w:r>
        <w:rPr>
          <w:spacing w:val="-1"/>
        </w:rPr>
        <w:t xml:space="preserve"> </w:t>
      </w:r>
      <w:r>
        <w:t>pharmacokinetic analysis showed</w:t>
      </w:r>
      <w:r>
        <w:rPr>
          <w:spacing w:val="-5"/>
        </w:rPr>
        <w:t xml:space="preserve"> </w:t>
      </w:r>
      <w:r>
        <w:t>no</w:t>
      </w:r>
      <w:r>
        <w:rPr>
          <w:spacing w:val="-3"/>
        </w:rPr>
        <w:t xml:space="preserve"> </w:t>
      </w:r>
      <w:r>
        <w:t>notable</w:t>
      </w:r>
      <w:r>
        <w:rPr>
          <w:spacing w:val="-2"/>
        </w:rPr>
        <w:t xml:space="preserve"> </w:t>
      </w:r>
      <w:r>
        <w:t>difference</w:t>
      </w:r>
      <w:r>
        <w:rPr>
          <w:spacing w:val="-2"/>
        </w:rPr>
        <w:t xml:space="preserve"> </w:t>
      </w:r>
      <w:r>
        <w:t>in</w:t>
      </w:r>
      <w:r>
        <w:rPr>
          <w:spacing w:val="-1"/>
        </w:rPr>
        <w:t xml:space="preserve"> </w:t>
      </w:r>
      <w:r>
        <w:t>pharmacokinetics with</w:t>
      </w:r>
      <w:r>
        <w:rPr>
          <w:spacing w:val="-1"/>
        </w:rPr>
        <w:t xml:space="preserve"> </w:t>
      </w:r>
      <w:r>
        <w:t>age (18 to 87 years), race, body weight (36 to 174 kg), or across</w:t>
      </w:r>
      <w:r>
        <w:rPr>
          <w:spacing w:val="-1"/>
        </w:rPr>
        <w:t xml:space="preserve"> </w:t>
      </w:r>
      <w:r>
        <w:t xml:space="preserve">patients with solid </w:t>
      </w:r>
      <w:proofErr w:type="spellStart"/>
      <w:r>
        <w:t>tumours</w:t>
      </w:r>
      <w:proofErr w:type="spellEnd"/>
      <w:r>
        <w:t>, multiple</w:t>
      </w:r>
      <w:r>
        <w:rPr>
          <w:spacing w:val="-1"/>
        </w:rPr>
        <w:t xml:space="preserve"> </w:t>
      </w:r>
      <w:r>
        <w:t xml:space="preserve">myeloma, and giant cell </w:t>
      </w:r>
      <w:proofErr w:type="spellStart"/>
      <w:r>
        <w:t>tumour</w:t>
      </w:r>
      <w:proofErr w:type="spellEnd"/>
      <w:r>
        <w:t xml:space="preserve"> of bone. The pharmacokinetics and pharmacodynamics of denosumab were similar in patients transitioning from IV bisphosphonate therapy.</w:t>
      </w:r>
    </w:p>
    <w:p w14:paraId="12C96763" w14:textId="77777777" w:rsidR="00AE135B" w:rsidRDefault="00EE5424">
      <w:pPr>
        <w:spacing w:before="120"/>
        <w:ind w:left="307"/>
        <w:rPr>
          <w:i/>
        </w:rPr>
      </w:pPr>
      <w:r>
        <w:rPr>
          <w:i/>
          <w:spacing w:val="-2"/>
        </w:rPr>
        <w:t>Elderly</w:t>
      </w:r>
    </w:p>
    <w:p w14:paraId="538FFDA8" w14:textId="77777777" w:rsidR="00AE135B" w:rsidRDefault="00EE5424">
      <w:pPr>
        <w:pStyle w:val="BodyText"/>
        <w:spacing w:before="247"/>
      </w:pPr>
      <w:r>
        <w:rPr>
          <w:spacing w:val="-2"/>
        </w:rPr>
        <w:t>The</w:t>
      </w:r>
      <w:r>
        <w:rPr>
          <w:spacing w:val="-6"/>
        </w:rPr>
        <w:t xml:space="preserve"> </w:t>
      </w:r>
      <w:r>
        <w:rPr>
          <w:spacing w:val="-2"/>
        </w:rPr>
        <w:t>pharmacokinetics</w:t>
      </w:r>
      <w:r>
        <w:rPr>
          <w:spacing w:val="-5"/>
        </w:rPr>
        <w:t xml:space="preserve"> </w:t>
      </w:r>
      <w:r>
        <w:rPr>
          <w:spacing w:val="-2"/>
        </w:rPr>
        <w:t>of</w:t>
      </w:r>
      <w:r>
        <w:rPr>
          <w:spacing w:val="-4"/>
        </w:rPr>
        <w:t xml:space="preserve"> </w:t>
      </w:r>
      <w:r>
        <w:rPr>
          <w:spacing w:val="-2"/>
        </w:rPr>
        <w:t>denosumab</w:t>
      </w:r>
      <w:r>
        <w:rPr>
          <w:spacing w:val="-6"/>
        </w:rPr>
        <w:t xml:space="preserve"> </w:t>
      </w:r>
      <w:r>
        <w:rPr>
          <w:spacing w:val="-2"/>
        </w:rPr>
        <w:t>were</w:t>
      </w:r>
      <w:r>
        <w:rPr>
          <w:spacing w:val="-7"/>
        </w:rPr>
        <w:t xml:space="preserve"> </w:t>
      </w:r>
      <w:r>
        <w:rPr>
          <w:spacing w:val="-2"/>
        </w:rPr>
        <w:t>not</w:t>
      </w:r>
      <w:r>
        <w:rPr>
          <w:spacing w:val="-5"/>
        </w:rPr>
        <w:t xml:space="preserve"> </w:t>
      </w:r>
      <w:r>
        <w:rPr>
          <w:spacing w:val="-2"/>
        </w:rPr>
        <w:t>affected by</w:t>
      </w:r>
      <w:r>
        <w:rPr>
          <w:spacing w:val="-4"/>
        </w:rPr>
        <w:t xml:space="preserve"> </w:t>
      </w:r>
      <w:r>
        <w:rPr>
          <w:spacing w:val="-2"/>
        </w:rPr>
        <w:t>age</w:t>
      </w:r>
      <w:r>
        <w:rPr>
          <w:spacing w:val="-5"/>
        </w:rPr>
        <w:t xml:space="preserve"> </w:t>
      </w:r>
      <w:r>
        <w:rPr>
          <w:spacing w:val="-2"/>
        </w:rPr>
        <w:t>(18</w:t>
      </w:r>
      <w:r>
        <w:rPr>
          <w:spacing w:val="-4"/>
        </w:rPr>
        <w:t xml:space="preserve"> </w:t>
      </w:r>
      <w:r>
        <w:rPr>
          <w:spacing w:val="-2"/>
        </w:rPr>
        <w:t>to</w:t>
      </w:r>
      <w:r>
        <w:rPr>
          <w:spacing w:val="-7"/>
        </w:rPr>
        <w:t xml:space="preserve"> </w:t>
      </w:r>
      <w:r>
        <w:rPr>
          <w:spacing w:val="-2"/>
        </w:rPr>
        <w:t>87</w:t>
      </w:r>
      <w:r>
        <w:rPr>
          <w:spacing w:val="-4"/>
        </w:rPr>
        <w:t xml:space="preserve"> </w:t>
      </w:r>
      <w:r>
        <w:rPr>
          <w:spacing w:val="-2"/>
        </w:rPr>
        <w:t>years).</w:t>
      </w:r>
    </w:p>
    <w:p w14:paraId="5602F4D1" w14:textId="77777777" w:rsidR="00AE135B" w:rsidRDefault="00EE5424">
      <w:pPr>
        <w:spacing w:before="245"/>
        <w:ind w:left="307"/>
        <w:rPr>
          <w:i/>
        </w:rPr>
      </w:pPr>
      <w:proofErr w:type="spellStart"/>
      <w:r>
        <w:rPr>
          <w:i/>
          <w:spacing w:val="-2"/>
        </w:rPr>
        <w:t>Paediatric</w:t>
      </w:r>
      <w:proofErr w:type="spellEnd"/>
    </w:p>
    <w:p w14:paraId="4A76C726" w14:textId="77777777" w:rsidR="00AE135B" w:rsidRDefault="00EE5424">
      <w:pPr>
        <w:pStyle w:val="BodyText"/>
        <w:spacing w:before="248"/>
      </w:pPr>
      <w:r>
        <w:rPr>
          <w:spacing w:val="-2"/>
        </w:rPr>
        <w:t>The</w:t>
      </w:r>
      <w:r>
        <w:rPr>
          <w:spacing w:val="-6"/>
        </w:rPr>
        <w:t xml:space="preserve"> </w:t>
      </w:r>
      <w:r>
        <w:rPr>
          <w:spacing w:val="-2"/>
        </w:rPr>
        <w:t>pharmacokinetic</w:t>
      </w:r>
      <w:r>
        <w:rPr>
          <w:spacing w:val="-6"/>
        </w:rPr>
        <w:t xml:space="preserve"> </w:t>
      </w:r>
      <w:r>
        <w:rPr>
          <w:spacing w:val="-2"/>
        </w:rPr>
        <w:t>profile</w:t>
      </w:r>
      <w:r>
        <w:rPr>
          <w:spacing w:val="-1"/>
        </w:rPr>
        <w:t xml:space="preserve"> </w:t>
      </w:r>
      <w:r>
        <w:rPr>
          <w:spacing w:val="-2"/>
        </w:rPr>
        <w:t>has</w:t>
      </w:r>
      <w:r>
        <w:rPr>
          <w:spacing w:val="-3"/>
        </w:rPr>
        <w:t xml:space="preserve"> </w:t>
      </w:r>
      <w:r>
        <w:rPr>
          <w:spacing w:val="-2"/>
        </w:rPr>
        <w:t>not been</w:t>
      </w:r>
      <w:r>
        <w:rPr>
          <w:spacing w:val="-9"/>
        </w:rPr>
        <w:t xml:space="preserve"> </w:t>
      </w:r>
      <w:r>
        <w:rPr>
          <w:spacing w:val="-2"/>
        </w:rPr>
        <w:t>assessed in</w:t>
      </w:r>
      <w:r>
        <w:rPr>
          <w:spacing w:val="-6"/>
        </w:rPr>
        <w:t xml:space="preserve"> </w:t>
      </w:r>
      <w:r>
        <w:rPr>
          <w:spacing w:val="-2"/>
        </w:rPr>
        <w:t>those</w:t>
      </w:r>
      <w:r>
        <w:rPr>
          <w:spacing w:val="-7"/>
        </w:rPr>
        <w:t xml:space="preserve"> </w:t>
      </w:r>
      <w:r>
        <w:rPr>
          <w:spacing w:val="-2"/>
        </w:rPr>
        <w:t>&lt;</w:t>
      </w:r>
      <w:r>
        <w:rPr>
          <w:spacing w:val="4"/>
        </w:rPr>
        <w:t xml:space="preserve"> </w:t>
      </w:r>
      <w:r>
        <w:rPr>
          <w:spacing w:val="-2"/>
        </w:rPr>
        <w:t>18</w:t>
      </w:r>
      <w:r>
        <w:rPr>
          <w:spacing w:val="-4"/>
        </w:rPr>
        <w:t xml:space="preserve"> </w:t>
      </w:r>
      <w:r>
        <w:rPr>
          <w:spacing w:val="-2"/>
        </w:rPr>
        <w:t>years.</w:t>
      </w:r>
    </w:p>
    <w:p w14:paraId="49C2D2BF" w14:textId="77777777" w:rsidR="00AE135B" w:rsidRDefault="00AE135B">
      <w:pPr>
        <w:pStyle w:val="BodyText"/>
        <w:spacing w:before="2"/>
        <w:ind w:left="0"/>
      </w:pPr>
    </w:p>
    <w:p w14:paraId="521BD056" w14:textId="77777777" w:rsidR="00AE135B" w:rsidRDefault="00EE5424">
      <w:pPr>
        <w:ind w:left="307"/>
        <w:rPr>
          <w:i/>
        </w:rPr>
      </w:pPr>
      <w:r>
        <w:rPr>
          <w:i/>
          <w:spacing w:val="-4"/>
        </w:rPr>
        <w:t>Impaired</w:t>
      </w:r>
      <w:r>
        <w:rPr>
          <w:i/>
          <w:spacing w:val="2"/>
        </w:rPr>
        <w:t xml:space="preserve"> </w:t>
      </w:r>
      <w:r>
        <w:rPr>
          <w:i/>
          <w:spacing w:val="-4"/>
        </w:rPr>
        <w:t>hepatic</w:t>
      </w:r>
      <w:r>
        <w:rPr>
          <w:i/>
          <w:spacing w:val="6"/>
        </w:rPr>
        <w:t xml:space="preserve"> </w:t>
      </w:r>
      <w:r>
        <w:rPr>
          <w:i/>
          <w:spacing w:val="-4"/>
        </w:rPr>
        <w:t>function</w:t>
      </w:r>
    </w:p>
    <w:p w14:paraId="1014631D" w14:textId="77777777" w:rsidR="00AE135B" w:rsidRDefault="00EE5424">
      <w:pPr>
        <w:pStyle w:val="BodyText"/>
        <w:spacing w:before="248"/>
      </w:pPr>
      <w:r>
        <w:rPr>
          <w:spacing w:val="-2"/>
        </w:rPr>
        <w:t>The</w:t>
      </w:r>
      <w:r>
        <w:rPr>
          <w:spacing w:val="-7"/>
        </w:rPr>
        <w:t xml:space="preserve"> </w:t>
      </w:r>
      <w:r>
        <w:rPr>
          <w:spacing w:val="-2"/>
        </w:rPr>
        <w:t>pharmacokinetic</w:t>
      </w:r>
      <w:r>
        <w:rPr>
          <w:spacing w:val="-4"/>
        </w:rPr>
        <w:t xml:space="preserve"> </w:t>
      </w:r>
      <w:r>
        <w:rPr>
          <w:spacing w:val="-2"/>
        </w:rPr>
        <w:t>profile</w:t>
      </w:r>
      <w:r>
        <w:rPr>
          <w:spacing w:val="-3"/>
        </w:rPr>
        <w:t xml:space="preserve"> </w:t>
      </w:r>
      <w:r>
        <w:rPr>
          <w:spacing w:val="-2"/>
        </w:rPr>
        <w:t>has</w:t>
      </w:r>
      <w:r>
        <w:rPr>
          <w:spacing w:val="-5"/>
        </w:rPr>
        <w:t xml:space="preserve"> </w:t>
      </w:r>
      <w:r>
        <w:rPr>
          <w:spacing w:val="-2"/>
        </w:rPr>
        <w:t>not</w:t>
      </w:r>
      <w:r>
        <w:rPr>
          <w:spacing w:val="-1"/>
        </w:rPr>
        <w:t xml:space="preserve"> </w:t>
      </w:r>
      <w:r>
        <w:rPr>
          <w:spacing w:val="-2"/>
        </w:rPr>
        <w:t>been</w:t>
      </w:r>
      <w:r>
        <w:rPr>
          <w:spacing w:val="-5"/>
        </w:rPr>
        <w:t xml:space="preserve"> </w:t>
      </w:r>
      <w:r>
        <w:rPr>
          <w:spacing w:val="-2"/>
        </w:rPr>
        <w:t>assessed</w:t>
      </w:r>
      <w:r>
        <w:rPr>
          <w:spacing w:val="-4"/>
        </w:rPr>
        <w:t xml:space="preserve"> </w:t>
      </w:r>
      <w:r>
        <w:rPr>
          <w:spacing w:val="-2"/>
        </w:rPr>
        <w:t>in</w:t>
      </w:r>
      <w:r>
        <w:rPr>
          <w:spacing w:val="-3"/>
        </w:rPr>
        <w:t xml:space="preserve"> </w:t>
      </w:r>
      <w:r>
        <w:rPr>
          <w:spacing w:val="-2"/>
        </w:rPr>
        <w:t>patients</w:t>
      </w:r>
      <w:r>
        <w:rPr>
          <w:spacing w:val="-1"/>
        </w:rPr>
        <w:t xml:space="preserve"> </w:t>
      </w:r>
      <w:r>
        <w:rPr>
          <w:spacing w:val="-2"/>
        </w:rPr>
        <w:t>with</w:t>
      </w:r>
      <w:r>
        <w:rPr>
          <w:spacing w:val="-4"/>
        </w:rPr>
        <w:t xml:space="preserve"> </w:t>
      </w:r>
      <w:r>
        <w:rPr>
          <w:spacing w:val="-2"/>
        </w:rPr>
        <w:t>impaired</w:t>
      </w:r>
      <w:r>
        <w:rPr>
          <w:spacing w:val="-5"/>
        </w:rPr>
        <w:t xml:space="preserve"> </w:t>
      </w:r>
      <w:r>
        <w:rPr>
          <w:spacing w:val="-2"/>
        </w:rPr>
        <w:t>hepatic</w:t>
      </w:r>
      <w:r>
        <w:rPr>
          <w:spacing w:val="3"/>
        </w:rPr>
        <w:t xml:space="preserve"> </w:t>
      </w:r>
      <w:r>
        <w:rPr>
          <w:spacing w:val="-2"/>
        </w:rPr>
        <w:t>function.</w:t>
      </w:r>
    </w:p>
    <w:p w14:paraId="792B0A47" w14:textId="77777777" w:rsidR="00AE135B" w:rsidRDefault="00EE5424">
      <w:pPr>
        <w:spacing w:before="253"/>
        <w:ind w:left="307"/>
        <w:rPr>
          <w:i/>
        </w:rPr>
      </w:pPr>
      <w:r>
        <w:rPr>
          <w:i/>
          <w:spacing w:val="-4"/>
        </w:rPr>
        <w:t>Impaired</w:t>
      </w:r>
      <w:r>
        <w:rPr>
          <w:i/>
        </w:rPr>
        <w:t xml:space="preserve"> </w:t>
      </w:r>
      <w:r>
        <w:rPr>
          <w:i/>
          <w:spacing w:val="-4"/>
        </w:rPr>
        <w:t>renal</w:t>
      </w:r>
      <w:r>
        <w:rPr>
          <w:i/>
          <w:spacing w:val="3"/>
        </w:rPr>
        <w:t xml:space="preserve"> </w:t>
      </w:r>
      <w:r>
        <w:rPr>
          <w:i/>
          <w:spacing w:val="-4"/>
        </w:rPr>
        <w:t>function</w:t>
      </w:r>
    </w:p>
    <w:p w14:paraId="03362F39" w14:textId="77777777" w:rsidR="00AE135B" w:rsidRDefault="00EE5424">
      <w:pPr>
        <w:pStyle w:val="BodyText"/>
        <w:spacing w:before="247" w:line="360" w:lineRule="auto"/>
        <w:ind w:right="172"/>
        <w:jc w:val="both"/>
      </w:pPr>
      <w:r>
        <w:t>In studies of denosumab (60 mg, N = 55 and 120 mg, N = 32) in patients without advanced malignancies but with varying degrees of renal function, including patients on dialysis, the degree of renal impairment had</w:t>
      </w:r>
      <w:r>
        <w:rPr>
          <w:spacing w:val="-8"/>
        </w:rPr>
        <w:t xml:space="preserve"> </w:t>
      </w:r>
      <w:r>
        <w:t>no</w:t>
      </w:r>
      <w:r>
        <w:rPr>
          <w:spacing w:val="-3"/>
        </w:rPr>
        <w:t xml:space="preserve"> </w:t>
      </w:r>
      <w:r>
        <w:t>effect</w:t>
      </w:r>
      <w:r>
        <w:rPr>
          <w:spacing w:val="-4"/>
        </w:rPr>
        <w:t xml:space="preserve"> </w:t>
      </w:r>
      <w:r>
        <w:t>on</w:t>
      </w:r>
      <w:r>
        <w:rPr>
          <w:spacing w:val="-7"/>
        </w:rPr>
        <w:t xml:space="preserve"> </w:t>
      </w:r>
      <w:r>
        <w:t>the</w:t>
      </w:r>
      <w:r>
        <w:rPr>
          <w:spacing w:val="-4"/>
        </w:rPr>
        <w:t xml:space="preserve"> </w:t>
      </w:r>
      <w:r>
        <w:t>pharmacokinetics and</w:t>
      </w:r>
      <w:r>
        <w:rPr>
          <w:spacing w:val="-7"/>
        </w:rPr>
        <w:t xml:space="preserve"> </w:t>
      </w:r>
      <w:r>
        <w:t>pharmacodynamics</w:t>
      </w:r>
      <w:r>
        <w:rPr>
          <w:spacing w:val="-1"/>
        </w:rPr>
        <w:t xml:space="preserve"> </w:t>
      </w:r>
      <w:r>
        <w:t>of</w:t>
      </w:r>
      <w:r>
        <w:rPr>
          <w:spacing w:val="-2"/>
        </w:rPr>
        <w:t xml:space="preserve"> </w:t>
      </w:r>
      <w:r>
        <w:t>denosumab.</w:t>
      </w:r>
      <w:r>
        <w:rPr>
          <w:spacing w:val="40"/>
        </w:rPr>
        <w:t xml:space="preserve"> </w:t>
      </w:r>
      <w:r>
        <w:t>Dose</w:t>
      </w:r>
      <w:r>
        <w:rPr>
          <w:spacing w:val="-1"/>
        </w:rPr>
        <w:t xml:space="preserve"> </w:t>
      </w:r>
      <w:r>
        <w:t>adjustment</w:t>
      </w:r>
      <w:r>
        <w:rPr>
          <w:spacing w:val="-4"/>
        </w:rPr>
        <w:t xml:space="preserve"> </w:t>
      </w:r>
      <w:r>
        <w:t>for</w:t>
      </w:r>
      <w:r>
        <w:rPr>
          <w:spacing w:val="-2"/>
        </w:rPr>
        <w:t xml:space="preserve"> </w:t>
      </w:r>
      <w:r>
        <w:t>renal impairment is not necessary.</w:t>
      </w:r>
    </w:p>
    <w:p w14:paraId="50BE40B3" w14:textId="77777777" w:rsidR="00AE135B" w:rsidRDefault="00EE5424">
      <w:pPr>
        <w:spacing w:before="122"/>
        <w:ind w:left="307"/>
        <w:rPr>
          <w:i/>
        </w:rPr>
      </w:pPr>
      <w:r>
        <w:rPr>
          <w:i/>
          <w:spacing w:val="-2"/>
        </w:rPr>
        <w:t>Immunogenicity</w:t>
      </w:r>
    </w:p>
    <w:p w14:paraId="2DC4E634" w14:textId="77777777" w:rsidR="00AE135B" w:rsidRDefault="00EE5424">
      <w:pPr>
        <w:pStyle w:val="BodyText"/>
        <w:spacing w:before="247" w:line="360" w:lineRule="auto"/>
        <w:ind w:right="179"/>
        <w:jc w:val="both"/>
      </w:pPr>
      <w:r>
        <w:t xml:space="preserve">Denosumab pharmacokinetics and pharmacodynamics were not affected by the formation of binding </w:t>
      </w:r>
      <w:r>
        <w:lastRenderedPageBreak/>
        <w:t>antibodies to denosumab and were similar in men and women.</w:t>
      </w:r>
    </w:p>
    <w:p w14:paraId="4FF66666" w14:textId="7DA82751" w:rsidR="00AE135B" w:rsidRPr="00401300" w:rsidRDefault="00EE5424" w:rsidP="00401300">
      <w:pPr>
        <w:pStyle w:val="BodyText"/>
        <w:spacing w:before="247" w:line="360" w:lineRule="auto"/>
        <w:ind w:right="179"/>
        <w:jc w:val="both"/>
      </w:pPr>
      <w:r>
        <w:t>In</w:t>
      </w:r>
      <w:r w:rsidRPr="00401300">
        <w:t xml:space="preserve"> </w:t>
      </w:r>
      <w:r>
        <w:t>clinical</w:t>
      </w:r>
      <w:r w:rsidRPr="00401300">
        <w:t xml:space="preserve"> </w:t>
      </w:r>
      <w:r>
        <w:t>studies,</w:t>
      </w:r>
      <w:r w:rsidRPr="00401300">
        <w:t xml:space="preserve"> </w:t>
      </w:r>
      <w:r>
        <w:t>no</w:t>
      </w:r>
      <w:r w:rsidRPr="00401300">
        <w:t xml:space="preserve"> </w:t>
      </w:r>
      <w:proofErr w:type="spellStart"/>
      <w:r>
        <w:t>neutralising</w:t>
      </w:r>
      <w:proofErr w:type="spellEnd"/>
      <w:r w:rsidRPr="00401300">
        <w:t xml:space="preserve"> </w:t>
      </w:r>
      <w:r>
        <w:t>antibodies</w:t>
      </w:r>
      <w:r w:rsidRPr="00401300">
        <w:t xml:space="preserve"> </w:t>
      </w:r>
      <w:r>
        <w:t>for</w:t>
      </w:r>
      <w:r w:rsidRPr="00401300">
        <w:t xml:space="preserve"> </w:t>
      </w:r>
      <w:r>
        <w:t>denosumab</w:t>
      </w:r>
      <w:r w:rsidRPr="00401300">
        <w:t xml:space="preserve"> </w:t>
      </w:r>
      <w:r>
        <w:t>have</w:t>
      </w:r>
      <w:r w:rsidRPr="00401300">
        <w:t xml:space="preserve"> </w:t>
      </w:r>
      <w:r>
        <w:t>been</w:t>
      </w:r>
      <w:r w:rsidRPr="00401300">
        <w:t xml:space="preserve"> </w:t>
      </w:r>
      <w:r>
        <w:t>observed</w:t>
      </w:r>
      <w:r w:rsidRPr="00401300">
        <w:t xml:space="preserve"> </w:t>
      </w:r>
      <w:r>
        <w:t>in</w:t>
      </w:r>
      <w:r w:rsidRPr="00401300">
        <w:t xml:space="preserve"> </w:t>
      </w:r>
      <w:r>
        <w:t>advanced</w:t>
      </w:r>
      <w:r w:rsidRPr="00401300">
        <w:t xml:space="preserve"> cancer</w:t>
      </w:r>
      <w:r w:rsidR="00401300" w:rsidRPr="00401300">
        <w:t xml:space="preserve"> </w:t>
      </w:r>
      <w:r>
        <w:t>patients</w:t>
      </w:r>
      <w:r w:rsidRPr="00401300">
        <w:t xml:space="preserve"> </w:t>
      </w:r>
      <w:r>
        <w:t>or</w:t>
      </w:r>
      <w:r w:rsidRPr="00401300">
        <w:t xml:space="preserve"> </w:t>
      </w:r>
      <w:r>
        <w:t>giant</w:t>
      </w:r>
      <w:r w:rsidRPr="00401300">
        <w:t xml:space="preserve"> </w:t>
      </w:r>
      <w:r>
        <w:t>cell</w:t>
      </w:r>
      <w:r w:rsidRPr="00401300">
        <w:t xml:space="preserve"> </w:t>
      </w:r>
      <w:proofErr w:type="spellStart"/>
      <w:r>
        <w:t>tumour</w:t>
      </w:r>
      <w:proofErr w:type="spellEnd"/>
      <w:r w:rsidRPr="00401300">
        <w:t xml:space="preserve"> </w:t>
      </w:r>
      <w:r>
        <w:t>of</w:t>
      </w:r>
      <w:r w:rsidRPr="00401300">
        <w:t xml:space="preserve"> </w:t>
      </w:r>
      <w:r>
        <w:t>the</w:t>
      </w:r>
      <w:r w:rsidRPr="00401300">
        <w:t xml:space="preserve"> </w:t>
      </w:r>
      <w:r>
        <w:t>bone</w:t>
      </w:r>
      <w:r w:rsidRPr="00401300">
        <w:t xml:space="preserve"> </w:t>
      </w:r>
      <w:r>
        <w:t>patients.</w:t>
      </w:r>
      <w:r w:rsidRPr="00401300">
        <w:t xml:space="preserve"> </w:t>
      </w:r>
      <w:r>
        <w:t>Using</w:t>
      </w:r>
      <w:r w:rsidRPr="00401300">
        <w:t xml:space="preserve"> </w:t>
      </w:r>
      <w:r>
        <w:t>a</w:t>
      </w:r>
      <w:r w:rsidRPr="00401300">
        <w:t xml:space="preserve"> </w:t>
      </w:r>
      <w:r>
        <w:t>sensitive</w:t>
      </w:r>
      <w:r w:rsidRPr="00401300">
        <w:t xml:space="preserve"> </w:t>
      </w:r>
      <w:r>
        <w:t>immunoassay,</w:t>
      </w:r>
      <w:r w:rsidRPr="00401300">
        <w:t xml:space="preserve"> </w:t>
      </w:r>
      <w:r>
        <w:t>&lt;</w:t>
      </w:r>
      <w:r w:rsidRPr="00401300">
        <w:t xml:space="preserve"> </w:t>
      </w:r>
      <w:r>
        <w:t>1</w:t>
      </w:r>
      <w:r w:rsidRPr="00401300">
        <w:t xml:space="preserve"> </w:t>
      </w:r>
      <w:r>
        <w:t>%</w:t>
      </w:r>
      <w:r w:rsidRPr="00401300">
        <w:t xml:space="preserve"> </w:t>
      </w:r>
      <w:r>
        <w:t>of</w:t>
      </w:r>
      <w:r w:rsidRPr="00401300">
        <w:t xml:space="preserve"> </w:t>
      </w:r>
      <w:r>
        <w:t>patients</w:t>
      </w:r>
      <w:r w:rsidRPr="00401300">
        <w:t xml:space="preserve"> </w:t>
      </w:r>
      <w:r>
        <w:t>treated with</w:t>
      </w:r>
      <w:r w:rsidRPr="00401300">
        <w:t xml:space="preserve"> </w:t>
      </w:r>
      <w:r>
        <w:t>denosumab</w:t>
      </w:r>
      <w:r w:rsidRPr="00401300">
        <w:t xml:space="preserve"> </w:t>
      </w:r>
      <w:r>
        <w:t>for</w:t>
      </w:r>
      <w:r w:rsidRPr="00401300">
        <w:t xml:space="preserve"> </w:t>
      </w:r>
      <w:r>
        <w:t>up</w:t>
      </w:r>
      <w:r w:rsidRPr="00401300">
        <w:t xml:space="preserve"> </w:t>
      </w:r>
      <w:r>
        <w:t>to</w:t>
      </w:r>
      <w:r w:rsidRPr="00401300">
        <w:t xml:space="preserve"> </w:t>
      </w:r>
      <w:r>
        <w:t>3</w:t>
      </w:r>
      <w:r w:rsidRPr="00401300">
        <w:t xml:space="preserve"> </w:t>
      </w:r>
      <w:r>
        <w:t>years</w:t>
      </w:r>
      <w:r w:rsidRPr="00401300">
        <w:t xml:space="preserve"> </w:t>
      </w:r>
      <w:r>
        <w:t>tested</w:t>
      </w:r>
      <w:r w:rsidRPr="00401300">
        <w:t xml:space="preserve"> </w:t>
      </w:r>
      <w:r>
        <w:t>positive</w:t>
      </w:r>
      <w:r w:rsidRPr="00401300">
        <w:t xml:space="preserve"> </w:t>
      </w:r>
      <w:r>
        <w:t>for</w:t>
      </w:r>
      <w:r w:rsidRPr="00401300">
        <w:t xml:space="preserve"> </w:t>
      </w:r>
      <w:r>
        <w:t>non-</w:t>
      </w:r>
      <w:proofErr w:type="spellStart"/>
      <w:r>
        <w:t>neutralising</w:t>
      </w:r>
      <w:proofErr w:type="spellEnd"/>
      <w:r w:rsidRPr="00401300">
        <w:t xml:space="preserve"> </w:t>
      </w:r>
      <w:r>
        <w:t>binding</w:t>
      </w:r>
      <w:r w:rsidRPr="00401300">
        <w:t xml:space="preserve"> </w:t>
      </w:r>
      <w:r>
        <w:t>antibodies</w:t>
      </w:r>
      <w:r w:rsidRPr="00401300">
        <w:t xml:space="preserve"> </w:t>
      </w:r>
      <w:r>
        <w:t>with</w:t>
      </w:r>
      <w:r w:rsidRPr="00401300">
        <w:t xml:space="preserve"> </w:t>
      </w:r>
      <w:r>
        <w:t>no</w:t>
      </w:r>
      <w:r w:rsidRPr="00401300">
        <w:t xml:space="preserve"> </w:t>
      </w:r>
      <w:r>
        <w:t>evidence of altered pharmacokinetics, toxicity, or clinical response.</w:t>
      </w:r>
    </w:p>
    <w:p w14:paraId="3AC33038" w14:textId="77777777" w:rsidR="00AE135B" w:rsidRDefault="00AE135B" w:rsidP="00401300">
      <w:pPr>
        <w:pStyle w:val="BodyText"/>
        <w:spacing w:before="247" w:line="360" w:lineRule="auto"/>
        <w:ind w:right="179"/>
        <w:jc w:val="both"/>
      </w:pPr>
    </w:p>
    <w:p w14:paraId="6D1DB406" w14:textId="77777777" w:rsidR="00AE135B" w:rsidRDefault="00EE5424">
      <w:pPr>
        <w:pStyle w:val="Heading2"/>
        <w:numPr>
          <w:ilvl w:val="1"/>
          <w:numId w:val="3"/>
        </w:numPr>
        <w:tabs>
          <w:tab w:val="left" w:pos="1106"/>
        </w:tabs>
        <w:spacing w:before="1"/>
        <w:ind w:hanging="799"/>
      </w:pPr>
      <w:r>
        <w:t>Preclinical</w:t>
      </w:r>
      <w:r>
        <w:rPr>
          <w:spacing w:val="-19"/>
        </w:rPr>
        <w:t xml:space="preserve"> </w:t>
      </w:r>
      <w:r>
        <w:t>safety</w:t>
      </w:r>
      <w:r>
        <w:rPr>
          <w:spacing w:val="-14"/>
        </w:rPr>
        <w:t xml:space="preserve"> </w:t>
      </w:r>
      <w:r>
        <w:rPr>
          <w:spacing w:val="-4"/>
        </w:rPr>
        <w:t>data</w:t>
      </w:r>
    </w:p>
    <w:p w14:paraId="279048A9" w14:textId="77777777" w:rsidR="00AE135B" w:rsidRDefault="00EE5424">
      <w:pPr>
        <w:pStyle w:val="BodyText"/>
        <w:spacing w:before="116"/>
      </w:pPr>
      <w:r>
        <w:rPr>
          <w:spacing w:val="-2"/>
          <w:u w:val="single"/>
        </w:rPr>
        <w:t>Genotoxicity</w:t>
      </w:r>
    </w:p>
    <w:p w14:paraId="6540463F" w14:textId="77777777" w:rsidR="00AE135B" w:rsidRDefault="00EE5424">
      <w:pPr>
        <w:pStyle w:val="BodyText"/>
        <w:spacing w:before="247" w:line="360" w:lineRule="auto"/>
        <w:ind w:right="264"/>
        <w:jc w:val="both"/>
      </w:pPr>
      <w:r>
        <w:t>The genotoxic potential of denosumab has not been evaluated.</w:t>
      </w:r>
      <w:r>
        <w:rPr>
          <w:spacing w:val="40"/>
        </w:rPr>
        <w:t xml:space="preserve"> </w:t>
      </w:r>
      <w:r>
        <w:t>Denosumab is a recombinant protein comprised entirely of naturally occurring amino acids and contains no inorganic or synthetic organic linkers or other non-protein portions.</w:t>
      </w:r>
      <w:r>
        <w:rPr>
          <w:spacing w:val="40"/>
        </w:rPr>
        <w:t xml:space="preserve"> </w:t>
      </w:r>
      <w:r>
        <w:t>Therefore, it is unlikely that denosumab or any of its derived fragments would react with DNA or other chromosomal material.</w:t>
      </w:r>
    </w:p>
    <w:p w14:paraId="6DD3CA55" w14:textId="77777777" w:rsidR="00AE135B" w:rsidRDefault="00EE5424">
      <w:pPr>
        <w:pStyle w:val="BodyText"/>
        <w:spacing w:before="120"/>
      </w:pPr>
      <w:r>
        <w:rPr>
          <w:spacing w:val="-2"/>
          <w:u w:val="single"/>
        </w:rPr>
        <w:t>Carcinogenicity</w:t>
      </w:r>
    </w:p>
    <w:p w14:paraId="71060AD9" w14:textId="77777777" w:rsidR="00AE135B" w:rsidRDefault="00EE5424">
      <w:pPr>
        <w:pStyle w:val="BodyText"/>
        <w:spacing w:before="248" w:line="360" w:lineRule="auto"/>
        <w:ind w:right="264"/>
        <w:jc w:val="both"/>
      </w:pPr>
      <w:r>
        <w:t>The</w:t>
      </w:r>
      <w:r>
        <w:rPr>
          <w:spacing w:val="-1"/>
        </w:rPr>
        <w:t xml:space="preserve"> </w:t>
      </w:r>
      <w:r>
        <w:t>carcinogenic</w:t>
      </w:r>
      <w:r>
        <w:rPr>
          <w:spacing w:val="-2"/>
        </w:rPr>
        <w:t xml:space="preserve"> </w:t>
      </w:r>
      <w:r>
        <w:t>potential</w:t>
      </w:r>
      <w:r>
        <w:rPr>
          <w:spacing w:val="-4"/>
        </w:rPr>
        <w:t xml:space="preserve"> </w:t>
      </w:r>
      <w:r>
        <w:t>of</w:t>
      </w:r>
      <w:r>
        <w:rPr>
          <w:spacing w:val="-3"/>
        </w:rPr>
        <w:t xml:space="preserve"> </w:t>
      </w:r>
      <w:r>
        <w:t>denosumab</w:t>
      </w:r>
      <w:r>
        <w:rPr>
          <w:spacing w:val="-3"/>
        </w:rPr>
        <w:t xml:space="preserve"> </w:t>
      </w:r>
      <w:r>
        <w:t>has</w:t>
      </w:r>
      <w:r>
        <w:rPr>
          <w:spacing w:val="-1"/>
        </w:rPr>
        <w:t xml:space="preserve"> </w:t>
      </w:r>
      <w:r>
        <w:t>not</w:t>
      </w:r>
      <w:r>
        <w:rPr>
          <w:spacing w:val="-2"/>
        </w:rPr>
        <w:t xml:space="preserve"> </w:t>
      </w:r>
      <w:r>
        <w:t>been</w:t>
      </w:r>
      <w:r>
        <w:rPr>
          <w:spacing w:val="-2"/>
        </w:rPr>
        <w:t xml:space="preserve"> </w:t>
      </w:r>
      <w:r>
        <w:t>evaluated</w:t>
      </w:r>
      <w:r>
        <w:rPr>
          <w:spacing w:val="-1"/>
        </w:rPr>
        <w:t xml:space="preserve"> </w:t>
      </w:r>
      <w:r>
        <w:t>in</w:t>
      </w:r>
      <w:r>
        <w:rPr>
          <w:spacing w:val="-4"/>
        </w:rPr>
        <w:t xml:space="preserve"> </w:t>
      </w:r>
      <w:r>
        <w:t>long-term</w:t>
      </w:r>
      <w:r>
        <w:rPr>
          <w:spacing w:val="-1"/>
        </w:rPr>
        <w:t xml:space="preserve"> </w:t>
      </w:r>
      <w:r>
        <w:t>animal</w:t>
      </w:r>
      <w:r>
        <w:rPr>
          <w:spacing w:val="-1"/>
        </w:rPr>
        <w:t xml:space="preserve"> </w:t>
      </w:r>
      <w:r>
        <w:t>studies.</w:t>
      </w:r>
      <w:r>
        <w:rPr>
          <w:spacing w:val="36"/>
        </w:rPr>
        <w:t xml:space="preserve"> </w:t>
      </w:r>
      <w:r>
        <w:t>In</w:t>
      </w:r>
      <w:r>
        <w:rPr>
          <w:spacing w:val="-4"/>
        </w:rPr>
        <w:t xml:space="preserve"> </w:t>
      </w:r>
      <w:r>
        <w:t>view</w:t>
      </w:r>
      <w:r>
        <w:rPr>
          <w:spacing w:val="-4"/>
        </w:rPr>
        <w:t xml:space="preserve"> </w:t>
      </w:r>
      <w:r>
        <w:t xml:space="preserve">of the mechanism of action of denosumab, it is unlikely that the molecule would be capable of inducing </w:t>
      </w:r>
      <w:proofErr w:type="spellStart"/>
      <w:r>
        <w:t>tumour</w:t>
      </w:r>
      <w:proofErr w:type="spellEnd"/>
      <w:r>
        <w:t xml:space="preserve"> development or proliferation.</w:t>
      </w:r>
    </w:p>
    <w:p w14:paraId="0FDB1D4C" w14:textId="77777777" w:rsidR="00AE135B" w:rsidRDefault="00AE135B">
      <w:pPr>
        <w:pStyle w:val="BodyText"/>
        <w:spacing w:before="255"/>
        <w:ind w:left="0"/>
      </w:pPr>
    </w:p>
    <w:p w14:paraId="63FFA6D4" w14:textId="77777777" w:rsidR="00AE135B" w:rsidRDefault="00EE5424">
      <w:pPr>
        <w:pStyle w:val="Heading1"/>
        <w:numPr>
          <w:ilvl w:val="0"/>
          <w:numId w:val="3"/>
        </w:numPr>
        <w:tabs>
          <w:tab w:val="left" w:pos="1106"/>
        </w:tabs>
        <w:ind w:hanging="799"/>
      </w:pPr>
      <w:r>
        <w:rPr>
          <w:spacing w:val="-4"/>
        </w:rPr>
        <w:t>PHARMACEUTICAL</w:t>
      </w:r>
      <w:r>
        <w:rPr>
          <w:spacing w:val="2"/>
        </w:rPr>
        <w:t xml:space="preserve"> </w:t>
      </w:r>
      <w:r>
        <w:rPr>
          <w:spacing w:val="-2"/>
        </w:rPr>
        <w:t>PARTICULARS</w:t>
      </w:r>
    </w:p>
    <w:p w14:paraId="61AFF206" w14:textId="77777777" w:rsidR="00AE135B" w:rsidRDefault="00EE5424">
      <w:pPr>
        <w:pStyle w:val="Heading2"/>
        <w:numPr>
          <w:ilvl w:val="1"/>
          <w:numId w:val="3"/>
        </w:numPr>
        <w:tabs>
          <w:tab w:val="left" w:pos="1106"/>
        </w:tabs>
        <w:spacing w:before="121"/>
        <w:ind w:hanging="799"/>
      </w:pPr>
      <w:r>
        <w:t>List</w:t>
      </w:r>
      <w:r>
        <w:rPr>
          <w:spacing w:val="-5"/>
        </w:rPr>
        <w:t xml:space="preserve"> </w:t>
      </w:r>
      <w:r>
        <w:t>of</w:t>
      </w:r>
      <w:r>
        <w:rPr>
          <w:spacing w:val="-4"/>
        </w:rPr>
        <w:t xml:space="preserve"> </w:t>
      </w:r>
      <w:r>
        <w:rPr>
          <w:spacing w:val="-2"/>
        </w:rPr>
        <w:t>excipients</w:t>
      </w:r>
    </w:p>
    <w:p w14:paraId="35E4B64F" w14:textId="77777777" w:rsidR="00AE135B" w:rsidRDefault="00EE5424">
      <w:pPr>
        <w:pStyle w:val="BodyText"/>
        <w:spacing w:before="119" w:line="360" w:lineRule="auto"/>
        <w:ind w:right="174"/>
        <w:jc w:val="both"/>
      </w:pPr>
      <w:r>
        <w:t xml:space="preserve">Each single-use vial of </w:t>
      </w:r>
      <w:proofErr w:type="spellStart"/>
      <w:r>
        <w:t>DOSTIVA</w:t>
      </w:r>
      <w:proofErr w:type="spellEnd"/>
      <w:r>
        <w:t xml:space="preserve"> contains 78.2 mg sorbitol, 1.8 mg glacial acetic acid, 0.17 mg polysorbate 20 and sodium hydroxide for adjusting to pH 5.2 in Water for Injections.</w:t>
      </w:r>
    </w:p>
    <w:p w14:paraId="2232BE48" w14:textId="77777777" w:rsidR="00AE135B" w:rsidRDefault="00AE135B">
      <w:pPr>
        <w:pStyle w:val="BodyText"/>
        <w:spacing w:before="122"/>
        <w:ind w:left="0"/>
      </w:pPr>
    </w:p>
    <w:p w14:paraId="0FBA91DF" w14:textId="77777777" w:rsidR="00AE135B" w:rsidRDefault="00EE5424">
      <w:pPr>
        <w:pStyle w:val="Heading2"/>
        <w:numPr>
          <w:ilvl w:val="1"/>
          <w:numId w:val="3"/>
        </w:numPr>
        <w:tabs>
          <w:tab w:val="left" w:pos="1106"/>
        </w:tabs>
        <w:ind w:hanging="799"/>
      </w:pPr>
      <w:r>
        <w:rPr>
          <w:spacing w:val="-2"/>
        </w:rPr>
        <w:t>Incompatibilities</w:t>
      </w:r>
    </w:p>
    <w:p w14:paraId="037AD6F5" w14:textId="77777777" w:rsidR="00AE135B" w:rsidRDefault="00EE5424">
      <w:pPr>
        <w:pStyle w:val="BodyText"/>
        <w:spacing w:before="117"/>
        <w:jc w:val="both"/>
      </w:pPr>
      <w:r>
        <w:rPr>
          <w:spacing w:val="-2"/>
        </w:rPr>
        <w:t>Incompatibilities</w:t>
      </w:r>
      <w:r>
        <w:rPr>
          <w:spacing w:val="-6"/>
        </w:rPr>
        <w:t xml:space="preserve"> </w:t>
      </w:r>
      <w:r>
        <w:rPr>
          <w:spacing w:val="-2"/>
        </w:rPr>
        <w:t>were</w:t>
      </w:r>
      <w:r>
        <w:rPr>
          <w:spacing w:val="-4"/>
        </w:rPr>
        <w:t xml:space="preserve"> </w:t>
      </w:r>
      <w:r>
        <w:rPr>
          <w:spacing w:val="-2"/>
        </w:rPr>
        <w:t>either</w:t>
      </w:r>
      <w:r>
        <w:t xml:space="preserve"> </w:t>
      </w:r>
      <w:r>
        <w:rPr>
          <w:spacing w:val="-2"/>
        </w:rPr>
        <w:t>not</w:t>
      </w:r>
      <w:r>
        <w:rPr>
          <w:spacing w:val="1"/>
        </w:rPr>
        <w:t xml:space="preserve"> </w:t>
      </w:r>
      <w:r>
        <w:rPr>
          <w:spacing w:val="-2"/>
        </w:rPr>
        <w:t>assessed or</w:t>
      </w:r>
      <w:r>
        <w:rPr>
          <w:spacing w:val="-3"/>
        </w:rPr>
        <w:t xml:space="preserve"> </w:t>
      </w:r>
      <w:r>
        <w:rPr>
          <w:spacing w:val="-2"/>
        </w:rPr>
        <w:t>not</w:t>
      </w:r>
      <w:r>
        <w:rPr>
          <w:spacing w:val="-1"/>
        </w:rPr>
        <w:t xml:space="preserve"> </w:t>
      </w:r>
      <w:r>
        <w:rPr>
          <w:spacing w:val="-2"/>
        </w:rPr>
        <w:t>identified as</w:t>
      </w:r>
      <w:r>
        <w:rPr>
          <w:spacing w:val="-4"/>
        </w:rPr>
        <w:t xml:space="preserve"> </w:t>
      </w:r>
      <w:r>
        <w:rPr>
          <w:spacing w:val="-2"/>
        </w:rPr>
        <w:t>part</w:t>
      </w:r>
      <w:r>
        <w:rPr>
          <w:spacing w:val="-5"/>
        </w:rPr>
        <w:t xml:space="preserve"> </w:t>
      </w:r>
      <w:r>
        <w:rPr>
          <w:spacing w:val="-2"/>
        </w:rPr>
        <w:t>of</w:t>
      </w:r>
      <w:r>
        <w:rPr>
          <w:spacing w:val="-5"/>
        </w:rPr>
        <w:t xml:space="preserve"> </w:t>
      </w:r>
      <w:r>
        <w:rPr>
          <w:spacing w:val="-2"/>
        </w:rPr>
        <w:t>the</w:t>
      </w:r>
      <w:r>
        <w:rPr>
          <w:spacing w:val="-5"/>
        </w:rPr>
        <w:t xml:space="preserve"> </w:t>
      </w:r>
      <w:r>
        <w:rPr>
          <w:spacing w:val="-2"/>
        </w:rPr>
        <w:t>registration</w:t>
      </w:r>
      <w:r>
        <w:rPr>
          <w:spacing w:val="-6"/>
        </w:rPr>
        <w:t xml:space="preserve"> </w:t>
      </w:r>
      <w:r>
        <w:rPr>
          <w:spacing w:val="-2"/>
        </w:rPr>
        <w:t>of</w:t>
      </w:r>
      <w:r>
        <w:rPr>
          <w:spacing w:val="-5"/>
        </w:rPr>
        <w:t xml:space="preserve"> </w:t>
      </w:r>
      <w:r>
        <w:rPr>
          <w:spacing w:val="-2"/>
        </w:rPr>
        <w:t>this medicine.</w:t>
      </w:r>
    </w:p>
    <w:p w14:paraId="1A95184C" w14:textId="77777777" w:rsidR="00AE135B" w:rsidRDefault="00AE135B">
      <w:pPr>
        <w:pStyle w:val="BodyText"/>
        <w:spacing w:before="256"/>
        <w:ind w:left="0"/>
      </w:pPr>
    </w:p>
    <w:p w14:paraId="64D1E44A" w14:textId="77777777" w:rsidR="00AE135B" w:rsidRDefault="00EE5424">
      <w:pPr>
        <w:pStyle w:val="Heading2"/>
        <w:numPr>
          <w:ilvl w:val="1"/>
          <w:numId w:val="3"/>
        </w:numPr>
        <w:tabs>
          <w:tab w:val="left" w:pos="1106"/>
        </w:tabs>
        <w:ind w:hanging="799"/>
      </w:pPr>
      <w:r>
        <w:t>Shelf</w:t>
      </w:r>
      <w:r>
        <w:rPr>
          <w:spacing w:val="-8"/>
        </w:rPr>
        <w:t xml:space="preserve"> </w:t>
      </w:r>
      <w:r>
        <w:rPr>
          <w:spacing w:val="-4"/>
        </w:rPr>
        <w:t>life</w:t>
      </w:r>
    </w:p>
    <w:p w14:paraId="632FCC10" w14:textId="77777777" w:rsidR="00AE135B" w:rsidRDefault="00EE5424">
      <w:pPr>
        <w:pStyle w:val="BodyText"/>
        <w:spacing w:before="119" w:line="360" w:lineRule="auto"/>
        <w:ind w:right="172"/>
        <w:jc w:val="both"/>
      </w:pPr>
      <w:r>
        <w:t>In</w:t>
      </w:r>
      <w:r>
        <w:rPr>
          <w:spacing w:val="-6"/>
        </w:rPr>
        <w:t xml:space="preserve"> </w:t>
      </w:r>
      <w:r>
        <w:t>Australia,</w:t>
      </w:r>
      <w:r>
        <w:rPr>
          <w:spacing w:val="-4"/>
        </w:rPr>
        <w:t xml:space="preserve"> </w:t>
      </w:r>
      <w:r>
        <w:t>information</w:t>
      </w:r>
      <w:r>
        <w:rPr>
          <w:spacing w:val="-3"/>
        </w:rPr>
        <w:t xml:space="preserve"> </w:t>
      </w:r>
      <w:r>
        <w:t>on</w:t>
      </w:r>
      <w:r>
        <w:rPr>
          <w:spacing w:val="-9"/>
        </w:rPr>
        <w:t xml:space="preserve"> </w:t>
      </w:r>
      <w:r>
        <w:t>the</w:t>
      </w:r>
      <w:r>
        <w:rPr>
          <w:spacing w:val="-6"/>
        </w:rPr>
        <w:t xml:space="preserve"> </w:t>
      </w:r>
      <w:r>
        <w:t>shelf</w:t>
      </w:r>
      <w:r>
        <w:rPr>
          <w:spacing w:val="-4"/>
        </w:rPr>
        <w:t xml:space="preserve"> </w:t>
      </w:r>
      <w:r>
        <w:t>life</w:t>
      </w:r>
      <w:r>
        <w:rPr>
          <w:spacing w:val="-5"/>
        </w:rPr>
        <w:t xml:space="preserve"> </w:t>
      </w:r>
      <w:r>
        <w:t>can</w:t>
      </w:r>
      <w:r>
        <w:rPr>
          <w:spacing w:val="-4"/>
        </w:rPr>
        <w:t xml:space="preserve"> </w:t>
      </w:r>
      <w:r>
        <w:t>be</w:t>
      </w:r>
      <w:r>
        <w:rPr>
          <w:spacing w:val="-3"/>
        </w:rPr>
        <w:t xml:space="preserve"> </w:t>
      </w:r>
      <w:r>
        <w:t>found</w:t>
      </w:r>
      <w:r>
        <w:rPr>
          <w:spacing w:val="-6"/>
        </w:rPr>
        <w:t xml:space="preserve"> </w:t>
      </w:r>
      <w:r>
        <w:t>on</w:t>
      </w:r>
      <w:r>
        <w:rPr>
          <w:spacing w:val="-4"/>
        </w:rPr>
        <w:t xml:space="preserve"> </w:t>
      </w:r>
      <w:r>
        <w:t>the</w:t>
      </w:r>
      <w:r>
        <w:rPr>
          <w:spacing w:val="-3"/>
        </w:rPr>
        <w:t xml:space="preserve"> </w:t>
      </w:r>
      <w:r>
        <w:t>public</w:t>
      </w:r>
      <w:r>
        <w:rPr>
          <w:spacing w:val="-6"/>
        </w:rPr>
        <w:t xml:space="preserve"> </w:t>
      </w:r>
      <w:r>
        <w:t>summary</w:t>
      </w:r>
      <w:r>
        <w:rPr>
          <w:spacing w:val="-4"/>
        </w:rPr>
        <w:t xml:space="preserve"> </w:t>
      </w:r>
      <w:r>
        <w:t>of</w:t>
      </w:r>
      <w:r>
        <w:rPr>
          <w:spacing w:val="-3"/>
        </w:rPr>
        <w:t xml:space="preserve"> </w:t>
      </w:r>
      <w:r>
        <w:t>the</w:t>
      </w:r>
      <w:r>
        <w:rPr>
          <w:spacing w:val="-3"/>
        </w:rPr>
        <w:t xml:space="preserve"> </w:t>
      </w:r>
      <w:r>
        <w:t>Australian</w:t>
      </w:r>
      <w:r>
        <w:rPr>
          <w:spacing w:val="-2"/>
        </w:rPr>
        <w:t xml:space="preserve"> </w:t>
      </w:r>
      <w:r>
        <w:t>Register</w:t>
      </w:r>
      <w:r>
        <w:rPr>
          <w:spacing w:val="-5"/>
        </w:rPr>
        <w:t xml:space="preserve"> </w:t>
      </w:r>
      <w:r>
        <w:t>of Therapeutic Goods (</w:t>
      </w:r>
      <w:proofErr w:type="spellStart"/>
      <w:r>
        <w:t>ARTG</w:t>
      </w:r>
      <w:proofErr w:type="spellEnd"/>
      <w:r>
        <w:t>).</w:t>
      </w:r>
      <w:r>
        <w:rPr>
          <w:spacing w:val="40"/>
        </w:rPr>
        <w:t xml:space="preserve"> </w:t>
      </w:r>
      <w:r>
        <w:t>The expiry date can be found on the packaging.</w:t>
      </w:r>
    </w:p>
    <w:p w14:paraId="3BB47235" w14:textId="77777777" w:rsidR="00AE135B" w:rsidRDefault="00AE135B">
      <w:pPr>
        <w:pStyle w:val="BodyText"/>
        <w:spacing w:before="125"/>
        <w:ind w:left="0"/>
      </w:pPr>
    </w:p>
    <w:p w14:paraId="148E206A" w14:textId="77777777" w:rsidR="00AE135B" w:rsidRDefault="00EE5424">
      <w:pPr>
        <w:pStyle w:val="Heading2"/>
        <w:numPr>
          <w:ilvl w:val="1"/>
          <w:numId w:val="3"/>
        </w:numPr>
        <w:tabs>
          <w:tab w:val="left" w:pos="1106"/>
        </w:tabs>
        <w:ind w:hanging="799"/>
      </w:pPr>
      <w:r>
        <w:t>Special</w:t>
      </w:r>
      <w:r>
        <w:rPr>
          <w:spacing w:val="-11"/>
        </w:rPr>
        <w:t xml:space="preserve"> </w:t>
      </w:r>
      <w:r>
        <w:t>precautions</w:t>
      </w:r>
      <w:r>
        <w:rPr>
          <w:spacing w:val="-11"/>
        </w:rPr>
        <w:t xml:space="preserve"> </w:t>
      </w:r>
      <w:r>
        <w:t>for</w:t>
      </w:r>
      <w:r>
        <w:rPr>
          <w:spacing w:val="-10"/>
        </w:rPr>
        <w:t xml:space="preserve"> </w:t>
      </w:r>
      <w:r>
        <w:rPr>
          <w:spacing w:val="-2"/>
        </w:rPr>
        <w:t>storage</w:t>
      </w:r>
    </w:p>
    <w:p w14:paraId="2B7E4F16" w14:textId="77777777" w:rsidR="00AE135B" w:rsidRDefault="00EE5424">
      <w:pPr>
        <w:pStyle w:val="BodyText"/>
        <w:spacing w:before="119" w:line="357" w:lineRule="auto"/>
        <w:ind w:right="172"/>
        <w:jc w:val="both"/>
      </w:pPr>
      <w:r>
        <w:t>It</w:t>
      </w:r>
      <w:r>
        <w:rPr>
          <w:spacing w:val="-13"/>
        </w:rPr>
        <w:t xml:space="preserve"> </w:t>
      </w:r>
      <w:r>
        <w:t>is</w:t>
      </w:r>
      <w:r>
        <w:rPr>
          <w:spacing w:val="-12"/>
        </w:rPr>
        <w:t xml:space="preserve"> </w:t>
      </w:r>
      <w:r>
        <w:t>recommended</w:t>
      </w:r>
      <w:r>
        <w:rPr>
          <w:spacing w:val="-12"/>
        </w:rPr>
        <w:t xml:space="preserve"> </w:t>
      </w:r>
      <w:r>
        <w:t>to</w:t>
      </w:r>
      <w:r>
        <w:rPr>
          <w:spacing w:val="-9"/>
        </w:rPr>
        <w:t xml:space="preserve"> </w:t>
      </w:r>
      <w:r>
        <w:t>store</w:t>
      </w:r>
      <w:r>
        <w:rPr>
          <w:spacing w:val="-13"/>
        </w:rPr>
        <w:t xml:space="preserve"> </w:t>
      </w:r>
      <w:r>
        <w:t>vials</w:t>
      </w:r>
      <w:r>
        <w:rPr>
          <w:spacing w:val="-10"/>
        </w:rPr>
        <w:t xml:space="preserve"> </w:t>
      </w:r>
      <w:r>
        <w:t>in</w:t>
      </w:r>
      <w:r>
        <w:rPr>
          <w:spacing w:val="-13"/>
        </w:rPr>
        <w:t xml:space="preserve"> </w:t>
      </w:r>
      <w:r>
        <w:t>a</w:t>
      </w:r>
      <w:r>
        <w:rPr>
          <w:spacing w:val="-12"/>
        </w:rPr>
        <w:t xml:space="preserve"> </w:t>
      </w:r>
      <w:r>
        <w:t>refrigerator</w:t>
      </w:r>
      <w:r>
        <w:rPr>
          <w:spacing w:val="-13"/>
        </w:rPr>
        <w:t xml:space="preserve"> </w:t>
      </w:r>
      <w:r>
        <w:t>at</w:t>
      </w:r>
      <w:r>
        <w:rPr>
          <w:spacing w:val="-11"/>
        </w:rPr>
        <w:t xml:space="preserve"> </w:t>
      </w:r>
      <w:r>
        <w:t>2</w:t>
      </w:r>
      <w:r>
        <w:rPr>
          <w:spacing w:val="-10"/>
        </w:rPr>
        <w:t xml:space="preserve"> </w:t>
      </w:r>
      <w:r>
        <w:t>°C</w:t>
      </w:r>
      <w:r>
        <w:rPr>
          <w:spacing w:val="-13"/>
        </w:rPr>
        <w:t xml:space="preserve"> </w:t>
      </w:r>
      <w:r>
        <w:t>to</w:t>
      </w:r>
      <w:r>
        <w:rPr>
          <w:spacing w:val="-12"/>
        </w:rPr>
        <w:t xml:space="preserve"> </w:t>
      </w:r>
      <w:r>
        <w:t>8</w:t>
      </w:r>
      <w:r>
        <w:rPr>
          <w:spacing w:val="-10"/>
        </w:rPr>
        <w:t xml:space="preserve"> </w:t>
      </w:r>
      <w:r>
        <w:t>°C</w:t>
      </w:r>
      <w:r>
        <w:rPr>
          <w:spacing w:val="-13"/>
        </w:rPr>
        <w:t xml:space="preserve"> </w:t>
      </w:r>
      <w:r>
        <w:t>in</w:t>
      </w:r>
      <w:r>
        <w:rPr>
          <w:spacing w:val="-12"/>
        </w:rPr>
        <w:t xml:space="preserve"> </w:t>
      </w:r>
      <w:r>
        <w:t>the</w:t>
      </w:r>
      <w:r>
        <w:rPr>
          <w:spacing w:val="-13"/>
        </w:rPr>
        <w:t xml:space="preserve"> </w:t>
      </w:r>
      <w:r>
        <w:t>original</w:t>
      </w:r>
      <w:r>
        <w:rPr>
          <w:spacing w:val="-12"/>
        </w:rPr>
        <w:t xml:space="preserve"> </w:t>
      </w:r>
      <w:r>
        <w:t>carton.</w:t>
      </w:r>
      <w:r>
        <w:rPr>
          <w:spacing w:val="21"/>
        </w:rPr>
        <w:t xml:space="preserve"> </w:t>
      </w:r>
      <w:r>
        <w:t>Do</w:t>
      </w:r>
      <w:r>
        <w:rPr>
          <w:spacing w:val="-9"/>
        </w:rPr>
        <w:t xml:space="preserve"> </w:t>
      </w:r>
      <w:r>
        <w:t>not</w:t>
      </w:r>
      <w:r>
        <w:rPr>
          <w:spacing w:val="-10"/>
        </w:rPr>
        <w:t xml:space="preserve"> </w:t>
      </w:r>
      <w:r>
        <w:t>freeze.</w:t>
      </w:r>
      <w:r>
        <w:rPr>
          <w:spacing w:val="22"/>
        </w:rPr>
        <w:t xml:space="preserve"> </w:t>
      </w:r>
      <w:r>
        <w:t>Protect from direct light.</w:t>
      </w:r>
      <w:r>
        <w:rPr>
          <w:spacing w:val="40"/>
        </w:rPr>
        <w:t xml:space="preserve"> </w:t>
      </w:r>
      <w:r>
        <w:t>Do not excessively shake the vial.</w:t>
      </w:r>
      <w:r>
        <w:rPr>
          <w:spacing w:val="40"/>
        </w:rPr>
        <w:t xml:space="preserve"> </w:t>
      </w:r>
      <w:r>
        <w:t xml:space="preserve">Do not </w:t>
      </w:r>
      <w:proofErr w:type="gramStart"/>
      <w:r>
        <w:t>expose</w:t>
      </w:r>
      <w:proofErr w:type="gramEnd"/>
      <w:r>
        <w:t xml:space="preserve"> to temperatures above 25 °C.</w:t>
      </w:r>
    </w:p>
    <w:p w14:paraId="27ACCAE5" w14:textId="77777777" w:rsidR="00AE135B" w:rsidRDefault="00EE5424">
      <w:pPr>
        <w:pStyle w:val="BodyText"/>
        <w:spacing w:before="124" w:line="360" w:lineRule="auto"/>
        <w:ind w:right="173"/>
        <w:jc w:val="both"/>
      </w:pPr>
      <w:r>
        <w:lastRenderedPageBreak/>
        <w:t>If</w:t>
      </w:r>
      <w:r>
        <w:rPr>
          <w:spacing w:val="-12"/>
        </w:rPr>
        <w:t xml:space="preserve"> </w:t>
      </w:r>
      <w:r>
        <w:t>removed</w:t>
      </w:r>
      <w:r>
        <w:rPr>
          <w:spacing w:val="-11"/>
        </w:rPr>
        <w:t xml:space="preserve"> </w:t>
      </w:r>
      <w:r>
        <w:t>from</w:t>
      </w:r>
      <w:r>
        <w:rPr>
          <w:spacing w:val="-10"/>
        </w:rPr>
        <w:t xml:space="preserve"> </w:t>
      </w:r>
      <w:r>
        <w:t>the</w:t>
      </w:r>
      <w:r>
        <w:rPr>
          <w:spacing w:val="-11"/>
        </w:rPr>
        <w:t xml:space="preserve"> </w:t>
      </w:r>
      <w:r>
        <w:t>refrigerator,</w:t>
      </w:r>
      <w:r>
        <w:rPr>
          <w:spacing w:val="-13"/>
        </w:rPr>
        <w:t xml:space="preserve"> </w:t>
      </w:r>
      <w:proofErr w:type="spellStart"/>
      <w:r>
        <w:t>DOSTIVA</w:t>
      </w:r>
      <w:proofErr w:type="spellEnd"/>
      <w:r>
        <w:rPr>
          <w:spacing w:val="-8"/>
        </w:rPr>
        <w:t xml:space="preserve"> </w:t>
      </w:r>
      <w:r>
        <w:t>should</w:t>
      </w:r>
      <w:r>
        <w:rPr>
          <w:spacing w:val="-12"/>
        </w:rPr>
        <w:t xml:space="preserve"> </w:t>
      </w:r>
      <w:r>
        <w:t>be</w:t>
      </w:r>
      <w:r>
        <w:rPr>
          <w:spacing w:val="-11"/>
        </w:rPr>
        <w:t xml:space="preserve"> </w:t>
      </w:r>
      <w:r>
        <w:t>kept</w:t>
      </w:r>
      <w:r>
        <w:rPr>
          <w:spacing w:val="-11"/>
        </w:rPr>
        <w:t xml:space="preserve"> </w:t>
      </w:r>
      <w:r>
        <w:t>at</w:t>
      </w:r>
      <w:r>
        <w:rPr>
          <w:spacing w:val="-11"/>
        </w:rPr>
        <w:t xml:space="preserve"> </w:t>
      </w:r>
      <w:r>
        <w:t>room</w:t>
      </w:r>
      <w:r>
        <w:rPr>
          <w:spacing w:val="-10"/>
        </w:rPr>
        <w:t xml:space="preserve"> </w:t>
      </w:r>
      <w:r>
        <w:t>temperature</w:t>
      </w:r>
      <w:r>
        <w:rPr>
          <w:spacing w:val="-10"/>
        </w:rPr>
        <w:t xml:space="preserve"> </w:t>
      </w:r>
      <w:r>
        <w:t>(up</w:t>
      </w:r>
      <w:r>
        <w:rPr>
          <w:spacing w:val="-12"/>
        </w:rPr>
        <w:t xml:space="preserve"> </w:t>
      </w:r>
      <w:r>
        <w:t>to</w:t>
      </w:r>
      <w:r>
        <w:rPr>
          <w:spacing w:val="-10"/>
        </w:rPr>
        <w:t xml:space="preserve"> </w:t>
      </w:r>
      <w:r>
        <w:t>25</w:t>
      </w:r>
      <w:r>
        <w:rPr>
          <w:spacing w:val="-8"/>
        </w:rPr>
        <w:t xml:space="preserve"> </w:t>
      </w:r>
      <w:r>
        <w:t>°C)</w:t>
      </w:r>
      <w:r>
        <w:rPr>
          <w:spacing w:val="-5"/>
        </w:rPr>
        <w:t xml:space="preserve"> </w:t>
      </w:r>
      <w:r>
        <w:t>in</w:t>
      </w:r>
      <w:r>
        <w:rPr>
          <w:spacing w:val="-6"/>
        </w:rPr>
        <w:t xml:space="preserve"> </w:t>
      </w:r>
      <w:r>
        <w:t>the</w:t>
      </w:r>
      <w:r>
        <w:rPr>
          <w:spacing w:val="-6"/>
        </w:rPr>
        <w:t xml:space="preserve"> </w:t>
      </w:r>
      <w:r>
        <w:t>original container and must be used within 30 days.</w:t>
      </w:r>
    </w:p>
    <w:p w14:paraId="43DB4F34" w14:textId="77777777" w:rsidR="00401300" w:rsidRDefault="00401300" w:rsidP="00401300"/>
    <w:p w14:paraId="69621D72" w14:textId="77777777" w:rsidR="00AE135B" w:rsidRDefault="00EE5424">
      <w:pPr>
        <w:pStyle w:val="Heading2"/>
        <w:numPr>
          <w:ilvl w:val="1"/>
          <w:numId w:val="3"/>
        </w:numPr>
        <w:tabs>
          <w:tab w:val="left" w:pos="1106"/>
        </w:tabs>
        <w:spacing w:before="80"/>
        <w:ind w:hanging="799"/>
      </w:pPr>
      <w:r>
        <w:t>Nature</w:t>
      </w:r>
      <w:r>
        <w:rPr>
          <w:spacing w:val="-9"/>
        </w:rPr>
        <w:t xml:space="preserve"> </w:t>
      </w:r>
      <w:r>
        <w:t>and</w:t>
      </w:r>
      <w:r>
        <w:rPr>
          <w:spacing w:val="-9"/>
        </w:rPr>
        <w:t xml:space="preserve"> </w:t>
      </w:r>
      <w:r>
        <w:t>contents</w:t>
      </w:r>
      <w:r>
        <w:rPr>
          <w:spacing w:val="-8"/>
        </w:rPr>
        <w:t xml:space="preserve"> </w:t>
      </w:r>
      <w:r>
        <w:t>of</w:t>
      </w:r>
      <w:r>
        <w:rPr>
          <w:spacing w:val="-10"/>
        </w:rPr>
        <w:t xml:space="preserve"> </w:t>
      </w:r>
      <w:r>
        <w:rPr>
          <w:spacing w:val="-2"/>
        </w:rPr>
        <w:t>container</w:t>
      </w:r>
    </w:p>
    <w:p w14:paraId="74109A0B" w14:textId="77777777" w:rsidR="00AE135B" w:rsidRDefault="00EE5424">
      <w:pPr>
        <w:pStyle w:val="BodyText"/>
        <w:spacing w:before="119" w:line="468" w:lineRule="auto"/>
        <w:ind w:right="4355"/>
      </w:pPr>
      <w:proofErr w:type="spellStart"/>
      <w:r>
        <w:rPr>
          <w:spacing w:val="-2"/>
        </w:rPr>
        <w:t>DOSTIVA</w:t>
      </w:r>
      <w:proofErr w:type="spellEnd"/>
      <w:r>
        <w:rPr>
          <w:spacing w:val="-11"/>
        </w:rPr>
        <w:t xml:space="preserve"> </w:t>
      </w:r>
      <w:r>
        <w:rPr>
          <w:spacing w:val="-2"/>
        </w:rPr>
        <w:t>is</w:t>
      </w:r>
      <w:r>
        <w:rPr>
          <w:spacing w:val="-10"/>
        </w:rPr>
        <w:t xml:space="preserve"> </w:t>
      </w:r>
      <w:r>
        <w:rPr>
          <w:spacing w:val="-2"/>
        </w:rPr>
        <w:t>supplied</w:t>
      </w:r>
      <w:r>
        <w:rPr>
          <w:spacing w:val="-10"/>
        </w:rPr>
        <w:t xml:space="preserve"> </w:t>
      </w:r>
      <w:r>
        <w:rPr>
          <w:spacing w:val="-2"/>
        </w:rPr>
        <w:t>in</w:t>
      </w:r>
      <w:r>
        <w:rPr>
          <w:spacing w:val="-10"/>
        </w:rPr>
        <w:t xml:space="preserve"> </w:t>
      </w:r>
      <w:r>
        <w:rPr>
          <w:spacing w:val="-2"/>
        </w:rPr>
        <w:t>a</w:t>
      </w:r>
      <w:r>
        <w:rPr>
          <w:spacing w:val="-11"/>
        </w:rPr>
        <w:t xml:space="preserve"> </w:t>
      </w:r>
      <w:r>
        <w:rPr>
          <w:spacing w:val="-2"/>
        </w:rPr>
        <w:t>single-use</w:t>
      </w:r>
      <w:r>
        <w:rPr>
          <w:spacing w:val="-16"/>
        </w:rPr>
        <w:t xml:space="preserve"> </w:t>
      </w:r>
      <w:r>
        <w:rPr>
          <w:spacing w:val="-2"/>
        </w:rPr>
        <w:t>2</w:t>
      </w:r>
      <w:r>
        <w:rPr>
          <w:spacing w:val="-16"/>
        </w:rPr>
        <w:t xml:space="preserve"> </w:t>
      </w:r>
      <w:r>
        <w:rPr>
          <w:spacing w:val="-2"/>
        </w:rPr>
        <w:t>mL</w:t>
      </w:r>
      <w:r>
        <w:rPr>
          <w:spacing w:val="-16"/>
        </w:rPr>
        <w:t xml:space="preserve"> </w:t>
      </w:r>
      <w:r>
        <w:rPr>
          <w:spacing w:val="-2"/>
        </w:rPr>
        <w:t>Type</w:t>
      </w:r>
      <w:r>
        <w:rPr>
          <w:spacing w:val="-19"/>
        </w:rPr>
        <w:t xml:space="preserve"> </w:t>
      </w:r>
      <w:r>
        <w:rPr>
          <w:spacing w:val="-2"/>
        </w:rPr>
        <w:t>1</w:t>
      </w:r>
      <w:r>
        <w:rPr>
          <w:spacing w:val="-13"/>
        </w:rPr>
        <w:t xml:space="preserve"> </w:t>
      </w:r>
      <w:r>
        <w:rPr>
          <w:spacing w:val="-2"/>
        </w:rPr>
        <w:t>glass</w:t>
      </w:r>
      <w:r>
        <w:rPr>
          <w:spacing w:val="-10"/>
        </w:rPr>
        <w:t xml:space="preserve"> </w:t>
      </w:r>
      <w:r>
        <w:rPr>
          <w:spacing w:val="-2"/>
        </w:rPr>
        <w:t xml:space="preserve">vial. </w:t>
      </w:r>
      <w:r>
        <w:t>Pack size: one vial.</w:t>
      </w:r>
    </w:p>
    <w:p w14:paraId="3BF28CF6" w14:textId="77777777" w:rsidR="00AE135B" w:rsidRDefault="00EE5424">
      <w:pPr>
        <w:pStyle w:val="Heading2"/>
        <w:numPr>
          <w:ilvl w:val="1"/>
          <w:numId w:val="3"/>
        </w:numPr>
        <w:tabs>
          <w:tab w:val="left" w:pos="1106"/>
        </w:tabs>
        <w:spacing w:before="125"/>
        <w:ind w:hanging="799"/>
      </w:pPr>
      <w:r>
        <w:t>Special</w:t>
      </w:r>
      <w:r>
        <w:rPr>
          <w:spacing w:val="-11"/>
        </w:rPr>
        <w:t xml:space="preserve"> </w:t>
      </w:r>
      <w:r>
        <w:t>precautions</w:t>
      </w:r>
      <w:r>
        <w:rPr>
          <w:spacing w:val="-11"/>
        </w:rPr>
        <w:t xml:space="preserve"> </w:t>
      </w:r>
      <w:r>
        <w:t>for</w:t>
      </w:r>
      <w:r>
        <w:rPr>
          <w:spacing w:val="-10"/>
        </w:rPr>
        <w:t xml:space="preserve"> </w:t>
      </w:r>
      <w:r>
        <w:rPr>
          <w:spacing w:val="-2"/>
        </w:rPr>
        <w:t>disposal</w:t>
      </w:r>
    </w:p>
    <w:p w14:paraId="631681AC" w14:textId="77777777" w:rsidR="00AE135B" w:rsidRDefault="00EE5424">
      <w:pPr>
        <w:pStyle w:val="BodyText"/>
        <w:spacing w:before="119"/>
      </w:pPr>
      <w:r>
        <w:rPr>
          <w:spacing w:val="-4"/>
        </w:rPr>
        <w:t>In</w:t>
      </w:r>
      <w:r>
        <w:rPr>
          <w:spacing w:val="-6"/>
        </w:rPr>
        <w:t xml:space="preserve"> </w:t>
      </w:r>
      <w:r>
        <w:rPr>
          <w:spacing w:val="-4"/>
        </w:rPr>
        <w:t>Australia,</w:t>
      </w:r>
      <w:r>
        <w:t xml:space="preserve"> </w:t>
      </w:r>
      <w:r>
        <w:rPr>
          <w:spacing w:val="-4"/>
        </w:rPr>
        <w:t>any</w:t>
      </w:r>
      <w:r>
        <w:rPr>
          <w:spacing w:val="-1"/>
        </w:rPr>
        <w:t xml:space="preserve"> </w:t>
      </w:r>
      <w:r>
        <w:rPr>
          <w:spacing w:val="-4"/>
        </w:rPr>
        <w:t>unused medicine</w:t>
      </w:r>
      <w:r>
        <w:rPr>
          <w:spacing w:val="-3"/>
        </w:rPr>
        <w:t xml:space="preserve"> </w:t>
      </w:r>
      <w:r>
        <w:rPr>
          <w:spacing w:val="-4"/>
        </w:rPr>
        <w:t>or waste</w:t>
      </w:r>
      <w:r>
        <w:rPr>
          <w:spacing w:val="-6"/>
        </w:rPr>
        <w:t xml:space="preserve"> </w:t>
      </w:r>
      <w:r>
        <w:rPr>
          <w:spacing w:val="-4"/>
        </w:rPr>
        <w:t>material</w:t>
      </w:r>
      <w:r>
        <w:rPr>
          <w:spacing w:val="-3"/>
        </w:rPr>
        <w:t xml:space="preserve"> </w:t>
      </w:r>
      <w:r>
        <w:rPr>
          <w:spacing w:val="-4"/>
        </w:rPr>
        <w:t>should</w:t>
      </w:r>
      <w:r>
        <w:rPr>
          <w:spacing w:val="-2"/>
        </w:rPr>
        <w:t xml:space="preserve"> </w:t>
      </w:r>
      <w:r>
        <w:rPr>
          <w:spacing w:val="-4"/>
        </w:rPr>
        <w:t>be</w:t>
      </w:r>
      <w:r>
        <w:t xml:space="preserve"> </w:t>
      </w:r>
      <w:r>
        <w:rPr>
          <w:spacing w:val="-4"/>
        </w:rPr>
        <w:t>disposed of</w:t>
      </w:r>
      <w:r>
        <w:rPr>
          <w:spacing w:val="-7"/>
        </w:rPr>
        <w:t xml:space="preserve"> </w:t>
      </w:r>
      <w:r>
        <w:rPr>
          <w:spacing w:val="-4"/>
        </w:rPr>
        <w:t>by</w:t>
      </w:r>
      <w:r>
        <w:t xml:space="preserve"> </w:t>
      </w:r>
      <w:r>
        <w:rPr>
          <w:spacing w:val="-4"/>
        </w:rPr>
        <w:t>taking</w:t>
      </w:r>
      <w:r>
        <w:rPr>
          <w:spacing w:val="-10"/>
        </w:rPr>
        <w:t xml:space="preserve"> </w:t>
      </w:r>
      <w:r>
        <w:rPr>
          <w:spacing w:val="-4"/>
        </w:rPr>
        <w:t>to</w:t>
      </w:r>
      <w:r>
        <w:rPr>
          <w:spacing w:val="-3"/>
        </w:rPr>
        <w:t xml:space="preserve"> </w:t>
      </w:r>
      <w:r>
        <w:rPr>
          <w:spacing w:val="-4"/>
        </w:rPr>
        <w:t>your</w:t>
      </w:r>
      <w:r>
        <w:rPr>
          <w:spacing w:val="-2"/>
        </w:rPr>
        <w:t xml:space="preserve"> </w:t>
      </w:r>
      <w:r>
        <w:rPr>
          <w:spacing w:val="-4"/>
        </w:rPr>
        <w:t>local</w:t>
      </w:r>
      <w:r>
        <w:rPr>
          <w:spacing w:val="-1"/>
        </w:rPr>
        <w:t xml:space="preserve"> </w:t>
      </w:r>
      <w:r>
        <w:rPr>
          <w:spacing w:val="-4"/>
        </w:rPr>
        <w:t>pharmacy.</w:t>
      </w:r>
    </w:p>
    <w:p w14:paraId="7179882F" w14:textId="77777777" w:rsidR="00AE135B" w:rsidRDefault="00AE135B">
      <w:pPr>
        <w:pStyle w:val="BodyText"/>
        <w:ind w:left="0"/>
      </w:pPr>
    </w:p>
    <w:p w14:paraId="5E6A7812" w14:textId="77777777" w:rsidR="00AE135B" w:rsidRDefault="00AE135B">
      <w:pPr>
        <w:pStyle w:val="BodyText"/>
        <w:spacing w:before="97"/>
        <w:ind w:left="0"/>
      </w:pPr>
    </w:p>
    <w:p w14:paraId="358D3444" w14:textId="77777777" w:rsidR="00AE135B" w:rsidRDefault="00EE5424">
      <w:pPr>
        <w:pStyle w:val="Heading2"/>
        <w:numPr>
          <w:ilvl w:val="1"/>
          <w:numId w:val="3"/>
        </w:numPr>
        <w:tabs>
          <w:tab w:val="left" w:pos="1106"/>
        </w:tabs>
        <w:ind w:hanging="799"/>
      </w:pPr>
      <w:r>
        <w:rPr>
          <w:spacing w:val="-2"/>
        </w:rPr>
        <w:t>Physicochemical</w:t>
      </w:r>
      <w:r>
        <w:rPr>
          <w:spacing w:val="12"/>
        </w:rPr>
        <w:t xml:space="preserve"> </w:t>
      </w:r>
      <w:r>
        <w:rPr>
          <w:spacing w:val="-2"/>
        </w:rPr>
        <w:t>properties</w:t>
      </w:r>
    </w:p>
    <w:p w14:paraId="051AD37F" w14:textId="77777777" w:rsidR="00AE135B" w:rsidRDefault="00EE5424">
      <w:pPr>
        <w:pStyle w:val="Heading3"/>
        <w:spacing w:before="119"/>
      </w:pPr>
      <w:r>
        <w:rPr>
          <w:spacing w:val="-4"/>
        </w:rPr>
        <w:t>Chemical</w:t>
      </w:r>
      <w:r>
        <w:rPr>
          <w:spacing w:val="3"/>
        </w:rPr>
        <w:t xml:space="preserve"> </w:t>
      </w:r>
      <w:r>
        <w:rPr>
          <w:spacing w:val="-2"/>
        </w:rPr>
        <w:t>structure</w:t>
      </w:r>
    </w:p>
    <w:p w14:paraId="71306ADA" w14:textId="77777777" w:rsidR="00AE135B" w:rsidRDefault="00EE5424">
      <w:pPr>
        <w:pStyle w:val="BodyText"/>
        <w:spacing w:before="4"/>
        <w:ind w:left="0"/>
        <w:rPr>
          <w:b/>
          <w:sz w:val="20"/>
        </w:rPr>
      </w:pPr>
      <w:r>
        <w:rPr>
          <w:b/>
          <w:noProof/>
          <w:sz w:val="20"/>
        </w:rPr>
        <w:drawing>
          <wp:inline distT="0" distB="0" distL="0" distR="0" wp14:anchorId="5DA0F8A3" wp14:editId="39FD29D4">
            <wp:extent cx="2674020" cy="2322576"/>
            <wp:effectExtent l="0" t="0" r="0" b="1905"/>
            <wp:docPr id="9" name="Image 9" descr="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hemical stru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74020" cy="2322576"/>
                    </a:xfrm>
                    <a:prstGeom prst="rect">
                      <a:avLst/>
                    </a:prstGeom>
                  </pic:spPr>
                </pic:pic>
              </a:graphicData>
            </a:graphic>
          </wp:inline>
        </w:drawing>
      </w:r>
    </w:p>
    <w:p w14:paraId="6980247B" w14:textId="77777777" w:rsidR="00AE135B" w:rsidRDefault="00EE5424">
      <w:pPr>
        <w:spacing w:before="223"/>
        <w:ind w:left="307"/>
      </w:pPr>
      <w:r>
        <w:rPr>
          <w:b/>
          <w:spacing w:val="-2"/>
        </w:rPr>
        <w:t>CAS</w:t>
      </w:r>
      <w:r>
        <w:rPr>
          <w:b/>
          <w:spacing w:val="-11"/>
        </w:rPr>
        <w:t xml:space="preserve"> </w:t>
      </w:r>
      <w:r>
        <w:rPr>
          <w:b/>
          <w:spacing w:val="-2"/>
        </w:rPr>
        <w:t>number:</w:t>
      </w:r>
      <w:r>
        <w:rPr>
          <w:b/>
          <w:spacing w:val="5"/>
        </w:rPr>
        <w:t xml:space="preserve"> </w:t>
      </w:r>
      <w:r>
        <w:rPr>
          <w:spacing w:val="-2"/>
        </w:rPr>
        <w:t>615258-40-</w:t>
      </w:r>
      <w:r>
        <w:rPr>
          <w:spacing w:val="-10"/>
        </w:rPr>
        <w:t>7</w:t>
      </w:r>
    </w:p>
    <w:p w14:paraId="7404631D" w14:textId="77777777" w:rsidR="00AE135B" w:rsidRDefault="00AE135B">
      <w:pPr>
        <w:pStyle w:val="BodyText"/>
        <w:ind w:left="0"/>
      </w:pPr>
    </w:p>
    <w:p w14:paraId="675B46F8" w14:textId="77777777" w:rsidR="00AE135B" w:rsidRDefault="00AE135B">
      <w:pPr>
        <w:pStyle w:val="BodyText"/>
        <w:spacing w:before="221"/>
        <w:ind w:left="0"/>
      </w:pPr>
    </w:p>
    <w:p w14:paraId="33BE869D" w14:textId="77777777" w:rsidR="00AE135B" w:rsidRDefault="00EE5424">
      <w:pPr>
        <w:pStyle w:val="Heading1"/>
        <w:numPr>
          <w:ilvl w:val="0"/>
          <w:numId w:val="3"/>
        </w:numPr>
        <w:tabs>
          <w:tab w:val="left" w:pos="1106"/>
        </w:tabs>
        <w:ind w:hanging="799"/>
      </w:pPr>
      <w:r>
        <w:rPr>
          <w:spacing w:val="-2"/>
        </w:rPr>
        <w:t>MEDICINE</w:t>
      </w:r>
      <w:r>
        <w:rPr>
          <w:spacing w:val="-19"/>
        </w:rPr>
        <w:t xml:space="preserve"> </w:t>
      </w:r>
      <w:r>
        <w:rPr>
          <w:spacing w:val="-2"/>
        </w:rPr>
        <w:t>SCHEDULE</w:t>
      </w:r>
      <w:r>
        <w:rPr>
          <w:spacing w:val="-13"/>
        </w:rPr>
        <w:t xml:space="preserve"> </w:t>
      </w:r>
      <w:r>
        <w:rPr>
          <w:spacing w:val="-2"/>
        </w:rPr>
        <w:t>(POISONS</w:t>
      </w:r>
      <w:r>
        <w:rPr>
          <w:spacing w:val="-13"/>
        </w:rPr>
        <w:t xml:space="preserve"> </w:t>
      </w:r>
      <w:r>
        <w:rPr>
          <w:spacing w:val="-2"/>
        </w:rPr>
        <w:t>STANDARD)</w:t>
      </w:r>
    </w:p>
    <w:p w14:paraId="2F3F0BCE" w14:textId="77777777" w:rsidR="00AE135B" w:rsidRDefault="00EE5424">
      <w:pPr>
        <w:pStyle w:val="BodyText"/>
        <w:spacing w:before="123"/>
      </w:pPr>
      <w:proofErr w:type="spellStart"/>
      <w:r>
        <w:rPr>
          <w:spacing w:val="-2"/>
        </w:rPr>
        <w:t>S4</w:t>
      </w:r>
      <w:proofErr w:type="spellEnd"/>
      <w:r>
        <w:rPr>
          <w:spacing w:val="-7"/>
        </w:rPr>
        <w:t xml:space="preserve"> </w:t>
      </w:r>
      <w:r>
        <w:rPr>
          <w:spacing w:val="-2"/>
        </w:rPr>
        <w:t>Prescription</w:t>
      </w:r>
      <w:r>
        <w:rPr>
          <w:spacing w:val="-5"/>
        </w:rPr>
        <w:t xml:space="preserve"> </w:t>
      </w:r>
      <w:r>
        <w:rPr>
          <w:spacing w:val="-2"/>
        </w:rPr>
        <w:t>Medicine</w:t>
      </w:r>
    </w:p>
    <w:p w14:paraId="20B49E5A" w14:textId="77777777" w:rsidR="00AE135B" w:rsidRDefault="00AE135B">
      <w:pPr>
        <w:pStyle w:val="BodyText"/>
        <w:ind w:left="0"/>
      </w:pPr>
    </w:p>
    <w:p w14:paraId="4C2BA53B" w14:textId="77777777" w:rsidR="00AE135B" w:rsidRDefault="00AE135B">
      <w:pPr>
        <w:pStyle w:val="BodyText"/>
        <w:spacing w:before="101"/>
        <w:ind w:left="0"/>
      </w:pPr>
    </w:p>
    <w:p w14:paraId="416EADA9" w14:textId="77777777" w:rsidR="00AE135B" w:rsidRDefault="00EE5424">
      <w:pPr>
        <w:pStyle w:val="Heading1"/>
        <w:numPr>
          <w:ilvl w:val="0"/>
          <w:numId w:val="3"/>
        </w:numPr>
        <w:tabs>
          <w:tab w:val="left" w:pos="1106"/>
        </w:tabs>
        <w:spacing w:before="1"/>
        <w:ind w:hanging="799"/>
      </w:pPr>
      <w:r>
        <w:rPr>
          <w:spacing w:val="-2"/>
        </w:rPr>
        <w:t>SPONSOR</w:t>
      </w:r>
    </w:p>
    <w:p w14:paraId="4E091572" w14:textId="77777777" w:rsidR="00AE135B" w:rsidRDefault="00EE5424">
      <w:pPr>
        <w:pStyle w:val="BodyText"/>
        <w:spacing w:before="120"/>
        <w:ind w:left="297"/>
      </w:pPr>
      <w:r>
        <w:rPr>
          <w:spacing w:val="-4"/>
        </w:rPr>
        <w:t>Accord</w:t>
      </w:r>
      <w:r>
        <w:t xml:space="preserve"> </w:t>
      </w:r>
      <w:r>
        <w:rPr>
          <w:spacing w:val="-4"/>
        </w:rPr>
        <w:t>Healthcare</w:t>
      </w:r>
      <w:r>
        <w:rPr>
          <w:spacing w:val="1"/>
        </w:rPr>
        <w:t xml:space="preserve"> </w:t>
      </w:r>
      <w:r>
        <w:rPr>
          <w:spacing w:val="-4"/>
        </w:rPr>
        <w:t>Pty</w:t>
      </w:r>
      <w:r>
        <w:rPr>
          <w:spacing w:val="2"/>
        </w:rPr>
        <w:t xml:space="preserve"> </w:t>
      </w:r>
      <w:r>
        <w:rPr>
          <w:spacing w:val="-4"/>
        </w:rPr>
        <w:t>Limited</w:t>
      </w:r>
    </w:p>
    <w:p w14:paraId="4D888337" w14:textId="77777777" w:rsidR="00AE135B" w:rsidRDefault="00EE5424">
      <w:pPr>
        <w:pStyle w:val="BodyText"/>
        <w:spacing w:before="117"/>
        <w:ind w:left="297"/>
      </w:pPr>
      <w:r>
        <w:t>Level</w:t>
      </w:r>
      <w:r>
        <w:rPr>
          <w:spacing w:val="-9"/>
        </w:rPr>
        <w:t xml:space="preserve"> </w:t>
      </w:r>
      <w:r>
        <w:t>24,</w:t>
      </w:r>
      <w:r>
        <w:rPr>
          <w:spacing w:val="-9"/>
        </w:rPr>
        <w:t xml:space="preserve"> </w:t>
      </w:r>
      <w:r>
        <w:t>570</w:t>
      </w:r>
      <w:r>
        <w:rPr>
          <w:spacing w:val="-6"/>
        </w:rPr>
        <w:t xml:space="preserve"> </w:t>
      </w:r>
      <w:r>
        <w:t>Bourke</w:t>
      </w:r>
      <w:r>
        <w:rPr>
          <w:spacing w:val="-8"/>
        </w:rPr>
        <w:t xml:space="preserve"> </w:t>
      </w:r>
      <w:r>
        <w:t>Street</w:t>
      </w:r>
      <w:r>
        <w:rPr>
          <w:spacing w:val="-7"/>
        </w:rPr>
        <w:t xml:space="preserve"> </w:t>
      </w:r>
      <w:r>
        <w:rPr>
          <w:spacing w:val="-2"/>
        </w:rPr>
        <w:t>Melbourne</w:t>
      </w:r>
    </w:p>
    <w:p w14:paraId="091EB5CB" w14:textId="77777777" w:rsidR="00AE135B" w:rsidRDefault="00EE5424">
      <w:pPr>
        <w:pStyle w:val="BodyText"/>
        <w:spacing w:before="125"/>
        <w:ind w:left="297"/>
      </w:pPr>
      <w:r>
        <w:t>VIC</w:t>
      </w:r>
      <w:r>
        <w:rPr>
          <w:spacing w:val="-12"/>
        </w:rPr>
        <w:t xml:space="preserve"> </w:t>
      </w:r>
      <w:r>
        <w:rPr>
          <w:spacing w:val="-4"/>
        </w:rPr>
        <w:t>3000</w:t>
      </w:r>
    </w:p>
    <w:p w14:paraId="7A30D3EE" w14:textId="77777777" w:rsidR="00AE135B" w:rsidRDefault="00EE5424">
      <w:pPr>
        <w:pStyle w:val="BodyText"/>
        <w:spacing w:before="116"/>
        <w:ind w:left="297"/>
      </w:pPr>
      <w:r>
        <w:rPr>
          <w:spacing w:val="-2"/>
        </w:rPr>
        <w:t>Phone:</w:t>
      </w:r>
      <w:r>
        <w:rPr>
          <w:spacing w:val="-10"/>
        </w:rPr>
        <w:t xml:space="preserve"> </w:t>
      </w:r>
      <w:r>
        <w:rPr>
          <w:spacing w:val="-2"/>
        </w:rPr>
        <w:t>1800</w:t>
      </w:r>
      <w:r>
        <w:rPr>
          <w:spacing w:val="-5"/>
        </w:rPr>
        <w:t xml:space="preserve"> </w:t>
      </w:r>
      <w:r>
        <w:rPr>
          <w:spacing w:val="-2"/>
        </w:rPr>
        <w:t>134</w:t>
      </w:r>
      <w:r>
        <w:rPr>
          <w:spacing w:val="-7"/>
        </w:rPr>
        <w:t xml:space="preserve"> </w:t>
      </w:r>
      <w:r>
        <w:rPr>
          <w:spacing w:val="-5"/>
        </w:rPr>
        <w:t>988</w:t>
      </w:r>
    </w:p>
    <w:p w14:paraId="3E3F5197" w14:textId="77777777" w:rsidR="00AE135B" w:rsidRDefault="00EE5424">
      <w:pPr>
        <w:pStyle w:val="BodyText"/>
        <w:spacing w:before="115"/>
        <w:ind w:left="297"/>
      </w:pPr>
      <w:r>
        <w:t>Email:</w:t>
      </w:r>
      <w:r>
        <w:rPr>
          <w:spacing w:val="-13"/>
        </w:rPr>
        <w:t xml:space="preserve"> </w:t>
      </w:r>
      <w:hyperlink r:id="rId15">
        <w:r>
          <w:rPr>
            <w:color w:val="0000FF"/>
            <w:spacing w:val="-2"/>
            <w:u w:val="single" w:color="0000FF"/>
          </w:rPr>
          <w:t>ds@commercialeyes.com.au</w:t>
        </w:r>
      </w:hyperlink>
    </w:p>
    <w:p w14:paraId="1E29D8B6" w14:textId="77777777" w:rsidR="00AE135B" w:rsidRDefault="00AE135B">
      <w:pPr>
        <w:pStyle w:val="BodyText"/>
        <w:spacing w:before="289"/>
        <w:ind w:left="0"/>
        <w:rPr>
          <w:sz w:val="28"/>
        </w:rPr>
      </w:pPr>
    </w:p>
    <w:p w14:paraId="466B8333" w14:textId="77777777" w:rsidR="00AE135B" w:rsidRDefault="00EE5424">
      <w:pPr>
        <w:pStyle w:val="Heading1"/>
        <w:numPr>
          <w:ilvl w:val="0"/>
          <w:numId w:val="3"/>
        </w:numPr>
        <w:tabs>
          <w:tab w:val="left" w:pos="1106"/>
        </w:tabs>
        <w:spacing w:before="1"/>
        <w:ind w:hanging="799"/>
      </w:pPr>
      <w:r>
        <w:lastRenderedPageBreak/>
        <w:t>DATE</w:t>
      </w:r>
      <w:r>
        <w:rPr>
          <w:spacing w:val="-17"/>
        </w:rPr>
        <w:t xml:space="preserve"> </w:t>
      </w:r>
      <w:r>
        <w:t>OF</w:t>
      </w:r>
      <w:r>
        <w:rPr>
          <w:spacing w:val="-13"/>
        </w:rPr>
        <w:t xml:space="preserve"> </w:t>
      </w:r>
      <w:r>
        <w:t>FIRST</w:t>
      </w:r>
      <w:r>
        <w:rPr>
          <w:spacing w:val="-11"/>
        </w:rPr>
        <w:t xml:space="preserve"> </w:t>
      </w:r>
      <w:r>
        <w:rPr>
          <w:spacing w:val="-2"/>
        </w:rPr>
        <w:t>APPROVAL</w:t>
      </w:r>
    </w:p>
    <w:p w14:paraId="25952780" w14:textId="77777777" w:rsidR="00AE135B" w:rsidRDefault="00EE5424">
      <w:pPr>
        <w:pStyle w:val="BodyText"/>
        <w:spacing w:before="271"/>
        <w:rPr>
          <w:spacing w:val="-6"/>
        </w:rPr>
      </w:pPr>
      <w:r>
        <w:rPr>
          <w:spacing w:val="-6"/>
        </w:rPr>
        <w:t>31</w:t>
      </w:r>
      <w:r>
        <w:rPr>
          <w:spacing w:val="-6"/>
          <w:vertAlign w:val="superscript"/>
        </w:rPr>
        <w:t>st</w:t>
      </w:r>
      <w:r>
        <w:rPr>
          <w:spacing w:val="-3"/>
        </w:rPr>
        <w:t xml:space="preserve"> </w:t>
      </w:r>
      <w:proofErr w:type="gramStart"/>
      <w:r>
        <w:rPr>
          <w:spacing w:val="-6"/>
        </w:rPr>
        <w:t>October,</w:t>
      </w:r>
      <w:proofErr w:type="gramEnd"/>
      <w:r>
        <w:rPr>
          <w:spacing w:val="-6"/>
        </w:rPr>
        <w:t xml:space="preserve"> 2025</w:t>
      </w:r>
    </w:p>
    <w:p w14:paraId="2042F5D6" w14:textId="77777777" w:rsidR="00401300" w:rsidRDefault="00401300" w:rsidP="00401300"/>
    <w:p w14:paraId="6E5AD337" w14:textId="77777777" w:rsidR="00AE135B" w:rsidRDefault="00EE5424">
      <w:pPr>
        <w:pStyle w:val="Heading1"/>
        <w:numPr>
          <w:ilvl w:val="0"/>
          <w:numId w:val="3"/>
        </w:numPr>
        <w:tabs>
          <w:tab w:val="left" w:pos="1106"/>
        </w:tabs>
        <w:spacing w:before="72"/>
        <w:ind w:hanging="799"/>
      </w:pPr>
      <w:r>
        <w:t>DATE</w:t>
      </w:r>
      <w:r>
        <w:rPr>
          <w:spacing w:val="-16"/>
        </w:rPr>
        <w:t xml:space="preserve"> </w:t>
      </w:r>
      <w:r>
        <w:t>OF</w:t>
      </w:r>
      <w:r>
        <w:rPr>
          <w:spacing w:val="-9"/>
        </w:rPr>
        <w:t xml:space="preserve"> </w:t>
      </w:r>
      <w:r>
        <w:rPr>
          <w:spacing w:val="-2"/>
        </w:rPr>
        <w:t>REVISION</w:t>
      </w:r>
    </w:p>
    <w:p w14:paraId="2D65E782" w14:textId="77777777" w:rsidR="00AE135B" w:rsidRDefault="00EE5424">
      <w:pPr>
        <w:pStyle w:val="BodyText"/>
        <w:spacing w:before="122"/>
      </w:pPr>
      <w:r>
        <w:rPr>
          <w:spacing w:val="-5"/>
        </w:rPr>
        <w:t>TBD</w:t>
      </w:r>
    </w:p>
    <w:p w14:paraId="396F29E3" w14:textId="77777777" w:rsidR="00AE135B" w:rsidRDefault="00AE135B">
      <w:pPr>
        <w:pStyle w:val="BodyText"/>
        <w:ind w:left="0"/>
      </w:pPr>
    </w:p>
    <w:p w14:paraId="78A6C420" w14:textId="77777777" w:rsidR="00AE135B" w:rsidRDefault="00AE135B">
      <w:pPr>
        <w:pStyle w:val="BodyText"/>
        <w:spacing w:before="215"/>
        <w:ind w:left="0"/>
      </w:pPr>
    </w:p>
    <w:p w14:paraId="30BEF796" w14:textId="77777777" w:rsidR="00AE135B" w:rsidRDefault="00EE5424">
      <w:pPr>
        <w:ind w:left="307"/>
        <w:rPr>
          <w:b/>
          <w:sz w:val="24"/>
        </w:rPr>
      </w:pPr>
      <w:r>
        <w:rPr>
          <w:b/>
          <w:sz w:val="24"/>
        </w:rPr>
        <w:t>Summary</w:t>
      </w:r>
      <w:r>
        <w:rPr>
          <w:b/>
          <w:spacing w:val="-9"/>
          <w:sz w:val="24"/>
        </w:rPr>
        <w:t xml:space="preserve"> </w:t>
      </w:r>
      <w:r>
        <w:rPr>
          <w:b/>
          <w:sz w:val="24"/>
        </w:rPr>
        <w:t>table</w:t>
      </w:r>
      <w:r>
        <w:rPr>
          <w:b/>
          <w:spacing w:val="-8"/>
          <w:sz w:val="24"/>
        </w:rPr>
        <w:t xml:space="preserve"> </w:t>
      </w:r>
      <w:r>
        <w:rPr>
          <w:b/>
          <w:sz w:val="24"/>
        </w:rPr>
        <w:t>of</w:t>
      </w:r>
      <w:r>
        <w:rPr>
          <w:b/>
          <w:spacing w:val="-4"/>
          <w:sz w:val="24"/>
        </w:rPr>
        <w:t xml:space="preserve"> </w:t>
      </w:r>
      <w:r>
        <w:rPr>
          <w:b/>
          <w:spacing w:val="-2"/>
          <w:sz w:val="24"/>
        </w:rPr>
        <w:t>changes</w:t>
      </w:r>
    </w:p>
    <w:p w14:paraId="292D07FD" w14:textId="77777777" w:rsidR="00AE135B" w:rsidRDefault="00AE135B">
      <w:pPr>
        <w:pStyle w:val="BodyText"/>
        <w:spacing w:before="8"/>
        <w:ind w:left="0"/>
        <w:rPr>
          <w:b/>
          <w:sz w:val="9"/>
        </w:rPr>
      </w:pP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8191"/>
      </w:tblGrid>
      <w:tr w:rsidR="00AE135B" w14:paraId="62D693EE" w14:textId="77777777">
        <w:trPr>
          <w:trHeight w:val="537"/>
        </w:trPr>
        <w:tc>
          <w:tcPr>
            <w:tcW w:w="1099" w:type="dxa"/>
            <w:shd w:val="clear" w:color="auto" w:fill="D9D9D9"/>
          </w:tcPr>
          <w:p w14:paraId="3F984E3A" w14:textId="77777777" w:rsidR="00AE135B" w:rsidRDefault="00EE5424">
            <w:pPr>
              <w:pStyle w:val="TableParagraph"/>
              <w:spacing w:before="0" w:line="268" w:lineRule="exact"/>
              <w:ind w:left="112"/>
              <w:rPr>
                <w:b/>
              </w:rPr>
            </w:pPr>
            <w:r>
              <w:rPr>
                <w:b/>
                <w:spacing w:val="-2"/>
              </w:rPr>
              <w:t>Section</w:t>
            </w:r>
          </w:p>
          <w:p w14:paraId="50FDCE54" w14:textId="77777777" w:rsidR="00AE135B" w:rsidRDefault="00EE5424">
            <w:pPr>
              <w:pStyle w:val="TableParagraph"/>
              <w:spacing w:before="0" w:line="249" w:lineRule="exact"/>
              <w:ind w:left="112"/>
              <w:rPr>
                <w:b/>
              </w:rPr>
            </w:pPr>
            <w:r>
              <w:rPr>
                <w:b/>
                <w:spacing w:val="-2"/>
              </w:rPr>
              <w:t>changed</w:t>
            </w:r>
          </w:p>
        </w:tc>
        <w:tc>
          <w:tcPr>
            <w:tcW w:w="8191" w:type="dxa"/>
            <w:shd w:val="clear" w:color="auto" w:fill="D9D9D9"/>
          </w:tcPr>
          <w:p w14:paraId="33E13C64" w14:textId="77777777" w:rsidR="00AE135B" w:rsidRDefault="00EE5424">
            <w:pPr>
              <w:pStyle w:val="TableParagraph"/>
              <w:spacing w:before="133"/>
              <w:rPr>
                <w:b/>
              </w:rPr>
            </w:pPr>
            <w:r>
              <w:rPr>
                <w:b/>
                <w:spacing w:val="-2"/>
              </w:rPr>
              <w:t>Summary</w:t>
            </w:r>
            <w:r>
              <w:rPr>
                <w:b/>
                <w:spacing w:val="-8"/>
              </w:rPr>
              <w:t xml:space="preserve"> </w:t>
            </w:r>
            <w:r>
              <w:rPr>
                <w:b/>
                <w:spacing w:val="-2"/>
              </w:rPr>
              <w:t>of</w:t>
            </w:r>
            <w:r>
              <w:rPr>
                <w:b/>
                <w:spacing w:val="-7"/>
              </w:rPr>
              <w:t xml:space="preserve"> </w:t>
            </w:r>
            <w:r>
              <w:rPr>
                <w:b/>
                <w:spacing w:val="-2"/>
              </w:rPr>
              <w:t>new</w:t>
            </w:r>
            <w:r>
              <w:rPr>
                <w:b/>
                <w:spacing w:val="-6"/>
              </w:rPr>
              <w:t xml:space="preserve"> </w:t>
            </w:r>
            <w:r>
              <w:rPr>
                <w:b/>
                <w:spacing w:val="-2"/>
              </w:rPr>
              <w:t>information</w:t>
            </w:r>
          </w:p>
        </w:tc>
      </w:tr>
      <w:tr w:rsidR="00AE135B" w14:paraId="2DDD77EA" w14:textId="77777777">
        <w:trPr>
          <w:trHeight w:val="486"/>
        </w:trPr>
        <w:tc>
          <w:tcPr>
            <w:tcW w:w="1099" w:type="dxa"/>
          </w:tcPr>
          <w:p w14:paraId="5CF5F5DD" w14:textId="77777777" w:rsidR="00AE135B" w:rsidRDefault="00EE5424">
            <w:pPr>
              <w:pStyle w:val="TableParagraph"/>
              <w:spacing w:before="88"/>
              <w:ind w:left="13"/>
              <w:jc w:val="center"/>
              <w:rPr>
                <w:b/>
              </w:rPr>
            </w:pPr>
            <w:r>
              <w:rPr>
                <w:b/>
                <w:spacing w:val="-5"/>
              </w:rPr>
              <w:t>All</w:t>
            </w:r>
          </w:p>
        </w:tc>
        <w:tc>
          <w:tcPr>
            <w:tcW w:w="8191" w:type="dxa"/>
          </w:tcPr>
          <w:p w14:paraId="62E60868" w14:textId="77777777" w:rsidR="00AE135B" w:rsidRDefault="00EE5424">
            <w:pPr>
              <w:pStyle w:val="TableParagraph"/>
              <w:spacing w:before="88"/>
              <w:ind w:left="184"/>
            </w:pPr>
            <w:r>
              <w:t>Minor</w:t>
            </w:r>
            <w:r>
              <w:rPr>
                <w:spacing w:val="-7"/>
              </w:rPr>
              <w:t xml:space="preserve"> </w:t>
            </w:r>
            <w:r>
              <w:t>editorial</w:t>
            </w:r>
            <w:r>
              <w:rPr>
                <w:spacing w:val="-2"/>
              </w:rPr>
              <w:t xml:space="preserve"> changes</w:t>
            </w:r>
          </w:p>
        </w:tc>
      </w:tr>
      <w:tr w:rsidR="00AE135B" w14:paraId="617C3119" w14:textId="77777777">
        <w:trPr>
          <w:trHeight w:val="487"/>
        </w:trPr>
        <w:tc>
          <w:tcPr>
            <w:tcW w:w="1099" w:type="dxa"/>
          </w:tcPr>
          <w:p w14:paraId="244E28B2" w14:textId="77777777" w:rsidR="00AE135B" w:rsidRDefault="00EE5424">
            <w:pPr>
              <w:pStyle w:val="TableParagraph"/>
              <w:spacing w:before="88"/>
              <w:ind w:left="13"/>
              <w:jc w:val="center"/>
              <w:rPr>
                <w:b/>
              </w:rPr>
            </w:pPr>
            <w:r>
              <w:rPr>
                <w:b/>
                <w:spacing w:val="-5"/>
              </w:rPr>
              <w:t>4.2</w:t>
            </w:r>
          </w:p>
        </w:tc>
        <w:tc>
          <w:tcPr>
            <w:tcW w:w="8191" w:type="dxa"/>
          </w:tcPr>
          <w:p w14:paraId="657C0296" w14:textId="77777777" w:rsidR="00AE135B" w:rsidRDefault="00EE5424">
            <w:pPr>
              <w:pStyle w:val="TableParagraph"/>
              <w:spacing w:before="88"/>
              <w:ind w:left="184"/>
            </w:pPr>
            <w:r>
              <w:t>Minor</w:t>
            </w:r>
            <w:r>
              <w:rPr>
                <w:spacing w:val="-6"/>
              </w:rPr>
              <w:t xml:space="preserve"> </w:t>
            </w:r>
            <w:r>
              <w:t>editorial</w:t>
            </w:r>
            <w:r>
              <w:rPr>
                <w:spacing w:val="-5"/>
              </w:rPr>
              <w:t xml:space="preserve"> </w:t>
            </w:r>
            <w:r>
              <w:t>changes</w:t>
            </w:r>
            <w:r>
              <w:rPr>
                <w:spacing w:val="-6"/>
              </w:rPr>
              <w:t xml:space="preserve"> </w:t>
            </w:r>
            <w:r>
              <w:t>regarding</w:t>
            </w:r>
            <w:r>
              <w:rPr>
                <w:spacing w:val="-5"/>
              </w:rPr>
              <w:t xml:space="preserve"> </w:t>
            </w:r>
            <w:r>
              <w:t>method</w:t>
            </w:r>
            <w:r>
              <w:rPr>
                <w:spacing w:val="-5"/>
              </w:rPr>
              <w:t xml:space="preserve"> </w:t>
            </w:r>
            <w:r>
              <w:t>of</w:t>
            </w:r>
            <w:r>
              <w:rPr>
                <w:spacing w:val="-6"/>
              </w:rPr>
              <w:t xml:space="preserve"> </w:t>
            </w:r>
            <w:r>
              <w:rPr>
                <w:spacing w:val="-2"/>
              </w:rPr>
              <w:t>administration</w:t>
            </w:r>
          </w:p>
        </w:tc>
      </w:tr>
      <w:tr w:rsidR="00AE135B" w14:paraId="6F2C496B" w14:textId="77777777">
        <w:trPr>
          <w:trHeight w:val="676"/>
        </w:trPr>
        <w:tc>
          <w:tcPr>
            <w:tcW w:w="1099" w:type="dxa"/>
          </w:tcPr>
          <w:p w14:paraId="7474688A" w14:textId="77777777" w:rsidR="00AE135B" w:rsidRDefault="00EE5424">
            <w:pPr>
              <w:pStyle w:val="TableParagraph"/>
              <w:spacing w:before="184"/>
              <w:ind w:left="13"/>
              <w:jc w:val="center"/>
              <w:rPr>
                <w:b/>
              </w:rPr>
            </w:pPr>
            <w:r>
              <w:rPr>
                <w:b/>
                <w:spacing w:val="-5"/>
              </w:rPr>
              <w:t>4.4</w:t>
            </w:r>
          </w:p>
        </w:tc>
        <w:tc>
          <w:tcPr>
            <w:tcW w:w="8191" w:type="dxa"/>
          </w:tcPr>
          <w:p w14:paraId="30DB7BE2" w14:textId="77777777" w:rsidR="00AE135B" w:rsidRDefault="00EE5424">
            <w:pPr>
              <w:pStyle w:val="TableParagraph"/>
              <w:spacing w:before="27" w:line="300" w:lineRule="atLeast"/>
              <w:ind w:left="184" w:right="2808"/>
            </w:pPr>
            <w:r>
              <w:t>Update</w:t>
            </w:r>
            <w:r>
              <w:rPr>
                <w:spacing w:val="-5"/>
              </w:rPr>
              <w:t xml:space="preserve"> </w:t>
            </w:r>
            <w:r>
              <w:t>to</w:t>
            </w:r>
            <w:r>
              <w:rPr>
                <w:spacing w:val="-4"/>
              </w:rPr>
              <w:t xml:space="preserve"> </w:t>
            </w:r>
            <w:r>
              <w:t>sub-section:</w:t>
            </w:r>
            <w:r>
              <w:rPr>
                <w:spacing w:val="-7"/>
              </w:rPr>
              <w:t xml:space="preserve"> </w:t>
            </w:r>
            <w:r>
              <w:t>Drugs</w:t>
            </w:r>
            <w:r>
              <w:rPr>
                <w:spacing w:val="-5"/>
              </w:rPr>
              <w:t xml:space="preserve"> </w:t>
            </w:r>
            <w:r>
              <w:t>with</w:t>
            </w:r>
            <w:r>
              <w:rPr>
                <w:spacing w:val="-6"/>
              </w:rPr>
              <w:t xml:space="preserve"> </w:t>
            </w:r>
            <w:r>
              <w:t>same</w:t>
            </w:r>
            <w:r>
              <w:rPr>
                <w:spacing w:val="-7"/>
              </w:rPr>
              <w:t xml:space="preserve"> </w:t>
            </w:r>
            <w:r>
              <w:t>active</w:t>
            </w:r>
            <w:r>
              <w:rPr>
                <w:spacing w:val="-7"/>
              </w:rPr>
              <w:t xml:space="preserve"> </w:t>
            </w:r>
            <w:r>
              <w:t>ingredient. Addition of subsection: Patients with Phenylketonuria.</w:t>
            </w:r>
          </w:p>
        </w:tc>
      </w:tr>
      <w:tr w:rsidR="00AE135B" w14:paraId="43A7166B" w14:textId="77777777">
        <w:trPr>
          <w:trHeight w:val="678"/>
        </w:trPr>
        <w:tc>
          <w:tcPr>
            <w:tcW w:w="1099" w:type="dxa"/>
          </w:tcPr>
          <w:p w14:paraId="1109702E" w14:textId="77777777" w:rsidR="00AE135B" w:rsidRDefault="00EE5424">
            <w:pPr>
              <w:pStyle w:val="TableParagraph"/>
              <w:spacing w:before="184"/>
              <w:ind w:left="13"/>
              <w:jc w:val="center"/>
              <w:rPr>
                <w:b/>
              </w:rPr>
            </w:pPr>
            <w:r>
              <w:rPr>
                <w:b/>
                <w:spacing w:val="-5"/>
              </w:rPr>
              <w:t>4.8</w:t>
            </w:r>
          </w:p>
        </w:tc>
        <w:tc>
          <w:tcPr>
            <w:tcW w:w="8191" w:type="dxa"/>
          </w:tcPr>
          <w:p w14:paraId="3221542D" w14:textId="77777777" w:rsidR="00AE135B" w:rsidRDefault="00EE5424">
            <w:pPr>
              <w:pStyle w:val="TableParagraph"/>
              <w:spacing w:before="17" w:line="310" w:lineRule="atLeast"/>
              <w:ind w:left="184" w:right="-7"/>
            </w:pPr>
            <w:r>
              <w:t>Updated</w:t>
            </w:r>
            <w:r>
              <w:rPr>
                <w:spacing w:val="-7"/>
              </w:rPr>
              <w:t xml:space="preserve"> </w:t>
            </w:r>
            <w:r>
              <w:t>with</w:t>
            </w:r>
            <w:r>
              <w:rPr>
                <w:spacing w:val="-9"/>
              </w:rPr>
              <w:t xml:space="preserve"> </w:t>
            </w:r>
            <w:r>
              <w:t>incidence</w:t>
            </w:r>
            <w:r>
              <w:rPr>
                <w:spacing w:val="-8"/>
              </w:rPr>
              <w:t xml:space="preserve"> </w:t>
            </w:r>
            <w:r>
              <w:t>rates</w:t>
            </w:r>
            <w:r>
              <w:rPr>
                <w:spacing w:val="-6"/>
              </w:rPr>
              <w:t xml:space="preserve"> </w:t>
            </w:r>
            <w:r>
              <w:t>from</w:t>
            </w:r>
            <w:r>
              <w:rPr>
                <w:spacing w:val="-8"/>
              </w:rPr>
              <w:t xml:space="preserve"> </w:t>
            </w:r>
            <w:r>
              <w:t>post-marketing</w:t>
            </w:r>
            <w:r>
              <w:rPr>
                <w:spacing w:val="-10"/>
              </w:rPr>
              <w:t xml:space="preserve"> </w:t>
            </w:r>
            <w:r>
              <w:t>study</w:t>
            </w:r>
            <w:r>
              <w:rPr>
                <w:spacing w:val="-6"/>
              </w:rPr>
              <w:t xml:space="preserve"> </w:t>
            </w:r>
            <w:r>
              <w:t>in</w:t>
            </w:r>
            <w:r>
              <w:rPr>
                <w:spacing w:val="-8"/>
              </w:rPr>
              <w:t xml:space="preserve"> </w:t>
            </w:r>
            <w:r>
              <w:t>osteonecrosis</w:t>
            </w:r>
            <w:r>
              <w:rPr>
                <w:spacing w:val="-9"/>
              </w:rPr>
              <w:t xml:space="preserve"> </w:t>
            </w:r>
            <w:r>
              <w:t>of</w:t>
            </w:r>
            <w:r>
              <w:rPr>
                <w:spacing w:val="-9"/>
              </w:rPr>
              <w:t xml:space="preserve"> </w:t>
            </w:r>
            <w:r>
              <w:t>the</w:t>
            </w:r>
            <w:r>
              <w:rPr>
                <w:spacing w:val="-9"/>
              </w:rPr>
              <w:t xml:space="preserve"> </w:t>
            </w:r>
            <w:r>
              <w:t>jaw</w:t>
            </w:r>
            <w:r>
              <w:rPr>
                <w:spacing w:val="-6"/>
              </w:rPr>
              <w:t xml:space="preserve"> </w:t>
            </w:r>
            <w:r>
              <w:t>(</w:t>
            </w:r>
            <w:proofErr w:type="spellStart"/>
            <w:r>
              <w:t>ONJ</w:t>
            </w:r>
            <w:proofErr w:type="spellEnd"/>
            <w:r>
              <w:t xml:space="preserve">) and atypical femoral fractures (AFF) in the Giant Cell </w:t>
            </w:r>
            <w:proofErr w:type="spellStart"/>
            <w:r>
              <w:t>Tumour</w:t>
            </w:r>
            <w:proofErr w:type="spellEnd"/>
            <w:r>
              <w:t xml:space="preserve"> of Bone (</w:t>
            </w:r>
            <w:proofErr w:type="spellStart"/>
            <w:r>
              <w:t>GCTB</w:t>
            </w:r>
            <w:proofErr w:type="spellEnd"/>
            <w:r>
              <w:t>) population.</w:t>
            </w:r>
          </w:p>
        </w:tc>
      </w:tr>
    </w:tbl>
    <w:p w14:paraId="7C13D910" w14:textId="77777777" w:rsidR="00EE5424" w:rsidRDefault="00EE5424"/>
    <w:sectPr w:rsidR="00EE5424" w:rsidSect="00401300">
      <w:headerReference w:type="even" r:id="rId16"/>
      <w:headerReference w:type="default" r:id="rId17"/>
      <w:footerReference w:type="even" r:id="rId18"/>
      <w:footerReference w:type="default" r:id="rId19"/>
      <w:headerReference w:type="first" r:id="rId20"/>
      <w:footerReference w:type="first" r:id="rId21"/>
      <w:pgSz w:w="11920" w:h="16850"/>
      <w:pgMar w:top="1758" w:right="851" w:bottom="902" w:left="1134" w:header="0" w:footer="11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01800" w14:textId="77777777" w:rsidR="00EE5424" w:rsidRDefault="00EE5424">
      <w:r>
        <w:separator/>
      </w:r>
    </w:p>
  </w:endnote>
  <w:endnote w:type="continuationSeparator" w:id="0">
    <w:p w14:paraId="11B042AE" w14:textId="77777777" w:rsidR="00EE5424" w:rsidRDefault="00EE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C5AC" w14:textId="278D80D5" w:rsidR="00D86260" w:rsidRDefault="00D86260">
    <w:pPr>
      <w:pStyle w:val="Footer"/>
    </w:pPr>
    <w:r>
      <w:rPr>
        <w:noProof/>
      </w:rPr>
      <mc:AlternateContent>
        <mc:Choice Requires="wps">
          <w:drawing>
            <wp:anchor distT="0" distB="0" distL="0" distR="0" simplePos="0" relativeHeight="251813888" behindDoc="0" locked="0" layoutInCell="1" allowOverlap="1" wp14:anchorId="7A9423F2" wp14:editId="395F93E1">
              <wp:simplePos x="635" y="635"/>
              <wp:positionH relativeFrom="page">
                <wp:align>center</wp:align>
              </wp:positionH>
              <wp:positionV relativeFrom="page">
                <wp:align>bottom</wp:align>
              </wp:positionV>
              <wp:extent cx="622300" cy="376555"/>
              <wp:effectExtent l="0" t="0" r="6350" b="0"/>
              <wp:wrapNone/>
              <wp:docPr id="20485504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F8FB69" w14:textId="3BD1A55D" w:rsidR="00D86260" w:rsidRPr="00D86260" w:rsidRDefault="00D86260" w:rsidP="00D86260">
                          <w:pPr>
                            <w:rPr>
                              <w:rFonts w:ascii="Aptos" w:eastAsia="Aptos" w:hAnsi="Aptos" w:cs="Aptos"/>
                              <w:noProof/>
                              <w:color w:val="FF0000"/>
                              <w:sz w:val="24"/>
                              <w:szCs w:val="24"/>
                            </w:rPr>
                          </w:pPr>
                          <w:r w:rsidRPr="00D8626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9423F2"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813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05F8FB69" w14:textId="3BD1A55D" w:rsidR="00D86260" w:rsidRPr="00D86260" w:rsidRDefault="00D86260" w:rsidP="00D86260">
                    <w:pPr>
                      <w:rPr>
                        <w:rFonts w:ascii="Aptos" w:eastAsia="Aptos" w:hAnsi="Aptos" w:cs="Aptos"/>
                        <w:noProof/>
                        <w:color w:val="FF0000"/>
                        <w:sz w:val="24"/>
                        <w:szCs w:val="24"/>
                      </w:rPr>
                    </w:pPr>
                    <w:r w:rsidRPr="00D8626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3A24" w14:textId="4CB47C5D" w:rsidR="00AE135B" w:rsidRDefault="00EE5424">
    <w:pPr>
      <w:pStyle w:val="BodyText"/>
      <w:spacing w:line="14" w:lineRule="auto"/>
      <w:ind w:left="0"/>
      <w:rPr>
        <w:sz w:val="20"/>
      </w:rPr>
    </w:pPr>
    <w:r>
      <w:rPr>
        <w:noProof/>
        <w:sz w:val="20"/>
      </w:rPr>
      <mc:AlternateContent>
        <mc:Choice Requires="wps">
          <w:drawing>
            <wp:anchor distT="0" distB="0" distL="0" distR="0" simplePos="0" relativeHeight="251552768" behindDoc="1" locked="0" layoutInCell="1" allowOverlap="1" wp14:anchorId="0A1DC7FB" wp14:editId="4313CE48">
              <wp:simplePos x="0" y="0"/>
              <wp:positionH relativeFrom="page">
                <wp:posOffset>884555</wp:posOffset>
              </wp:positionH>
              <wp:positionV relativeFrom="page">
                <wp:posOffset>10067289</wp:posOffset>
              </wp:positionV>
              <wp:extent cx="60102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0275" cy="1270"/>
                      </a:xfrm>
                      <a:custGeom>
                        <a:avLst/>
                        <a:gdLst/>
                        <a:ahLst/>
                        <a:cxnLst/>
                        <a:rect l="l" t="t" r="r" b="b"/>
                        <a:pathLst>
                          <a:path w="6010275">
                            <a:moveTo>
                              <a:pt x="0" y="0"/>
                            </a:moveTo>
                            <a:lnTo>
                              <a:pt x="6010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3E998" id="Graphic 1" o:spid="_x0000_s1026" style="position:absolute;margin-left:69.65pt;margin-top:792.7pt;width:473.25pt;height:.1pt;z-index:-251763712;visibility:visible;mso-wrap-style:square;mso-wrap-distance-left:0;mso-wrap-distance-top:0;mso-wrap-distance-right:0;mso-wrap-distance-bottom:0;mso-position-horizontal:absolute;mso-position-horizontal-relative:page;mso-position-vertical:absolute;mso-position-vertical-relative:page;v-text-anchor:top" coordsize="6010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6DNDwIAAFsEAAAOAAAAZHJzL2Uyb0RvYy54bWysVMFu2zAMvQ/YPwi6L04CpN2MOsXQoMOA&#10;oivQDDsrshwbk0WNVGLn70fJsZN1t2E+CJRIke/xUb6771srjgapAVfIxWwuhXEaysbtC/l9+/jh&#10;oxQUlCuVBWcKeTIk79fv3911PjdLqMGWBgUncZR3vpB1CD7PMtK1aRXNwBvHzgqwVYG3uM9KVB1n&#10;b222nM9vsg6w9AjaEPHpZnDKdcpfVUaHb1VFJghbSMYW0opp3cU1W9+pfI/K140+w1D/gKJVjeOi&#10;U6qNCkocsPkrVdtoBIIqzDS0GVRVo03iwGwW8zdsXmvlTeLCzSE/tYn+X1r9fHz1Lxihk38C/ZO4&#10;I1nnKZ88cUPnmL7CNsYycNGnLp6mLpo+CM2HN0xkebuSQrNvsbxNTc5UPt7VBwpfDKQ86vhEYdCg&#10;HC1Vj5bu3WgiKxk1tEnDIAVriFKwhrtBQ69CvBfBRVN0FyDxrIWj2ULyhjfIGdrFa9111ERlZMmx&#10;QwQbsQz3ajBSabavyVkXUXxaLVdpNAhsUz421kYUhPvdg0VxVHEw0xd5cIY/wjxS2Ciqh7jkOodZ&#10;d9ZpkCaKtIPy9IKi42kuJP06KDRS2K+OxyWO/mjgaOxGA4N9gPRAUoO45rb/odCLWL6QgZV9hnEY&#10;VT6KFqlPsfGmg8+HAFUTFU0zNCA6b3iCE8Hza4tP5Hqfoi7/hPVvAAAA//8DAFBLAwQUAAYACAAA&#10;ACEA9Y329uEAAAAOAQAADwAAAGRycy9kb3ducmV2LnhtbEyP3UrDQBCF7wXfYRnBG7EbbVOSNJsi&#10;iigFobZ9gG12zAb3J2Q3Tfr2TvFC7+bMHM58p1xP1rAT9qH1TsDDLAGGrvaqdY2Aw/71PgMWonRK&#10;Gu9QwBkDrKvrq1IWyo/uE0+72DAKcaGQAnSMXcF5qDVaGWa+Q0e3L99bGUn2DVe9HCncGv6YJEtu&#10;Zevog5YdPmusv3eDFdAu5IfZbofz3eYwvr2bMdcvmAtxezM9rYBFnOKfGS74hA4VMR394FRghvQ8&#10;n5OVhjRLF8AuliRLqc7xd7cEXpX8f43qBwAA//8DAFBLAQItABQABgAIAAAAIQC2gziS/gAAAOEB&#10;AAATAAAAAAAAAAAAAAAAAAAAAABbQ29udGVudF9UeXBlc10ueG1sUEsBAi0AFAAGAAgAAAAhADj9&#10;If/WAAAAlAEAAAsAAAAAAAAAAAAAAAAALwEAAF9yZWxzLy5yZWxzUEsBAi0AFAAGAAgAAAAhAHyL&#10;oM0PAgAAWwQAAA4AAAAAAAAAAAAAAAAALgIAAGRycy9lMm9Eb2MueG1sUEsBAi0AFAAGAAgAAAAh&#10;APWN9vbhAAAADgEAAA8AAAAAAAAAAAAAAAAAaQQAAGRycy9kb3ducmV2LnhtbFBLBQYAAAAABAAE&#10;APMAAAB3BQAAAAA=&#10;" path="m,l6010275,e" filled="f">
              <v:path arrowok="t"/>
              <w10:wrap anchorx="page" anchory="page"/>
            </v:shape>
          </w:pict>
        </mc:Fallback>
      </mc:AlternateContent>
    </w:r>
    <w:r>
      <w:rPr>
        <w:noProof/>
        <w:sz w:val="20"/>
      </w:rPr>
      <mc:AlternateContent>
        <mc:Choice Requires="wps">
          <w:drawing>
            <wp:anchor distT="0" distB="0" distL="0" distR="0" simplePos="0" relativeHeight="251604992" behindDoc="1" locked="0" layoutInCell="1" allowOverlap="1" wp14:anchorId="5B8AE934" wp14:editId="7B214861">
              <wp:simplePos x="0" y="0"/>
              <wp:positionH relativeFrom="page">
                <wp:posOffset>905052</wp:posOffset>
              </wp:positionH>
              <wp:positionV relativeFrom="page">
                <wp:posOffset>10087375</wp:posOffset>
              </wp:positionV>
              <wp:extent cx="69215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139700"/>
                      </a:xfrm>
                      <a:prstGeom prst="rect">
                        <a:avLst/>
                      </a:prstGeom>
                    </wps:spPr>
                    <wps:txbx>
                      <w:txbxContent>
                        <w:p w14:paraId="46E29EEF" w14:textId="77777777" w:rsidR="00AE135B" w:rsidRDefault="00EE5424">
                          <w:pPr>
                            <w:spacing w:before="15"/>
                            <w:ind w:left="20"/>
                            <w:rPr>
                              <w:rFonts w:ascii="Arial"/>
                              <w:b/>
                              <w:sz w:val="16"/>
                            </w:rPr>
                          </w:pPr>
                          <w:proofErr w:type="spellStart"/>
                          <w:r>
                            <w:rPr>
                              <w:rFonts w:ascii="Arial"/>
                              <w:b/>
                              <w:sz w:val="16"/>
                            </w:rPr>
                            <w:t>DOSTIVA</w:t>
                          </w:r>
                          <w:proofErr w:type="spellEnd"/>
                          <w:r>
                            <w:rPr>
                              <w:rFonts w:ascii="Arial"/>
                              <w:b/>
                              <w:spacing w:val="-12"/>
                              <w:sz w:val="16"/>
                            </w:rPr>
                            <w:t xml:space="preserve"> </w:t>
                          </w:r>
                          <w:proofErr w:type="spellStart"/>
                          <w:r>
                            <w:rPr>
                              <w:rFonts w:ascii="Arial"/>
                              <w:b/>
                              <w:spacing w:val="-4"/>
                              <w:sz w:val="16"/>
                            </w:rPr>
                            <w:t>v1.2</w:t>
                          </w:r>
                          <w:proofErr w:type="spellEnd"/>
                        </w:p>
                      </w:txbxContent>
                    </wps:txbx>
                    <wps:bodyPr wrap="square" lIns="0" tIns="0" rIns="0" bIns="0" rtlCol="0">
                      <a:noAutofit/>
                    </wps:bodyPr>
                  </wps:wsp>
                </a:graphicData>
              </a:graphic>
            </wp:anchor>
          </w:drawing>
        </mc:Choice>
        <mc:Fallback>
          <w:pict>
            <v:shapetype w14:anchorId="5B8AE934" id="_x0000_t202" coordsize="21600,21600" o:spt="202" path="m,l,21600r21600,l21600,xe">
              <v:stroke joinstyle="miter"/>
              <v:path gradientshapeok="t" o:connecttype="rect"/>
            </v:shapetype>
            <v:shape id="Textbox 2" o:spid="_x0000_s1028" type="#_x0000_t202" style="position:absolute;margin-left:71.25pt;margin-top:794.3pt;width:54.5pt;height:11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uHmAEAACEDAAAOAAAAZHJzL2Uyb0RvYy54bWysUl9v0zAQf0fad7D8vibtxGBR0wk2gZAm&#10;QBp8ANexG4vYZ+7cJv32nL20RfCGeHEuvvPPvz9e309+EAeD5CC0crmopTBBQ+fCrpXfv324fisF&#10;JRU6NUAwrTwakvebq1frMTZmBT0MnUHBIIGaMbayTyk2VUW6N17RAqIJ3LSAXiX+xV3VoRoZ3Q/V&#10;qq5vqxGwiwjaEPHu40tTbgq+tUanL9aSSWJoJXNLZcWybvNabdaq2aGKvdMzDfUPLLxygS89Qz2q&#10;pMQe3V9Q3mkEApsWGnwF1jptigZWs6z/UPPcq2iKFjaH4tkm+n+w+vPhOX5Fkab3MHGARQTFJ9A/&#10;iL2pxkjNPJM9pYZ4OgudLPr8ZQmCD7K3x7OfZkpC8+bt3Wr5mjuaW8ubuzd18bu6HI5I6aMBL3LR&#10;SuS4CgF1eKKUr1fNaWTm8nJ9JpKm7SRc18pVDjHvbKE7spSR02wl/dwrNFIMnwLblaM/FXgqtqcC&#10;0/AA5YFkRQHe7RNYVwhccGcCnEPhNb+ZHPTv/2Xq8rI3vwAAAP//AwBQSwMEFAAGAAgAAAAhAGQK&#10;/GzgAAAADQEAAA8AAABkcnMvZG93bnJldi54bWxMj0FPhDAQhe8m/odmTLy5LUQaRMpmY/RkYmTx&#10;4LHQLpClU6TdXfz3jie9zXvz8uabcru6iZ3tEkaPCpKNAGax82bEXsFH83KXAwtRo9GTR6vg2wbY&#10;VtdXpS6Mv2Btz/vYMyrBUGgFQ4xzwXnoBut02PjZIu0OfnE6klx6bhZ9oXI38VQIyZ0ekS4MerZP&#10;g+2O+5NTsPvE+nn8emvf60M9Ns2DwFd5VOr2Zt09Aot2jX9h+MUndKiIqfUnNIFNpO/TjKI0ZHku&#10;gVEkzRKyWrJkIiTwquT/v6h+AAAA//8DAFBLAQItABQABgAIAAAAIQC2gziS/gAAAOEBAAATAAAA&#10;AAAAAAAAAAAAAAAAAABbQ29udGVudF9UeXBlc10ueG1sUEsBAi0AFAAGAAgAAAAhADj9If/WAAAA&#10;lAEAAAsAAAAAAAAAAAAAAAAALwEAAF9yZWxzLy5yZWxzUEsBAi0AFAAGAAgAAAAhAMjNq4eYAQAA&#10;IQMAAA4AAAAAAAAAAAAAAAAALgIAAGRycy9lMm9Eb2MueG1sUEsBAi0AFAAGAAgAAAAhAGQK/Gzg&#10;AAAADQEAAA8AAAAAAAAAAAAAAAAA8gMAAGRycy9kb3ducmV2LnhtbFBLBQYAAAAABAAEAPMAAAD/&#10;BAAAAAA=&#10;" filled="f" stroked="f">
              <v:textbox inset="0,0,0,0">
                <w:txbxContent>
                  <w:p w14:paraId="46E29EEF" w14:textId="77777777" w:rsidR="00AE135B" w:rsidRDefault="00EE5424">
                    <w:pPr>
                      <w:spacing w:before="15"/>
                      <w:ind w:left="20"/>
                      <w:rPr>
                        <w:rFonts w:ascii="Arial"/>
                        <w:b/>
                        <w:sz w:val="16"/>
                      </w:rPr>
                    </w:pPr>
                    <w:proofErr w:type="spellStart"/>
                    <w:r>
                      <w:rPr>
                        <w:rFonts w:ascii="Arial"/>
                        <w:b/>
                        <w:sz w:val="16"/>
                      </w:rPr>
                      <w:t>DOSTIVA</w:t>
                    </w:r>
                    <w:proofErr w:type="spellEnd"/>
                    <w:r>
                      <w:rPr>
                        <w:rFonts w:ascii="Arial"/>
                        <w:b/>
                        <w:spacing w:val="-12"/>
                        <w:sz w:val="16"/>
                      </w:rPr>
                      <w:t xml:space="preserve"> </w:t>
                    </w:r>
                    <w:proofErr w:type="spellStart"/>
                    <w:r>
                      <w:rPr>
                        <w:rFonts w:ascii="Arial"/>
                        <w:b/>
                        <w:spacing w:val="-4"/>
                        <w:sz w:val="16"/>
                      </w:rPr>
                      <w:t>v1.2</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17CD" w14:textId="476C7D95" w:rsidR="00D86260" w:rsidRDefault="00D86260">
    <w:pPr>
      <w:pStyle w:val="Footer"/>
    </w:pPr>
    <w:r>
      <w:rPr>
        <w:noProof/>
      </w:rPr>
      <mc:AlternateContent>
        <mc:Choice Requires="wps">
          <w:drawing>
            <wp:anchor distT="0" distB="0" distL="0" distR="0" simplePos="0" relativeHeight="251761664" behindDoc="0" locked="0" layoutInCell="1" allowOverlap="1" wp14:anchorId="281AA6A1" wp14:editId="741908FE">
              <wp:simplePos x="635" y="635"/>
              <wp:positionH relativeFrom="page">
                <wp:align>center</wp:align>
              </wp:positionH>
              <wp:positionV relativeFrom="page">
                <wp:align>bottom</wp:align>
              </wp:positionV>
              <wp:extent cx="622300" cy="376555"/>
              <wp:effectExtent l="0" t="0" r="6350" b="0"/>
              <wp:wrapNone/>
              <wp:docPr id="52198529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5968D3" w14:textId="15172B5D" w:rsidR="00D86260" w:rsidRPr="00D86260" w:rsidRDefault="00D86260" w:rsidP="00D86260">
                          <w:pPr>
                            <w:rPr>
                              <w:rFonts w:ascii="Aptos" w:eastAsia="Aptos" w:hAnsi="Aptos" w:cs="Aptos"/>
                              <w:noProof/>
                              <w:color w:val="FF0000"/>
                              <w:sz w:val="24"/>
                              <w:szCs w:val="24"/>
                            </w:rPr>
                          </w:pPr>
                          <w:r w:rsidRPr="00D8626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1AA6A1" id="_x0000_t202" coordsize="21600,21600" o:spt="202" path="m,l,21600r21600,l21600,xe">
              <v:stroke joinstyle="miter"/>
              <v:path gradientshapeok="t" o:connecttype="rect"/>
            </v:shapetype>
            <v:shape id="Text Box 4" o:spid="_x0000_s1030" type="#_x0000_t202" alt="OFFICIAL" style="position:absolute;margin-left:0;margin-top:0;width:49pt;height:29.65pt;z-index:251761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245968D3" w14:textId="15172B5D" w:rsidR="00D86260" w:rsidRPr="00D86260" w:rsidRDefault="00D86260" w:rsidP="00D86260">
                    <w:pPr>
                      <w:rPr>
                        <w:rFonts w:ascii="Aptos" w:eastAsia="Aptos" w:hAnsi="Aptos" w:cs="Aptos"/>
                        <w:noProof/>
                        <w:color w:val="FF0000"/>
                        <w:sz w:val="24"/>
                        <w:szCs w:val="24"/>
                      </w:rPr>
                    </w:pPr>
                    <w:r w:rsidRPr="00D86260">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FEFC" w14:textId="77777777" w:rsidR="00EE5424" w:rsidRDefault="00EE5424">
      <w:r>
        <w:separator/>
      </w:r>
    </w:p>
  </w:footnote>
  <w:footnote w:type="continuationSeparator" w:id="0">
    <w:p w14:paraId="1076123A" w14:textId="77777777" w:rsidR="00EE5424" w:rsidRDefault="00EE5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32E1" w14:textId="4AE01E90" w:rsidR="00D86260" w:rsidRDefault="00D86260">
    <w:pPr>
      <w:pStyle w:val="Header"/>
    </w:pPr>
    <w:r>
      <w:rPr>
        <w:noProof/>
      </w:rPr>
      <mc:AlternateContent>
        <mc:Choice Requires="wps">
          <w:drawing>
            <wp:anchor distT="0" distB="0" distL="0" distR="0" simplePos="0" relativeHeight="251709440" behindDoc="0" locked="0" layoutInCell="1" allowOverlap="1" wp14:anchorId="13015D5F" wp14:editId="18E39797">
              <wp:simplePos x="635" y="635"/>
              <wp:positionH relativeFrom="page">
                <wp:align>center</wp:align>
              </wp:positionH>
              <wp:positionV relativeFrom="page">
                <wp:align>top</wp:align>
              </wp:positionV>
              <wp:extent cx="622300" cy="376555"/>
              <wp:effectExtent l="0" t="0" r="6350" b="4445"/>
              <wp:wrapNone/>
              <wp:docPr id="10135568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C1E14E" w14:textId="1CED2DED" w:rsidR="00D86260" w:rsidRPr="00D86260" w:rsidRDefault="00D86260" w:rsidP="00D86260">
                          <w:pPr>
                            <w:rPr>
                              <w:rFonts w:ascii="Aptos" w:eastAsia="Aptos" w:hAnsi="Aptos" w:cs="Aptos"/>
                              <w:noProof/>
                              <w:color w:val="FF0000"/>
                              <w:sz w:val="24"/>
                              <w:szCs w:val="24"/>
                            </w:rPr>
                          </w:pPr>
                          <w:r w:rsidRPr="00D8626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015D5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4C1E14E" w14:textId="1CED2DED" w:rsidR="00D86260" w:rsidRPr="00D86260" w:rsidRDefault="00D86260" w:rsidP="00D86260">
                    <w:pPr>
                      <w:rPr>
                        <w:rFonts w:ascii="Aptos" w:eastAsia="Aptos" w:hAnsi="Aptos" w:cs="Aptos"/>
                        <w:noProof/>
                        <w:color w:val="FF0000"/>
                        <w:sz w:val="24"/>
                        <w:szCs w:val="24"/>
                      </w:rPr>
                    </w:pPr>
                    <w:r w:rsidRPr="00D8626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C7B" w14:textId="77777777" w:rsidR="00401300" w:rsidRDefault="00401300" w:rsidP="00401300">
    <w:pPr>
      <w:shd w:val="clear" w:color="auto" w:fill="FFFFFF"/>
      <w:rPr>
        <w:rFonts w:ascii="Segoe UI" w:hAnsi="Segoe UI" w:cs="Segoe UI"/>
        <w:b/>
        <w:bCs/>
        <w:color w:val="333333"/>
      </w:rPr>
    </w:pPr>
    <w:bookmarkStart w:id="0" w:name="_Hlk213754947"/>
  </w:p>
  <w:tbl>
    <w:tblPr>
      <w:tblStyle w:val="TableGrid"/>
      <w:tblW w:w="9209" w:type="dxa"/>
      <w:shd w:val="clear" w:color="auto" w:fill="E4F2E0"/>
      <w:tblLook w:val="04A0" w:firstRow="1" w:lastRow="0" w:firstColumn="1" w:lastColumn="0" w:noHBand="0" w:noVBand="1"/>
    </w:tblPr>
    <w:tblGrid>
      <w:gridCol w:w="9209"/>
    </w:tblGrid>
    <w:tr w:rsidR="00401300" w:rsidRPr="00C15CB6" w14:paraId="2223C813" w14:textId="77777777" w:rsidTr="00EB557F">
      <w:trPr>
        <w:trHeight w:val="1012"/>
      </w:trPr>
      <w:tc>
        <w:tcPr>
          <w:tcW w:w="9209" w:type="dxa"/>
          <w:shd w:val="clear" w:color="auto" w:fill="E4F2E0"/>
        </w:tcPr>
        <w:p w14:paraId="300A08A5" w14:textId="77777777" w:rsidR="00401300" w:rsidRPr="00162595" w:rsidRDefault="00401300" w:rsidP="00401300">
          <w:pPr>
            <w:pStyle w:val="Footer"/>
            <w:rPr>
              <w:rFonts w:ascii="Cambria" w:hAnsi="Cambria"/>
              <w:b/>
              <w:bCs/>
              <w:sz w:val="18"/>
              <w:szCs w:val="18"/>
            </w:rPr>
          </w:pPr>
          <w:bookmarkStart w:id="1" w:name="_Hlk109054010"/>
          <w:proofErr w:type="spellStart"/>
          <w:r w:rsidRPr="00162595">
            <w:rPr>
              <w:rFonts w:ascii="Cambria" w:hAnsi="Cambria"/>
              <w:b/>
              <w:bCs/>
              <w:sz w:val="18"/>
              <w:szCs w:val="18"/>
            </w:rPr>
            <w:t>AusPAR</w:t>
          </w:r>
          <w:proofErr w:type="spellEnd"/>
          <w:r w:rsidRPr="00162595">
            <w:rPr>
              <w:rFonts w:ascii="Cambria" w:hAnsi="Cambria"/>
              <w:b/>
              <w:bCs/>
              <w:sz w:val="18"/>
              <w:szCs w:val="18"/>
            </w:rPr>
            <w:t xml:space="preserve"> - </w:t>
          </w:r>
          <w:proofErr w:type="spellStart"/>
          <w:r w:rsidRPr="00162595">
            <w:rPr>
              <w:rFonts w:ascii="Cambria" w:hAnsi="Cambria"/>
              <w:b/>
              <w:bCs/>
              <w:sz w:val="18"/>
              <w:szCs w:val="18"/>
            </w:rPr>
            <w:t>Dostiva</w:t>
          </w:r>
          <w:proofErr w:type="spellEnd"/>
          <w:r w:rsidRPr="00162595">
            <w:rPr>
              <w:rFonts w:ascii="Cambria" w:hAnsi="Cambria"/>
              <w:b/>
              <w:bCs/>
              <w:sz w:val="18"/>
              <w:szCs w:val="18"/>
            </w:rPr>
            <w:t xml:space="preserve">, </w:t>
          </w:r>
          <w:proofErr w:type="spellStart"/>
          <w:r w:rsidRPr="00162595">
            <w:rPr>
              <w:rFonts w:ascii="Cambria" w:hAnsi="Cambria"/>
              <w:b/>
              <w:bCs/>
              <w:sz w:val="18"/>
              <w:szCs w:val="18"/>
            </w:rPr>
            <w:t>Denolia</w:t>
          </w:r>
          <w:proofErr w:type="spellEnd"/>
          <w:r w:rsidRPr="00162595">
            <w:rPr>
              <w:rFonts w:ascii="Cambria" w:hAnsi="Cambria"/>
              <w:b/>
              <w:bCs/>
              <w:sz w:val="18"/>
              <w:szCs w:val="18"/>
            </w:rPr>
            <w:t xml:space="preserve">, </w:t>
          </w:r>
          <w:proofErr w:type="spellStart"/>
          <w:r w:rsidRPr="00162595">
            <w:rPr>
              <w:rFonts w:ascii="Cambria" w:hAnsi="Cambria"/>
              <w:b/>
              <w:bCs/>
              <w:sz w:val="18"/>
              <w:szCs w:val="18"/>
            </w:rPr>
            <w:t>Deskeltia</w:t>
          </w:r>
          <w:proofErr w:type="spellEnd"/>
          <w:r w:rsidRPr="00162595">
            <w:rPr>
              <w:rFonts w:ascii="Cambria" w:hAnsi="Cambria"/>
              <w:b/>
              <w:bCs/>
              <w:sz w:val="18"/>
              <w:szCs w:val="18"/>
            </w:rPr>
            <w:t xml:space="preserve">, </w:t>
          </w:r>
          <w:proofErr w:type="spellStart"/>
          <w:r w:rsidRPr="00162595">
            <w:rPr>
              <w:rFonts w:ascii="Cambria" w:hAnsi="Cambria"/>
              <w:b/>
              <w:bCs/>
              <w:sz w:val="18"/>
              <w:szCs w:val="18"/>
            </w:rPr>
            <w:t>Dexeva</w:t>
          </w:r>
          <w:proofErr w:type="spellEnd"/>
          <w:r w:rsidRPr="00162595">
            <w:rPr>
              <w:rFonts w:ascii="Cambria" w:hAnsi="Cambria"/>
              <w:b/>
              <w:bCs/>
              <w:sz w:val="18"/>
              <w:szCs w:val="18"/>
            </w:rPr>
            <w:t xml:space="preserve"> - denosumab – Accord Healthcare Pty Ltd - PM-2024-02065-1-5</w:t>
          </w:r>
        </w:p>
        <w:p w14:paraId="0BFA733E" w14:textId="77777777" w:rsidR="00401300" w:rsidRPr="006B6BCD" w:rsidRDefault="00401300" w:rsidP="00401300">
          <w:pPr>
            <w:pStyle w:val="Footer"/>
            <w:rPr>
              <w:rFonts w:ascii="Cambria" w:hAnsi="Cambria"/>
              <w:b/>
              <w:bCs/>
              <w:sz w:val="18"/>
              <w:szCs w:val="18"/>
            </w:rPr>
          </w:pPr>
          <w:r w:rsidRPr="00162595">
            <w:rPr>
              <w:rFonts w:ascii="Cambria" w:hAnsi="Cambria"/>
              <w:b/>
              <w:bCs/>
              <w:sz w:val="18"/>
              <w:szCs w:val="18"/>
            </w:rPr>
            <w:t>Date of Finalisation 26 March 2026</w:t>
          </w:r>
          <w:r w:rsidRPr="00C15CB6">
            <w:rPr>
              <w:rFonts w:ascii="Cambria" w:hAnsi="Cambria"/>
              <w:b/>
              <w:bCs/>
              <w:sz w:val="18"/>
              <w:szCs w:val="18"/>
            </w:rPr>
            <w:t xml:space="preserve">. </w:t>
          </w:r>
          <w:r w:rsidRPr="00C15CB6">
            <w:rPr>
              <w:rFonts w:ascii="Cambria" w:hAnsi="Cambria"/>
              <w:b/>
              <w:sz w:val="18"/>
              <w:szCs w:val="18"/>
            </w:rPr>
            <w:t xml:space="preserve">This is the Product Information that was approved with the submission described in this </w:t>
          </w:r>
          <w:proofErr w:type="spellStart"/>
          <w:r w:rsidRPr="00C15CB6">
            <w:rPr>
              <w:rFonts w:ascii="Cambria" w:hAnsi="Cambria"/>
              <w:b/>
              <w:sz w:val="18"/>
              <w:szCs w:val="18"/>
            </w:rPr>
            <w:t>AusPAR</w:t>
          </w:r>
          <w:proofErr w:type="spellEnd"/>
          <w:r w:rsidRPr="00C15CB6">
            <w:rPr>
              <w:rFonts w:ascii="Cambria" w:hAnsi="Cambria"/>
              <w:b/>
              <w:sz w:val="18"/>
              <w:szCs w:val="18"/>
            </w:rPr>
            <w:t>. It may have been superseded. For the most recent PI, please refer to the TGA website at &lt;</w:t>
          </w:r>
          <w:hyperlink r:id="rId1" w:history="1">
            <w:r w:rsidRPr="001A1E89">
              <w:rPr>
                <w:rStyle w:val="Hyperlink"/>
                <w:rFonts w:ascii="Cambria" w:hAnsi="Cambria"/>
                <w:sz w:val="18"/>
                <w:szCs w:val="18"/>
              </w:rPr>
              <w:t>https://www.tga.gov.au/products/australian-register-therapeutic-goods-artg/product-information-pi</w:t>
            </w:r>
          </w:hyperlink>
          <w:r w:rsidRPr="00C15CB6">
            <w:rPr>
              <w:rFonts w:ascii="Cambria" w:hAnsi="Cambria"/>
              <w:b/>
              <w:sz w:val="18"/>
              <w:szCs w:val="18"/>
              <w:u w:val="single"/>
            </w:rPr>
            <w:t>&gt;</w:t>
          </w:r>
        </w:p>
      </w:tc>
    </w:tr>
    <w:bookmarkEnd w:id="0"/>
    <w:bookmarkEnd w:id="1"/>
  </w:tbl>
  <w:p w14:paraId="0E54C40D" w14:textId="77777777" w:rsidR="00401300" w:rsidRDefault="00401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83CA" w14:textId="6153AC59" w:rsidR="00D86260" w:rsidRDefault="00D86260">
    <w:pPr>
      <w:pStyle w:val="Header"/>
    </w:pPr>
    <w:r>
      <w:rPr>
        <w:noProof/>
      </w:rPr>
      <mc:AlternateContent>
        <mc:Choice Requires="wps">
          <w:drawing>
            <wp:anchor distT="0" distB="0" distL="0" distR="0" simplePos="0" relativeHeight="251657216" behindDoc="0" locked="0" layoutInCell="1" allowOverlap="1" wp14:anchorId="6207ACC5" wp14:editId="41F174EF">
              <wp:simplePos x="635" y="635"/>
              <wp:positionH relativeFrom="page">
                <wp:align>center</wp:align>
              </wp:positionH>
              <wp:positionV relativeFrom="page">
                <wp:align>top</wp:align>
              </wp:positionV>
              <wp:extent cx="622300" cy="376555"/>
              <wp:effectExtent l="0" t="0" r="6350" b="4445"/>
              <wp:wrapNone/>
              <wp:docPr id="20393315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7C7A15" w14:textId="2F644D93" w:rsidR="00D86260" w:rsidRPr="00D86260" w:rsidRDefault="00D86260" w:rsidP="00D86260">
                          <w:pPr>
                            <w:rPr>
                              <w:rFonts w:ascii="Aptos" w:eastAsia="Aptos" w:hAnsi="Aptos" w:cs="Aptos"/>
                              <w:noProof/>
                              <w:color w:val="FF0000"/>
                              <w:sz w:val="24"/>
                              <w:szCs w:val="24"/>
                            </w:rPr>
                          </w:pPr>
                          <w:r w:rsidRPr="00D8626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7ACC5" id="_x0000_t202" coordsize="21600,21600" o:spt="202" path="m,l,21600r21600,l21600,xe">
              <v:stroke joinstyle="miter"/>
              <v:path gradientshapeok="t" o:connecttype="rect"/>
            </v:shapetype>
            <v:shape id="Text Box 1" o:spid="_x0000_s1029" type="#_x0000_t202" alt="OFFICIAL" style="position:absolute;margin-left:0;margin-top:0;width:49pt;height:29.6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textbox style="mso-fit-shape-to-text:t" inset="0,15pt,0,0">
                <w:txbxContent>
                  <w:p w14:paraId="517C7A15" w14:textId="2F644D93" w:rsidR="00D86260" w:rsidRPr="00D86260" w:rsidRDefault="00D86260" w:rsidP="00D86260">
                    <w:pPr>
                      <w:rPr>
                        <w:rFonts w:ascii="Aptos" w:eastAsia="Aptos" w:hAnsi="Aptos" w:cs="Aptos"/>
                        <w:noProof/>
                        <w:color w:val="FF0000"/>
                        <w:sz w:val="24"/>
                        <w:szCs w:val="24"/>
                      </w:rPr>
                    </w:pPr>
                    <w:r w:rsidRPr="00D86260">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047BB"/>
    <w:multiLevelType w:val="multilevel"/>
    <w:tmpl w:val="326CD1BE"/>
    <w:lvl w:ilvl="0">
      <w:start w:val="1"/>
      <w:numFmt w:val="decimal"/>
      <w:lvlText w:val="%1."/>
      <w:lvlJc w:val="left"/>
      <w:pPr>
        <w:ind w:left="1106" w:hanging="800"/>
        <w:jc w:val="left"/>
      </w:pPr>
      <w:rPr>
        <w:rFonts w:ascii="Arial" w:eastAsia="Arial" w:hAnsi="Arial" w:cs="Arial" w:hint="default"/>
        <w:b/>
        <w:bCs/>
        <w:i w:val="0"/>
        <w:iCs w:val="0"/>
        <w:spacing w:val="0"/>
        <w:w w:val="98"/>
        <w:sz w:val="28"/>
        <w:szCs w:val="28"/>
        <w:lang w:val="en-US" w:eastAsia="en-US" w:bidi="ar-SA"/>
      </w:rPr>
    </w:lvl>
    <w:lvl w:ilvl="1">
      <w:start w:val="1"/>
      <w:numFmt w:val="decimal"/>
      <w:lvlText w:val="%1.%2"/>
      <w:lvlJc w:val="left"/>
      <w:pPr>
        <w:ind w:left="1106" w:hanging="800"/>
        <w:jc w:val="left"/>
      </w:pPr>
      <w:rPr>
        <w:rFonts w:ascii="Arial" w:eastAsia="Arial" w:hAnsi="Arial" w:cs="Arial" w:hint="default"/>
        <w:b/>
        <w:bCs/>
        <w:i w:val="0"/>
        <w:iCs w:val="0"/>
        <w:spacing w:val="-3"/>
        <w:w w:val="97"/>
        <w:sz w:val="24"/>
        <w:szCs w:val="24"/>
        <w:lang w:val="en-US" w:eastAsia="en-US" w:bidi="ar-SA"/>
      </w:rPr>
    </w:lvl>
    <w:lvl w:ilvl="2">
      <w:numFmt w:val="bullet"/>
      <w:lvlText w:val="•"/>
      <w:lvlJc w:val="left"/>
      <w:pPr>
        <w:ind w:left="2865" w:hanging="800"/>
      </w:pPr>
      <w:rPr>
        <w:rFonts w:hint="default"/>
        <w:lang w:val="en-US" w:eastAsia="en-US" w:bidi="ar-SA"/>
      </w:rPr>
    </w:lvl>
    <w:lvl w:ilvl="3">
      <w:numFmt w:val="bullet"/>
      <w:lvlText w:val="•"/>
      <w:lvlJc w:val="left"/>
      <w:pPr>
        <w:ind w:left="3748" w:hanging="800"/>
      </w:pPr>
      <w:rPr>
        <w:rFonts w:hint="default"/>
        <w:lang w:val="en-US" w:eastAsia="en-US" w:bidi="ar-SA"/>
      </w:rPr>
    </w:lvl>
    <w:lvl w:ilvl="4">
      <w:numFmt w:val="bullet"/>
      <w:lvlText w:val="•"/>
      <w:lvlJc w:val="left"/>
      <w:pPr>
        <w:ind w:left="4631" w:hanging="800"/>
      </w:pPr>
      <w:rPr>
        <w:rFonts w:hint="default"/>
        <w:lang w:val="en-US" w:eastAsia="en-US" w:bidi="ar-SA"/>
      </w:rPr>
    </w:lvl>
    <w:lvl w:ilvl="5">
      <w:numFmt w:val="bullet"/>
      <w:lvlText w:val="•"/>
      <w:lvlJc w:val="left"/>
      <w:pPr>
        <w:ind w:left="5514" w:hanging="800"/>
      </w:pPr>
      <w:rPr>
        <w:rFonts w:hint="default"/>
        <w:lang w:val="en-US" w:eastAsia="en-US" w:bidi="ar-SA"/>
      </w:rPr>
    </w:lvl>
    <w:lvl w:ilvl="6">
      <w:numFmt w:val="bullet"/>
      <w:lvlText w:val="•"/>
      <w:lvlJc w:val="left"/>
      <w:pPr>
        <w:ind w:left="6396" w:hanging="800"/>
      </w:pPr>
      <w:rPr>
        <w:rFonts w:hint="default"/>
        <w:lang w:val="en-US" w:eastAsia="en-US" w:bidi="ar-SA"/>
      </w:rPr>
    </w:lvl>
    <w:lvl w:ilvl="7">
      <w:numFmt w:val="bullet"/>
      <w:lvlText w:val="•"/>
      <w:lvlJc w:val="left"/>
      <w:pPr>
        <w:ind w:left="7279" w:hanging="800"/>
      </w:pPr>
      <w:rPr>
        <w:rFonts w:hint="default"/>
        <w:lang w:val="en-US" w:eastAsia="en-US" w:bidi="ar-SA"/>
      </w:rPr>
    </w:lvl>
    <w:lvl w:ilvl="8">
      <w:numFmt w:val="bullet"/>
      <w:lvlText w:val="•"/>
      <w:lvlJc w:val="left"/>
      <w:pPr>
        <w:ind w:left="8162" w:hanging="800"/>
      </w:pPr>
      <w:rPr>
        <w:rFonts w:hint="default"/>
        <w:lang w:val="en-US" w:eastAsia="en-US" w:bidi="ar-SA"/>
      </w:rPr>
    </w:lvl>
  </w:abstractNum>
  <w:abstractNum w:abstractNumId="1" w15:restartNumberingAfterBreak="0">
    <w:nsid w:val="3C5B3430"/>
    <w:multiLevelType w:val="hybridMultilevel"/>
    <w:tmpl w:val="960816C8"/>
    <w:lvl w:ilvl="0" w:tplc="7D9C3610">
      <w:numFmt w:val="bullet"/>
      <w:lvlText w:val=""/>
      <w:lvlJc w:val="left"/>
      <w:pPr>
        <w:ind w:left="1027" w:hanging="363"/>
      </w:pPr>
      <w:rPr>
        <w:rFonts w:ascii="Symbol" w:eastAsia="Symbol" w:hAnsi="Symbol" w:cs="Symbol" w:hint="default"/>
        <w:b w:val="0"/>
        <w:bCs w:val="0"/>
        <w:i w:val="0"/>
        <w:iCs w:val="0"/>
        <w:spacing w:val="0"/>
        <w:w w:val="98"/>
        <w:sz w:val="22"/>
        <w:szCs w:val="22"/>
        <w:lang w:val="en-US" w:eastAsia="en-US" w:bidi="ar-SA"/>
      </w:rPr>
    </w:lvl>
    <w:lvl w:ilvl="1" w:tplc="65560938">
      <w:numFmt w:val="bullet"/>
      <w:lvlText w:val="•"/>
      <w:lvlJc w:val="left"/>
      <w:pPr>
        <w:ind w:left="1910" w:hanging="363"/>
      </w:pPr>
      <w:rPr>
        <w:rFonts w:hint="default"/>
        <w:lang w:val="en-US" w:eastAsia="en-US" w:bidi="ar-SA"/>
      </w:rPr>
    </w:lvl>
    <w:lvl w:ilvl="2" w:tplc="FB8EFCDC">
      <w:numFmt w:val="bullet"/>
      <w:lvlText w:val="•"/>
      <w:lvlJc w:val="left"/>
      <w:pPr>
        <w:ind w:left="2801" w:hanging="363"/>
      </w:pPr>
      <w:rPr>
        <w:rFonts w:hint="default"/>
        <w:lang w:val="en-US" w:eastAsia="en-US" w:bidi="ar-SA"/>
      </w:rPr>
    </w:lvl>
    <w:lvl w:ilvl="3" w:tplc="3AC2B4FC">
      <w:numFmt w:val="bullet"/>
      <w:lvlText w:val="•"/>
      <w:lvlJc w:val="left"/>
      <w:pPr>
        <w:ind w:left="3692" w:hanging="363"/>
      </w:pPr>
      <w:rPr>
        <w:rFonts w:hint="default"/>
        <w:lang w:val="en-US" w:eastAsia="en-US" w:bidi="ar-SA"/>
      </w:rPr>
    </w:lvl>
    <w:lvl w:ilvl="4" w:tplc="B4386D7E">
      <w:numFmt w:val="bullet"/>
      <w:lvlText w:val="•"/>
      <w:lvlJc w:val="left"/>
      <w:pPr>
        <w:ind w:left="4583" w:hanging="363"/>
      </w:pPr>
      <w:rPr>
        <w:rFonts w:hint="default"/>
        <w:lang w:val="en-US" w:eastAsia="en-US" w:bidi="ar-SA"/>
      </w:rPr>
    </w:lvl>
    <w:lvl w:ilvl="5" w:tplc="FC7CBFD2">
      <w:numFmt w:val="bullet"/>
      <w:lvlText w:val="•"/>
      <w:lvlJc w:val="left"/>
      <w:pPr>
        <w:ind w:left="5474" w:hanging="363"/>
      </w:pPr>
      <w:rPr>
        <w:rFonts w:hint="default"/>
        <w:lang w:val="en-US" w:eastAsia="en-US" w:bidi="ar-SA"/>
      </w:rPr>
    </w:lvl>
    <w:lvl w:ilvl="6" w:tplc="80AA6774">
      <w:numFmt w:val="bullet"/>
      <w:lvlText w:val="•"/>
      <w:lvlJc w:val="left"/>
      <w:pPr>
        <w:ind w:left="6364" w:hanging="363"/>
      </w:pPr>
      <w:rPr>
        <w:rFonts w:hint="default"/>
        <w:lang w:val="en-US" w:eastAsia="en-US" w:bidi="ar-SA"/>
      </w:rPr>
    </w:lvl>
    <w:lvl w:ilvl="7" w:tplc="50CAF006">
      <w:numFmt w:val="bullet"/>
      <w:lvlText w:val="•"/>
      <w:lvlJc w:val="left"/>
      <w:pPr>
        <w:ind w:left="7255" w:hanging="363"/>
      </w:pPr>
      <w:rPr>
        <w:rFonts w:hint="default"/>
        <w:lang w:val="en-US" w:eastAsia="en-US" w:bidi="ar-SA"/>
      </w:rPr>
    </w:lvl>
    <w:lvl w:ilvl="8" w:tplc="DBDC03EE">
      <w:numFmt w:val="bullet"/>
      <w:lvlText w:val="•"/>
      <w:lvlJc w:val="left"/>
      <w:pPr>
        <w:ind w:left="8146" w:hanging="363"/>
      </w:pPr>
      <w:rPr>
        <w:rFonts w:hint="default"/>
        <w:lang w:val="en-US" w:eastAsia="en-US" w:bidi="ar-SA"/>
      </w:rPr>
    </w:lvl>
  </w:abstractNum>
  <w:abstractNum w:abstractNumId="2" w15:restartNumberingAfterBreak="0">
    <w:nsid w:val="6D2C087C"/>
    <w:multiLevelType w:val="hybridMultilevel"/>
    <w:tmpl w:val="7728CEB2"/>
    <w:lvl w:ilvl="0" w:tplc="3FB2027C">
      <w:numFmt w:val="bullet"/>
      <w:lvlText w:val=""/>
      <w:lvlJc w:val="left"/>
      <w:pPr>
        <w:ind w:left="1027" w:hanging="360"/>
      </w:pPr>
      <w:rPr>
        <w:rFonts w:ascii="Symbol" w:eastAsia="Symbol" w:hAnsi="Symbol" w:cs="Symbol" w:hint="default"/>
        <w:b w:val="0"/>
        <w:bCs w:val="0"/>
        <w:i w:val="0"/>
        <w:iCs w:val="0"/>
        <w:spacing w:val="0"/>
        <w:w w:val="98"/>
        <w:sz w:val="22"/>
        <w:szCs w:val="22"/>
        <w:lang w:val="en-US" w:eastAsia="en-US" w:bidi="ar-SA"/>
      </w:rPr>
    </w:lvl>
    <w:lvl w:ilvl="1" w:tplc="C4F476C8">
      <w:numFmt w:val="bullet"/>
      <w:lvlText w:val="•"/>
      <w:lvlJc w:val="left"/>
      <w:pPr>
        <w:ind w:left="1910" w:hanging="360"/>
      </w:pPr>
      <w:rPr>
        <w:rFonts w:hint="default"/>
        <w:lang w:val="en-US" w:eastAsia="en-US" w:bidi="ar-SA"/>
      </w:rPr>
    </w:lvl>
    <w:lvl w:ilvl="2" w:tplc="3C3AE036">
      <w:numFmt w:val="bullet"/>
      <w:lvlText w:val="•"/>
      <w:lvlJc w:val="left"/>
      <w:pPr>
        <w:ind w:left="2801" w:hanging="360"/>
      </w:pPr>
      <w:rPr>
        <w:rFonts w:hint="default"/>
        <w:lang w:val="en-US" w:eastAsia="en-US" w:bidi="ar-SA"/>
      </w:rPr>
    </w:lvl>
    <w:lvl w:ilvl="3" w:tplc="005ABD9C">
      <w:numFmt w:val="bullet"/>
      <w:lvlText w:val="•"/>
      <w:lvlJc w:val="left"/>
      <w:pPr>
        <w:ind w:left="3692" w:hanging="360"/>
      </w:pPr>
      <w:rPr>
        <w:rFonts w:hint="default"/>
        <w:lang w:val="en-US" w:eastAsia="en-US" w:bidi="ar-SA"/>
      </w:rPr>
    </w:lvl>
    <w:lvl w:ilvl="4" w:tplc="84367EC4">
      <w:numFmt w:val="bullet"/>
      <w:lvlText w:val="•"/>
      <w:lvlJc w:val="left"/>
      <w:pPr>
        <w:ind w:left="4583" w:hanging="360"/>
      </w:pPr>
      <w:rPr>
        <w:rFonts w:hint="default"/>
        <w:lang w:val="en-US" w:eastAsia="en-US" w:bidi="ar-SA"/>
      </w:rPr>
    </w:lvl>
    <w:lvl w:ilvl="5" w:tplc="91247FBE">
      <w:numFmt w:val="bullet"/>
      <w:lvlText w:val="•"/>
      <w:lvlJc w:val="left"/>
      <w:pPr>
        <w:ind w:left="5474" w:hanging="360"/>
      </w:pPr>
      <w:rPr>
        <w:rFonts w:hint="default"/>
        <w:lang w:val="en-US" w:eastAsia="en-US" w:bidi="ar-SA"/>
      </w:rPr>
    </w:lvl>
    <w:lvl w:ilvl="6" w:tplc="3DD80374">
      <w:numFmt w:val="bullet"/>
      <w:lvlText w:val="•"/>
      <w:lvlJc w:val="left"/>
      <w:pPr>
        <w:ind w:left="6364" w:hanging="360"/>
      </w:pPr>
      <w:rPr>
        <w:rFonts w:hint="default"/>
        <w:lang w:val="en-US" w:eastAsia="en-US" w:bidi="ar-SA"/>
      </w:rPr>
    </w:lvl>
    <w:lvl w:ilvl="7" w:tplc="E084BC20">
      <w:numFmt w:val="bullet"/>
      <w:lvlText w:val="•"/>
      <w:lvlJc w:val="left"/>
      <w:pPr>
        <w:ind w:left="7255" w:hanging="360"/>
      </w:pPr>
      <w:rPr>
        <w:rFonts w:hint="default"/>
        <w:lang w:val="en-US" w:eastAsia="en-US" w:bidi="ar-SA"/>
      </w:rPr>
    </w:lvl>
    <w:lvl w:ilvl="8" w:tplc="9BEACE6E">
      <w:numFmt w:val="bullet"/>
      <w:lvlText w:val="•"/>
      <w:lvlJc w:val="left"/>
      <w:pPr>
        <w:ind w:left="8146" w:hanging="360"/>
      </w:pPr>
      <w:rPr>
        <w:rFonts w:hint="default"/>
        <w:lang w:val="en-US" w:eastAsia="en-US" w:bidi="ar-SA"/>
      </w:rPr>
    </w:lvl>
  </w:abstractNum>
  <w:num w:numId="1" w16cid:durableId="229584932">
    <w:abstractNumId w:val="2"/>
  </w:num>
  <w:num w:numId="2" w16cid:durableId="1164248771">
    <w:abstractNumId w:val="1"/>
  </w:num>
  <w:num w:numId="3" w16cid:durableId="101083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E135B"/>
    <w:rsid w:val="0015338A"/>
    <w:rsid w:val="00320262"/>
    <w:rsid w:val="00401300"/>
    <w:rsid w:val="00661023"/>
    <w:rsid w:val="00AE135B"/>
    <w:rsid w:val="00B84A4A"/>
    <w:rsid w:val="00D86260"/>
    <w:rsid w:val="00EE54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968D"/>
  <w15:docId w15:val="{77898242-544B-4E15-B2E1-CCB867F2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06" w:hanging="799"/>
      <w:outlineLvl w:val="0"/>
    </w:pPr>
    <w:rPr>
      <w:rFonts w:ascii="Arial" w:eastAsia="Arial" w:hAnsi="Arial" w:cs="Arial"/>
      <w:b/>
      <w:bCs/>
      <w:sz w:val="28"/>
      <w:szCs w:val="28"/>
    </w:rPr>
  </w:style>
  <w:style w:type="paragraph" w:styleId="Heading2">
    <w:name w:val="heading 2"/>
    <w:basedOn w:val="Normal"/>
    <w:uiPriority w:val="9"/>
    <w:unhideWhenUsed/>
    <w:qFormat/>
    <w:pPr>
      <w:ind w:left="1106" w:hanging="799"/>
      <w:outlineLvl w:val="1"/>
    </w:pPr>
    <w:rPr>
      <w:rFonts w:ascii="Arial" w:eastAsia="Arial" w:hAnsi="Arial" w:cs="Arial"/>
      <w:b/>
      <w:bCs/>
      <w:sz w:val="24"/>
      <w:szCs w:val="24"/>
    </w:rPr>
  </w:style>
  <w:style w:type="paragraph" w:styleId="Heading3">
    <w:name w:val="heading 3"/>
    <w:basedOn w:val="Normal"/>
    <w:uiPriority w:val="9"/>
    <w:unhideWhenUsed/>
    <w:qFormat/>
    <w:pPr>
      <w:ind w:left="307"/>
      <w:outlineLvl w:val="2"/>
    </w:pPr>
    <w:rPr>
      <w:b/>
      <w:bCs/>
    </w:rPr>
  </w:style>
  <w:style w:type="paragraph" w:styleId="Heading4">
    <w:name w:val="heading 4"/>
    <w:basedOn w:val="Normal"/>
    <w:uiPriority w:val="9"/>
    <w:unhideWhenUsed/>
    <w:qFormat/>
    <w:pPr>
      <w:spacing w:before="37"/>
      <w:ind w:left="266"/>
      <w:jc w:val="both"/>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7"/>
    </w:pPr>
  </w:style>
  <w:style w:type="paragraph" w:styleId="ListParagraph">
    <w:name w:val="List Paragraph"/>
    <w:basedOn w:val="Normal"/>
    <w:uiPriority w:val="1"/>
    <w:qFormat/>
    <w:pPr>
      <w:ind w:left="1106" w:hanging="799"/>
    </w:pPr>
  </w:style>
  <w:style w:type="paragraph" w:customStyle="1" w:styleId="TableParagraph">
    <w:name w:val="Table Paragraph"/>
    <w:basedOn w:val="Normal"/>
    <w:uiPriority w:val="1"/>
    <w:qFormat/>
    <w:pPr>
      <w:spacing w:before="59"/>
      <w:ind w:left="115"/>
    </w:pPr>
  </w:style>
  <w:style w:type="paragraph" w:styleId="Header">
    <w:name w:val="header"/>
    <w:basedOn w:val="Normal"/>
    <w:link w:val="HeaderChar"/>
    <w:uiPriority w:val="99"/>
    <w:unhideWhenUsed/>
    <w:rsid w:val="00D86260"/>
    <w:pPr>
      <w:tabs>
        <w:tab w:val="center" w:pos="4513"/>
        <w:tab w:val="right" w:pos="9026"/>
      </w:tabs>
    </w:pPr>
  </w:style>
  <w:style w:type="character" w:customStyle="1" w:styleId="HeaderChar">
    <w:name w:val="Header Char"/>
    <w:basedOn w:val="DefaultParagraphFont"/>
    <w:link w:val="Header"/>
    <w:uiPriority w:val="99"/>
    <w:rsid w:val="00D86260"/>
    <w:rPr>
      <w:rFonts w:ascii="Calibri" w:eastAsia="Calibri" w:hAnsi="Calibri" w:cs="Calibri"/>
    </w:rPr>
  </w:style>
  <w:style w:type="paragraph" w:styleId="Footer">
    <w:name w:val="footer"/>
    <w:basedOn w:val="Normal"/>
    <w:link w:val="FooterChar"/>
    <w:unhideWhenUsed/>
    <w:qFormat/>
    <w:rsid w:val="00D86260"/>
    <w:pPr>
      <w:tabs>
        <w:tab w:val="center" w:pos="4513"/>
        <w:tab w:val="right" w:pos="9026"/>
      </w:tabs>
    </w:pPr>
  </w:style>
  <w:style w:type="character" w:customStyle="1" w:styleId="FooterChar">
    <w:name w:val="Footer Char"/>
    <w:basedOn w:val="DefaultParagraphFont"/>
    <w:link w:val="Footer"/>
    <w:rsid w:val="00D86260"/>
    <w:rPr>
      <w:rFonts w:ascii="Calibri" w:eastAsia="Calibri" w:hAnsi="Calibri" w:cs="Calibri"/>
    </w:rPr>
  </w:style>
  <w:style w:type="character" w:styleId="Hyperlink">
    <w:name w:val="Hyperlink"/>
    <w:basedOn w:val="DefaultParagraphFont"/>
    <w:uiPriority w:val="99"/>
    <w:unhideWhenUsed/>
    <w:rsid w:val="00401300"/>
    <w:rPr>
      <w:color w:val="0000FF"/>
      <w:u w:val="single"/>
    </w:rPr>
  </w:style>
  <w:style w:type="table" w:styleId="TableGrid">
    <w:name w:val="Table Grid"/>
    <w:basedOn w:val="TableNormal"/>
    <w:uiPriority w:val="59"/>
    <w:rsid w:val="00401300"/>
    <w:pPr>
      <w:widowControl/>
      <w:autoSpaceDE/>
      <w:autoSpaceDN/>
    </w:pPr>
    <w:rPr>
      <w:rFonts w:eastAsia="Cambria"/>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tga.gov.au/reporting-problems" TargetMode="Externa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mailto:ds@commercialeyes.com.au"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33</Pages>
  <Words>9780</Words>
  <Characters>53790</Characters>
  <Application>Microsoft Office Word</Application>
  <DocSecurity>0</DocSecurity>
  <Lines>1344</Lines>
  <Paragraphs>836</Paragraphs>
  <ScaleCrop>false</ScaleCrop>
  <HeadingPairs>
    <vt:vector size="2" baseType="variant">
      <vt:variant>
        <vt:lpstr>Title</vt:lpstr>
      </vt:variant>
      <vt:variant>
        <vt:i4>1</vt:i4>
      </vt:variant>
    </vt:vector>
  </HeadingPairs>
  <TitlesOfParts>
    <vt:vector size="1" baseType="lpstr">
      <vt:lpstr>Attachment: Product information for Dostiva</vt:lpstr>
    </vt:vector>
  </TitlesOfParts>
  <Company/>
  <LinksUpToDate>false</LinksUpToDate>
  <CharactersWithSpaces>62734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Dostiva</dc:title>
  <dc:subject>Prescription medicines</dc:subject>
  <dc:creator>Accord Healthcare Pty Ltd</dc:creator>
  <cp:keywords/>
  <dcterms:created xsi:type="dcterms:W3CDTF">2026-04-24T02:33:00Z</dcterms:created>
  <dcterms:modified xsi:type="dcterms:W3CDTF">2026-04-24T04:15:00Z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2016</vt:lpwstr>
  </property>
  <property fmtid="{D5CDD505-2E9C-101B-9397-08002B2CF9AE}" pid="4" name="LastSaved">
    <vt:filetime>2026-04-21T00:00:00Z</vt:filetime>
  </property>
  <property fmtid="{D5CDD505-2E9C-101B-9397-08002B2CF9AE}" pid="5" name="Producer">
    <vt:lpwstr>Microsoft® Word 2016</vt:lpwstr>
  </property>
  <property fmtid="{D5CDD505-2E9C-101B-9397-08002B2CF9AE}" pid="6" name="ClassificationContentMarkingHeaderShapeIds">
    <vt:lpwstr>798dbaad,3c69a683,421bde87</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1f1cdd11,7a1a6606,256cdaff</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2026-04-24T02:32:33Z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e81035e7-1099-4d6b-89bf-611c2723b1be</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