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66F1A588" w:rsidR="00F02AEC" w:rsidRPr="00215D48" w:rsidRDefault="00346EC2" w:rsidP="007452E8">
            <w:pPr>
              <w:pStyle w:val="Title"/>
            </w:pPr>
            <w:r w:rsidRPr="00346EC2">
              <w:t xml:space="preserve">Australian Public Assessment Report for </w:t>
            </w:r>
            <w:r w:rsidR="00022B92">
              <w:t>Briumvi</w:t>
            </w:r>
          </w:p>
        </w:tc>
      </w:tr>
      <w:tr w:rsidR="00F02AEC" w:rsidRPr="00215D48" w14:paraId="318A40A3" w14:textId="77777777" w:rsidTr="00346EC2">
        <w:trPr>
          <w:trHeight w:val="995"/>
        </w:trPr>
        <w:tc>
          <w:tcPr>
            <w:tcW w:w="8720" w:type="dxa"/>
          </w:tcPr>
          <w:p w14:paraId="1AA7C701" w14:textId="174C49E3" w:rsidR="00F02AEC" w:rsidRPr="00215D48" w:rsidRDefault="00346EC2" w:rsidP="007452E8">
            <w:pPr>
              <w:pStyle w:val="Subtitle"/>
              <w:ind w:left="0"/>
            </w:pPr>
            <w:r w:rsidRPr="00346EC2">
              <w:t>Active ingredient:</w:t>
            </w:r>
            <w:r w:rsidR="00373B1A">
              <w:t xml:space="preserve"> </w:t>
            </w:r>
            <w:r w:rsidR="00A8156D">
              <w:t>U</w:t>
            </w:r>
            <w:r w:rsidR="00373B1A" w:rsidRPr="00373B1A">
              <w:t>blituximab</w:t>
            </w:r>
          </w:p>
        </w:tc>
      </w:tr>
      <w:tr w:rsidR="00346EC2" w:rsidRPr="00215D48" w14:paraId="362CCAE4" w14:textId="77777777" w:rsidTr="007452E8">
        <w:trPr>
          <w:trHeight w:val="1916"/>
        </w:trPr>
        <w:tc>
          <w:tcPr>
            <w:tcW w:w="8720" w:type="dxa"/>
          </w:tcPr>
          <w:p w14:paraId="709C45C0" w14:textId="17A89678" w:rsidR="00346EC2" w:rsidRPr="00215D48" w:rsidRDefault="00346EC2" w:rsidP="007452E8">
            <w:pPr>
              <w:pStyle w:val="Subtitle"/>
              <w:ind w:left="0"/>
            </w:pPr>
            <w:r w:rsidRPr="00346EC2">
              <w:t>Sponsor:</w:t>
            </w:r>
            <w:r w:rsidR="00373B1A">
              <w:t xml:space="preserve"> </w:t>
            </w:r>
            <w:r w:rsidR="00373B1A" w:rsidRPr="00373B1A">
              <w:t>Accelagen Pty Ltd</w:t>
            </w:r>
          </w:p>
        </w:tc>
      </w:tr>
      <w:tr w:rsidR="00F02AEC" w:rsidRPr="00215D48" w14:paraId="37F2AA1F" w14:textId="77777777" w:rsidTr="007452E8">
        <w:tc>
          <w:tcPr>
            <w:tcW w:w="8720" w:type="dxa"/>
          </w:tcPr>
          <w:p w14:paraId="1FDE8DCD" w14:textId="2B38AE71" w:rsidR="00F02AEC" w:rsidRPr="00215D48" w:rsidRDefault="00540CE5" w:rsidP="007452E8">
            <w:pPr>
              <w:pStyle w:val="Date"/>
            </w:pPr>
            <w:r>
              <w:t>March</w:t>
            </w:r>
            <w:r w:rsidR="00F02AEC" w:rsidRPr="00215D48">
              <w:t xml:space="preserve"> </w:t>
            </w:r>
            <w:r w:rsidR="00373B1A">
              <w:t>2026</w:t>
            </w:r>
          </w:p>
        </w:tc>
      </w:tr>
    </w:tbl>
    <w:p w14:paraId="73752706" w14:textId="77777777" w:rsidR="00F02AEC" w:rsidRPr="00215D48" w:rsidRDefault="00F02AEC" w:rsidP="007452E8">
      <w:pPr>
        <w:pStyle w:val="ListBullet"/>
        <w:numPr>
          <w:ilvl w:val="0"/>
          <w:numId w:val="0"/>
        </w:numPr>
        <w:sectPr w:rsidR="00F02AEC" w:rsidRPr="00215D48" w:rsidSect="00CB0550">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4"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5"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2A640C15" w:rsidR="00175CD8" w:rsidRPr="00346EC2" w:rsidRDefault="00F02AEC" w:rsidP="00346EC2">
      <w:pPr>
        <w:pStyle w:val="LegalCopy"/>
        <w:rPr>
          <w:rFonts w:cs="Arial"/>
        </w:rPr>
      </w:pPr>
      <w:r w:rsidRPr="00215D48">
        <w:rPr>
          <w:rFonts w:cs="Arial"/>
        </w:rPr>
        <w:t>© Commonwealth of Australia 20</w:t>
      </w:r>
      <w:r>
        <w:rPr>
          <w:rFonts w:cs="Arial"/>
        </w:rPr>
        <w:t>2</w:t>
      </w:r>
      <w:r w:rsidR="00373B1A">
        <w:rPr>
          <w:rFonts w:cs="Arial"/>
        </w:rPr>
        <w:t>6</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6"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0F8E438D" w14:textId="74C55575" w:rsidR="006D1B32"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225501983" w:history="1">
            <w:r w:rsidR="006D1B32" w:rsidRPr="003E0D9A">
              <w:rPr>
                <w:rStyle w:val="Hyperlink"/>
                <w:noProof/>
              </w:rPr>
              <w:t>List of abbreviations</w:t>
            </w:r>
            <w:r w:rsidR="006D1B32">
              <w:rPr>
                <w:noProof/>
                <w:webHidden/>
              </w:rPr>
              <w:tab/>
            </w:r>
            <w:r w:rsidR="006D1B32">
              <w:rPr>
                <w:noProof/>
                <w:webHidden/>
              </w:rPr>
              <w:fldChar w:fldCharType="begin"/>
            </w:r>
            <w:r w:rsidR="006D1B32">
              <w:rPr>
                <w:noProof/>
                <w:webHidden/>
              </w:rPr>
              <w:instrText xml:space="preserve"> PAGEREF _Toc225501983 \h </w:instrText>
            </w:r>
            <w:r w:rsidR="006D1B32">
              <w:rPr>
                <w:noProof/>
                <w:webHidden/>
              </w:rPr>
            </w:r>
            <w:r w:rsidR="006D1B32">
              <w:rPr>
                <w:noProof/>
                <w:webHidden/>
              </w:rPr>
              <w:fldChar w:fldCharType="separate"/>
            </w:r>
            <w:r w:rsidR="006D1B32">
              <w:rPr>
                <w:noProof/>
                <w:webHidden/>
              </w:rPr>
              <w:t>4</w:t>
            </w:r>
            <w:r w:rsidR="006D1B32">
              <w:rPr>
                <w:noProof/>
                <w:webHidden/>
              </w:rPr>
              <w:fldChar w:fldCharType="end"/>
            </w:r>
          </w:hyperlink>
        </w:p>
        <w:p w14:paraId="5FC2392F" w14:textId="43DB9C0F" w:rsidR="006D1B32" w:rsidRDefault="006D1B32">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5501984" w:history="1">
            <w:r w:rsidRPr="003E0D9A">
              <w:rPr>
                <w:rStyle w:val="Hyperlink"/>
                <w:noProof/>
              </w:rPr>
              <w:t>Product submission</w:t>
            </w:r>
            <w:r>
              <w:rPr>
                <w:noProof/>
                <w:webHidden/>
              </w:rPr>
              <w:tab/>
            </w:r>
            <w:r>
              <w:rPr>
                <w:noProof/>
                <w:webHidden/>
              </w:rPr>
              <w:fldChar w:fldCharType="begin"/>
            </w:r>
            <w:r>
              <w:rPr>
                <w:noProof/>
                <w:webHidden/>
              </w:rPr>
              <w:instrText xml:space="preserve"> PAGEREF _Toc225501984 \h </w:instrText>
            </w:r>
            <w:r>
              <w:rPr>
                <w:noProof/>
                <w:webHidden/>
              </w:rPr>
            </w:r>
            <w:r>
              <w:rPr>
                <w:noProof/>
                <w:webHidden/>
              </w:rPr>
              <w:fldChar w:fldCharType="separate"/>
            </w:r>
            <w:r>
              <w:rPr>
                <w:noProof/>
                <w:webHidden/>
              </w:rPr>
              <w:t>5</w:t>
            </w:r>
            <w:r>
              <w:rPr>
                <w:noProof/>
                <w:webHidden/>
              </w:rPr>
              <w:fldChar w:fldCharType="end"/>
            </w:r>
          </w:hyperlink>
        </w:p>
        <w:p w14:paraId="3918B7EC" w14:textId="7C508920" w:rsidR="006D1B32" w:rsidRDefault="006D1B32">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5501985" w:history="1">
            <w:r w:rsidRPr="003E0D9A">
              <w:rPr>
                <w:rStyle w:val="Hyperlink"/>
                <w:noProof/>
                <w:lang w:eastAsia="en-AU"/>
              </w:rPr>
              <w:t>Submission details</w:t>
            </w:r>
            <w:r>
              <w:rPr>
                <w:noProof/>
                <w:webHidden/>
              </w:rPr>
              <w:tab/>
            </w:r>
            <w:r>
              <w:rPr>
                <w:noProof/>
                <w:webHidden/>
              </w:rPr>
              <w:fldChar w:fldCharType="begin"/>
            </w:r>
            <w:r>
              <w:rPr>
                <w:noProof/>
                <w:webHidden/>
              </w:rPr>
              <w:instrText xml:space="preserve"> PAGEREF _Toc225501985 \h </w:instrText>
            </w:r>
            <w:r>
              <w:rPr>
                <w:noProof/>
                <w:webHidden/>
              </w:rPr>
            </w:r>
            <w:r>
              <w:rPr>
                <w:noProof/>
                <w:webHidden/>
              </w:rPr>
              <w:fldChar w:fldCharType="separate"/>
            </w:r>
            <w:r>
              <w:rPr>
                <w:noProof/>
                <w:webHidden/>
              </w:rPr>
              <w:t>5</w:t>
            </w:r>
            <w:r>
              <w:rPr>
                <w:noProof/>
                <w:webHidden/>
              </w:rPr>
              <w:fldChar w:fldCharType="end"/>
            </w:r>
          </w:hyperlink>
        </w:p>
        <w:p w14:paraId="0454B3DA" w14:textId="5E22AFCC" w:rsidR="006D1B32" w:rsidRDefault="006D1B32">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5501986" w:history="1">
            <w:r w:rsidRPr="003E0D9A">
              <w:rPr>
                <w:rStyle w:val="Hyperlink"/>
                <w:noProof/>
              </w:rPr>
              <w:t>Product background</w:t>
            </w:r>
            <w:r>
              <w:rPr>
                <w:noProof/>
                <w:webHidden/>
              </w:rPr>
              <w:tab/>
            </w:r>
            <w:r>
              <w:rPr>
                <w:noProof/>
                <w:webHidden/>
              </w:rPr>
              <w:fldChar w:fldCharType="begin"/>
            </w:r>
            <w:r>
              <w:rPr>
                <w:noProof/>
                <w:webHidden/>
              </w:rPr>
              <w:instrText xml:space="preserve"> PAGEREF _Toc225501986 \h </w:instrText>
            </w:r>
            <w:r>
              <w:rPr>
                <w:noProof/>
                <w:webHidden/>
              </w:rPr>
            </w:r>
            <w:r>
              <w:rPr>
                <w:noProof/>
                <w:webHidden/>
              </w:rPr>
              <w:fldChar w:fldCharType="separate"/>
            </w:r>
            <w:r>
              <w:rPr>
                <w:noProof/>
                <w:webHidden/>
              </w:rPr>
              <w:t>6</w:t>
            </w:r>
            <w:r>
              <w:rPr>
                <w:noProof/>
                <w:webHidden/>
              </w:rPr>
              <w:fldChar w:fldCharType="end"/>
            </w:r>
          </w:hyperlink>
        </w:p>
        <w:p w14:paraId="408460E0" w14:textId="012223A2" w:rsidR="006D1B32" w:rsidRDefault="006D1B32">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5501987" w:history="1">
            <w:r w:rsidRPr="003E0D9A">
              <w:rPr>
                <w:rStyle w:val="Hyperlink"/>
                <w:noProof/>
              </w:rPr>
              <w:t>Disease or condition</w:t>
            </w:r>
            <w:r>
              <w:rPr>
                <w:noProof/>
                <w:webHidden/>
              </w:rPr>
              <w:tab/>
            </w:r>
            <w:r>
              <w:rPr>
                <w:noProof/>
                <w:webHidden/>
              </w:rPr>
              <w:fldChar w:fldCharType="begin"/>
            </w:r>
            <w:r>
              <w:rPr>
                <w:noProof/>
                <w:webHidden/>
              </w:rPr>
              <w:instrText xml:space="preserve"> PAGEREF _Toc225501987 \h </w:instrText>
            </w:r>
            <w:r>
              <w:rPr>
                <w:noProof/>
                <w:webHidden/>
              </w:rPr>
            </w:r>
            <w:r>
              <w:rPr>
                <w:noProof/>
                <w:webHidden/>
              </w:rPr>
              <w:fldChar w:fldCharType="separate"/>
            </w:r>
            <w:r>
              <w:rPr>
                <w:noProof/>
                <w:webHidden/>
              </w:rPr>
              <w:t>6</w:t>
            </w:r>
            <w:r>
              <w:rPr>
                <w:noProof/>
                <w:webHidden/>
              </w:rPr>
              <w:fldChar w:fldCharType="end"/>
            </w:r>
          </w:hyperlink>
        </w:p>
        <w:p w14:paraId="3185516F" w14:textId="2B81DB95" w:rsidR="006D1B32" w:rsidRDefault="006D1B32">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5501988" w:history="1">
            <w:r w:rsidRPr="003E0D9A">
              <w:rPr>
                <w:rStyle w:val="Hyperlink"/>
                <w:noProof/>
              </w:rPr>
              <w:t>Current treatment options</w:t>
            </w:r>
            <w:r>
              <w:rPr>
                <w:noProof/>
                <w:webHidden/>
              </w:rPr>
              <w:tab/>
            </w:r>
            <w:r>
              <w:rPr>
                <w:noProof/>
                <w:webHidden/>
              </w:rPr>
              <w:fldChar w:fldCharType="begin"/>
            </w:r>
            <w:r>
              <w:rPr>
                <w:noProof/>
                <w:webHidden/>
              </w:rPr>
              <w:instrText xml:space="preserve"> PAGEREF _Toc225501988 \h </w:instrText>
            </w:r>
            <w:r>
              <w:rPr>
                <w:noProof/>
                <w:webHidden/>
              </w:rPr>
            </w:r>
            <w:r>
              <w:rPr>
                <w:noProof/>
                <w:webHidden/>
              </w:rPr>
              <w:fldChar w:fldCharType="separate"/>
            </w:r>
            <w:r>
              <w:rPr>
                <w:noProof/>
                <w:webHidden/>
              </w:rPr>
              <w:t>6</w:t>
            </w:r>
            <w:r>
              <w:rPr>
                <w:noProof/>
                <w:webHidden/>
              </w:rPr>
              <w:fldChar w:fldCharType="end"/>
            </w:r>
          </w:hyperlink>
        </w:p>
        <w:p w14:paraId="6291E3EB" w14:textId="1C66968A" w:rsidR="006D1B32" w:rsidRDefault="006D1B32">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5501989" w:history="1">
            <w:r w:rsidRPr="003E0D9A">
              <w:rPr>
                <w:rStyle w:val="Hyperlink"/>
                <w:noProof/>
              </w:rPr>
              <w:t>Clinical rationale</w:t>
            </w:r>
            <w:r>
              <w:rPr>
                <w:noProof/>
                <w:webHidden/>
              </w:rPr>
              <w:tab/>
            </w:r>
            <w:r>
              <w:rPr>
                <w:noProof/>
                <w:webHidden/>
              </w:rPr>
              <w:fldChar w:fldCharType="begin"/>
            </w:r>
            <w:r>
              <w:rPr>
                <w:noProof/>
                <w:webHidden/>
              </w:rPr>
              <w:instrText xml:space="preserve"> PAGEREF _Toc225501989 \h </w:instrText>
            </w:r>
            <w:r>
              <w:rPr>
                <w:noProof/>
                <w:webHidden/>
              </w:rPr>
            </w:r>
            <w:r>
              <w:rPr>
                <w:noProof/>
                <w:webHidden/>
              </w:rPr>
              <w:fldChar w:fldCharType="separate"/>
            </w:r>
            <w:r>
              <w:rPr>
                <w:noProof/>
                <w:webHidden/>
              </w:rPr>
              <w:t>7</w:t>
            </w:r>
            <w:r>
              <w:rPr>
                <w:noProof/>
                <w:webHidden/>
              </w:rPr>
              <w:fldChar w:fldCharType="end"/>
            </w:r>
          </w:hyperlink>
        </w:p>
        <w:p w14:paraId="11E18AFC" w14:textId="60A4A65E" w:rsidR="006D1B32" w:rsidRDefault="006D1B32">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5501990" w:history="1">
            <w:r w:rsidRPr="003E0D9A">
              <w:rPr>
                <w:rStyle w:val="Hyperlink"/>
                <w:noProof/>
              </w:rPr>
              <w:t>Regulatory status</w:t>
            </w:r>
            <w:r>
              <w:rPr>
                <w:noProof/>
                <w:webHidden/>
              </w:rPr>
              <w:tab/>
            </w:r>
            <w:r>
              <w:rPr>
                <w:noProof/>
                <w:webHidden/>
              </w:rPr>
              <w:fldChar w:fldCharType="begin"/>
            </w:r>
            <w:r>
              <w:rPr>
                <w:noProof/>
                <w:webHidden/>
              </w:rPr>
              <w:instrText xml:space="preserve"> PAGEREF _Toc225501990 \h </w:instrText>
            </w:r>
            <w:r>
              <w:rPr>
                <w:noProof/>
                <w:webHidden/>
              </w:rPr>
            </w:r>
            <w:r>
              <w:rPr>
                <w:noProof/>
                <w:webHidden/>
              </w:rPr>
              <w:fldChar w:fldCharType="separate"/>
            </w:r>
            <w:r>
              <w:rPr>
                <w:noProof/>
                <w:webHidden/>
              </w:rPr>
              <w:t>8</w:t>
            </w:r>
            <w:r>
              <w:rPr>
                <w:noProof/>
                <w:webHidden/>
              </w:rPr>
              <w:fldChar w:fldCharType="end"/>
            </w:r>
          </w:hyperlink>
        </w:p>
        <w:p w14:paraId="149DAC82" w14:textId="41A9823F" w:rsidR="006D1B32" w:rsidRDefault="006D1B32">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5501991" w:history="1">
            <w:r w:rsidRPr="003E0D9A">
              <w:rPr>
                <w:rStyle w:val="Hyperlink"/>
                <w:noProof/>
              </w:rPr>
              <w:t>Australian regulatory status</w:t>
            </w:r>
            <w:r>
              <w:rPr>
                <w:noProof/>
                <w:webHidden/>
              </w:rPr>
              <w:tab/>
            </w:r>
            <w:r>
              <w:rPr>
                <w:noProof/>
                <w:webHidden/>
              </w:rPr>
              <w:fldChar w:fldCharType="begin"/>
            </w:r>
            <w:r>
              <w:rPr>
                <w:noProof/>
                <w:webHidden/>
              </w:rPr>
              <w:instrText xml:space="preserve"> PAGEREF _Toc225501991 \h </w:instrText>
            </w:r>
            <w:r>
              <w:rPr>
                <w:noProof/>
                <w:webHidden/>
              </w:rPr>
            </w:r>
            <w:r>
              <w:rPr>
                <w:noProof/>
                <w:webHidden/>
              </w:rPr>
              <w:fldChar w:fldCharType="separate"/>
            </w:r>
            <w:r>
              <w:rPr>
                <w:noProof/>
                <w:webHidden/>
              </w:rPr>
              <w:t>8</w:t>
            </w:r>
            <w:r>
              <w:rPr>
                <w:noProof/>
                <w:webHidden/>
              </w:rPr>
              <w:fldChar w:fldCharType="end"/>
            </w:r>
          </w:hyperlink>
        </w:p>
        <w:p w14:paraId="7FEFAB39" w14:textId="73AD5576" w:rsidR="006D1B32" w:rsidRDefault="006D1B32">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5501992" w:history="1">
            <w:r w:rsidRPr="003E0D9A">
              <w:rPr>
                <w:rStyle w:val="Hyperlink"/>
                <w:noProof/>
              </w:rPr>
              <w:t>International regulatory status</w:t>
            </w:r>
            <w:r>
              <w:rPr>
                <w:noProof/>
                <w:webHidden/>
              </w:rPr>
              <w:tab/>
            </w:r>
            <w:r>
              <w:rPr>
                <w:noProof/>
                <w:webHidden/>
              </w:rPr>
              <w:fldChar w:fldCharType="begin"/>
            </w:r>
            <w:r>
              <w:rPr>
                <w:noProof/>
                <w:webHidden/>
              </w:rPr>
              <w:instrText xml:space="preserve"> PAGEREF _Toc225501992 \h </w:instrText>
            </w:r>
            <w:r>
              <w:rPr>
                <w:noProof/>
                <w:webHidden/>
              </w:rPr>
            </w:r>
            <w:r>
              <w:rPr>
                <w:noProof/>
                <w:webHidden/>
              </w:rPr>
              <w:fldChar w:fldCharType="separate"/>
            </w:r>
            <w:r>
              <w:rPr>
                <w:noProof/>
                <w:webHidden/>
              </w:rPr>
              <w:t>8</w:t>
            </w:r>
            <w:r>
              <w:rPr>
                <w:noProof/>
                <w:webHidden/>
              </w:rPr>
              <w:fldChar w:fldCharType="end"/>
            </w:r>
          </w:hyperlink>
        </w:p>
        <w:p w14:paraId="2888AC29" w14:textId="385B5C0C" w:rsidR="006D1B32" w:rsidRDefault="006D1B32">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5501993" w:history="1">
            <w:r w:rsidRPr="003E0D9A">
              <w:rPr>
                <w:rStyle w:val="Hyperlink"/>
                <w:noProof/>
              </w:rPr>
              <w:t>Registration timeline</w:t>
            </w:r>
            <w:r>
              <w:rPr>
                <w:noProof/>
                <w:webHidden/>
              </w:rPr>
              <w:tab/>
            </w:r>
            <w:r>
              <w:rPr>
                <w:noProof/>
                <w:webHidden/>
              </w:rPr>
              <w:fldChar w:fldCharType="begin"/>
            </w:r>
            <w:r>
              <w:rPr>
                <w:noProof/>
                <w:webHidden/>
              </w:rPr>
              <w:instrText xml:space="preserve"> PAGEREF _Toc225501993 \h </w:instrText>
            </w:r>
            <w:r>
              <w:rPr>
                <w:noProof/>
                <w:webHidden/>
              </w:rPr>
            </w:r>
            <w:r>
              <w:rPr>
                <w:noProof/>
                <w:webHidden/>
              </w:rPr>
              <w:fldChar w:fldCharType="separate"/>
            </w:r>
            <w:r>
              <w:rPr>
                <w:noProof/>
                <w:webHidden/>
              </w:rPr>
              <w:t>9</w:t>
            </w:r>
            <w:r>
              <w:rPr>
                <w:noProof/>
                <w:webHidden/>
              </w:rPr>
              <w:fldChar w:fldCharType="end"/>
            </w:r>
          </w:hyperlink>
        </w:p>
        <w:p w14:paraId="1E415D84" w14:textId="707BB9AC" w:rsidR="006D1B32" w:rsidRDefault="006D1B32">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5501994" w:history="1">
            <w:r w:rsidRPr="003E0D9A">
              <w:rPr>
                <w:rStyle w:val="Hyperlink"/>
                <w:noProof/>
              </w:rPr>
              <w:t>Assessment overview</w:t>
            </w:r>
            <w:r>
              <w:rPr>
                <w:noProof/>
                <w:webHidden/>
              </w:rPr>
              <w:tab/>
            </w:r>
            <w:r>
              <w:rPr>
                <w:noProof/>
                <w:webHidden/>
              </w:rPr>
              <w:fldChar w:fldCharType="begin"/>
            </w:r>
            <w:r>
              <w:rPr>
                <w:noProof/>
                <w:webHidden/>
              </w:rPr>
              <w:instrText xml:space="preserve"> PAGEREF _Toc225501994 \h </w:instrText>
            </w:r>
            <w:r>
              <w:rPr>
                <w:noProof/>
                <w:webHidden/>
              </w:rPr>
            </w:r>
            <w:r>
              <w:rPr>
                <w:noProof/>
                <w:webHidden/>
              </w:rPr>
              <w:fldChar w:fldCharType="separate"/>
            </w:r>
            <w:r>
              <w:rPr>
                <w:noProof/>
                <w:webHidden/>
              </w:rPr>
              <w:t>10</w:t>
            </w:r>
            <w:r>
              <w:rPr>
                <w:noProof/>
                <w:webHidden/>
              </w:rPr>
              <w:fldChar w:fldCharType="end"/>
            </w:r>
          </w:hyperlink>
        </w:p>
        <w:p w14:paraId="4CAD4268" w14:textId="6A37B6A6" w:rsidR="006D1B32" w:rsidRDefault="006D1B32">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5501995" w:history="1">
            <w:r w:rsidRPr="003E0D9A">
              <w:rPr>
                <w:rStyle w:val="Hyperlink"/>
                <w:noProof/>
              </w:rPr>
              <w:t>Quality evaluation summary</w:t>
            </w:r>
            <w:r>
              <w:rPr>
                <w:noProof/>
                <w:webHidden/>
              </w:rPr>
              <w:tab/>
            </w:r>
            <w:r>
              <w:rPr>
                <w:noProof/>
                <w:webHidden/>
              </w:rPr>
              <w:fldChar w:fldCharType="begin"/>
            </w:r>
            <w:r>
              <w:rPr>
                <w:noProof/>
                <w:webHidden/>
              </w:rPr>
              <w:instrText xml:space="preserve"> PAGEREF _Toc225501995 \h </w:instrText>
            </w:r>
            <w:r>
              <w:rPr>
                <w:noProof/>
                <w:webHidden/>
              </w:rPr>
            </w:r>
            <w:r>
              <w:rPr>
                <w:noProof/>
                <w:webHidden/>
              </w:rPr>
              <w:fldChar w:fldCharType="separate"/>
            </w:r>
            <w:r>
              <w:rPr>
                <w:noProof/>
                <w:webHidden/>
              </w:rPr>
              <w:t>10</w:t>
            </w:r>
            <w:r>
              <w:rPr>
                <w:noProof/>
                <w:webHidden/>
              </w:rPr>
              <w:fldChar w:fldCharType="end"/>
            </w:r>
          </w:hyperlink>
        </w:p>
        <w:p w14:paraId="2DD96520" w14:textId="669DC5A6" w:rsidR="006D1B32" w:rsidRDefault="006D1B32">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5501996" w:history="1">
            <w:r w:rsidRPr="003E0D9A">
              <w:rPr>
                <w:rStyle w:val="Hyperlink"/>
                <w:noProof/>
              </w:rPr>
              <w:t>Nonclinical evaluation summary</w:t>
            </w:r>
            <w:r>
              <w:rPr>
                <w:noProof/>
                <w:webHidden/>
              </w:rPr>
              <w:tab/>
            </w:r>
            <w:r>
              <w:rPr>
                <w:noProof/>
                <w:webHidden/>
              </w:rPr>
              <w:fldChar w:fldCharType="begin"/>
            </w:r>
            <w:r>
              <w:rPr>
                <w:noProof/>
                <w:webHidden/>
              </w:rPr>
              <w:instrText xml:space="preserve"> PAGEREF _Toc225501996 \h </w:instrText>
            </w:r>
            <w:r>
              <w:rPr>
                <w:noProof/>
                <w:webHidden/>
              </w:rPr>
            </w:r>
            <w:r>
              <w:rPr>
                <w:noProof/>
                <w:webHidden/>
              </w:rPr>
              <w:fldChar w:fldCharType="separate"/>
            </w:r>
            <w:r>
              <w:rPr>
                <w:noProof/>
                <w:webHidden/>
              </w:rPr>
              <w:t>11</w:t>
            </w:r>
            <w:r>
              <w:rPr>
                <w:noProof/>
                <w:webHidden/>
              </w:rPr>
              <w:fldChar w:fldCharType="end"/>
            </w:r>
          </w:hyperlink>
        </w:p>
        <w:p w14:paraId="08095232" w14:textId="1BF5369C" w:rsidR="006D1B32" w:rsidRDefault="006D1B32">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5501997" w:history="1">
            <w:r w:rsidRPr="003E0D9A">
              <w:rPr>
                <w:rStyle w:val="Hyperlink"/>
                <w:noProof/>
              </w:rPr>
              <w:t>Clinical evaluation summary</w:t>
            </w:r>
            <w:r>
              <w:rPr>
                <w:noProof/>
                <w:webHidden/>
              </w:rPr>
              <w:tab/>
            </w:r>
            <w:r>
              <w:rPr>
                <w:noProof/>
                <w:webHidden/>
              </w:rPr>
              <w:fldChar w:fldCharType="begin"/>
            </w:r>
            <w:r>
              <w:rPr>
                <w:noProof/>
                <w:webHidden/>
              </w:rPr>
              <w:instrText xml:space="preserve"> PAGEREF _Toc225501997 \h </w:instrText>
            </w:r>
            <w:r>
              <w:rPr>
                <w:noProof/>
                <w:webHidden/>
              </w:rPr>
            </w:r>
            <w:r>
              <w:rPr>
                <w:noProof/>
                <w:webHidden/>
              </w:rPr>
              <w:fldChar w:fldCharType="separate"/>
            </w:r>
            <w:r>
              <w:rPr>
                <w:noProof/>
                <w:webHidden/>
              </w:rPr>
              <w:t>12</w:t>
            </w:r>
            <w:r>
              <w:rPr>
                <w:noProof/>
                <w:webHidden/>
              </w:rPr>
              <w:fldChar w:fldCharType="end"/>
            </w:r>
          </w:hyperlink>
        </w:p>
        <w:p w14:paraId="68A30C46" w14:textId="1D597621" w:rsidR="006D1B32" w:rsidRDefault="006D1B32">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5501998" w:history="1">
            <w:r w:rsidRPr="003E0D9A">
              <w:rPr>
                <w:rStyle w:val="Hyperlink"/>
                <w:noProof/>
              </w:rPr>
              <w:t>Pharmacology</w:t>
            </w:r>
            <w:r>
              <w:rPr>
                <w:noProof/>
                <w:webHidden/>
              </w:rPr>
              <w:tab/>
            </w:r>
            <w:r>
              <w:rPr>
                <w:noProof/>
                <w:webHidden/>
              </w:rPr>
              <w:fldChar w:fldCharType="begin"/>
            </w:r>
            <w:r>
              <w:rPr>
                <w:noProof/>
                <w:webHidden/>
              </w:rPr>
              <w:instrText xml:space="preserve"> PAGEREF _Toc225501998 \h </w:instrText>
            </w:r>
            <w:r>
              <w:rPr>
                <w:noProof/>
                <w:webHidden/>
              </w:rPr>
            </w:r>
            <w:r>
              <w:rPr>
                <w:noProof/>
                <w:webHidden/>
              </w:rPr>
              <w:fldChar w:fldCharType="separate"/>
            </w:r>
            <w:r>
              <w:rPr>
                <w:noProof/>
                <w:webHidden/>
              </w:rPr>
              <w:t>12</w:t>
            </w:r>
            <w:r>
              <w:rPr>
                <w:noProof/>
                <w:webHidden/>
              </w:rPr>
              <w:fldChar w:fldCharType="end"/>
            </w:r>
          </w:hyperlink>
        </w:p>
        <w:p w14:paraId="521AB78A" w14:textId="30727D21" w:rsidR="006D1B32" w:rsidRDefault="006D1B32">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5501999" w:history="1">
            <w:r w:rsidRPr="003E0D9A">
              <w:rPr>
                <w:rStyle w:val="Hyperlink"/>
                <w:noProof/>
                <w:lang w:val="en-US"/>
              </w:rPr>
              <w:t>Efficacy</w:t>
            </w:r>
            <w:r>
              <w:rPr>
                <w:noProof/>
                <w:webHidden/>
              </w:rPr>
              <w:tab/>
            </w:r>
            <w:r>
              <w:rPr>
                <w:noProof/>
                <w:webHidden/>
              </w:rPr>
              <w:fldChar w:fldCharType="begin"/>
            </w:r>
            <w:r>
              <w:rPr>
                <w:noProof/>
                <w:webHidden/>
              </w:rPr>
              <w:instrText xml:space="preserve"> PAGEREF _Toc225501999 \h </w:instrText>
            </w:r>
            <w:r>
              <w:rPr>
                <w:noProof/>
                <w:webHidden/>
              </w:rPr>
            </w:r>
            <w:r>
              <w:rPr>
                <w:noProof/>
                <w:webHidden/>
              </w:rPr>
              <w:fldChar w:fldCharType="separate"/>
            </w:r>
            <w:r>
              <w:rPr>
                <w:noProof/>
                <w:webHidden/>
              </w:rPr>
              <w:t>14</w:t>
            </w:r>
            <w:r>
              <w:rPr>
                <w:noProof/>
                <w:webHidden/>
              </w:rPr>
              <w:fldChar w:fldCharType="end"/>
            </w:r>
          </w:hyperlink>
        </w:p>
        <w:p w14:paraId="6600085D" w14:textId="642CA624" w:rsidR="006D1B32" w:rsidRDefault="006D1B32">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5502000" w:history="1">
            <w:r w:rsidRPr="003E0D9A">
              <w:rPr>
                <w:rStyle w:val="Hyperlink"/>
                <w:noProof/>
                <w:lang w:eastAsia="en-AU"/>
              </w:rPr>
              <w:t>Safety</w:t>
            </w:r>
            <w:r>
              <w:rPr>
                <w:noProof/>
                <w:webHidden/>
              </w:rPr>
              <w:tab/>
            </w:r>
            <w:r>
              <w:rPr>
                <w:noProof/>
                <w:webHidden/>
              </w:rPr>
              <w:fldChar w:fldCharType="begin"/>
            </w:r>
            <w:r>
              <w:rPr>
                <w:noProof/>
                <w:webHidden/>
              </w:rPr>
              <w:instrText xml:space="preserve"> PAGEREF _Toc225502000 \h </w:instrText>
            </w:r>
            <w:r>
              <w:rPr>
                <w:noProof/>
                <w:webHidden/>
              </w:rPr>
            </w:r>
            <w:r>
              <w:rPr>
                <w:noProof/>
                <w:webHidden/>
              </w:rPr>
              <w:fldChar w:fldCharType="separate"/>
            </w:r>
            <w:r>
              <w:rPr>
                <w:noProof/>
                <w:webHidden/>
              </w:rPr>
              <w:t>26</w:t>
            </w:r>
            <w:r>
              <w:rPr>
                <w:noProof/>
                <w:webHidden/>
              </w:rPr>
              <w:fldChar w:fldCharType="end"/>
            </w:r>
          </w:hyperlink>
        </w:p>
        <w:p w14:paraId="2A4DD2D2" w14:textId="1E199F9D" w:rsidR="006D1B32" w:rsidRDefault="006D1B32">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5502001" w:history="1">
            <w:r w:rsidRPr="003E0D9A">
              <w:rPr>
                <w:rStyle w:val="Hyperlink"/>
                <w:noProof/>
                <w:lang w:eastAsia="en-AU"/>
              </w:rPr>
              <w:t>Risk management plan</w:t>
            </w:r>
            <w:r>
              <w:rPr>
                <w:noProof/>
                <w:webHidden/>
              </w:rPr>
              <w:tab/>
            </w:r>
            <w:r>
              <w:rPr>
                <w:noProof/>
                <w:webHidden/>
              </w:rPr>
              <w:fldChar w:fldCharType="begin"/>
            </w:r>
            <w:r>
              <w:rPr>
                <w:noProof/>
                <w:webHidden/>
              </w:rPr>
              <w:instrText xml:space="preserve"> PAGEREF _Toc225502001 \h </w:instrText>
            </w:r>
            <w:r>
              <w:rPr>
                <w:noProof/>
                <w:webHidden/>
              </w:rPr>
            </w:r>
            <w:r>
              <w:rPr>
                <w:noProof/>
                <w:webHidden/>
              </w:rPr>
              <w:fldChar w:fldCharType="separate"/>
            </w:r>
            <w:r>
              <w:rPr>
                <w:noProof/>
                <w:webHidden/>
              </w:rPr>
              <w:t>28</w:t>
            </w:r>
            <w:r>
              <w:rPr>
                <w:noProof/>
                <w:webHidden/>
              </w:rPr>
              <w:fldChar w:fldCharType="end"/>
            </w:r>
          </w:hyperlink>
        </w:p>
        <w:p w14:paraId="069D7F82" w14:textId="0823BCB6" w:rsidR="006D1B32" w:rsidRDefault="006D1B32">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5502002" w:history="1">
            <w:r w:rsidRPr="003E0D9A">
              <w:rPr>
                <w:rStyle w:val="Hyperlink"/>
                <w:noProof/>
              </w:rPr>
              <w:t>Risk-benefit analysis</w:t>
            </w:r>
            <w:r>
              <w:rPr>
                <w:noProof/>
                <w:webHidden/>
              </w:rPr>
              <w:tab/>
            </w:r>
            <w:r>
              <w:rPr>
                <w:noProof/>
                <w:webHidden/>
              </w:rPr>
              <w:fldChar w:fldCharType="begin"/>
            </w:r>
            <w:r>
              <w:rPr>
                <w:noProof/>
                <w:webHidden/>
              </w:rPr>
              <w:instrText xml:space="preserve"> PAGEREF _Toc225502002 \h </w:instrText>
            </w:r>
            <w:r>
              <w:rPr>
                <w:noProof/>
                <w:webHidden/>
              </w:rPr>
            </w:r>
            <w:r>
              <w:rPr>
                <w:noProof/>
                <w:webHidden/>
              </w:rPr>
              <w:fldChar w:fldCharType="separate"/>
            </w:r>
            <w:r>
              <w:rPr>
                <w:noProof/>
                <w:webHidden/>
              </w:rPr>
              <w:t>29</w:t>
            </w:r>
            <w:r>
              <w:rPr>
                <w:noProof/>
                <w:webHidden/>
              </w:rPr>
              <w:fldChar w:fldCharType="end"/>
            </w:r>
          </w:hyperlink>
        </w:p>
        <w:p w14:paraId="63316110" w14:textId="7031F8A2" w:rsidR="006D1B32" w:rsidRDefault="006D1B32">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5502003" w:history="1">
            <w:r w:rsidRPr="003E0D9A">
              <w:rPr>
                <w:rStyle w:val="Hyperlink"/>
                <w:noProof/>
              </w:rPr>
              <w:t>Overview</w:t>
            </w:r>
            <w:r>
              <w:rPr>
                <w:noProof/>
                <w:webHidden/>
              </w:rPr>
              <w:tab/>
            </w:r>
            <w:r>
              <w:rPr>
                <w:noProof/>
                <w:webHidden/>
              </w:rPr>
              <w:fldChar w:fldCharType="begin"/>
            </w:r>
            <w:r>
              <w:rPr>
                <w:noProof/>
                <w:webHidden/>
              </w:rPr>
              <w:instrText xml:space="preserve"> PAGEREF _Toc225502003 \h </w:instrText>
            </w:r>
            <w:r>
              <w:rPr>
                <w:noProof/>
                <w:webHidden/>
              </w:rPr>
            </w:r>
            <w:r>
              <w:rPr>
                <w:noProof/>
                <w:webHidden/>
              </w:rPr>
              <w:fldChar w:fldCharType="separate"/>
            </w:r>
            <w:r>
              <w:rPr>
                <w:noProof/>
                <w:webHidden/>
              </w:rPr>
              <w:t>29</w:t>
            </w:r>
            <w:r>
              <w:rPr>
                <w:noProof/>
                <w:webHidden/>
              </w:rPr>
              <w:fldChar w:fldCharType="end"/>
            </w:r>
          </w:hyperlink>
        </w:p>
        <w:p w14:paraId="78657D8C" w14:textId="7F10A086" w:rsidR="006D1B32" w:rsidRDefault="006D1B32">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5502004" w:history="1">
            <w:r w:rsidRPr="003E0D9A">
              <w:rPr>
                <w:rStyle w:val="Hyperlink"/>
                <w:noProof/>
              </w:rPr>
              <w:t>Ef</w:t>
            </w:r>
            <w:r w:rsidRPr="003E0D9A">
              <w:rPr>
                <w:rStyle w:val="Hyperlink"/>
                <w:rFonts w:cs="Cambria"/>
                <w:noProof/>
              </w:rPr>
              <w:t>f</w:t>
            </w:r>
            <w:r w:rsidRPr="003E0D9A">
              <w:rPr>
                <w:rStyle w:val="Hyperlink"/>
                <w:noProof/>
              </w:rPr>
              <w:t>icacy</w:t>
            </w:r>
            <w:r>
              <w:rPr>
                <w:noProof/>
                <w:webHidden/>
              </w:rPr>
              <w:tab/>
            </w:r>
            <w:r>
              <w:rPr>
                <w:noProof/>
                <w:webHidden/>
              </w:rPr>
              <w:fldChar w:fldCharType="begin"/>
            </w:r>
            <w:r>
              <w:rPr>
                <w:noProof/>
                <w:webHidden/>
              </w:rPr>
              <w:instrText xml:space="preserve"> PAGEREF _Toc225502004 \h </w:instrText>
            </w:r>
            <w:r>
              <w:rPr>
                <w:noProof/>
                <w:webHidden/>
              </w:rPr>
            </w:r>
            <w:r>
              <w:rPr>
                <w:noProof/>
                <w:webHidden/>
              </w:rPr>
              <w:fldChar w:fldCharType="separate"/>
            </w:r>
            <w:r>
              <w:rPr>
                <w:noProof/>
                <w:webHidden/>
              </w:rPr>
              <w:t>29</w:t>
            </w:r>
            <w:r>
              <w:rPr>
                <w:noProof/>
                <w:webHidden/>
              </w:rPr>
              <w:fldChar w:fldCharType="end"/>
            </w:r>
          </w:hyperlink>
        </w:p>
        <w:p w14:paraId="688E62C9" w14:textId="4AF3A16E" w:rsidR="006D1B32" w:rsidRDefault="006D1B32">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5502005" w:history="1">
            <w:r w:rsidRPr="003E0D9A">
              <w:rPr>
                <w:rStyle w:val="Hyperlink"/>
                <w:noProof/>
              </w:rPr>
              <w:t>Safety</w:t>
            </w:r>
            <w:r>
              <w:rPr>
                <w:noProof/>
                <w:webHidden/>
              </w:rPr>
              <w:tab/>
            </w:r>
            <w:r>
              <w:rPr>
                <w:noProof/>
                <w:webHidden/>
              </w:rPr>
              <w:fldChar w:fldCharType="begin"/>
            </w:r>
            <w:r>
              <w:rPr>
                <w:noProof/>
                <w:webHidden/>
              </w:rPr>
              <w:instrText xml:space="preserve"> PAGEREF _Toc225502005 \h </w:instrText>
            </w:r>
            <w:r>
              <w:rPr>
                <w:noProof/>
                <w:webHidden/>
              </w:rPr>
            </w:r>
            <w:r>
              <w:rPr>
                <w:noProof/>
                <w:webHidden/>
              </w:rPr>
              <w:fldChar w:fldCharType="separate"/>
            </w:r>
            <w:r>
              <w:rPr>
                <w:noProof/>
                <w:webHidden/>
              </w:rPr>
              <w:t>30</w:t>
            </w:r>
            <w:r>
              <w:rPr>
                <w:noProof/>
                <w:webHidden/>
              </w:rPr>
              <w:fldChar w:fldCharType="end"/>
            </w:r>
          </w:hyperlink>
        </w:p>
        <w:p w14:paraId="3970ADD5" w14:textId="258974CB" w:rsidR="006D1B32" w:rsidRDefault="006D1B32">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5502006" w:history="1">
            <w:r w:rsidRPr="003E0D9A">
              <w:rPr>
                <w:rStyle w:val="Hyperlink"/>
                <w:noProof/>
              </w:rPr>
              <w:t>Assessment outcome</w:t>
            </w:r>
            <w:r>
              <w:rPr>
                <w:noProof/>
                <w:webHidden/>
              </w:rPr>
              <w:tab/>
            </w:r>
            <w:r>
              <w:rPr>
                <w:noProof/>
                <w:webHidden/>
              </w:rPr>
              <w:fldChar w:fldCharType="begin"/>
            </w:r>
            <w:r>
              <w:rPr>
                <w:noProof/>
                <w:webHidden/>
              </w:rPr>
              <w:instrText xml:space="preserve"> PAGEREF _Toc225502006 \h </w:instrText>
            </w:r>
            <w:r>
              <w:rPr>
                <w:noProof/>
                <w:webHidden/>
              </w:rPr>
            </w:r>
            <w:r>
              <w:rPr>
                <w:noProof/>
                <w:webHidden/>
              </w:rPr>
              <w:fldChar w:fldCharType="separate"/>
            </w:r>
            <w:r>
              <w:rPr>
                <w:noProof/>
                <w:webHidden/>
              </w:rPr>
              <w:t>33</w:t>
            </w:r>
            <w:r>
              <w:rPr>
                <w:noProof/>
                <w:webHidden/>
              </w:rPr>
              <w:fldChar w:fldCharType="end"/>
            </w:r>
          </w:hyperlink>
        </w:p>
        <w:p w14:paraId="32C9A50A" w14:textId="62F1D076" w:rsidR="006D1B32" w:rsidRDefault="006D1B32">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5502007" w:history="1">
            <w:r w:rsidRPr="003E0D9A">
              <w:rPr>
                <w:rStyle w:val="Hyperlink"/>
                <w:noProof/>
              </w:rPr>
              <w:t>Specific conditions of registration</w:t>
            </w:r>
            <w:r>
              <w:rPr>
                <w:noProof/>
                <w:webHidden/>
              </w:rPr>
              <w:tab/>
            </w:r>
            <w:r>
              <w:rPr>
                <w:noProof/>
                <w:webHidden/>
              </w:rPr>
              <w:fldChar w:fldCharType="begin"/>
            </w:r>
            <w:r>
              <w:rPr>
                <w:noProof/>
                <w:webHidden/>
              </w:rPr>
              <w:instrText xml:space="preserve"> PAGEREF _Toc225502007 \h </w:instrText>
            </w:r>
            <w:r>
              <w:rPr>
                <w:noProof/>
                <w:webHidden/>
              </w:rPr>
            </w:r>
            <w:r>
              <w:rPr>
                <w:noProof/>
                <w:webHidden/>
              </w:rPr>
              <w:fldChar w:fldCharType="separate"/>
            </w:r>
            <w:r>
              <w:rPr>
                <w:noProof/>
                <w:webHidden/>
              </w:rPr>
              <w:t>33</w:t>
            </w:r>
            <w:r>
              <w:rPr>
                <w:noProof/>
                <w:webHidden/>
              </w:rPr>
              <w:fldChar w:fldCharType="end"/>
            </w:r>
          </w:hyperlink>
        </w:p>
        <w:p w14:paraId="7CCD303E" w14:textId="63C4AA75" w:rsidR="006D1B32" w:rsidRDefault="006D1B32">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5502008" w:history="1">
            <w:r w:rsidRPr="003E0D9A">
              <w:rPr>
                <w:rStyle w:val="Hyperlink"/>
                <w:noProof/>
              </w:rPr>
              <w:t>Product Information and Consumer Medicine Information</w:t>
            </w:r>
            <w:r>
              <w:rPr>
                <w:noProof/>
                <w:webHidden/>
              </w:rPr>
              <w:tab/>
            </w:r>
            <w:r>
              <w:rPr>
                <w:noProof/>
                <w:webHidden/>
              </w:rPr>
              <w:fldChar w:fldCharType="begin"/>
            </w:r>
            <w:r>
              <w:rPr>
                <w:noProof/>
                <w:webHidden/>
              </w:rPr>
              <w:instrText xml:space="preserve"> PAGEREF _Toc225502008 \h </w:instrText>
            </w:r>
            <w:r>
              <w:rPr>
                <w:noProof/>
                <w:webHidden/>
              </w:rPr>
            </w:r>
            <w:r>
              <w:rPr>
                <w:noProof/>
                <w:webHidden/>
              </w:rPr>
              <w:fldChar w:fldCharType="separate"/>
            </w:r>
            <w:r>
              <w:rPr>
                <w:noProof/>
                <w:webHidden/>
              </w:rPr>
              <w:t>34</w:t>
            </w:r>
            <w:r>
              <w:rPr>
                <w:noProof/>
                <w:webHidden/>
              </w:rPr>
              <w:fldChar w:fldCharType="end"/>
            </w:r>
          </w:hyperlink>
        </w:p>
        <w:p w14:paraId="77659F2D" w14:textId="66C0C2E4"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0" w:name="_Toc98931917"/>
      <w:bookmarkStart w:id="1" w:name="_Toc103679287"/>
      <w:bookmarkStart w:id="2" w:name="_Toc225501983"/>
      <w:bookmarkStart w:id="3" w:name="_Toc323739589"/>
      <w:bookmarkStart w:id="4" w:name="_Toc356305216"/>
      <w:r>
        <w:lastRenderedPageBreak/>
        <w:t>List of abbreviations</w:t>
      </w:r>
      <w:bookmarkEnd w:id="0"/>
      <w:bookmarkEnd w:id="1"/>
      <w:bookmarkEnd w:id="2"/>
    </w:p>
    <w:tbl>
      <w:tblPr>
        <w:tblStyle w:val="TableTGAblue2023"/>
        <w:tblW w:w="5000" w:type="pct"/>
        <w:tblLook w:val="04A0" w:firstRow="1" w:lastRow="0" w:firstColumn="1" w:lastColumn="0" w:noHBand="0" w:noVBand="1"/>
        <w:tblCaption w:val="List of abbreviations"/>
      </w:tblPr>
      <w:tblGrid>
        <w:gridCol w:w="2174"/>
        <w:gridCol w:w="6886"/>
      </w:tblGrid>
      <w:tr w:rsidR="002058CE" w:rsidRPr="00D01DDB" w14:paraId="3C92AA39" w14:textId="77777777" w:rsidTr="001C75A0">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51E5D76F" w14:textId="77777777" w:rsidR="002058CE" w:rsidRPr="00D01DDB" w:rsidRDefault="002058CE" w:rsidP="001C75A0">
            <w:pPr>
              <w:rPr>
                <w:szCs w:val="22"/>
              </w:rPr>
            </w:pPr>
            <w:r w:rsidRPr="00D01DDB">
              <w:rPr>
                <w:szCs w:val="22"/>
              </w:rPr>
              <w:t>Abbreviation</w:t>
            </w:r>
          </w:p>
        </w:tc>
        <w:tc>
          <w:tcPr>
            <w:tcW w:w="3800" w:type="pct"/>
          </w:tcPr>
          <w:p w14:paraId="79869F1A" w14:textId="77777777" w:rsidR="002058CE" w:rsidRPr="00D01DDB" w:rsidRDefault="002058CE" w:rsidP="001C75A0">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2058CE" w:rsidRPr="00D01DDB" w14:paraId="26E0CB1A" w14:textId="77777777" w:rsidTr="001C75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1991742" w14:textId="77777777" w:rsidR="002058CE" w:rsidRPr="00D01DDB" w:rsidRDefault="002058CE" w:rsidP="001C75A0">
            <w:pPr>
              <w:rPr>
                <w:szCs w:val="22"/>
              </w:rPr>
            </w:pPr>
            <w:r w:rsidRPr="001821D3">
              <w:t>ADCC</w:t>
            </w:r>
          </w:p>
        </w:tc>
        <w:tc>
          <w:tcPr>
            <w:tcW w:w="3800" w:type="pct"/>
          </w:tcPr>
          <w:p w14:paraId="491E34EA" w14:textId="77777777" w:rsidR="002058CE" w:rsidRPr="00D01DDB" w:rsidRDefault="002058CE" w:rsidP="001C75A0">
            <w:pPr>
              <w:cnfStyle w:val="000000000000" w:firstRow="0" w:lastRow="0" w:firstColumn="0" w:lastColumn="0" w:oddVBand="0" w:evenVBand="0" w:oddHBand="0" w:evenHBand="0" w:firstRowFirstColumn="0" w:firstRowLastColumn="0" w:lastRowFirstColumn="0" w:lastRowLastColumn="0"/>
              <w:rPr>
                <w:szCs w:val="22"/>
              </w:rPr>
            </w:pPr>
            <w:r>
              <w:t>A</w:t>
            </w:r>
            <w:r w:rsidRPr="001821D3">
              <w:t>ntibody dependent cell-mediated cytotoxicity</w:t>
            </w:r>
          </w:p>
        </w:tc>
      </w:tr>
      <w:tr w:rsidR="002058CE" w:rsidRPr="00D01DDB" w14:paraId="3E1E23B3" w14:textId="77777777" w:rsidTr="001C75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8DC72F9" w14:textId="77777777" w:rsidR="002058CE" w:rsidRPr="001821D3" w:rsidRDefault="002058CE" w:rsidP="001C75A0">
            <w:r w:rsidRPr="003D4984">
              <w:rPr>
                <w:lang w:val="en-US"/>
              </w:rPr>
              <w:t>AEs</w:t>
            </w:r>
          </w:p>
        </w:tc>
        <w:tc>
          <w:tcPr>
            <w:tcW w:w="3800" w:type="pct"/>
          </w:tcPr>
          <w:p w14:paraId="5C337BB8" w14:textId="77777777" w:rsidR="002058CE" w:rsidRPr="001821D3" w:rsidRDefault="002058CE" w:rsidP="001C75A0">
            <w:pPr>
              <w:cnfStyle w:val="000000000000" w:firstRow="0" w:lastRow="0" w:firstColumn="0" w:lastColumn="0" w:oddVBand="0" w:evenVBand="0" w:oddHBand="0" w:evenHBand="0" w:firstRowFirstColumn="0" w:firstRowLastColumn="0" w:lastRowFirstColumn="0" w:lastRowLastColumn="0"/>
            </w:pPr>
            <w:r>
              <w:rPr>
                <w:lang w:val="en-US"/>
              </w:rPr>
              <w:t>A</w:t>
            </w:r>
            <w:r w:rsidRPr="003D4984">
              <w:rPr>
                <w:lang w:val="en-US"/>
              </w:rPr>
              <w:t>dverse events</w:t>
            </w:r>
          </w:p>
        </w:tc>
      </w:tr>
      <w:tr w:rsidR="002058CE" w:rsidRPr="00D01DDB" w14:paraId="788703B6" w14:textId="77777777" w:rsidTr="001C75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54C6C69" w14:textId="77777777" w:rsidR="002058CE" w:rsidRPr="00D01DDB" w:rsidRDefault="002058CE" w:rsidP="001C75A0">
            <w:pPr>
              <w:rPr>
                <w:szCs w:val="22"/>
              </w:rPr>
            </w:pPr>
            <w:r w:rsidRPr="00B82821">
              <w:rPr>
                <w:lang w:val="en-US"/>
              </w:rPr>
              <w:t>ARR</w:t>
            </w:r>
          </w:p>
        </w:tc>
        <w:tc>
          <w:tcPr>
            <w:tcW w:w="3800" w:type="pct"/>
          </w:tcPr>
          <w:p w14:paraId="7FE7BE93" w14:textId="77777777" w:rsidR="002058CE" w:rsidRPr="00D01DDB" w:rsidRDefault="002058CE" w:rsidP="001C75A0">
            <w:pPr>
              <w:cnfStyle w:val="000000000000" w:firstRow="0" w:lastRow="0" w:firstColumn="0" w:lastColumn="0" w:oddVBand="0" w:evenVBand="0" w:oddHBand="0" w:evenHBand="0" w:firstRowFirstColumn="0" w:firstRowLastColumn="0" w:lastRowFirstColumn="0" w:lastRowLastColumn="0"/>
              <w:rPr>
                <w:szCs w:val="22"/>
              </w:rPr>
            </w:pPr>
            <w:r>
              <w:rPr>
                <w:lang w:val="en-US"/>
              </w:rPr>
              <w:t>A</w:t>
            </w:r>
            <w:r w:rsidRPr="00B82821">
              <w:rPr>
                <w:lang w:val="en-US"/>
              </w:rPr>
              <w:t>nnualized relapse rate</w:t>
            </w:r>
          </w:p>
        </w:tc>
      </w:tr>
      <w:tr w:rsidR="002058CE" w:rsidRPr="00D01DDB" w14:paraId="692286B2" w14:textId="77777777" w:rsidTr="001C75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EA65620" w14:textId="77777777" w:rsidR="002058CE" w:rsidRPr="00D01DDB" w:rsidRDefault="002058CE" w:rsidP="001C75A0">
            <w:pPr>
              <w:rPr>
                <w:szCs w:val="22"/>
              </w:rPr>
            </w:pPr>
            <w:r w:rsidRPr="00D01DDB">
              <w:rPr>
                <w:szCs w:val="22"/>
              </w:rPr>
              <w:t>ARTG</w:t>
            </w:r>
          </w:p>
        </w:tc>
        <w:tc>
          <w:tcPr>
            <w:tcW w:w="3800" w:type="pct"/>
          </w:tcPr>
          <w:p w14:paraId="7E42F0F3" w14:textId="77777777" w:rsidR="002058CE" w:rsidRPr="00D01DDB" w:rsidRDefault="002058CE" w:rsidP="001C75A0">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2058CE" w:rsidRPr="00D01DDB" w14:paraId="0B7F0C84" w14:textId="77777777" w:rsidTr="001C75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C965492" w14:textId="77777777" w:rsidR="002058CE" w:rsidRPr="00D01DDB" w:rsidRDefault="002058CE" w:rsidP="001C75A0">
            <w:pPr>
              <w:rPr>
                <w:szCs w:val="22"/>
              </w:rPr>
            </w:pPr>
            <w:r w:rsidRPr="00813D80">
              <w:rPr>
                <w:lang w:val="en-US"/>
              </w:rPr>
              <w:t>AUC</w:t>
            </w:r>
          </w:p>
        </w:tc>
        <w:tc>
          <w:tcPr>
            <w:tcW w:w="3800" w:type="pct"/>
          </w:tcPr>
          <w:p w14:paraId="5E37532F" w14:textId="77777777" w:rsidR="002058CE" w:rsidRPr="00D01DDB" w:rsidRDefault="002058CE" w:rsidP="001C75A0">
            <w:pPr>
              <w:cnfStyle w:val="000000000000" w:firstRow="0" w:lastRow="0" w:firstColumn="0" w:lastColumn="0" w:oddVBand="0" w:evenVBand="0" w:oddHBand="0" w:evenHBand="0" w:firstRowFirstColumn="0" w:firstRowLastColumn="0" w:lastRowFirstColumn="0" w:lastRowLastColumn="0"/>
              <w:rPr>
                <w:szCs w:val="22"/>
              </w:rPr>
            </w:pPr>
            <w:r w:rsidRPr="00813D80">
              <w:rPr>
                <w:lang w:val="en-US"/>
              </w:rPr>
              <w:t>A</w:t>
            </w:r>
            <w:r>
              <w:rPr>
                <w:lang w:val="en-US"/>
              </w:rPr>
              <w:t>rea under the concentration-time curve</w:t>
            </w:r>
          </w:p>
        </w:tc>
      </w:tr>
      <w:tr w:rsidR="002058CE" w:rsidRPr="00D01DDB" w14:paraId="3537C8CB" w14:textId="77777777" w:rsidTr="001C75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40FE0A6" w14:textId="77777777" w:rsidR="002058CE" w:rsidRPr="00D01DDB" w:rsidRDefault="002058CE" w:rsidP="001C75A0">
            <w:pPr>
              <w:rPr>
                <w:szCs w:val="22"/>
              </w:rPr>
            </w:pPr>
            <w:r w:rsidRPr="00F62298">
              <w:rPr>
                <w:lang w:val="en-US"/>
              </w:rPr>
              <w:t>CDC</w:t>
            </w:r>
          </w:p>
        </w:tc>
        <w:tc>
          <w:tcPr>
            <w:tcW w:w="3800" w:type="pct"/>
          </w:tcPr>
          <w:p w14:paraId="1029F8BB" w14:textId="77777777" w:rsidR="002058CE" w:rsidRPr="00D01DDB" w:rsidRDefault="002058CE" w:rsidP="001C75A0">
            <w:pPr>
              <w:cnfStyle w:val="000000000000" w:firstRow="0" w:lastRow="0" w:firstColumn="0" w:lastColumn="0" w:oddVBand="0" w:evenVBand="0" w:oddHBand="0" w:evenHBand="0" w:firstRowFirstColumn="0" w:firstRowLastColumn="0" w:lastRowFirstColumn="0" w:lastRowLastColumn="0"/>
              <w:rPr>
                <w:szCs w:val="22"/>
              </w:rPr>
            </w:pPr>
            <w:r>
              <w:rPr>
                <w:lang w:val="en-US"/>
              </w:rPr>
              <w:t>C</w:t>
            </w:r>
            <w:r w:rsidRPr="00F62298">
              <w:rPr>
                <w:lang w:val="en-US"/>
              </w:rPr>
              <w:t>omplement dependent cytotoxicity</w:t>
            </w:r>
          </w:p>
        </w:tc>
      </w:tr>
      <w:tr w:rsidR="002058CE" w:rsidRPr="00D01DDB" w14:paraId="06215356" w14:textId="77777777" w:rsidTr="001C75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81EE9B1" w14:textId="77777777" w:rsidR="002058CE" w:rsidRPr="00D01DDB" w:rsidRDefault="002058CE" w:rsidP="001C75A0">
            <w:pPr>
              <w:rPr>
                <w:szCs w:val="22"/>
              </w:rPr>
            </w:pPr>
            <w:r w:rsidRPr="00D624DD">
              <w:rPr>
                <w:lang w:val="en-US"/>
              </w:rPr>
              <w:t>CDP</w:t>
            </w:r>
          </w:p>
        </w:tc>
        <w:tc>
          <w:tcPr>
            <w:tcW w:w="3800" w:type="pct"/>
          </w:tcPr>
          <w:p w14:paraId="14F7EBE4" w14:textId="77777777" w:rsidR="002058CE" w:rsidRPr="00D01DDB" w:rsidRDefault="002058CE" w:rsidP="001C75A0">
            <w:pPr>
              <w:cnfStyle w:val="000000000000" w:firstRow="0" w:lastRow="0" w:firstColumn="0" w:lastColumn="0" w:oddVBand="0" w:evenVBand="0" w:oddHBand="0" w:evenHBand="0" w:firstRowFirstColumn="0" w:firstRowLastColumn="0" w:lastRowFirstColumn="0" w:lastRowLastColumn="0"/>
              <w:rPr>
                <w:szCs w:val="22"/>
              </w:rPr>
            </w:pPr>
            <w:r>
              <w:rPr>
                <w:lang w:val="en-US"/>
              </w:rPr>
              <w:t>C</w:t>
            </w:r>
            <w:r w:rsidRPr="00D624DD">
              <w:rPr>
                <w:lang w:val="en-US"/>
              </w:rPr>
              <w:t>onfirmed disability progression</w:t>
            </w:r>
          </w:p>
        </w:tc>
      </w:tr>
      <w:tr w:rsidR="002058CE" w:rsidRPr="00D01DDB" w14:paraId="65A679BC" w14:textId="77777777" w:rsidTr="001C75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786C4FC" w14:textId="77777777" w:rsidR="002058CE" w:rsidRPr="00D01DDB" w:rsidRDefault="002058CE" w:rsidP="001C75A0">
            <w:pPr>
              <w:rPr>
                <w:szCs w:val="22"/>
              </w:rPr>
            </w:pPr>
            <w:r w:rsidRPr="00BB0A83">
              <w:rPr>
                <w:lang w:val="en-US"/>
              </w:rPr>
              <w:t>CL</w:t>
            </w:r>
          </w:p>
        </w:tc>
        <w:tc>
          <w:tcPr>
            <w:tcW w:w="3800" w:type="pct"/>
          </w:tcPr>
          <w:p w14:paraId="183FE0F9" w14:textId="77777777" w:rsidR="002058CE" w:rsidRPr="00D01DDB" w:rsidRDefault="002058CE" w:rsidP="001C75A0">
            <w:pPr>
              <w:cnfStyle w:val="000000000000" w:firstRow="0" w:lastRow="0" w:firstColumn="0" w:lastColumn="0" w:oddVBand="0" w:evenVBand="0" w:oddHBand="0" w:evenHBand="0" w:firstRowFirstColumn="0" w:firstRowLastColumn="0" w:lastRowFirstColumn="0" w:lastRowLastColumn="0"/>
              <w:rPr>
                <w:szCs w:val="22"/>
              </w:rPr>
            </w:pPr>
            <w:r>
              <w:rPr>
                <w:lang w:val="en-US"/>
              </w:rPr>
              <w:t>C</w:t>
            </w:r>
            <w:r w:rsidRPr="00BB0A83">
              <w:rPr>
                <w:lang w:val="en-US"/>
              </w:rPr>
              <w:t>learance</w:t>
            </w:r>
          </w:p>
        </w:tc>
      </w:tr>
      <w:tr w:rsidR="002058CE" w:rsidRPr="00D01DDB" w14:paraId="223C1246" w14:textId="77777777" w:rsidTr="001C75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E9913DD" w14:textId="77777777" w:rsidR="002058CE" w:rsidRPr="00D01DDB" w:rsidRDefault="002058CE" w:rsidP="001C75A0">
            <w:pPr>
              <w:rPr>
                <w:szCs w:val="22"/>
              </w:rPr>
            </w:pPr>
            <w:r w:rsidRPr="00D01DDB">
              <w:rPr>
                <w:szCs w:val="22"/>
              </w:rPr>
              <w:t>CMI</w:t>
            </w:r>
          </w:p>
        </w:tc>
        <w:tc>
          <w:tcPr>
            <w:tcW w:w="3800" w:type="pct"/>
          </w:tcPr>
          <w:p w14:paraId="119BD4B6" w14:textId="77777777" w:rsidR="002058CE" w:rsidRPr="00D01DDB" w:rsidRDefault="002058CE" w:rsidP="001C75A0">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2058CE" w:rsidRPr="00D01DDB" w14:paraId="1206679C" w14:textId="77777777" w:rsidTr="001C75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595DE32" w14:textId="77777777" w:rsidR="002058CE" w:rsidRPr="00D01DDB" w:rsidRDefault="002058CE" w:rsidP="001C75A0">
            <w:pPr>
              <w:rPr>
                <w:szCs w:val="22"/>
              </w:rPr>
            </w:pPr>
            <w:r w:rsidRPr="00A367C9">
              <w:t>CNS</w:t>
            </w:r>
          </w:p>
        </w:tc>
        <w:tc>
          <w:tcPr>
            <w:tcW w:w="3800" w:type="pct"/>
          </w:tcPr>
          <w:p w14:paraId="117A0B0B" w14:textId="77777777" w:rsidR="002058CE" w:rsidRPr="00D01DDB" w:rsidRDefault="002058CE" w:rsidP="001C75A0">
            <w:pPr>
              <w:cnfStyle w:val="000000000000" w:firstRow="0" w:lastRow="0" w:firstColumn="0" w:lastColumn="0" w:oddVBand="0" w:evenVBand="0" w:oddHBand="0" w:evenHBand="0" w:firstRowFirstColumn="0" w:firstRowLastColumn="0" w:lastRowFirstColumn="0" w:lastRowLastColumn="0"/>
              <w:rPr>
                <w:szCs w:val="22"/>
              </w:rPr>
            </w:pPr>
            <w:r>
              <w:t>C</w:t>
            </w:r>
            <w:r w:rsidRPr="00A367C9">
              <w:t>entral nervous system</w:t>
            </w:r>
          </w:p>
        </w:tc>
      </w:tr>
      <w:tr w:rsidR="002058CE" w:rsidRPr="00D01DDB" w14:paraId="575DC6EC" w14:textId="77777777" w:rsidTr="001C75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AC19182" w14:textId="77777777" w:rsidR="002058CE" w:rsidRPr="00A367C9" w:rsidRDefault="002058CE" w:rsidP="001C75A0">
            <w:r w:rsidRPr="00D55669">
              <w:t xml:space="preserve">DMTs </w:t>
            </w:r>
          </w:p>
        </w:tc>
        <w:tc>
          <w:tcPr>
            <w:tcW w:w="3800" w:type="pct"/>
          </w:tcPr>
          <w:p w14:paraId="0EF7E6CC" w14:textId="77777777" w:rsidR="002058CE" w:rsidRPr="00A367C9" w:rsidRDefault="002058CE" w:rsidP="001C75A0">
            <w:pPr>
              <w:cnfStyle w:val="000000000000" w:firstRow="0" w:lastRow="0" w:firstColumn="0" w:lastColumn="0" w:oddVBand="0" w:evenVBand="0" w:oddHBand="0" w:evenHBand="0" w:firstRowFirstColumn="0" w:firstRowLastColumn="0" w:lastRowFirstColumn="0" w:lastRowLastColumn="0"/>
            </w:pPr>
            <w:r>
              <w:t>D</w:t>
            </w:r>
            <w:r w:rsidRPr="00D55669">
              <w:t>isease-modifying therapies</w:t>
            </w:r>
          </w:p>
        </w:tc>
      </w:tr>
      <w:tr w:rsidR="002058CE" w:rsidRPr="00D01DDB" w14:paraId="17909B44" w14:textId="77777777" w:rsidTr="001C75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3A52905" w14:textId="77777777" w:rsidR="002058CE" w:rsidRDefault="002058CE" w:rsidP="001C75A0">
            <w:pPr>
              <w:rPr>
                <w:szCs w:val="22"/>
              </w:rPr>
            </w:pPr>
            <w:r w:rsidRPr="00BF7621">
              <w:t>FDA</w:t>
            </w:r>
          </w:p>
        </w:tc>
        <w:tc>
          <w:tcPr>
            <w:tcW w:w="3800" w:type="pct"/>
          </w:tcPr>
          <w:p w14:paraId="32238420" w14:textId="77777777" w:rsidR="002058CE" w:rsidRDefault="002058CE" w:rsidP="001C75A0">
            <w:pPr>
              <w:cnfStyle w:val="000000000000" w:firstRow="0" w:lastRow="0" w:firstColumn="0" w:lastColumn="0" w:oddVBand="0" w:evenVBand="0" w:oddHBand="0" w:evenHBand="0" w:firstRowFirstColumn="0" w:firstRowLastColumn="0" w:lastRowFirstColumn="0" w:lastRowLastColumn="0"/>
              <w:rPr>
                <w:szCs w:val="22"/>
              </w:rPr>
            </w:pPr>
            <w:r w:rsidRPr="00AE5A7C">
              <w:t>U.S. Food and Drug Administration</w:t>
            </w:r>
          </w:p>
        </w:tc>
      </w:tr>
      <w:tr w:rsidR="002058CE" w:rsidRPr="00D01DDB" w14:paraId="2421B7CB" w14:textId="77777777" w:rsidTr="001C75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1A138CD" w14:textId="77777777" w:rsidR="002058CE" w:rsidRPr="00D01DDB" w:rsidRDefault="002058CE" w:rsidP="001C75A0">
            <w:pPr>
              <w:rPr>
                <w:szCs w:val="22"/>
              </w:rPr>
            </w:pPr>
            <w:r w:rsidRPr="00D01932">
              <w:t>Delegate</w:t>
            </w:r>
          </w:p>
        </w:tc>
        <w:tc>
          <w:tcPr>
            <w:tcW w:w="3800" w:type="pct"/>
          </w:tcPr>
          <w:p w14:paraId="410CD3AF" w14:textId="77777777" w:rsidR="002058CE" w:rsidRPr="00D01DDB" w:rsidRDefault="002058CE" w:rsidP="001C75A0">
            <w:pPr>
              <w:cnfStyle w:val="000000000000" w:firstRow="0" w:lastRow="0" w:firstColumn="0" w:lastColumn="0" w:oddVBand="0" w:evenVBand="0" w:oddHBand="0" w:evenHBand="0" w:firstRowFirstColumn="0" w:firstRowLastColumn="0" w:lastRowFirstColumn="0" w:lastRowLastColumn="0"/>
              <w:rPr>
                <w:szCs w:val="22"/>
              </w:rPr>
            </w:pPr>
            <w:r>
              <w:t>T</w:t>
            </w:r>
            <w:r w:rsidRPr="00D01932">
              <w:t>he Delegate of the Secretary of the Department of Health, Disability and Ageing who decided the submission under section 25 of the Act.</w:t>
            </w:r>
          </w:p>
        </w:tc>
      </w:tr>
      <w:tr w:rsidR="002058CE" w:rsidRPr="00D01DDB" w14:paraId="0E67B894" w14:textId="77777777" w:rsidTr="001C75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C94AAB5" w14:textId="77777777" w:rsidR="002058CE" w:rsidRPr="00D01DDB" w:rsidRDefault="002058CE" w:rsidP="001C75A0">
            <w:pPr>
              <w:rPr>
                <w:szCs w:val="22"/>
              </w:rPr>
            </w:pPr>
            <w:r w:rsidRPr="000A703B">
              <w:rPr>
                <w:lang w:val="en-US"/>
              </w:rPr>
              <w:t>EDSS</w:t>
            </w:r>
          </w:p>
        </w:tc>
        <w:tc>
          <w:tcPr>
            <w:tcW w:w="3800" w:type="pct"/>
          </w:tcPr>
          <w:p w14:paraId="2E65B1EE" w14:textId="77777777" w:rsidR="002058CE" w:rsidRPr="00D01DDB" w:rsidRDefault="002058CE" w:rsidP="001C75A0">
            <w:pPr>
              <w:cnfStyle w:val="000000000000" w:firstRow="0" w:lastRow="0" w:firstColumn="0" w:lastColumn="0" w:oddVBand="0" w:evenVBand="0" w:oddHBand="0" w:evenHBand="0" w:firstRowFirstColumn="0" w:firstRowLastColumn="0" w:lastRowFirstColumn="0" w:lastRowLastColumn="0"/>
              <w:rPr>
                <w:szCs w:val="22"/>
              </w:rPr>
            </w:pPr>
            <w:r w:rsidRPr="000A703B">
              <w:rPr>
                <w:lang w:val="en-US"/>
              </w:rPr>
              <w:t>Expanded Disability Status Scale</w:t>
            </w:r>
          </w:p>
        </w:tc>
      </w:tr>
      <w:tr w:rsidR="002058CE" w:rsidRPr="00D01DDB" w14:paraId="17D01732" w14:textId="77777777" w:rsidTr="001C75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C20B353" w14:textId="77777777" w:rsidR="002058CE" w:rsidRPr="00D01DDB" w:rsidRDefault="002058CE" w:rsidP="001C75A0">
            <w:pPr>
              <w:rPr>
                <w:szCs w:val="22"/>
              </w:rPr>
            </w:pPr>
            <w:r w:rsidRPr="00AE5A7C">
              <w:rPr>
                <w:szCs w:val="22"/>
              </w:rPr>
              <w:t>EMA</w:t>
            </w:r>
          </w:p>
        </w:tc>
        <w:tc>
          <w:tcPr>
            <w:tcW w:w="3800" w:type="pct"/>
          </w:tcPr>
          <w:p w14:paraId="4D8C3B69" w14:textId="77777777" w:rsidR="002058CE" w:rsidRPr="00D01DDB" w:rsidRDefault="002058CE" w:rsidP="001C75A0">
            <w:pPr>
              <w:cnfStyle w:val="000000000000" w:firstRow="0" w:lastRow="0" w:firstColumn="0" w:lastColumn="0" w:oddVBand="0" w:evenVBand="0" w:oddHBand="0" w:evenHBand="0" w:firstRowFirstColumn="0" w:firstRowLastColumn="0" w:lastRowFirstColumn="0" w:lastRowLastColumn="0"/>
              <w:rPr>
                <w:szCs w:val="22"/>
              </w:rPr>
            </w:pPr>
            <w:r w:rsidRPr="00AE5A7C">
              <w:rPr>
                <w:szCs w:val="22"/>
              </w:rPr>
              <w:t>European Medicines Agenc</w:t>
            </w:r>
            <w:r>
              <w:rPr>
                <w:szCs w:val="22"/>
              </w:rPr>
              <w:t>y</w:t>
            </w:r>
          </w:p>
        </w:tc>
      </w:tr>
      <w:tr w:rsidR="002058CE" w:rsidRPr="00D01DDB" w14:paraId="5E4655CB" w14:textId="77777777" w:rsidTr="001C75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51689CB" w14:textId="77777777" w:rsidR="002058CE" w:rsidRPr="00AE5A7C" w:rsidRDefault="002058CE" w:rsidP="001C75A0">
            <w:pPr>
              <w:rPr>
                <w:szCs w:val="22"/>
              </w:rPr>
            </w:pPr>
            <w:r w:rsidRPr="008E5372">
              <w:t>IRAP</w:t>
            </w:r>
          </w:p>
        </w:tc>
        <w:tc>
          <w:tcPr>
            <w:tcW w:w="3800" w:type="pct"/>
          </w:tcPr>
          <w:p w14:paraId="6CB10629" w14:textId="77777777" w:rsidR="002058CE" w:rsidRPr="00AE5A7C" w:rsidRDefault="002058CE" w:rsidP="001C75A0">
            <w:pPr>
              <w:cnfStyle w:val="000000000000" w:firstRow="0" w:lastRow="0" w:firstColumn="0" w:lastColumn="0" w:oddVBand="0" w:evenVBand="0" w:oddHBand="0" w:evenHBand="0" w:firstRowFirstColumn="0" w:firstRowLastColumn="0" w:lastRowFirstColumn="0" w:lastRowLastColumn="0"/>
              <w:rPr>
                <w:szCs w:val="22"/>
              </w:rPr>
            </w:pPr>
            <w:r w:rsidRPr="008E5372">
              <w:t>Independent Relapse Adjudication Panel</w:t>
            </w:r>
          </w:p>
        </w:tc>
      </w:tr>
      <w:tr w:rsidR="002058CE" w:rsidRPr="00D01DDB" w14:paraId="2D151448" w14:textId="77777777" w:rsidTr="001C75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B56332C" w14:textId="77777777" w:rsidR="002058CE" w:rsidRPr="008E5372" w:rsidRDefault="002058CE" w:rsidP="001C75A0">
            <w:r w:rsidRPr="00167046">
              <w:rPr>
                <w:lang w:val="en-US"/>
              </w:rPr>
              <w:t>mITT</w:t>
            </w:r>
          </w:p>
        </w:tc>
        <w:tc>
          <w:tcPr>
            <w:tcW w:w="3800" w:type="pct"/>
          </w:tcPr>
          <w:p w14:paraId="44F60470" w14:textId="77777777" w:rsidR="002058CE" w:rsidRPr="008E5372" w:rsidRDefault="002058CE" w:rsidP="001C75A0">
            <w:pPr>
              <w:cnfStyle w:val="000000000000" w:firstRow="0" w:lastRow="0" w:firstColumn="0" w:lastColumn="0" w:oddVBand="0" w:evenVBand="0" w:oddHBand="0" w:evenHBand="0" w:firstRowFirstColumn="0" w:firstRowLastColumn="0" w:lastRowFirstColumn="0" w:lastRowLastColumn="0"/>
            </w:pPr>
            <w:r w:rsidRPr="00167046">
              <w:rPr>
                <w:lang w:val="en-US"/>
              </w:rPr>
              <w:t>Modified intention-to-treat</w:t>
            </w:r>
          </w:p>
        </w:tc>
      </w:tr>
      <w:tr w:rsidR="002058CE" w:rsidRPr="00D01DDB" w14:paraId="3383BE28" w14:textId="77777777" w:rsidTr="001C75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CB7CE99" w14:textId="77777777" w:rsidR="002058CE" w:rsidRPr="00AE5A7C" w:rsidRDefault="002058CE" w:rsidP="001C75A0">
            <w:pPr>
              <w:rPr>
                <w:szCs w:val="22"/>
              </w:rPr>
            </w:pPr>
            <w:r w:rsidRPr="009939C8">
              <w:t>mAbs</w:t>
            </w:r>
          </w:p>
        </w:tc>
        <w:tc>
          <w:tcPr>
            <w:tcW w:w="3800" w:type="pct"/>
          </w:tcPr>
          <w:p w14:paraId="527D7F26" w14:textId="77777777" w:rsidR="002058CE" w:rsidRPr="00AE5A7C" w:rsidRDefault="002058CE" w:rsidP="001C75A0">
            <w:pPr>
              <w:cnfStyle w:val="000000000000" w:firstRow="0" w:lastRow="0" w:firstColumn="0" w:lastColumn="0" w:oddVBand="0" w:evenVBand="0" w:oddHBand="0" w:evenHBand="0" w:firstRowFirstColumn="0" w:firstRowLastColumn="0" w:lastRowFirstColumn="0" w:lastRowLastColumn="0"/>
              <w:rPr>
                <w:szCs w:val="22"/>
              </w:rPr>
            </w:pPr>
            <w:r w:rsidRPr="009939C8">
              <w:t>monoclonal antibodies</w:t>
            </w:r>
          </w:p>
        </w:tc>
      </w:tr>
      <w:tr w:rsidR="002058CE" w:rsidRPr="00D01DDB" w14:paraId="10E466CC" w14:textId="77777777" w:rsidTr="001C75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022C6D7" w14:textId="77777777" w:rsidR="002058CE" w:rsidRPr="00D01DDB" w:rsidRDefault="002058CE" w:rsidP="001C75A0">
            <w:pPr>
              <w:rPr>
                <w:szCs w:val="22"/>
              </w:rPr>
            </w:pPr>
            <w:r w:rsidRPr="00872782">
              <w:t>MS</w:t>
            </w:r>
          </w:p>
        </w:tc>
        <w:tc>
          <w:tcPr>
            <w:tcW w:w="3800" w:type="pct"/>
          </w:tcPr>
          <w:p w14:paraId="31331CCB" w14:textId="77777777" w:rsidR="002058CE" w:rsidRPr="006F7FE1" w:rsidRDefault="002058CE" w:rsidP="001C75A0">
            <w:pPr>
              <w:cnfStyle w:val="000000000000" w:firstRow="0" w:lastRow="0" w:firstColumn="0" w:lastColumn="0" w:oddVBand="0" w:evenVBand="0" w:oddHBand="0" w:evenHBand="0" w:firstRowFirstColumn="0" w:firstRowLastColumn="0" w:lastRowFirstColumn="0" w:lastRowLastColumn="0"/>
              <w:rPr>
                <w:szCs w:val="22"/>
              </w:rPr>
            </w:pPr>
            <w:r>
              <w:t>M</w:t>
            </w:r>
            <w:r w:rsidRPr="006F7FE1">
              <w:t>ultiple sclerosis</w:t>
            </w:r>
          </w:p>
        </w:tc>
      </w:tr>
      <w:tr w:rsidR="002058CE" w:rsidRPr="00D01DDB" w14:paraId="6F158654" w14:textId="77777777" w:rsidTr="001C75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5486BCA" w14:textId="77777777" w:rsidR="002058CE" w:rsidRPr="00872782" w:rsidRDefault="002058CE" w:rsidP="001C75A0">
            <w:r w:rsidRPr="00991402">
              <w:rPr>
                <w:lang w:val="en-US"/>
              </w:rPr>
              <w:t>NEDA</w:t>
            </w:r>
          </w:p>
        </w:tc>
        <w:tc>
          <w:tcPr>
            <w:tcW w:w="3800" w:type="pct"/>
          </w:tcPr>
          <w:p w14:paraId="665BE964" w14:textId="77777777" w:rsidR="002058CE" w:rsidRPr="006F7FE1" w:rsidRDefault="002058CE" w:rsidP="001C75A0">
            <w:pPr>
              <w:cnfStyle w:val="000000000000" w:firstRow="0" w:lastRow="0" w:firstColumn="0" w:lastColumn="0" w:oddVBand="0" w:evenVBand="0" w:oddHBand="0" w:evenHBand="0" w:firstRowFirstColumn="0" w:firstRowLastColumn="0" w:lastRowFirstColumn="0" w:lastRowLastColumn="0"/>
            </w:pPr>
            <w:r w:rsidRPr="006F7FE1">
              <w:rPr>
                <w:lang w:val="en-US"/>
              </w:rPr>
              <w:t>No Evidence of Disease Activity (NEDA</w:t>
            </w:r>
          </w:p>
        </w:tc>
      </w:tr>
      <w:tr w:rsidR="002058CE" w:rsidRPr="00D01DDB" w14:paraId="3DB0C986" w14:textId="77777777" w:rsidTr="001C75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7CF3F06" w14:textId="77777777" w:rsidR="002058CE" w:rsidRPr="00D01DDB" w:rsidRDefault="002058CE" w:rsidP="001C75A0">
            <w:pPr>
              <w:rPr>
                <w:szCs w:val="22"/>
              </w:rPr>
            </w:pPr>
            <w:r w:rsidRPr="00D01DDB">
              <w:rPr>
                <w:szCs w:val="22"/>
              </w:rPr>
              <w:t>PI</w:t>
            </w:r>
          </w:p>
        </w:tc>
        <w:tc>
          <w:tcPr>
            <w:tcW w:w="3800" w:type="pct"/>
          </w:tcPr>
          <w:p w14:paraId="54B1A26B" w14:textId="77777777" w:rsidR="002058CE" w:rsidRPr="006F7FE1" w:rsidRDefault="002058CE" w:rsidP="001C75A0">
            <w:pPr>
              <w:cnfStyle w:val="000000000000" w:firstRow="0" w:lastRow="0" w:firstColumn="0" w:lastColumn="0" w:oddVBand="0" w:evenVBand="0" w:oddHBand="0" w:evenHBand="0" w:firstRowFirstColumn="0" w:firstRowLastColumn="0" w:lastRowFirstColumn="0" w:lastRowLastColumn="0"/>
              <w:rPr>
                <w:szCs w:val="22"/>
              </w:rPr>
            </w:pPr>
            <w:r>
              <w:rPr>
                <w:szCs w:val="22"/>
              </w:rPr>
              <w:t>P</w:t>
            </w:r>
            <w:r w:rsidRPr="006F7FE1">
              <w:rPr>
                <w:szCs w:val="22"/>
              </w:rPr>
              <w:t>roduct Information</w:t>
            </w:r>
          </w:p>
        </w:tc>
      </w:tr>
      <w:tr w:rsidR="002058CE" w:rsidRPr="00D01DDB" w14:paraId="640AADD3" w14:textId="77777777" w:rsidTr="001C75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22FEDAD" w14:textId="77777777" w:rsidR="002058CE" w:rsidRPr="00D01DDB" w:rsidRDefault="002058CE" w:rsidP="001C75A0">
            <w:pPr>
              <w:rPr>
                <w:szCs w:val="22"/>
              </w:rPr>
            </w:pPr>
            <w:r w:rsidRPr="00AF42BE">
              <w:rPr>
                <w:lang w:val="en-US"/>
              </w:rPr>
              <w:t>PK</w:t>
            </w:r>
          </w:p>
        </w:tc>
        <w:tc>
          <w:tcPr>
            <w:tcW w:w="3800" w:type="pct"/>
          </w:tcPr>
          <w:p w14:paraId="43BDD113" w14:textId="77777777" w:rsidR="002058CE" w:rsidRPr="006F7FE1" w:rsidRDefault="002058CE" w:rsidP="001C75A0">
            <w:pPr>
              <w:cnfStyle w:val="000000000000" w:firstRow="0" w:lastRow="0" w:firstColumn="0" w:lastColumn="0" w:oddVBand="0" w:evenVBand="0" w:oddHBand="0" w:evenHBand="0" w:firstRowFirstColumn="0" w:firstRowLastColumn="0" w:lastRowFirstColumn="0" w:lastRowLastColumn="0"/>
              <w:rPr>
                <w:szCs w:val="22"/>
              </w:rPr>
            </w:pPr>
            <w:r>
              <w:rPr>
                <w:lang w:val="en-US"/>
              </w:rPr>
              <w:t>P</w:t>
            </w:r>
            <w:r w:rsidRPr="006F7FE1">
              <w:rPr>
                <w:lang w:val="en-US"/>
              </w:rPr>
              <w:t>harmacokinetics</w:t>
            </w:r>
          </w:p>
        </w:tc>
      </w:tr>
      <w:tr w:rsidR="002058CE" w:rsidRPr="00D01DDB" w14:paraId="14D3B06F" w14:textId="77777777" w:rsidTr="001C75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8BB7563" w14:textId="77777777" w:rsidR="002058CE" w:rsidRPr="00AF42BE" w:rsidRDefault="002058CE" w:rsidP="001C75A0">
            <w:pPr>
              <w:rPr>
                <w:lang w:val="en-US"/>
              </w:rPr>
            </w:pPr>
            <w:r w:rsidRPr="00AC7968">
              <w:rPr>
                <w:lang w:val="en-US"/>
              </w:rPr>
              <w:t>PP</w:t>
            </w:r>
          </w:p>
        </w:tc>
        <w:tc>
          <w:tcPr>
            <w:tcW w:w="3800" w:type="pct"/>
          </w:tcPr>
          <w:p w14:paraId="1A930280" w14:textId="77777777" w:rsidR="002058CE" w:rsidRPr="006F7FE1" w:rsidRDefault="002058CE" w:rsidP="001C75A0">
            <w:pPr>
              <w:cnfStyle w:val="000000000000" w:firstRow="0" w:lastRow="0" w:firstColumn="0" w:lastColumn="0" w:oddVBand="0" w:evenVBand="0" w:oddHBand="0" w:evenHBand="0" w:firstRowFirstColumn="0" w:firstRowLastColumn="0" w:lastRowFirstColumn="0" w:lastRowLastColumn="0"/>
              <w:rPr>
                <w:lang w:val="en-US"/>
              </w:rPr>
            </w:pPr>
            <w:r>
              <w:rPr>
                <w:lang w:val="en-US"/>
              </w:rPr>
              <w:t>P</w:t>
            </w:r>
            <w:r w:rsidRPr="006F7FE1">
              <w:rPr>
                <w:lang w:val="en-US"/>
              </w:rPr>
              <w:t>er protocol</w:t>
            </w:r>
          </w:p>
        </w:tc>
      </w:tr>
      <w:tr w:rsidR="002058CE" w:rsidRPr="00D01DDB" w14:paraId="5B9A1ED6" w14:textId="77777777" w:rsidTr="001C75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8245430" w14:textId="77777777" w:rsidR="002058CE" w:rsidRPr="00D01DDB" w:rsidRDefault="002058CE" w:rsidP="001C75A0">
            <w:pPr>
              <w:rPr>
                <w:szCs w:val="22"/>
              </w:rPr>
            </w:pPr>
            <w:r w:rsidRPr="00970C45">
              <w:t>PPMS</w:t>
            </w:r>
          </w:p>
        </w:tc>
        <w:tc>
          <w:tcPr>
            <w:tcW w:w="3800" w:type="pct"/>
          </w:tcPr>
          <w:p w14:paraId="44BE8250" w14:textId="77777777" w:rsidR="002058CE" w:rsidRPr="006F7FE1" w:rsidRDefault="002058CE" w:rsidP="001C75A0">
            <w:pPr>
              <w:cnfStyle w:val="000000000000" w:firstRow="0" w:lastRow="0" w:firstColumn="0" w:lastColumn="0" w:oddVBand="0" w:evenVBand="0" w:oddHBand="0" w:evenHBand="0" w:firstRowFirstColumn="0" w:firstRowLastColumn="0" w:lastRowFirstColumn="0" w:lastRowLastColumn="0"/>
              <w:rPr>
                <w:szCs w:val="22"/>
              </w:rPr>
            </w:pPr>
            <w:r w:rsidRPr="006F7FE1">
              <w:t>Primary Progressive Multiple Sclerosis</w:t>
            </w:r>
          </w:p>
        </w:tc>
      </w:tr>
      <w:tr w:rsidR="002058CE" w:rsidRPr="00D01DDB" w14:paraId="14B0FB89" w14:textId="77777777" w:rsidTr="001C75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F2586EB" w14:textId="77777777" w:rsidR="002058CE" w:rsidRPr="00D01DDB" w:rsidRDefault="002058CE" w:rsidP="001C75A0">
            <w:pPr>
              <w:rPr>
                <w:szCs w:val="22"/>
              </w:rPr>
            </w:pPr>
            <w:r w:rsidRPr="00D01DDB">
              <w:rPr>
                <w:szCs w:val="22"/>
              </w:rPr>
              <w:t>RMP</w:t>
            </w:r>
          </w:p>
        </w:tc>
        <w:tc>
          <w:tcPr>
            <w:tcW w:w="3800" w:type="pct"/>
          </w:tcPr>
          <w:p w14:paraId="0DB5DB76" w14:textId="77777777" w:rsidR="002058CE" w:rsidRPr="006F7FE1" w:rsidRDefault="002058CE" w:rsidP="001C75A0">
            <w:pPr>
              <w:cnfStyle w:val="000000000000" w:firstRow="0" w:lastRow="0" w:firstColumn="0" w:lastColumn="0" w:oddVBand="0" w:evenVBand="0" w:oddHBand="0" w:evenHBand="0" w:firstRowFirstColumn="0" w:firstRowLastColumn="0" w:lastRowFirstColumn="0" w:lastRowLastColumn="0"/>
              <w:rPr>
                <w:szCs w:val="22"/>
              </w:rPr>
            </w:pPr>
            <w:r w:rsidRPr="006F7FE1">
              <w:rPr>
                <w:szCs w:val="22"/>
              </w:rPr>
              <w:t>Risk management plan</w:t>
            </w:r>
          </w:p>
        </w:tc>
      </w:tr>
      <w:tr w:rsidR="002058CE" w:rsidRPr="00D01DDB" w14:paraId="46414DE5" w14:textId="77777777" w:rsidTr="001C75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4AE7D0D" w14:textId="77777777" w:rsidR="002058CE" w:rsidRPr="00D01DDB" w:rsidRDefault="002058CE" w:rsidP="001C75A0">
            <w:pPr>
              <w:ind w:left="0"/>
              <w:rPr>
                <w:szCs w:val="22"/>
              </w:rPr>
            </w:pPr>
            <w:r w:rsidRPr="00D96F53">
              <w:t xml:space="preserve"> </w:t>
            </w:r>
            <w:r>
              <w:t xml:space="preserve"> </w:t>
            </w:r>
            <w:r w:rsidRPr="00D96F53">
              <w:t>RMS</w:t>
            </w:r>
          </w:p>
        </w:tc>
        <w:tc>
          <w:tcPr>
            <w:tcW w:w="3800" w:type="pct"/>
          </w:tcPr>
          <w:p w14:paraId="1500441A" w14:textId="77777777" w:rsidR="002058CE" w:rsidRPr="006F7FE1" w:rsidRDefault="002058CE" w:rsidP="001C75A0">
            <w:pPr>
              <w:cnfStyle w:val="000000000000" w:firstRow="0" w:lastRow="0" w:firstColumn="0" w:lastColumn="0" w:oddVBand="0" w:evenVBand="0" w:oddHBand="0" w:evenHBand="0" w:firstRowFirstColumn="0" w:firstRowLastColumn="0" w:lastRowFirstColumn="0" w:lastRowLastColumn="0"/>
              <w:rPr>
                <w:szCs w:val="22"/>
              </w:rPr>
            </w:pPr>
            <w:r w:rsidRPr="006F7FE1">
              <w:t>Relapsing forms of multiple sclerosis</w:t>
            </w:r>
          </w:p>
        </w:tc>
      </w:tr>
      <w:tr w:rsidR="002058CE" w:rsidRPr="00D01DDB" w14:paraId="5AF02ED8" w14:textId="77777777" w:rsidTr="001C75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25629B9" w14:textId="77777777" w:rsidR="002058CE" w:rsidRPr="00D96F53" w:rsidRDefault="002058CE" w:rsidP="001C75A0">
            <w:r w:rsidRPr="00962CF5">
              <w:t>RRMS</w:t>
            </w:r>
          </w:p>
        </w:tc>
        <w:tc>
          <w:tcPr>
            <w:tcW w:w="3800" w:type="pct"/>
          </w:tcPr>
          <w:p w14:paraId="4E8B8EC0" w14:textId="77777777" w:rsidR="002058CE" w:rsidRPr="00D96F53" w:rsidRDefault="002058CE" w:rsidP="001C75A0">
            <w:pPr>
              <w:cnfStyle w:val="000000000000" w:firstRow="0" w:lastRow="0" w:firstColumn="0" w:lastColumn="0" w:oddVBand="0" w:evenVBand="0" w:oddHBand="0" w:evenHBand="0" w:firstRowFirstColumn="0" w:firstRowLastColumn="0" w:lastRowFirstColumn="0" w:lastRowLastColumn="0"/>
            </w:pPr>
            <w:r w:rsidRPr="00962CF5">
              <w:t>Relapsing-remitting multiple sclerosis</w:t>
            </w:r>
          </w:p>
        </w:tc>
      </w:tr>
      <w:tr w:rsidR="002058CE" w:rsidRPr="00D01DDB" w14:paraId="5D5D0D4D" w14:textId="77777777" w:rsidTr="001C75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B41FF2B" w14:textId="77777777" w:rsidR="002058CE" w:rsidRPr="00962CF5" w:rsidRDefault="002058CE" w:rsidP="001C75A0">
            <w:r w:rsidRPr="00026973">
              <w:rPr>
                <w:lang w:val="en-US"/>
              </w:rPr>
              <w:t>SAEs</w:t>
            </w:r>
          </w:p>
        </w:tc>
        <w:tc>
          <w:tcPr>
            <w:tcW w:w="3800" w:type="pct"/>
          </w:tcPr>
          <w:p w14:paraId="3DE6E146" w14:textId="77777777" w:rsidR="002058CE" w:rsidRPr="00962CF5" w:rsidRDefault="002058CE" w:rsidP="001C75A0">
            <w:pPr>
              <w:cnfStyle w:val="000000000000" w:firstRow="0" w:lastRow="0" w:firstColumn="0" w:lastColumn="0" w:oddVBand="0" w:evenVBand="0" w:oddHBand="0" w:evenHBand="0" w:firstRowFirstColumn="0" w:firstRowLastColumn="0" w:lastRowFirstColumn="0" w:lastRowLastColumn="0"/>
            </w:pPr>
            <w:r>
              <w:rPr>
                <w:lang w:val="en-US"/>
              </w:rPr>
              <w:t>S</w:t>
            </w:r>
            <w:r w:rsidRPr="00026973">
              <w:rPr>
                <w:lang w:val="en-US"/>
              </w:rPr>
              <w:t>erious adverse events</w:t>
            </w:r>
          </w:p>
        </w:tc>
      </w:tr>
      <w:tr w:rsidR="0022378A" w:rsidRPr="00D01DDB" w14:paraId="6FF41903" w14:textId="77777777" w:rsidTr="001C75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D257F4D" w14:textId="453FFF56" w:rsidR="0022378A" w:rsidRPr="00026973" w:rsidRDefault="0022378A" w:rsidP="0022378A">
            <w:pPr>
              <w:rPr>
                <w:lang w:val="en-US"/>
              </w:rPr>
            </w:pPr>
            <w:r w:rsidRPr="0014362E">
              <w:rPr>
                <w:lang w:val="en-US"/>
              </w:rPr>
              <w:t>SDMT</w:t>
            </w:r>
          </w:p>
        </w:tc>
        <w:tc>
          <w:tcPr>
            <w:tcW w:w="3800" w:type="pct"/>
          </w:tcPr>
          <w:p w14:paraId="12916C4A" w14:textId="236D3B1D" w:rsidR="0022378A" w:rsidRDefault="0022378A" w:rsidP="0022378A">
            <w:pPr>
              <w:cnfStyle w:val="000000000000" w:firstRow="0" w:lastRow="0" w:firstColumn="0" w:lastColumn="0" w:oddVBand="0" w:evenVBand="0" w:oddHBand="0" w:evenHBand="0" w:firstRowFirstColumn="0" w:firstRowLastColumn="0" w:lastRowFirstColumn="0" w:lastRowLastColumn="0"/>
              <w:rPr>
                <w:lang w:val="en-US"/>
              </w:rPr>
            </w:pPr>
            <w:r>
              <w:rPr>
                <w:lang w:val="en-US"/>
              </w:rPr>
              <w:t>S</w:t>
            </w:r>
            <w:r w:rsidRPr="0014362E">
              <w:rPr>
                <w:lang w:val="en-US"/>
              </w:rPr>
              <w:t>ymbol digit modalities test</w:t>
            </w:r>
          </w:p>
        </w:tc>
      </w:tr>
      <w:tr w:rsidR="002058CE" w:rsidRPr="00D01DDB" w14:paraId="1EFA6618" w14:textId="77777777" w:rsidTr="001C75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5D418C4" w14:textId="77777777" w:rsidR="002058CE" w:rsidRPr="00D01DDB" w:rsidRDefault="002058CE" w:rsidP="001C75A0">
            <w:pPr>
              <w:rPr>
                <w:szCs w:val="22"/>
              </w:rPr>
            </w:pPr>
            <w:r w:rsidRPr="00D01DDB">
              <w:rPr>
                <w:szCs w:val="22"/>
              </w:rPr>
              <w:t>TGA</w:t>
            </w:r>
          </w:p>
        </w:tc>
        <w:tc>
          <w:tcPr>
            <w:tcW w:w="3800" w:type="pct"/>
          </w:tcPr>
          <w:p w14:paraId="44C6F038" w14:textId="77777777" w:rsidR="002058CE" w:rsidRPr="00D01DDB" w:rsidRDefault="002058CE" w:rsidP="001C75A0">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2058CE" w:rsidRPr="00D01DDB" w14:paraId="37B1449F" w14:textId="77777777" w:rsidTr="001C75A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72B60B8" w14:textId="77777777" w:rsidR="002058CE" w:rsidRPr="00D01DDB" w:rsidRDefault="002058CE" w:rsidP="001C75A0">
            <w:pPr>
              <w:rPr>
                <w:szCs w:val="22"/>
              </w:rPr>
            </w:pPr>
            <w:r w:rsidRPr="00FB2A69">
              <w:t>TEAEs</w:t>
            </w:r>
          </w:p>
        </w:tc>
        <w:tc>
          <w:tcPr>
            <w:tcW w:w="3800" w:type="pct"/>
          </w:tcPr>
          <w:p w14:paraId="262A1696" w14:textId="4A3382DC" w:rsidR="002058CE" w:rsidRPr="00D01DDB" w:rsidRDefault="005521A0" w:rsidP="001C75A0">
            <w:pPr>
              <w:cnfStyle w:val="000000000000" w:firstRow="0" w:lastRow="0" w:firstColumn="0" w:lastColumn="0" w:oddVBand="0" w:evenVBand="0" w:oddHBand="0" w:evenHBand="0" w:firstRowFirstColumn="0" w:firstRowLastColumn="0" w:lastRowFirstColumn="0" w:lastRowLastColumn="0"/>
              <w:rPr>
                <w:szCs w:val="22"/>
              </w:rPr>
            </w:pPr>
            <w:r>
              <w:t>T</w:t>
            </w:r>
            <w:r w:rsidR="002058CE" w:rsidRPr="00FB2A69">
              <w:t>reatment emergent adverse events</w:t>
            </w:r>
          </w:p>
        </w:tc>
      </w:tr>
    </w:tbl>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5" w:name="_Toc103679288"/>
      <w:bookmarkStart w:id="6" w:name="_Toc225501984"/>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225501985"/>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3686"/>
        <w:gridCol w:w="5384"/>
      </w:tblGrid>
      <w:tr w:rsidR="00324B33" w:rsidRPr="00BD5DBD" w14:paraId="77D11C95" w14:textId="77777777" w:rsidTr="00A8156D">
        <w:tc>
          <w:tcPr>
            <w:tcW w:w="2032" w:type="pct"/>
          </w:tcPr>
          <w:p w14:paraId="10E57D62" w14:textId="13728BD6" w:rsidR="00324B33" w:rsidRPr="00BD5DBD" w:rsidRDefault="00324B33" w:rsidP="007452E8">
            <w:pPr>
              <w:rPr>
                <w:i/>
                <w:szCs w:val="22"/>
              </w:rPr>
            </w:pPr>
            <w:r w:rsidRPr="00BD5DBD">
              <w:rPr>
                <w:i/>
                <w:szCs w:val="22"/>
              </w:rPr>
              <w:t>Type of submission:</w:t>
            </w:r>
          </w:p>
        </w:tc>
        <w:tc>
          <w:tcPr>
            <w:tcW w:w="2968" w:type="pct"/>
          </w:tcPr>
          <w:p w14:paraId="4F07C303" w14:textId="23485BC6" w:rsidR="00324B33" w:rsidRPr="00BD5DBD" w:rsidRDefault="00324B33" w:rsidP="007452E8">
            <w:pPr>
              <w:rPr>
                <w:szCs w:val="22"/>
              </w:rPr>
            </w:pPr>
            <w:r w:rsidRPr="00BD5DBD">
              <w:rPr>
                <w:szCs w:val="22"/>
              </w:rPr>
              <w:t xml:space="preserve">New </w:t>
            </w:r>
            <w:r w:rsidR="00373B1A">
              <w:rPr>
                <w:szCs w:val="22"/>
              </w:rPr>
              <w:t>biological</w:t>
            </w:r>
            <w:r w:rsidRPr="00BD5DBD">
              <w:rPr>
                <w:szCs w:val="22"/>
              </w:rPr>
              <w:t xml:space="preserve"> entity</w:t>
            </w:r>
          </w:p>
        </w:tc>
      </w:tr>
      <w:tr w:rsidR="00324B33" w:rsidRPr="00BD5DBD" w14:paraId="13482B61" w14:textId="77777777" w:rsidTr="00A8156D">
        <w:tc>
          <w:tcPr>
            <w:tcW w:w="2032" w:type="pct"/>
          </w:tcPr>
          <w:p w14:paraId="2C427FCF" w14:textId="2A68756F" w:rsidR="00324B33" w:rsidRPr="00BD5DBD" w:rsidRDefault="00324B33" w:rsidP="007452E8">
            <w:pPr>
              <w:rPr>
                <w:i/>
                <w:szCs w:val="22"/>
              </w:rPr>
            </w:pPr>
            <w:r w:rsidRPr="00BD5DBD">
              <w:rPr>
                <w:i/>
                <w:szCs w:val="22"/>
              </w:rPr>
              <w:t>Product names:</w:t>
            </w:r>
          </w:p>
        </w:tc>
        <w:tc>
          <w:tcPr>
            <w:tcW w:w="2968" w:type="pct"/>
          </w:tcPr>
          <w:p w14:paraId="0E2DEF76" w14:textId="5B1228EC" w:rsidR="00324B33" w:rsidRPr="00BD5DBD" w:rsidRDefault="00022B92" w:rsidP="007452E8">
            <w:pPr>
              <w:rPr>
                <w:szCs w:val="22"/>
              </w:rPr>
            </w:pPr>
            <w:r>
              <w:rPr>
                <w:szCs w:val="22"/>
              </w:rPr>
              <w:t>Briumvi</w:t>
            </w:r>
          </w:p>
        </w:tc>
      </w:tr>
      <w:tr w:rsidR="00324B33" w:rsidRPr="00BD5DBD" w14:paraId="01255B5B" w14:textId="77777777" w:rsidTr="00A8156D">
        <w:tc>
          <w:tcPr>
            <w:tcW w:w="2032" w:type="pct"/>
          </w:tcPr>
          <w:p w14:paraId="52B4F3D7" w14:textId="3F7DAA91" w:rsidR="00324B33" w:rsidRPr="00BD5DBD" w:rsidRDefault="00324B33" w:rsidP="007452E8">
            <w:pPr>
              <w:rPr>
                <w:i/>
                <w:szCs w:val="22"/>
              </w:rPr>
            </w:pPr>
            <w:r w:rsidRPr="00BD5DBD">
              <w:rPr>
                <w:i/>
                <w:szCs w:val="22"/>
              </w:rPr>
              <w:t>Active ingredient:</w:t>
            </w:r>
          </w:p>
        </w:tc>
        <w:tc>
          <w:tcPr>
            <w:tcW w:w="2968" w:type="pct"/>
          </w:tcPr>
          <w:p w14:paraId="02FB6383" w14:textId="3D844623" w:rsidR="00324B33" w:rsidRPr="00BD5DBD" w:rsidRDefault="00373B1A" w:rsidP="007452E8">
            <w:pPr>
              <w:rPr>
                <w:szCs w:val="22"/>
              </w:rPr>
            </w:pPr>
            <w:r>
              <w:rPr>
                <w:szCs w:val="22"/>
              </w:rPr>
              <w:t>U</w:t>
            </w:r>
            <w:r w:rsidRPr="00373B1A">
              <w:rPr>
                <w:szCs w:val="22"/>
              </w:rPr>
              <w:t>blituximab</w:t>
            </w:r>
          </w:p>
        </w:tc>
      </w:tr>
      <w:tr w:rsidR="00324B33" w:rsidRPr="00BD5DBD" w14:paraId="219A281B" w14:textId="77777777" w:rsidTr="00A8156D">
        <w:tc>
          <w:tcPr>
            <w:tcW w:w="2032" w:type="pct"/>
          </w:tcPr>
          <w:p w14:paraId="112E5F78" w14:textId="77777777" w:rsidR="00324B33" w:rsidRPr="00BD5DBD" w:rsidRDefault="00324B33" w:rsidP="007452E8">
            <w:pPr>
              <w:rPr>
                <w:i/>
                <w:szCs w:val="22"/>
              </w:rPr>
            </w:pPr>
            <w:r w:rsidRPr="00BD5DBD">
              <w:rPr>
                <w:i/>
                <w:szCs w:val="22"/>
              </w:rPr>
              <w:t>Decision:</w:t>
            </w:r>
          </w:p>
        </w:tc>
        <w:tc>
          <w:tcPr>
            <w:tcW w:w="2968" w:type="pct"/>
          </w:tcPr>
          <w:p w14:paraId="3B114BEA" w14:textId="4734EA52" w:rsidR="00324B33" w:rsidRPr="00BD5DBD" w:rsidRDefault="00324B33" w:rsidP="007452E8">
            <w:pPr>
              <w:rPr>
                <w:szCs w:val="22"/>
              </w:rPr>
            </w:pPr>
            <w:r w:rsidRPr="00BD5DBD">
              <w:rPr>
                <w:szCs w:val="22"/>
              </w:rPr>
              <w:t>Approved</w:t>
            </w:r>
          </w:p>
        </w:tc>
      </w:tr>
      <w:tr w:rsidR="00AE1947" w:rsidRPr="00BD5DBD" w14:paraId="32B72632" w14:textId="77777777" w:rsidTr="00A8156D">
        <w:tc>
          <w:tcPr>
            <w:tcW w:w="2032" w:type="pct"/>
          </w:tcPr>
          <w:p w14:paraId="332A5CD5" w14:textId="65682B5F" w:rsidR="00AE1947" w:rsidRPr="00BD5DBD" w:rsidRDefault="00AE1947" w:rsidP="007F1E37">
            <w:r w:rsidRPr="00BD5DBD">
              <w:rPr>
                <w:i/>
                <w:szCs w:val="22"/>
              </w:rPr>
              <w:t>Date of decision:</w:t>
            </w:r>
          </w:p>
        </w:tc>
        <w:tc>
          <w:tcPr>
            <w:tcW w:w="2968" w:type="pct"/>
          </w:tcPr>
          <w:p w14:paraId="7B381CD6" w14:textId="4391FA2B" w:rsidR="00AE1947" w:rsidRPr="00BD5DBD" w:rsidRDefault="00373B1A" w:rsidP="00602658">
            <w:pPr>
              <w:rPr>
                <w:szCs w:val="22"/>
              </w:rPr>
            </w:pPr>
            <w:r w:rsidRPr="00373B1A">
              <w:rPr>
                <w:szCs w:val="22"/>
              </w:rPr>
              <w:t>4 June 2025</w:t>
            </w:r>
          </w:p>
        </w:tc>
      </w:tr>
      <w:tr w:rsidR="004A20BC" w:rsidRPr="00BD5DBD" w14:paraId="1BD35D08" w14:textId="77777777" w:rsidTr="00A8156D">
        <w:tc>
          <w:tcPr>
            <w:tcW w:w="2032" w:type="pct"/>
          </w:tcPr>
          <w:p w14:paraId="33570637" w14:textId="296FA222" w:rsidR="004A20BC" w:rsidRPr="00BD5DBD" w:rsidRDefault="004A20BC" w:rsidP="007F1E37">
            <w:pPr>
              <w:rPr>
                <w:i/>
                <w:szCs w:val="22"/>
              </w:rPr>
            </w:pPr>
            <w:r w:rsidRPr="004A20BC">
              <w:rPr>
                <w:i/>
                <w:szCs w:val="22"/>
              </w:rPr>
              <w:t>Approved therapeutic use for the current submission:</w:t>
            </w:r>
          </w:p>
        </w:tc>
        <w:tc>
          <w:tcPr>
            <w:tcW w:w="2968" w:type="pct"/>
          </w:tcPr>
          <w:p w14:paraId="2C96449F" w14:textId="67BF17DC" w:rsidR="004A20BC" w:rsidRPr="00BD5DBD" w:rsidRDefault="00022B92" w:rsidP="00602658">
            <w:pPr>
              <w:rPr>
                <w:szCs w:val="22"/>
              </w:rPr>
            </w:pPr>
            <w:r>
              <w:rPr>
                <w:szCs w:val="22"/>
              </w:rPr>
              <w:t>Briumvi</w:t>
            </w:r>
            <w:r w:rsidR="00373B1A" w:rsidRPr="00373B1A">
              <w:rPr>
                <w:szCs w:val="22"/>
              </w:rPr>
              <w:t xml:space="preserve"> is indicated for the treatment of adult patients with relapsing forms of multiple sclerosis (RMS) with active disease defined by clinical or imaging features</w:t>
            </w:r>
          </w:p>
        </w:tc>
      </w:tr>
      <w:tr w:rsidR="00324B33" w:rsidRPr="00BD5DBD" w14:paraId="60A25F5A" w14:textId="77777777" w:rsidTr="00A8156D">
        <w:tc>
          <w:tcPr>
            <w:tcW w:w="2032" w:type="pct"/>
          </w:tcPr>
          <w:p w14:paraId="5C5E4CBA" w14:textId="77777777" w:rsidR="00324B33" w:rsidRPr="00BD5DBD" w:rsidRDefault="00324B33" w:rsidP="007452E8">
            <w:pPr>
              <w:rPr>
                <w:i/>
                <w:szCs w:val="22"/>
              </w:rPr>
            </w:pPr>
            <w:r w:rsidRPr="00BD5DBD">
              <w:rPr>
                <w:i/>
                <w:szCs w:val="22"/>
              </w:rPr>
              <w:t>Date of entry onto ARTG:</w:t>
            </w:r>
          </w:p>
        </w:tc>
        <w:tc>
          <w:tcPr>
            <w:tcW w:w="2968" w:type="pct"/>
          </w:tcPr>
          <w:p w14:paraId="28B270E9" w14:textId="0FB16D13" w:rsidR="00324B33" w:rsidRPr="00BD5DBD" w:rsidRDefault="00373B1A" w:rsidP="007452E8">
            <w:pPr>
              <w:rPr>
                <w:szCs w:val="22"/>
              </w:rPr>
            </w:pPr>
            <w:r w:rsidRPr="00373B1A">
              <w:rPr>
                <w:szCs w:val="22"/>
              </w:rPr>
              <w:t>11 June 202</w:t>
            </w:r>
            <w:r w:rsidR="00F70B59">
              <w:rPr>
                <w:szCs w:val="22"/>
              </w:rPr>
              <w:t>5</w:t>
            </w:r>
          </w:p>
        </w:tc>
      </w:tr>
      <w:tr w:rsidR="00324B33" w:rsidRPr="00BD5DBD" w14:paraId="547E08D7" w14:textId="77777777" w:rsidTr="00A8156D">
        <w:tc>
          <w:tcPr>
            <w:tcW w:w="2032" w:type="pct"/>
          </w:tcPr>
          <w:p w14:paraId="5030EF30" w14:textId="5B9E9D1A" w:rsidR="00324B33" w:rsidRPr="00BD5DBD" w:rsidRDefault="00324B33" w:rsidP="007452E8">
            <w:pPr>
              <w:rPr>
                <w:i/>
                <w:szCs w:val="22"/>
              </w:rPr>
            </w:pPr>
            <w:r w:rsidRPr="00BD5DBD">
              <w:rPr>
                <w:i/>
                <w:szCs w:val="22"/>
              </w:rPr>
              <w:t>ARTG number:</w:t>
            </w:r>
          </w:p>
        </w:tc>
        <w:tc>
          <w:tcPr>
            <w:tcW w:w="2968" w:type="pct"/>
          </w:tcPr>
          <w:p w14:paraId="0054E912" w14:textId="04911030" w:rsidR="00324B33" w:rsidRPr="00BD5DBD" w:rsidRDefault="00373B1A" w:rsidP="007452E8">
            <w:pPr>
              <w:rPr>
                <w:szCs w:val="22"/>
              </w:rPr>
            </w:pPr>
            <w:hyperlink r:id="rId17" w:history="1">
              <w:r w:rsidRPr="00373B1A">
                <w:rPr>
                  <w:rStyle w:val="Hyperlink"/>
                  <w:szCs w:val="22"/>
                </w:rPr>
                <w:t>453648</w:t>
              </w:r>
            </w:hyperlink>
          </w:p>
        </w:tc>
      </w:tr>
      <w:tr w:rsidR="00324B33" w:rsidRPr="00BD5DBD" w14:paraId="7618393F" w14:textId="77777777" w:rsidTr="00A8156D">
        <w:tc>
          <w:tcPr>
            <w:tcW w:w="2032" w:type="pct"/>
          </w:tcPr>
          <w:p w14:paraId="02260DE2" w14:textId="193007BD" w:rsidR="00324B33" w:rsidRPr="00BD5DBD" w:rsidRDefault="00324B33" w:rsidP="007E4FF8">
            <w:pPr>
              <w:rPr>
                <w:i/>
                <w:szCs w:val="22"/>
              </w:rPr>
            </w:pPr>
            <w:r w:rsidRPr="00BD5DBD">
              <w:rPr>
                <w:rFonts w:ascii="Wingdings 3" w:hAnsi="Wingdings 3"/>
                <w:szCs w:val="22"/>
                <w:lang w:eastAsia="en-AU"/>
              </w:rPr>
              <w:t></w:t>
            </w:r>
            <w:hyperlink r:id="rId18" w:history="1">
              <w:r w:rsidRPr="00BD5DBD">
                <w:rPr>
                  <w:rStyle w:val="Hyperlink"/>
                  <w:i/>
                  <w:szCs w:val="22"/>
                </w:rPr>
                <w:t>Black Triangle Scheme</w:t>
              </w:r>
            </w:hyperlink>
          </w:p>
        </w:tc>
        <w:tc>
          <w:tcPr>
            <w:tcW w:w="2968" w:type="pct"/>
          </w:tcPr>
          <w:p w14:paraId="6FF3C6A2" w14:textId="09EBB825" w:rsidR="00324B33" w:rsidRPr="00BD5DBD" w:rsidRDefault="00324B33" w:rsidP="007452E8">
            <w:pPr>
              <w:rPr>
                <w:szCs w:val="22"/>
              </w:rPr>
            </w:pPr>
            <w:r w:rsidRPr="00BD5DBD">
              <w:rPr>
                <w:szCs w:val="22"/>
              </w:rPr>
              <w:t>Yes</w:t>
            </w:r>
          </w:p>
        </w:tc>
      </w:tr>
      <w:tr w:rsidR="00324B33" w:rsidRPr="00BD5DBD" w14:paraId="179E09FE" w14:textId="77777777" w:rsidTr="00A8156D">
        <w:tc>
          <w:tcPr>
            <w:tcW w:w="2032" w:type="pct"/>
          </w:tcPr>
          <w:p w14:paraId="1A592498" w14:textId="77777777" w:rsidR="00324B33" w:rsidRPr="00BD5DBD" w:rsidRDefault="00324B33" w:rsidP="007452E8">
            <w:pPr>
              <w:rPr>
                <w:i/>
                <w:szCs w:val="22"/>
              </w:rPr>
            </w:pPr>
            <w:r w:rsidRPr="00BD5DBD">
              <w:rPr>
                <w:i/>
                <w:szCs w:val="22"/>
              </w:rPr>
              <w:t>Sponsor’s name and address:</w:t>
            </w:r>
          </w:p>
        </w:tc>
        <w:tc>
          <w:tcPr>
            <w:tcW w:w="2968" w:type="pct"/>
          </w:tcPr>
          <w:p w14:paraId="68DD94B0" w14:textId="4CB05503" w:rsidR="00324B33" w:rsidRPr="00BD5DBD" w:rsidRDefault="0099607F" w:rsidP="0099607F">
            <w:pPr>
              <w:rPr>
                <w:szCs w:val="22"/>
              </w:rPr>
            </w:pPr>
            <w:proofErr w:type="spellStart"/>
            <w:r w:rsidRPr="0099607F">
              <w:rPr>
                <w:szCs w:val="22"/>
              </w:rPr>
              <w:t>Neuraxpharm</w:t>
            </w:r>
            <w:proofErr w:type="spellEnd"/>
            <w:r w:rsidRPr="0099607F">
              <w:rPr>
                <w:szCs w:val="22"/>
              </w:rPr>
              <w:t xml:space="preserve"> Australia Pty Ltd.</w:t>
            </w:r>
            <w:r>
              <w:rPr>
                <w:szCs w:val="22"/>
              </w:rPr>
              <w:t xml:space="preserve"> </w:t>
            </w:r>
            <w:r w:rsidRPr="0099607F">
              <w:rPr>
                <w:szCs w:val="22"/>
              </w:rPr>
              <w:t>Suite 3.12</w:t>
            </w:r>
            <w:r>
              <w:rPr>
                <w:szCs w:val="22"/>
              </w:rPr>
              <w:t xml:space="preserve">. </w:t>
            </w:r>
            <w:r w:rsidRPr="0099607F">
              <w:rPr>
                <w:szCs w:val="22"/>
              </w:rPr>
              <w:t>32 Delhi Road</w:t>
            </w:r>
            <w:r>
              <w:rPr>
                <w:szCs w:val="22"/>
              </w:rPr>
              <w:t xml:space="preserve">, </w:t>
            </w:r>
            <w:r w:rsidRPr="0099607F">
              <w:rPr>
                <w:szCs w:val="22"/>
              </w:rPr>
              <w:t>Macquarie Park, NSW, Australia, 2113</w:t>
            </w:r>
          </w:p>
        </w:tc>
      </w:tr>
      <w:tr w:rsidR="00324B33" w:rsidRPr="00BD5DBD" w14:paraId="5322B989" w14:textId="77777777" w:rsidTr="00A8156D">
        <w:tc>
          <w:tcPr>
            <w:tcW w:w="2032" w:type="pct"/>
          </w:tcPr>
          <w:p w14:paraId="24F217E3" w14:textId="4AF09732" w:rsidR="00324B33" w:rsidRPr="00BD5DBD" w:rsidRDefault="00324B33" w:rsidP="007452E8">
            <w:pPr>
              <w:rPr>
                <w:i/>
                <w:szCs w:val="22"/>
              </w:rPr>
            </w:pPr>
            <w:r w:rsidRPr="00BD5DBD">
              <w:rPr>
                <w:i/>
                <w:szCs w:val="22"/>
              </w:rPr>
              <w:t>Dose form:</w:t>
            </w:r>
          </w:p>
        </w:tc>
        <w:tc>
          <w:tcPr>
            <w:tcW w:w="2968" w:type="pct"/>
          </w:tcPr>
          <w:p w14:paraId="768B254C" w14:textId="383E7513" w:rsidR="00324B33" w:rsidRPr="00BD5DBD" w:rsidRDefault="00BF2993" w:rsidP="007452E8">
            <w:pPr>
              <w:rPr>
                <w:szCs w:val="22"/>
              </w:rPr>
            </w:pPr>
            <w:r w:rsidRPr="00BF2993">
              <w:rPr>
                <w:szCs w:val="22"/>
              </w:rPr>
              <w:t>Concentrate for solution for infusion</w:t>
            </w:r>
          </w:p>
        </w:tc>
      </w:tr>
      <w:tr w:rsidR="00324B33" w:rsidRPr="00BD5DBD" w14:paraId="115243E6" w14:textId="77777777" w:rsidTr="00A8156D">
        <w:tc>
          <w:tcPr>
            <w:tcW w:w="2032" w:type="pct"/>
          </w:tcPr>
          <w:p w14:paraId="7634B062" w14:textId="0AE54404" w:rsidR="00324B33" w:rsidRPr="00BD5DBD" w:rsidRDefault="00324B33" w:rsidP="007452E8">
            <w:pPr>
              <w:rPr>
                <w:i/>
                <w:szCs w:val="22"/>
              </w:rPr>
            </w:pPr>
            <w:r w:rsidRPr="00BD5DBD">
              <w:rPr>
                <w:i/>
                <w:szCs w:val="22"/>
              </w:rPr>
              <w:t>Strength:</w:t>
            </w:r>
          </w:p>
        </w:tc>
        <w:tc>
          <w:tcPr>
            <w:tcW w:w="2968" w:type="pct"/>
          </w:tcPr>
          <w:p w14:paraId="5E5F83DB" w14:textId="5C37A66D" w:rsidR="00324B33" w:rsidRPr="00BD5DBD" w:rsidRDefault="00963D5D" w:rsidP="007452E8">
            <w:pPr>
              <w:rPr>
                <w:szCs w:val="22"/>
              </w:rPr>
            </w:pPr>
            <w:r w:rsidRPr="00963D5D">
              <w:rPr>
                <w:szCs w:val="22"/>
              </w:rPr>
              <w:t>25 mg/ml</w:t>
            </w:r>
          </w:p>
        </w:tc>
      </w:tr>
      <w:tr w:rsidR="00324B33" w:rsidRPr="00BD5DBD" w14:paraId="34B07BA6" w14:textId="77777777" w:rsidTr="00A8156D">
        <w:tc>
          <w:tcPr>
            <w:tcW w:w="2032" w:type="pct"/>
          </w:tcPr>
          <w:p w14:paraId="1C039224" w14:textId="186F01AE" w:rsidR="00324B33" w:rsidRPr="00BD5DBD" w:rsidRDefault="00324B33" w:rsidP="007452E8">
            <w:pPr>
              <w:rPr>
                <w:i/>
                <w:szCs w:val="22"/>
              </w:rPr>
            </w:pPr>
            <w:r w:rsidRPr="00BD5DBD">
              <w:rPr>
                <w:i/>
                <w:szCs w:val="22"/>
              </w:rPr>
              <w:t>Container:</w:t>
            </w:r>
          </w:p>
        </w:tc>
        <w:tc>
          <w:tcPr>
            <w:tcW w:w="2968" w:type="pct"/>
          </w:tcPr>
          <w:p w14:paraId="500A42C6" w14:textId="734BBA1B" w:rsidR="00324B33" w:rsidRPr="00BD5DBD" w:rsidRDefault="00970FA0" w:rsidP="007452E8">
            <w:pPr>
              <w:rPr>
                <w:szCs w:val="22"/>
              </w:rPr>
            </w:pPr>
            <w:r>
              <w:rPr>
                <w:szCs w:val="22"/>
              </w:rPr>
              <w:t>G</w:t>
            </w:r>
            <w:r w:rsidRPr="00970FA0">
              <w:rPr>
                <w:szCs w:val="22"/>
              </w:rPr>
              <w:t>lass vial</w:t>
            </w:r>
          </w:p>
        </w:tc>
      </w:tr>
      <w:tr w:rsidR="00324B33" w:rsidRPr="00BD5DBD" w14:paraId="176B6773" w14:textId="77777777" w:rsidTr="00A8156D">
        <w:tc>
          <w:tcPr>
            <w:tcW w:w="2032" w:type="pct"/>
          </w:tcPr>
          <w:p w14:paraId="71846159" w14:textId="75A03AD6" w:rsidR="00324B33" w:rsidRPr="00BD5DBD" w:rsidRDefault="00324B33" w:rsidP="007452E8">
            <w:pPr>
              <w:rPr>
                <w:i/>
                <w:szCs w:val="22"/>
              </w:rPr>
            </w:pPr>
            <w:r w:rsidRPr="00BD5DBD">
              <w:rPr>
                <w:i/>
                <w:szCs w:val="22"/>
              </w:rPr>
              <w:t>Pack size:</w:t>
            </w:r>
          </w:p>
        </w:tc>
        <w:tc>
          <w:tcPr>
            <w:tcW w:w="2968" w:type="pct"/>
          </w:tcPr>
          <w:p w14:paraId="7E978F8F" w14:textId="0E7BE061" w:rsidR="00324B33" w:rsidRPr="00BD5DBD" w:rsidRDefault="007122E0" w:rsidP="007452E8">
            <w:pPr>
              <w:rPr>
                <w:szCs w:val="22"/>
              </w:rPr>
            </w:pPr>
            <w:r>
              <w:rPr>
                <w:szCs w:val="22"/>
              </w:rPr>
              <w:t>1 or 3 vials</w:t>
            </w:r>
          </w:p>
        </w:tc>
      </w:tr>
      <w:tr w:rsidR="00324B33" w:rsidRPr="00BD5DBD" w14:paraId="5AFDEED3" w14:textId="77777777" w:rsidTr="00A8156D">
        <w:tc>
          <w:tcPr>
            <w:tcW w:w="2032" w:type="pct"/>
          </w:tcPr>
          <w:p w14:paraId="03884BD1" w14:textId="635F1C90" w:rsidR="00324B33" w:rsidRPr="00BD5DBD" w:rsidRDefault="00324B33" w:rsidP="007452E8">
            <w:pPr>
              <w:rPr>
                <w:i/>
                <w:szCs w:val="22"/>
              </w:rPr>
            </w:pPr>
            <w:r w:rsidRPr="00BD5DBD">
              <w:rPr>
                <w:i/>
                <w:szCs w:val="22"/>
              </w:rPr>
              <w:t>Route of administration:</w:t>
            </w:r>
          </w:p>
        </w:tc>
        <w:tc>
          <w:tcPr>
            <w:tcW w:w="2968" w:type="pct"/>
          </w:tcPr>
          <w:p w14:paraId="1ED1357E" w14:textId="763C99D0" w:rsidR="00324B33" w:rsidRPr="00BD5DBD" w:rsidRDefault="0036143B" w:rsidP="007452E8">
            <w:pPr>
              <w:rPr>
                <w:szCs w:val="22"/>
              </w:rPr>
            </w:pPr>
            <w:r>
              <w:rPr>
                <w:szCs w:val="22"/>
              </w:rPr>
              <w:t>I</w:t>
            </w:r>
            <w:r w:rsidRPr="0036143B">
              <w:rPr>
                <w:szCs w:val="22"/>
              </w:rPr>
              <w:t>ntravenous infusion</w:t>
            </w:r>
          </w:p>
        </w:tc>
      </w:tr>
      <w:tr w:rsidR="00324B33" w:rsidRPr="00BD5DBD" w14:paraId="70D7E9FA" w14:textId="77777777" w:rsidTr="00A8156D">
        <w:tc>
          <w:tcPr>
            <w:tcW w:w="2032" w:type="pct"/>
          </w:tcPr>
          <w:p w14:paraId="5ABFFC80" w14:textId="77777777" w:rsidR="00324B33" w:rsidRPr="00BD5DBD" w:rsidRDefault="00324B33" w:rsidP="007452E8">
            <w:pPr>
              <w:rPr>
                <w:i/>
                <w:szCs w:val="22"/>
              </w:rPr>
            </w:pPr>
            <w:r w:rsidRPr="00BD5DBD">
              <w:rPr>
                <w:i/>
                <w:szCs w:val="22"/>
              </w:rPr>
              <w:t>Dosage:</w:t>
            </w:r>
          </w:p>
        </w:tc>
        <w:tc>
          <w:tcPr>
            <w:tcW w:w="2968" w:type="pct"/>
          </w:tcPr>
          <w:p w14:paraId="3D0B2D5C" w14:textId="317E750F" w:rsidR="00324B33" w:rsidRPr="00BD5DBD" w:rsidRDefault="00324B33" w:rsidP="007452E8">
            <w:pPr>
              <w:rPr>
                <w:szCs w:val="22"/>
              </w:rPr>
            </w:pPr>
            <w:r w:rsidRPr="00BD5DBD">
              <w:rPr>
                <w:szCs w:val="22"/>
              </w:rPr>
              <w:t xml:space="preserve">For </w:t>
            </w:r>
            <w:r w:rsidR="0036143B">
              <w:rPr>
                <w:szCs w:val="22"/>
              </w:rPr>
              <w:t>i</w:t>
            </w:r>
            <w:r w:rsidRPr="00BD5DBD">
              <w:rPr>
                <w:szCs w:val="22"/>
              </w:rPr>
              <w:t>nformation regarding dosage, refer to the Product Information.</w:t>
            </w:r>
          </w:p>
        </w:tc>
      </w:tr>
      <w:tr w:rsidR="0017005C" w:rsidRPr="00BD5DBD" w14:paraId="7B7BB6AE" w14:textId="77777777" w:rsidTr="00A8156D">
        <w:tc>
          <w:tcPr>
            <w:tcW w:w="2032" w:type="pct"/>
          </w:tcPr>
          <w:p w14:paraId="3A76AFF7" w14:textId="7C436DD9" w:rsidR="0017005C" w:rsidRPr="00F8083B" w:rsidRDefault="0070330F" w:rsidP="0017005C">
            <w:r w:rsidRPr="00BD5DBD">
              <w:rPr>
                <w:i/>
                <w:szCs w:val="22"/>
              </w:rPr>
              <w:t>Pregnancy category:</w:t>
            </w:r>
          </w:p>
        </w:tc>
        <w:tc>
          <w:tcPr>
            <w:tcW w:w="2968" w:type="pct"/>
          </w:tcPr>
          <w:p w14:paraId="3D90C482" w14:textId="77777777" w:rsidR="007E4FF8" w:rsidRPr="007E4FF8" w:rsidRDefault="007E4FF8" w:rsidP="007E4FF8">
            <w:pPr>
              <w:rPr>
                <w:b/>
                <w:bCs/>
              </w:rPr>
            </w:pPr>
            <w:r w:rsidRPr="007E4FF8">
              <w:rPr>
                <w:b/>
                <w:bCs/>
              </w:rPr>
              <w:t>Category C</w:t>
            </w:r>
          </w:p>
          <w:p w14:paraId="75CF89BD" w14:textId="77777777" w:rsidR="007E4FF8" w:rsidRPr="007E4FF8" w:rsidRDefault="007E4FF8" w:rsidP="007E4FF8">
            <w:r w:rsidRPr="007E4FF8">
              <w:t>Drugs which, owing to their pharmacological effects, have caused or may be suspected of causing, harmful effects on the human fetus or neonate without causing malformations. These effects may be reversible. Accompanying texts should be consulted for further details.</w:t>
            </w:r>
          </w:p>
          <w:p w14:paraId="76497789" w14:textId="634DC28C" w:rsidR="0017005C" w:rsidRPr="00BD5DBD" w:rsidRDefault="0070330F" w:rsidP="00306E72">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19"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0"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1E34B277" w:rsidR="00324B33" w:rsidRDefault="00324B33" w:rsidP="00324B33">
      <w:pPr>
        <w:pStyle w:val="Heading3"/>
      </w:pPr>
      <w:bookmarkStart w:id="11" w:name="_Toc247691503"/>
      <w:bookmarkStart w:id="12" w:name="_Toc314842484"/>
      <w:bookmarkStart w:id="13" w:name="_Toc103679290"/>
      <w:bookmarkStart w:id="14" w:name="_Toc225501986"/>
      <w:r>
        <w:lastRenderedPageBreak/>
        <w:t>Product background</w:t>
      </w:r>
      <w:bookmarkEnd w:id="11"/>
      <w:bookmarkEnd w:id="12"/>
      <w:bookmarkEnd w:id="13"/>
      <w:bookmarkEnd w:id="14"/>
    </w:p>
    <w:p w14:paraId="59BF31D1" w14:textId="5A706D68" w:rsidR="001500A8" w:rsidRDefault="00324B33" w:rsidP="00065839">
      <w:r w:rsidRPr="00065839">
        <w:t xml:space="preserve">This AusPAR describes the submission by </w:t>
      </w:r>
      <w:r w:rsidR="00352C8B" w:rsidRPr="00352C8B">
        <w:t>Accelagen Pty Ltd</w:t>
      </w:r>
      <w:r w:rsidRPr="00065839">
        <w:t xml:space="preserve"> (the sponsor) to register </w:t>
      </w:r>
      <w:r w:rsidR="00022B92">
        <w:t>Briumvi</w:t>
      </w:r>
      <w:r w:rsidR="00352C8B" w:rsidRPr="00352C8B">
        <w:t xml:space="preserve"> </w:t>
      </w:r>
      <w:r w:rsidRPr="00065839">
        <w:t>(</w:t>
      </w:r>
      <w:r w:rsidR="006F027B" w:rsidRPr="006F027B">
        <w:t>ublituximab</w:t>
      </w:r>
      <w:r w:rsidRPr="00065839">
        <w:t>) for the following proposed indication:</w:t>
      </w:r>
      <w:r w:rsidR="00D63760" w:rsidRPr="00065839">
        <w:rPr>
          <w:vertAlign w:val="superscript"/>
        </w:rPr>
        <w:footnoteReference w:id="1"/>
      </w:r>
    </w:p>
    <w:p w14:paraId="0785916F" w14:textId="119516D8" w:rsidR="00513567" w:rsidRPr="00065839" w:rsidRDefault="00340DF0" w:rsidP="00340DF0">
      <w:pPr>
        <w:pStyle w:val="Indication"/>
      </w:pPr>
      <w:r>
        <w:t>T</w:t>
      </w:r>
      <w:r w:rsidR="00513567">
        <w:t>reatment of adult patients with relapsing forms of multiple sclerosis (RMS) with active disease defined by clinical or imaging features</w:t>
      </w:r>
    </w:p>
    <w:p w14:paraId="1E63A2AE" w14:textId="0B9EA4ED" w:rsidR="00CB6813" w:rsidRDefault="00005DFC" w:rsidP="00CB6813">
      <w:pPr>
        <w:pStyle w:val="Heading4"/>
      </w:pPr>
      <w:bookmarkStart w:id="15" w:name="_Toc225501987"/>
      <w:bookmarkStart w:id="16" w:name="_Toc314842485"/>
      <w:bookmarkStart w:id="17" w:name="_Toc247691504"/>
      <w:r>
        <w:t>D</w:t>
      </w:r>
      <w:r w:rsidR="00CB6813" w:rsidRPr="00C12D65">
        <w:t>isease</w:t>
      </w:r>
      <w:r w:rsidR="006428C5">
        <w:t xml:space="preserve"> or condition</w:t>
      </w:r>
      <w:bookmarkEnd w:id="15"/>
    </w:p>
    <w:p w14:paraId="2494F451" w14:textId="1310E04A" w:rsidR="006F7C38" w:rsidRDefault="006F7C38" w:rsidP="006F7C38">
      <w:r>
        <w:t>Multiple sclerosis (MS) is an inflammatory-demyelinating disease of the central nervous system (CNS) that is characterized by inflammation, demyelination, and degenerative changes</w:t>
      </w:r>
      <w:r w:rsidR="00DD2ADC">
        <w:t>.</w:t>
      </w:r>
      <w:r w:rsidR="00DD2ADC">
        <w:rPr>
          <w:rStyle w:val="FootnoteReference"/>
        </w:rPr>
        <w:footnoteReference w:id="2"/>
      </w:r>
      <w:r>
        <w:t xml:space="preserve"> Damage to myelin leads to multiple areas of scarring and impacts the</w:t>
      </w:r>
      <w:r w:rsidR="00DD2ADC">
        <w:t xml:space="preserve"> </w:t>
      </w:r>
      <w:r>
        <w:t>messaging within the CNS. The manifestation of neurological symptoms varies with the type and</w:t>
      </w:r>
      <w:r w:rsidR="00DD2ADC">
        <w:t xml:space="preserve"> </w:t>
      </w:r>
      <w:r>
        <w:t>the severity of MS. The cause is not known. It is believed that a combination of genetic factors,</w:t>
      </w:r>
      <w:r w:rsidR="00DD2ADC">
        <w:t xml:space="preserve"> </w:t>
      </w:r>
      <w:r>
        <w:t>immune system abnormalities, and environmental factors triggers the disease.</w:t>
      </w:r>
    </w:p>
    <w:p w14:paraId="1C9625C9" w14:textId="3A4F6635" w:rsidR="00AD7B77" w:rsidRDefault="00AD7B77" w:rsidP="00AD7B77">
      <w:r>
        <w:t xml:space="preserve">In 2014, the International Advisory Committee on Clinical Trials of MS revised the MS phenotypes to the following disease-modifier phenotypes: clinically isolated syndrome (not active or active), </w:t>
      </w:r>
      <w:r w:rsidR="00B745E8" w:rsidRPr="00B745E8">
        <w:t xml:space="preserve">Relapsing-remitting multiple sclerosis </w:t>
      </w:r>
      <w:r w:rsidR="00B745E8">
        <w:t>(</w:t>
      </w:r>
      <w:r>
        <w:t>RRMS</w:t>
      </w:r>
      <w:r w:rsidR="00B745E8">
        <w:t xml:space="preserve">; </w:t>
      </w:r>
      <w:r>
        <w:t>not active or active), and progressive disease (active and with progression; active but without progression; not active with progression; not active and without progression)</w:t>
      </w:r>
      <w:r w:rsidR="003248BC">
        <w:t>.</w:t>
      </w:r>
      <w:r w:rsidR="008B59B3">
        <w:rPr>
          <w:rStyle w:val="FootnoteReference"/>
        </w:rPr>
        <w:footnoteReference w:id="3"/>
      </w:r>
      <w:r w:rsidR="008B59B3">
        <w:t xml:space="preserve"> </w:t>
      </w:r>
      <w:r w:rsidR="00FE5CC6" w:rsidRPr="00FE5CC6">
        <w:t>Relapsing forms of multiple sclerosis (RMS) is a broad term to describe MS types characteri</w:t>
      </w:r>
      <w:r w:rsidR="00FE5CC6">
        <w:t>s</w:t>
      </w:r>
      <w:r w:rsidR="00FE5CC6" w:rsidRPr="00FE5CC6">
        <w:t>ed by distinct episodes of worsening neurological function.</w:t>
      </w:r>
    </w:p>
    <w:p w14:paraId="565C5715" w14:textId="1CDFBC64" w:rsidR="00F242DF" w:rsidRDefault="00F242DF" w:rsidP="00F242DF">
      <w:r w:rsidRPr="00F242DF">
        <w:t>Approximately 85% of people who develop MS begins with RRMS, which is characteri</w:t>
      </w:r>
      <w:r w:rsidR="005428A4">
        <w:t>s</w:t>
      </w:r>
      <w:r w:rsidRPr="00F242DF">
        <w:t>ed by</w:t>
      </w:r>
      <w:r>
        <w:t xml:space="preserve"> </w:t>
      </w:r>
      <w:r w:rsidRPr="00F242DF">
        <w:t>recurrent inflammatory episodes in which autoreactive lymphocytes marginate across the blood</w:t>
      </w:r>
      <w:r>
        <w:t xml:space="preserve"> </w:t>
      </w:r>
      <w:r w:rsidRPr="00F242DF">
        <w:t>brain</w:t>
      </w:r>
      <w:r>
        <w:t xml:space="preserve"> </w:t>
      </w:r>
      <w:r w:rsidRPr="00F242DF">
        <w:t>barrier and enter the CNS, leading to acute injury to myelin, oligodendrocytes, and axons,</w:t>
      </w:r>
      <w:r>
        <w:t xml:space="preserve"> </w:t>
      </w:r>
      <w:r w:rsidRPr="00F242DF">
        <w:t>and potentially causing new or worsening neurologic deficits. Over the course of 2 decades,</w:t>
      </w:r>
      <w:r>
        <w:t xml:space="preserve"> </w:t>
      </w:r>
      <w:r w:rsidRPr="00F242DF">
        <w:t>more than half of untreated patients transitioned to a phase of gradual worsening independent of</w:t>
      </w:r>
      <w:r>
        <w:t xml:space="preserve"> </w:t>
      </w:r>
      <w:r w:rsidRPr="00F242DF">
        <w:t xml:space="preserve">acute attacks, known as progressive MS. Progressive forms of </w:t>
      </w:r>
      <w:proofErr w:type="gramStart"/>
      <w:r w:rsidRPr="00F242DF">
        <w:t>MS</w:t>
      </w:r>
      <w:proofErr w:type="gramEnd"/>
      <w:r w:rsidRPr="00F242DF">
        <w:t xml:space="preserve"> can be present as the initial</w:t>
      </w:r>
      <w:r w:rsidR="00352D74">
        <w:t xml:space="preserve"> </w:t>
      </w:r>
      <w:r w:rsidRPr="00F242DF">
        <w:t>disease course (</w:t>
      </w:r>
      <w:r w:rsidR="00FA6A57" w:rsidRPr="00FA6A57">
        <w:t xml:space="preserve">Primary Progressive Multiple </w:t>
      </w:r>
      <w:r w:rsidR="00A8156D" w:rsidRPr="00FA6A57">
        <w:t>Sclerosis; PPMS</w:t>
      </w:r>
      <w:r w:rsidRPr="00F242DF">
        <w:t>) in approximately 10% to 15% of patient</w:t>
      </w:r>
      <w:r w:rsidR="00352D74">
        <w:t>s</w:t>
      </w:r>
      <w:r w:rsidR="003248BC">
        <w:t>.</w:t>
      </w:r>
      <w:r w:rsidR="00352D74">
        <w:rPr>
          <w:rStyle w:val="FootnoteReference"/>
        </w:rPr>
        <w:footnoteReference w:id="4"/>
      </w:r>
    </w:p>
    <w:p w14:paraId="255E083A" w14:textId="77777777" w:rsidR="00CB6813" w:rsidRDefault="00CB6813" w:rsidP="00CB6813">
      <w:pPr>
        <w:pStyle w:val="Heading4"/>
      </w:pPr>
      <w:bookmarkStart w:id="18" w:name="_Toc225501988"/>
      <w:r>
        <w:t>Current treatment options</w:t>
      </w:r>
      <w:bookmarkEnd w:id="18"/>
    </w:p>
    <w:p w14:paraId="4BBF6AF8" w14:textId="4D13F3F1" w:rsidR="000D1F12" w:rsidRDefault="000D1F12" w:rsidP="000D1F12">
      <w:r>
        <w:t>A variety of disease-modifying therapies (DMTs) have been approved by the US FDA and the EMA to treat MS, including RMS. The primary target for the majority of DMTs developed to date has been T cells. Recent immunopathologic and clinical studies have demonstrated that B cells also play a central role in the pathogenesis of the disease, perhaps upstream of the T cell-mediated pathology</w:t>
      </w:r>
      <w:r w:rsidR="003248BC">
        <w:t>.</w:t>
      </w:r>
      <w:r w:rsidR="00A81CB5">
        <w:rPr>
          <w:rStyle w:val="FootnoteReference"/>
        </w:rPr>
        <w:footnoteReference w:id="5"/>
      </w:r>
      <w:r w:rsidR="00C31BA0" w:rsidRPr="00C31BA0">
        <w:rPr>
          <w:vertAlign w:val="superscript"/>
        </w:rPr>
        <w:t>,</w:t>
      </w:r>
      <w:bookmarkStart w:id="19" w:name="_Ref222395714"/>
      <w:r w:rsidR="00C31BA0">
        <w:rPr>
          <w:rStyle w:val="FootnoteReference"/>
        </w:rPr>
        <w:footnoteReference w:id="6"/>
      </w:r>
      <w:bookmarkEnd w:id="19"/>
    </w:p>
    <w:p w14:paraId="091B8A98" w14:textId="5FB4EB47" w:rsidR="000D1F12" w:rsidRPr="000D1F12" w:rsidRDefault="000D1F12" w:rsidP="000D1F12">
      <w:r>
        <w:lastRenderedPageBreak/>
        <w:t>Available DMTs include injectable, oral, and infusion therapies. Monoclonal antibodies for</w:t>
      </w:r>
      <w:r w:rsidR="00C31BA0">
        <w:t xml:space="preserve"> </w:t>
      </w:r>
      <w:r>
        <w:t>RRMS include natalizumab, ocrelizumab, rituximab (off-label use), ofatumumab, and</w:t>
      </w:r>
      <w:r w:rsidR="00C31BA0">
        <w:t xml:space="preserve"> </w:t>
      </w:r>
      <w:r>
        <w:t>alemtuzumab. The FDA and EMA have approved two B cell-targeted</w:t>
      </w:r>
      <w:r w:rsidR="00C31BA0">
        <w:t xml:space="preserve"> </w:t>
      </w:r>
      <w:r>
        <w:t>therapies to treat MS, namely ocrelizumab (</w:t>
      </w:r>
      <w:r w:rsidR="00A92CAD">
        <w:t>Ocrevus</w:t>
      </w:r>
      <w:r>
        <w:t>) and ofatumumab (</w:t>
      </w:r>
      <w:proofErr w:type="spellStart"/>
      <w:r w:rsidR="00A92CAD">
        <w:t>Aliqopa</w:t>
      </w:r>
      <w:proofErr w:type="spellEnd"/>
      <w:r w:rsidR="009334AC">
        <w:t xml:space="preserve"> and </w:t>
      </w:r>
      <w:proofErr w:type="spellStart"/>
      <w:r>
        <w:t>K</w:t>
      </w:r>
      <w:r w:rsidR="00A92CAD">
        <w:t>esimpta</w:t>
      </w:r>
      <w:proofErr w:type="spellEnd"/>
      <w:r>
        <w:t>). B cell-depleting therapy is</w:t>
      </w:r>
      <w:r w:rsidR="00C31BA0">
        <w:t xml:space="preserve"> </w:t>
      </w:r>
      <w:r>
        <w:t>highly effective against relapsing forms of the disease and ocrelizumab was the first DMT</w:t>
      </w:r>
      <w:r w:rsidR="00C31BA0">
        <w:t xml:space="preserve"> </w:t>
      </w:r>
      <w:r>
        <w:t>approved to treat disability worsening in PPMS (</w:t>
      </w:r>
      <w:r w:rsidR="00A92CAD" w:rsidRPr="00A92CAD">
        <w:t>Ocrevus</w:t>
      </w:r>
      <w:r w:rsidR="005C5A9A">
        <w:t>)</w:t>
      </w:r>
      <w:r>
        <w:t>.</w:t>
      </w:r>
    </w:p>
    <w:p w14:paraId="37C47E09" w14:textId="14D3762D" w:rsidR="00CB6813" w:rsidRDefault="00CB6813" w:rsidP="00CB6813">
      <w:pPr>
        <w:pStyle w:val="Heading4"/>
      </w:pPr>
      <w:bookmarkStart w:id="20" w:name="_Toc225501989"/>
      <w:r>
        <w:t>C</w:t>
      </w:r>
      <w:r w:rsidRPr="00DE1344">
        <w:t>linical rational</w:t>
      </w:r>
      <w:r w:rsidR="0025785B">
        <w:t>e</w:t>
      </w:r>
      <w:bookmarkEnd w:id="20"/>
    </w:p>
    <w:p w14:paraId="177494AC" w14:textId="23F26A86" w:rsidR="00DC2C8E" w:rsidRPr="00DC2C8E" w:rsidRDefault="00DC2C8E" w:rsidP="009A1C0E">
      <w:r w:rsidRPr="00DC2C8E">
        <w:t>MS is an immune mediated disease in which B cells play a central role in disease pathogenesis. In vivo and in vitro studies demonstrate that B cells contribute to tissue damage in MS through several mechanisms, including the presentation of autoantigens and the production of soluble inflammatory mediators. In addition, B cells can influence the effector function of other immune cells involved in autoimmune responses. In MS, B cells are believed to migrate across the blood–brain barrier, where they undergo antigen driven stimulation, affinity maturation, and clonal expansion within the</w:t>
      </w:r>
      <w:r w:rsidR="00343580">
        <w:t xml:space="preserve"> CNS.</w:t>
      </w:r>
      <w:r w:rsidR="00096AE2">
        <w:rPr>
          <w:rStyle w:val="FootnoteReference"/>
          <w:rFonts w:ascii="TimesNewRomanPSMT" w:hAnsi="TimesNewRomanPSMT" w:cs="TimesNewRomanPSMT"/>
          <w:color w:val="000000"/>
          <w:sz w:val="24"/>
          <w:szCs w:val="24"/>
        </w:rPr>
        <w:footnoteReference w:id="7"/>
      </w:r>
      <w:r w:rsidRPr="00DC2C8E">
        <w:t xml:space="preserve"> B cells also serve as precursors to plasma cells, which secrete autoreactive antibodies that may contribute to demyelinating events within the CNS. Accordingly, therapeutic strategies targeting aberrant B cell mediated autoimmune activity represent a significant advance in the treatment of MS.</w:t>
      </w:r>
    </w:p>
    <w:p w14:paraId="6E7859D5" w14:textId="0DCCAB6A" w:rsidR="00DC2C8E" w:rsidRPr="00DC2C8E" w:rsidRDefault="00DC2C8E" w:rsidP="009A1C0E">
      <w:r w:rsidRPr="00DC2C8E">
        <w:t>Anti CD20 monoclonal antibodies (mAbs) have been developed to selectively deplete CD20 expressing B cells. These agents rapidly and profoundly reduce circulating B cell levels, with depletion typically sustained for approximately 6 to 9 months. CD20 negative cells, including stem cells (pro B cells), many plasmablasts, and terminally differentiated antibody producing plasma cells, are not directly targeted. Pre</w:t>
      </w:r>
      <w:r w:rsidR="00DC2CDF">
        <w:t>-</w:t>
      </w:r>
      <w:r w:rsidRPr="00DC2C8E">
        <w:t>clinical studies indicate that B cell depletion within lymphoid tissues and bone marrow is less complete than in the peripheral circulation. The</w:t>
      </w:r>
      <w:r w:rsidR="005C71A7">
        <w:t xml:space="preserve"> </w:t>
      </w:r>
      <w:r w:rsidRPr="00DC2C8E">
        <w:t>extent to which B cells are effectively depleted from the CNS remains incompletely understood</w:t>
      </w:r>
      <w:bookmarkStart w:id="21" w:name="_Ref222395605"/>
      <w:r w:rsidR="009518ED">
        <w:rPr>
          <w:rStyle w:val="FootnoteReference"/>
          <w:rFonts w:ascii="TimesNewRomanPSMT" w:hAnsi="TimesNewRomanPSMT" w:cs="TimesNewRomanPSMT"/>
          <w:color w:val="000000"/>
          <w:sz w:val="24"/>
          <w:szCs w:val="24"/>
        </w:rPr>
        <w:footnoteReference w:id="8"/>
      </w:r>
      <w:bookmarkEnd w:id="21"/>
      <w:r w:rsidRPr="00DC2C8E">
        <w:t>.</w:t>
      </w:r>
    </w:p>
    <w:p w14:paraId="7EB7BDFD" w14:textId="77777777" w:rsidR="005428A4" w:rsidRDefault="00DC2C8E" w:rsidP="009A1C0E">
      <w:pPr>
        <w:rPr>
          <w:vertAlign w:val="superscript"/>
        </w:rPr>
      </w:pPr>
      <w:r w:rsidRPr="00DC2C8E">
        <w:t>Several anti CD20 mAbs are used or have been evaluated in the clinical management of MS, with differences in antibody structure and mechanisms of B cell depletion. Rituximab is a chimeric mouse–human mAb originally approved for the treatment of B cell lymphoma and is not approved for MS in the United States or the European Union. Ocrelizumab, a humanized mAb, differs from rituximab in its antibody backbone and mediates B cell depletion through multiple mechanisms, including apoptosis and antibody dependent cellular phagocytosis. Ofatumumab is a humanized mAb that binds a small loop epitope on CD20 and primarily induces B cell depletion through complement dependent cytotoxicity rather than antibody dependent cell mediated cytotoxicity</w:t>
      </w:r>
      <w:r w:rsidR="00A739C1">
        <w:t>.</w:t>
      </w:r>
      <w:r w:rsidR="006262E7">
        <w:rPr>
          <w:rStyle w:val="FootnoteReference"/>
          <w:rFonts w:ascii="TimesNewRomanPSMT" w:hAnsi="TimesNewRomanPSMT" w:cs="TimesNewRomanPSMT"/>
          <w:color w:val="000000"/>
          <w:sz w:val="24"/>
          <w:szCs w:val="24"/>
        </w:rPr>
        <w:footnoteReference w:id="9"/>
      </w:r>
      <w:r w:rsidR="006262E7" w:rsidRPr="00A739C1">
        <w:rPr>
          <w:vertAlign w:val="superscript"/>
        </w:rPr>
        <w:t>,</w:t>
      </w:r>
      <w:r w:rsidR="00A23B40">
        <w:rPr>
          <w:rStyle w:val="FootnoteReference"/>
          <w:rFonts w:ascii="TimesNewRomanPSMT" w:hAnsi="TimesNewRomanPSMT" w:cs="TimesNewRomanPSMT"/>
          <w:color w:val="000000"/>
          <w:sz w:val="24"/>
          <w:szCs w:val="24"/>
        </w:rPr>
        <w:footnoteReference w:id="10"/>
      </w:r>
    </w:p>
    <w:p w14:paraId="1ED7B080" w14:textId="52862149" w:rsidR="00DC2C8E" w:rsidRPr="00DC2C8E" w:rsidRDefault="00DC2C8E" w:rsidP="00BD0F27">
      <w:r w:rsidRPr="00DC2C8E">
        <w:lastRenderedPageBreak/>
        <w:t>Clinical studies evaluating rituximab, ocrelizumab, and ofatumumab in patients with relapsing forms of MS have demonstrated efficacy, including reductions in gadolinium enhancing lesions and annualized relapse rates compared with placebo or active comparators</w:t>
      </w:r>
      <w:r w:rsidR="003D478B">
        <w:t>.</w:t>
      </w:r>
      <w:r w:rsidRPr="00DC2C8E">
        <w:t xml:space="preserve"> </w:t>
      </w:r>
      <w:r w:rsidR="00AA7F55" w:rsidRPr="00BD0F27">
        <w:rPr>
          <w:rStyle w:val="FootnoteReference"/>
          <w:rFonts w:cs="TimesNewRomanPSMT"/>
          <w:color w:val="000000"/>
          <w:szCs w:val="22"/>
        </w:rPr>
        <w:footnoteReference w:id="11"/>
      </w:r>
      <w:r w:rsidR="00C3608A" w:rsidRPr="00BD0F27">
        <w:rPr>
          <w:szCs w:val="22"/>
          <w:vertAlign w:val="superscript"/>
        </w:rPr>
        <w:t>,</w:t>
      </w:r>
      <w:r w:rsidR="00C3608A" w:rsidRPr="00BD0F27">
        <w:rPr>
          <w:rStyle w:val="FootnoteReference"/>
          <w:rFonts w:cs="TimesNewRomanPSMT"/>
          <w:color w:val="000000"/>
          <w:szCs w:val="22"/>
        </w:rPr>
        <w:footnoteReference w:id="12"/>
      </w:r>
      <w:r w:rsidR="00A6590A" w:rsidRPr="00BD0F27">
        <w:rPr>
          <w:szCs w:val="22"/>
          <w:vertAlign w:val="superscript"/>
        </w:rPr>
        <w:t>,</w:t>
      </w:r>
      <w:r w:rsidR="00A6590A" w:rsidRPr="00BD0F27">
        <w:rPr>
          <w:rStyle w:val="FootnoteReference"/>
          <w:rFonts w:cs="TimesNewRomanPSMT"/>
          <w:color w:val="000000"/>
          <w:szCs w:val="22"/>
        </w:rPr>
        <w:footnoteReference w:id="13"/>
      </w:r>
      <w:r w:rsidR="000713E2" w:rsidRPr="00BD0F27">
        <w:rPr>
          <w:szCs w:val="22"/>
          <w:vertAlign w:val="superscript"/>
        </w:rPr>
        <w:t>,</w:t>
      </w:r>
      <w:r w:rsidR="000713E2" w:rsidRPr="00BD0F27">
        <w:rPr>
          <w:rStyle w:val="FootnoteReference"/>
          <w:rFonts w:cs="TimesNewRomanPSMT"/>
          <w:color w:val="000000"/>
          <w:szCs w:val="22"/>
        </w:rPr>
        <w:footnoteReference w:id="14"/>
      </w:r>
      <w:r w:rsidR="009E1CB0" w:rsidRPr="00BD0F27">
        <w:rPr>
          <w:szCs w:val="22"/>
          <w:vertAlign w:val="superscript"/>
        </w:rPr>
        <w:t>,</w:t>
      </w:r>
      <w:r w:rsidR="007D7A72" w:rsidRPr="00BD0F27">
        <w:rPr>
          <w:szCs w:val="22"/>
          <w:vertAlign w:val="superscript"/>
        </w:rPr>
        <w:fldChar w:fldCharType="begin"/>
      </w:r>
      <w:r w:rsidR="007D7A72" w:rsidRPr="00BD0F27">
        <w:rPr>
          <w:szCs w:val="22"/>
          <w:vertAlign w:val="superscript"/>
        </w:rPr>
        <w:instrText xml:space="preserve"> NOTEREF _Ref222395605 \h </w:instrText>
      </w:r>
      <w:r w:rsidR="003D478B" w:rsidRPr="00BD0F27">
        <w:rPr>
          <w:szCs w:val="22"/>
          <w:vertAlign w:val="superscript"/>
        </w:rPr>
        <w:instrText xml:space="preserve"> \* MERGEFORMAT </w:instrText>
      </w:r>
      <w:r w:rsidR="007D7A72" w:rsidRPr="00BD0F27">
        <w:rPr>
          <w:szCs w:val="22"/>
          <w:vertAlign w:val="superscript"/>
        </w:rPr>
      </w:r>
      <w:r w:rsidR="007D7A72" w:rsidRPr="00BD0F27">
        <w:rPr>
          <w:szCs w:val="22"/>
          <w:vertAlign w:val="superscript"/>
        </w:rPr>
        <w:fldChar w:fldCharType="separate"/>
      </w:r>
      <w:r w:rsidR="007D7A72" w:rsidRPr="00BD0F27">
        <w:rPr>
          <w:szCs w:val="22"/>
          <w:vertAlign w:val="superscript"/>
        </w:rPr>
        <w:t>8</w:t>
      </w:r>
      <w:r w:rsidR="007D7A72" w:rsidRPr="00BD0F27">
        <w:rPr>
          <w:szCs w:val="22"/>
          <w:vertAlign w:val="superscript"/>
        </w:rPr>
        <w:fldChar w:fldCharType="end"/>
      </w:r>
      <w:r w:rsidR="00A3559B" w:rsidRPr="00BD0F27">
        <w:rPr>
          <w:szCs w:val="22"/>
          <w:vertAlign w:val="superscript"/>
        </w:rPr>
        <w:t xml:space="preserve">, </w:t>
      </w:r>
      <w:r w:rsidR="000A38B6" w:rsidRPr="00BD0F27">
        <w:rPr>
          <w:szCs w:val="22"/>
          <w:vertAlign w:val="superscript"/>
        </w:rPr>
        <w:fldChar w:fldCharType="begin"/>
      </w:r>
      <w:r w:rsidR="000A38B6" w:rsidRPr="00BD0F27">
        <w:rPr>
          <w:szCs w:val="22"/>
          <w:vertAlign w:val="superscript"/>
        </w:rPr>
        <w:instrText xml:space="preserve"> NOTEREF _Ref222395714 \h </w:instrText>
      </w:r>
      <w:r w:rsidR="003D478B" w:rsidRPr="00BD0F27">
        <w:rPr>
          <w:szCs w:val="22"/>
          <w:vertAlign w:val="superscript"/>
        </w:rPr>
        <w:instrText xml:space="preserve"> \* MERGEFORMAT </w:instrText>
      </w:r>
      <w:r w:rsidR="000A38B6" w:rsidRPr="00BD0F27">
        <w:rPr>
          <w:szCs w:val="22"/>
          <w:vertAlign w:val="superscript"/>
        </w:rPr>
      </w:r>
      <w:r w:rsidR="000A38B6" w:rsidRPr="00BD0F27">
        <w:rPr>
          <w:szCs w:val="22"/>
          <w:vertAlign w:val="superscript"/>
        </w:rPr>
        <w:fldChar w:fldCharType="separate"/>
      </w:r>
      <w:r w:rsidR="000A38B6" w:rsidRPr="00BD0F27">
        <w:rPr>
          <w:szCs w:val="22"/>
          <w:vertAlign w:val="superscript"/>
        </w:rPr>
        <w:t>6</w:t>
      </w:r>
      <w:r w:rsidR="000A38B6" w:rsidRPr="00BD0F27">
        <w:rPr>
          <w:szCs w:val="22"/>
          <w:vertAlign w:val="superscript"/>
        </w:rPr>
        <w:fldChar w:fldCharType="end"/>
      </w:r>
    </w:p>
    <w:p w14:paraId="17329BD7" w14:textId="5C66B9D0" w:rsidR="00B626AC" w:rsidRDefault="00DC2C8E" w:rsidP="009A1C0E">
      <w:r w:rsidRPr="00DC2C8E">
        <w:t>Ublituximab is a chimeric anti CD20 monoclonal antibody that selectively targets CD20 expressing B cells. Binding of ublituximab to CD20 results in B cell lysis primarily via antibody dependent cell mediated cytotoxicity</w:t>
      </w:r>
      <w:r w:rsidR="00245451">
        <w:t xml:space="preserve"> (AD</w:t>
      </w:r>
      <w:r w:rsidR="00F53462">
        <w:t>CC)</w:t>
      </w:r>
      <w:r w:rsidRPr="00DC2C8E">
        <w:t>, with a lesser contribution from complement dependent cytotoxicity.</w:t>
      </w:r>
      <w:r w:rsidR="00B626AC">
        <w:t xml:space="preserve"> </w:t>
      </w:r>
    </w:p>
    <w:p w14:paraId="6667C6DC" w14:textId="3879E561" w:rsidR="009A1C0E" w:rsidRPr="00B626AC" w:rsidRDefault="009A1C0E" w:rsidP="009A1C0E">
      <w:r w:rsidRPr="009A1C0E">
        <w:t>Ublituximab (also referred to as TG-1101) is a glycoengineered mAb that targets a novel epitope on the CD20 antigen expressed on the surface of pre-B and mature B lymphocytes. Following cell surface binding to B lymphocytes, ublituximab results in antibody-dependent cellular cytolysis, antibody-dependent cellular phagocytosis, and complement-mediated lysis. Ublituximab is glycoengineered to have a low fucose content in the Fc region which results in increased affinity for the Fc gamma receptor IIIa (or CD16</w:t>
      </w:r>
      <w:r>
        <w:t>)</w:t>
      </w:r>
      <w:r w:rsidR="00FB706C">
        <w:t>.</w:t>
      </w:r>
      <w:r w:rsidR="001D3BD2">
        <w:rPr>
          <w:rStyle w:val="FootnoteReference"/>
        </w:rPr>
        <w:footnoteReference w:id="15"/>
      </w:r>
      <w:r w:rsidRPr="009A1C0E">
        <w:t xml:space="preserve"> This increased affinity is associated with potent in vitro</w:t>
      </w:r>
      <w:r w:rsidR="00F53462">
        <w:t xml:space="preserve"> ADCC</w:t>
      </w:r>
      <w:r w:rsidRPr="009A1C0E">
        <w:t xml:space="preserve"> against B cells compared with both rituximab and ofatumumab, particularly of cells that express low levels of CD20</w:t>
      </w:r>
      <w:r w:rsidR="00BD0F27">
        <w:t>.</w:t>
      </w:r>
      <w:r w:rsidR="00DB162B" w:rsidRPr="00FB706C">
        <w:rPr>
          <w:rStyle w:val="FootnoteReference"/>
        </w:rPr>
        <w:footnoteReference w:id="16"/>
      </w:r>
      <w:r w:rsidR="00DB162B" w:rsidRPr="00FB706C">
        <w:rPr>
          <w:vertAlign w:val="superscript"/>
        </w:rPr>
        <w:t>,</w:t>
      </w:r>
      <w:r w:rsidR="006F72DE" w:rsidRPr="00FB706C">
        <w:rPr>
          <w:rStyle w:val="FootnoteReference"/>
        </w:rPr>
        <w:footnoteReference w:id="17"/>
      </w:r>
      <w:r w:rsidR="00FB706C" w:rsidRPr="00FB706C">
        <w:rPr>
          <w:vertAlign w:val="superscript"/>
        </w:rPr>
        <w:t>,</w:t>
      </w:r>
      <w:r w:rsidR="00FB706C" w:rsidRPr="00FB706C">
        <w:rPr>
          <w:rStyle w:val="FootnoteReference"/>
        </w:rPr>
        <w:footnoteReference w:id="18"/>
      </w:r>
      <w:r w:rsidRPr="009A1C0E">
        <w:t xml:space="preserve"> The enhanced ADCC of ublituximab translates to greater potency and lower doses compared to the non-glycoengineered anti-CD20 mAbs rituximab and ocrelizumab.</w:t>
      </w:r>
    </w:p>
    <w:p w14:paraId="0D615854" w14:textId="77777777" w:rsidR="00324B33" w:rsidRPr="003F31A2" w:rsidRDefault="00324B33" w:rsidP="00324B33">
      <w:pPr>
        <w:pStyle w:val="Heading3"/>
      </w:pPr>
      <w:bookmarkStart w:id="22" w:name="_Toc103679291"/>
      <w:bookmarkStart w:id="23" w:name="_Toc225501990"/>
      <w:r>
        <w:t>Regulatory status</w:t>
      </w:r>
      <w:bookmarkEnd w:id="16"/>
      <w:bookmarkEnd w:id="17"/>
      <w:bookmarkEnd w:id="22"/>
      <w:bookmarkEnd w:id="23"/>
    </w:p>
    <w:p w14:paraId="72C889D6" w14:textId="7E200950" w:rsidR="0017005C" w:rsidRPr="00BD5DBD" w:rsidRDefault="0017005C" w:rsidP="00741AB9">
      <w:pPr>
        <w:pStyle w:val="Heading4"/>
      </w:pPr>
      <w:bookmarkStart w:id="24" w:name="_Toc225501991"/>
      <w:r w:rsidRPr="00BD5DBD">
        <w:t>Australian regulatory</w:t>
      </w:r>
      <w:r>
        <w:t xml:space="preserve"> sta</w:t>
      </w:r>
      <w:r w:rsidR="0025785B">
        <w:t>t</w:t>
      </w:r>
      <w:r>
        <w:t>us</w:t>
      </w:r>
      <w:bookmarkEnd w:id="24"/>
    </w:p>
    <w:p w14:paraId="6A8633FA" w14:textId="64A1A1EE" w:rsidR="00324B33" w:rsidRDefault="00324B33" w:rsidP="00324B33">
      <w:pPr>
        <w:rPr>
          <w:szCs w:val="22"/>
        </w:rPr>
      </w:pPr>
      <w:r w:rsidRPr="00BD5DBD">
        <w:rPr>
          <w:szCs w:val="22"/>
        </w:rPr>
        <w:t xml:space="preserve">This product is considered a </w:t>
      </w:r>
      <w:r w:rsidR="008C754C" w:rsidRPr="00BD5DBD">
        <w:rPr>
          <w:szCs w:val="22"/>
        </w:rPr>
        <w:t xml:space="preserve">new </w:t>
      </w:r>
      <w:r w:rsidRPr="00BD5DBD">
        <w:rPr>
          <w:szCs w:val="22"/>
        </w:rPr>
        <w:t>biological entity for Australian regulatory purposes.</w:t>
      </w:r>
    </w:p>
    <w:p w14:paraId="546C1031" w14:textId="4EF98FA1" w:rsidR="0017005C" w:rsidRDefault="00131B1B" w:rsidP="0017005C">
      <w:pPr>
        <w:pStyle w:val="Heading4"/>
      </w:pPr>
      <w:bookmarkStart w:id="25" w:name="_Toc225501992"/>
      <w:r>
        <w:t xml:space="preserve">International </w:t>
      </w:r>
      <w:r w:rsidR="0017005C" w:rsidRPr="00BD5DBD">
        <w:t>regulatory</w:t>
      </w:r>
      <w:r w:rsidR="0017005C">
        <w:t xml:space="preserve"> status</w:t>
      </w:r>
      <w:bookmarkEnd w:id="25"/>
    </w:p>
    <w:p w14:paraId="7FDF4A0B" w14:textId="42EBE9F2" w:rsidR="008F4A62" w:rsidRPr="0017005C" w:rsidRDefault="008F4A62" w:rsidP="008F4A62">
      <w:r w:rsidRPr="00BD5DBD">
        <w:rPr>
          <w:szCs w:val="22"/>
        </w:rPr>
        <w:t xml:space="preserve">At the time the TGA considered this submission, a similar submission had been </w:t>
      </w:r>
      <w:r>
        <w:rPr>
          <w:szCs w:val="22"/>
        </w:rPr>
        <w:t xml:space="preserve">considered by other regulatory agencies. </w:t>
      </w:r>
      <w:r w:rsidR="00466820">
        <w:rPr>
          <w:szCs w:val="22"/>
        </w:rPr>
        <w:t xml:space="preserve">Table 1 </w:t>
      </w:r>
      <w:r w:rsidRPr="00BD5DBD">
        <w:rPr>
          <w:szCs w:val="22"/>
        </w:rPr>
        <w:t>summarises these submissions and provides the indications where approved.</w:t>
      </w:r>
      <w:r>
        <w:rPr>
          <w:szCs w:val="22"/>
        </w:rPr>
        <w:t xml:space="preserve"> </w:t>
      </w:r>
    </w:p>
    <w:p w14:paraId="34957A6C" w14:textId="77777777" w:rsidR="006D1B32" w:rsidRDefault="006D1B32">
      <w:pPr>
        <w:rPr>
          <w:rFonts w:eastAsia="Cambria" w:cs="Times New Roman"/>
          <w:b/>
          <w:szCs w:val="22"/>
        </w:rPr>
      </w:pPr>
      <w:bookmarkStart w:id="26" w:name="_Ref99705479"/>
      <w:r>
        <w:br w:type="page"/>
      </w:r>
    </w:p>
    <w:p w14:paraId="19B9E0AC" w14:textId="0F8D2372" w:rsidR="00324B33" w:rsidRDefault="00324B33" w:rsidP="00324B33">
      <w:pPr>
        <w:pStyle w:val="TableTitle"/>
      </w:pPr>
      <w:r>
        <w:lastRenderedPageBreak/>
        <w:t xml:space="preserve">Table </w:t>
      </w:r>
      <w:r w:rsidR="007F1E37">
        <w:fldChar w:fldCharType="begin"/>
      </w:r>
      <w:r w:rsidR="007F1E37">
        <w:instrText xml:space="preserve"> SEQ Table \* ARABIC </w:instrText>
      </w:r>
      <w:r w:rsidR="007F1E37">
        <w:fldChar w:fldCharType="separate"/>
      </w:r>
      <w:r w:rsidR="008B1CB5">
        <w:rPr>
          <w:noProof/>
        </w:rPr>
        <w:t>1</w:t>
      </w:r>
      <w:r w:rsidR="007F1E37">
        <w:rPr>
          <w:noProof/>
        </w:rPr>
        <w:fldChar w:fldCharType="end"/>
      </w:r>
      <w:bookmarkEnd w:id="26"/>
      <w:r>
        <w:t>: International regulatory status</w:t>
      </w:r>
      <w:r w:rsidR="00BF502D">
        <w:t xml:space="preserve"> a</w:t>
      </w:r>
      <w:r w:rsidR="00BF502D" w:rsidRPr="00BF502D">
        <w:t>t the time the TGA considered this submission</w:t>
      </w:r>
    </w:p>
    <w:tbl>
      <w:tblPr>
        <w:tblW w:w="0" w:type="auto"/>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ayout w:type="fixed"/>
        <w:tblCellMar>
          <w:left w:w="0" w:type="dxa"/>
          <w:right w:w="0" w:type="dxa"/>
        </w:tblCellMar>
        <w:tblLook w:val="01E0" w:firstRow="1" w:lastRow="1" w:firstColumn="1" w:lastColumn="1" w:noHBand="0" w:noVBand="0"/>
        <w:tblDescription w:val="Table 1: International regulatory status at the time the TGA considered this submission"/>
      </w:tblPr>
      <w:tblGrid>
        <w:gridCol w:w="1835"/>
        <w:gridCol w:w="1846"/>
        <w:gridCol w:w="2086"/>
        <w:gridCol w:w="3257"/>
      </w:tblGrid>
      <w:tr w:rsidR="00E50B3A" w:rsidRPr="005B7DC8" w14:paraId="1422F53F" w14:textId="77777777" w:rsidTr="00A8156D">
        <w:tc>
          <w:tcPr>
            <w:tcW w:w="1835" w:type="dxa"/>
            <w:shd w:val="clear" w:color="auto" w:fill="DEEAF6"/>
            <w:vAlign w:val="center"/>
          </w:tcPr>
          <w:p w14:paraId="7B09A637" w14:textId="77777777" w:rsidR="00E50B3A" w:rsidRPr="005B7DC8" w:rsidRDefault="00E50B3A" w:rsidP="00F53462">
            <w:pPr>
              <w:pStyle w:val="TableParagraph"/>
              <w:ind w:left="142"/>
              <w:contextualSpacing/>
              <w:rPr>
                <w:rFonts w:ascii="Cambria" w:hAnsi="Cambria"/>
                <w:b/>
                <w:color w:val="263287"/>
              </w:rPr>
            </w:pPr>
            <w:r w:rsidRPr="005B7DC8">
              <w:rPr>
                <w:rFonts w:ascii="Cambria" w:hAnsi="Cambria"/>
                <w:b/>
                <w:color w:val="263287"/>
                <w:spacing w:val="-2"/>
              </w:rPr>
              <w:t>Country</w:t>
            </w:r>
          </w:p>
        </w:tc>
        <w:tc>
          <w:tcPr>
            <w:tcW w:w="1846" w:type="dxa"/>
            <w:shd w:val="clear" w:color="auto" w:fill="DEEAF6"/>
            <w:vAlign w:val="center"/>
          </w:tcPr>
          <w:p w14:paraId="2C0145C1" w14:textId="77777777" w:rsidR="00E50B3A" w:rsidRPr="005B7DC8" w:rsidRDefault="00E50B3A" w:rsidP="00F53462">
            <w:pPr>
              <w:pStyle w:val="TableParagraph"/>
              <w:ind w:left="147"/>
              <w:contextualSpacing/>
              <w:rPr>
                <w:rFonts w:ascii="Cambria" w:hAnsi="Cambria"/>
                <w:b/>
                <w:color w:val="263287"/>
              </w:rPr>
            </w:pPr>
            <w:r w:rsidRPr="005B7DC8">
              <w:rPr>
                <w:rFonts w:ascii="Cambria" w:hAnsi="Cambria"/>
                <w:b/>
                <w:color w:val="263287"/>
              </w:rPr>
              <w:t>Date</w:t>
            </w:r>
            <w:r w:rsidRPr="005B7DC8">
              <w:rPr>
                <w:rFonts w:ascii="Cambria" w:hAnsi="Cambria"/>
                <w:b/>
                <w:color w:val="263287"/>
                <w:spacing w:val="-1"/>
              </w:rPr>
              <w:t xml:space="preserve"> </w:t>
            </w:r>
            <w:r w:rsidRPr="005B7DC8">
              <w:rPr>
                <w:rFonts w:ascii="Cambria" w:hAnsi="Cambria"/>
                <w:b/>
                <w:color w:val="263287"/>
              </w:rPr>
              <w:t>of</w:t>
            </w:r>
            <w:r w:rsidRPr="005B7DC8">
              <w:rPr>
                <w:rFonts w:ascii="Cambria" w:hAnsi="Cambria"/>
                <w:b/>
                <w:color w:val="263287"/>
                <w:spacing w:val="-2"/>
              </w:rPr>
              <w:t xml:space="preserve"> submission</w:t>
            </w:r>
          </w:p>
        </w:tc>
        <w:tc>
          <w:tcPr>
            <w:tcW w:w="2086" w:type="dxa"/>
            <w:shd w:val="clear" w:color="auto" w:fill="DEEAF6"/>
            <w:vAlign w:val="center"/>
          </w:tcPr>
          <w:p w14:paraId="47DDD395" w14:textId="77777777" w:rsidR="00E50B3A" w:rsidRPr="005B7DC8" w:rsidRDefault="00E50B3A" w:rsidP="00F53462">
            <w:pPr>
              <w:pStyle w:val="TableParagraph"/>
              <w:ind w:left="142"/>
              <w:contextualSpacing/>
              <w:rPr>
                <w:rFonts w:ascii="Cambria" w:hAnsi="Cambria"/>
                <w:b/>
                <w:color w:val="263287"/>
              </w:rPr>
            </w:pPr>
            <w:r w:rsidRPr="005B7DC8">
              <w:rPr>
                <w:rFonts w:ascii="Cambria" w:hAnsi="Cambria"/>
                <w:b/>
                <w:color w:val="263287"/>
              </w:rPr>
              <w:t>Date</w:t>
            </w:r>
            <w:r w:rsidRPr="005B7DC8">
              <w:rPr>
                <w:rFonts w:ascii="Cambria" w:hAnsi="Cambria"/>
                <w:b/>
                <w:color w:val="263287"/>
                <w:spacing w:val="-12"/>
              </w:rPr>
              <w:t xml:space="preserve"> </w:t>
            </w:r>
            <w:r w:rsidRPr="005B7DC8">
              <w:rPr>
                <w:rFonts w:ascii="Cambria" w:hAnsi="Cambria"/>
                <w:b/>
                <w:color w:val="263287"/>
              </w:rPr>
              <w:t>of</w:t>
            </w:r>
            <w:r w:rsidRPr="005B7DC8">
              <w:rPr>
                <w:rFonts w:ascii="Cambria" w:hAnsi="Cambria"/>
                <w:b/>
                <w:color w:val="263287"/>
                <w:spacing w:val="-13"/>
              </w:rPr>
              <w:t xml:space="preserve"> </w:t>
            </w:r>
            <w:r w:rsidRPr="005B7DC8">
              <w:rPr>
                <w:rFonts w:ascii="Cambria" w:hAnsi="Cambria"/>
                <w:b/>
                <w:color w:val="263287"/>
              </w:rPr>
              <w:t>Approval</w:t>
            </w:r>
            <w:r w:rsidRPr="005B7DC8">
              <w:rPr>
                <w:rFonts w:ascii="Cambria" w:hAnsi="Cambria"/>
                <w:b/>
                <w:color w:val="263287"/>
                <w:spacing w:val="-11"/>
              </w:rPr>
              <w:t xml:space="preserve"> </w:t>
            </w:r>
            <w:r w:rsidRPr="005B7DC8">
              <w:rPr>
                <w:rFonts w:ascii="Cambria" w:hAnsi="Cambria"/>
                <w:b/>
                <w:color w:val="263287"/>
              </w:rPr>
              <w:t xml:space="preserve">or </w:t>
            </w:r>
            <w:proofErr w:type="gramStart"/>
            <w:r w:rsidRPr="005B7DC8">
              <w:rPr>
                <w:rFonts w:ascii="Cambria" w:hAnsi="Cambria"/>
                <w:b/>
                <w:color w:val="263287"/>
              </w:rPr>
              <w:t>current status</w:t>
            </w:r>
            <w:proofErr w:type="gramEnd"/>
          </w:p>
        </w:tc>
        <w:tc>
          <w:tcPr>
            <w:tcW w:w="3257" w:type="dxa"/>
            <w:shd w:val="clear" w:color="auto" w:fill="DEEAF6"/>
            <w:vAlign w:val="center"/>
          </w:tcPr>
          <w:p w14:paraId="4C5FD95F" w14:textId="77777777" w:rsidR="00E50B3A" w:rsidRPr="005B7DC8" w:rsidRDefault="00E50B3A" w:rsidP="00F53462">
            <w:pPr>
              <w:pStyle w:val="TableParagraph"/>
              <w:ind w:left="183"/>
              <w:contextualSpacing/>
              <w:rPr>
                <w:rFonts w:ascii="Cambria" w:hAnsi="Cambria"/>
                <w:b/>
                <w:color w:val="263287"/>
              </w:rPr>
            </w:pPr>
            <w:r w:rsidRPr="005B7DC8">
              <w:rPr>
                <w:rFonts w:ascii="Cambria" w:hAnsi="Cambria"/>
                <w:b/>
                <w:color w:val="263287"/>
                <w:spacing w:val="-2"/>
              </w:rPr>
              <w:t>Indication</w:t>
            </w:r>
          </w:p>
        </w:tc>
      </w:tr>
      <w:tr w:rsidR="00E50B3A" w:rsidRPr="005B7DC8" w14:paraId="2A83A167" w14:textId="77777777" w:rsidTr="00A8156D">
        <w:tc>
          <w:tcPr>
            <w:tcW w:w="1835" w:type="dxa"/>
            <w:vAlign w:val="center"/>
          </w:tcPr>
          <w:p w14:paraId="69417F1F" w14:textId="77777777" w:rsidR="00E50B3A" w:rsidRPr="005B7DC8" w:rsidRDefault="00E50B3A" w:rsidP="00A8156D">
            <w:pPr>
              <w:pStyle w:val="TableParagraph"/>
              <w:spacing w:before="240"/>
              <w:ind w:left="142" w:right="1"/>
              <w:contextualSpacing/>
              <w:jc w:val="both"/>
              <w:rPr>
                <w:rFonts w:ascii="Cambria" w:hAnsi="Cambria"/>
              </w:rPr>
            </w:pPr>
            <w:r w:rsidRPr="005B7DC8">
              <w:rPr>
                <w:rFonts w:ascii="Cambria" w:hAnsi="Cambria"/>
              </w:rPr>
              <w:t>United</w:t>
            </w:r>
            <w:r w:rsidRPr="005B7DC8">
              <w:rPr>
                <w:rFonts w:ascii="Cambria" w:hAnsi="Cambria"/>
                <w:spacing w:val="-5"/>
              </w:rPr>
              <w:t xml:space="preserve"> </w:t>
            </w:r>
            <w:r w:rsidRPr="005B7DC8">
              <w:rPr>
                <w:rFonts w:ascii="Cambria" w:hAnsi="Cambria"/>
                <w:spacing w:val="-2"/>
              </w:rPr>
              <w:t>States</w:t>
            </w:r>
          </w:p>
        </w:tc>
        <w:tc>
          <w:tcPr>
            <w:tcW w:w="1846" w:type="dxa"/>
            <w:vAlign w:val="center"/>
          </w:tcPr>
          <w:p w14:paraId="76EA386C" w14:textId="2EF2A0AB" w:rsidR="00E50B3A" w:rsidRPr="005B7DC8" w:rsidRDefault="00E50B3A" w:rsidP="00A8156D">
            <w:pPr>
              <w:pStyle w:val="TableParagraph"/>
              <w:spacing w:before="240"/>
              <w:ind w:left="147"/>
              <w:contextualSpacing/>
              <w:rPr>
                <w:rFonts w:ascii="Cambria" w:hAnsi="Cambria"/>
              </w:rPr>
            </w:pPr>
            <w:r w:rsidRPr="005B7DC8">
              <w:rPr>
                <w:rFonts w:ascii="Cambria" w:hAnsi="Cambria"/>
              </w:rPr>
              <w:t>28</w:t>
            </w:r>
            <w:r w:rsidR="005C71A7" w:rsidRPr="005B7DC8">
              <w:rPr>
                <w:rFonts w:ascii="Cambria" w:hAnsi="Cambria"/>
                <w:spacing w:val="-3"/>
              </w:rPr>
              <w:t xml:space="preserve"> </w:t>
            </w:r>
            <w:r w:rsidRPr="005B7DC8">
              <w:rPr>
                <w:rFonts w:ascii="Cambria" w:hAnsi="Cambria"/>
              </w:rPr>
              <w:t>September</w:t>
            </w:r>
            <w:r w:rsidRPr="005B7DC8">
              <w:rPr>
                <w:rFonts w:ascii="Cambria" w:hAnsi="Cambria"/>
                <w:spacing w:val="-4"/>
              </w:rPr>
              <w:t xml:space="preserve"> 2021</w:t>
            </w:r>
          </w:p>
        </w:tc>
        <w:tc>
          <w:tcPr>
            <w:tcW w:w="2086" w:type="dxa"/>
            <w:vAlign w:val="center"/>
          </w:tcPr>
          <w:p w14:paraId="669C1E60" w14:textId="0B765BE5" w:rsidR="00E50B3A" w:rsidRPr="005B7DC8" w:rsidRDefault="00E50B3A" w:rsidP="00A8156D">
            <w:pPr>
              <w:pStyle w:val="TableParagraph"/>
              <w:spacing w:before="240"/>
              <w:ind w:left="142" w:right="129"/>
              <w:contextualSpacing/>
              <w:jc w:val="both"/>
              <w:rPr>
                <w:rFonts w:ascii="Cambria" w:hAnsi="Cambria"/>
              </w:rPr>
            </w:pPr>
            <w:r w:rsidRPr="005B7DC8">
              <w:rPr>
                <w:rFonts w:ascii="Cambria" w:hAnsi="Cambria"/>
              </w:rPr>
              <w:t>28</w:t>
            </w:r>
            <w:r w:rsidRPr="005B7DC8">
              <w:rPr>
                <w:rFonts w:ascii="Cambria" w:hAnsi="Cambria"/>
                <w:spacing w:val="-5"/>
              </w:rPr>
              <w:t xml:space="preserve"> </w:t>
            </w:r>
            <w:r w:rsidRPr="005B7DC8">
              <w:rPr>
                <w:rFonts w:ascii="Cambria" w:hAnsi="Cambria"/>
              </w:rPr>
              <w:t>December</w:t>
            </w:r>
            <w:r w:rsidRPr="005B7DC8">
              <w:rPr>
                <w:rFonts w:ascii="Cambria" w:hAnsi="Cambria"/>
                <w:spacing w:val="-1"/>
              </w:rPr>
              <w:t xml:space="preserve"> </w:t>
            </w:r>
            <w:r w:rsidRPr="005B7DC8">
              <w:rPr>
                <w:rFonts w:ascii="Cambria" w:hAnsi="Cambria"/>
                <w:spacing w:val="-4"/>
              </w:rPr>
              <w:t>2022</w:t>
            </w:r>
          </w:p>
        </w:tc>
        <w:tc>
          <w:tcPr>
            <w:tcW w:w="3257" w:type="dxa"/>
            <w:vAlign w:val="center"/>
          </w:tcPr>
          <w:p w14:paraId="341BD33D" w14:textId="27D871FA" w:rsidR="00E50B3A" w:rsidRPr="005B7DC8" w:rsidRDefault="00022B92" w:rsidP="00F53462">
            <w:pPr>
              <w:pStyle w:val="TableParagraph"/>
              <w:ind w:left="183" w:right="88" w:hanging="3"/>
              <w:contextualSpacing/>
              <w:rPr>
                <w:rFonts w:ascii="Cambria" w:hAnsi="Cambria"/>
              </w:rPr>
            </w:pPr>
            <w:r w:rsidRPr="005B7DC8">
              <w:rPr>
                <w:rFonts w:ascii="Cambria" w:hAnsi="Cambria"/>
              </w:rPr>
              <w:t>Briumvi</w:t>
            </w:r>
            <w:r w:rsidR="00E50B3A" w:rsidRPr="005B7DC8">
              <w:rPr>
                <w:rFonts w:ascii="Cambria" w:hAnsi="Cambria"/>
              </w:rPr>
              <w:t xml:space="preserve"> is indicated for the treatment of relapsing forms of multiple</w:t>
            </w:r>
            <w:r w:rsidR="00E50B3A" w:rsidRPr="005B7DC8">
              <w:rPr>
                <w:rFonts w:ascii="Cambria" w:hAnsi="Cambria"/>
                <w:spacing w:val="-9"/>
              </w:rPr>
              <w:t xml:space="preserve"> </w:t>
            </w:r>
            <w:r w:rsidR="00E50B3A" w:rsidRPr="005B7DC8">
              <w:rPr>
                <w:rFonts w:ascii="Cambria" w:hAnsi="Cambria"/>
              </w:rPr>
              <w:t>sclerosis</w:t>
            </w:r>
            <w:r w:rsidR="00E50B3A" w:rsidRPr="005B7DC8">
              <w:rPr>
                <w:rFonts w:ascii="Cambria" w:hAnsi="Cambria"/>
                <w:spacing w:val="-8"/>
              </w:rPr>
              <w:t xml:space="preserve"> </w:t>
            </w:r>
            <w:r w:rsidR="00E50B3A" w:rsidRPr="005B7DC8">
              <w:rPr>
                <w:rFonts w:ascii="Cambria" w:hAnsi="Cambria"/>
              </w:rPr>
              <w:t>(MS),</w:t>
            </w:r>
            <w:r w:rsidR="00E50B3A" w:rsidRPr="005B7DC8">
              <w:rPr>
                <w:rFonts w:ascii="Cambria" w:hAnsi="Cambria"/>
                <w:spacing w:val="-9"/>
              </w:rPr>
              <w:t xml:space="preserve"> </w:t>
            </w:r>
            <w:r w:rsidR="00E50B3A" w:rsidRPr="005B7DC8">
              <w:rPr>
                <w:rFonts w:ascii="Cambria" w:hAnsi="Cambria"/>
              </w:rPr>
              <w:t>to</w:t>
            </w:r>
            <w:r w:rsidR="00E50B3A" w:rsidRPr="005B7DC8">
              <w:rPr>
                <w:rFonts w:ascii="Cambria" w:hAnsi="Cambria"/>
                <w:spacing w:val="-9"/>
              </w:rPr>
              <w:t xml:space="preserve"> </w:t>
            </w:r>
            <w:r w:rsidR="00E50B3A" w:rsidRPr="005B7DC8">
              <w:rPr>
                <w:rFonts w:ascii="Cambria" w:hAnsi="Cambria"/>
              </w:rPr>
              <w:t>include clinically isolated syndrome, relapsing-remitting disease, and active</w:t>
            </w:r>
            <w:r w:rsidR="00E50B3A" w:rsidRPr="005B7DC8">
              <w:rPr>
                <w:rFonts w:ascii="Cambria" w:hAnsi="Cambria"/>
                <w:spacing w:val="-5"/>
              </w:rPr>
              <w:t xml:space="preserve"> </w:t>
            </w:r>
            <w:r w:rsidR="00E50B3A" w:rsidRPr="005B7DC8">
              <w:rPr>
                <w:rFonts w:ascii="Cambria" w:hAnsi="Cambria"/>
              </w:rPr>
              <w:t>secondary</w:t>
            </w:r>
            <w:r w:rsidR="00E50B3A" w:rsidRPr="005B7DC8">
              <w:rPr>
                <w:rFonts w:ascii="Cambria" w:hAnsi="Cambria"/>
                <w:spacing w:val="-3"/>
              </w:rPr>
              <w:t xml:space="preserve"> </w:t>
            </w:r>
            <w:r w:rsidR="00E50B3A" w:rsidRPr="005B7DC8">
              <w:rPr>
                <w:rFonts w:ascii="Cambria" w:hAnsi="Cambria"/>
                <w:spacing w:val="-2"/>
              </w:rPr>
              <w:t>progressive</w:t>
            </w:r>
          </w:p>
        </w:tc>
      </w:tr>
      <w:tr w:rsidR="00E50B3A" w:rsidRPr="005B7DC8" w14:paraId="6D64E647" w14:textId="77777777" w:rsidTr="00A8156D">
        <w:tc>
          <w:tcPr>
            <w:tcW w:w="1835" w:type="dxa"/>
            <w:vAlign w:val="center"/>
          </w:tcPr>
          <w:p w14:paraId="64586ADE" w14:textId="6C8B81C5" w:rsidR="00E50B3A" w:rsidRPr="005B7DC8" w:rsidRDefault="00E50B3A" w:rsidP="00A8156D">
            <w:pPr>
              <w:pStyle w:val="TableParagraph"/>
              <w:spacing w:before="240"/>
              <w:ind w:left="142" w:right="137"/>
              <w:contextualSpacing/>
              <w:rPr>
                <w:rFonts w:ascii="Cambria" w:hAnsi="Cambria"/>
              </w:rPr>
            </w:pPr>
            <w:r w:rsidRPr="005B7DC8">
              <w:rPr>
                <w:rFonts w:ascii="Cambria" w:hAnsi="Cambria"/>
              </w:rPr>
              <w:t>European Economic Area (</w:t>
            </w:r>
            <w:proofErr w:type="spellStart"/>
            <w:r w:rsidRPr="005B7DC8">
              <w:rPr>
                <w:rFonts w:ascii="Cambria" w:hAnsi="Cambria"/>
              </w:rPr>
              <w:t>centralised</w:t>
            </w:r>
            <w:proofErr w:type="spellEnd"/>
            <w:r w:rsidRPr="005B7DC8">
              <w:rPr>
                <w:rFonts w:ascii="Cambria" w:hAnsi="Cambria"/>
              </w:rPr>
              <w:t>)</w:t>
            </w:r>
          </w:p>
        </w:tc>
        <w:tc>
          <w:tcPr>
            <w:tcW w:w="1846" w:type="dxa"/>
            <w:vAlign w:val="center"/>
          </w:tcPr>
          <w:p w14:paraId="63B74A2C" w14:textId="001244E6" w:rsidR="00E50B3A" w:rsidRPr="005B7DC8" w:rsidRDefault="00E50B3A" w:rsidP="00A8156D">
            <w:pPr>
              <w:pStyle w:val="TableParagraph"/>
              <w:spacing w:before="240"/>
              <w:ind w:left="147"/>
              <w:contextualSpacing/>
              <w:rPr>
                <w:rFonts w:ascii="Cambria" w:hAnsi="Cambria"/>
              </w:rPr>
            </w:pPr>
            <w:r w:rsidRPr="005B7DC8">
              <w:rPr>
                <w:rFonts w:ascii="Cambria" w:hAnsi="Cambria"/>
              </w:rPr>
              <w:t>23</w:t>
            </w:r>
            <w:r w:rsidRPr="005B7DC8">
              <w:rPr>
                <w:rFonts w:ascii="Cambria" w:hAnsi="Cambria"/>
                <w:spacing w:val="-2"/>
              </w:rPr>
              <w:t xml:space="preserve"> </w:t>
            </w:r>
            <w:r w:rsidRPr="005B7DC8">
              <w:rPr>
                <w:rFonts w:ascii="Cambria" w:hAnsi="Cambria"/>
              </w:rPr>
              <w:t>November</w:t>
            </w:r>
            <w:r w:rsidRPr="005B7DC8">
              <w:rPr>
                <w:rFonts w:ascii="Cambria" w:hAnsi="Cambria"/>
                <w:spacing w:val="-2"/>
              </w:rPr>
              <w:t xml:space="preserve"> </w:t>
            </w:r>
            <w:r w:rsidRPr="005B7DC8">
              <w:rPr>
                <w:rFonts w:ascii="Cambria" w:hAnsi="Cambria"/>
                <w:spacing w:val="-4"/>
              </w:rPr>
              <w:t>2021</w:t>
            </w:r>
          </w:p>
        </w:tc>
        <w:tc>
          <w:tcPr>
            <w:tcW w:w="2086" w:type="dxa"/>
            <w:vAlign w:val="center"/>
          </w:tcPr>
          <w:p w14:paraId="09D294B2" w14:textId="3F2FC955" w:rsidR="00E50B3A" w:rsidRPr="005B7DC8" w:rsidRDefault="00E50B3A" w:rsidP="00A8156D">
            <w:pPr>
              <w:pStyle w:val="TableParagraph"/>
              <w:spacing w:before="240"/>
              <w:ind w:left="142" w:right="128"/>
              <w:contextualSpacing/>
              <w:rPr>
                <w:rFonts w:ascii="Cambria" w:hAnsi="Cambria"/>
              </w:rPr>
            </w:pPr>
            <w:r w:rsidRPr="005B7DC8">
              <w:rPr>
                <w:rFonts w:ascii="Cambria" w:hAnsi="Cambria"/>
              </w:rPr>
              <w:t>31 May</w:t>
            </w:r>
            <w:r w:rsidRPr="005B7DC8">
              <w:rPr>
                <w:rFonts w:ascii="Cambria" w:hAnsi="Cambria"/>
                <w:spacing w:val="-2"/>
              </w:rPr>
              <w:t xml:space="preserve"> </w:t>
            </w:r>
            <w:r w:rsidRPr="005B7DC8">
              <w:rPr>
                <w:rFonts w:ascii="Cambria" w:hAnsi="Cambria"/>
                <w:spacing w:val="-4"/>
              </w:rPr>
              <w:t>2023</w:t>
            </w:r>
          </w:p>
        </w:tc>
        <w:tc>
          <w:tcPr>
            <w:tcW w:w="3257" w:type="dxa"/>
            <w:vAlign w:val="center"/>
          </w:tcPr>
          <w:p w14:paraId="6E9F3944" w14:textId="5221CDD3" w:rsidR="00E50B3A" w:rsidRPr="005B7DC8" w:rsidRDefault="00022B92" w:rsidP="00F53462">
            <w:pPr>
              <w:pStyle w:val="TableParagraph"/>
              <w:ind w:left="183" w:right="6" w:hanging="1"/>
              <w:contextualSpacing/>
              <w:rPr>
                <w:rFonts w:ascii="Cambria" w:hAnsi="Cambria"/>
              </w:rPr>
            </w:pPr>
            <w:r w:rsidRPr="005B7DC8">
              <w:rPr>
                <w:rFonts w:ascii="Cambria" w:hAnsi="Cambria"/>
              </w:rPr>
              <w:t>Briumvi</w:t>
            </w:r>
            <w:r w:rsidR="00E50B3A" w:rsidRPr="005B7DC8">
              <w:rPr>
                <w:rFonts w:ascii="Cambria" w:hAnsi="Cambria"/>
              </w:rPr>
              <w:t xml:space="preserve"> is indicated for the treatment of adult patients with relapsing</w:t>
            </w:r>
            <w:r w:rsidR="00E50B3A" w:rsidRPr="005B7DC8">
              <w:rPr>
                <w:rFonts w:ascii="Cambria" w:hAnsi="Cambria"/>
                <w:spacing w:val="-9"/>
              </w:rPr>
              <w:t xml:space="preserve"> </w:t>
            </w:r>
            <w:r w:rsidR="00E50B3A" w:rsidRPr="005B7DC8">
              <w:rPr>
                <w:rFonts w:ascii="Cambria" w:hAnsi="Cambria"/>
              </w:rPr>
              <w:t>forms</w:t>
            </w:r>
            <w:r w:rsidR="00E50B3A" w:rsidRPr="005B7DC8">
              <w:rPr>
                <w:rFonts w:ascii="Cambria" w:hAnsi="Cambria"/>
                <w:spacing w:val="-7"/>
              </w:rPr>
              <w:t xml:space="preserve"> </w:t>
            </w:r>
            <w:r w:rsidR="00E50B3A" w:rsidRPr="005B7DC8">
              <w:rPr>
                <w:rFonts w:ascii="Cambria" w:hAnsi="Cambria"/>
              </w:rPr>
              <w:t>of</w:t>
            </w:r>
            <w:r w:rsidR="00E50B3A" w:rsidRPr="005B7DC8">
              <w:rPr>
                <w:rFonts w:ascii="Cambria" w:hAnsi="Cambria"/>
                <w:spacing w:val="-9"/>
              </w:rPr>
              <w:t xml:space="preserve"> </w:t>
            </w:r>
            <w:r w:rsidR="00E50B3A" w:rsidRPr="005B7DC8">
              <w:rPr>
                <w:rFonts w:ascii="Cambria" w:hAnsi="Cambria"/>
              </w:rPr>
              <w:t>multiple</w:t>
            </w:r>
            <w:r w:rsidR="00E50B3A" w:rsidRPr="005B7DC8">
              <w:rPr>
                <w:rFonts w:ascii="Cambria" w:hAnsi="Cambria"/>
                <w:spacing w:val="-12"/>
              </w:rPr>
              <w:t xml:space="preserve"> </w:t>
            </w:r>
            <w:r w:rsidR="00E50B3A" w:rsidRPr="005B7DC8">
              <w:rPr>
                <w:rFonts w:ascii="Cambria" w:hAnsi="Cambria"/>
              </w:rPr>
              <w:t>sclerosis (RMS) with active disease defined by clinical or imaging features</w:t>
            </w:r>
          </w:p>
        </w:tc>
      </w:tr>
      <w:tr w:rsidR="00E50B3A" w:rsidRPr="005B7DC8" w14:paraId="5360C2CA" w14:textId="77777777" w:rsidTr="00A8156D">
        <w:tc>
          <w:tcPr>
            <w:tcW w:w="1835" w:type="dxa"/>
            <w:vAlign w:val="center"/>
          </w:tcPr>
          <w:p w14:paraId="3B7B6A04" w14:textId="77777777" w:rsidR="00E50B3A" w:rsidRPr="005B7DC8" w:rsidRDefault="00E50B3A" w:rsidP="00A8156D">
            <w:pPr>
              <w:pStyle w:val="TableParagraph"/>
              <w:spacing w:before="240"/>
              <w:ind w:left="142" w:right="1"/>
              <w:contextualSpacing/>
              <w:rPr>
                <w:rFonts w:ascii="Cambria" w:hAnsi="Cambria"/>
              </w:rPr>
            </w:pPr>
            <w:r w:rsidRPr="005B7DC8">
              <w:rPr>
                <w:rFonts w:ascii="Cambria" w:hAnsi="Cambria"/>
              </w:rPr>
              <w:t>United</w:t>
            </w:r>
            <w:r w:rsidRPr="005B7DC8">
              <w:rPr>
                <w:rFonts w:ascii="Cambria" w:hAnsi="Cambria"/>
                <w:spacing w:val="-3"/>
              </w:rPr>
              <w:t xml:space="preserve"> </w:t>
            </w:r>
            <w:r w:rsidRPr="005B7DC8">
              <w:rPr>
                <w:rFonts w:ascii="Cambria" w:hAnsi="Cambria"/>
                <w:spacing w:val="-2"/>
              </w:rPr>
              <w:t>Kingdom</w:t>
            </w:r>
          </w:p>
        </w:tc>
        <w:tc>
          <w:tcPr>
            <w:tcW w:w="1846" w:type="dxa"/>
            <w:vAlign w:val="center"/>
          </w:tcPr>
          <w:p w14:paraId="719767D2" w14:textId="1E92E8AB" w:rsidR="00E50B3A" w:rsidRPr="005B7DC8" w:rsidRDefault="00E50B3A" w:rsidP="00A8156D">
            <w:pPr>
              <w:pStyle w:val="TableParagraph"/>
              <w:spacing w:before="240"/>
              <w:ind w:left="147"/>
              <w:contextualSpacing/>
              <w:rPr>
                <w:rFonts w:ascii="Cambria" w:hAnsi="Cambria"/>
              </w:rPr>
            </w:pPr>
            <w:r w:rsidRPr="005B7DC8">
              <w:rPr>
                <w:rFonts w:ascii="Cambria" w:hAnsi="Cambria"/>
              </w:rPr>
              <w:t>26 May</w:t>
            </w:r>
            <w:r w:rsidRPr="005B7DC8">
              <w:rPr>
                <w:rFonts w:ascii="Cambria" w:hAnsi="Cambria"/>
                <w:spacing w:val="-2"/>
              </w:rPr>
              <w:t xml:space="preserve"> </w:t>
            </w:r>
            <w:r w:rsidRPr="005B7DC8">
              <w:rPr>
                <w:rFonts w:ascii="Cambria" w:hAnsi="Cambria"/>
                <w:spacing w:val="-4"/>
              </w:rPr>
              <w:t>2023</w:t>
            </w:r>
          </w:p>
        </w:tc>
        <w:tc>
          <w:tcPr>
            <w:tcW w:w="2086" w:type="dxa"/>
            <w:vAlign w:val="center"/>
          </w:tcPr>
          <w:p w14:paraId="07038813" w14:textId="388BDC89" w:rsidR="00E50B3A" w:rsidRPr="005B7DC8" w:rsidRDefault="00E50B3A" w:rsidP="00F53462">
            <w:pPr>
              <w:pStyle w:val="TableParagraph"/>
              <w:ind w:left="142" w:right="126"/>
              <w:contextualSpacing/>
              <w:rPr>
                <w:rFonts w:ascii="Cambria" w:hAnsi="Cambria"/>
              </w:rPr>
            </w:pPr>
            <w:r w:rsidRPr="005B7DC8">
              <w:rPr>
                <w:rFonts w:ascii="Cambria" w:hAnsi="Cambria"/>
              </w:rPr>
              <w:t>23</w:t>
            </w:r>
            <w:r w:rsidRPr="005B7DC8">
              <w:rPr>
                <w:rFonts w:ascii="Cambria" w:hAnsi="Cambria"/>
                <w:spacing w:val="-5"/>
              </w:rPr>
              <w:t xml:space="preserve"> </w:t>
            </w:r>
            <w:r w:rsidRPr="005B7DC8">
              <w:rPr>
                <w:rFonts w:ascii="Cambria" w:hAnsi="Cambria"/>
              </w:rPr>
              <w:t>October</w:t>
            </w:r>
            <w:r w:rsidRPr="005B7DC8">
              <w:rPr>
                <w:rFonts w:ascii="Cambria" w:hAnsi="Cambria"/>
                <w:spacing w:val="-1"/>
              </w:rPr>
              <w:t xml:space="preserve"> </w:t>
            </w:r>
            <w:r w:rsidRPr="005B7DC8">
              <w:rPr>
                <w:rFonts w:ascii="Cambria" w:hAnsi="Cambria"/>
                <w:spacing w:val="-4"/>
              </w:rPr>
              <w:t>2023</w:t>
            </w:r>
          </w:p>
        </w:tc>
        <w:tc>
          <w:tcPr>
            <w:tcW w:w="3257" w:type="dxa"/>
            <w:vAlign w:val="center"/>
          </w:tcPr>
          <w:p w14:paraId="2D87F222" w14:textId="77ACA3EF" w:rsidR="00E50B3A" w:rsidRPr="005B7DC8" w:rsidRDefault="00022B92" w:rsidP="00F53462">
            <w:pPr>
              <w:pStyle w:val="TableParagraph"/>
              <w:ind w:left="183" w:right="6" w:hanging="1"/>
              <w:contextualSpacing/>
              <w:rPr>
                <w:rFonts w:ascii="Cambria" w:hAnsi="Cambria"/>
              </w:rPr>
            </w:pPr>
            <w:r w:rsidRPr="005B7DC8">
              <w:rPr>
                <w:rFonts w:ascii="Cambria" w:hAnsi="Cambria"/>
              </w:rPr>
              <w:t>Briumvi</w:t>
            </w:r>
            <w:r w:rsidR="00E50B3A" w:rsidRPr="005B7DC8">
              <w:rPr>
                <w:rFonts w:ascii="Cambria" w:hAnsi="Cambria"/>
              </w:rPr>
              <w:t xml:space="preserve"> is indicated for the treatment of adult patients with relapsing</w:t>
            </w:r>
            <w:r w:rsidR="00E50B3A" w:rsidRPr="005B7DC8">
              <w:rPr>
                <w:rFonts w:ascii="Cambria" w:hAnsi="Cambria"/>
                <w:spacing w:val="-9"/>
              </w:rPr>
              <w:t xml:space="preserve"> </w:t>
            </w:r>
            <w:r w:rsidR="00E50B3A" w:rsidRPr="005B7DC8">
              <w:rPr>
                <w:rFonts w:ascii="Cambria" w:hAnsi="Cambria"/>
              </w:rPr>
              <w:t>forms</w:t>
            </w:r>
            <w:r w:rsidR="00E50B3A" w:rsidRPr="005B7DC8">
              <w:rPr>
                <w:rFonts w:ascii="Cambria" w:hAnsi="Cambria"/>
                <w:spacing w:val="-7"/>
              </w:rPr>
              <w:t xml:space="preserve"> </w:t>
            </w:r>
            <w:r w:rsidR="00E50B3A" w:rsidRPr="005B7DC8">
              <w:rPr>
                <w:rFonts w:ascii="Cambria" w:hAnsi="Cambria"/>
              </w:rPr>
              <w:t>of</w:t>
            </w:r>
            <w:r w:rsidR="00E50B3A" w:rsidRPr="005B7DC8">
              <w:rPr>
                <w:rFonts w:ascii="Cambria" w:hAnsi="Cambria"/>
                <w:spacing w:val="-9"/>
              </w:rPr>
              <w:t xml:space="preserve"> </w:t>
            </w:r>
            <w:r w:rsidR="00E50B3A" w:rsidRPr="005B7DC8">
              <w:rPr>
                <w:rFonts w:ascii="Cambria" w:hAnsi="Cambria"/>
              </w:rPr>
              <w:t>multiple</w:t>
            </w:r>
            <w:r w:rsidR="00E50B3A" w:rsidRPr="005B7DC8">
              <w:rPr>
                <w:rFonts w:ascii="Cambria" w:hAnsi="Cambria"/>
                <w:spacing w:val="-12"/>
              </w:rPr>
              <w:t xml:space="preserve"> </w:t>
            </w:r>
            <w:r w:rsidR="00E50B3A" w:rsidRPr="005B7DC8">
              <w:rPr>
                <w:rFonts w:ascii="Cambria" w:hAnsi="Cambria"/>
              </w:rPr>
              <w:t>sclerosis (RMS) with active disease defined by clinical or imaging features</w:t>
            </w:r>
          </w:p>
        </w:tc>
      </w:tr>
      <w:tr w:rsidR="00E50B3A" w:rsidRPr="005B7DC8" w14:paraId="59061B28" w14:textId="77777777" w:rsidTr="00A8156D">
        <w:tc>
          <w:tcPr>
            <w:tcW w:w="1835" w:type="dxa"/>
            <w:vAlign w:val="center"/>
          </w:tcPr>
          <w:p w14:paraId="0D6C9BD3" w14:textId="77777777" w:rsidR="00E50B3A" w:rsidRPr="005B7DC8" w:rsidRDefault="00E50B3A" w:rsidP="00A8156D">
            <w:pPr>
              <w:pStyle w:val="TableParagraph"/>
              <w:spacing w:before="240"/>
              <w:ind w:left="142" w:right="3"/>
              <w:contextualSpacing/>
              <w:rPr>
                <w:rFonts w:ascii="Cambria" w:hAnsi="Cambria"/>
              </w:rPr>
            </w:pPr>
            <w:r w:rsidRPr="005B7DC8">
              <w:rPr>
                <w:rFonts w:ascii="Cambria" w:hAnsi="Cambria"/>
                <w:spacing w:val="-2"/>
              </w:rPr>
              <w:t>Switzerland</w:t>
            </w:r>
          </w:p>
        </w:tc>
        <w:tc>
          <w:tcPr>
            <w:tcW w:w="1846" w:type="dxa"/>
            <w:vAlign w:val="center"/>
          </w:tcPr>
          <w:p w14:paraId="782AE4AB" w14:textId="77777777" w:rsidR="00E50B3A" w:rsidRPr="005B7DC8" w:rsidRDefault="00E50B3A" w:rsidP="00A8156D">
            <w:pPr>
              <w:pStyle w:val="TableParagraph"/>
              <w:spacing w:before="240"/>
              <w:ind w:left="147" w:right="2"/>
              <w:contextualSpacing/>
              <w:rPr>
                <w:rFonts w:ascii="Cambria" w:hAnsi="Cambria"/>
              </w:rPr>
            </w:pPr>
            <w:r w:rsidRPr="005B7DC8">
              <w:rPr>
                <w:rFonts w:ascii="Cambria" w:hAnsi="Cambria"/>
              </w:rPr>
              <w:t>17</w:t>
            </w:r>
            <w:r w:rsidRPr="005B7DC8">
              <w:rPr>
                <w:rFonts w:ascii="Cambria" w:hAnsi="Cambria"/>
                <w:spacing w:val="-3"/>
              </w:rPr>
              <w:t xml:space="preserve"> </w:t>
            </w:r>
            <w:r w:rsidRPr="005B7DC8">
              <w:rPr>
                <w:rFonts w:ascii="Cambria" w:hAnsi="Cambria"/>
              </w:rPr>
              <w:t xml:space="preserve">October </w:t>
            </w:r>
            <w:r w:rsidRPr="005B7DC8">
              <w:rPr>
                <w:rFonts w:ascii="Cambria" w:hAnsi="Cambria"/>
                <w:spacing w:val="-4"/>
              </w:rPr>
              <w:t>2023</w:t>
            </w:r>
          </w:p>
        </w:tc>
        <w:tc>
          <w:tcPr>
            <w:tcW w:w="2086" w:type="dxa"/>
            <w:vAlign w:val="center"/>
          </w:tcPr>
          <w:p w14:paraId="6EF50B4E" w14:textId="77777777" w:rsidR="00E50B3A" w:rsidRPr="005B7DC8" w:rsidRDefault="00E50B3A" w:rsidP="00F53462">
            <w:pPr>
              <w:pStyle w:val="TableParagraph"/>
              <w:ind w:left="142" w:right="117"/>
              <w:contextualSpacing/>
              <w:rPr>
                <w:rFonts w:ascii="Cambria" w:hAnsi="Cambria"/>
              </w:rPr>
            </w:pPr>
            <w:r w:rsidRPr="005B7DC8">
              <w:rPr>
                <w:rFonts w:ascii="Cambria" w:hAnsi="Cambria"/>
              </w:rPr>
              <w:t>In</w:t>
            </w:r>
            <w:r w:rsidRPr="005B7DC8">
              <w:rPr>
                <w:rFonts w:ascii="Cambria" w:hAnsi="Cambria"/>
                <w:spacing w:val="-2"/>
              </w:rPr>
              <w:t xml:space="preserve"> process</w:t>
            </w:r>
          </w:p>
        </w:tc>
        <w:tc>
          <w:tcPr>
            <w:tcW w:w="3257" w:type="dxa"/>
            <w:vAlign w:val="center"/>
          </w:tcPr>
          <w:p w14:paraId="49BFAABE" w14:textId="4211CD88" w:rsidR="00E50B3A" w:rsidRPr="005B7DC8" w:rsidRDefault="00022B92" w:rsidP="00F53462">
            <w:pPr>
              <w:pStyle w:val="TableParagraph"/>
              <w:ind w:left="183" w:right="6" w:hanging="1"/>
              <w:contextualSpacing/>
              <w:rPr>
                <w:rFonts w:ascii="Cambria" w:hAnsi="Cambria"/>
              </w:rPr>
            </w:pPr>
            <w:r w:rsidRPr="005B7DC8">
              <w:rPr>
                <w:rFonts w:ascii="Cambria" w:hAnsi="Cambria"/>
              </w:rPr>
              <w:t>Briumvi</w:t>
            </w:r>
            <w:r w:rsidR="00E50B3A" w:rsidRPr="005B7DC8">
              <w:rPr>
                <w:rFonts w:ascii="Cambria" w:hAnsi="Cambria"/>
              </w:rPr>
              <w:t xml:space="preserve"> is indicated for the treatment of adult patients with relapsing</w:t>
            </w:r>
            <w:r w:rsidR="00E50B3A" w:rsidRPr="005B7DC8">
              <w:rPr>
                <w:rFonts w:ascii="Cambria" w:hAnsi="Cambria"/>
                <w:spacing w:val="-9"/>
              </w:rPr>
              <w:t xml:space="preserve"> </w:t>
            </w:r>
            <w:r w:rsidR="00E50B3A" w:rsidRPr="005B7DC8">
              <w:rPr>
                <w:rFonts w:ascii="Cambria" w:hAnsi="Cambria"/>
              </w:rPr>
              <w:t>forms</w:t>
            </w:r>
            <w:r w:rsidR="00E50B3A" w:rsidRPr="005B7DC8">
              <w:rPr>
                <w:rFonts w:ascii="Cambria" w:hAnsi="Cambria"/>
                <w:spacing w:val="-7"/>
              </w:rPr>
              <w:t xml:space="preserve"> </w:t>
            </w:r>
            <w:r w:rsidR="00E50B3A" w:rsidRPr="005B7DC8">
              <w:rPr>
                <w:rFonts w:ascii="Cambria" w:hAnsi="Cambria"/>
              </w:rPr>
              <w:t>of</w:t>
            </w:r>
            <w:r w:rsidR="00E50B3A" w:rsidRPr="005B7DC8">
              <w:rPr>
                <w:rFonts w:ascii="Cambria" w:hAnsi="Cambria"/>
                <w:spacing w:val="-9"/>
              </w:rPr>
              <w:t xml:space="preserve"> </w:t>
            </w:r>
            <w:r w:rsidR="00E50B3A" w:rsidRPr="005B7DC8">
              <w:rPr>
                <w:rFonts w:ascii="Cambria" w:hAnsi="Cambria"/>
              </w:rPr>
              <w:t>multiple</w:t>
            </w:r>
            <w:r w:rsidR="00E50B3A" w:rsidRPr="005B7DC8">
              <w:rPr>
                <w:rFonts w:ascii="Cambria" w:hAnsi="Cambria"/>
                <w:spacing w:val="-12"/>
              </w:rPr>
              <w:t xml:space="preserve"> </w:t>
            </w:r>
            <w:r w:rsidR="00E50B3A" w:rsidRPr="005B7DC8">
              <w:rPr>
                <w:rFonts w:ascii="Cambria" w:hAnsi="Cambria"/>
              </w:rPr>
              <w:t>sclerosis (RMS) with active disease defined by clinical or imaging features</w:t>
            </w:r>
          </w:p>
        </w:tc>
      </w:tr>
    </w:tbl>
    <w:p w14:paraId="6D92589C" w14:textId="09786CEF" w:rsidR="00324B33" w:rsidRDefault="00324B33" w:rsidP="00324B33">
      <w:pPr>
        <w:pStyle w:val="Heading2"/>
      </w:pPr>
      <w:bookmarkStart w:id="27" w:name="_Toc504480011"/>
      <w:bookmarkStart w:id="28" w:name="_Toc103679293"/>
      <w:bookmarkStart w:id="29" w:name="_Toc225501993"/>
      <w:r>
        <w:t>Registration timeline</w:t>
      </w:r>
      <w:bookmarkEnd w:id="27"/>
      <w:bookmarkEnd w:id="28"/>
      <w:bookmarkEnd w:id="29"/>
    </w:p>
    <w:p w14:paraId="6AA27A52" w14:textId="494A2490" w:rsidR="009C5618" w:rsidRDefault="00ED488D" w:rsidP="009C5618">
      <w:pPr>
        <w:rPr>
          <w:szCs w:val="22"/>
        </w:rPr>
      </w:pPr>
      <w:r>
        <w:rPr>
          <w:szCs w:val="22"/>
        </w:rPr>
        <w:t>Table 2</w:t>
      </w:r>
      <w:r w:rsidR="00324B33" w:rsidRPr="00BD5DBD">
        <w:rPr>
          <w:szCs w:val="22"/>
        </w:rPr>
        <w:t xml:space="preserve"> captures the key steps and dates for this submission.</w:t>
      </w:r>
      <w:r w:rsidR="009C5618">
        <w:rPr>
          <w:szCs w:val="22"/>
        </w:rPr>
        <w:t xml:space="preserve"> </w:t>
      </w:r>
      <w:r w:rsidR="009C5618" w:rsidRPr="00AD089E">
        <w:rPr>
          <w:szCs w:val="22"/>
        </w:rPr>
        <w:t xml:space="preserve">This submission was submitted through the TGA’s </w:t>
      </w:r>
      <w:hyperlink r:id="rId21" w:history="1">
        <w:r w:rsidR="009C5618" w:rsidRPr="00AD089E">
          <w:rPr>
            <w:rStyle w:val="Hyperlink"/>
            <w:szCs w:val="22"/>
          </w:rPr>
          <w:t>Comparable Overseas Regulator</w:t>
        </w:r>
      </w:hyperlink>
      <w:r w:rsidR="009C5618" w:rsidRPr="00AD089E">
        <w:rPr>
          <w:szCs w:val="22"/>
        </w:rPr>
        <w:t xml:space="preserve"> B (COR-B) process.</w:t>
      </w:r>
      <w:r w:rsidR="009C5618" w:rsidRPr="00AD089E">
        <w:rPr>
          <w:iCs/>
          <w:szCs w:val="22"/>
        </w:rPr>
        <w:t xml:space="preserve"> </w:t>
      </w:r>
      <w:r w:rsidR="009C5618" w:rsidRPr="00AD089E">
        <w:rPr>
          <w:szCs w:val="22"/>
        </w:rPr>
        <w:t>The full dossier was submitted to the TGA.</w:t>
      </w:r>
    </w:p>
    <w:p w14:paraId="44628C5F" w14:textId="5D4EBA45" w:rsidR="00324B33" w:rsidRDefault="00324B33" w:rsidP="002C1232">
      <w:pPr>
        <w:pStyle w:val="TableTitle"/>
      </w:pPr>
      <w:r w:rsidRPr="002C1232">
        <w:t xml:space="preserve">Table </w:t>
      </w:r>
      <w:r w:rsidR="007F1E37">
        <w:fldChar w:fldCharType="begin"/>
      </w:r>
      <w:r w:rsidR="007F1E37">
        <w:instrText xml:space="preserve"> SEQ Table \* ARABIC </w:instrText>
      </w:r>
      <w:r w:rsidR="007F1E37">
        <w:fldChar w:fldCharType="separate"/>
      </w:r>
      <w:r w:rsidR="008B1CB5" w:rsidRPr="002C1232">
        <w:t>2</w:t>
      </w:r>
      <w:r w:rsidR="007F1E37">
        <w:fldChar w:fldCharType="end"/>
      </w:r>
      <w:r w:rsidRPr="002C1232">
        <w:t xml:space="preserve">: Timeline for </w:t>
      </w:r>
      <w:r w:rsidR="00022B92">
        <w:t>Briumvi</w:t>
      </w:r>
      <w:r w:rsidR="002A1EE5" w:rsidRPr="002A1EE5">
        <w:t xml:space="preserve"> </w:t>
      </w:r>
      <w:r w:rsidR="002A1EE5">
        <w:t>(</w:t>
      </w:r>
      <w:r w:rsidR="002A1EE5" w:rsidRPr="002A1EE5">
        <w:t>ublituximab</w:t>
      </w:r>
      <w:r w:rsidR="002A1EE5">
        <w:t>)</w:t>
      </w:r>
      <w:r w:rsidR="00A43941">
        <w:t>,</w:t>
      </w:r>
      <w:r w:rsidR="002A1EE5" w:rsidRPr="002A1EE5">
        <w:t xml:space="preserve"> </w:t>
      </w:r>
      <w:r w:rsidR="002A1EE5">
        <w:t>s</w:t>
      </w:r>
      <w:r w:rsidRPr="002C1232">
        <w:t>ubmission</w:t>
      </w:r>
      <w:r w:rsidR="00A43941">
        <w:t xml:space="preserve"> </w:t>
      </w:r>
      <w:r w:rsidR="00A43941" w:rsidRPr="00A43941">
        <w:t>PM-2024-02503-1-1</w:t>
      </w:r>
    </w:p>
    <w:tbl>
      <w:tblPr>
        <w:tblStyle w:val="TableTGAblue2023"/>
        <w:tblW w:w="8642" w:type="dxa"/>
        <w:tblLook w:val="04A0" w:firstRow="1" w:lastRow="0" w:firstColumn="1" w:lastColumn="0" w:noHBand="0" w:noVBand="1"/>
        <w:tblDescription w:val="Table 2: Timeline for Briumvi (ublituximab), submission PM-2024-02503-1-1"/>
      </w:tblPr>
      <w:tblGrid>
        <w:gridCol w:w="6374"/>
        <w:gridCol w:w="2268"/>
      </w:tblGrid>
      <w:tr w:rsidR="00324B33" w:rsidRPr="00D01DDB" w14:paraId="6C59BE9C" w14:textId="77777777" w:rsidTr="00A815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16D80E78" w14:textId="3EC0CCAF" w:rsidR="00324B33" w:rsidRPr="00D01DDB" w:rsidRDefault="00324B33" w:rsidP="00324B33">
            <w:pPr>
              <w:rPr>
                <w:szCs w:val="22"/>
              </w:rPr>
            </w:pPr>
            <w:r w:rsidRPr="00D01DDB">
              <w:rPr>
                <w:szCs w:val="22"/>
              </w:rPr>
              <w:t>Description</w:t>
            </w:r>
          </w:p>
        </w:tc>
        <w:tc>
          <w:tcPr>
            <w:tcW w:w="2268"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A8156D">
        <w:tc>
          <w:tcPr>
            <w:cnfStyle w:val="001000000000" w:firstRow="0" w:lastRow="0" w:firstColumn="1" w:lastColumn="0" w:oddVBand="0" w:evenVBand="0" w:oddHBand="0" w:evenHBand="0" w:firstRowFirstColumn="0" w:firstRowLastColumn="0" w:lastRowFirstColumn="0" w:lastRowLastColumn="0"/>
            <w:tcW w:w="6374" w:type="dxa"/>
          </w:tcPr>
          <w:p w14:paraId="759D2A12" w14:textId="0D705F83" w:rsidR="00324B33" w:rsidRPr="00E679D1" w:rsidRDefault="00324B33" w:rsidP="00E679D1">
            <w:r w:rsidRPr="00E679D1">
              <w:t>Submission dossier accepted and first round evaluation commenced</w:t>
            </w:r>
          </w:p>
        </w:tc>
        <w:tc>
          <w:tcPr>
            <w:tcW w:w="2268" w:type="dxa"/>
          </w:tcPr>
          <w:p w14:paraId="2963D9D8" w14:textId="35F2E47C" w:rsidR="00324B33" w:rsidRPr="00D01DDB" w:rsidRDefault="006C574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31 July 2024</w:t>
            </w:r>
          </w:p>
        </w:tc>
      </w:tr>
      <w:tr w:rsidR="00803926" w:rsidRPr="00D01DDB" w14:paraId="16D13F79" w14:textId="77777777" w:rsidTr="00A8156D">
        <w:tc>
          <w:tcPr>
            <w:cnfStyle w:val="001000000000" w:firstRow="0" w:lastRow="0" w:firstColumn="1" w:lastColumn="0" w:oddVBand="0" w:evenVBand="0" w:oddHBand="0" w:evenHBand="0" w:firstRowFirstColumn="0" w:firstRowLastColumn="0" w:lastRowFirstColumn="0" w:lastRowLastColumn="0"/>
            <w:tcW w:w="6374" w:type="dxa"/>
          </w:tcPr>
          <w:p w14:paraId="6858B45A" w14:textId="6A0DCF1A" w:rsidR="00803926" w:rsidRPr="00E679D1" w:rsidDel="00C62B1C" w:rsidRDefault="00803926" w:rsidP="00E679D1">
            <w:r>
              <w:t>Evaluation completed</w:t>
            </w:r>
          </w:p>
        </w:tc>
        <w:tc>
          <w:tcPr>
            <w:tcW w:w="2268" w:type="dxa"/>
          </w:tcPr>
          <w:p w14:paraId="2E0BD403" w14:textId="58D30C07" w:rsidR="00803926" w:rsidRPr="00D01DDB" w:rsidRDefault="00C865F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13 February 2025</w:t>
            </w:r>
          </w:p>
        </w:tc>
      </w:tr>
      <w:tr w:rsidR="00324B33" w:rsidRPr="00D01DDB" w14:paraId="6E5D32FE" w14:textId="77777777" w:rsidTr="00A8156D">
        <w:tc>
          <w:tcPr>
            <w:cnfStyle w:val="001000000000" w:firstRow="0" w:lastRow="0" w:firstColumn="1" w:lastColumn="0" w:oddVBand="0" w:evenVBand="0" w:oddHBand="0" w:evenHBand="0" w:firstRowFirstColumn="0" w:firstRowLastColumn="0" w:lastRowFirstColumn="0" w:lastRowLastColumn="0"/>
            <w:tcW w:w="6374" w:type="dxa"/>
          </w:tcPr>
          <w:p w14:paraId="4E95C44C" w14:textId="7A91C710" w:rsidR="00324B33" w:rsidRPr="00E679D1" w:rsidRDefault="00324B33" w:rsidP="00E679D1">
            <w:r w:rsidRPr="00E679D1">
              <w:t>Registration decision (Outcome)</w:t>
            </w:r>
          </w:p>
        </w:tc>
        <w:tc>
          <w:tcPr>
            <w:tcW w:w="2268" w:type="dxa"/>
          </w:tcPr>
          <w:p w14:paraId="62987ABD" w14:textId="2B514C05" w:rsidR="00324B33" w:rsidRPr="00D01DDB" w:rsidRDefault="00EF031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4 June 2025</w:t>
            </w:r>
          </w:p>
        </w:tc>
      </w:tr>
      <w:tr w:rsidR="00324B33" w:rsidRPr="00D01DDB" w14:paraId="6DDCDDA4" w14:textId="77777777" w:rsidTr="00A8156D">
        <w:tc>
          <w:tcPr>
            <w:cnfStyle w:val="001000000000" w:firstRow="0" w:lastRow="0" w:firstColumn="1" w:lastColumn="0" w:oddVBand="0" w:evenVBand="0" w:oddHBand="0" w:evenHBand="0" w:firstRowFirstColumn="0" w:firstRowLastColumn="0" w:lastRowFirstColumn="0" w:lastRowLastColumn="0"/>
            <w:tcW w:w="6374" w:type="dxa"/>
          </w:tcPr>
          <w:p w14:paraId="192FD19D" w14:textId="1126F489" w:rsidR="00324B33" w:rsidRPr="00E679D1" w:rsidRDefault="0013132F" w:rsidP="007311B9">
            <w:pPr>
              <w:ind w:left="0"/>
            </w:pPr>
            <w:r w:rsidRPr="00E679D1">
              <w:t xml:space="preserve"> </w:t>
            </w:r>
            <w:r w:rsidR="00AD54B3">
              <w:t xml:space="preserve"> </w:t>
            </w:r>
            <w:r w:rsidR="00C00844">
              <w:t>R</w:t>
            </w:r>
            <w:r w:rsidRPr="00E679D1">
              <w:t xml:space="preserve">egistration </w:t>
            </w:r>
            <w:r w:rsidR="005C4B46" w:rsidRPr="00E679D1">
              <w:t xml:space="preserve">in </w:t>
            </w:r>
            <w:r w:rsidRPr="00E679D1">
              <w:t>the ARTG completed</w:t>
            </w:r>
          </w:p>
        </w:tc>
        <w:tc>
          <w:tcPr>
            <w:tcW w:w="2268" w:type="dxa"/>
          </w:tcPr>
          <w:p w14:paraId="5A8923FD" w14:textId="2AE32B0E" w:rsidR="00324B33" w:rsidRPr="00D01DDB" w:rsidRDefault="00EF031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11 June 2025</w:t>
            </w:r>
          </w:p>
        </w:tc>
      </w:tr>
      <w:tr w:rsidR="00324B33" w:rsidRPr="00D01DDB" w14:paraId="56D922E2" w14:textId="77777777" w:rsidTr="00A8156D">
        <w:tc>
          <w:tcPr>
            <w:cnfStyle w:val="001000000000" w:firstRow="0" w:lastRow="0" w:firstColumn="1" w:lastColumn="0" w:oddVBand="0" w:evenVBand="0" w:oddHBand="0" w:evenHBand="0" w:firstRowFirstColumn="0" w:firstRowLastColumn="0" w:lastRowFirstColumn="0" w:lastRowLastColumn="0"/>
            <w:tcW w:w="6374" w:type="dxa"/>
          </w:tcPr>
          <w:p w14:paraId="787FD8DD" w14:textId="0E0CF97F" w:rsidR="00324B33" w:rsidRPr="00E679D1" w:rsidRDefault="00324B33" w:rsidP="00E679D1">
            <w:r w:rsidRPr="00E679D1">
              <w:t>Number of working days from submission dossier acceptance to registration decision*</w:t>
            </w:r>
          </w:p>
        </w:tc>
        <w:tc>
          <w:tcPr>
            <w:tcW w:w="2268" w:type="dxa"/>
          </w:tcPr>
          <w:p w14:paraId="5BAF9FA1" w14:textId="472E4D37" w:rsidR="00324B33" w:rsidRPr="00D01DDB" w:rsidRDefault="002F10C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101</w:t>
            </w:r>
          </w:p>
        </w:tc>
      </w:tr>
    </w:tbl>
    <w:p w14:paraId="47E88CFC" w14:textId="52215AAF" w:rsidR="00433318" w:rsidRDefault="00433318" w:rsidP="00854D98">
      <w:pPr>
        <w:pStyle w:val="TableDescription"/>
      </w:pPr>
      <w:r w:rsidRPr="00006FAB">
        <w:t>* The COR-B process has a 175 working day evaluation and decision timeframe.</w:t>
      </w:r>
    </w:p>
    <w:p w14:paraId="220925F1" w14:textId="75C7430A" w:rsidR="00C22214" w:rsidRPr="00792A32" w:rsidRDefault="00083763" w:rsidP="00C22214">
      <w:pPr>
        <w:pStyle w:val="Heading2"/>
      </w:pPr>
      <w:bookmarkStart w:id="30" w:name="_Toc225501994"/>
      <w:bookmarkStart w:id="31" w:name="_Toc196046504"/>
      <w:bookmarkStart w:id="32" w:name="_Toc247691527"/>
      <w:bookmarkStart w:id="33" w:name="_Toc314842510"/>
      <w:bookmarkStart w:id="34" w:name="_Toc103679294"/>
      <w:r>
        <w:lastRenderedPageBreak/>
        <w:t xml:space="preserve">Assessment </w:t>
      </w:r>
      <w:r w:rsidR="00C22214" w:rsidRPr="00006FAB">
        <w:t>overview</w:t>
      </w:r>
      <w:bookmarkEnd w:id="30"/>
      <w:r w:rsidR="00C22214" w:rsidRPr="00006FAB">
        <w:t xml:space="preserve"> </w:t>
      </w:r>
      <w:bookmarkEnd w:id="31"/>
      <w:bookmarkEnd w:id="32"/>
      <w:bookmarkEnd w:id="33"/>
      <w:bookmarkEnd w:id="34"/>
    </w:p>
    <w:p w14:paraId="37F5A1C0" w14:textId="5D3D5FE0" w:rsidR="00C22214" w:rsidRDefault="00095C6A" w:rsidP="00C22214">
      <w:pPr>
        <w:pStyle w:val="Heading3"/>
      </w:pPr>
      <w:bookmarkStart w:id="35" w:name="_Toc247691528"/>
      <w:bookmarkStart w:id="36" w:name="_Toc314842511"/>
      <w:bookmarkStart w:id="37" w:name="_Toc103679295"/>
      <w:bookmarkStart w:id="38" w:name="_Toc225501995"/>
      <w:r>
        <w:t>Q</w:t>
      </w:r>
      <w:r w:rsidR="00C22214">
        <w:t>uality</w:t>
      </w:r>
      <w:bookmarkEnd w:id="35"/>
      <w:bookmarkEnd w:id="36"/>
      <w:bookmarkEnd w:id="37"/>
      <w:r w:rsidR="007E6443">
        <w:t xml:space="preserve"> evaluation</w:t>
      </w:r>
      <w:r>
        <w:t xml:space="preserve"> summary</w:t>
      </w:r>
      <w:bookmarkEnd w:id="38"/>
    </w:p>
    <w:p w14:paraId="419899EA" w14:textId="77777777" w:rsidR="00F53D46" w:rsidRPr="00F53D46" w:rsidRDefault="00F53D46" w:rsidP="00F53D46">
      <w:r w:rsidRPr="00F53D46">
        <w:t>Ublituximab is a recombinant IgG1 chimeric monoclonal antibody directed against the CD20 antigen expressed on pre</w:t>
      </w:r>
      <w:r w:rsidRPr="00F53D46">
        <w:noBreakHyphen/>
        <w:t>B and mature B lymphocytes. The antibody is glycoengineered and produced in the YB2/0 rat myeloma cell line, resulting in reduced core fucosylation and enhanced antibody</w:t>
      </w:r>
      <w:r w:rsidRPr="00F53D46">
        <w:noBreakHyphen/>
        <w:t>dependent cellular cytotoxicity. Complement</w:t>
      </w:r>
      <w:r w:rsidRPr="00F53D46">
        <w:noBreakHyphen/>
        <w:t>dependent cytotoxicity activity is also demonstrated, contributing to effective B</w:t>
      </w:r>
      <w:r w:rsidRPr="00F53D46">
        <w:noBreakHyphen/>
        <w:t>cell depletion. The molecular structure comprises two identical heavy chains and two identical light chains linked by disulfide bonds. The predominant glycosylated species has an approximate molecular mass of 146.8 kDa, which is consistent with expectations for an IgG1 monoclonal antibody.</w:t>
      </w:r>
    </w:p>
    <w:p w14:paraId="16557BA7" w14:textId="77777777" w:rsidR="00F53D46" w:rsidRPr="00F53D46" w:rsidRDefault="00F53D46" w:rsidP="00F53D46">
      <w:r w:rsidRPr="00F53D46">
        <w:t>The finished product is presented as a concentrated solution for intravenous infusion at a strength of 25 mg/mL. Each single</w:t>
      </w:r>
      <w:r w:rsidRPr="00F53D46">
        <w:noBreakHyphen/>
        <w:t>use Type I glass vial contains 150 mg of ublituximab in a 6 mL fill volume. The formulation includes sodium chloride, sodium citrate, polysorbate 80, hydrochloric acid for pH adjustment, and water for injections. All excipients are compendial and comply with USP, Ph. Eur., or NF requirements. No novel excipients are included in the formulation, and no excipient</w:t>
      </w:r>
      <w:r w:rsidRPr="00F53D46">
        <w:noBreakHyphen/>
        <w:t>related quality concerns were identified.</w:t>
      </w:r>
    </w:p>
    <w:p w14:paraId="687580BE" w14:textId="77777777" w:rsidR="00F53D46" w:rsidRPr="00F53D46" w:rsidRDefault="00F53D46" w:rsidP="00F53D46">
      <w:r w:rsidRPr="00F53D46">
        <w:t>Manufacture of both the drug substance and the finished product is performed by Samsung Biologics Co., Ltd. in the Republic of Korea. Drug substance manufacture comprises fed</w:t>
      </w:r>
      <w:r w:rsidRPr="00F53D46">
        <w:noBreakHyphen/>
        <w:t>batch cell culture followed by harvest and clarification, and purification using a three</w:t>
      </w:r>
      <w:r w:rsidRPr="00F53D46">
        <w:noBreakHyphen/>
        <w:t xml:space="preserve">step chromatography process consisting of Protein </w:t>
      </w:r>
      <w:proofErr w:type="spellStart"/>
      <w:r w:rsidRPr="00F53D46">
        <w:t>A</w:t>
      </w:r>
      <w:proofErr w:type="spellEnd"/>
      <w:r w:rsidRPr="00F53D46">
        <w:t xml:space="preserve"> affinity chromatography, cation exchange chromatography, and anion exchange chromatography. This process is considered appropriate for control of process</w:t>
      </w:r>
      <w:r w:rsidRPr="00F53D46">
        <w:noBreakHyphen/>
        <w:t xml:space="preserve"> and product</w:t>
      </w:r>
      <w:r w:rsidRPr="00F53D46">
        <w:noBreakHyphen/>
        <w:t>related impurities, including host cell proteins and residual DNA. Following purification, the drug substance is formulated, sterile filtered, filled into single</w:t>
      </w:r>
      <w:r w:rsidRPr="00F53D46">
        <w:noBreakHyphen/>
        <w:t>use containers, frozen, and stored at or below −35°C prior to shipment under controlled frozen conditions to the finished product manufacturing site. Extractables and leachables and container compatibility studies were provided and are considered adequate, with no identified safety concerns.</w:t>
      </w:r>
    </w:p>
    <w:p w14:paraId="7ED8F95F" w14:textId="77777777" w:rsidR="00F53D46" w:rsidRPr="00F53D46" w:rsidRDefault="00F53D46" w:rsidP="00F53D46">
      <w:r w:rsidRPr="00F53D46">
        <w:t>The finished product manufacturing process includes pooling of drug substance, sterile filtration through a 0.2 μm filter, aseptic filling into vials, visual inspection, and refrigerated storage prior to labelling and packaging. Process descriptions, in</w:t>
      </w:r>
      <w:r w:rsidRPr="00F53D46">
        <w:noBreakHyphen/>
        <w:t>process controls, validation data, and batch analysis results across multiple manufacturing campaigns were reviewed and are considered acceptable. No critical deficiencies were identified in relation to the finished product manufacturing process.</w:t>
      </w:r>
    </w:p>
    <w:p w14:paraId="64E3B77B" w14:textId="77777777" w:rsidR="00F53D46" w:rsidRPr="00F53D46" w:rsidRDefault="00F53D46" w:rsidP="00F53D46">
      <w:r w:rsidRPr="00F53D46">
        <w:t>Specifications are applied to both the drug substance and the finished product and include tests for identity, purity, potency, impurities, sterility, endotoxins, and bioburden, as appropriate. Biological activity and potency are assessed using a range of validated orthogonal assays, including antibody</w:t>
      </w:r>
      <w:r w:rsidRPr="00F53D46">
        <w:noBreakHyphen/>
        <w:t>dependent cellular cytotoxicity, complement</w:t>
      </w:r>
      <w:r w:rsidRPr="00F53D46">
        <w:noBreakHyphen/>
        <w:t>dependent cytotoxicity, CD20 binding, FcγRIIIa binding, and C1q binding. All non</w:t>
      </w:r>
      <w:r w:rsidRPr="00F53D46">
        <w:noBreakHyphen/>
        <w:t>compendial analytical methods have been adequately validated in accordance with ICH guidelines. The proposed specification limits are supported by batch analysis data and are considered suitable to ensure consistent product quality.</w:t>
      </w:r>
    </w:p>
    <w:p w14:paraId="344D1C6E" w14:textId="77777777" w:rsidR="00A8156D" w:rsidRDefault="00F53D46" w:rsidP="00F53D46">
      <w:r w:rsidRPr="00F53D46">
        <w:t>Stability data support a shelf life for the drug substance of 36 months when stored at or below −35°C. For the finished product, a shelf life of three years when stored at 2–8°C and protected from light is supported by real</w:t>
      </w:r>
      <w:r w:rsidRPr="00F53D46">
        <w:noBreakHyphen/>
        <w:t>time stability data. In</w:t>
      </w:r>
      <w:r w:rsidRPr="00F53D46">
        <w:noBreakHyphen/>
        <w:t xml:space="preserve">use stability studies following dilution support storage for up to 24 hours at 2–8°C followed by up to 8 hours at room temperature. Stability studies were conducted in accordance with relevant ICH guidelines. </w:t>
      </w:r>
    </w:p>
    <w:p w14:paraId="0F02E133" w14:textId="430BBC8C" w:rsidR="00F53D46" w:rsidRPr="00F53D46" w:rsidRDefault="00F53D46" w:rsidP="00F53D46">
      <w:r w:rsidRPr="00F53D46">
        <w:lastRenderedPageBreak/>
        <w:t>The finished product is not photostable; however, appropriate light protection measures are described in the labelling. Shelf</w:t>
      </w:r>
      <w:r w:rsidRPr="00F53D46">
        <w:noBreakHyphen/>
        <w:t>life and storage statements are consistent across the Product Information, Consumer Medicine Information, labelling and ARTG documentation.</w:t>
      </w:r>
    </w:p>
    <w:p w14:paraId="7C860A23" w14:textId="77777777" w:rsidR="00F53D46" w:rsidRPr="00F53D46" w:rsidRDefault="00F53D46" w:rsidP="00F53D46">
      <w:r w:rsidRPr="00F53D46">
        <w:t>Labelling includes appropriate storage conditions and handling precautions, including statements that the product is for single use only and contains no antimicrobial preservative, should not be shaken, should not be frozen, must be stored at 2–8°C and protected from light, and must be diluted prior to administration. These statements are considered adequate from a quality perspective.</w:t>
      </w:r>
    </w:p>
    <w:p w14:paraId="3D3FCBCA" w14:textId="77777777" w:rsidR="00F53D46" w:rsidRPr="00F53D46" w:rsidRDefault="00F53D46" w:rsidP="00F53D46">
      <w:r w:rsidRPr="00F53D46">
        <w:t>All manufacturing, testing, storage, packaging, and release sites associated with the drug substance and finished product hold current GMP clearances with acceptable expiry dates. No outstanding GMP compliance issues were identified during the evaluation. Secondary quality assessments addressing sterility assurance, viral safety, transmissible spongiform encephalopathy risk, mycoplasma, endotoxins, and container safety were provided and are considered satisfactory, demonstrating appropriate control and mitigation of potential risks.</w:t>
      </w:r>
    </w:p>
    <w:p w14:paraId="33331673" w14:textId="105EBC19" w:rsidR="00F53D46" w:rsidRPr="00F53D46" w:rsidRDefault="00F53D46" w:rsidP="00F53D46">
      <w:r w:rsidRPr="00002872">
        <w:t xml:space="preserve">Overall, from a </w:t>
      </w:r>
      <w:r w:rsidR="00900F59">
        <w:t xml:space="preserve">quality </w:t>
      </w:r>
      <w:r w:rsidRPr="00002872">
        <w:t xml:space="preserve">perspective, the quality data submitted for </w:t>
      </w:r>
      <w:r w:rsidR="00022B92">
        <w:t>Briumvi</w:t>
      </w:r>
      <w:r w:rsidRPr="00002872">
        <w:t xml:space="preserve"> (ublituximab) are considered acceptable. The dossier demonstrates adequate control of the manufacturing process, specifications, analytical methods, stability, and GMP compliance. </w:t>
      </w:r>
      <w:proofErr w:type="gramStart"/>
      <w:r w:rsidRPr="00002872">
        <w:t>On the basis of</w:t>
      </w:r>
      <w:proofErr w:type="gramEnd"/>
      <w:r w:rsidRPr="00002872">
        <w:t xml:space="preserve"> the data reviewed, the evaluator considers that the product is of acceptable and consistent quality and is suitable for registration, subject to use in accordance with the proposed Product Information, labelling, and storage conditions.</w:t>
      </w:r>
    </w:p>
    <w:p w14:paraId="2BE90AAE" w14:textId="35796FD3" w:rsidR="00C22214" w:rsidRDefault="00C22214" w:rsidP="00C22214">
      <w:pPr>
        <w:pStyle w:val="Heading3"/>
      </w:pPr>
      <w:bookmarkStart w:id="39" w:name="_Toc314842512"/>
      <w:bookmarkStart w:id="40" w:name="_Toc103679296"/>
      <w:bookmarkStart w:id="41" w:name="_Toc225501996"/>
      <w:r>
        <w:t>Nonclinical</w:t>
      </w:r>
      <w:bookmarkEnd w:id="39"/>
      <w:bookmarkEnd w:id="40"/>
      <w:r w:rsidR="007E6443">
        <w:t xml:space="preserve"> evaluation</w:t>
      </w:r>
      <w:r w:rsidR="00095C6A">
        <w:t xml:space="preserve"> summary</w:t>
      </w:r>
      <w:bookmarkEnd w:id="41"/>
    </w:p>
    <w:p w14:paraId="520FE294" w14:textId="3A8F0887" w:rsidR="001A71F7" w:rsidRPr="001A71F7" w:rsidRDefault="001A71F7" w:rsidP="001A71F7">
      <w:pPr>
        <w:rPr>
          <w:lang w:val="en-US"/>
        </w:rPr>
      </w:pPr>
      <w:r w:rsidRPr="001A71F7">
        <w:rPr>
          <w:lang w:val="en-US"/>
        </w:rPr>
        <w:t xml:space="preserve">The submitted </w:t>
      </w:r>
      <w:r w:rsidR="00881603">
        <w:rPr>
          <w:lang w:val="en-US"/>
        </w:rPr>
        <w:t>nonclinical</w:t>
      </w:r>
      <w:r w:rsidRPr="001A71F7">
        <w:rPr>
          <w:lang w:val="en-US"/>
        </w:rPr>
        <w:t xml:space="preserve"> dossier was in accordance with the relevant ICH guideline for the nonclinical assessment of biotechnology derived pharmaceutical medicines (ICH S6 [R1]).</w:t>
      </w:r>
      <w:r w:rsidR="001518B9">
        <w:rPr>
          <w:rStyle w:val="FootnoteReference"/>
          <w:lang w:val="en-US"/>
        </w:rPr>
        <w:footnoteReference w:id="19"/>
      </w:r>
      <w:r w:rsidRPr="001A71F7">
        <w:rPr>
          <w:lang w:val="en-US"/>
        </w:rPr>
        <w:t xml:space="preserve"> All pivotal safety-related studies were GLP compliant.</w:t>
      </w:r>
    </w:p>
    <w:p w14:paraId="467422BA" w14:textId="64C1FD48" w:rsidR="001A71F7" w:rsidRPr="001A71F7" w:rsidRDefault="001A71F7" w:rsidP="001A71F7">
      <w:pPr>
        <w:rPr>
          <w:lang w:val="en-US"/>
        </w:rPr>
      </w:pPr>
      <w:r w:rsidRPr="001A71F7">
        <w:rPr>
          <w:lang w:val="en-US"/>
        </w:rPr>
        <w:t xml:space="preserve">Ublituximab is a recombinant IgG1 chimeric monoclonal antibody which </w:t>
      </w:r>
      <w:proofErr w:type="gramStart"/>
      <w:r w:rsidRPr="001A71F7">
        <w:rPr>
          <w:lang w:val="en-US"/>
        </w:rPr>
        <w:t>bound</w:t>
      </w:r>
      <w:proofErr w:type="gramEnd"/>
      <w:r w:rsidRPr="001A71F7">
        <w:rPr>
          <w:lang w:val="en-US"/>
        </w:rPr>
        <w:t xml:space="preserve"> to CD20 on cell surface </w:t>
      </w:r>
      <w:r w:rsidRPr="001A71F7">
        <w:rPr>
          <w:i/>
          <w:lang w:val="en-US"/>
        </w:rPr>
        <w:t xml:space="preserve">in vitro </w:t>
      </w:r>
      <w:r w:rsidRPr="001A71F7">
        <w:rPr>
          <w:lang w:val="en-US"/>
        </w:rPr>
        <w:t>with an EC</w:t>
      </w:r>
      <w:r w:rsidRPr="001A71F7">
        <w:rPr>
          <w:vertAlign w:val="subscript"/>
          <w:lang w:val="en-US"/>
        </w:rPr>
        <w:t>50</w:t>
      </w:r>
      <w:r w:rsidRPr="001A71F7">
        <w:rPr>
          <w:lang w:val="en-US"/>
        </w:rPr>
        <w:t xml:space="preserve"> value comparable to other anti-CD20 monoclonal antibodies at concentrations well below expected clinical plasma concentrations. Ublituximab showed affinity to FcγRIIIa 158F and 158V allotypes in the nanomolar range. In functional </w:t>
      </w:r>
      <w:r w:rsidRPr="001A71F7">
        <w:rPr>
          <w:i/>
          <w:lang w:val="en-US"/>
        </w:rPr>
        <w:t xml:space="preserve">in vitro </w:t>
      </w:r>
      <w:r w:rsidRPr="001A71F7">
        <w:rPr>
          <w:lang w:val="en-US"/>
        </w:rPr>
        <w:t>activity assays, ublituximab exhibited dose dependent ADCC, antibody dependent phagocytosis (ADCP), and to a lesser extent complement dependent cytotoxicity (CDC). Ublituximab induced B-cell depletion in whole blood from healthy donors at mean concentrations well below clinical C</w:t>
      </w:r>
      <w:r w:rsidRPr="001A71F7">
        <w:rPr>
          <w:vertAlign w:val="subscript"/>
          <w:lang w:val="en-US"/>
        </w:rPr>
        <w:t>min</w:t>
      </w:r>
      <w:r w:rsidRPr="001A71F7">
        <w:rPr>
          <w:lang w:val="en-US"/>
        </w:rPr>
        <w:t xml:space="preserve">. </w:t>
      </w:r>
      <w:r w:rsidRPr="001A71F7">
        <w:rPr>
          <w:i/>
          <w:lang w:val="en-US"/>
        </w:rPr>
        <w:t>In vivo</w:t>
      </w:r>
      <w:r w:rsidRPr="001A71F7">
        <w:rPr>
          <w:lang w:val="en-US"/>
        </w:rPr>
        <w:t>, treatment with ublituximab resulted in complete depletion of B lymphocytes in monkeys and immunodeficient mice models, supporting the proposed clinical indication.</w:t>
      </w:r>
    </w:p>
    <w:p w14:paraId="7065270A" w14:textId="77777777" w:rsidR="001A71F7" w:rsidRPr="001A71F7" w:rsidRDefault="001A71F7" w:rsidP="001A71F7">
      <w:pPr>
        <w:rPr>
          <w:lang w:val="en-US"/>
        </w:rPr>
      </w:pPr>
      <w:r w:rsidRPr="001A71F7">
        <w:rPr>
          <w:lang w:val="en-US"/>
        </w:rPr>
        <w:t>Immunohistochemical assays examining cross-reactivity showed staining of lymphocytes located in various tissues in normal human and monkey tissues. Ublituximab did not bound to non-specific tissues. There was no evidence of off-target effects in the set of repeat-dose toxicity studies.</w:t>
      </w:r>
    </w:p>
    <w:p w14:paraId="739792EE" w14:textId="77777777" w:rsidR="001A71F7" w:rsidRPr="001A71F7" w:rsidRDefault="001A71F7" w:rsidP="001A71F7">
      <w:pPr>
        <w:rPr>
          <w:lang w:val="en-US"/>
        </w:rPr>
      </w:pPr>
      <w:r w:rsidRPr="001A71F7">
        <w:rPr>
          <w:lang w:val="en-US"/>
        </w:rPr>
        <w:t>Specific safety pharmacology parameters (effects on CNS, cardiovascular and respiratory function) were assessed in the repeat-dose toxicity studies and were found to be unremarkable. No adverse effects on cardiovascular, respiratory or CNS function are predicted during clinical use.</w:t>
      </w:r>
    </w:p>
    <w:p w14:paraId="18ECAEAC" w14:textId="77777777" w:rsidR="001A71F7" w:rsidRPr="001A71F7" w:rsidRDefault="001A71F7" w:rsidP="001A71F7">
      <w:pPr>
        <w:rPr>
          <w:lang w:val="en-US"/>
        </w:rPr>
      </w:pPr>
      <w:r w:rsidRPr="001A71F7">
        <w:rPr>
          <w:lang w:val="en-US"/>
        </w:rPr>
        <w:t xml:space="preserve">Overall, the pharmacokinetic profile in animals was qualitatively similar to that of humans. Half-life values were long in rabbits, monkeys and humans. Tissue distribution and plasma clearance </w:t>
      </w:r>
      <w:r w:rsidRPr="001A71F7">
        <w:rPr>
          <w:lang w:val="en-US"/>
        </w:rPr>
        <w:lastRenderedPageBreak/>
        <w:t>were predicted to be limited. The PK studies showed that the monkey is an appropriate animal model for toxicity testing of ublituximab.</w:t>
      </w:r>
    </w:p>
    <w:p w14:paraId="4AF5B9DA" w14:textId="77777777" w:rsidR="001A71F7" w:rsidRPr="001A71F7" w:rsidRDefault="001A71F7" w:rsidP="001A71F7">
      <w:pPr>
        <w:rPr>
          <w:lang w:val="en-US"/>
        </w:rPr>
      </w:pPr>
      <w:r w:rsidRPr="001A71F7">
        <w:rPr>
          <w:lang w:val="en-US"/>
        </w:rPr>
        <w:t>In a single dose toxicity study conducted in Cynomolgus monkeys (up to 100 mg/kg IV), all toxicological findings were consistent with the expected pharmacology of ublituximab (decreased weight of the thymus, B-cell depletion, decreased B lymphocytes in the bone marrow, spleen and lymph nodes).</w:t>
      </w:r>
    </w:p>
    <w:p w14:paraId="018D362D" w14:textId="2B36B154" w:rsidR="001A71F7" w:rsidRPr="001A71F7" w:rsidRDefault="001A71F7" w:rsidP="001A71F7">
      <w:pPr>
        <w:rPr>
          <w:lang w:val="en-US"/>
        </w:rPr>
      </w:pPr>
      <w:r w:rsidRPr="001A71F7">
        <w:rPr>
          <w:lang w:val="en-US"/>
        </w:rPr>
        <w:t>Repeat-dose toxicity studies by the intravenous route were conducted in Cynomolgus monkeys (up to 26 weeks). Maximum exposures (AUC) were generally moderate to very high at highest tested doses. Ublituximab was generally well tolerated in monkeys with the primary findings consistent with the expected pharmacological effect of ublituximab on B-cells. Depletion of B lymphocytes along with decreased follicle size/number and germinal centres in the lymph nodes and spleen were observed at exposures equal to and higher than clinical exposures. Anti-drug antibodies were detected in the repeat-dose toxicity studies. Immune-mediated effects were also seen in various tissues (pulmonary haemorrhage, mononuclear cell infiltration in the central nervous system and eye, and vascular/perivascular inflammation in aorta, epididymis, gall</w:t>
      </w:r>
      <w:r>
        <w:rPr>
          <w:lang w:val="en-US"/>
        </w:rPr>
        <w:t xml:space="preserve"> </w:t>
      </w:r>
      <w:r w:rsidRPr="001A71F7">
        <w:rPr>
          <w:lang w:val="en-US"/>
        </w:rPr>
        <w:t>bladder, seminal vesicle, heart, kidney, mesentery, jejunum, stomach and testis) at 30 mg/kg/week (</w:t>
      </w:r>
      <w:r w:rsidR="00127BC3">
        <w:rPr>
          <w:lang w:val="en-US"/>
        </w:rPr>
        <w:t>exposure ratio</w:t>
      </w:r>
      <w:r w:rsidR="00CC64E0">
        <w:rPr>
          <w:lang w:val="en-US"/>
        </w:rPr>
        <w:t xml:space="preserve"> based on AUC</w:t>
      </w:r>
      <w:r w:rsidRPr="001A71F7">
        <w:rPr>
          <w:lang w:val="en-US"/>
        </w:rPr>
        <w:t xml:space="preserve"> = 19). The relevance of these findings to humans is unclear.</w:t>
      </w:r>
    </w:p>
    <w:p w14:paraId="2163FD3E" w14:textId="77777777" w:rsidR="001A71F7" w:rsidRPr="001A71F7" w:rsidRDefault="001A71F7" w:rsidP="001A71F7">
      <w:pPr>
        <w:rPr>
          <w:lang w:val="en-US"/>
        </w:rPr>
      </w:pPr>
      <w:r w:rsidRPr="001A71F7">
        <w:rPr>
          <w:lang w:val="en-US"/>
        </w:rPr>
        <w:t xml:space="preserve">Given the protein nature of the drug, the </w:t>
      </w:r>
      <w:r w:rsidRPr="001A71F7">
        <w:rPr>
          <w:i/>
          <w:lang w:val="en-US"/>
        </w:rPr>
        <w:t xml:space="preserve">in vitro </w:t>
      </w:r>
      <w:r w:rsidRPr="001A71F7">
        <w:rPr>
          <w:lang w:val="en-US"/>
        </w:rPr>
        <w:t>Ames test was not considered relevant. No other genotoxicity studies and no carcinogenicity studies were conducted, which is considered acceptable. No proliferative lesions were seen in the repeat-dose toxicity study.</w:t>
      </w:r>
    </w:p>
    <w:p w14:paraId="13F70367" w14:textId="77777777" w:rsidR="001A71F7" w:rsidRPr="001A71F7" w:rsidRDefault="001A71F7" w:rsidP="001A71F7">
      <w:pPr>
        <w:rPr>
          <w:lang w:val="en-US"/>
        </w:rPr>
      </w:pPr>
      <w:r w:rsidRPr="001A71F7">
        <w:rPr>
          <w:lang w:val="en-US"/>
        </w:rPr>
        <w:t>Fertility and early embryofetal development study was not conducted. Immune-mediated vascular/perivascular inflammation in epididymis and testis was observed at moderate relative exposures. Clinical relevance of these findings is unknown. In an enhanced pre/postnatal study (</w:t>
      </w:r>
      <w:proofErr w:type="spellStart"/>
      <w:r w:rsidRPr="001A71F7">
        <w:rPr>
          <w:lang w:val="en-US"/>
        </w:rPr>
        <w:t>ePPND</w:t>
      </w:r>
      <w:proofErr w:type="spellEnd"/>
      <w:r w:rsidRPr="001A71F7">
        <w:rPr>
          <w:lang w:val="en-US"/>
        </w:rPr>
        <w:t>) study in cynomolgus monkeys, ublituximab intravenous administration (weekly) to pregnant monkeys led to increased abortions in treated females and the premature sacrifice of pregnant females. Ublituximab treatment resulted in increased fetal and infant mortality, shorter gestation length, and abnormal external, skeletal and morphometric findings. The significant immune-mediated effects on maternal health may have contributed to most of the fetal/infant effects. Ublituximab is likely to cross the blood-placenta barrier. Infants had high serum levels of ublituximab, likely due to gestational exposure. Given the pharmacological action of the drug, a risk for infection in the neonate period exists.</w:t>
      </w:r>
    </w:p>
    <w:p w14:paraId="064A372A" w14:textId="77777777" w:rsidR="001A71F7" w:rsidRPr="001A71F7" w:rsidRDefault="001A71F7" w:rsidP="001A71F7">
      <w:pPr>
        <w:rPr>
          <w:lang w:val="en-US"/>
        </w:rPr>
      </w:pPr>
      <w:r w:rsidRPr="001A71F7">
        <w:rPr>
          <w:lang w:val="en-US"/>
        </w:rPr>
        <w:t>While no effects on some immunological parameters (T-cell dependent antibody response, natural killer cell activity) were seen in treated cynomolgus monkeys at high exposures, given the pharmacological action of the drug, a risk of infections exists in patients.</w:t>
      </w:r>
    </w:p>
    <w:p w14:paraId="41E039A2" w14:textId="6FB3EB70" w:rsidR="001A71F7" w:rsidRPr="001A71F7" w:rsidRDefault="001A71F7" w:rsidP="001A71F7">
      <w:r w:rsidRPr="001A71F7">
        <w:rPr>
          <w:lang w:val="en-US"/>
        </w:rPr>
        <w:t xml:space="preserve">There are no nonclinical objections to the registration of </w:t>
      </w:r>
      <w:r w:rsidR="00022B92">
        <w:rPr>
          <w:lang w:val="en-US"/>
        </w:rPr>
        <w:t>Briumvi</w:t>
      </w:r>
      <w:r w:rsidRPr="001A71F7">
        <w:rPr>
          <w:lang w:val="en-US"/>
        </w:rPr>
        <w:t xml:space="preserve"> (ublituximab) for the proposed indication.</w:t>
      </w:r>
    </w:p>
    <w:p w14:paraId="35B580A5" w14:textId="40B226DC" w:rsidR="00C22214" w:rsidRDefault="00C22214" w:rsidP="008804CF">
      <w:pPr>
        <w:pStyle w:val="Heading3"/>
      </w:pPr>
      <w:bookmarkStart w:id="42" w:name="_Toc247691530"/>
      <w:bookmarkStart w:id="43" w:name="_Toc314842513"/>
      <w:bookmarkStart w:id="44" w:name="_Toc103679297"/>
      <w:bookmarkStart w:id="45" w:name="_Toc225501997"/>
      <w:r>
        <w:t>Clinical</w:t>
      </w:r>
      <w:bookmarkEnd w:id="42"/>
      <w:bookmarkEnd w:id="43"/>
      <w:bookmarkEnd w:id="44"/>
      <w:r w:rsidR="00095C6A">
        <w:t xml:space="preserve"> evaluation summary</w:t>
      </w:r>
      <w:bookmarkEnd w:id="45"/>
    </w:p>
    <w:p w14:paraId="3D844348" w14:textId="5E957DE2" w:rsidR="00FA5CEE" w:rsidRPr="00FA5CEE" w:rsidRDefault="00FA5CEE" w:rsidP="00FA5CEE">
      <w:pPr>
        <w:pStyle w:val="Heading4"/>
      </w:pPr>
      <w:bookmarkStart w:id="46" w:name="_Toc225501998"/>
      <w:r>
        <w:t>Pharmacology</w:t>
      </w:r>
      <w:bookmarkEnd w:id="46"/>
    </w:p>
    <w:p w14:paraId="1E6BDFCD" w14:textId="77777777" w:rsidR="001D5310" w:rsidRPr="001D5310" w:rsidRDefault="001D5310" w:rsidP="001D5310">
      <w:pPr>
        <w:rPr>
          <w:lang w:val="en-US"/>
        </w:rPr>
      </w:pPr>
      <w:r w:rsidRPr="001D5310">
        <w:rPr>
          <w:lang w:val="en-US"/>
        </w:rPr>
        <w:t>Bioanalytical methods were developed, validated and performed to support the clinical development of the ublituximab.</w:t>
      </w:r>
    </w:p>
    <w:p w14:paraId="7AF93266" w14:textId="52A44435" w:rsidR="001D5310" w:rsidRPr="001D5310" w:rsidRDefault="001D5310" w:rsidP="001D5310">
      <w:pPr>
        <w:rPr>
          <w:lang w:val="en-US"/>
        </w:rPr>
      </w:pPr>
      <w:r w:rsidRPr="001D5310">
        <w:rPr>
          <w:lang w:val="en-US"/>
        </w:rPr>
        <w:t xml:space="preserve">Individual results for study samples (inform that most of the results are above curve range (reaching even 400,000ng/mL). According to the </w:t>
      </w:r>
      <w:r w:rsidR="000D5CF0">
        <w:rPr>
          <w:lang w:val="en-US"/>
        </w:rPr>
        <w:t>population pharmacokinetic (</w:t>
      </w:r>
      <w:r w:rsidRPr="001D5310">
        <w:rPr>
          <w:lang w:val="en-US"/>
        </w:rPr>
        <w:t>PopPK</w:t>
      </w:r>
      <w:r w:rsidR="000D5CF0">
        <w:rPr>
          <w:lang w:val="en-US"/>
        </w:rPr>
        <w:t>)</w:t>
      </w:r>
      <w:r w:rsidRPr="001D5310">
        <w:rPr>
          <w:lang w:val="en-US"/>
        </w:rPr>
        <w:t xml:space="preserve"> modelling results, ublituximab </w:t>
      </w:r>
      <w:r w:rsidR="000D5CF0">
        <w:rPr>
          <w:lang w:val="en-US"/>
        </w:rPr>
        <w:t>pharmacokinetics (</w:t>
      </w:r>
      <w:r w:rsidRPr="001D5310">
        <w:rPr>
          <w:lang w:val="en-US"/>
        </w:rPr>
        <w:t>PK</w:t>
      </w:r>
      <w:r w:rsidR="000D5CF0">
        <w:rPr>
          <w:lang w:val="en-US"/>
        </w:rPr>
        <w:t>)</w:t>
      </w:r>
      <w:r w:rsidRPr="001D5310">
        <w:rPr>
          <w:lang w:val="en-US"/>
        </w:rPr>
        <w:t xml:space="preserve"> showed linear mode over the dose range </w:t>
      </w:r>
      <w:r w:rsidRPr="001D5310">
        <w:rPr>
          <w:lang w:val="en-US"/>
        </w:rPr>
        <w:lastRenderedPageBreak/>
        <w:t xml:space="preserve">150 to 600mg in subjects with RMS. Estimated </w:t>
      </w:r>
      <w:r w:rsidR="00086AF4">
        <w:rPr>
          <w:lang w:val="en-US"/>
        </w:rPr>
        <w:t>central volume of distribution (</w:t>
      </w:r>
      <w:r w:rsidRPr="001D5310">
        <w:rPr>
          <w:lang w:val="en-US"/>
        </w:rPr>
        <w:t>V</w:t>
      </w:r>
      <w:r w:rsidR="00086AF4">
        <w:rPr>
          <w:lang w:val="en-US"/>
        </w:rPr>
        <w:t>)</w:t>
      </w:r>
      <w:r w:rsidRPr="00EE7596">
        <w:rPr>
          <w:vertAlign w:val="subscript"/>
          <w:lang w:val="en-US"/>
        </w:rPr>
        <w:t>c</w:t>
      </w:r>
      <w:r w:rsidRPr="001D5310">
        <w:rPr>
          <w:lang w:val="en-US"/>
        </w:rPr>
        <w:t xml:space="preserve"> and </w:t>
      </w:r>
      <w:r w:rsidR="00086AF4">
        <w:rPr>
          <w:lang w:val="en-US"/>
        </w:rPr>
        <w:t xml:space="preserve">peripheral </w:t>
      </w:r>
      <w:r w:rsidR="00086AF4" w:rsidRPr="00086AF4">
        <w:rPr>
          <w:lang w:val="en-US"/>
        </w:rPr>
        <w:t xml:space="preserve">volume of distribution </w:t>
      </w:r>
      <w:r w:rsidR="00086AF4">
        <w:rPr>
          <w:lang w:val="en-US"/>
        </w:rPr>
        <w:t>(</w:t>
      </w:r>
      <w:r w:rsidRPr="001D5310">
        <w:rPr>
          <w:lang w:val="en-US"/>
        </w:rPr>
        <w:t>V</w:t>
      </w:r>
      <w:r w:rsidRPr="00EE7596">
        <w:rPr>
          <w:vertAlign w:val="subscript"/>
          <w:lang w:val="en-US"/>
        </w:rPr>
        <w:t>p</w:t>
      </w:r>
      <w:r w:rsidR="00086AF4">
        <w:rPr>
          <w:lang w:val="en-US"/>
        </w:rPr>
        <w:t xml:space="preserve">) </w:t>
      </w:r>
      <w:r w:rsidRPr="001D5310">
        <w:rPr>
          <w:lang w:val="en-US"/>
        </w:rPr>
        <w:t>were 3.18 L (</w:t>
      </w:r>
      <w:r w:rsidR="00DC63F6">
        <w:rPr>
          <w:lang w:val="en-US"/>
        </w:rPr>
        <w:t xml:space="preserve">inter-individual </w:t>
      </w:r>
      <w:proofErr w:type="gramStart"/>
      <w:r w:rsidR="00DC63F6">
        <w:rPr>
          <w:lang w:val="en-US"/>
        </w:rPr>
        <w:t>variability[</w:t>
      </w:r>
      <w:proofErr w:type="gramEnd"/>
      <w:r w:rsidRPr="001D5310">
        <w:rPr>
          <w:lang w:val="en-US"/>
        </w:rPr>
        <w:t>IIV</w:t>
      </w:r>
      <w:r w:rsidR="00DC63F6">
        <w:rPr>
          <w:lang w:val="en-US"/>
        </w:rPr>
        <w:t>]</w:t>
      </w:r>
      <w:r w:rsidRPr="001D5310">
        <w:rPr>
          <w:lang w:val="en-US"/>
        </w:rPr>
        <w:t xml:space="preserve"> = 15.0%) and 3.60 L (IIV = 21.3%), respectively. The model estimated </w:t>
      </w:r>
      <w:r w:rsidR="009E5B0C">
        <w:rPr>
          <w:lang w:val="en-US"/>
        </w:rPr>
        <w:t>clearance (</w:t>
      </w:r>
      <w:r w:rsidRPr="001D5310">
        <w:rPr>
          <w:lang w:val="en-US"/>
        </w:rPr>
        <w:t>CL</w:t>
      </w:r>
      <w:r w:rsidR="009E5B0C">
        <w:rPr>
          <w:lang w:val="en-US"/>
        </w:rPr>
        <w:t>)</w:t>
      </w:r>
      <w:r w:rsidRPr="001D5310">
        <w:rPr>
          <w:lang w:val="en-US"/>
        </w:rPr>
        <w:t xml:space="preserve"> was 11.3mL/h (IIV of 38.1%). Mean t</w:t>
      </w:r>
      <w:r w:rsidRPr="001D5310">
        <w:rPr>
          <w:vertAlign w:val="subscript"/>
          <w:lang w:val="en-US"/>
        </w:rPr>
        <w:t>1/2</w:t>
      </w:r>
      <w:r w:rsidRPr="001D5310">
        <w:rPr>
          <w:lang w:val="en-US"/>
        </w:rPr>
        <w:t xml:space="preserve"> was calculated to be 21.8 days. No accumulation of ublituximab during the proposed regimen in RMS (dosing every 24 weeks) was shown.</w:t>
      </w:r>
    </w:p>
    <w:p w14:paraId="450F7641" w14:textId="778D5456" w:rsidR="001D5310" w:rsidRPr="001D5310" w:rsidRDefault="001D5310" w:rsidP="001D5310">
      <w:pPr>
        <w:rPr>
          <w:lang w:val="en-US"/>
        </w:rPr>
      </w:pPr>
      <w:r w:rsidRPr="001D5310">
        <w:rPr>
          <w:lang w:val="en-US"/>
        </w:rPr>
        <w:t xml:space="preserve">Bodyweight, sex region, and </w:t>
      </w:r>
      <w:r w:rsidR="000D5CF0">
        <w:rPr>
          <w:lang w:val="en-US"/>
        </w:rPr>
        <w:t>anti-drug antibodies (</w:t>
      </w:r>
      <w:r w:rsidRPr="001D5310">
        <w:rPr>
          <w:lang w:val="en-US"/>
        </w:rPr>
        <w:t>ADA</w:t>
      </w:r>
      <w:r w:rsidR="000D5CF0">
        <w:rPr>
          <w:lang w:val="en-US"/>
        </w:rPr>
        <w:t>)</w:t>
      </w:r>
      <w:r w:rsidRPr="001D5310">
        <w:rPr>
          <w:lang w:val="en-US"/>
        </w:rPr>
        <w:t xml:space="preserve"> presence were found to be signi</w:t>
      </w:r>
      <w:r w:rsidR="000D5CF0">
        <w:rPr>
          <w:rFonts w:cs="Cambria"/>
          <w:lang w:val="en-US"/>
        </w:rPr>
        <w:t>f</w:t>
      </w:r>
      <w:r w:rsidRPr="001D5310">
        <w:rPr>
          <w:lang w:val="en-US"/>
        </w:rPr>
        <w:t>icant covariates of ublituximab PK. These covariates had a modest effect on exposures (all results contained within the 0.8 to 1.25 exposure ratio), and they are not supposed to be clinically relevant. Age, baseline haemoglobin, platelet count and white blood cell count, renal impairment and hepatic impairment were not found to be signi</w:t>
      </w:r>
      <w:r w:rsidR="000D5CF0">
        <w:rPr>
          <w:rFonts w:cs="Cambria"/>
          <w:lang w:val="en-US"/>
        </w:rPr>
        <w:t>f</w:t>
      </w:r>
      <w:r w:rsidRPr="001D5310">
        <w:rPr>
          <w:lang w:val="en-US"/>
        </w:rPr>
        <w:t xml:space="preserve">icant predictors of ublituximab PK. Bodyweight was found to be a </w:t>
      </w:r>
      <w:proofErr w:type="gramStart"/>
      <w:r w:rsidRPr="001D5310">
        <w:rPr>
          <w:lang w:val="en-US"/>
        </w:rPr>
        <w:t>statistically signi</w:t>
      </w:r>
      <w:r w:rsidR="000D5CF0">
        <w:rPr>
          <w:rFonts w:cs="Cambria"/>
          <w:lang w:val="en-US"/>
        </w:rPr>
        <w:t>f</w:t>
      </w:r>
      <w:r w:rsidRPr="001D5310">
        <w:rPr>
          <w:lang w:val="en-US"/>
        </w:rPr>
        <w:t>icant predictors</w:t>
      </w:r>
      <w:proofErr w:type="gramEnd"/>
      <w:r w:rsidRPr="001D5310">
        <w:rPr>
          <w:lang w:val="en-US"/>
        </w:rPr>
        <w:t xml:space="preserve"> of ublituximab CL. A modest effect of body weight on ublituximab exposure was seen.</w:t>
      </w:r>
    </w:p>
    <w:p w14:paraId="7D38778C" w14:textId="2B943933" w:rsidR="001D5310" w:rsidRPr="001D5310" w:rsidRDefault="001D5310" w:rsidP="001D5310">
      <w:pPr>
        <w:rPr>
          <w:lang w:val="en-US"/>
        </w:rPr>
      </w:pPr>
      <w:r w:rsidRPr="001D5310">
        <w:rPr>
          <w:lang w:val="en-US"/>
        </w:rPr>
        <w:t xml:space="preserve">No accumulation of </w:t>
      </w:r>
      <w:r w:rsidR="000D5CF0">
        <w:rPr>
          <w:lang w:val="en-US"/>
        </w:rPr>
        <w:t>u</w:t>
      </w:r>
      <w:r w:rsidRPr="001D5310">
        <w:rPr>
          <w:lang w:val="en-US"/>
        </w:rPr>
        <w:t>blituximab was observed for subjects receiving 150mg ublituximab on Day 1 followed by 450mg on Day 15, Week 24 and Week 48 (C</w:t>
      </w:r>
      <w:r w:rsidRPr="001D5310">
        <w:rPr>
          <w:vertAlign w:val="subscript"/>
          <w:lang w:val="en-US"/>
        </w:rPr>
        <w:t>max</w:t>
      </w:r>
      <w:r w:rsidRPr="001D5310">
        <w:rPr>
          <w:lang w:val="en-US"/>
        </w:rPr>
        <w:t xml:space="preserve"> ratio at week 24 to Day 1 was 3.04; C</w:t>
      </w:r>
      <w:r w:rsidRPr="00F53462">
        <w:rPr>
          <w:vertAlign w:val="subscript"/>
          <w:lang w:val="en-US"/>
        </w:rPr>
        <w:t>max</w:t>
      </w:r>
      <w:r w:rsidRPr="001D5310">
        <w:rPr>
          <w:lang w:val="en-US"/>
        </w:rPr>
        <w:t xml:space="preserve"> ratio at week 48 to week 24 was 1).</w:t>
      </w:r>
    </w:p>
    <w:p w14:paraId="7A4F3130" w14:textId="591DE84D" w:rsidR="001D5310" w:rsidRPr="001D5310" w:rsidRDefault="001D5310" w:rsidP="001D5310">
      <w:pPr>
        <w:rPr>
          <w:lang w:val="en-US"/>
        </w:rPr>
      </w:pPr>
      <w:r w:rsidRPr="001D5310">
        <w:rPr>
          <w:lang w:val="en-US"/>
        </w:rPr>
        <w:t xml:space="preserve">No special population studies were performed to characterise PK parameters of </w:t>
      </w:r>
      <w:r w:rsidR="00691EA7" w:rsidRPr="001D5310">
        <w:rPr>
          <w:lang w:val="en-US"/>
        </w:rPr>
        <w:t>ubl</w:t>
      </w:r>
      <w:r w:rsidR="00691EA7">
        <w:rPr>
          <w:lang w:val="en-US"/>
        </w:rPr>
        <w:t>i</w:t>
      </w:r>
      <w:r w:rsidR="00691EA7" w:rsidRPr="001D5310">
        <w:rPr>
          <w:lang w:val="en-US"/>
        </w:rPr>
        <w:t>tuximab</w:t>
      </w:r>
      <w:r w:rsidRPr="001D5310">
        <w:rPr>
          <w:lang w:val="en-US"/>
        </w:rPr>
        <w:t>. According to the PopPK, body weight, sex, region, and ADA were signi</w:t>
      </w:r>
      <w:r w:rsidR="000D5CF0">
        <w:rPr>
          <w:rFonts w:cs="Cambria"/>
          <w:lang w:val="en-US"/>
        </w:rPr>
        <w:t>f</w:t>
      </w:r>
      <w:r w:rsidRPr="001D5310">
        <w:rPr>
          <w:lang w:val="en-US"/>
        </w:rPr>
        <w:t>icant covariates of ublituximab PK. None of them seems clinically relevant, and no dose adjustment needs to be implemented.</w:t>
      </w:r>
    </w:p>
    <w:p w14:paraId="4B1EFE0A" w14:textId="469A6A1C" w:rsidR="001D5310" w:rsidRPr="001D5310" w:rsidRDefault="001D5310" w:rsidP="001D5310">
      <w:pPr>
        <w:rPr>
          <w:lang w:val="en-US"/>
        </w:rPr>
      </w:pPr>
      <w:r w:rsidRPr="001D5310">
        <w:rPr>
          <w:lang w:val="en-US"/>
        </w:rPr>
        <w:t xml:space="preserve">The oldest </w:t>
      </w:r>
      <w:r w:rsidR="000D5CF0">
        <w:rPr>
          <w:lang w:val="en-US"/>
        </w:rPr>
        <w:t>p</w:t>
      </w:r>
      <w:r w:rsidRPr="001D5310">
        <w:rPr>
          <w:lang w:val="en-US"/>
        </w:rPr>
        <w:t xml:space="preserve">atients enrolled were 56 years old. In the </w:t>
      </w:r>
      <w:r w:rsidR="00E06D1E" w:rsidRPr="00E06D1E">
        <w:rPr>
          <w:lang w:val="en-US"/>
        </w:rPr>
        <w:t>Summary of Product Characteristics (SmPC)</w:t>
      </w:r>
      <w:r w:rsidR="00731DC5">
        <w:rPr>
          <w:rStyle w:val="FootnoteReference"/>
          <w:lang w:val="en-US"/>
        </w:rPr>
        <w:footnoteReference w:id="20"/>
      </w:r>
      <w:r w:rsidRPr="001D5310">
        <w:rPr>
          <w:lang w:val="en-US"/>
        </w:rPr>
        <w:t xml:space="preserve">, </w:t>
      </w:r>
      <w:r w:rsidR="000D5CF0">
        <w:rPr>
          <w:lang w:val="en-US"/>
        </w:rPr>
        <w:t xml:space="preserve">the </w:t>
      </w:r>
      <w:r w:rsidR="00E06D1E">
        <w:rPr>
          <w:lang w:val="en-US"/>
        </w:rPr>
        <w:t>Sponsor</w:t>
      </w:r>
      <w:r w:rsidRPr="001D5310">
        <w:rPr>
          <w:lang w:val="en-US"/>
        </w:rPr>
        <w:t xml:space="preserve"> states that: “Based on the limited data available, no posology adjustment is needed in patients over 55 years of age”.</w:t>
      </w:r>
    </w:p>
    <w:p w14:paraId="4C910A9E" w14:textId="30ED54C9" w:rsidR="00511AA5" w:rsidRPr="00511AA5" w:rsidRDefault="00511AA5" w:rsidP="00511AA5">
      <w:pPr>
        <w:pStyle w:val="Heading5"/>
        <w:rPr>
          <w:lang w:val="en-US"/>
        </w:rPr>
      </w:pPr>
      <w:r w:rsidRPr="00511AA5">
        <w:rPr>
          <w:lang w:val="en-US"/>
        </w:rPr>
        <w:t>Dose response study</w:t>
      </w:r>
      <w:r>
        <w:rPr>
          <w:lang w:val="en-US"/>
        </w:rPr>
        <w:t xml:space="preserve"> </w:t>
      </w:r>
      <w:r w:rsidRPr="00511AA5">
        <w:rPr>
          <w:lang w:val="en-US"/>
        </w:rPr>
        <w:t>TG1101-RMS201</w:t>
      </w:r>
    </w:p>
    <w:p w14:paraId="73513406" w14:textId="67A116FD" w:rsidR="00511AA5" w:rsidRPr="00511AA5" w:rsidRDefault="00511AA5" w:rsidP="00511AA5">
      <w:pPr>
        <w:rPr>
          <w:lang w:val="en-US"/>
        </w:rPr>
      </w:pPr>
      <w:r w:rsidRPr="00511AA5">
        <w:rPr>
          <w:lang w:val="en-US"/>
        </w:rPr>
        <w:t>52-week, Phase IIa, placebo-controlled, multicenter, dose-</w:t>
      </w:r>
      <w:r>
        <w:rPr>
          <w:lang w:val="en-US"/>
        </w:rPr>
        <w:t>f</w:t>
      </w:r>
      <w:r w:rsidRPr="00511AA5">
        <w:rPr>
          <w:lang w:val="en-US"/>
        </w:rPr>
        <w:t>inding, cohort sequential study. The study included 6 treatment cohorts, each with 8 subjects: 6 subjects randomized to receive ublituximab and 2 subjects randomized receive to placebo.</w:t>
      </w:r>
    </w:p>
    <w:p w14:paraId="33348EBB" w14:textId="164A8534" w:rsidR="00511AA5" w:rsidRPr="00511AA5" w:rsidRDefault="00511AA5" w:rsidP="00511AA5">
      <w:pPr>
        <w:rPr>
          <w:lang w:val="en-US"/>
        </w:rPr>
      </w:pPr>
      <w:r w:rsidRPr="00511AA5">
        <w:rPr>
          <w:lang w:val="en-US"/>
        </w:rPr>
        <w:t>The responder rate (95% CI) of B-cell depletion 2 weeks after Week 3 Day 15, the second scheduled infusion of ublituximab, was 95.8% (85.75%, 99.49%). The responder rate (95%</w:t>
      </w:r>
      <w:r w:rsidR="00731DC5">
        <w:rPr>
          <w:lang w:val="en-US"/>
        </w:rPr>
        <w:t xml:space="preserve"> </w:t>
      </w:r>
      <w:r w:rsidRPr="00511AA5">
        <w:rPr>
          <w:lang w:val="en-US"/>
        </w:rPr>
        <w:t>CI) of B-cell depletion was 100% (63.06%, 100%) for Cohorts 2, 4, 5, and 6 and 87.5%</w:t>
      </w:r>
      <w:r w:rsidR="00731DC5">
        <w:rPr>
          <w:lang w:val="en-US"/>
        </w:rPr>
        <w:t xml:space="preserve"> </w:t>
      </w:r>
      <w:r w:rsidRPr="00511AA5">
        <w:rPr>
          <w:lang w:val="en-US"/>
        </w:rPr>
        <w:t>(47.35%, 99.68%) for Cohorts 1 and 3.</w:t>
      </w:r>
    </w:p>
    <w:p w14:paraId="0086FF24" w14:textId="0668D96F" w:rsidR="00734D06" w:rsidRDefault="00511AA5" w:rsidP="00511AA5">
      <w:pPr>
        <w:pStyle w:val="TableTitle"/>
        <w:rPr>
          <w:lang w:val="en-US"/>
        </w:rPr>
      </w:pPr>
      <w:r w:rsidRPr="00511AA5">
        <w:rPr>
          <w:lang w:val="en-US"/>
        </w:rPr>
        <w:t xml:space="preserve">Table </w:t>
      </w:r>
      <w:r w:rsidR="00C455EB">
        <w:rPr>
          <w:lang w:val="en-US"/>
        </w:rPr>
        <w:t>3</w:t>
      </w:r>
      <w:r w:rsidRPr="00511AA5">
        <w:rPr>
          <w:lang w:val="en-US"/>
        </w:rPr>
        <w:t>: CD19+ B-cell Depletion Responder Rate (ITT Population)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Description w:val="Table 3: CD19+ B-cell Depletion Responder Rate (ITT Population)"/>
      </w:tblPr>
      <w:tblGrid>
        <w:gridCol w:w="1677"/>
        <w:gridCol w:w="1093"/>
        <w:gridCol w:w="1021"/>
        <w:gridCol w:w="1093"/>
        <w:gridCol w:w="1021"/>
        <w:gridCol w:w="1021"/>
        <w:gridCol w:w="1021"/>
        <w:gridCol w:w="1113"/>
      </w:tblGrid>
      <w:tr w:rsidR="00596FCC" w:rsidRPr="00CD07CB" w14:paraId="738DCB7D" w14:textId="77777777" w:rsidTr="005F6FAD">
        <w:trPr>
          <w:tblHeader/>
        </w:trPr>
        <w:tc>
          <w:tcPr>
            <w:tcW w:w="0" w:type="auto"/>
            <w:tcBorders>
              <w:top w:val="single" w:sz="4" w:space="0" w:color="263287"/>
              <w:left w:val="single" w:sz="4" w:space="0" w:color="263287"/>
              <w:bottom w:val="single" w:sz="4" w:space="0" w:color="263287"/>
              <w:right w:val="single" w:sz="4" w:space="0" w:color="263287"/>
            </w:tcBorders>
            <w:shd w:val="clear" w:color="auto" w:fill="DEEAF6"/>
            <w:vAlign w:val="center"/>
            <w:hideMark/>
          </w:tcPr>
          <w:p w14:paraId="7554E53D" w14:textId="77777777" w:rsidR="00596FCC" w:rsidRPr="005F6FAD" w:rsidRDefault="00596FCC" w:rsidP="005F6FAD">
            <w:pPr>
              <w:spacing w:after="0" w:line="240" w:lineRule="auto"/>
              <w:rPr>
                <w:rFonts w:eastAsia="Times New Roman"/>
                <w:b/>
                <w:bCs/>
                <w:color w:val="263287"/>
                <w:szCs w:val="22"/>
                <w:lang w:eastAsia="en-AU"/>
              </w:rPr>
            </w:pPr>
            <w:r w:rsidRPr="005F6FAD">
              <w:rPr>
                <w:rFonts w:eastAsia="Times New Roman"/>
                <w:b/>
                <w:bCs/>
                <w:color w:val="263287"/>
                <w:szCs w:val="22"/>
                <w:lang w:eastAsia="en-AU"/>
              </w:rPr>
              <w:t>Cohort</w:t>
            </w:r>
          </w:p>
        </w:tc>
        <w:tc>
          <w:tcPr>
            <w:tcW w:w="0" w:type="auto"/>
            <w:tcBorders>
              <w:top w:val="single" w:sz="4" w:space="0" w:color="263287"/>
              <w:left w:val="single" w:sz="4" w:space="0" w:color="263287"/>
              <w:bottom w:val="single" w:sz="4" w:space="0" w:color="263287"/>
              <w:right w:val="single" w:sz="4" w:space="0" w:color="263287"/>
            </w:tcBorders>
            <w:shd w:val="clear" w:color="auto" w:fill="DEEAF6"/>
            <w:vAlign w:val="center"/>
            <w:hideMark/>
          </w:tcPr>
          <w:p w14:paraId="54EB4C25" w14:textId="77777777" w:rsidR="00596FCC" w:rsidRPr="005F6FAD" w:rsidRDefault="00596FCC" w:rsidP="005F6FAD">
            <w:pPr>
              <w:spacing w:after="0" w:line="240" w:lineRule="auto"/>
              <w:rPr>
                <w:rFonts w:eastAsia="Times New Roman"/>
                <w:b/>
                <w:bCs/>
                <w:color w:val="263287"/>
                <w:szCs w:val="22"/>
                <w:lang w:eastAsia="en-AU"/>
              </w:rPr>
            </w:pPr>
            <w:r w:rsidRPr="005F6FAD">
              <w:rPr>
                <w:rFonts w:eastAsia="Times New Roman"/>
                <w:b/>
                <w:bCs/>
                <w:color w:val="263287"/>
                <w:szCs w:val="22"/>
                <w:lang w:eastAsia="en-AU"/>
              </w:rPr>
              <w:t>Cohort 1 (N=8)</w:t>
            </w:r>
          </w:p>
        </w:tc>
        <w:tc>
          <w:tcPr>
            <w:tcW w:w="0" w:type="auto"/>
            <w:tcBorders>
              <w:top w:val="single" w:sz="4" w:space="0" w:color="263287"/>
              <w:left w:val="single" w:sz="4" w:space="0" w:color="263287"/>
              <w:bottom w:val="single" w:sz="4" w:space="0" w:color="263287"/>
              <w:right w:val="single" w:sz="4" w:space="0" w:color="263287"/>
            </w:tcBorders>
            <w:shd w:val="clear" w:color="auto" w:fill="DEEAF6"/>
            <w:vAlign w:val="center"/>
            <w:hideMark/>
          </w:tcPr>
          <w:p w14:paraId="61D5125D" w14:textId="77777777" w:rsidR="00596FCC" w:rsidRPr="005F6FAD" w:rsidRDefault="00596FCC" w:rsidP="005F6FAD">
            <w:pPr>
              <w:spacing w:after="0" w:line="240" w:lineRule="auto"/>
              <w:rPr>
                <w:rFonts w:eastAsia="Times New Roman"/>
                <w:b/>
                <w:bCs/>
                <w:color w:val="263287"/>
                <w:szCs w:val="22"/>
                <w:lang w:eastAsia="en-AU"/>
              </w:rPr>
            </w:pPr>
            <w:r w:rsidRPr="005F6FAD">
              <w:rPr>
                <w:rFonts w:eastAsia="Times New Roman"/>
                <w:b/>
                <w:bCs/>
                <w:color w:val="263287"/>
                <w:szCs w:val="22"/>
                <w:lang w:eastAsia="en-AU"/>
              </w:rPr>
              <w:t>Cohort 2 (N=8)</w:t>
            </w:r>
          </w:p>
        </w:tc>
        <w:tc>
          <w:tcPr>
            <w:tcW w:w="0" w:type="auto"/>
            <w:tcBorders>
              <w:top w:val="single" w:sz="4" w:space="0" w:color="263287"/>
              <w:left w:val="single" w:sz="4" w:space="0" w:color="263287"/>
              <w:bottom w:val="single" w:sz="4" w:space="0" w:color="263287"/>
              <w:right w:val="single" w:sz="4" w:space="0" w:color="263287"/>
            </w:tcBorders>
            <w:shd w:val="clear" w:color="auto" w:fill="DEEAF6"/>
            <w:vAlign w:val="center"/>
            <w:hideMark/>
          </w:tcPr>
          <w:p w14:paraId="462E5B57" w14:textId="77777777" w:rsidR="00596FCC" w:rsidRPr="005F6FAD" w:rsidRDefault="00596FCC" w:rsidP="005F6FAD">
            <w:pPr>
              <w:spacing w:after="0" w:line="240" w:lineRule="auto"/>
              <w:rPr>
                <w:rFonts w:eastAsia="Times New Roman"/>
                <w:b/>
                <w:bCs/>
                <w:color w:val="263287"/>
                <w:szCs w:val="22"/>
                <w:lang w:eastAsia="en-AU"/>
              </w:rPr>
            </w:pPr>
            <w:r w:rsidRPr="005F6FAD">
              <w:rPr>
                <w:rFonts w:eastAsia="Times New Roman"/>
                <w:b/>
                <w:bCs/>
                <w:color w:val="263287"/>
                <w:szCs w:val="22"/>
                <w:lang w:eastAsia="en-AU"/>
              </w:rPr>
              <w:t>Cohort 3 (N=8)</w:t>
            </w:r>
          </w:p>
        </w:tc>
        <w:tc>
          <w:tcPr>
            <w:tcW w:w="0" w:type="auto"/>
            <w:tcBorders>
              <w:top w:val="single" w:sz="4" w:space="0" w:color="263287"/>
              <w:left w:val="single" w:sz="4" w:space="0" w:color="263287"/>
              <w:bottom w:val="single" w:sz="4" w:space="0" w:color="263287"/>
              <w:right w:val="single" w:sz="4" w:space="0" w:color="263287"/>
            </w:tcBorders>
            <w:shd w:val="clear" w:color="auto" w:fill="DEEAF6"/>
            <w:vAlign w:val="center"/>
            <w:hideMark/>
          </w:tcPr>
          <w:p w14:paraId="7B730579" w14:textId="77777777" w:rsidR="00596FCC" w:rsidRPr="005F6FAD" w:rsidRDefault="00596FCC" w:rsidP="005F6FAD">
            <w:pPr>
              <w:spacing w:after="0" w:line="240" w:lineRule="auto"/>
              <w:rPr>
                <w:rFonts w:eastAsia="Times New Roman"/>
                <w:b/>
                <w:bCs/>
                <w:color w:val="263287"/>
                <w:szCs w:val="22"/>
                <w:lang w:eastAsia="en-AU"/>
              </w:rPr>
            </w:pPr>
            <w:r w:rsidRPr="005F6FAD">
              <w:rPr>
                <w:rFonts w:eastAsia="Times New Roman"/>
                <w:b/>
                <w:bCs/>
                <w:color w:val="263287"/>
                <w:szCs w:val="22"/>
                <w:lang w:eastAsia="en-AU"/>
              </w:rPr>
              <w:t>Cohort 4 (N=8)</w:t>
            </w:r>
          </w:p>
        </w:tc>
        <w:tc>
          <w:tcPr>
            <w:tcW w:w="0" w:type="auto"/>
            <w:tcBorders>
              <w:top w:val="single" w:sz="4" w:space="0" w:color="263287"/>
              <w:left w:val="single" w:sz="4" w:space="0" w:color="263287"/>
              <w:bottom w:val="single" w:sz="4" w:space="0" w:color="263287"/>
              <w:right w:val="single" w:sz="4" w:space="0" w:color="263287"/>
            </w:tcBorders>
            <w:shd w:val="clear" w:color="auto" w:fill="DEEAF6"/>
            <w:vAlign w:val="center"/>
            <w:hideMark/>
          </w:tcPr>
          <w:p w14:paraId="06A5F03E" w14:textId="77777777" w:rsidR="00596FCC" w:rsidRPr="005F6FAD" w:rsidRDefault="00596FCC" w:rsidP="005F6FAD">
            <w:pPr>
              <w:spacing w:after="0" w:line="240" w:lineRule="auto"/>
              <w:rPr>
                <w:rFonts w:eastAsia="Times New Roman"/>
                <w:b/>
                <w:bCs/>
                <w:color w:val="263287"/>
                <w:szCs w:val="22"/>
                <w:lang w:eastAsia="en-AU"/>
              </w:rPr>
            </w:pPr>
            <w:r w:rsidRPr="005F6FAD">
              <w:rPr>
                <w:rFonts w:eastAsia="Times New Roman"/>
                <w:b/>
                <w:bCs/>
                <w:color w:val="263287"/>
                <w:szCs w:val="22"/>
                <w:lang w:eastAsia="en-AU"/>
              </w:rPr>
              <w:t>Cohort 5 (N=8)</w:t>
            </w:r>
          </w:p>
        </w:tc>
        <w:tc>
          <w:tcPr>
            <w:tcW w:w="0" w:type="auto"/>
            <w:tcBorders>
              <w:top w:val="single" w:sz="4" w:space="0" w:color="263287"/>
              <w:left w:val="single" w:sz="4" w:space="0" w:color="263287"/>
              <w:bottom w:val="single" w:sz="4" w:space="0" w:color="263287"/>
              <w:right w:val="single" w:sz="4" w:space="0" w:color="263287"/>
            </w:tcBorders>
            <w:shd w:val="clear" w:color="auto" w:fill="DEEAF6"/>
            <w:vAlign w:val="center"/>
            <w:hideMark/>
          </w:tcPr>
          <w:p w14:paraId="26FE229D" w14:textId="77777777" w:rsidR="00596FCC" w:rsidRPr="005F6FAD" w:rsidRDefault="00596FCC" w:rsidP="005F6FAD">
            <w:pPr>
              <w:spacing w:after="0" w:line="240" w:lineRule="auto"/>
              <w:rPr>
                <w:rFonts w:eastAsia="Times New Roman"/>
                <w:b/>
                <w:bCs/>
                <w:color w:val="263287"/>
                <w:szCs w:val="22"/>
                <w:lang w:eastAsia="en-AU"/>
              </w:rPr>
            </w:pPr>
            <w:r w:rsidRPr="005F6FAD">
              <w:rPr>
                <w:rFonts w:eastAsia="Times New Roman"/>
                <w:b/>
                <w:bCs/>
                <w:color w:val="263287"/>
                <w:szCs w:val="22"/>
                <w:lang w:eastAsia="en-AU"/>
              </w:rPr>
              <w:t>Cohort 6 (N=8)</w:t>
            </w:r>
          </w:p>
        </w:tc>
        <w:tc>
          <w:tcPr>
            <w:tcW w:w="0" w:type="auto"/>
            <w:tcBorders>
              <w:top w:val="single" w:sz="4" w:space="0" w:color="263287"/>
              <w:left w:val="single" w:sz="4" w:space="0" w:color="263287"/>
              <w:bottom w:val="single" w:sz="4" w:space="0" w:color="263287"/>
              <w:right w:val="single" w:sz="4" w:space="0" w:color="263287"/>
            </w:tcBorders>
            <w:shd w:val="clear" w:color="auto" w:fill="DEEAF6"/>
            <w:vAlign w:val="center"/>
            <w:hideMark/>
          </w:tcPr>
          <w:p w14:paraId="7E829B53" w14:textId="77777777" w:rsidR="00596FCC" w:rsidRPr="005F6FAD" w:rsidRDefault="00596FCC" w:rsidP="005F6FAD">
            <w:pPr>
              <w:spacing w:after="0" w:line="240" w:lineRule="auto"/>
              <w:rPr>
                <w:rFonts w:eastAsia="Times New Roman"/>
                <w:b/>
                <w:bCs/>
                <w:color w:val="263287"/>
                <w:szCs w:val="22"/>
                <w:lang w:eastAsia="en-AU"/>
              </w:rPr>
            </w:pPr>
            <w:r w:rsidRPr="005F6FAD">
              <w:rPr>
                <w:rFonts w:eastAsia="Times New Roman"/>
                <w:b/>
                <w:bCs/>
                <w:color w:val="263287"/>
                <w:szCs w:val="22"/>
                <w:lang w:eastAsia="en-AU"/>
              </w:rPr>
              <w:t>Total (N=48)</w:t>
            </w:r>
          </w:p>
        </w:tc>
      </w:tr>
      <w:tr w:rsidR="00596FCC" w:rsidRPr="00CD07CB" w14:paraId="46E62DBD" w14:textId="77777777" w:rsidTr="005F6FAD">
        <w:tc>
          <w:tcPr>
            <w:tcW w:w="0" w:type="auto"/>
            <w:tcBorders>
              <w:top w:val="single" w:sz="4" w:space="0" w:color="263287"/>
            </w:tcBorders>
            <w:vAlign w:val="center"/>
            <w:hideMark/>
          </w:tcPr>
          <w:p w14:paraId="21C482DB" w14:textId="77777777" w:rsidR="00596FCC" w:rsidRPr="009C25AF" w:rsidRDefault="00596FCC" w:rsidP="00CC732D">
            <w:pPr>
              <w:spacing w:after="0" w:line="240" w:lineRule="auto"/>
              <w:rPr>
                <w:rFonts w:eastAsia="Times New Roman"/>
                <w:szCs w:val="22"/>
                <w:lang w:eastAsia="en-AU"/>
              </w:rPr>
            </w:pPr>
            <w:r w:rsidRPr="009C25AF">
              <w:rPr>
                <w:rFonts w:eastAsia="Times New Roman"/>
                <w:szCs w:val="22"/>
                <w:lang w:eastAsia="en-AU"/>
              </w:rPr>
              <w:t xml:space="preserve">Responder rate (%) (95% </w:t>
            </w:r>
            <w:proofErr w:type="gramStart"/>
            <w:r w:rsidRPr="009C25AF">
              <w:rPr>
                <w:rFonts w:eastAsia="Times New Roman"/>
                <w:szCs w:val="22"/>
                <w:lang w:eastAsia="en-AU"/>
              </w:rPr>
              <w:t>CI)*</w:t>
            </w:r>
            <w:proofErr w:type="gramEnd"/>
          </w:p>
        </w:tc>
        <w:tc>
          <w:tcPr>
            <w:tcW w:w="0" w:type="auto"/>
            <w:tcBorders>
              <w:top w:val="single" w:sz="4" w:space="0" w:color="263287"/>
            </w:tcBorders>
            <w:vAlign w:val="center"/>
            <w:hideMark/>
          </w:tcPr>
          <w:p w14:paraId="0ADCDC8F" w14:textId="77777777" w:rsidR="00596FCC" w:rsidRPr="00CD07CB" w:rsidRDefault="00596FCC" w:rsidP="00CC732D">
            <w:pPr>
              <w:spacing w:after="0" w:line="240" w:lineRule="auto"/>
              <w:rPr>
                <w:rFonts w:eastAsia="Times New Roman"/>
                <w:szCs w:val="22"/>
                <w:lang w:eastAsia="en-AU"/>
              </w:rPr>
            </w:pPr>
            <w:r w:rsidRPr="00CD07CB">
              <w:rPr>
                <w:rFonts w:eastAsia="Times New Roman"/>
                <w:szCs w:val="22"/>
                <w:lang w:eastAsia="en-AU"/>
              </w:rPr>
              <w:t>87.5 (47.35, 99.68)</w:t>
            </w:r>
          </w:p>
        </w:tc>
        <w:tc>
          <w:tcPr>
            <w:tcW w:w="0" w:type="auto"/>
            <w:tcBorders>
              <w:top w:val="single" w:sz="4" w:space="0" w:color="263287"/>
            </w:tcBorders>
            <w:vAlign w:val="center"/>
            <w:hideMark/>
          </w:tcPr>
          <w:p w14:paraId="56061AFC" w14:textId="77777777" w:rsidR="00596FCC" w:rsidRPr="00CD07CB" w:rsidRDefault="00596FCC" w:rsidP="00CC732D">
            <w:pPr>
              <w:spacing w:after="0" w:line="240" w:lineRule="auto"/>
              <w:rPr>
                <w:rFonts w:eastAsia="Times New Roman"/>
                <w:szCs w:val="22"/>
                <w:lang w:eastAsia="en-AU"/>
              </w:rPr>
            </w:pPr>
            <w:r w:rsidRPr="00CD07CB">
              <w:rPr>
                <w:rFonts w:eastAsia="Times New Roman"/>
                <w:szCs w:val="22"/>
                <w:lang w:eastAsia="en-AU"/>
              </w:rPr>
              <w:t>100 (63.06, 100)</w:t>
            </w:r>
          </w:p>
        </w:tc>
        <w:tc>
          <w:tcPr>
            <w:tcW w:w="0" w:type="auto"/>
            <w:tcBorders>
              <w:top w:val="single" w:sz="4" w:space="0" w:color="263287"/>
            </w:tcBorders>
            <w:vAlign w:val="center"/>
            <w:hideMark/>
          </w:tcPr>
          <w:p w14:paraId="434628DD" w14:textId="77777777" w:rsidR="00596FCC" w:rsidRPr="00CD07CB" w:rsidRDefault="00596FCC" w:rsidP="00CC732D">
            <w:pPr>
              <w:spacing w:after="0" w:line="240" w:lineRule="auto"/>
              <w:rPr>
                <w:rFonts w:eastAsia="Times New Roman"/>
                <w:szCs w:val="22"/>
                <w:lang w:eastAsia="en-AU"/>
              </w:rPr>
            </w:pPr>
            <w:r w:rsidRPr="00CD07CB">
              <w:rPr>
                <w:rFonts w:eastAsia="Times New Roman"/>
                <w:szCs w:val="22"/>
                <w:lang w:eastAsia="en-AU"/>
              </w:rPr>
              <w:t>87.5 (47.35, 99.68)</w:t>
            </w:r>
          </w:p>
        </w:tc>
        <w:tc>
          <w:tcPr>
            <w:tcW w:w="0" w:type="auto"/>
            <w:tcBorders>
              <w:top w:val="single" w:sz="4" w:space="0" w:color="263287"/>
            </w:tcBorders>
            <w:vAlign w:val="center"/>
            <w:hideMark/>
          </w:tcPr>
          <w:p w14:paraId="759A6EAA" w14:textId="77777777" w:rsidR="00596FCC" w:rsidRPr="00CD07CB" w:rsidRDefault="00596FCC" w:rsidP="00CC732D">
            <w:pPr>
              <w:spacing w:after="0" w:line="240" w:lineRule="auto"/>
              <w:rPr>
                <w:rFonts w:eastAsia="Times New Roman"/>
                <w:szCs w:val="22"/>
                <w:lang w:eastAsia="en-AU"/>
              </w:rPr>
            </w:pPr>
            <w:r w:rsidRPr="00CD07CB">
              <w:rPr>
                <w:rFonts w:eastAsia="Times New Roman"/>
                <w:szCs w:val="22"/>
                <w:lang w:eastAsia="en-AU"/>
              </w:rPr>
              <w:t>100 (63.06, 100)</w:t>
            </w:r>
          </w:p>
        </w:tc>
        <w:tc>
          <w:tcPr>
            <w:tcW w:w="0" w:type="auto"/>
            <w:tcBorders>
              <w:top w:val="single" w:sz="4" w:space="0" w:color="263287"/>
            </w:tcBorders>
            <w:vAlign w:val="center"/>
            <w:hideMark/>
          </w:tcPr>
          <w:p w14:paraId="40945B6E" w14:textId="77777777" w:rsidR="00596FCC" w:rsidRPr="00CD07CB" w:rsidRDefault="00596FCC" w:rsidP="00CC732D">
            <w:pPr>
              <w:spacing w:after="0" w:line="240" w:lineRule="auto"/>
              <w:rPr>
                <w:rFonts w:eastAsia="Times New Roman"/>
                <w:szCs w:val="22"/>
                <w:lang w:eastAsia="en-AU"/>
              </w:rPr>
            </w:pPr>
            <w:r w:rsidRPr="00CD07CB">
              <w:rPr>
                <w:rFonts w:eastAsia="Times New Roman"/>
                <w:szCs w:val="22"/>
                <w:lang w:eastAsia="en-AU"/>
              </w:rPr>
              <w:t>100 (63.06, 100)</w:t>
            </w:r>
          </w:p>
        </w:tc>
        <w:tc>
          <w:tcPr>
            <w:tcW w:w="0" w:type="auto"/>
            <w:tcBorders>
              <w:top w:val="single" w:sz="4" w:space="0" w:color="263287"/>
            </w:tcBorders>
            <w:vAlign w:val="center"/>
            <w:hideMark/>
          </w:tcPr>
          <w:p w14:paraId="1684658D" w14:textId="77777777" w:rsidR="00596FCC" w:rsidRPr="00CD07CB" w:rsidRDefault="00596FCC" w:rsidP="00CC732D">
            <w:pPr>
              <w:spacing w:after="0" w:line="240" w:lineRule="auto"/>
              <w:rPr>
                <w:rFonts w:eastAsia="Times New Roman"/>
                <w:szCs w:val="22"/>
                <w:lang w:eastAsia="en-AU"/>
              </w:rPr>
            </w:pPr>
            <w:r w:rsidRPr="00CD07CB">
              <w:rPr>
                <w:rFonts w:eastAsia="Times New Roman"/>
                <w:szCs w:val="22"/>
                <w:lang w:eastAsia="en-AU"/>
              </w:rPr>
              <w:t>100 (63.06, 100)</w:t>
            </w:r>
          </w:p>
        </w:tc>
        <w:tc>
          <w:tcPr>
            <w:tcW w:w="0" w:type="auto"/>
            <w:tcBorders>
              <w:top w:val="single" w:sz="4" w:space="0" w:color="263287"/>
            </w:tcBorders>
            <w:vAlign w:val="center"/>
            <w:hideMark/>
          </w:tcPr>
          <w:p w14:paraId="70389CD9" w14:textId="77777777" w:rsidR="00596FCC" w:rsidRPr="00CD07CB" w:rsidRDefault="00596FCC" w:rsidP="00CC732D">
            <w:pPr>
              <w:spacing w:after="0" w:line="240" w:lineRule="auto"/>
              <w:rPr>
                <w:rFonts w:eastAsia="Times New Roman"/>
                <w:szCs w:val="22"/>
                <w:lang w:eastAsia="en-AU"/>
              </w:rPr>
            </w:pPr>
            <w:r w:rsidRPr="00CD07CB">
              <w:rPr>
                <w:rFonts w:eastAsia="Times New Roman"/>
                <w:szCs w:val="22"/>
                <w:lang w:eastAsia="en-AU"/>
              </w:rPr>
              <w:t>95.8 (85.75, 99.49)</w:t>
            </w:r>
          </w:p>
        </w:tc>
      </w:tr>
    </w:tbl>
    <w:p w14:paraId="456CBBB4" w14:textId="797CCAE3" w:rsidR="00596FCC" w:rsidRDefault="00256BEB" w:rsidP="00E9146D">
      <w:pPr>
        <w:pStyle w:val="TableDescription"/>
        <w:rPr>
          <w:lang w:val="en-US"/>
        </w:rPr>
      </w:pPr>
      <w:r w:rsidRPr="00256BEB">
        <w:rPr>
          <w:lang w:val="en-US"/>
        </w:rPr>
        <w:t>CD, cluster of differentiation; CI, confidence interval; ITT, intent-to-treat.</w:t>
      </w:r>
      <w:r>
        <w:rPr>
          <w:lang w:val="en-US"/>
        </w:rPr>
        <w:t xml:space="preserve"> </w:t>
      </w:r>
      <w:r w:rsidRPr="00256BEB">
        <w:rPr>
          <w:lang w:val="en-US"/>
        </w:rPr>
        <w:t>A responder was defined as subjects with ≥9</w:t>
      </w:r>
      <w:r w:rsidR="00E9146D">
        <w:rPr>
          <w:lang w:val="en-US"/>
        </w:rPr>
        <w:t>5</w:t>
      </w:r>
      <w:r w:rsidRPr="00256BEB">
        <w:rPr>
          <w:lang w:val="en-US"/>
        </w:rPr>
        <w:t>% peripheral CD19+ B cell depletion from baseline within 2 weeks after the second ublituximab infusion (Week 3 Day 15).</w:t>
      </w:r>
      <w:r>
        <w:rPr>
          <w:lang w:val="en-US"/>
        </w:rPr>
        <w:t xml:space="preserve"> </w:t>
      </w:r>
      <w:r w:rsidRPr="00256BEB">
        <w:rPr>
          <w:lang w:val="en-US"/>
        </w:rPr>
        <w:t>The 95% CI was estimated using the Clopper–Pearson (exact) method.</w:t>
      </w:r>
    </w:p>
    <w:p w14:paraId="4D9A142A" w14:textId="519B66D5" w:rsidR="00E9146D" w:rsidRDefault="00544584" w:rsidP="0081111B">
      <w:pPr>
        <w:pStyle w:val="Heading4"/>
        <w:rPr>
          <w:lang w:val="en-US"/>
        </w:rPr>
      </w:pPr>
      <w:bookmarkStart w:id="47" w:name="_Toc225501999"/>
      <w:r w:rsidRPr="00544584">
        <w:rPr>
          <w:lang w:val="en-US"/>
        </w:rPr>
        <w:lastRenderedPageBreak/>
        <w:t>Efficacy</w:t>
      </w:r>
      <w:bookmarkEnd w:id="47"/>
    </w:p>
    <w:p w14:paraId="57DC7491" w14:textId="36F40405" w:rsidR="001643FC" w:rsidRDefault="001643FC" w:rsidP="0081111B">
      <w:pPr>
        <w:pStyle w:val="Heading5"/>
        <w:rPr>
          <w:lang w:val="en-US"/>
        </w:rPr>
      </w:pPr>
      <w:r>
        <w:rPr>
          <w:lang w:val="en-US"/>
        </w:rPr>
        <w:t>Pivotal studies</w:t>
      </w:r>
    </w:p>
    <w:p w14:paraId="040F9FA3" w14:textId="0F1B7E4F" w:rsidR="00FE22D9" w:rsidRPr="0092720E" w:rsidRDefault="00FE22D9" w:rsidP="00FE22D9">
      <w:pPr>
        <w:rPr>
          <w:lang w:val="en-US"/>
        </w:rPr>
      </w:pPr>
      <w:r w:rsidRPr="0092720E">
        <w:rPr>
          <w:lang w:val="en-US"/>
        </w:rPr>
        <w:t>TG1101-RMS301 (ULTIMATE I): a 120-week, Phase III, randomized, multicenter, double-blinded, double</w:t>
      </w:r>
      <w:r w:rsidR="00F00F59" w:rsidRPr="0092720E">
        <w:rPr>
          <w:lang w:val="en-US"/>
        </w:rPr>
        <w:t>-</w:t>
      </w:r>
      <w:r w:rsidRPr="0092720E">
        <w:rPr>
          <w:lang w:val="en-US"/>
        </w:rPr>
        <w:t xml:space="preserve">dummy, active-controlled study that was primarily designed to assess the </w:t>
      </w:r>
      <w:r w:rsidR="00931278">
        <w:rPr>
          <w:lang w:val="en-US"/>
        </w:rPr>
        <w:t>a</w:t>
      </w:r>
      <w:r w:rsidR="00931278" w:rsidRPr="00931278">
        <w:rPr>
          <w:lang w:val="en-US"/>
        </w:rPr>
        <w:t xml:space="preserve">nnualized relapse rate </w:t>
      </w:r>
      <w:r w:rsidR="00931278">
        <w:rPr>
          <w:lang w:val="en-US"/>
        </w:rPr>
        <w:t>(</w:t>
      </w:r>
      <w:r w:rsidRPr="0092720E">
        <w:rPr>
          <w:lang w:val="en-US"/>
        </w:rPr>
        <w:t>ARR</w:t>
      </w:r>
      <w:r w:rsidR="00931278">
        <w:rPr>
          <w:lang w:val="en-US"/>
        </w:rPr>
        <w:t>)</w:t>
      </w:r>
      <w:r w:rsidRPr="0092720E">
        <w:rPr>
          <w:lang w:val="en-US"/>
        </w:rPr>
        <w:t xml:space="preserve"> and safety/tolerability of ublituximab/oral placebo as compared to </w:t>
      </w:r>
      <w:r w:rsidR="00F00F59" w:rsidRPr="0092720E">
        <w:rPr>
          <w:lang w:val="en-US"/>
        </w:rPr>
        <w:t>teri</w:t>
      </w:r>
      <w:r w:rsidR="00F00F59" w:rsidRPr="0092720E">
        <w:rPr>
          <w:rFonts w:cs="Cambria"/>
          <w:lang w:val="en-US"/>
        </w:rPr>
        <w:t>f</w:t>
      </w:r>
      <w:r w:rsidR="00F00F59" w:rsidRPr="0092720E">
        <w:rPr>
          <w:lang w:val="en-US"/>
        </w:rPr>
        <w:t>lunomide</w:t>
      </w:r>
      <w:r w:rsidRPr="0092720E">
        <w:rPr>
          <w:lang w:val="en-US"/>
        </w:rPr>
        <w:t>/intravenous (IV) placebo in subjects with RMS.</w:t>
      </w:r>
    </w:p>
    <w:p w14:paraId="52EB5BE8" w14:textId="56648EF1" w:rsidR="00FE22D9" w:rsidRPr="00FE22D9" w:rsidRDefault="00FE22D9" w:rsidP="00FE22D9">
      <w:pPr>
        <w:rPr>
          <w:lang w:val="en-US"/>
        </w:rPr>
      </w:pPr>
      <w:r w:rsidRPr="0092720E">
        <w:rPr>
          <w:lang w:val="en-US"/>
        </w:rPr>
        <w:t>TG1101-RMS302 (ULTIMATE II): a 120-week, Phase III, randomized, multicenter, double-</w:t>
      </w:r>
      <w:r w:rsidRPr="00FE22D9">
        <w:rPr>
          <w:lang w:val="en-US"/>
        </w:rPr>
        <w:t>blinded, double</w:t>
      </w:r>
      <w:r w:rsidR="00F00F59">
        <w:rPr>
          <w:lang w:val="en-US"/>
        </w:rPr>
        <w:t>-</w:t>
      </w:r>
      <w:r w:rsidRPr="00FE22D9">
        <w:rPr>
          <w:lang w:val="en-US"/>
        </w:rPr>
        <w:t xml:space="preserve">dummy, active-controlled study to assess the ARR and safety/tolerability of Ublituximab/oral placebo compared to </w:t>
      </w:r>
      <w:r w:rsidR="00F00F59" w:rsidRPr="00FE22D9">
        <w:rPr>
          <w:lang w:val="en-US"/>
        </w:rPr>
        <w:t>teri</w:t>
      </w:r>
      <w:r w:rsidR="00F00F59" w:rsidRPr="00FE22D9">
        <w:rPr>
          <w:rFonts w:cs="Cambria"/>
          <w:lang w:val="en-US"/>
        </w:rPr>
        <w:t>f</w:t>
      </w:r>
      <w:r w:rsidR="00F00F59" w:rsidRPr="00FE22D9">
        <w:rPr>
          <w:lang w:val="en-US"/>
        </w:rPr>
        <w:t>lunomide</w:t>
      </w:r>
      <w:r w:rsidRPr="00FE22D9">
        <w:rPr>
          <w:lang w:val="en-US"/>
        </w:rPr>
        <w:t>/IV placebo in subjects with RMS.</w:t>
      </w:r>
    </w:p>
    <w:p w14:paraId="2A31A2C8" w14:textId="28287705" w:rsidR="00FE22D9" w:rsidRPr="00FE22D9" w:rsidRDefault="00FE22D9" w:rsidP="00FE22D9">
      <w:pPr>
        <w:rPr>
          <w:lang w:val="en-US"/>
        </w:rPr>
      </w:pPr>
      <w:r w:rsidRPr="00FE22D9">
        <w:rPr>
          <w:lang w:val="en-US"/>
        </w:rPr>
        <w:t xml:space="preserve">Both pivotal studies TG1101-RMS301 and TG1101-RMS302 had identical </w:t>
      </w:r>
      <w:r w:rsidR="008F6001">
        <w:rPr>
          <w:lang w:val="en-US"/>
        </w:rPr>
        <w:t xml:space="preserve">design (Figure 1 and Table </w:t>
      </w:r>
      <w:r w:rsidR="00712BF0">
        <w:rPr>
          <w:lang w:val="en-US"/>
        </w:rPr>
        <w:t>4</w:t>
      </w:r>
      <w:r w:rsidR="008F6001">
        <w:rPr>
          <w:lang w:val="en-US"/>
        </w:rPr>
        <w:t>)</w:t>
      </w:r>
      <w:r w:rsidRPr="00FE22D9">
        <w:rPr>
          <w:lang w:val="en-US"/>
        </w:rPr>
        <w:t>.</w:t>
      </w:r>
    </w:p>
    <w:p w14:paraId="76D1484D" w14:textId="513EE6CD" w:rsidR="00FE22D9" w:rsidRPr="00FE22D9" w:rsidRDefault="00FE22D9" w:rsidP="0081111B">
      <w:pPr>
        <w:pStyle w:val="Heading5"/>
        <w:rPr>
          <w:lang w:val="en-US"/>
        </w:rPr>
      </w:pPr>
      <w:r w:rsidRPr="00FE22D9">
        <w:rPr>
          <w:lang w:val="en-US"/>
        </w:rPr>
        <w:t>Inclusion criteria</w:t>
      </w:r>
    </w:p>
    <w:p w14:paraId="060D0453" w14:textId="6BEE65B7" w:rsidR="00742643" w:rsidRDefault="00FE22D9" w:rsidP="00FE22D9">
      <w:pPr>
        <w:rPr>
          <w:lang w:val="en-US"/>
        </w:rPr>
      </w:pPr>
      <w:r w:rsidRPr="00FE22D9">
        <w:rPr>
          <w:lang w:val="en-US"/>
        </w:rPr>
        <w:t xml:space="preserve">Subjects </w:t>
      </w:r>
      <w:r w:rsidR="005F6FAD">
        <w:rPr>
          <w:lang w:val="en-US"/>
        </w:rPr>
        <w:t>me</w:t>
      </w:r>
      <w:r w:rsidRPr="00FE22D9">
        <w:rPr>
          <w:lang w:val="en-US"/>
        </w:rPr>
        <w:t>t the following inclusion criteria to be eligible for participation in this study: patients with 18-55 years of age diagnosed as having RMS (McDonald criteria 2010</w:t>
      </w:r>
      <w:r w:rsidR="009A46C7">
        <w:rPr>
          <w:rStyle w:val="FootnoteReference"/>
          <w:lang w:val="en-US"/>
        </w:rPr>
        <w:footnoteReference w:id="21"/>
      </w:r>
      <w:r w:rsidRPr="00FE22D9">
        <w:rPr>
          <w:lang w:val="en-US"/>
        </w:rPr>
        <w:t xml:space="preserve">) with </w:t>
      </w:r>
      <w:r w:rsidR="0059738C" w:rsidRPr="0059738C">
        <w:rPr>
          <w:lang w:val="en-US"/>
        </w:rPr>
        <w:t xml:space="preserve">Expanded Disability Status Scale </w:t>
      </w:r>
      <w:r w:rsidR="0059738C">
        <w:rPr>
          <w:lang w:val="en-US"/>
        </w:rPr>
        <w:t>(</w:t>
      </w:r>
      <w:r w:rsidRPr="00FE22D9">
        <w:rPr>
          <w:lang w:val="en-US"/>
        </w:rPr>
        <w:t>EDSS</w:t>
      </w:r>
      <w:r w:rsidR="0059738C">
        <w:rPr>
          <w:lang w:val="en-US"/>
        </w:rPr>
        <w:t>)</w:t>
      </w:r>
      <w:r w:rsidRPr="00FE22D9">
        <w:rPr>
          <w:lang w:val="en-US"/>
        </w:rPr>
        <w:t xml:space="preserve"> between 0 and 5.5 (inclusive) at screenings and active disease as </w:t>
      </w:r>
      <w:r w:rsidR="006B030E" w:rsidRPr="00FE22D9">
        <w:rPr>
          <w:lang w:val="en-US"/>
        </w:rPr>
        <w:t>de</w:t>
      </w:r>
      <w:r w:rsidR="006B030E" w:rsidRPr="00FE22D9">
        <w:rPr>
          <w:rFonts w:cs="Cambria"/>
          <w:lang w:val="en-US"/>
        </w:rPr>
        <w:t>f</w:t>
      </w:r>
      <w:r w:rsidR="006B030E" w:rsidRPr="00FE22D9">
        <w:rPr>
          <w:lang w:val="en-US"/>
        </w:rPr>
        <w:t>ined</w:t>
      </w:r>
      <w:r w:rsidRPr="00FE22D9">
        <w:rPr>
          <w:lang w:val="en-US"/>
        </w:rPr>
        <w:t xml:space="preserve"> by ≥2 relapses in prior 2 years or 1 relapse in the year prior to screening and/or ≥1 Gd enhancing lesion. As per mechanism of action, B cell counts ≥5% of total lymphocytes </w:t>
      </w:r>
      <w:proofErr w:type="gramStart"/>
      <w:r w:rsidRPr="00FE22D9">
        <w:rPr>
          <w:lang w:val="en-US"/>
        </w:rPr>
        <w:t>was</w:t>
      </w:r>
      <w:proofErr w:type="gramEnd"/>
      <w:r w:rsidRPr="00FE22D9">
        <w:rPr>
          <w:lang w:val="en-US"/>
        </w:rPr>
        <w:t xml:space="preserve"> required </w:t>
      </w:r>
    </w:p>
    <w:p w14:paraId="55CF9939" w14:textId="18A17B89" w:rsidR="00FE22D9" w:rsidRPr="00FE22D9" w:rsidRDefault="00FE22D9" w:rsidP="0081111B">
      <w:pPr>
        <w:pStyle w:val="Heading5"/>
        <w:rPr>
          <w:lang w:val="en-US"/>
        </w:rPr>
      </w:pPr>
      <w:r w:rsidRPr="00FE22D9">
        <w:rPr>
          <w:lang w:val="en-US"/>
        </w:rPr>
        <w:t>Treatments</w:t>
      </w:r>
    </w:p>
    <w:p w14:paraId="1836053D" w14:textId="694AC185" w:rsidR="00FE22D9" w:rsidRDefault="00FE22D9" w:rsidP="00FE22D9">
      <w:pPr>
        <w:rPr>
          <w:lang w:val="en-US"/>
        </w:rPr>
      </w:pPr>
      <w:r w:rsidRPr="00FE22D9">
        <w:rPr>
          <w:lang w:val="en-US"/>
        </w:rPr>
        <w:t xml:space="preserve">Subjects were screened up to 4 weeks (28 days) before the </w:t>
      </w:r>
      <w:r w:rsidR="00742643">
        <w:rPr>
          <w:rFonts w:cs="Cambria"/>
          <w:lang w:val="en-US"/>
        </w:rPr>
        <w:t>f</w:t>
      </w:r>
      <w:r w:rsidRPr="00FE22D9">
        <w:rPr>
          <w:lang w:val="en-US"/>
        </w:rPr>
        <w:t xml:space="preserve">irst dosing date of study medication (ublituximab/oral placebo or </w:t>
      </w:r>
      <w:r w:rsidR="00742643" w:rsidRPr="00FE22D9">
        <w:rPr>
          <w:lang w:val="en-US"/>
        </w:rPr>
        <w:t>teri</w:t>
      </w:r>
      <w:r w:rsidR="00742643" w:rsidRPr="00FE22D9">
        <w:rPr>
          <w:rFonts w:cs="Cambria"/>
          <w:lang w:val="en-US"/>
        </w:rPr>
        <w:t>f</w:t>
      </w:r>
      <w:r w:rsidR="00742643" w:rsidRPr="00FE22D9">
        <w:rPr>
          <w:lang w:val="en-US"/>
        </w:rPr>
        <w:t>lunomide</w:t>
      </w:r>
      <w:r w:rsidRPr="00FE22D9">
        <w:rPr>
          <w:lang w:val="en-US"/>
        </w:rPr>
        <w:t>/IV placebo). Quali</w:t>
      </w:r>
      <w:r w:rsidR="00742643">
        <w:rPr>
          <w:lang w:val="en-US"/>
        </w:rPr>
        <w:t>f</w:t>
      </w:r>
      <w:r w:rsidRPr="00FE22D9">
        <w:rPr>
          <w:lang w:val="en-US"/>
        </w:rPr>
        <w:t xml:space="preserve">ied subjects were randomized in a 1:1 ratio to receive either ublituximab/oral placebo on Week 1 Day 1, Week 3 Day 15, and Weeks 24, 48, and 72 or </w:t>
      </w:r>
      <w:r w:rsidR="00742643" w:rsidRPr="00FE22D9">
        <w:rPr>
          <w:lang w:val="en-US"/>
        </w:rPr>
        <w:t>teri</w:t>
      </w:r>
      <w:r w:rsidR="00742643" w:rsidRPr="00FE22D9">
        <w:rPr>
          <w:rFonts w:cs="Cambria"/>
          <w:lang w:val="en-US"/>
        </w:rPr>
        <w:t>f</w:t>
      </w:r>
      <w:r w:rsidR="00742643" w:rsidRPr="00FE22D9">
        <w:rPr>
          <w:lang w:val="en-US"/>
        </w:rPr>
        <w:t>lunomide</w:t>
      </w:r>
      <w:r w:rsidRPr="00FE22D9">
        <w:rPr>
          <w:lang w:val="en-US"/>
        </w:rPr>
        <w:t xml:space="preserve">/IV placebo (14 mg, daily starting on Week 1 Day 1 until the last day of Week 95). Upon cessation of study treatment, the subjects were followed for another 20 weeks to enable </w:t>
      </w:r>
      <w:r w:rsidR="005D1DE2" w:rsidRPr="00FE22D9">
        <w:rPr>
          <w:lang w:val="en-US"/>
        </w:rPr>
        <w:t>teri</w:t>
      </w:r>
      <w:r w:rsidR="005D1DE2" w:rsidRPr="00FE22D9">
        <w:rPr>
          <w:rFonts w:cs="Cambria"/>
          <w:lang w:val="en-US"/>
        </w:rPr>
        <w:t>f</w:t>
      </w:r>
      <w:r w:rsidR="005D1DE2" w:rsidRPr="00FE22D9">
        <w:rPr>
          <w:lang w:val="en-US"/>
        </w:rPr>
        <w:t>lunomide</w:t>
      </w:r>
      <w:r w:rsidRPr="00FE22D9">
        <w:rPr>
          <w:lang w:val="en-US"/>
        </w:rPr>
        <w:t xml:space="preserve"> elimination monitoring.</w:t>
      </w:r>
    </w:p>
    <w:p w14:paraId="4FFA393F" w14:textId="6DB31D6D" w:rsidR="00D95BEC" w:rsidRDefault="00D95BEC" w:rsidP="00D95BEC">
      <w:pPr>
        <w:pStyle w:val="FigureTitle"/>
        <w:rPr>
          <w:lang w:val="en-US"/>
        </w:rPr>
      </w:pPr>
      <w:r w:rsidRPr="00D95BEC">
        <w:rPr>
          <w:lang w:val="en-US"/>
        </w:rPr>
        <w:lastRenderedPageBreak/>
        <w:t>Figure 1</w:t>
      </w:r>
      <w:r>
        <w:rPr>
          <w:lang w:val="en-US"/>
        </w:rPr>
        <w:t>.</w:t>
      </w:r>
      <w:r w:rsidRPr="00D95BEC">
        <w:rPr>
          <w:lang w:val="en-US"/>
        </w:rPr>
        <w:t xml:space="preserve"> Study Design for Study TG1101-RMS301 and TG1101-RMS302</w:t>
      </w:r>
    </w:p>
    <w:p w14:paraId="018E70C4" w14:textId="1028F94E" w:rsidR="00895F0D" w:rsidRPr="00FE22D9" w:rsidRDefault="00895F0D" w:rsidP="00A8156D">
      <w:pPr>
        <w:rPr>
          <w:lang w:val="en-US"/>
        </w:rPr>
      </w:pPr>
      <w:r w:rsidRPr="00895F0D">
        <w:rPr>
          <w:noProof/>
          <w:lang w:val="en-US"/>
        </w:rPr>
        <w:drawing>
          <wp:inline distT="0" distB="0" distL="0" distR="0" wp14:anchorId="0EF0CCFA" wp14:editId="48FCA40E">
            <wp:extent cx="5759450" cy="3396615"/>
            <wp:effectExtent l="0" t="0" r="0" b="0"/>
            <wp:docPr id="786609755" name="Picture 1" descr="Figure 1. Study Design for Study TG1101-RMS301 and TG1101-RMS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609755" name="Picture 1" descr="Figure 1. Study Design for Study TG1101-RMS301 and TG1101-RMS302"/>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Lst>
                    </a:blip>
                    <a:stretch>
                      <a:fillRect/>
                    </a:stretch>
                  </pic:blipFill>
                  <pic:spPr>
                    <a:xfrm>
                      <a:off x="0" y="0"/>
                      <a:ext cx="5759450" cy="3396615"/>
                    </a:xfrm>
                    <a:prstGeom prst="rect">
                      <a:avLst/>
                    </a:prstGeom>
                  </pic:spPr>
                </pic:pic>
              </a:graphicData>
            </a:graphic>
          </wp:inline>
        </w:drawing>
      </w:r>
    </w:p>
    <w:p w14:paraId="1E001418" w14:textId="12E413B6" w:rsidR="00FE22D9" w:rsidRDefault="001412C3" w:rsidP="001412C3">
      <w:pPr>
        <w:pStyle w:val="TableTitle"/>
        <w:rPr>
          <w:noProof/>
        </w:rPr>
      </w:pPr>
      <w:r w:rsidRPr="001412C3">
        <w:rPr>
          <w:lang w:val="en-US"/>
        </w:rPr>
        <w:t xml:space="preserve">Table </w:t>
      </w:r>
      <w:r w:rsidR="00712BF0">
        <w:rPr>
          <w:lang w:val="en-US"/>
        </w:rPr>
        <w:t>4</w:t>
      </w:r>
      <w:r>
        <w:rPr>
          <w:lang w:val="en-US"/>
        </w:rPr>
        <w:t>.</w:t>
      </w:r>
      <w:r w:rsidRPr="001412C3">
        <w:rPr>
          <w:lang w:val="en-US"/>
        </w:rPr>
        <w:t xml:space="preserve"> Study Treatment and Dosing Regimen in Study TG1101-RMS301 and – RMS302</w:t>
      </w:r>
      <w:r w:rsidR="006F53CC" w:rsidRPr="006F53CC">
        <w:rPr>
          <w:noProof/>
        </w:rPr>
        <w:t xml:space="preserve"> </w:t>
      </w:r>
    </w:p>
    <w:tbl>
      <w:tblPr>
        <w:tblW w:w="0" w:type="auto"/>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ayout w:type="fixed"/>
        <w:tblCellMar>
          <w:top w:w="15" w:type="dxa"/>
          <w:left w:w="15" w:type="dxa"/>
          <w:bottom w:w="15" w:type="dxa"/>
          <w:right w:w="15" w:type="dxa"/>
        </w:tblCellMar>
        <w:tblLook w:val="04A0" w:firstRow="1" w:lastRow="0" w:firstColumn="1" w:lastColumn="0" w:noHBand="0" w:noVBand="1"/>
        <w:tblDescription w:val="Table 4. Study Treatment and Dosing Regimen in Study TG1101-RMS301 and – RMS302 "/>
      </w:tblPr>
      <w:tblGrid>
        <w:gridCol w:w="2458"/>
        <w:gridCol w:w="1078"/>
        <w:gridCol w:w="795"/>
        <w:gridCol w:w="1238"/>
        <w:gridCol w:w="1238"/>
        <w:gridCol w:w="1238"/>
        <w:gridCol w:w="878"/>
      </w:tblGrid>
      <w:tr w:rsidR="005521A0" w:rsidRPr="005521A0" w14:paraId="290E8CA5" w14:textId="77777777" w:rsidTr="005521A0">
        <w:trPr>
          <w:tblHeader/>
        </w:trPr>
        <w:tc>
          <w:tcPr>
            <w:tcW w:w="2458" w:type="dxa"/>
            <w:shd w:val="clear" w:color="auto" w:fill="DEEAF6"/>
            <w:vAlign w:val="center"/>
            <w:hideMark/>
          </w:tcPr>
          <w:p w14:paraId="552D16D4" w14:textId="77777777" w:rsidR="005521A0" w:rsidRPr="005521A0" w:rsidRDefault="005521A0" w:rsidP="005521A0">
            <w:pPr>
              <w:spacing w:after="0" w:line="240" w:lineRule="auto"/>
              <w:jc w:val="center"/>
              <w:rPr>
                <w:rFonts w:eastAsia="Times New Roman" w:cstheme="minorHAnsi"/>
                <w:b/>
                <w:bCs/>
                <w:color w:val="263287"/>
                <w:sz w:val="20"/>
                <w:lang w:eastAsia="en-AU"/>
              </w:rPr>
            </w:pPr>
            <w:r w:rsidRPr="005521A0">
              <w:rPr>
                <w:rFonts w:eastAsia="Times New Roman" w:cstheme="minorHAnsi"/>
                <w:b/>
                <w:bCs/>
                <w:color w:val="263287"/>
                <w:sz w:val="20"/>
                <w:lang w:eastAsia="en-AU"/>
              </w:rPr>
              <w:t>Treatment arm</w:t>
            </w:r>
          </w:p>
        </w:tc>
        <w:tc>
          <w:tcPr>
            <w:tcW w:w="1078" w:type="dxa"/>
            <w:shd w:val="clear" w:color="auto" w:fill="DEEAF6"/>
            <w:vAlign w:val="center"/>
            <w:hideMark/>
          </w:tcPr>
          <w:p w14:paraId="3DD19E47" w14:textId="77777777" w:rsidR="005521A0" w:rsidRPr="005521A0" w:rsidRDefault="005521A0" w:rsidP="005521A0">
            <w:pPr>
              <w:spacing w:after="0" w:line="240" w:lineRule="auto"/>
              <w:jc w:val="center"/>
              <w:rPr>
                <w:rFonts w:eastAsia="Times New Roman" w:cstheme="minorHAnsi"/>
                <w:b/>
                <w:bCs/>
                <w:color w:val="263287"/>
                <w:sz w:val="20"/>
                <w:lang w:eastAsia="en-AU"/>
              </w:rPr>
            </w:pPr>
            <w:r w:rsidRPr="005521A0">
              <w:rPr>
                <w:rFonts w:eastAsia="Times New Roman" w:cstheme="minorHAnsi"/>
                <w:b/>
                <w:bCs/>
                <w:color w:val="263287"/>
                <w:sz w:val="20"/>
                <w:lang w:eastAsia="en-AU"/>
              </w:rPr>
              <w:t>Week 1 Day 1</w:t>
            </w:r>
          </w:p>
        </w:tc>
        <w:tc>
          <w:tcPr>
            <w:tcW w:w="795" w:type="dxa"/>
            <w:shd w:val="clear" w:color="auto" w:fill="DEEAF6"/>
            <w:vAlign w:val="center"/>
            <w:hideMark/>
          </w:tcPr>
          <w:p w14:paraId="2DB1ECC6" w14:textId="77777777" w:rsidR="005521A0" w:rsidRPr="005521A0" w:rsidRDefault="005521A0" w:rsidP="005521A0">
            <w:pPr>
              <w:spacing w:after="0" w:line="240" w:lineRule="auto"/>
              <w:jc w:val="center"/>
              <w:rPr>
                <w:rFonts w:eastAsia="Times New Roman" w:cstheme="minorHAnsi"/>
                <w:b/>
                <w:bCs/>
                <w:color w:val="263287"/>
                <w:sz w:val="20"/>
                <w:lang w:eastAsia="en-AU"/>
              </w:rPr>
            </w:pPr>
            <w:r w:rsidRPr="005521A0">
              <w:rPr>
                <w:rFonts w:eastAsia="Times New Roman" w:cstheme="minorHAnsi"/>
                <w:b/>
                <w:bCs/>
                <w:color w:val="263287"/>
                <w:sz w:val="20"/>
                <w:lang w:eastAsia="en-AU"/>
              </w:rPr>
              <w:t>Week 3 Day 15</w:t>
            </w:r>
          </w:p>
        </w:tc>
        <w:tc>
          <w:tcPr>
            <w:tcW w:w="1238" w:type="dxa"/>
            <w:shd w:val="clear" w:color="auto" w:fill="DEEAF6"/>
            <w:vAlign w:val="center"/>
            <w:hideMark/>
          </w:tcPr>
          <w:p w14:paraId="1DD53FC0" w14:textId="77777777" w:rsidR="005521A0" w:rsidRPr="005521A0" w:rsidRDefault="005521A0" w:rsidP="005521A0">
            <w:pPr>
              <w:spacing w:after="0" w:line="240" w:lineRule="auto"/>
              <w:jc w:val="center"/>
              <w:rPr>
                <w:rFonts w:eastAsia="Times New Roman" w:cstheme="minorHAnsi"/>
                <w:b/>
                <w:bCs/>
                <w:color w:val="263287"/>
                <w:sz w:val="20"/>
                <w:lang w:eastAsia="en-AU"/>
              </w:rPr>
            </w:pPr>
            <w:r w:rsidRPr="005521A0">
              <w:rPr>
                <w:rFonts w:eastAsia="Times New Roman" w:cstheme="minorHAnsi"/>
                <w:b/>
                <w:bCs/>
                <w:color w:val="263287"/>
                <w:sz w:val="20"/>
                <w:lang w:eastAsia="en-AU"/>
              </w:rPr>
              <w:t>Week 24</w:t>
            </w:r>
          </w:p>
        </w:tc>
        <w:tc>
          <w:tcPr>
            <w:tcW w:w="1238" w:type="dxa"/>
            <w:shd w:val="clear" w:color="auto" w:fill="DEEAF6"/>
            <w:vAlign w:val="center"/>
            <w:hideMark/>
          </w:tcPr>
          <w:p w14:paraId="18FB57BC" w14:textId="77777777" w:rsidR="005521A0" w:rsidRPr="005521A0" w:rsidRDefault="005521A0" w:rsidP="005521A0">
            <w:pPr>
              <w:spacing w:after="0" w:line="240" w:lineRule="auto"/>
              <w:jc w:val="center"/>
              <w:rPr>
                <w:rFonts w:eastAsia="Times New Roman" w:cstheme="minorHAnsi"/>
                <w:b/>
                <w:bCs/>
                <w:color w:val="263287"/>
                <w:sz w:val="20"/>
                <w:lang w:eastAsia="en-AU"/>
              </w:rPr>
            </w:pPr>
            <w:r w:rsidRPr="005521A0">
              <w:rPr>
                <w:rFonts w:eastAsia="Times New Roman" w:cstheme="minorHAnsi"/>
                <w:b/>
                <w:bCs/>
                <w:color w:val="263287"/>
                <w:sz w:val="20"/>
                <w:lang w:eastAsia="en-AU"/>
              </w:rPr>
              <w:t>Week 48</w:t>
            </w:r>
          </w:p>
        </w:tc>
        <w:tc>
          <w:tcPr>
            <w:tcW w:w="1238" w:type="dxa"/>
            <w:shd w:val="clear" w:color="auto" w:fill="DEEAF6"/>
            <w:vAlign w:val="center"/>
            <w:hideMark/>
          </w:tcPr>
          <w:p w14:paraId="7D617680" w14:textId="77777777" w:rsidR="005521A0" w:rsidRPr="005521A0" w:rsidRDefault="005521A0" w:rsidP="005521A0">
            <w:pPr>
              <w:spacing w:after="0" w:line="240" w:lineRule="auto"/>
              <w:jc w:val="center"/>
              <w:rPr>
                <w:rFonts w:eastAsia="Times New Roman" w:cstheme="minorHAnsi"/>
                <w:b/>
                <w:bCs/>
                <w:color w:val="263287"/>
                <w:sz w:val="20"/>
                <w:lang w:eastAsia="en-AU"/>
              </w:rPr>
            </w:pPr>
            <w:r w:rsidRPr="005521A0">
              <w:rPr>
                <w:rFonts w:eastAsia="Times New Roman" w:cstheme="minorHAnsi"/>
                <w:b/>
                <w:bCs/>
                <w:color w:val="263287"/>
                <w:sz w:val="20"/>
                <w:lang w:eastAsia="en-AU"/>
              </w:rPr>
              <w:t>Week 72</w:t>
            </w:r>
          </w:p>
        </w:tc>
        <w:tc>
          <w:tcPr>
            <w:tcW w:w="878" w:type="dxa"/>
            <w:shd w:val="clear" w:color="auto" w:fill="DEEAF6"/>
            <w:vAlign w:val="center"/>
            <w:hideMark/>
          </w:tcPr>
          <w:p w14:paraId="1F0BF6FA" w14:textId="77777777" w:rsidR="005521A0" w:rsidRPr="005521A0" w:rsidRDefault="005521A0" w:rsidP="005521A0">
            <w:pPr>
              <w:spacing w:after="0" w:line="240" w:lineRule="auto"/>
              <w:jc w:val="center"/>
              <w:rPr>
                <w:rFonts w:eastAsia="Times New Roman" w:cstheme="minorHAnsi"/>
                <w:b/>
                <w:bCs/>
                <w:sz w:val="20"/>
                <w:lang w:eastAsia="en-AU"/>
              </w:rPr>
            </w:pPr>
            <w:r w:rsidRPr="005521A0">
              <w:rPr>
                <w:rFonts w:eastAsia="Times New Roman" w:cstheme="minorHAnsi"/>
                <w:b/>
                <w:bCs/>
                <w:color w:val="263287"/>
                <w:sz w:val="20"/>
                <w:lang w:eastAsia="en-AU"/>
              </w:rPr>
              <w:t>Week 96</w:t>
            </w:r>
          </w:p>
        </w:tc>
      </w:tr>
      <w:tr w:rsidR="005521A0" w:rsidRPr="005521A0" w14:paraId="2BE85B3C" w14:textId="77777777" w:rsidTr="005521A0">
        <w:tc>
          <w:tcPr>
            <w:tcW w:w="2458" w:type="dxa"/>
            <w:vMerge w:val="restart"/>
            <w:vAlign w:val="center"/>
            <w:hideMark/>
          </w:tcPr>
          <w:p w14:paraId="2E3655C8" w14:textId="77777777" w:rsidR="005521A0" w:rsidRPr="009C25AF" w:rsidRDefault="005521A0" w:rsidP="005521A0">
            <w:pPr>
              <w:spacing w:after="0" w:line="240" w:lineRule="auto"/>
              <w:rPr>
                <w:rFonts w:eastAsia="Times New Roman" w:cstheme="minorHAnsi"/>
                <w:sz w:val="20"/>
                <w:lang w:eastAsia="en-AU"/>
              </w:rPr>
            </w:pPr>
            <w:r w:rsidRPr="009C25AF">
              <w:rPr>
                <w:rFonts w:eastAsia="Times New Roman" w:cstheme="minorHAnsi"/>
                <w:sz w:val="20"/>
                <w:lang w:eastAsia="en-AU"/>
              </w:rPr>
              <w:t>Ublituximab plus oral placebo</w:t>
            </w:r>
          </w:p>
        </w:tc>
        <w:tc>
          <w:tcPr>
            <w:tcW w:w="1078" w:type="dxa"/>
            <w:vAlign w:val="center"/>
            <w:hideMark/>
          </w:tcPr>
          <w:p w14:paraId="7585AA34" w14:textId="77777777" w:rsidR="005521A0" w:rsidRPr="005521A0" w:rsidRDefault="005521A0" w:rsidP="005521A0">
            <w:pPr>
              <w:spacing w:after="0" w:line="240" w:lineRule="auto"/>
              <w:rPr>
                <w:rFonts w:eastAsia="Times New Roman" w:cstheme="minorHAnsi"/>
                <w:sz w:val="20"/>
                <w:lang w:eastAsia="en-AU"/>
              </w:rPr>
            </w:pPr>
            <w:r w:rsidRPr="005521A0">
              <w:rPr>
                <w:rFonts w:eastAsia="Times New Roman" w:cstheme="minorHAnsi"/>
                <w:sz w:val="20"/>
                <w:lang w:eastAsia="en-AU"/>
              </w:rPr>
              <w:t>UTX (150 mg/4 h)</w:t>
            </w:r>
          </w:p>
        </w:tc>
        <w:tc>
          <w:tcPr>
            <w:tcW w:w="795" w:type="dxa"/>
            <w:vAlign w:val="center"/>
            <w:hideMark/>
          </w:tcPr>
          <w:p w14:paraId="23DF70D9" w14:textId="77777777" w:rsidR="005521A0" w:rsidRPr="005521A0" w:rsidRDefault="005521A0" w:rsidP="005521A0">
            <w:pPr>
              <w:spacing w:after="0" w:line="240" w:lineRule="auto"/>
              <w:rPr>
                <w:rFonts w:eastAsia="Times New Roman" w:cstheme="minorHAnsi"/>
                <w:sz w:val="20"/>
                <w:lang w:eastAsia="en-AU"/>
              </w:rPr>
            </w:pPr>
            <w:r w:rsidRPr="005521A0">
              <w:rPr>
                <w:rFonts w:eastAsia="Times New Roman" w:cstheme="minorHAnsi"/>
                <w:sz w:val="20"/>
                <w:lang w:eastAsia="en-AU"/>
              </w:rPr>
              <w:t>UTX (450 mg/1 h)</w:t>
            </w:r>
          </w:p>
        </w:tc>
        <w:tc>
          <w:tcPr>
            <w:tcW w:w="1238" w:type="dxa"/>
            <w:vAlign w:val="center"/>
            <w:hideMark/>
          </w:tcPr>
          <w:p w14:paraId="4DF8F44C" w14:textId="77777777" w:rsidR="005521A0" w:rsidRPr="005521A0" w:rsidRDefault="005521A0" w:rsidP="005521A0">
            <w:pPr>
              <w:spacing w:after="0" w:line="240" w:lineRule="auto"/>
              <w:rPr>
                <w:rFonts w:eastAsia="Times New Roman" w:cstheme="minorHAnsi"/>
                <w:sz w:val="20"/>
                <w:lang w:eastAsia="en-AU"/>
              </w:rPr>
            </w:pPr>
            <w:r w:rsidRPr="005521A0">
              <w:rPr>
                <w:rFonts w:eastAsia="Times New Roman" w:cstheme="minorHAnsi"/>
                <w:sz w:val="20"/>
                <w:lang w:eastAsia="en-AU"/>
              </w:rPr>
              <w:t>UTX (450 mg/1 h)</w:t>
            </w:r>
          </w:p>
        </w:tc>
        <w:tc>
          <w:tcPr>
            <w:tcW w:w="1238" w:type="dxa"/>
            <w:vAlign w:val="center"/>
            <w:hideMark/>
          </w:tcPr>
          <w:p w14:paraId="62C0DBAD" w14:textId="77777777" w:rsidR="005521A0" w:rsidRPr="005521A0" w:rsidRDefault="005521A0" w:rsidP="005521A0">
            <w:pPr>
              <w:spacing w:after="0" w:line="240" w:lineRule="auto"/>
              <w:rPr>
                <w:rFonts w:eastAsia="Times New Roman" w:cstheme="minorHAnsi"/>
                <w:sz w:val="20"/>
                <w:lang w:eastAsia="en-AU"/>
              </w:rPr>
            </w:pPr>
            <w:r w:rsidRPr="005521A0">
              <w:rPr>
                <w:rFonts w:eastAsia="Times New Roman" w:cstheme="minorHAnsi"/>
                <w:sz w:val="20"/>
                <w:lang w:eastAsia="en-AU"/>
              </w:rPr>
              <w:t>UTX (450 mg/1 h)</w:t>
            </w:r>
          </w:p>
        </w:tc>
        <w:tc>
          <w:tcPr>
            <w:tcW w:w="1238" w:type="dxa"/>
            <w:vAlign w:val="center"/>
            <w:hideMark/>
          </w:tcPr>
          <w:p w14:paraId="1BB87469" w14:textId="77777777" w:rsidR="005521A0" w:rsidRPr="005521A0" w:rsidRDefault="005521A0" w:rsidP="005521A0">
            <w:pPr>
              <w:spacing w:after="0" w:line="240" w:lineRule="auto"/>
              <w:rPr>
                <w:rFonts w:eastAsia="Times New Roman" w:cstheme="minorHAnsi"/>
                <w:sz w:val="20"/>
                <w:lang w:eastAsia="en-AU"/>
              </w:rPr>
            </w:pPr>
            <w:r w:rsidRPr="005521A0">
              <w:rPr>
                <w:rFonts w:eastAsia="Times New Roman" w:cstheme="minorHAnsi"/>
                <w:sz w:val="20"/>
                <w:lang w:eastAsia="en-AU"/>
              </w:rPr>
              <w:t>UTX (450 mg/1 h)</w:t>
            </w:r>
          </w:p>
        </w:tc>
        <w:tc>
          <w:tcPr>
            <w:tcW w:w="878" w:type="dxa"/>
            <w:vAlign w:val="center"/>
            <w:hideMark/>
          </w:tcPr>
          <w:p w14:paraId="0E569D97" w14:textId="77777777" w:rsidR="005521A0" w:rsidRPr="005521A0" w:rsidRDefault="005521A0" w:rsidP="005521A0">
            <w:pPr>
              <w:spacing w:after="0" w:line="240" w:lineRule="auto"/>
              <w:rPr>
                <w:rFonts w:eastAsia="Times New Roman" w:cstheme="minorHAnsi"/>
                <w:sz w:val="20"/>
                <w:lang w:eastAsia="en-AU"/>
              </w:rPr>
            </w:pPr>
            <w:r w:rsidRPr="005521A0">
              <w:rPr>
                <w:rFonts w:eastAsia="Times New Roman" w:cstheme="minorHAnsi"/>
                <w:sz w:val="20"/>
                <w:lang w:eastAsia="en-AU"/>
              </w:rPr>
              <w:t>–</w:t>
            </w:r>
          </w:p>
        </w:tc>
      </w:tr>
      <w:tr w:rsidR="005521A0" w:rsidRPr="005521A0" w14:paraId="2D510C8B" w14:textId="77777777" w:rsidTr="005521A0">
        <w:tc>
          <w:tcPr>
            <w:tcW w:w="2458" w:type="dxa"/>
            <w:vMerge/>
            <w:vAlign w:val="center"/>
            <w:hideMark/>
          </w:tcPr>
          <w:p w14:paraId="0C00DB2D" w14:textId="77777777" w:rsidR="005521A0" w:rsidRPr="009C25AF" w:rsidRDefault="005521A0" w:rsidP="005521A0">
            <w:pPr>
              <w:spacing w:after="0" w:line="240" w:lineRule="auto"/>
              <w:rPr>
                <w:rFonts w:eastAsia="Times New Roman" w:cstheme="minorHAnsi"/>
                <w:sz w:val="20"/>
                <w:lang w:eastAsia="en-AU"/>
              </w:rPr>
            </w:pPr>
          </w:p>
        </w:tc>
        <w:tc>
          <w:tcPr>
            <w:tcW w:w="6465" w:type="dxa"/>
            <w:gridSpan w:val="6"/>
            <w:vAlign w:val="center"/>
            <w:hideMark/>
          </w:tcPr>
          <w:p w14:paraId="3A962688" w14:textId="6E1D71A5" w:rsidR="005521A0" w:rsidRPr="005521A0" w:rsidRDefault="005521A0" w:rsidP="005521A0">
            <w:pPr>
              <w:spacing w:after="0" w:line="240" w:lineRule="auto"/>
              <w:rPr>
                <w:rFonts w:eastAsia="Times New Roman" w:cstheme="minorHAnsi"/>
                <w:sz w:val="20"/>
                <w:lang w:eastAsia="en-AU"/>
              </w:rPr>
            </w:pPr>
            <w:r w:rsidRPr="005521A0">
              <w:rPr>
                <w:rFonts w:eastAsia="Times New Roman" w:cstheme="minorHAnsi"/>
                <w:sz w:val="20"/>
                <w:lang w:eastAsia="en-AU"/>
              </w:rPr>
              <w:t>Oral placebo QD* from Week 1 Day 1 until last day of Week 95</w:t>
            </w:r>
          </w:p>
        </w:tc>
      </w:tr>
      <w:tr w:rsidR="005521A0" w:rsidRPr="005521A0" w14:paraId="55AD3C26" w14:textId="77777777" w:rsidTr="005521A0">
        <w:tc>
          <w:tcPr>
            <w:tcW w:w="2458" w:type="dxa"/>
            <w:vMerge w:val="restart"/>
            <w:vAlign w:val="center"/>
            <w:hideMark/>
          </w:tcPr>
          <w:p w14:paraId="195B01DF" w14:textId="77777777" w:rsidR="005521A0" w:rsidRPr="009C25AF" w:rsidRDefault="005521A0" w:rsidP="005521A0">
            <w:pPr>
              <w:spacing w:after="0" w:line="240" w:lineRule="auto"/>
              <w:rPr>
                <w:rFonts w:eastAsia="Times New Roman" w:cstheme="minorHAnsi"/>
                <w:sz w:val="20"/>
                <w:lang w:eastAsia="en-AU"/>
              </w:rPr>
            </w:pPr>
            <w:r w:rsidRPr="009C25AF">
              <w:rPr>
                <w:rFonts w:eastAsia="Times New Roman" w:cstheme="minorHAnsi"/>
                <w:sz w:val="20"/>
                <w:lang w:eastAsia="en-AU"/>
              </w:rPr>
              <w:t>Teriflunomide plus placebo infusion</w:t>
            </w:r>
          </w:p>
        </w:tc>
        <w:tc>
          <w:tcPr>
            <w:tcW w:w="6465" w:type="dxa"/>
            <w:gridSpan w:val="6"/>
            <w:vAlign w:val="center"/>
            <w:hideMark/>
          </w:tcPr>
          <w:p w14:paraId="30A21931" w14:textId="4A1DF8D1" w:rsidR="005521A0" w:rsidRPr="005521A0" w:rsidRDefault="005521A0" w:rsidP="005521A0">
            <w:pPr>
              <w:spacing w:after="0" w:line="240" w:lineRule="auto"/>
              <w:rPr>
                <w:rFonts w:eastAsia="Times New Roman" w:cstheme="minorHAnsi"/>
                <w:sz w:val="20"/>
                <w:lang w:eastAsia="en-AU"/>
              </w:rPr>
            </w:pPr>
            <w:r w:rsidRPr="005521A0">
              <w:rPr>
                <w:rFonts w:eastAsia="Times New Roman" w:cstheme="minorHAnsi"/>
                <w:sz w:val="20"/>
                <w:lang w:eastAsia="en-AU"/>
              </w:rPr>
              <w:t>Teriflunomide (14 mg) QD* from Week 1 Day 1 until last day of Week 95</w:t>
            </w:r>
          </w:p>
        </w:tc>
      </w:tr>
      <w:tr w:rsidR="005521A0" w:rsidRPr="005521A0" w14:paraId="6440E884" w14:textId="77777777" w:rsidTr="005521A0">
        <w:tc>
          <w:tcPr>
            <w:tcW w:w="2458" w:type="dxa"/>
            <w:vMerge/>
            <w:vAlign w:val="center"/>
            <w:hideMark/>
          </w:tcPr>
          <w:p w14:paraId="71E9655A" w14:textId="77777777" w:rsidR="005521A0" w:rsidRPr="005521A0" w:rsidRDefault="005521A0" w:rsidP="005521A0">
            <w:pPr>
              <w:spacing w:after="0" w:line="240" w:lineRule="auto"/>
              <w:rPr>
                <w:rFonts w:eastAsia="Times New Roman" w:cstheme="minorHAnsi"/>
                <w:sz w:val="20"/>
                <w:lang w:eastAsia="en-AU"/>
              </w:rPr>
            </w:pPr>
          </w:p>
        </w:tc>
        <w:tc>
          <w:tcPr>
            <w:tcW w:w="1078" w:type="dxa"/>
            <w:vAlign w:val="center"/>
            <w:hideMark/>
          </w:tcPr>
          <w:p w14:paraId="21E22EF3" w14:textId="77777777" w:rsidR="005521A0" w:rsidRPr="005521A0" w:rsidRDefault="005521A0" w:rsidP="005521A0">
            <w:pPr>
              <w:spacing w:after="0" w:line="240" w:lineRule="auto"/>
              <w:rPr>
                <w:rFonts w:eastAsia="Times New Roman" w:cstheme="minorHAnsi"/>
                <w:sz w:val="20"/>
                <w:lang w:eastAsia="en-AU"/>
              </w:rPr>
            </w:pPr>
            <w:r w:rsidRPr="005521A0">
              <w:rPr>
                <w:rFonts w:eastAsia="Times New Roman" w:cstheme="minorHAnsi"/>
                <w:sz w:val="20"/>
                <w:lang w:eastAsia="en-AU"/>
              </w:rPr>
              <w:t>Infusion placebo</w:t>
            </w:r>
          </w:p>
        </w:tc>
        <w:tc>
          <w:tcPr>
            <w:tcW w:w="795" w:type="dxa"/>
            <w:vAlign w:val="center"/>
            <w:hideMark/>
          </w:tcPr>
          <w:p w14:paraId="7D2FE07D" w14:textId="77777777" w:rsidR="005521A0" w:rsidRPr="005521A0" w:rsidRDefault="005521A0" w:rsidP="005521A0">
            <w:pPr>
              <w:spacing w:after="0" w:line="240" w:lineRule="auto"/>
              <w:rPr>
                <w:rFonts w:eastAsia="Times New Roman" w:cstheme="minorHAnsi"/>
                <w:sz w:val="20"/>
                <w:lang w:eastAsia="en-AU"/>
              </w:rPr>
            </w:pPr>
            <w:r w:rsidRPr="005521A0">
              <w:rPr>
                <w:rFonts w:eastAsia="Times New Roman" w:cstheme="minorHAnsi"/>
                <w:sz w:val="20"/>
                <w:lang w:eastAsia="en-AU"/>
              </w:rPr>
              <w:t>Infusion placebo</w:t>
            </w:r>
          </w:p>
        </w:tc>
        <w:tc>
          <w:tcPr>
            <w:tcW w:w="1238" w:type="dxa"/>
            <w:vAlign w:val="center"/>
            <w:hideMark/>
          </w:tcPr>
          <w:p w14:paraId="30C40ECD" w14:textId="77777777" w:rsidR="005521A0" w:rsidRPr="005521A0" w:rsidRDefault="005521A0" w:rsidP="005521A0">
            <w:pPr>
              <w:spacing w:after="0" w:line="240" w:lineRule="auto"/>
              <w:rPr>
                <w:rFonts w:eastAsia="Times New Roman" w:cstheme="minorHAnsi"/>
                <w:sz w:val="20"/>
                <w:lang w:eastAsia="en-AU"/>
              </w:rPr>
            </w:pPr>
            <w:r w:rsidRPr="005521A0">
              <w:rPr>
                <w:rFonts w:eastAsia="Times New Roman" w:cstheme="minorHAnsi"/>
                <w:sz w:val="20"/>
                <w:lang w:eastAsia="en-AU"/>
              </w:rPr>
              <w:t>Infusion placebo</w:t>
            </w:r>
          </w:p>
        </w:tc>
        <w:tc>
          <w:tcPr>
            <w:tcW w:w="1238" w:type="dxa"/>
            <w:vAlign w:val="center"/>
            <w:hideMark/>
          </w:tcPr>
          <w:p w14:paraId="6C789DD2" w14:textId="77777777" w:rsidR="005521A0" w:rsidRPr="005521A0" w:rsidRDefault="005521A0" w:rsidP="005521A0">
            <w:pPr>
              <w:spacing w:after="0" w:line="240" w:lineRule="auto"/>
              <w:rPr>
                <w:rFonts w:eastAsia="Times New Roman" w:cstheme="minorHAnsi"/>
                <w:sz w:val="20"/>
                <w:lang w:eastAsia="en-AU"/>
              </w:rPr>
            </w:pPr>
            <w:r w:rsidRPr="005521A0">
              <w:rPr>
                <w:rFonts w:eastAsia="Times New Roman" w:cstheme="minorHAnsi"/>
                <w:sz w:val="20"/>
                <w:lang w:eastAsia="en-AU"/>
              </w:rPr>
              <w:t>Infusion placebo</w:t>
            </w:r>
          </w:p>
        </w:tc>
        <w:tc>
          <w:tcPr>
            <w:tcW w:w="1238" w:type="dxa"/>
            <w:vAlign w:val="center"/>
            <w:hideMark/>
          </w:tcPr>
          <w:p w14:paraId="6A4B68D6" w14:textId="77777777" w:rsidR="005521A0" w:rsidRPr="005521A0" w:rsidRDefault="005521A0" w:rsidP="005521A0">
            <w:pPr>
              <w:spacing w:after="0" w:line="240" w:lineRule="auto"/>
              <w:rPr>
                <w:rFonts w:eastAsia="Times New Roman" w:cstheme="minorHAnsi"/>
                <w:sz w:val="20"/>
                <w:lang w:eastAsia="en-AU"/>
              </w:rPr>
            </w:pPr>
            <w:r w:rsidRPr="005521A0">
              <w:rPr>
                <w:rFonts w:eastAsia="Times New Roman" w:cstheme="minorHAnsi"/>
                <w:sz w:val="20"/>
                <w:lang w:eastAsia="en-AU"/>
              </w:rPr>
              <w:t>Infusion placebo</w:t>
            </w:r>
          </w:p>
        </w:tc>
        <w:tc>
          <w:tcPr>
            <w:tcW w:w="878" w:type="dxa"/>
            <w:vAlign w:val="center"/>
            <w:hideMark/>
          </w:tcPr>
          <w:p w14:paraId="6A01DB24" w14:textId="77777777" w:rsidR="005521A0" w:rsidRPr="005521A0" w:rsidRDefault="005521A0" w:rsidP="005521A0">
            <w:pPr>
              <w:spacing w:after="0" w:line="240" w:lineRule="auto"/>
              <w:rPr>
                <w:rFonts w:eastAsia="Times New Roman" w:cstheme="minorHAnsi"/>
                <w:sz w:val="20"/>
                <w:lang w:eastAsia="en-AU"/>
              </w:rPr>
            </w:pPr>
            <w:r w:rsidRPr="005521A0">
              <w:rPr>
                <w:rFonts w:eastAsia="Times New Roman" w:cstheme="minorHAnsi"/>
                <w:sz w:val="20"/>
                <w:lang w:eastAsia="en-AU"/>
              </w:rPr>
              <w:t>–</w:t>
            </w:r>
          </w:p>
        </w:tc>
      </w:tr>
    </w:tbl>
    <w:p w14:paraId="42EAB219" w14:textId="77777777" w:rsidR="007542CF" w:rsidRPr="007542CF" w:rsidRDefault="007542CF" w:rsidP="007542CF">
      <w:pPr>
        <w:pStyle w:val="Heading5"/>
        <w:rPr>
          <w:lang w:val="en-US"/>
        </w:rPr>
      </w:pPr>
      <w:r w:rsidRPr="007542CF">
        <w:rPr>
          <w:lang w:val="en-US"/>
        </w:rPr>
        <w:t>Objectives</w:t>
      </w:r>
    </w:p>
    <w:p w14:paraId="40BF4DC9" w14:textId="347E277C" w:rsidR="007542CF" w:rsidRPr="007542CF" w:rsidRDefault="007542CF" w:rsidP="0081111B">
      <w:pPr>
        <w:rPr>
          <w:lang w:val="en-US"/>
        </w:rPr>
      </w:pPr>
      <w:r w:rsidRPr="007542CF">
        <w:rPr>
          <w:lang w:val="en-US"/>
        </w:rPr>
        <w:t>Primary objective: to determine the ARR in participants with RMS after 96 weeks (approximately 2 years with a year equal to 365.25 days) treatment with IV infusion of ublituximab/oral placebo compared to 14 mg oral teri</w:t>
      </w:r>
      <w:r w:rsidRPr="007542CF">
        <w:rPr>
          <w:rFonts w:cs="Cambria"/>
          <w:lang w:val="en-US"/>
        </w:rPr>
        <w:t>f</w:t>
      </w:r>
      <w:r w:rsidRPr="007542CF">
        <w:rPr>
          <w:lang w:val="en-US"/>
        </w:rPr>
        <w:t>lunomide/IV placebo.</w:t>
      </w:r>
    </w:p>
    <w:p w14:paraId="0617F6A8" w14:textId="46221567" w:rsidR="007542CF" w:rsidRPr="007542CF" w:rsidRDefault="007542CF" w:rsidP="0081111B">
      <w:pPr>
        <w:pStyle w:val="Heading5"/>
        <w:rPr>
          <w:lang w:val="en-US"/>
        </w:rPr>
      </w:pPr>
      <w:r w:rsidRPr="007542CF">
        <w:rPr>
          <w:lang w:val="en-US"/>
        </w:rPr>
        <w:t>Secondary objectives</w:t>
      </w:r>
    </w:p>
    <w:p w14:paraId="605E4E51" w14:textId="01DB0037" w:rsidR="007542CF" w:rsidRPr="007542CF" w:rsidRDefault="007542CF" w:rsidP="0081111B">
      <w:pPr>
        <w:rPr>
          <w:lang w:val="en-US"/>
        </w:rPr>
      </w:pPr>
      <w:r w:rsidRPr="007542CF">
        <w:rPr>
          <w:lang w:val="en-US"/>
        </w:rPr>
        <w:t>To examine the effects of ublituximab/oral placebo as compared to teri</w:t>
      </w:r>
      <w:r w:rsidRPr="007542CF">
        <w:rPr>
          <w:rFonts w:cs="Cambria"/>
          <w:lang w:val="en-US"/>
        </w:rPr>
        <w:t>f</w:t>
      </w:r>
      <w:r w:rsidRPr="007542CF">
        <w:rPr>
          <w:lang w:val="en-US"/>
        </w:rPr>
        <w:t xml:space="preserve">lunomide/IV placebo on MRI parameters, </w:t>
      </w:r>
      <w:r w:rsidR="00153CDE">
        <w:rPr>
          <w:lang w:val="en-US"/>
        </w:rPr>
        <w:t>c</w:t>
      </w:r>
      <w:r w:rsidR="00153CDE" w:rsidRPr="00153CDE">
        <w:rPr>
          <w:lang w:val="en-US"/>
        </w:rPr>
        <w:t xml:space="preserve">onfirmed disability progression </w:t>
      </w:r>
      <w:r w:rsidR="00153CDE">
        <w:rPr>
          <w:lang w:val="en-US"/>
        </w:rPr>
        <w:t>(</w:t>
      </w:r>
      <w:r w:rsidRPr="007542CF">
        <w:rPr>
          <w:lang w:val="en-US"/>
        </w:rPr>
        <w:t>CDP</w:t>
      </w:r>
      <w:r w:rsidR="00153CDE">
        <w:rPr>
          <w:lang w:val="en-US"/>
        </w:rPr>
        <w:t>)</w:t>
      </w:r>
      <w:r w:rsidRPr="007542CF">
        <w:rPr>
          <w:lang w:val="en-US"/>
        </w:rPr>
        <w:t xml:space="preserve">, </w:t>
      </w:r>
      <w:r w:rsidR="0076123F" w:rsidRPr="0076123F">
        <w:rPr>
          <w:lang w:val="en-US"/>
        </w:rPr>
        <w:t>No Evidence of Disease Activity</w:t>
      </w:r>
      <w:r w:rsidR="0076123F">
        <w:rPr>
          <w:lang w:val="en-US"/>
        </w:rPr>
        <w:t xml:space="preserve"> (</w:t>
      </w:r>
      <w:r w:rsidRPr="007542CF">
        <w:rPr>
          <w:lang w:val="en-US"/>
        </w:rPr>
        <w:t>NEDA</w:t>
      </w:r>
      <w:r w:rsidR="0076123F">
        <w:rPr>
          <w:lang w:val="en-US"/>
        </w:rPr>
        <w:t>)</w:t>
      </w:r>
      <w:r w:rsidRPr="007542CF">
        <w:rPr>
          <w:lang w:val="en-US"/>
        </w:rPr>
        <w:t>, symbol digit modalities test (SDMT).</w:t>
      </w:r>
    </w:p>
    <w:p w14:paraId="4C9C8081" w14:textId="17CDCB04" w:rsidR="001412C3" w:rsidRPr="00FE22D9" w:rsidRDefault="007542CF" w:rsidP="0081111B">
      <w:pPr>
        <w:rPr>
          <w:lang w:val="en-US"/>
        </w:rPr>
      </w:pPr>
      <w:r w:rsidRPr="007542CF">
        <w:rPr>
          <w:lang w:val="en-US"/>
        </w:rPr>
        <w:t xml:space="preserve">To evaluate the safety of ublituximab/oral placebo, as determined by </w:t>
      </w:r>
      <w:r w:rsidR="00373B6B">
        <w:rPr>
          <w:lang w:val="en-US"/>
        </w:rPr>
        <w:t>adverse events (</w:t>
      </w:r>
      <w:r w:rsidRPr="007542CF">
        <w:rPr>
          <w:lang w:val="en-US"/>
        </w:rPr>
        <w:t>AEs</w:t>
      </w:r>
      <w:r w:rsidR="00373B6B">
        <w:rPr>
          <w:lang w:val="en-US"/>
        </w:rPr>
        <w:t>)</w:t>
      </w:r>
      <w:r w:rsidRPr="007542CF">
        <w:rPr>
          <w:lang w:val="en-US"/>
        </w:rPr>
        <w:t xml:space="preserve"> and </w:t>
      </w:r>
      <w:r w:rsidR="00373B6B">
        <w:rPr>
          <w:lang w:val="en-US"/>
        </w:rPr>
        <w:t xml:space="preserve">serious </w:t>
      </w:r>
      <w:r w:rsidR="00373B6B" w:rsidRPr="00373B6B">
        <w:rPr>
          <w:lang w:val="en-US"/>
        </w:rPr>
        <w:t xml:space="preserve">adverse events </w:t>
      </w:r>
      <w:r w:rsidR="00373B6B">
        <w:rPr>
          <w:lang w:val="en-US"/>
        </w:rPr>
        <w:t>(</w:t>
      </w:r>
      <w:r w:rsidRPr="007542CF">
        <w:rPr>
          <w:lang w:val="en-US"/>
        </w:rPr>
        <w:t>SAEs</w:t>
      </w:r>
      <w:r w:rsidR="00373B6B">
        <w:rPr>
          <w:lang w:val="en-US"/>
        </w:rPr>
        <w:t>)</w:t>
      </w:r>
      <w:r w:rsidRPr="007542CF">
        <w:rPr>
          <w:lang w:val="en-US"/>
        </w:rPr>
        <w:t>, including MS worsening</w:t>
      </w:r>
      <w:r w:rsidR="00D13089">
        <w:rPr>
          <w:lang w:val="en-US"/>
        </w:rPr>
        <w:t>.</w:t>
      </w:r>
    </w:p>
    <w:p w14:paraId="5C104CBE" w14:textId="6C25EE9D" w:rsidR="00CA0EDC" w:rsidRDefault="00CA0EDC" w:rsidP="0081111B">
      <w:pPr>
        <w:pStyle w:val="Heading5"/>
      </w:pPr>
      <w:r>
        <w:t xml:space="preserve">Primary </w:t>
      </w:r>
      <w:r w:rsidR="00A8156D">
        <w:t>e</w:t>
      </w:r>
      <w:r>
        <w:t>ndpoint</w:t>
      </w:r>
    </w:p>
    <w:p w14:paraId="56E8A7B9" w14:textId="6287A874" w:rsidR="00511AA5" w:rsidRDefault="00CA0EDC" w:rsidP="0081111B">
      <w:pPr>
        <w:rPr>
          <w:spacing w:val="-2"/>
        </w:rPr>
      </w:pPr>
      <w:r>
        <w:t xml:space="preserve">The primary </w:t>
      </w:r>
      <w:r w:rsidR="006B030E">
        <w:t>ef</w:t>
      </w:r>
      <w:r w:rsidR="006B030E">
        <w:rPr>
          <w:rFonts w:cs="Cambria"/>
        </w:rPr>
        <w:t>f</w:t>
      </w:r>
      <w:r w:rsidR="006B030E">
        <w:t>icacy</w:t>
      </w:r>
      <w:r>
        <w:t xml:space="preserve"> variable (per patient) is the number of </w:t>
      </w:r>
      <w:r w:rsidR="00D13089" w:rsidRPr="00D13089">
        <w:t xml:space="preserve">Independent Relapse Adjudication Panel </w:t>
      </w:r>
      <w:r w:rsidR="00D13089">
        <w:t>(</w:t>
      </w:r>
      <w:r>
        <w:t>IRAP</w:t>
      </w:r>
      <w:r w:rsidR="00D13089">
        <w:t>)</w:t>
      </w:r>
      <w:r>
        <w:t>-con</w:t>
      </w:r>
      <w:r w:rsidR="00AC52A6">
        <w:t>f</w:t>
      </w:r>
      <w:r>
        <w:t>irmed</w:t>
      </w:r>
      <w:r>
        <w:rPr>
          <w:spacing w:val="-11"/>
        </w:rPr>
        <w:t xml:space="preserve"> </w:t>
      </w:r>
      <w:r>
        <w:t>relapses</w:t>
      </w:r>
      <w:r>
        <w:rPr>
          <w:spacing w:val="-10"/>
        </w:rPr>
        <w:t xml:space="preserve"> </w:t>
      </w:r>
      <w:r>
        <w:t>which</w:t>
      </w:r>
      <w:r>
        <w:rPr>
          <w:spacing w:val="-13"/>
        </w:rPr>
        <w:t xml:space="preserve"> </w:t>
      </w:r>
      <w:r>
        <w:t>started</w:t>
      </w:r>
      <w:r>
        <w:rPr>
          <w:spacing w:val="-10"/>
        </w:rPr>
        <w:t xml:space="preserve"> </w:t>
      </w:r>
      <w:r>
        <w:t>on</w:t>
      </w:r>
      <w:r>
        <w:rPr>
          <w:spacing w:val="-12"/>
        </w:rPr>
        <w:t xml:space="preserve"> </w:t>
      </w:r>
      <w:r>
        <w:t>or</w:t>
      </w:r>
      <w:r>
        <w:rPr>
          <w:spacing w:val="-11"/>
        </w:rPr>
        <w:t xml:space="preserve"> </w:t>
      </w:r>
      <w:r>
        <w:t>after</w:t>
      </w:r>
      <w:r>
        <w:rPr>
          <w:spacing w:val="-11"/>
        </w:rPr>
        <w:t xml:space="preserve"> </w:t>
      </w:r>
      <w:r>
        <w:t>the</w:t>
      </w:r>
      <w:r>
        <w:rPr>
          <w:spacing w:val="-11"/>
        </w:rPr>
        <w:t xml:space="preserve"> </w:t>
      </w:r>
      <w:r>
        <w:t>day</w:t>
      </w:r>
      <w:r>
        <w:rPr>
          <w:spacing w:val="-12"/>
        </w:rPr>
        <w:t xml:space="preserve"> </w:t>
      </w:r>
      <w:r>
        <w:t>of</w:t>
      </w:r>
      <w:r>
        <w:rPr>
          <w:spacing w:val="-11"/>
        </w:rPr>
        <w:t xml:space="preserve"> </w:t>
      </w:r>
      <w:r>
        <w:t>randomization</w:t>
      </w:r>
      <w:r>
        <w:rPr>
          <w:spacing w:val="-12"/>
        </w:rPr>
        <w:t xml:space="preserve"> </w:t>
      </w:r>
      <w:r>
        <w:t>and</w:t>
      </w:r>
      <w:r>
        <w:rPr>
          <w:spacing w:val="-11"/>
        </w:rPr>
        <w:t xml:space="preserve"> </w:t>
      </w:r>
      <w:r>
        <w:t>up</w:t>
      </w:r>
      <w:r>
        <w:rPr>
          <w:spacing w:val="-11"/>
        </w:rPr>
        <w:t xml:space="preserve"> </w:t>
      </w:r>
      <w:r>
        <w:t>to</w:t>
      </w:r>
      <w:r>
        <w:rPr>
          <w:spacing w:val="-11"/>
        </w:rPr>
        <w:t xml:space="preserve"> </w:t>
      </w:r>
      <w:r>
        <w:t>the</w:t>
      </w:r>
      <w:r>
        <w:rPr>
          <w:spacing w:val="-11"/>
        </w:rPr>
        <w:t xml:space="preserve"> </w:t>
      </w:r>
      <w:r>
        <w:t>day</w:t>
      </w:r>
      <w:r>
        <w:rPr>
          <w:spacing w:val="-12"/>
        </w:rPr>
        <w:t xml:space="preserve"> </w:t>
      </w:r>
      <w:r>
        <w:t>of last study treatment. Then, ARR was de</w:t>
      </w:r>
      <w:r w:rsidR="00AC52A6">
        <w:rPr>
          <w:rFonts w:cs="Cambria"/>
        </w:rPr>
        <w:t>f</w:t>
      </w:r>
      <w:r>
        <w:t xml:space="preserve">ined as the number of </w:t>
      </w:r>
      <w:r>
        <w:rPr>
          <w:spacing w:val="-2"/>
        </w:rPr>
        <w:t>IRAP-con</w:t>
      </w:r>
      <w:r w:rsidR="00AC52A6">
        <w:rPr>
          <w:spacing w:val="-2"/>
        </w:rPr>
        <w:t>f</w:t>
      </w:r>
      <w:r>
        <w:rPr>
          <w:spacing w:val="-2"/>
        </w:rPr>
        <w:t>irmed</w:t>
      </w:r>
      <w:r>
        <w:rPr>
          <w:spacing w:val="-9"/>
        </w:rPr>
        <w:t xml:space="preserve"> </w:t>
      </w:r>
      <w:r>
        <w:rPr>
          <w:spacing w:val="-2"/>
        </w:rPr>
        <w:t>relapses</w:t>
      </w:r>
      <w:r>
        <w:rPr>
          <w:spacing w:val="-9"/>
        </w:rPr>
        <w:t xml:space="preserve"> </w:t>
      </w:r>
      <w:r>
        <w:rPr>
          <w:spacing w:val="-2"/>
        </w:rPr>
        <w:t>per</w:t>
      </w:r>
      <w:r>
        <w:rPr>
          <w:spacing w:val="-10"/>
        </w:rPr>
        <w:t xml:space="preserve"> </w:t>
      </w:r>
      <w:r>
        <w:rPr>
          <w:spacing w:val="-2"/>
        </w:rPr>
        <w:t>participant</w:t>
      </w:r>
      <w:r>
        <w:rPr>
          <w:spacing w:val="-10"/>
        </w:rPr>
        <w:t xml:space="preserve"> </w:t>
      </w:r>
      <w:r>
        <w:rPr>
          <w:spacing w:val="-2"/>
        </w:rPr>
        <w:t>year.</w:t>
      </w:r>
      <w:r>
        <w:rPr>
          <w:spacing w:val="-10"/>
        </w:rPr>
        <w:t xml:space="preserve"> </w:t>
      </w:r>
      <w:r>
        <w:rPr>
          <w:spacing w:val="-2"/>
        </w:rPr>
        <w:t>The</w:t>
      </w:r>
      <w:r>
        <w:rPr>
          <w:spacing w:val="-10"/>
        </w:rPr>
        <w:t xml:space="preserve"> </w:t>
      </w:r>
      <w:r>
        <w:rPr>
          <w:spacing w:val="-2"/>
        </w:rPr>
        <w:t>estimate</w:t>
      </w:r>
      <w:r>
        <w:rPr>
          <w:spacing w:val="-10"/>
        </w:rPr>
        <w:t xml:space="preserve"> </w:t>
      </w:r>
      <w:r>
        <w:rPr>
          <w:spacing w:val="-2"/>
        </w:rPr>
        <w:t>of</w:t>
      </w:r>
      <w:r>
        <w:rPr>
          <w:spacing w:val="-9"/>
        </w:rPr>
        <w:t xml:space="preserve"> </w:t>
      </w:r>
      <w:r>
        <w:rPr>
          <w:spacing w:val="-2"/>
        </w:rPr>
        <w:t>ARR</w:t>
      </w:r>
      <w:r>
        <w:rPr>
          <w:spacing w:val="-10"/>
        </w:rPr>
        <w:t xml:space="preserve"> </w:t>
      </w:r>
      <w:r>
        <w:rPr>
          <w:spacing w:val="-2"/>
        </w:rPr>
        <w:t xml:space="preserve">for </w:t>
      </w:r>
      <w:r>
        <w:t xml:space="preserve">a treatment group was the total number of relapses </w:t>
      </w:r>
      <w:r>
        <w:lastRenderedPageBreak/>
        <w:t xml:space="preserve">for participants in the respective treatment group divided by the sum of treatment duration (in years) in that </w:t>
      </w:r>
      <w:r w:rsidR="00AC52A6">
        <w:t>speci</w:t>
      </w:r>
      <w:r w:rsidR="00AC52A6">
        <w:rPr>
          <w:rFonts w:cs="Cambria"/>
        </w:rPr>
        <w:t>f</w:t>
      </w:r>
      <w:r w:rsidR="00AC52A6">
        <w:t>ic</w:t>
      </w:r>
      <w:r>
        <w:t xml:space="preserve"> treatment group. Participants</w:t>
      </w:r>
      <w:r>
        <w:rPr>
          <w:spacing w:val="-3"/>
        </w:rPr>
        <w:t xml:space="preserve"> </w:t>
      </w:r>
      <w:r>
        <w:t>were</w:t>
      </w:r>
      <w:r>
        <w:rPr>
          <w:spacing w:val="-4"/>
        </w:rPr>
        <w:t xml:space="preserve"> </w:t>
      </w:r>
      <w:r>
        <w:t>treated</w:t>
      </w:r>
      <w:r>
        <w:rPr>
          <w:spacing w:val="-5"/>
        </w:rPr>
        <w:t xml:space="preserve"> </w:t>
      </w:r>
      <w:r>
        <w:t>up</w:t>
      </w:r>
      <w:r>
        <w:rPr>
          <w:spacing w:val="-4"/>
        </w:rPr>
        <w:t xml:space="preserve"> </w:t>
      </w:r>
      <w:r>
        <w:t>to</w:t>
      </w:r>
      <w:r>
        <w:rPr>
          <w:spacing w:val="-4"/>
        </w:rPr>
        <w:t xml:space="preserve"> </w:t>
      </w:r>
      <w:r>
        <w:t>96</w:t>
      </w:r>
      <w:r>
        <w:rPr>
          <w:spacing w:val="-3"/>
        </w:rPr>
        <w:t xml:space="preserve"> </w:t>
      </w:r>
      <w:r>
        <w:rPr>
          <w:spacing w:val="-2"/>
        </w:rPr>
        <w:t>weeks.</w:t>
      </w:r>
    </w:p>
    <w:p w14:paraId="5925F6A6" w14:textId="77777777" w:rsidR="00BB6F0B" w:rsidRPr="00BB6F0B" w:rsidRDefault="00BB6F0B" w:rsidP="0081111B">
      <w:pPr>
        <w:pStyle w:val="Heading5"/>
        <w:rPr>
          <w:lang w:val="en-US"/>
        </w:rPr>
      </w:pPr>
      <w:r w:rsidRPr="0081111B">
        <w:t>Results</w:t>
      </w:r>
    </w:p>
    <w:p w14:paraId="20742DCD" w14:textId="77777777" w:rsidR="00BB6F0B" w:rsidRPr="00BB6F0B" w:rsidRDefault="00BB6F0B" w:rsidP="00BB6F0B">
      <w:pPr>
        <w:pStyle w:val="ListBullet"/>
        <w:numPr>
          <w:ilvl w:val="0"/>
          <w:numId w:val="0"/>
        </w:numPr>
        <w:ind w:left="360" w:hanging="360"/>
        <w:rPr>
          <w:lang w:val="en-US"/>
        </w:rPr>
      </w:pPr>
      <w:r w:rsidRPr="00BB6F0B">
        <w:rPr>
          <w:lang w:val="en-US"/>
        </w:rPr>
        <w:t>Results from the two pivotal studies are presented separately.</w:t>
      </w:r>
    </w:p>
    <w:p w14:paraId="240DCFBD" w14:textId="74FE9A8B" w:rsidR="00BB6F0B" w:rsidRPr="00BB6F0B" w:rsidRDefault="00BB6F0B" w:rsidP="0081111B">
      <w:pPr>
        <w:pStyle w:val="Heading5"/>
        <w:rPr>
          <w:lang w:val="en-US"/>
        </w:rPr>
      </w:pPr>
      <w:r w:rsidRPr="00BB6F0B">
        <w:rPr>
          <w:lang w:val="en-US"/>
        </w:rPr>
        <w:t>TG1101-RMS301 (</w:t>
      </w:r>
      <w:r w:rsidRPr="0081111B">
        <w:t>ULTIMATE</w:t>
      </w:r>
      <w:r w:rsidRPr="00BB6F0B">
        <w:rPr>
          <w:lang w:val="en-US"/>
        </w:rPr>
        <w:t xml:space="preserve"> I)</w:t>
      </w:r>
    </w:p>
    <w:p w14:paraId="40E75D54" w14:textId="7C1F56DB" w:rsidR="00BB6F0B" w:rsidRPr="00BB6F0B" w:rsidRDefault="00BB6F0B" w:rsidP="00BB6F0B">
      <w:pPr>
        <w:rPr>
          <w:lang w:val="en-US"/>
        </w:rPr>
      </w:pPr>
      <w:r w:rsidRPr="00BB6F0B">
        <w:rPr>
          <w:lang w:val="en-US"/>
        </w:rPr>
        <w:t>120-week, Phase III, randomized, multicenter, double-blinded, double-dummy, active-controlled</w:t>
      </w:r>
      <w:r w:rsidR="00AC52A6">
        <w:rPr>
          <w:lang w:val="en-US"/>
        </w:rPr>
        <w:t xml:space="preserve"> </w:t>
      </w:r>
      <w:r w:rsidRPr="00BB6F0B">
        <w:rPr>
          <w:lang w:val="en-US"/>
        </w:rPr>
        <w:t xml:space="preserve">study that was primarily designed to assess the ARR and safety/tolerability of ublituximab/oral placebo as compared to </w:t>
      </w:r>
      <w:r w:rsidR="00AC52A6" w:rsidRPr="00BB6F0B">
        <w:rPr>
          <w:lang w:val="en-US"/>
        </w:rPr>
        <w:t>teri</w:t>
      </w:r>
      <w:r w:rsidR="00AC52A6" w:rsidRPr="00BB6F0B">
        <w:rPr>
          <w:rFonts w:cs="Cambria"/>
          <w:lang w:val="en-US"/>
        </w:rPr>
        <w:t>f</w:t>
      </w:r>
      <w:r w:rsidR="00AC52A6" w:rsidRPr="00BB6F0B">
        <w:rPr>
          <w:lang w:val="en-US"/>
        </w:rPr>
        <w:t>lunomide</w:t>
      </w:r>
      <w:r w:rsidRPr="00BB6F0B">
        <w:rPr>
          <w:lang w:val="en-US"/>
        </w:rPr>
        <w:t>/intravenous (IV) placebo in subjects with RMS</w:t>
      </w:r>
      <w:r w:rsidR="00691A93">
        <w:rPr>
          <w:lang w:val="en-US"/>
        </w:rPr>
        <w:t xml:space="preserve"> (Figure 2)</w:t>
      </w:r>
      <w:r w:rsidRPr="00BB6F0B">
        <w:rPr>
          <w:lang w:val="en-US"/>
        </w:rPr>
        <w:t>.</w:t>
      </w:r>
    </w:p>
    <w:p w14:paraId="5BC00E11" w14:textId="3E08BAF2" w:rsidR="00BB6F0B" w:rsidRDefault="00BB6F0B" w:rsidP="0081111B">
      <w:pPr>
        <w:pStyle w:val="Heading6"/>
        <w:rPr>
          <w:lang w:val="en-US"/>
        </w:rPr>
      </w:pPr>
      <w:r w:rsidRPr="00BB6F0B">
        <w:rPr>
          <w:lang w:val="en-US"/>
        </w:rPr>
        <w:t xml:space="preserve">Participant </w:t>
      </w:r>
      <w:r>
        <w:rPr>
          <w:rFonts w:cs="Cambria"/>
          <w:lang w:val="en-US"/>
        </w:rPr>
        <w:t>f</w:t>
      </w:r>
      <w:r w:rsidRPr="00BB6F0B">
        <w:rPr>
          <w:lang w:val="en-US"/>
        </w:rPr>
        <w:t>low</w:t>
      </w:r>
    </w:p>
    <w:p w14:paraId="32D74CA6" w14:textId="36789D81" w:rsidR="00B93D61" w:rsidRDefault="00B93D61" w:rsidP="00B93D61">
      <w:pPr>
        <w:pStyle w:val="FigureTitle"/>
        <w:rPr>
          <w:lang w:val="en-US"/>
        </w:rPr>
      </w:pPr>
      <w:r w:rsidRPr="00B93D61">
        <w:rPr>
          <w:lang w:val="en-US"/>
        </w:rPr>
        <w:t>Figure 2: Disposition of Subjects in Study TG1101-RMS301 (ITT Population)</w:t>
      </w:r>
    </w:p>
    <w:p w14:paraId="561053ED" w14:textId="28EBD729" w:rsidR="00B93D61" w:rsidRDefault="00432A52" w:rsidP="00A8156D">
      <w:pPr>
        <w:rPr>
          <w:lang w:val="en-US"/>
        </w:rPr>
      </w:pPr>
      <w:r>
        <w:rPr>
          <w:noProof/>
          <w:lang w:val="en-US"/>
        </w:rPr>
        <w:drawing>
          <wp:inline distT="0" distB="0" distL="0" distR="0" wp14:anchorId="386CBC5B" wp14:editId="7069FD23">
            <wp:extent cx="5322570" cy="4304030"/>
            <wp:effectExtent l="0" t="0" r="0" b="1270"/>
            <wp:docPr id="2043611326" name="Picture 1" descr="Figure 2: Disposition of Subjects in Study TG1101-RMS301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611326" name="Picture 1" descr="Figure 2: Disposition of Subjects in Study TG1101-RMS301 (ITT Population)"/>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322570" cy="4304030"/>
                    </a:xfrm>
                    <a:prstGeom prst="rect">
                      <a:avLst/>
                    </a:prstGeom>
                    <a:noFill/>
                  </pic:spPr>
                </pic:pic>
              </a:graphicData>
            </a:graphic>
          </wp:inline>
        </w:drawing>
      </w:r>
    </w:p>
    <w:p w14:paraId="51E8BDE6" w14:textId="77777777" w:rsidR="007116D6" w:rsidRPr="007116D6" w:rsidRDefault="007116D6" w:rsidP="0081111B">
      <w:pPr>
        <w:pStyle w:val="Heading6"/>
        <w:rPr>
          <w:lang w:val="en-US"/>
        </w:rPr>
      </w:pPr>
      <w:r w:rsidRPr="007116D6">
        <w:rPr>
          <w:lang w:val="en-US"/>
        </w:rPr>
        <w:t>Baseline data</w:t>
      </w:r>
    </w:p>
    <w:p w14:paraId="68CA082E" w14:textId="3BF7EA21" w:rsidR="007116D6" w:rsidRPr="007116D6" w:rsidRDefault="007116D6" w:rsidP="007116D6">
      <w:pPr>
        <w:rPr>
          <w:lang w:val="en-US"/>
        </w:rPr>
      </w:pPr>
      <w:r w:rsidRPr="007116D6">
        <w:rPr>
          <w:lang w:val="en-US"/>
        </w:rPr>
        <w:t xml:space="preserve">The demographics and disease characteristics were similar for subjects in the ublituximab and </w:t>
      </w:r>
      <w:r w:rsidR="00AC52A6" w:rsidRPr="007116D6">
        <w:rPr>
          <w:lang w:val="en-US"/>
        </w:rPr>
        <w:t>teri</w:t>
      </w:r>
      <w:r w:rsidR="00AC52A6" w:rsidRPr="007116D6">
        <w:rPr>
          <w:rFonts w:cs="Cambria"/>
          <w:lang w:val="en-US"/>
        </w:rPr>
        <w:t>f</w:t>
      </w:r>
      <w:r w:rsidR="00AC52A6" w:rsidRPr="007116D6">
        <w:rPr>
          <w:lang w:val="en-US"/>
        </w:rPr>
        <w:t>lunomide</w:t>
      </w:r>
      <w:r w:rsidRPr="007116D6">
        <w:rPr>
          <w:lang w:val="en-US"/>
        </w:rPr>
        <w:t xml:space="preserve"> groups. For the ublituximab group, the median (range) age was 36.0 (18 to 55) years, 61.3% of subjects were female, 97.4% of subjects were White, 95.9% of subjects were not Hispanic or Latino, and 90.4% of subjects were from Eastern Europe. For the </w:t>
      </w:r>
      <w:r w:rsidR="00AC52A6" w:rsidRPr="007116D6">
        <w:rPr>
          <w:lang w:val="en-US"/>
        </w:rPr>
        <w:t>teri</w:t>
      </w:r>
      <w:r w:rsidR="00AC52A6" w:rsidRPr="007116D6">
        <w:rPr>
          <w:rFonts w:cs="Cambria"/>
          <w:lang w:val="en-US"/>
        </w:rPr>
        <w:t>f</w:t>
      </w:r>
      <w:r w:rsidR="00AC52A6" w:rsidRPr="007116D6">
        <w:rPr>
          <w:lang w:val="en-US"/>
        </w:rPr>
        <w:t>lunomide</w:t>
      </w:r>
      <w:r w:rsidRPr="007116D6">
        <w:rPr>
          <w:lang w:val="en-US"/>
        </w:rPr>
        <w:t xml:space="preserve"> group, the median (range) age was 36.5 (18 to 55) years, 65.3% of subjects were female, 97.1% of subjects were White, 97.1% of subjects were not Hispanic or Latino, and 88.7% of subjects were from Eastern Europe.</w:t>
      </w:r>
    </w:p>
    <w:p w14:paraId="0C1816D3" w14:textId="29A8AE92" w:rsidR="00432A52" w:rsidRDefault="007116D6" w:rsidP="007116D6">
      <w:pPr>
        <w:rPr>
          <w:lang w:val="en-US"/>
        </w:rPr>
      </w:pPr>
      <w:r w:rsidRPr="007116D6">
        <w:rPr>
          <w:lang w:val="en-US"/>
        </w:rPr>
        <w:t>The MS disease history and the percentage of subjects with prior MS treatment were similar in the two treatment groups.</w:t>
      </w:r>
    </w:p>
    <w:p w14:paraId="14BC33A0" w14:textId="52D4ED1B" w:rsidR="00FB62AC" w:rsidRDefault="00FB62AC" w:rsidP="00FB62AC">
      <w:pPr>
        <w:pStyle w:val="TableTitle"/>
        <w:rPr>
          <w:lang w:val="en-US"/>
        </w:rPr>
      </w:pPr>
      <w:r w:rsidRPr="00FB62AC">
        <w:rPr>
          <w:lang w:val="en-US"/>
        </w:rPr>
        <w:lastRenderedPageBreak/>
        <w:t xml:space="preserve">Table </w:t>
      </w:r>
      <w:r w:rsidR="0022378A">
        <w:rPr>
          <w:lang w:val="en-US"/>
        </w:rPr>
        <w:t>5</w:t>
      </w:r>
      <w:r w:rsidRPr="00FB62AC">
        <w:rPr>
          <w:lang w:val="en-US"/>
        </w:rPr>
        <w:t>: Extent of Exposure to Intravenous Study Treatment in Study TG1101-RMS301 (</w:t>
      </w:r>
      <w:r w:rsidR="00D2075D" w:rsidRPr="00D2075D">
        <w:rPr>
          <w:lang w:val="en-US"/>
        </w:rPr>
        <w:t>Modified intention-to-treat</w:t>
      </w:r>
      <w:r w:rsidR="00D2075D">
        <w:rPr>
          <w:lang w:val="en-US"/>
        </w:rPr>
        <w:t xml:space="preserve"> [</w:t>
      </w:r>
      <w:r w:rsidRPr="00FB62AC">
        <w:rPr>
          <w:lang w:val="en-US"/>
        </w:rPr>
        <w:t>mITT</w:t>
      </w:r>
      <w:r w:rsidR="00D2075D">
        <w:rPr>
          <w:lang w:val="en-US"/>
        </w:rPr>
        <w:t>]</w:t>
      </w:r>
      <w:r w:rsidRPr="00FB62AC">
        <w:rPr>
          <w:lang w:val="en-US"/>
        </w:rPr>
        <w:t xml:space="preserve"> Population)</w:t>
      </w:r>
    </w:p>
    <w:tbl>
      <w:tblPr>
        <w:tblStyle w:val="TableGrid"/>
        <w:tblW w:w="0" w:type="auto"/>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ook w:val="04A0" w:firstRow="1" w:lastRow="0" w:firstColumn="1" w:lastColumn="0" w:noHBand="0" w:noVBand="1"/>
        <w:tblDescription w:val="Table 5: Extent of Exposure to Intravenous Study Treatment in Study TG1101-RMS301 (Modified intention-to-treat [mITT] Population)"/>
      </w:tblPr>
      <w:tblGrid>
        <w:gridCol w:w="2880"/>
        <w:gridCol w:w="2880"/>
        <w:gridCol w:w="2880"/>
      </w:tblGrid>
      <w:tr w:rsidR="00D023FC" w:rsidRPr="00D023FC" w14:paraId="03047BE0" w14:textId="77777777" w:rsidTr="006955B1">
        <w:tc>
          <w:tcPr>
            <w:tcW w:w="2880" w:type="dxa"/>
            <w:shd w:val="clear" w:color="auto" w:fill="DEEAF6"/>
          </w:tcPr>
          <w:p w14:paraId="2BDE6429" w14:textId="77777777" w:rsidR="00D023FC" w:rsidRPr="00A61850" w:rsidRDefault="00D023FC">
            <w:pPr>
              <w:rPr>
                <w:b/>
                <w:bCs/>
                <w:color w:val="263287"/>
                <w:szCs w:val="22"/>
              </w:rPr>
            </w:pPr>
          </w:p>
        </w:tc>
        <w:tc>
          <w:tcPr>
            <w:tcW w:w="2880" w:type="dxa"/>
            <w:shd w:val="clear" w:color="auto" w:fill="DEEAF6"/>
            <w:hideMark/>
          </w:tcPr>
          <w:p w14:paraId="0DB5506A" w14:textId="77777777" w:rsidR="00D023FC" w:rsidRPr="00A61850" w:rsidRDefault="00D023FC">
            <w:pPr>
              <w:rPr>
                <w:b/>
                <w:bCs/>
                <w:color w:val="263287"/>
                <w:szCs w:val="22"/>
              </w:rPr>
            </w:pPr>
            <w:r w:rsidRPr="00A61850">
              <w:rPr>
                <w:b/>
                <w:bCs/>
                <w:color w:val="263287"/>
                <w:szCs w:val="22"/>
              </w:rPr>
              <w:t>Ublituximab (N=271)</w:t>
            </w:r>
          </w:p>
        </w:tc>
        <w:tc>
          <w:tcPr>
            <w:tcW w:w="2880" w:type="dxa"/>
            <w:shd w:val="clear" w:color="auto" w:fill="DEEAF6"/>
            <w:hideMark/>
          </w:tcPr>
          <w:p w14:paraId="7FDAABF9" w14:textId="77777777" w:rsidR="00D023FC" w:rsidRPr="00A61850" w:rsidRDefault="00D023FC">
            <w:pPr>
              <w:rPr>
                <w:b/>
                <w:bCs/>
                <w:color w:val="263287"/>
                <w:szCs w:val="22"/>
              </w:rPr>
            </w:pPr>
            <w:r w:rsidRPr="00A61850">
              <w:rPr>
                <w:b/>
                <w:bCs/>
                <w:color w:val="263287"/>
                <w:szCs w:val="22"/>
              </w:rPr>
              <w:t>Teriflunomide (N=274)</w:t>
            </w:r>
          </w:p>
        </w:tc>
      </w:tr>
      <w:tr w:rsidR="00B73834" w:rsidRPr="00D023FC" w14:paraId="43F4B085" w14:textId="77777777" w:rsidTr="00A61850">
        <w:tc>
          <w:tcPr>
            <w:tcW w:w="8640" w:type="dxa"/>
            <w:gridSpan w:val="3"/>
            <w:hideMark/>
          </w:tcPr>
          <w:p w14:paraId="46EE6DBC" w14:textId="3A24C737" w:rsidR="00B73834" w:rsidRPr="00B87D00" w:rsidRDefault="00B73834">
            <w:pPr>
              <w:rPr>
                <w:szCs w:val="22"/>
              </w:rPr>
            </w:pPr>
            <w:r w:rsidRPr="00B87D00">
              <w:rPr>
                <w:szCs w:val="22"/>
              </w:rPr>
              <w:t>Number of infusions</w:t>
            </w:r>
          </w:p>
        </w:tc>
      </w:tr>
      <w:tr w:rsidR="00D023FC" w:rsidRPr="00D023FC" w14:paraId="46B47CE1" w14:textId="77777777" w:rsidTr="00A61850">
        <w:tc>
          <w:tcPr>
            <w:tcW w:w="2880" w:type="dxa"/>
            <w:hideMark/>
          </w:tcPr>
          <w:p w14:paraId="1D24B563" w14:textId="77777777" w:rsidR="00D023FC" w:rsidRPr="00B87D00" w:rsidRDefault="00D023FC">
            <w:pPr>
              <w:rPr>
                <w:szCs w:val="22"/>
              </w:rPr>
            </w:pPr>
            <w:r w:rsidRPr="00B87D00">
              <w:rPr>
                <w:szCs w:val="22"/>
              </w:rPr>
              <w:t>Mean (SD)</w:t>
            </w:r>
          </w:p>
        </w:tc>
        <w:tc>
          <w:tcPr>
            <w:tcW w:w="2880" w:type="dxa"/>
            <w:hideMark/>
          </w:tcPr>
          <w:p w14:paraId="244F4CFD" w14:textId="77777777" w:rsidR="00D023FC" w:rsidRPr="00D023FC" w:rsidRDefault="00D023FC">
            <w:pPr>
              <w:rPr>
                <w:szCs w:val="22"/>
              </w:rPr>
            </w:pPr>
            <w:r w:rsidRPr="00D023FC">
              <w:rPr>
                <w:szCs w:val="22"/>
              </w:rPr>
              <w:t>4.8 (0.71)</w:t>
            </w:r>
          </w:p>
        </w:tc>
        <w:tc>
          <w:tcPr>
            <w:tcW w:w="2880" w:type="dxa"/>
            <w:hideMark/>
          </w:tcPr>
          <w:p w14:paraId="11495E54" w14:textId="77777777" w:rsidR="00D023FC" w:rsidRPr="00D023FC" w:rsidRDefault="00D023FC">
            <w:pPr>
              <w:rPr>
                <w:szCs w:val="22"/>
              </w:rPr>
            </w:pPr>
            <w:r w:rsidRPr="00D023FC">
              <w:rPr>
                <w:szCs w:val="22"/>
              </w:rPr>
              <w:t>4.9 (0.59)</w:t>
            </w:r>
          </w:p>
        </w:tc>
      </w:tr>
      <w:tr w:rsidR="00D023FC" w:rsidRPr="00D023FC" w14:paraId="3583A289" w14:textId="77777777" w:rsidTr="00A61850">
        <w:tc>
          <w:tcPr>
            <w:tcW w:w="2880" w:type="dxa"/>
            <w:hideMark/>
          </w:tcPr>
          <w:p w14:paraId="15279EB4" w14:textId="77777777" w:rsidR="00D023FC" w:rsidRPr="00B87D00" w:rsidRDefault="00D023FC">
            <w:pPr>
              <w:rPr>
                <w:szCs w:val="22"/>
              </w:rPr>
            </w:pPr>
            <w:r w:rsidRPr="00B87D00">
              <w:rPr>
                <w:szCs w:val="22"/>
              </w:rPr>
              <w:t>Median (minimum, maximum)</w:t>
            </w:r>
          </w:p>
        </w:tc>
        <w:tc>
          <w:tcPr>
            <w:tcW w:w="2880" w:type="dxa"/>
            <w:hideMark/>
          </w:tcPr>
          <w:p w14:paraId="2C002680" w14:textId="77777777" w:rsidR="00D023FC" w:rsidRPr="00D023FC" w:rsidRDefault="00D023FC">
            <w:pPr>
              <w:rPr>
                <w:szCs w:val="22"/>
              </w:rPr>
            </w:pPr>
            <w:r w:rsidRPr="00D023FC">
              <w:rPr>
                <w:szCs w:val="22"/>
              </w:rPr>
              <w:t>5.0 (1, 5)</w:t>
            </w:r>
          </w:p>
        </w:tc>
        <w:tc>
          <w:tcPr>
            <w:tcW w:w="2880" w:type="dxa"/>
            <w:hideMark/>
          </w:tcPr>
          <w:p w14:paraId="1CD1BE70" w14:textId="77777777" w:rsidR="00D023FC" w:rsidRPr="00D023FC" w:rsidRDefault="00D023FC">
            <w:pPr>
              <w:rPr>
                <w:szCs w:val="22"/>
              </w:rPr>
            </w:pPr>
            <w:r w:rsidRPr="00D023FC">
              <w:rPr>
                <w:szCs w:val="22"/>
              </w:rPr>
              <w:t>5.0 (1, 5)</w:t>
            </w:r>
          </w:p>
        </w:tc>
      </w:tr>
      <w:tr w:rsidR="00B73834" w:rsidRPr="00D023FC" w14:paraId="33BBE865" w14:textId="77777777" w:rsidTr="00A61850">
        <w:tc>
          <w:tcPr>
            <w:tcW w:w="8640" w:type="dxa"/>
            <w:gridSpan w:val="3"/>
            <w:hideMark/>
          </w:tcPr>
          <w:p w14:paraId="70D4EE03" w14:textId="3852EF8C" w:rsidR="00B73834" w:rsidRPr="00B87D00" w:rsidRDefault="00B73834">
            <w:pPr>
              <w:rPr>
                <w:szCs w:val="22"/>
              </w:rPr>
            </w:pPr>
            <w:r w:rsidRPr="00B87D00">
              <w:rPr>
                <w:szCs w:val="22"/>
              </w:rPr>
              <w:t>Number of infusions, n (%)</w:t>
            </w:r>
          </w:p>
        </w:tc>
      </w:tr>
      <w:tr w:rsidR="00D023FC" w:rsidRPr="00D023FC" w14:paraId="023D29B5" w14:textId="77777777" w:rsidTr="00A61850">
        <w:tc>
          <w:tcPr>
            <w:tcW w:w="2880" w:type="dxa"/>
            <w:hideMark/>
          </w:tcPr>
          <w:p w14:paraId="4ACF358B" w14:textId="77777777" w:rsidR="00D023FC" w:rsidRPr="00B87D00" w:rsidRDefault="00D023FC">
            <w:pPr>
              <w:rPr>
                <w:szCs w:val="22"/>
              </w:rPr>
            </w:pPr>
            <w:r w:rsidRPr="00B87D00">
              <w:rPr>
                <w:szCs w:val="22"/>
              </w:rPr>
              <w:t>1</w:t>
            </w:r>
          </w:p>
        </w:tc>
        <w:tc>
          <w:tcPr>
            <w:tcW w:w="2880" w:type="dxa"/>
            <w:hideMark/>
          </w:tcPr>
          <w:p w14:paraId="0A4600F2" w14:textId="77777777" w:rsidR="00D023FC" w:rsidRPr="00D023FC" w:rsidRDefault="00D023FC">
            <w:pPr>
              <w:rPr>
                <w:szCs w:val="22"/>
              </w:rPr>
            </w:pPr>
            <w:r w:rsidRPr="00D023FC">
              <w:rPr>
                <w:szCs w:val="22"/>
              </w:rPr>
              <w:t>3 (1.1)</w:t>
            </w:r>
          </w:p>
        </w:tc>
        <w:tc>
          <w:tcPr>
            <w:tcW w:w="2880" w:type="dxa"/>
            <w:hideMark/>
          </w:tcPr>
          <w:p w14:paraId="3A9F0986" w14:textId="77777777" w:rsidR="00D023FC" w:rsidRPr="00D023FC" w:rsidRDefault="00D023FC">
            <w:pPr>
              <w:rPr>
                <w:szCs w:val="22"/>
              </w:rPr>
            </w:pPr>
            <w:r w:rsidRPr="00D023FC">
              <w:rPr>
                <w:szCs w:val="22"/>
              </w:rPr>
              <w:t>2 (0.7)</w:t>
            </w:r>
          </w:p>
        </w:tc>
      </w:tr>
      <w:tr w:rsidR="00D023FC" w:rsidRPr="00D023FC" w14:paraId="5E4D041C" w14:textId="77777777" w:rsidTr="00A61850">
        <w:tc>
          <w:tcPr>
            <w:tcW w:w="2880" w:type="dxa"/>
            <w:hideMark/>
          </w:tcPr>
          <w:p w14:paraId="7F75B7ED" w14:textId="77777777" w:rsidR="00D023FC" w:rsidRPr="00B87D00" w:rsidRDefault="00D023FC">
            <w:pPr>
              <w:rPr>
                <w:szCs w:val="22"/>
              </w:rPr>
            </w:pPr>
            <w:r w:rsidRPr="00B87D00">
              <w:rPr>
                <w:szCs w:val="22"/>
              </w:rPr>
              <w:t>2</w:t>
            </w:r>
          </w:p>
        </w:tc>
        <w:tc>
          <w:tcPr>
            <w:tcW w:w="2880" w:type="dxa"/>
            <w:hideMark/>
          </w:tcPr>
          <w:p w14:paraId="621E01A0" w14:textId="77777777" w:rsidR="00D023FC" w:rsidRPr="00D023FC" w:rsidRDefault="00D023FC">
            <w:pPr>
              <w:rPr>
                <w:szCs w:val="22"/>
              </w:rPr>
            </w:pPr>
            <w:r w:rsidRPr="00D023FC">
              <w:rPr>
                <w:szCs w:val="22"/>
              </w:rPr>
              <w:t>7 (2.6)</w:t>
            </w:r>
          </w:p>
        </w:tc>
        <w:tc>
          <w:tcPr>
            <w:tcW w:w="2880" w:type="dxa"/>
            <w:hideMark/>
          </w:tcPr>
          <w:p w14:paraId="343131B7" w14:textId="77777777" w:rsidR="00D023FC" w:rsidRPr="00D023FC" w:rsidRDefault="00D023FC">
            <w:pPr>
              <w:rPr>
                <w:szCs w:val="22"/>
              </w:rPr>
            </w:pPr>
            <w:r w:rsidRPr="00D023FC">
              <w:rPr>
                <w:szCs w:val="22"/>
              </w:rPr>
              <w:t>4 (1.5)</w:t>
            </w:r>
          </w:p>
        </w:tc>
      </w:tr>
      <w:tr w:rsidR="00D023FC" w:rsidRPr="00D023FC" w14:paraId="21BC4ABD" w14:textId="77777777" w:rsidTr="00A61850">
        <w:tc>
          <w:tcPr>
            <w:tcW w:w="2880" w:type="dxa"/>
            <w:hideMark/>
          </w:tcPr>
          <w:p w14:paraId="4BA37CB7" w14:textId="77777777" w:rsidR="00D023FC" w:rsidRPr="00B87D00" w:rsidRDefault="00D023FC">
            <w:pPr>
              <w:rPr>
                <w:szCs w:val="22"/>
              </w:rPr>
            </w:pPr>
            <w:r w:rsidRPr="00B87D00">
              <w:rPr>
                <w:szCs w:val="22"/>
              </w:rPr>
              <w:t>3</w:t>
            </w:r>
          </w:p>
        </w:tc>
        <w:tc>
          <w:tcPr>
            <w:tcW w:w="2880" w:type="dxa"/>
            <w:hideMark/>
          </w:tcPr>
          <w:p w14:paraId="59F44A73" w14:textId="77777777" w:rsidR="00D023FC" w:rsidRPr="00D023FC" w:rsidRDefault="00D023FC">
            <w:pPr>
              <w:rPr>
                <w:szCs w:val="22"/>
              </w:rPr>
            </w:pPr>
            <w:r w:rsidRPr="00D023FC">
              <w:rPr>
                <w:szCs w:val="22"/>
              </w:rPr>
              <w:t>7 (2.6)</w:t>
            </w:r>
          </w:p>
        </w:tc>
        <w:tc>
          <w:tcPr>
            <w:tcW w:w="2880" w:type="dxa"/>
            <w:hideMark/>
          </w:tcPr>
          <w:p w14:paraId="0BD9130B" w14:textId="77777777" w:rsidR="00D023FC" w:rsidRPr="00D023FC" w:rsidRDefault="00D023FC">
            <w:pPr>
              <w:rPr>
                <w:szCs w:val="22"/>
              </w:rPr>
            </w:pPr>
            <w:r w:rsidRPr="00D023FC">
              <w:rPr>
                <w:szCs w:val="22"/>
              </w:rPr>
              <w:t>7 (2.6)</w:t>
            </w:r>
          </w:p>
        </w:tc>
      </w:tr>
      <w:tr w:rsidR="00D023FC" w:rsidRPr="00D023FC" w14:paraId="18A8E20A" w14:textId="77777777" w:rsidTr="00A61850">
        <w:tc>
          <w:tcPr>
            <w:tcW w:w="2880" w:type="dxa"/>
            <w:hideMark/>
          </w:tcPr>
          <w:p w14:paraId="4F8C01E9" w14:textId="77777777" w:rsidR="00D023FC" w:rsidRPr="00B87D00" w:rsidRDefault="00D023FC">
            <w:pPr>
              <w:rPr>
                <w:szCs w:val="22"/>
              </w:rPr>
            </w:pPr>
            <w:r w:rsidRPr="00B87D00">
              <w:rPr>
                <w:szCs w:val="22"/>
              </w:rPr>
              <w:t>4</w:t>
            </w:r>
          </w:p>
        </w:tc>
        <w:tc>
          <w:tcPr>
            <w:tcW w:w="2880" w:type="dxa"/>
            <w:hideMark/>
          </w:tcPr>
          <w:p w14:paraId="49322BE6" w14:textId="77777777" w:rsidR="00D023FC" w:rsidRPr="00D023FC" w:rsidRDefault="00D023FC">
            <w:pPr>
              <w:rPr>
                <w:szCs w:val="22"/>
              </w:rPr>
            </w:pPr>
            <w:r w:rsidRPr="00D023FC">
              <w:rPr>
                <w:szCs w:val="22"/>
              </w:rPr>
              <w:t>8 (3.0)</w:t>
            </w:r>
          </w:p>
        </w:tc>
        <w:tc>
          <w:tcPr>
            <w:tcW w:w="2880" w:type="dxa"/>
            <w:hideMark/>
          </w:tcPr>
          <w:p w14:paraId="24CAF1BF" w14:textId="77777777" w:rsidR="00D023FC" w:rsidRPr="00D023FC" w:rsidRDefault="00D023FC">
            <w:pPr>
              <w:rPr>
                <w:szCs w:val="22"/>
              </w:rPr>
            </w:pPr>
            <w:r w:rsidRPr="00D023FC">
              <w:rPr>
                <w:szCs w:val="22"/>
              </w:rPr>
              <w:t>4 (1.5)</w:t>
            </w:r>
          </w:p>
        </w:tc>
      </w:tr>
      <w:tr w:rsidR="00D023FC" w:rsidRPr="00D023FC" w14:paraId="169D62D4" w14:textId="77777777" w:rsidTr="00A61850">
        <w:tc>
          <w:tcPr>
            <w:tcW w:w="2880" w:type="dxa"/>
            <w:hideMark/>
          </w:tcPr>
          <w:p w14:paraId="21F44F35" w14:textId="77777777" w:rsidR="00D023FC" w:rsidRPr="00B87D00" w:rsidRDefault="00D023FC">
            <w:pPr>
              <w:rPr>
                <w:szCs w:val="22"/>
              </w:rPr>
            </w:pPr>
            <w:r w:rsidRPr="00B87D00">
              <w:rPr>
                <w:szCs w:val="22"/>
              </w:rPr>
              <w:t>5</w:t>
            </w:r>
          </w:p>
        </w:tc>
        <w:tc>
          <w:tcPr>
            <w:tcW w:w="2880" w:type="dxa"/>
            <w:hideMark/>
          </w:tcPr>
          <w:p w14:paraId="348F7939" w14:textId="77777777" w:rsidR="00D023FC" w:rsidRPr="00D023FC" w:rsidRDefault="00D023FC">
            <w:pPr>
              <w:rPr>
                <w:szCs w:val="22"/>
              </w:rPr>
            </w:pPr>
            <w:r w:rsidRPr="00D023FC">
              <w:rPr>
                <w:szCs w:val="22"/>
              </w:rPr>
              <w:t>246 (90.8)</w:t>
            </w:r>
          </w:p>
        </w:tc>
        <w:tc>
          <w:tcPr>
            <w:tcW w:w="2880" w:type="dxa"/>
            <w:hideMark/>
          </w:tcPr>
          <w:p w14:paraId="7F2A58CB" w14:textId="77777777" w:rsidR="00D023FC" w:rsidRPr="00D023FC" w:rsidRDefault="00D023FC">
            <w:pPr>
              <w:rPr>
                <w:szCs w:val="22"/>
              </w:rPr>
            </w:pPr>
            <w:r w:rsidRPr="00D023FC">
              <w:rPr>
                <w:szCs w:val="22"/>
              </w:rPr>
              <w:t>257 (93.8)</w:t>
            </w:r>
          </w:p>
        </w:tc>
      </w:tr>
      <w:tr w:rsidR="00B73834" w:rsidRPr="00D023FC" w14:paraId="467D0E8D" w14:textId="77777777" w:rsidTr="00A61850">
        <w:tc>
          <w:tcPr>
            <w:tcW w:w="8640" w:type="dxa"/>
            <w:gridSpan w:val="3"/>
            <w:hideMark/>
          </w:tcPr>
          <w:p w14:paraId="5126544E" w14:textId="27807D13" w:rsidR="00B73834" w:rsidRPr="00B87D00" w:rsidRDefault="00B73834">
            <w:pPr>
              <w:rPr>
                <w:szCs w:val="22"/>
              </w:rPr>
            </w:pPr>
            <w:r w:rsidRPr="00B87D00">
              <w:rPr>
                <w:szCs w:val="22"/>
              </w:rPr>
              <w:t>Percentage of planned total dose (ublituximab or placebo) taken</w:t>
            </w:r>
          </w:p>
        </w:tc>
      </w:tr>
      <w:tr w:rsidR="00D023FC" w:rsidRPr="00D023FC" w14:paraId="32653148" w14:textId="77777777" w:rsidTr="00A61850">
        <w:tc>
          <w:tcPr>
            <w:tcW w:w="2880" w:type="dxa"/>
            <w:hideMark/>
          </w:tcPr>
          <w:p w14:paraId="46A4055F" w14:textId="77777777" w:rsidR="00D023FC" w:rsidRPr="00B87D00" w:rsidRDefault="00D023FC">
            <w:pPr>
              <w:rPr>
                <w:szCs w:val="22"/>
              </w:rPr>
            </w:pPr>
            <w:r w:rsidRPr="00B87D00">
              <w:rPr>
                <w:szCs w:val="22"/>
              </w:rPr>
              <w:t>Mean (SD)</w:t>
            </w:r>
          </w:p>
        </w:tc>
        <w:tc>
          <w:tcPr>
            <w:tcW w:w="2880" w:type="dxa"/>
            <w:hideMark/>
          </w:tcPr>
          <w:p w14:paraId="1D6EF8A9" w14:textId="77777777" w:rsidR="00D023FC" w:rsidRPr="00D023FC" w:rsidRDefault="00D023FC">
            <w:pPr>
              <w:rPr>
                <w:szCs w:val="22"/>
              </w:rPr>
            </w:pPr>
            <w:r w:rsidRPr="00D023FC">
              <w:rPr>
                <w:szCs w:val="22"/>
              </w:rPr>
              <w:t>95.4 (16.28)</w:t>
            </w:r>
          </w:p>
        </w:tc>
        <w:tc>
          <w:tcPr>
            <w:tcW w:w="2880" w:type="dxa"/>
            <w:hideMark/>
          </w:tcPr>
          <w:p w14:paraId="45463B7E" w14:textId="77777777" w:rsidR="00D023FC" w:rsidRPr="00D023FC" w:rsidRDefault="00D023FC">
            <w:pPr>
              <w:rPr>
                <w:szCs w:val="22"/>
              </w:rPr>
            </w:pPr>
            <w:r w:rsidRPr="00D023FC">
              <w:rPr>
                <w:szCs w:val="22"/>
              </w:rPr>
              <w:t>96.7 (13.61)</w:t>
            </w:r>
          </w:p>
        </w:tc>
      </w:tr>
      <w:tr w:rsidR="00D023FC" w:rsidRPr="00D023FC" w14:paraId="2121E375" w14:textId="77777777" w:rsidTr="00A61850">
        <w:tc>
          <w:tcPr>
            <w:tcW w:w="2880" w:type="dxa"/>
            <w:hideMark/>
          </w:tcPr>
          <w:p w14:paraId="6F206F32" w14:textId="77777777" w:rsidR="00D023FC" w:rsidRPr="00B87D00" w:rsidRDefault="00D023FC">
            <w:pPr>
              <w:rPr>
                <w:szCs w:val="22"/>
              </w:rPr>
            </w:pPr>
            <w:r w:rsidRPr="00B87D00">
              <w:rPr>
                <w:szCs w:val="22"/>
              </w:rPr>
              <w:t>Median (minimum, maximum)</w:t>
            </w:r>
          </w:p>
        </w:tc>
        <w:tc>
          <w:tcPr>
            <w:tcW w:w="2880" w:type="dxa"/>
            <w:hideMark/>
          </w:tcPr>
          <w:p w14:paraId="4A56BB69" w14:textId="77777777" w:rsidR="00D023FC" w:rsidRPr="00D023FC" w:rsidRDefault="00D023FC">
            <w:pPr>
              <w:rPr>
                <w:szCs w:val="22"/>
              </w:rPr>
            </w:pPr>
            <w:r w:rsidRPr="00D023FC">
              <w:rPr>
                <w:szCs w:val="22"/>
              </w:rPr>
              <w:t>100.0 (7.7, 100.0)</w:t>
            </w:r>
          </w:p>
        </w:tc>
        <w:tc>
          <w:tcPr>
            <w:tcW w:w="2880" w:type="dxa"/>
            <w:hideMark/>
          </w:tcPr>
          <w:p w14:paraId="7C609ADC" w14:textId="77777777" w:rsidR="00D023FC" w:rsidRPr="00D023FC" w:rsidRDefault="00D023FC">
            <w:pPr>
              <w:rPr>
                <w:szCs w:val="22"/>
              </w:rPr>
            </w:pPr>
            <w:r w:rsidRPr="00D023FC">
              <w:rPr>
                <w:szCs w:val="22"/>
              </w:rPr>
              <w:t>100.0 (7.7, 100.0)</w:t>
            </w:r>
          </w:p>
        </w:tc>
      </w:tr>
    </w:tbl>
    <w:p w14:paraId="2C1FCAF5" w14:textId="77777777" w:rsidR="00D023FC" w:rsidRDefault="00D023FC" w:rsidP="00D023FC">
      <w:pPr>
        <w:pStyle w:val="TableDescription"/>
        <w:rPr>
          <w:rFonts w:asciiTheme="minorHAnsi" w:hAnsiTheme="minorHAnsi" w:cstheme="minorBidi"/>
          <w:sz w:val="22"/>
          <w:szCs w:val="22"/>
          <w:lang w:val="en-US"/>
        </w:rPr>
      </w:pPr>
      <w:r>
        <w:t>mITT, modified intent-to-treat; SD, standard deviation.</w:t>
      </w:r>
    </w:p>
    <w:p w14:paraId="5AB9EF78" w14:textId="77777777" w:rsidR="00D023FC" w:rsidRDefault="00D023FC" w:rsidP="00D023FC">
      <w:pPr>
        <w:pStyle w:val="TableDescription"/>
      </w:pPr>
      <w:r>
        <w:t>Note: Ublituximab treatment in the Ublituximab group; Placebo in the Teriflunomide group.</w:t>
      </w:r>
    </w:p>
    <w:p w14:paraId="2A24BFF6" w14:textId="77777777" w:rsidR="00D023FC" w:rsidRDefault="00D023FC" w:rsidP="00D023FC">
      <w:pPr>
        <w:pStyle w:val="TableDescription"/>
      </w:pPr>
      <w:r>
        <w:t>*≥50% complete, only participants with at least one infusion are represented in this summary.</w:t>
      </w:r>
    </w:p>
    <w:p w14:paraId="6E8B71C7" w14:textId="77777777" w:rsidR="00504337" w:rsidRPr="00504337" w:rsidRDefault="00504337" w:rsidP="0081111B">
      <w:pPr>
        <w:pStyle w:val="Heading6"/>
        <w:rPr>
          <w:lang w:val="en-US"/>
        </w:rPr>
      </w:pPr>
      <w:r w:rsidRPr="00504337">
        <w:rPr>
          <w:lang w:val="en-US"/>
        </w:rPr>
        <w:t>Outcomes and estimation</w:t>
      </w:r>
    </w:p>
    <w:p w14:paraId="7698C38B" w14:textId="4149F253" w:rsidR="00504337" w:rsidRPr="00504337" w:rsidRDefault="00504337" w:rsidP="00504337">
      <w:pPr>
        <w:rPr>
          <w:lang w:val="en-US"/>
        </w:rPr>
      </w:pPr>
      <w:r w:rsidRPr="00504337">
        <w:rPr>
          <w:lang w:val="en-US"/>
        </w:rPr>
        <w:t xml:space="preserve">The ITT Population consisted of 549 participants overall, with 274 participants in the ublituximab group and 275 participants in the </w:t>
      </w:r>
      <w:r w:rsidR="00AC52A6" w:rsidRPr="00504337">
        <w:rPr>
          <w:lang w:val="en-US"/>
        </w:rPr>
        <w:t>teri</w:t>
      </w:r>
      <w:r w:rsidR="00AC52A6" w:rsidRPr="00504337">
        <w:rPr>
          <w:rFonts w:cs="Cambria"/>
          <w:lang w:val="en-US"/>
        </w:rPr>
        <w:t>f</w:t>
      </w:r>
      <w:r w:rsidR="00AC52A6" w:rsidRPr="00504337">
        <w:rPr>
          <w:lang w:val="en-US"/>
        </w:rPr>
        <w:t>lunomide</w:t>
      </w:r>
      <w:r w:rsidRPr="00504337">
        <w:rPr>
          <w:lang w:val="en-US"/>
        </w:rPr>
        <w:t xml:space="preserve"> group. The</w:t>
      </w:r>
      <w:r w:rsidR="00483C32">
        <w:rPr>
          <w:lang w:val="en-US"/>
        </w:rPr>
        <w:t xml:space="preserve"> per protocol</w:t>
      </w:r>
      <w:r w:rsidRPr="00504337">
        <w:rPr>
          <w:lang w:val="en-US"/>
        </w:rPr>
        <w:t xml:space="preserve"> </w:t>
      </w:r>
      <w:r w:rsidR="00483C32">
        <w:rPr>
          <w:lang w:val="en-US"/>
        </w:rPr>
        <w:t>(</w:t>
      </w:r>
      <w:r w:rsidRPr="00504337">
        <w:rPr>
          <w:lang w:val="en-US"/>
        </w:rPr>
        <w:t>PP</w:t>
      </w:r>
      <w:r w:rsidR="00483C32">
        <w:rPr>
          <w:lang w:val="en-US"/>
        </w:rPr>
        <w:t>)</w:t>
      </w:r>
      <w:r w:rsidRPr="00504337">
        <w:rPr>
          <w:lang w:val="en-US"/>
        </w:rPr>
        <w:t xml:space="preserve"> </w:t>
      </w:r>
      <w:r w:rsidR="005C62B5">
        <w:rPr>
          <w:lang w:val="en-US"/>
        </w:rPr>
        <w:t>p</w:t>
      </w:r>
      <w:r w:rsidRPr="00504337">
        <w:rPr>
          <w:lang w:val="en-US"/>
        </w:rPr>
        <w:t xml:space="preserve">opulation included 467 (85.1%) participants, with 83.2% of subjects in the ublituximab group and 86.9% of participants in the </w:t>
      </w:r>
      <w:r w:rsidR="00AC52A6" w:rsidRPr="00504337">
        <w:rPr>
          <w:lang w:val="en-US"/>
        </w:rPr>
        <w:t>teri</w:t>
      </w:r>
      <w:r w:rsidR="00AC52A6" w:rsidRPr="00504337">
        <w:rPr>
          <w:rFonts w:cs="Cambria"/>
          <w:lang w:val="en-US"/>
        </w:rPr>
        <w:t>f</w:t>
      </w:r>
      <w:r w:rsidR="00AC52A6" w:rsidRPr="00504337">
        <w:rPr>
          <w:lang w:val="en-US"/>
        </w:rPr>
        <w:t>lunomide</w:t>
      </w:r>
      <w:r w:rsidRPr="00504337">
        <w:rPr>
          <w:lang w:val="en-US"/>
        </w:rPr>
        <w:t xml:space="preserve"> group.</w:t>
      </w:r>
    </w:p>
    <w:p w14:paraId="5D92AD32" w14:textId="1F2F3FAD" w:rsidR="00504337" w:rsidRPr="00504337" w:rsidRDefault="00504337" w:rsidP="0081111B">
      <w:pPr>
        <w:pStyle w:val="Heading6"/>
        <w:rPr>
          <w:lang w:val="en-US"/>
        </w:rPr>
      </w:pPr>
      <w:r w:rsidRPr="00504337">
        <w:rPr>
          <w:lang w:val="en-US"/>
        </w:rPr>
        <w:t xml:space="preserve">Primary </w:t>
      </w:r>
      <w:r w:rsidR="00AC52A6" w:rsidRPr="00504337">
        <w:rPr>
          <w:lang w:val="en-US"/>
        </w:rPr>
        <w:t>ef</w:t>
      </w:r>
      <w:r w:rsidR="00AC52A6" w:rsidRPr="00504337">
        <w:rPr>
          <w:rFonts w:ascii="Cambria" w:hAnsi="Cambria" w:cs="Cambria"/>
          <w:lang w:val="en-US"/>
        </w:rPr>
        <w:t>f</w:t>
      </w:r>
      <w:r w:rsidR="00AC52A6" w:rsidRPr="00504337">
        <w:rPr>
          <w:lang w:val="en-US"/>
        </w:rPr>
        <w:t>icacy</w:t>
      </w:r>
      <w:r w:rsidRPr="00504337">
        <w:rPr>
          <w:lang w:val="en-US"/>
        </w:rPr>
        <w:t xml:space="preserve"> endpoint</w:t>
      </w:r>
    </w:p>
    <w:p w14:paraId="096ACAD0" w14:textId="072605F4" w:rsidR="00504337" w:rsidRDefault="00504337" w:rsidP="00504337">
      <w:pPr>
        <w:rPr>
          <w:lang w:val="en-US"/>
        </w:rPr>
      </w:pPr>
      <w:r w:rsidRPr="00504337">
        <w:rPr>
          <w:lang w:val="en-US"/>
        </w:rPr>
        <w:t xml:space="preserve">The treatment effect of ublituximab versus </w:t>
      </w:r>
      <w:r w:rsidR="00AC52A6" w:rsidRPr="00504337">
        <w:rPr>
          <w:lang w:val="en-US"/>
        </w:rPr>
        <w:t>teri</w:t>
      </w:r>
      <w:r w:rsidR="00AC52A6" w:rsidRPr="00504337">
        <w:rPr>
          <w:rFonts w:cs="Cambria"/>
          <w:lang w:val="en-US"/>
        </w:rPr>
        <w:t>f</w:t>
      </w:r>
      <w:r w:rsidR="00AC52A6" w:rsidRPr="00504337">
        <w:rPr>
          <w:lang w:val="en-US"/>
        </w:rPr>
        <w:t>lunomide</w:t>
      </w:r>
      <w:r w:rsidRPr="00504337">
        <w:rPr>
          <w:lang w:val="en-US"/>
        </w:rPr>
        <w:t xml:space="preserve"> was statistically </w:t>
      </w:r>
      <w:r w:rsidR="00176BDC" w:rsidRPr="00504337">
        <w:rPr>
          <w:lang w:val="en-US"/>
        </w:rPr>
        <w:t>signi</w:t>
      </w:r>
      <w:r w:rsidR="00176BDC" w:rsidRPr="00504337">
        <w:rPr>
          <w:rFonts w:cs="Cambria"/>
          <w:lang w:val="en-US"/>
        </w:rPr>
        <w:t>f</w:t>
      </w:r>
      <w:r w:rsidR="00176BDC" w:rsidRPr="00504337">
        <w:rPr>
          <w:lang w:val="en-US"/>
        </w:rPr>
        <w:t>icant</w:t>
      </w:r>
      <w:r w:rsidRPr="00504337">
        <w:rPr>
          <w:lang w:val="en-US"/>
        </w:rPr>
        <w:t xml:space="preserve"> in favour of ublituximab. Similar </w:t>
      </w:r>
      <w:r w:rsidR="00176BDC" w:rsidRPr="00504337">
        <w:rPr>
          <w:lang w:val="en-US"/>
        </w:rPr>
        <w:t>findings</w:t>
      </w:r>
      <w:r w:rsidRPr="00504337">
        <w:rPr>
          <w:lang w:val="en-US"/>
        </w:rPr>
        <w:t xml:space="preserve"> were reported </w:t>
      </w:r>
      <w:proofErr w:type="gramStart"/>
      <w:r w:rsidRPr="00504337">
        <w:rPr>
          <w:lang w:val="en-US"/>
        </w:rPr>
        <w:t>for</w:t>
      </w:r>
      <w:proofErr w:type="gramEnd"/>
      <w:r w:rsidRPr="00504337">
        <w:rPr>
          <w:lang w:val="en-US"/>
        </w:rPr>
        <w:t xml:space="preserve"> the ITT population and the PP population.</w:t>
      </w:r>
      <w:r>
        <w:rPr>
          <w:lang w:val="en-US"/>
        </w:rPr>
        <w:t xml:space="preserve"> </w:t>
      </w:r>
    </w:p>
    <w:p w14:paraId="2048D87C" w14:textId="1B30FEDC" w:rsidR="00AA2194" w:rsidRDefault="00AA2194" w:rsidP="00AA2194">
      <w:pPr>
        <w:pStyle w:val="TableTitle"/>
        <w:rPr>
          <w:lang w:val="en-US"/>
        </w:rPr>
      </w:pPr>
      <w:r w:rsidRPr="00AA2194">
        <w:rPr>
          <w:lang w:val="en-US"/>
        </w:rPr>
        <w:t xml:space="preserve">Table </w:t>
      </w:r>
      <w:r w:rsidR="0022378A">
        <w:rPr>
          <w:lang w:val="en-US"/>
        </w:rPr>
        <w:t>6.</w:t>
      </w:r>
      <w:r w:rsidRPr="00AA2194">
        <w:rPr>
          <w:lang w:val="en-US"/>
        </w:rPr>
        <w:t xml:space="preserve"> Annualized Relapse Rate (IRAP </w:t>
      </w:r>
      <w:r w:rsidR="00176BDC" w:rsidRPr="00AA2194">
        <w:rPr>
          <w:lang w:val="en-US"/>
        </w:rPr>
        <w:t>Con</w:t>
      </w:r>
      <w:r w:rsidR="00176BDC" w:rsidRPr="00AA2194">
        <w:rPr>
          <w:rFonts w:cs="Cambria"/>
          <w:lang w:val="en-US"/>
        </w:rPr>
        <w:t>f</w:t>
      </w:r>
      <w:r w:rsidR="00176BDC" w:rsidRPr="00AA2194">
        <w:rPr>
          <w:lang w:val="en-US"/>
        </w:rPr>
        <w:t>irmed</w:t>
      </w:r>
      <w:r w:rsidRPr="00AA2194">
        <w:rPr>
          <w:lang w:val="en-US"/>
        </w:rPr>
        <w:t>) in Study TG1101-RMS301 (mITT Population)</w:t>
      </w:r>
    </w:p>
    <w:tbl>
      <w:tblPr>
        <w:tblW w:w="0" w:type="auto"/>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CellMar>
          <w:top w:w="15" w:type="dxa"/>
          <w:left w:w="15" w:type="dxa"/>
          <w:bottom w:w="15" w:type="dxa"/>
          <w:right w:w="15" w:type="dxa"/>
        </w:tblCellMar>
        <w:tblLook w:val="04A0" w:firstRow="1" w:lastRow="0" w:firstColumn="1" w:lastColumn="0" w:noHBand="0" w:noVBand="1"/>
        <w:tblDescription w:val="Table 6. Annualized Relapse Rate (IRAP Confirmed) in Study TG1101-RMS301 (mITT Population)"/>
      </w:tblPr>
      <w:tblGrid>
        <w:gridCol w:w="4707"/>
        <w:gridCol w:w="2069"/>
        <w:gridCol w:w="2284"/>
      </w:tblGrid>
      <w:tr w:rsidR="006D60CF" w:rsidRPr="006D60CF" w14:paraId="70EFEE82" w14:textId="77777777" w:rsidTr="006D60CF">
        <w:trPr>
          <w:tblHeader/>
        </w:trPr>
        <w:tc>
          <w:tcPr>
            <w:tcW w:w="0" w:type="auto"/>
            <w:shd w:val="clear" w:color="auto" w:fill="DEEAF6"/>
            <w:vAlign w:val="center"/>
            <w:hideMark/>
          </w:tcPr>
          <w:p w14:paraId="1EC9109D" w14:textId="77777777" w:rsidR="006D60CF" w:rsidRPr="006D60CF" w:rsidRDefault="006D60CF" w:rsidP="006D60CF">
            <w:pPr>
              <w:spacing w:after="0" w:line="240" w:lineRule="auto"/>
              <w:rPr>
                <w:rFonts w:eastAsia="Times New Roman" w:cs="Times New Roman"/>
                <w:color w:val="263287"/>
                <w:szCs w:val="22"/>
                <w:lang w:eastAsia="en-AU"/>
              </w:rPr>
            </w:pPr>
          </w:p>
        </w:tc>
        <w:tc>
          <w:tcPr>
            <w:tcW w:w="0" w:type="auto"/>
            <w:shd w:val="clear" w:color="auto" w:fill="DEEAF6"/>
            <w:vAlign w:val="center"/>
            <w:hideMark/>
          </w:tcPr>
          <w:p w14:paraId="228F2B8E" w14:textId="77777777" w:rsidR="006D60CF" w:rsidRPr="006D60CF" w:rsidRDefault="006D60CF" w:rsidP="006D60CF">
            <w:pPr>
              <w:spacing w:after="0" w:line="240" w:lineRule="auto"/>
              <w:rPr>
                <w:rFonts w:eastAsia="Times New Roman" w:cs="Times New Roman"/>
                <w:b/>
                <w:bCs/>
                <w:color w:val="263287"/>
                <w:szCs w:val="22"/>
                <w:lang w:eastAsia="en-AU"/>
              </w:rPr>
            </w:pPr>
            <w:r w:rsidRPr="006D60CF">
              <w:rPr>
                <w:rFonts w:eastAsia="Times New Roman" w:cs="Times New Roman"/>
                <w:b/>
                <w:bCs/>
                <w:color w:val="263287"/>
                <w:szCs w:val="22"/>
                <w:lang w:eastAsia="en-AU"/>
              </w:rPr>
              <w:t>Ublituximab (N=271)</w:t>
            </w:r>
          </w:p>
        </w:tc>
        <w:tc>
          <w:tcPr>
            <w:tcW w:w="0" w:type="auto"/>
            <w:shd w:val="clear" w:color="auto" w:fill="DEEAF6"/>
            <w:vAlign w:val="center"/>
            <w:hideMark/>
          </w:tcPr>
          <w:p w14:paraId="6986BC3A" w14:textId="77777777" w:rsidR="006D60CF" w:rsidRPr="006D60CF" w:rsidRDefault="006D60CF" w:rsidP="006D60CF">
            <w:pPr>
              <w:spacing w:after="0" w:line="240" w:lineRule="auto"/>
              <w:rPr>
                <w:rFonts w:eastAsia="Times New Roman" w:cs="Times New Roman"/>
                <w:b/>
                <w:bCs/>
                <w:color w:val="263287"/>
                <w:szCs w:val="22"/>
                <w:lang w:eastAsia="en-AU"/>
              </w:rPr>
            </w:pPr>
            <w:r w:rsidRPr="006D60CF">
              <w:rPr>
                <w:rFonts w:eastAsia="Times New Roman" w:cs="Times New Roman"/>
                <w:b/>
                <w:bCs/>
                <w:color w:val="263287"/>
                <w:szCs w:val="22"/>
                <w:lang w:eastAsia="en-AU"/>
              </w:rPr>
              <w:t>Teriflunomide (N=274)</w:t>
            </w:r>
          </w:p>
        </w:tc>
      </w:tr>
      <w:tr w:rsidR="006D60CF" w:rsidRPr="006D60CF" w14:paraId="1369ED0C" w14:textId="77777777" w:rsidTr="006D60CF">
        <w:tc>
          <w:tcPr>
            <w:tcW w:w="0" w:type="auto"/>
            <w:vAlign w:val="center"/>
            <w:hideMark/>
          </w:tcPr>
          <w:p w14:paraId="3F9DF194" w14:textId="77777777" w:rsidR="006D60CF" w:rsidRPr="009C25AF" w:rsidRDefault="006D60CF" w:rsidP="006D60CF">
            <w:pPr>
              <w:spacing w:after="0" w:line="240" w:lineRule="auto"/>
              <w:rPr>
                <w:rFonts w:eastAsia="Times New Roman" w:cs="Times New Roman"/>
                <w:szCs w:val="22"/>
                <w:lang w:eastAsia="en-AU"/>
              </w:rPr>
            </w:pPr>
            <w:r w:rsidRPr="009C25AF">
              <w:rPr>
                <w:rFonts w:eastAsia="Times New Roman" w:cs="Times New Roman"/>
                <w:szCs w:val="22"/>
                <w:lang w:eastAsia="en-AU"/>
              </w:rPr>
              <w:t>Duration of treatmentᵃ (years)</w:t>
            </w:r>
          </w:p>
        </w:tc>
        <w:tc>
          <w:tcPr>
            <w:tcW w:w="0" w:type="auto"/>
            <w:vAlign w:val="center"/>
            <w:hideMark/>
          </w:tcPr>
          <w:p w14:paraId="29499A73" w14:textId="77777777" w:rsidR="006D60CF" w:rsidRPr="006D60CF" w:rsidRDefault="006D60CF" w:rsidP="006D60CF">
            <w:pPr>
              <w:spacing w:after="0" w:line="240" w:lineRule="auto"/>
              <w:rPr>
                <w:rFonts w:eastAsia="Times New Roman" w:cs="Times New Roman"/>
                <w:szCs w:val="22"/>
                <w:lang w:eastAsia="en-AU"/>
              </w:rPr>
            </w:pPr>
          </w:p>
        </w:tc>
        <w:tc>
          <w:tcPr>
            <w:tcW w:w="0" w:type="auto"/>
            <w:vAlign w:val="center"/>
            <w:hideMark/>
          </w:tcPr>
          <w:p w14:paraId="07B705E6" w14:textId="77777777" w:rsidR="006D60CF" w:rsidRPr="006D60CF" w:rsidRDefault="006D60CF" w:rsidP="006D60CF">
            <w:pPr>
              <w:spacing w:after="0" w:line="240" w:lineRule="auto"/>
              <w:rPr>
                <w:rFonts w:eastAsia="Times New Roman" w:cs="Times New Roman"/>
                <w:szCs w:val="22"/>
                <w:lang w:eastAsia="en-AU"/>
              </w:rPr>
            </w:pPr>
          </w:p>
        </w:tc>
      </w:tr>
      <w:tr w:rsidR="006D60CF" w:rsidRPr="006D60CF" w14:paraId="359A076E" w14:textId="77777777" w:rsidTr="006D60CF">
        <w:tc>
          <w:tcPr>
            <w:tcW w:w="0" w:type="auto"/>
            <w:vAlign w:val="center"/>
            <w:hideMark/>
          </w:tcPr>
          <w:p w14:paraId="61B7AA71" w14:textId="77777777" w:rsidR="006D60CF" w:rsidRPr="009C25AF" w:rsidRDefault="006D60CF" w:rsidP="006D60CF">
            <w:pPr>
              <w:spacing w:after="0" w:line="240" w:lineRule="auto"/>
              <w:rPr>
                <w:rFonts w:eastAsia="Times New Roman" w:cs="Times New Roman"/>
                <w:szCs w:val="22"/>
                <w:lang w:eastAsia="en-AU"/>
              </w:rPr>
            </w:pPr>
            <w:r w:rsidRPr="009C25AF">
              <w:rPr>
                <w:rFonts w:eastAsia="Times New Roman" w:cs="Times New Roman"/>
                <w:szCs w:val="22"/>
                <w:lang w:eastAsia="en-AU"/>
              </w:rPr>
              <w:t>Mean (SD)</w:t>
            </w:r>
          </w:p>
        </w:tc>
        <w:tc>
          <w:tcPr>
            <w:tcW w:w="0" w:type="auto"/>
            <w:vAlign w:val="center"/>
            <w:hideMark/>
          </w:tcPr>
          <w:p w14:paraId="5E129D05"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1.7 (0.37)</w:t>
            </w:r>
          </w:p>
        </w:tc>
        <w:tc>
          <w:tcPr>
            <w:tcW w:w="0" w:type="auto"/>
            <w:vAlign w:val="center"/>
            <w:hideMark/>
          </w:tcPr>
          <w:p w14:paraId="0B1EBF35"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1.8 (0.31)</w:t>
            </w:r>
          </w:p>
        </w:tc>
      </w:tr>
      <w:tr w:rsidR="006D60CF" w:rsidRPr="006D60CF" w14:paraId="1E905DC3" w14:textId="77777777" w:rsidTr="006D60CF">
        <w:tc>
          <w:tcPr>
            <w:tcW w:w="0" w:type="auto"/>
            <w:vAlign w:val="center"/>
            <w:hideMark/>
          </w:tcPr>
          <w:p w14:paraId="711BE31F" w14:textId="77777777" w:rsidR="006D60CF" w:rsidRPr="009C25AF" w:rsidRDefault="006D60CF" w:rsidP="006D60CF">
            <w:pPr>
              <w:spacing w:after="0" w:line="240" w:lineRule="auto"/>
              <w:rPr>
                <w:rFonts w:eastAsia="Times New Roman" w:cs="Times New Roman"/>
                <w:szCs w:val="22"/>
                <w:lang w:eastAsia="en-AU"/>
              </w:rPr>
            </w:pPr>
            <w:r w:rsidRPr="009C25AF">
              <w:rPr>
                <w:rFonts w:eastAsia="Times New Roman" w:cs="Times New Roman"/>
                <w:szCs w:val="22"/>
                <w:lang w:eastAsia="en-AU"/>
              </w:rPr>
              <w:t>Cumulative treatment timeᵇ (subject years)</w:t>
            </w:r>
          </w:p>
        </w:tc>
        <w:tc>
          <w:tcPr>
            <w:tcW w:w="0" w:type="auto"/>
            <w:vAlign w:val="center"/>
            <w:hideMark/>
          </w:tcPr>
          <w:p w14:paraId="55E50622"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464.52</w:t>
            </w:r>
          </w:p>
        </w:tc>
        <w:tc>
          <w:tcPr>
            <w:tcW w:w="0" w:type="auto"/>
            <w:vAlign w:val="center"/>
            <w:hideMark/>
          </w:tcPr>
          <w:p w14:paraId="4E293984"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479.44</w:t>
            </w:r>
          </w:p>
        </w:tc>
      </w:tr>
      <w:tr w:rsidR="006D60CF" w:rsidRPr="006D60CF" w14:paraId="566514BE" w14:textId="77777777" w:rsidTr="006D60CF">
        <w:tc>
          <w:tcPr>
            <w:tcW w:w="0" w:type="auto"/>
            <w:vAlign w:val="center"/>
            <w:hideMark/>
          </w:tcPr>
          <w:p w14:paraId="2369CF65" w14:textId="77777777" w:rsidR="006D60CF" w:rsidRPr="009C25AF" w:rsidRDefault="006D60CF" w:rsidP="006D60CF">
            <w:pPr>
              <w:spacing w:after="0" w:line="240" w:lineRule="auto"/>
              <w:rPr>
                <w:rFonts w:eastAsia="Times New Roman" w:cs="Times New Roman"/>
                <w:szCs w:val="22"/>
                <w:lang w:eastAsia="en-AU"/>
              </w:rPr>
            </w:pPr>
            <w:r w:rsidRPr="009C25AF">
              <w:rPr>
                <w:rFonts w:eastAsia="Times New Roman" w:cs="Times New Roman"/>
                <w:szCs w:val="22"/>
                <w:lang w:eastAsia="en-AU"/>
              </w:rPr>
              <w:t>Number of IRAP</w:t>
            </w:r>
            <w:r w:rsidRPr="009C25AF">
              <w:rPr>
                <w:rFonts w:eastAsia="Times New Roman" w:cs="Times New Roman"/>
                <w:szCs w:val="22"/>
                <w:lang w:eastAsia="en-AU"/>
              </w:rPr>
              <w:noBreakHyphen/>
              <w:t>confirmed relapses during treatmentᵃ</w:t>
            </w:r>
          </w:p>
        </w:tc>
        <w:tc>
          <w:tcPr>
            <w:tcW w:w="0" w:type="auto"/>
            <w:vAlign w:val="center"/>
            <w:hideMark/>
          </w:tcPr>
          <w:p w14:paraId="2D460918" w14:textId="77777777" w:rsidR="006D60CF" w:rsidRPr="006D60CF" w:rsidRDefault="006D60CF" w:rsidP="006D60CF">
            <w:pPr>
              <w:spacing w:after="0" w:line="240" w:lineRule="auto"/>
              <w:rPr>
                <w:rFonts w:eastAsia="Times New Roman" w:cs="Times New Roman"/>
                <w:szCs w:val="22"/>
                <w:lang w:eastAsia="en-AU"/>
              </w:rPr>
            </w:pPr>
          </w:p>
        </w:tc>
        <w:tc>
          <w:tcPr>
            <w:tcW w:w="0" w:type="auto"/>
            <w:vAlign w:val="center"/>
            <w:hideMark/>
          </w:tcPr>
          <w:p w14:paraId="72D7A86B" w14:textId="77777777" w:rsidR="006D60CF" w:rsidRPr="006D60CF" w:rsidRDefault="006D60CF" w:rsidP="006D60CF">
            <w:pPr>
              <w:spacing w:after="0" w:line="240" w:lineRule="auto"/>
              <w:rPr>
                <w:rFonts w:eastAsia="Times New Roman" w:cs="Times New Roman"/>
                <w:szCs w:val="22"/>
                <w:lang w:eastAsia="en-AU"/>
              </w:rPr>
            </w:pPr>
          </w:p>
        </w:tc>
      </w:tr>
      <w:tr w:rsidR="006D60CF" w:rsidRPr="006D60CF" w14:paraId="0B64DD09" w14:textId="77777777" w:rsidTr="006D60CF">
        <w:tc>
          <w:tcPr>
            <w:tcW w:w="0" w:type="auto"/>
            <w:vAlign w:val="center"/>
            <w:hideMark/>
          </w:tcPr>
          <w:p w14:paraId="7ED9B13C" w14:textId="77777777" w:rsidR="006D60CF" w:rsidRPr="009C25AF" w:rsidRDefault="006D60CF" w:rsidP="006D60CF">
            <w:pPr>
              <w:spacing w:after="0" w:line="240" w:lineRule="auto"/>
              <w:rPr>
                <w:rFonts w:eastAsia="Times New Roman" w:cs="Times New Roman"/>
                <w:szCs w:val="22"/>
                <w:lang w:eastAsia="en-AU"/>
              </w:rPr>
            </w:pPr>
            <w:r w:rsidRPr="009C25AF">
              <w:rPr>
                <w:rFonts w:eastAsia="Times New Roman" w:cs="Times New Roman"/>
                <w:szCs w:val="22"/>
                <w:lang w:eastAsia="en-AU"/>
              </w:rPr>
              <w:t>Mean (SD)</w:t>
            </w:r>
          </w:p>
        </w:tc>
        <w:tc>
          <w:tcPr>
            <w:tcW w:w="0" w:type="auto"/>
            <w:vAlign w:val="center"/>
            <w:hideMark/>
          </w:tcPr>
          <w:p w14:paraId="00714070"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0.162 (0.4507)</w:t>
            </w:r>
          </w:p>
        </w:tc>
        <w:tc>
          <w:tcPr>
            <w:tcW w:w="0" w:type="auto"/>
            <w:vAlign w:val="center"/>
            <w:hideMark/>
          </w:tcPr>
          <w:p w14:paraId="13C1C30F"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0.405 (0.8166)</w:t>
            </w:r>
          </w:p>
        </w:tc>
      </w:tr>
      <w:tr w:rsidR="006D60CF" w:rsidRPr="006D60CF" w14:paraId="3B72B278" w14:textId="77777777" w:rsidTr="006D60CF">
        <w:tc>
          <w:tcPr>
            <w:tcW w:w="0" w:type="auto"/>
            <w:vAlign w:val="center"/>
            <w:hideMark/>
          </w:tcPr>
          <w:p w14:paraId="3780654B" w14:textId="77777777" w:rsidR="006D60CF" w:rsidRPr="009C25AF" w:rsidRDefault="006D60CF" w:rsidP="006D60CF">
            <w:pPr>
              <w:spacing w:after="0" w:line="240" w:lineRule="auto"/>
              <w:rPr>
                <w:rFonts w:eastAsia="Times New Roman" w:cs="Times New Roman"/>
                <w:szCs w:val="22"/>
                <w:lang w:eastAsia="en-AU"/>
              </w:rPr>
            </w:pPr>
            <w:r w:rsidRPr="009C25AF">
              <w:rPr>
                <w:rFonts w:eastAsia="Times New Roman" w:cs="Times New Roman"/>
                <w:szCs w:val="22"/>
                <w:lang w:eastAsia="en-AU"/>
              </w:rPr>
              <w:t>Cumulative number of IRAP</w:t>
            </w:r>
            <w:r w:rsidRPr="009C25AF">
              <w:rPr>
                <w:rFonts w:eastAsia="Times New Roman" w:cs="Times New Roman"/>
                <w:szCs w:val="22"/>
                <w:lang w:eastAsia="en-AU"/>
              </w:rPr>
              <w:noBreakHyphen/>
              <w:t>confirmed relapsesᵇ</w:t>
            </w:r>
          </w:p>
        </w:tc>
        <w:tc>
          <w:tcPr>
            <w:tcW w:w="0" w:type="auto"/>
            <w:vAlign w:val="center"/>
            <w:hideMark/>
          </w:tcPr>
          <w:p w14:paraId="53BAC739"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44</w:t>
            </w:r>
          </w:p>
        </w:tc>
        <w:tc>
          <w:tcPr>
            <w:tcW w:w="0" w:type="auto"/>
            <w:vAlign w:val="center"/>
            <w:hideMark/>
          </w:tcPr>
          <w:p w14:paraId="3F79B71D"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111</w:t>
            </w:r>
          </w:p>
        </w:tc>
      </w:tr>
      <w:tr w:rsidR="006D60CF" w:rsidRPr="006D60CF" w14:paraId="6B6EAF2A" w14:textId="77777777" w:rsidTr="006D60CF">
        <w:tc>
          <w:tcPr>
            <w:tcW w:w="0" w:type="auto"/>
            <w:vAlign w:val="center"/>
            <w:hideMark/>
          </w:tcPr>
          <w:p w14:paraId="3A3584C1" w14:textId="77777777" w:rsidR="006D60CF" w:rsidRPr="009C25AF" w:rsidRDefault="006D60CF" w:rsidP="006D60CF">
            <w:pPr>
              <w:spacing w:after="0" w:line="240" w:lineRule="auto"/>
              <w:rPr>
                <w:rFonts w:eastAsia="Times New Roman" w:cs="Times New Roman"/>
                <w:szCs w:val="22"/>
                <w:lang w:eastAsia="en-AU"/>
              </w:rPr>
            </w:pPr>
            <w:r w:rsidRPr="009C25AF">
              <w:rPr>
                <w:rFonts w:eastAsia="Times New Roman" w:cs="Times New Roman"/>
                <w:szCs w:val="22"/>
                <w:lang w:eastAsia="en-AU"/>
              </w:rPr>
              <w:t>Raw annualized relapse rateᶜ</w:t>
            </w:r>
          </w:p>
        </w:tc>
        <w:tc>
          <w:tcPr>
            <w:tcW w:w="0" w:type="auto"/>
            <w:vAlign w:val="center"/>
            <w:hideMark/>
          </w:tcPr>
          <w:p w14:paraId="3232ADD1"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0.09</w:t>
            </w:r>
          </w:p>
        </w:tc>
        <w:tc>
          <w:tcPr>
            <w:tcW w:w="0" w:type="auto"/>
            <w:vAlign w:val="center"/>
            <w:hideMark/>
          </w:tcPr>
          <w:p w14:paraId="5D42EC43"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0.23</w:t>
            </w:r>
          </w:p>
        </w:tc>
      </w:tr>
      <w:tr w:rsidR="006D60CF" w:rsidRPr="006D60CF" w14:paraId="4F0CABFB" w14:textId="77777777" w:rsidTr="006D60CF">
        <w:tc>
          <w:tcPr>
            <w:tcW w:w="0" w:type="auto"/>
            <w:vAlign w:val="center"/>
            <w:hideMark/>
          </w:tcPr>
          <w:p w14:paraId="1042BC85" w14:textId="77777777" w:rsidR="006D60CF" w:rsidRPr="009C25AF" w:rsidRDefault="006D60CF" w:rsidP="006D60CF">
            <w:pPr>
              <w:spacing w:after="0" w:line="240" w:lineRule="auto"/>
              <w:rPr>
                <w:rFonts w:eastAsia="Times New Roman" w:cs="Times New Roman"/>
                <w:szCs w:val="22"/>
                <w:lang w:eastAsia="en-AU"/>
              </w:rPr>
            </w:pPr>
            <w:r w:rsidRPr="009C25AF">
              <w:rPr>
                <w:rFonts w:eastAsia="Times New Roman" w:cs="Times New Roman"/>
                <w:szCs w:val="22"/>
                <w:lang w:eastAsia="en-AU"/>
              </w:rPr>
              <w:t>Negative binomial modelᵈ</w:t>
            </w:r>
          </w:p>
        </w:tc>
        <w:tc>
          <w:tcPr>
            <w:tcW w:w="0" w:type="auto"/>
            <w:vAlign w:val="center"/>
            <w:hideMark/>
          </w:tcPr>
          <w:p w14:paraId="6B470145" w14:textId="77777777" w:rsidR="006D60CF" w:rsidRPr="006D60CF" w:rsidRDefault="006D60CF" w:rsidP="006D60CF">
            <w:pPr>
              <w:spacing w:after="0" w:line="240" w:lineRule="auto"/>
              <w:rPr>
                <w:rFonts w:eastAsia="Times New Roman" w:cs="Times New Roman"/>
                <w:szCs w:val="22"/>
                <w:lang w:eastAsia="en-AU"/>
              </w:rPr>
            </w:pPr>
          </w:p>
        </w:tc>
        <w:tc>
          <w:tcPr>
            <w:tcW w:w="0" w:type="auto"/>
            <w:vAlign w:val="center"/>
            <w:hideMark/>
          </w:tcPr>
          <w:p w14:paraId="1E08B4CC" w14:textId="77777777" w:rsidR="006D60CF" w:rsidRPr="006D60CF" w:rsidRDefault="006D60CF" w:rsidP="006D60CF">
            <w:pPr>
              <w:spacing w:after="0" w:line="240" w:lineRule="auto"/>
              <w:rPr>
                <w:rFonts w:eastAsia="Times New Roman" w:cs="Times New Roman"/>
                <w:szCs w:val="22"/>
                <w:lang w:eastAsia="en-AU"/>
              </w:rPr>
            </w:pPr>
          </w:p>
        </w:tc>
      </w:tr>
      <w:tr w:rsidR="006D60CF" w:rsidRPr="006D60CF" w14:paraId="23C107F8" w14:textId="77777777" w:rsidTr="006D60CF">
        <w:tc>
          <w:tcPr>
            <w:tcW w:w="0" w:type="auto"/>
            <w:vAlign w:val="center"/>
            <w:hideMark/>
          </w:tcPr>
          <w:p w14:paraId="342EAD07" w14:textId="77777777" w:rsidR="006D60CF" w:rsidRPr="009C25AF" w:rsidRDefault="006D60CF" w:rsidP="006D60CF">
            <w:pPr>
              <w:spacing w:after="0" w:line="240" w:lineRule="auto"/>
              <w:rPr>
                <w:rFonts w:eastAsia="Times New Roman" w:cs="Times New Roman"/>
                <w:szCs w:val="22"/>
                <w:lang w:eastAsia="en-AU"/>
              </w:rPr>
            </w:pPr>
            <w:r w:rsidRPr="009C25AF">
              <w:rPr>
                <w:rFonts w:eastAsia="Times New Roman" w:cs="Times New Roman"/>
                <w:szCs w:val="22"/>
                <w:lang w:eastAsia="en-AU"/>
              </w:rPr>
              <w:t xml:space="preserve">Least squares </w:t>
            </w:r>
            <w:proofErr w:type="gramStart"/>
            <w:r w:rsidRPr="009C25AF">
              <w:rPr>
                <w:rFonts w:eastAsia="Times New Roman" w:cs="Times New Roman"/>
                <w:szCs w:val="22"/>
                <w:lang w:eastAsia="en-AU"/>
              </w:rPr>
              <w:t>means</w:t>
            </w:r>
            <w:proofErr w:type="gramEnd"/>
            <w:r w:rsidRPr="009C25AF">
              <w:rPr>
                <w:rFonts w:eastAsia="Times New Roman" w:cs="Times New Roman"/>
                <w:szCs w:val="22"/>
                <w:lang w:eastAsia="en-AU"/>
              </w:rPr>
              <w:t xml:space="preserve"> (95% CI)</w:t>
            </w:r>
          </w:p>
        </w:tc>
        <w:tc>
          <w:tcPr>
            <w:tcW w:w="0" w:type="auto"/>
            <w:vAlign w:val="center"/>
            <w:hideMark/>
          </w:tcPr>
          <w:p w14:paraId="7DB0AE25"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0.076 (0.042, 0.138)</w:t>
            </w:r>
          </w:p>
        </w:tc>
        <w:tc>
          <w:tcPr>
            <w:tcW w:w="0" w:type="auto"/>
            <w:vAlign w:val="center"/>
            <w:hideMark/>
          </w:tcPr>
          <w:p w14:paraId="7E15C204"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0.188 (0.124, 0.283)</w:t>
            </w:r>
          </w:p>
        </w:tc>
      </w:tr>
      <w:tr w:rsidR="006D60CF" w:rsidRPr="006D60CF" w14:paraId="0227057F" w14:textId="77777777" w:rsidTr="005010B7">
        <w:tc>
          <w:tcPr>
            <w:tcW w:w="0" w:type="auto"/>
            <w:vAlign w:val="center"/>
            <w:hideMark/>
          </w:tcPr>
          <w:p w14:paraId="3F5B79F4" w14:textId="77777777" w:rsidR="006D60CF" w:rsidRPr="009C25AF" w:rsidRDefault="006D60CF" w:rsidP="006D60CF">
            <w:pPr>
              <w:spacing w:after="0" w:line="240" w:lineRule="auto"/>
              <w:rPr>
                <w:rFonts w:eastAsia="Times New Roman" w:cs="Times New Roman"/>
                <w:szCs w:val="22"/>
                <w:lang w:eastAsia="en-AU"/>
              </w:rPr>
            </w:pPr>
            <w:r w:rsidRPr="009C25AF">
              <w:rPr>
                <w:rFonts w:eastAsia="Times New Roman" w:cs="Times New Roman"/>
                <w:szCs w:val="22"/>
                <w:lang w:eastAsia="en-AU"/>
              </w:rPr>
              <w:t>Rate ratio: ublituximab / teriflunomide</w:t>
            </w:r>
          </w:p>
        </w:tc>
        <w:tc>
          <w:tcPr>
            <w:tcW w:w="0" w:type="auto"/>
            <w:gridSpan w:val="2"/>
            <w:vAlign w:val="center"/>
            <w:hideMark/>
          </w:tcPr>
          <w:p w14:paraId="5F8B6824" w14:textId="648B0C6F"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0.406 (0.268, 0.615)</w:t>
            </w:r>
          </w:p>
        </w:tc>
      </w:tr>
      <w:tr w:rsidR="006D60CF" w:rsidRPr="006D60CF" w14:paraId="765BFDD6" w14:textId="77777777" w:rsidTr="00DD0F49">
        <w:tc>
          <w:tcPr>
            <w:tcW w:w="0" w:type="auto"/>
            <w:vAlign w:val="center"/>
            <w:hideMark/>
          </w:tcPr>
          <w:p w14:paraId="2E0A9980" w14:textId="77777777" w:rsidR="006D60CF" w:rsidRPr="009C25AF" w:rsidRDefault="006D60CF" w:rsidP="006D60CF">
            <w:pPr>
              <w:spacing w:after="0" w:line="240" w:lineRule="auto"/>
              <w:rPr>
                <w:rFonts w:eastAsia="Times New Roman" w:cs="Times New Roman"/>
                <w:szCs w:val="22"/>
                <w:lang w:eastAsia="en-AU"/>
              </w:rPr>
            </w:pPr>
            <w:r w:rsidRPr="009C25AF">
              <w:rPr>
                <w:rFonts w:eastAsia="Times New Roman" w:cs="Times New Roman"/>
                <w:szCs w:val="22"/>
                <w:lang w:eastAsia="en-AU"/>
              </w:rPr>
              <w:t>Difference: ublituximab − teriflunomide</w:t>
            </w:r>
          </w:p>
        </w:tc>
        <w:tc>
          <w:tcPr>
            <w:tcW w:w="0" w:type="auto"/>
            <w:gridSpan w:val="2"/>
            <w:vAlign w:val="center"/>
            <w:hideMark/>
          </w:tcPr>
          <w:p w14:paraId="575F1957" w14:textId="0FEB6580"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−0.111 (−0.166, −0.056)</w:t>
            </w:r>
          </w:p>
        </w:tc>
      </w:tr>
      <w:tr w:rsidR="006D60CF" w:rsidRPr="006D60CF" w14:paraId="7369681D" w14:textId="77777777" w:rsidTr="00A26D0B">
        <w:tc>
          <w:tcPr>
            <w:tcW w:w="0" w:type="auto"/>
            <w:vAlign w:val="center"/>
            <w:hideMark/>
          </w:tcPr>
          <w:p w14:paraId="4225F5C6" w14:textId="77777777" w:rsidR="006D60CF" w:rsidRPr="009C25AF" w:rsidRDefault="006D60CF" w:rsidP="006D60CF">
            <w:pPr>
              <w:spacing w:after="0" w:line="240" w:lineRule="auto"/>
              <w:rPr>
                <w:rFonts w:eastAsia="Times New Roman" w:cs="Times New Roman"/>
                <w:szCs w:val="22"/>
                <w:lang w:eastAsia="en-AU"/>
              </w:rPr>
            </w:pPr>
            <w:r w:rsidRPr="009C25AF">
              <w:rPr>
                <w:rFonts w:eastAsia="Times New Roman" w:cs="Times New Roman"/>
                <w:szCs w:val="22"/>
                <w:lang w:eastAsia="en-AU"/>
              </w:rPr>
              <w:t>p value</w:t>
            </w:r>
          </w:p>
        </w:tc>
        <w:tc>
          <w:tcPr>
            <w:tcW w:w="0" w:type="auto"/>
            <w:gridSpan w:val="2"/>
            <w:vAlign w:val="center"/>
            <w:hideMark/>
          </w:tcPr>
          <w:p w14:paraId="0B84742C" w14:textId="0E6DA798"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&lt;0.0001</w:t>
            </w:r>
          </w:p>
        </w:tc>
      </w:tr>
    </w:tbl>
    <w:p w14:paraId="7A7B20AD" w14:textId="77777777" w:rsidR="006A1C46" w:rsidRPr="006A1C46" w:rsidRDefault="006A1C46" w:rsidP="006A1C46">
      <w:pPr>
        <w:pStyle w:val="TableDescription"/>
        <w:contextualSpacing/>
      </w:pPr>
      <w:r w:rsidRPr="006A1C46">
        <w:t>CI, confidence interval; IRAP, Independent Relapse Adjudication Panel: mITT, modified intent-to-treat; SD, standard deviation.</w:t>
      </w:r>
    </w:p>
    <w:p w14:paraId="551BC204" w14:textId="3B95C35C" w:rsidR="006A1C46" w:rsidRPr="006A1C46" w:rsidRDefault="006A1C46" w:rsidP="006A1C46">
      <w:pPr>
        <w:pStyle w:val="TableDescription"/>
        <w:contextualSpacing/>
      </w:pPr>
      <w:r w:rsidRPr="006A1C46">
        <w:lastRenderedPageBreak/>
        <w:t>a. Per subject</w:t>
      </w:r>
    </w:p>
    <w:p w14:paraId="0136D833" w14:textId="7B746415" w:rsidR="006A1C46" w:rsidRPr="006A1C46" w:rsidRDefault="006A1C46" w:rsidP="006A1C46">
      <w:pPr>
        <w:pStyle w:val="TableDescription"/>
        <w:contextualSpacing/>
      </w:pPr>
      <w:r w:rsidRPr="006A1C46">
        <w:t>b. Overall</w:t>
      </w:r>
    </w:p>
    <w:p w14:paraId="120B10E4" w14:textId="3B306B4C" w:rsidR="006A1C46" w:rsidRPr="006A1C46" w:rsidRDefault="006A1C46" w:rsidP="006A1C46">
      <w:pPr>
        <w:pStyle w:val="TableDescription"/>
        <w:contextualSpacing/>
      </w:pPr>
      <w:r w:rsidRPr="006A1C46">
        <w:t>c. Cumulative number of IRAP-confirmed relapses / Cumulative treatment time</w:t>
      </w:r>
    </w:p>
    <w:p w14:paraId="33E49326" w14:textId="75118C69" w:rsidR="001C1692" w:rsidRDefault="006A1C46" w:rsidP="006A1C46">
      <w:pPr>
        <w:pStyle w:val="TableDescription"/>
        <w:contextualSpacing/>
      </w:pPr>
      <w:r w:rsidRPr="006A1C46">
        <w:t>d. GEE model for the relapse count per participant with logarithmic link function, treatment, region, and baseline EDSS strata as covariates and log (years of treatment) as offset.</w:t>
      </w:r>
    </w:p>
    <w:p w14:paraId="4D6C1714" w14:textId="7D7492C8" w:rsidR="00450E70" w:rsidRDefault="00450E70" w:rsidP="00450E70">
      <w:r>
        <w:t>The results for the three sensitivity analyses for the mITT population including Annualized Relapse Rate, the analysis of IRAP-Con</w:t>
      </w:r>
      <w:r w:rsidR="00176BDC">
        <w:rPr>
          <w:rFonts w:cs="Cambria"/>
        </w:rPr>
        <w:t>f</w:t>
      </w:r>
      <w:r>
        <w:t>irmed Relapses by worst severity recovery and analysis of IRAP-con</w:t>
      </w:r>
      <w:r w:rsidR="00176BDC">
        <w:t>f</w:t>
      </w:r>
      <w:r>
        <w:t>irmed relapses were consistent with the primary analyses.</w:t>
      </w:r>
    </w:p>
    <w:p w14:paraId="46BE4676" w14:textId="50B4666A" w:rsidR="00450E70" w:rsidRDefault="00450E70" w:rsidP="0081111B">
      <w:pPr>
        <w:pStyle w:val="Heading6"/>
      </w:pPr>
      <w:r>
        <w:t xml:space="preserve">Key secondary </w:t>
      </w:r>
      <w:r w:rsidR="00176BDC">
        <w:t>ef</w:t>
      </w:r>
      <w:r w:rsidR="00176BDC">
        <w:rPr>
          <w:rFonts w:ascii="Cambria" w:hAnsi="Cambria" w:cs="Cambria"/>
        </w:rPr>
        <w:t>f</w:t>
      </w:r>
      <w:r w:rsidR="00176BDC">
        <w:t>icacy</w:t>
      </w:r>
      <w:r>
        <w:t xml:space="preserve"> endpoints</w:t>
      </w:r>
    </w:p>
    <w:p w14:paraId="0CA201CD" w14:textId="2E4AA6DF" w:rsidR="00450E70" w:rsidRPr="006D60CF" w:rsidRDefault="00450E70" w:rsidP="00D83D85">
      <w:pPr>
        <w:pStyle w:val="Heading7"/>
      </w:pPr>
      <w:r w:rsidRPr="006D60CF">
        <w:t xml:space="preserve">Total </w:t>
      </w:r>
      <w:r w:rsidR="00D83D85" w:rsidRPr="006D60CF">
        <w:t>number of gadolinium-enhancing t1 lesions per</w:t>
      </w:r>
      <w:r w:rsidRPr="006D60CF">
        <w:t xml:space="preserve"> MRI Scan by Week 96</w:t>
      </w:r>
    </w:p>
    <w:p w14:paraId="3E2BBC49" w14:textId="4CFEE445" w:rsidR="00450E70" w:rsidRDefault="00450E70" w:rsidP="00450E70">
      <w:r>
        <w:t xml:space="preserve">The treatment effect of ublituximab versus </w:t>
      </w:r>
      <w:r w:rsidR="00176BDC">
        <w:t>teri</w:t>
      </w:r>
      <w:r w:rsidR="00176BDC">
        <w:rPr>
          <w:rFonts w:cs="Cambria"/>
        </w:rPr>
        <w:t>f</w:t>
      </w:r>
      <w:r w:rsidR="00176BDC">
        <w:t>lunomide</w:t>
      </w:r>
      <w:r>
        <w:t xml:space="preserve"> was statistically </w:t>
      </w:r>
      <w:r w:rsidR="00F4017C">
        <w:t>signi</w:t>
      </w:r>
      <w:r w:rsidR="00F4017C">
        <w:rPr>
          <w:rFonts w:cs="Cambria"/>
        </w:rPr>
        <w:t>f</w:t>
      </w:r>
      <w:r w:rsidR="00F4017C">
        <w:t>icant</w:t>
      </w:r>
      <w:r>
        <w:t xml:space="preserve"> in </w:t>
      </w:r>
      <w:r w:rsidR="00F4017C">
        <w:t>favour</w:t>
      </w:r>
      <w:r>
        <w:t xml:space="preserve"> of ublituximab (Table </w:t>
      </w:r>
      <w:r w:rsidR="0022378A">
        <w:t>7</w:t>
      </w:r>
      <w:r>
        <w:t xml:space="preserve">). Similar </w:t>
      </w:r>
      <w:r>
        <w:rPr>
          <w:rFonts w:cs="Cambria"/>
        </w:rPr>
        <w:t>�</w:t>
      </w:r>
      <w:r w:rsidR="00F4017C">
        <w:t>findings</w:t>
      </w:r>
      <w:r>
        <w:t xml:space="preserve"> were reported for the ITT population and for the PP-MRI population.</w:t>
      </w:r>
    </w:p>
    <w:p w14:paraId="27108C80" w14:textId="093F64E6" w:rsidR="00D023FC" w:rsidRDefault="00450E70" w:rsidP="00FB62AC">
      <w:pPr>
        <w:pStyle w:val="TableTitle"/>
      </w:pPr>
      <w:r>
        <w:t xml:space="preserve">Table </w:t>
      </w:r>
      <w:r w:rsidR="0022378A">
        <w:t>7.</w:t>
      </w:r>
      <w:r>
        <w:t xml:space="preserve"> Total Number of Gadolinium-enhancing T1 Lesions per MRI Scan by Week 96 in Study TG1101- RMS301 (mITT-MRI Population)</w:t>
      </w:r>
    </w:p>
    <w:tbl>
      <w:tblPr>
        <w:tblW w:w="0" w:type="auto"/>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CellMar>
          <w:top w:w="15" w:type="dxa"/>
          <w:left w:w="15" w:type="dxa"/>
          <w:bottom w:w="15" w:type="dxa"/>
          <w:right w:w="15" w:type="dxa"/>
        </w:tblCellMar>
        <w:tblLook w:val="04A0" w:firstRow="1" w:lastRow="0" w:firstColumn="1" w:lastColumn="0" w:noHBand="0" w:noVBand="1"/>
        <w:tblDescription w:val="Table 7. Total Number of Gadolinium-enhancing T1 Lesions per MRI Scan by Week 96 in Study TG1101- RMS301 (mITT-MRI Population)"/>
      </w:tblPr>
      <w:tblGrid>
        <w:gridCol w:w="4640"/>
        <w:gridCol w:w="2153"/>
        <w:gridCol w:w="2267"/>
      </w:tblGrid>
      <w:tr w:rsidR="006D60CF" w:rsidRPr="006D60CF" w14:paraId="0791AC4A" w14:textId="77777777" w:rsidTr="006D60CF">
        <w:trPr>
          <w:tblHeader/>
        </w:trPr>
        <w:tc>
          <w:tcPr>
            <w:tcW w:w="0" w:type="auto"/>
            <w:shd w:val="clear" w:color="auto" w:fill="DEEAF6"/>
            <w:vAlign w:val="center"/>
            <w:hideMark/>
          </w:tcPr>
          <w:p w14:paraId="2DDD3E4F" w14:textId="77777777" w:rsidR="006D60CF" w:rsidRPr="006D60CF" w:rsidRDefault="006D60CF" w:rsidP="006D60CF">
            <w:pPr>
              <w:spacing w:after="0" w:line="240" w:lineRule="auto"/>
              <w:rPr>
                <w:rFonts w:eastAsia="Times New Roman" w:cs="Segoe UI"/>
                <w:color w:val="263287"/>
                <w:szCs w:val="22"/>
                <w:lang w:eastAsia="en-AU"/>
              </w:rPr>
            </w:pPr>
          </w:p>
        </w:tc>
        <w:tc>
          <w:tcPr>
            <w:tcW w:w="0" w:type="auto"/>
            <w:shd w:val="clear" w:color="auto" w:fill="DEEAF6"/>
            <w:vAlign w:val="center"/>
            <w:hideMark/>
          </w:tcPr>
          <w:p w14:paraId="1BAC3471" w14:textId="77777777" w:rsidR="006D60CF" w:rsidRPr="006D60CF" w:rsidRDefault="006D60CF" w:rsidP="006D60CF">
            <w:pPr>
              <w:spacing w:after="0" w:line="240" w:lineRule="auto"/>
              <w:jc w:val="center"/>
              <w:rPr>
                <w:rFonts w:eastAsia="Times New Roman" w:cs="Segoe UI"/>
                <w:b/>
                <w:bCs/>
                <w:color w:val="263287"/>
                <w:szCs w:val="22"/>
                <w:lang w:eastAsia="en-AU"/>
              </w:rPr>
            </w:pPr>
            <w:r w:rsidRPr="006D60CF">
              <w:rPr>
                <w:rFonts w:eastAsia="Times New Roman" w:cs="Segoe UI"/>
                <w:b/>
                <w:bCs/>
                <w:color w:val="263287"/>
                <w:szCs w:val="22"/>
                <w:lang w:eastAsia="en-AU"/>
              </w:rPr>
              <w:t>Ublituximab (N=271)</w:t>
            </w:r>
          </w:p>
        </w:tc>
        <w:tc>
          <w:tcPr>
            <w:tcW w:w="0" w:type="auto"/>
            <w:shd w:val="clear" w:color="auto" w:fill="DEEAF6"/>
            <w:vAlign w:val="center"/>
            <w:hideMark/>
          </w:tcPr>
          <w:p w14:paraId="3864A16D" w14:textId="77777777" w:rsidR="006D60CF" w:rsidRPr="006D60CF" w:rsidRDefault="006D60CF" w:rsidP="006D60CF">
            <w:pPr>
              <w:spacing w:after="0" w:line="240" w:lineRule="auto"/>
              <w:jc w:val="center"/>
              <w:rPr>
                <w:rFonts w:eastAsia="Times New Roman" w:cs="Segoe UI"/>
                <w:b/>
                <w:bCs/>
                <w:color w:val="263287"/>
                <w:szCs w:val="22"/>
                <w:lang w:eastAsia="en-AU"/>
              </w:rPr>
            </w:pPr>
            <w:r w:rsidRPr="006D60CF">
              <w:rPr>
                <w:rFonts w:eastAsia="Times New Roman" w:cs="Segoe UI"/>
                <w:b/>
                <w:bCs/>
                <w:color w:val="263287"/>
                <w:szCs w:val="22"/>
                <w:lang w:eastAsia="en-AU"/>
              </w:rPr>
              <w:t>Teriflunomide (N=274)</w:t>
            </w:r>
          </w:p>
        </w:tc>
      </w:tr>
      <w:tr w:rsidR="006D60CF" w:rsidRPr="006D60CF" w14:paraId="23645745" w14:textId="77777777" w:rsidTr="006D60CF">
        <w:tc>
          <w:tcPr>
            <w:tcW w:w="0" w:type="auto"/>
            <w:vAlign w:val="center"/>
            <w:hideMark/>
          </w:tcPr>
          <w:p w14:paraId="7A8B569D" w14:textId="77777777" w:rsidR="006D60CF" w:rsidRPr="006D60CF" w:rsidRDefault="006D60CF" w:rsidP="006D60CF">
            <w:pPr>
              <w:spacing w:after="0" w:line="240" w:lineRule="auto"/>
              <w:rPr>
                <w:rFonts w:eastAsia="Times New Roman" w:cs="Segoe UI"/>
                <w:szCs w:val="22"/>
                <w:lang w:eastAsia="en-AU"/>
              </w:rPr>
            </w:pPr>
            <w:r w:rsidRPr="006D60CF">
              <w:rPr>
                <w:rFonts w:eastAsia="Times New Roman" w:cs="Segoe UI"/>
                <w:szCs w:val="22"/>
                <w:lang w:eastAsia="en-AU"/>
              </w:rPr>
              <w:t>Duration of treatmentᵃ (years)</w:t>
            </w:r>
          </w:p>
        </w:tc>
        <w:tc>
          <w:tcPr>
            <w:tcW w:w="0" w:type="auto"/>
            <w:vAlign w:val="center"/>
            <w:hideMark/>
          </w:tcPr>
          <w:p w14:paraId="4E86CD08" w14:textId="77777777" w:rsidR="006D60CF" w:rsidRPr="006D60CF" w:rsidRDefault="006D60CF" w:rsidP="006D60CF">
            <w:pPr>
              <w:spacing w:after="0" w:line="240" w:lineRule="auto"/>
              <w:rPr>
                <w:rFonts w:eastAsia="Times New Roman" w:cs="Segoe UI"/>
                <w:szCs w:val="22"/>
                <w:lang w:eastAsia="en-AU"/>
              </w:rPr>
            </w:pPr>
          </w:p>
        </w:tc>
        <w:tc>
          <w:tcPr>
            <w:tcW w:w="0" w:type="auto"/>
            <w:vAlign w:val="center"/>
            <w:hideMark/>
          </w:tcPr>
          <w:p w14:paraId="24747976" w14:textId="77777777" w:rsidR="006D60CF" w:rsidRPr="006D60CF" w:rsidRDefault="006D60CF" w:rsidP="006D60CF">
            <w:pPr>
              <w:spacing w:after="0" w:line="240" w:lineRule="auto"/>
              <w:rPr>
                <w:rFonts w:eastAsia="Times New Roman" w:cs="Segoe UI"/>
                <w:szCs w:val="22"/>
                <w:lang w:eastAsia="en-AU"/>
              </w:rPr>
            </w:pPr>
          </w:p>
        </w:tc>
      </w:tr>
      <w:tr w:rsidR="006D60CF" w:rsidRPr="006D60CF" w14:paraId="34C32E2C" w14:textId="77777777" w:rsidTr="006D60CF">
        <w:tc>
          <w:tcPr>
            <w:tcW w:w="0" w:type="auto"/>
            <w:vAlign w:val="center"/>
            <w:hideMark/>
          </w:tcPr>
          <w:p w14:paraId="5B74BCC5" w14:textId="77777777" w:rsidR="006D60CF" w:rsidRPr="006D60CF" w:rsidRDefault="006D60CF" w:rsidP="006D60CF">
            <w:pPr>
              <w:spacing w:after="0" w:line="240" w:lineRule="auto"/>
              <w:rPr>
                <w:rFonts w:eastAsia="Times New Roman" w:cs="Segoe UI"/>
                <w:szCs w:val="22"/>
                <w:lang w:eastAsia="en-AU"/>
              </w:rPr>
            </w:pPr>
            <w:r w:rsidRPr="006D60CF">
              <w:rPr>
                <w:rFonts w:eastAsia="Times New Roman" w:cs="Segoe UI"/>
                <w:szCs w:val="22"/>
                <w:lang w:eastAsia="en-AU"/>
              </w:rPr>
              <w:t>Mean (SD)</w:t>
            </w:r>
          </w:p>
        </w:tc>
        <w:tc>
          <w:tcPr>
            <w:tcW w:w="0" w:type="auto"/>
            <w:vAlign w:val="center"/>
            <w:hideMark/>
          </w:tcPr>
          <w:p w14:paraId="287AAF14" w14:textId="77777777" w:rsidR="006D60CF" w:rsidRPr="006D60CF" w:rsidRDefault="006D60CF" w:rsidP="006D60CF">
            <w:pPr>
              <w:spacing w:after="0" w:line="240" w:lineRule="auto"/>
              <w:rPr>
                <w:rFonts w:eastAsia="Times New Roman" w:cs="Segoe UI"/>
                <w:szCs w:val="22"/>
                <w:lang w:eastAsia="en-AU"/>
              </w:rPr>
            </w:pPr>
            <w:r w:rsidRPr="006D60CF">
              <w:rPr>
                <w:rFonts w:eastAsia="Times New Roman" w:cs="Segoe UI"/>
                <w:szCs w:val="22"/>
                <w:lang w:eastAsia="en-AU"/>
              </w:rPr>
              <w:t>1.7 (0.37)</w:t>
            </w:r>
          </w:p>
        </w:tc>
        <w:tc>
          <w:tcPr>
            <w:tcW w:w="0" w:type="auto"/>
            <w:vAlign w:val="center"/>
            <w:hideMark/>
          </w:tcPr>
          <w:p w14:paraId="059B601F" w14:textId="77777777" w:rsidR="006D60CF" w:rsidRPr="006D60CF" w:rsidRDefault="006D60CF" w:rsidP="006D60CF">
            <w:pPr>
              <w:spacing w:after="0" w:line="240" w:lineRule="auto"/>
              <w:rPr>
                <w:rFonts w:eastAsia="Times New Roman" w:cs="Segoe UI"/>
                <w:szCs w:val="22"/>
                <w:lang w:eastAsia="en-AU"/>
              </w:rPr>
            </w:pPr>
            <w:r w:rsidRPr="006D60CF">
              <w:rPr>
                <w:rFonts w:eastAsia="Times New Roman" w:cs="Segoe UI"/>
                <w:szCs w:val="22"/>
                <w:lang w:eastAsia="en-AU"/>
              </w:rPr>
              <w:t>1.8 (0.31)</w:t>
            </w:r>
          </w:p>
        </w:tc>
      </w:tr>
      <w:tr w:rsidR="006D60CF" w:rsidRPr="006D60CF" w14:paraId="47130CF8" w14:textId="77777777" w:rsidTr="006D60CF">
        <w:tc>
          <w:tcPr>
            <w:tcW w:w="0" w:type="auto"/>
            <w:vAlign w:val="center"/>
            <w:hideMark/>
          </w:tcPr>
          <w:p w14:paraId="3ECF2E91" w14:textId="77777777" w:rsidR="006D60CF" w:rsidRPr="006D60CF" w:rsidRDefault="006D60CF" w:rsidP="006D60CF">
            <w:pPr>
              <w:spacing w:after="0" w:line="240" w:lineRule="auto"/>
              <w:rPr>
                <w:rFonts w:eastAsia="Times New Roman" w:cs="Segoe UI"/>
                <w:szCs w:val="22"/>
                <w:lang w:eastAsia="en-AU"/>
              </w:rPr>
            </w:pPr>
            <w:r w:rsidRPr="006D60CF">
              <w:rPr>
                <w:rFonts w:eastAsia="Times New Roman" w:cs="Segoe UI"/>
                <w:szCs w:val="22"/>
                <w:lang w:eastAsia="en-AU"/>
              </w:rPr>
              <w:t>Cumulative treatment timeᵇ (subject years)</w:t>
            </w:r>
          </w:p>
        </w:tc>
        <w:tc>
          <w:tcPr>
            <w:tcW w:w="0" w:type="auto"/>
            <w:vAlign w:val="center"/>
            <w:hideMark/>
          </w:tcPr>
          <w:p w14:paraId="2D3A4FB0" w14:textId="77777777" w:rsidR="006D60CF" w:rsidRPr="006D60CF" w:rsidRDefault="006D60CF" w:rsidP="006D60CF">
            <w:pPr>
              <w:spacing w:after="0" w:line="240" w:lineRule="auto"/>
              <w:rPr>
                <w:rFonts w:eastAsia="Times New Roman" w:cs="Segoe UI"/>
                <w:szCs w:val="22"/>
                <w:lang w:eastAsia="en-AU"/>
              </w:rPr>
            </w:pPr>
            <w:r w:rsidRPr="006D60CF">
              <w:rPr>
                <w:rFonts w:eastAsia="Times New Roman" w:cs="Segoe UI"/>
                <w:szCs w:val="22"/>
                <w:lang w:eastAsia="en-AU"/>
              </w:rPr>
              <w:t>464.52</w:t>
            </w:r>
          </w:p>
        </w:tc>
        <w:tc>
          <w:tcPr>
            <w:tcW w:w="0" w:type="auto"/>
            <w:vAlign w:val="center"/>
            <w:hideMark/>
          </w:tcPr>
          <w:p w14:paraId="310FD2B4" w14:textId="77777777" w:rsidR="006D60CF" w:rsidRPr="006D60CF" w:rsidRDefault="006D60CF" w:rsidP="006D60CF">
            <w:pPr>
              <w:spacing w:after="0" w:line="240" w:lineRule="auto"/>
              <w:rPr>
                <w:rFonts w:eastAsia="Times New Roman" w:cs="Segoe UI"/>
                <w:szCs w:val="22"/>
                <w:lang w:eastAsia="en-AU"/>
              </w:rPr>
            </w:pPr>
            <w:r w:rsidRPr="006D60CF">
              <w:rPr>
                <w:rFonts w:eastAsia="Times New Roman" w:cs="Segoe UI"/>
                <w:szCs w:val="22"/>
                <w:lang w:eastAsia="en-AU"/>
              </w:rPr>
              <w:t>479.44</w:t>
            </w:r>
          </w:p>
        </w:tc>
      </w:tr>
      <w:tr w:rsidR="006D60CF" w:rsidRPr="006D60CF" w14:paraId="4CBBB1B0" w14:textId="77777777" w:rsidTr="006D60CF">
        <w:tc>
          <w:tcPr>
            <w:tcW w:w="0" w:type="auto"/>
            <w:vAlign w:val="center"/>
          </w:tcPr>
          <w:p w14:paraId="3D6C277F" w14:textId="77777777" w:rsidR="006D60CF" w:rsidRPr="006D60CF" w:rsidRDefault="006D60CF" w:rsidP="006D60CF">
            <w:pPr>
              <w:spacing w:after="0" w:line="240" w:lineRule="auto"/>
              <w:rPr>
                <w:rFonts w:eastAsia="Times New Roman" w:cs="Segoe UI"/>
                <w:szCs w:val="22"/>
                <w:lang w:eastAsia="en-AU"/>
              </w:rPr>
            </w:pPr>
          </w:p>
        </w:tc>
        <w:tc>
          <w:tcPr>
            <w:tcW w:w="0" w:type="auto"/>
            <w:vAlign w:val="center"/>
          </w:tcPr>
          <w:p w14:paraId="7933FC6A" w14:textId="77777777" w:rsidR="006D60CF" w:rsidRPr="006D60CF" w:rsidRDefault="006D60CF" w:rsidP="006D60CF">
            <w:pPr>
              <w:spacing w:after="0" w:line="240" w:lineRule="auto"/>
              <w:rPr>
                <w:rFonts w:eastAsia="Times New Roman" w:cs="Segoe UI"/>
                <w:szCs w:val="22"/>
                <w:lang w:eastAsia="en-AU"/>
              </w:rPr>
            </w:pPr>
          </w:p>
        </w:tc>
        <w:tc>
          <w:tcPr>
            <w:tcW w:w="0" w:type="auto"/>
            <w:vAlign w:val="center"/>
          </w:tcPr>
          <w:p w14:paraId="5A676C89" w14:textId="77777777" w:rsidR="006D60CF" w:rsidRPr="006D60CF" w:rsidRDefault="006D60CF" w:rsidP="006D60CF">
            <w:pPr>
              <w:spacing w:after="0" w:line="240" w:lineRule="auto"/>
              <w:rPr>
                <w:rFonts w:eastAsia="Times New Roman" w:cs="Segoe UI"/>
                <w:szCs w:val="22"/>
                <w:lang w:eastAsia="en-AU"/>
              </w:rPr>
            </w:pPr>
          </w:p>
        </w:tc>
      </w:tr>
      <w:tr w:rsidR="006D60CF" w:rsidRPr="006D60CF" w14:paraId="063B59CC" w14:textId="77777777" w:rsidTr="006D60CF">
        <w:tc>
          <w:tcPr>
            <w:tcW w:w="0" w:type="auto"/>
            <w:vAlign w:val="center"/>
            <w:hideMark/>
          </w:tcPr>
          <w:p w14:paraId="40E56E2B" w14:textId="77777777" w:rsidR="006D60CF" w:rsidRPr="006D60CF" w:rsidRDefault="006D60CF" w:rsidP="006D60CF">
            <w:pPr>
              <w:spacing w:after="0" w:line="240" w:lineRule="auto"/>
              <w:rPr>
                <w:rFonts w:eastAsia="Times New Roman" w:cs="Segoe UI"/>
                <w:szCs w:val="22"/>
                <w:lang w:eastAsia="en-AU"/>
              </w:rPr>
            </w:pPr>
            <w:r w:rsidRPr="006D60CF">
              <w:rPr>
                <w:rFonts w:eastAsia="Times New Roman" w:cs="Segoe UI"/>
                <w:szCs w:val="22"/>
                <w:lang w:eastAsia="en-AU"/>
              </w:rPr>
              <w:t>Number of IRAP</w:t>
            </w:r>
            <w:r w:rsidRPr="006D60CF">
              <w:rPr>
                <w:rFonts w:eastAsia="Times New Roman" w:cs="Segoe UI"/>
                <w:szCs w:val="22"/>
                <w:lang w:eastAsia="en-AU"/>
              </w:rPr>
              <w:noBreakHyphen/>
              <w:t>confirmed relapses during treatmentᵃ</w:t>
            </w:r>
          </w:p>
        </w:tc>
        <w:tc>
          <w:tcPr>
            <w:tcW w:w="0" w:type="auto"/>
            <w:vAlign w:val="center"/>
            <w:hideMark/>
          </w:tcPr>
          <w:p w14:paraId="3CC04CED" w14:textId="77777777" w:rsidR="006D60CF" w:rsidRPr="006D60CF" w:rsidRDefault="006D60CF" w:rsidP="006D60CF">
            <w:pPr>
              <w:spacing w:after="0" w:line="240" w:lineRule="auto"/>
              <w:rPr>
                <w:rFonts w:eastAsia="Times New Roman" w:cs="Segoe UI"/>
                <w:szCs w:val="22"/>
                <w:lang w:eastAsia="en-AU"/>
              </w:rPr>
            </w:pPr>
          </w:p>
        </w:tc>
        <w:tc>
          <w:tcPr>
            <w:tcW w:w="0" w:type="auto"/>
            <w:vAlign w:val="center"/>
            <w:hideMark/>
          </w:tcPr>
          <w:p w14:paraId="3853E9C1" w14:textId="77777777" w:rsidR="006D60CF" w:rsidRPr="006D60CF" w:rsidRDefault="006D60CF" w:rsidP="006D60CF">
            <w:pPr>
              <w:spacing w:after="0" w:line="240" w:lineRule="auto"/>
              <w:rPr>
                <w:rFonts w:eastAsia="Times New Roman" w:cs="Segoe UI"/>
                <w:szCs w:val="22"/>
                <w:lang w:eastAsia="en-AU"/>
              </w:rPr>
            </w:pPr>
          </w:p>
        </w:tc>
      </w:tr>
      <w:tr w:rsidR="006D60CF" w:rsidRPr="006D60CF" w14:paraId="697E2466" w14:textId="77777777" w:rsidTr="006D60CF">
        <w:tc>
          <w:tcPr>
            <w:tcW w:w="0" w:type="auto"/>
            <w:vAlign w:val="center"/>
            <w:hideMark/>
          </w:tcPr>
          <w:p w14:paraId="2DF0A1EE" w14:textId="77777777" w:rsidR="006D60CF" w:rsidRPr="006D60CF" w:rsidRDefault="006D60CF" w:rsidP="006D60CF">
            <w:pPr>
              <w:spacing w:after="0" w:line="240" w:lineRule="auto"/>
              <w:rPr>
                <w:rFonts w:eastAsia="Times New Roman" w:cs="Segoe UI"/>
                <w:szCs w:val="22"/>
                <w:lang w:eastAsia="en-AU"/>
              </w:rPr>
            </w:pPr>
            <w:r w:rsidRPr="006D60CF">
              <w:rPr>
                <w:rFonts w:eastAsia="Times New Roman" w:cs="Segoe UI"/>
                <w:szCs w:val="22"/>
                <w:lang w:eastAsia="en-AU"/>
              </w:rPr>
              <w:t>Mean (SD)</w:t>
            </w:r>
          </w:p>
        </w:tc>
        <w:tc>
          <w:tcPr>
            <w:tcW w:w="0" w:type="auto"/>
            <w:vAlign w:val="center"/>
            <w:hideMark/>
          </w:tcPr>
          <w:p w14:paraId="0380F17E" w14:textId="77777777" w:rsidR="006D60CF" w:rsidRPr="006D60CF" w:rsidRDefault="006D60CF" w:rsidP="006D60CF">
            <w:pPr>
              <w:spacing w:after="0" w:line="240" w:lineRule="auto"/>
              <w:rPr>
                <w:rFonts w:eastAsia="Times New Roman" w:cs="Segoe UI"/>
                <w:szCs w:val="22"/>
                <w:lang w:eastAsia="en-AU"/>
              </w:rPr>
            </w:pPr>
            <w:r w:rsidRPr="006D60CF">
              <w:rPr>
                <w:rFonts w:eastAsia="Times New Roman" w:cs="Segoe UI"/>
                <w:szCs w:val="22"/>
                <w:lang w:eastAsia="en-AU"/>
              </w:rPr>
              <w:t>0.162 (0.4507)</w:t>
            </w:r>
          </w:p>
        </w:tc>
        <w:tc>
          <w:tcPr>
            <w:tcW w:w="0" w:type="auto"/>
            <w:vAlign w:val="center"/>
            <w:hideMark/>
          </w:tcPr>
          <w:p w14:paraId="04BD33F0" w14:textId="77777777" w:rsidR="006D60CF" w:rsidRPr="006D60CF" w:rsidRDefault="006D60CF" w:rsidP="006D60CF">
            <w:pPr>
              <w:spacing w:after="0" w:line="240" w:lineRule="auto"/>
              <w:rPr>
                <w:rFonts w:eastAsia="Times New Roman" w:cs="Segoe UI"/>
                <w:szCs w:val="22"/>
                <w:lang w:eastAsia="en-AU"/>
              </w:rPr>
            </w:pPr>
            <w:r w:rsidRPr="006D60CF">
              <w:rPr>
                <w:rFonts w:eastAsia="Times New Roman" w:cs="Segoe UI"/>
                <w:szCs w:val="22"/>
                <w:lang w:eastAsia="en-AU"/>
              </w:rPr>
              <w:t>0.405 (0.8166)</w:t>
            </w:r>
          </w:p>
        </w:tc>
      </w:tr>
      <w:tr w:rsidR="006D60CF" w:rsidRPr="006D60CF" w14:paraId="6B61583F" w14:textId="77777777" w:rsidTr="006D60CF">
        <w:tc>
          <w:tcPr>
            <w:tcW w:w="0" w:type="auto"/>
            <w:vAlign w:val="center"/>
            <w:hideMark/>
          </w:tcPr>
          <w:p w14:paraId="27474F52" w14:textId="77777777" w:rsidR="006D60CF" w:rsidRPr="006D60CF" w:rsidRDefault="006D60CF" w:rsidP="006D60CF">
            <w:pPr>
              <w:spacing w:after="0" w:line="240" w:lineRule="auto"/>
              <w:rPr>
                <w:rFonts w:eastAsia="Times New Roman" w:cs="Segoe UI"/>
                <w:szCs w:val="22"/>
                <w:lang w:eastAsia="en-AU"/>
              </w:rPr>
            </w:pPr>
            <w:r w:rsidRPr="006D60CF">
              <w:rPr>
                <w:rFonts w:eastAsia="Times New Roman" w:cs="Segoe UI"/>
                <w:szCs w:val="22"/>
                <w:lang w:eastAsia="en-AU"/>
              </w:rPr>
              <w:t>Cumulative number of IRAP</w:t>
            </w:r>
            <w:r w:rsidRPr="006D60CF">
              <w:rPr>
                <w:rFonts w:eastAsia="Times New Roman" w:cs="Segoe UI"/>
                <w:szCs w:val="22"/>
                <w:lang w:eastAsia="en-AU"/>
              </w:rPr>
              <w:noBreakHyphen/>
              <w:t>confirmed relapsesᵇ</w:t>
            </w:r>
          </w:p>
        </w:tc>
        <w:tc>
          <w:tcPr>
            <w:tcW w:w="0" w:type="auto"/>
            <w:vAlign w:val="center"/>
            <w:hideMark/>
          </w:tcPr>
          <w:p w14:paraId="75BAD6B3" w14:textId="77777777" w:rsidR="006D60CF" w:rsidRPr="006D60CF" w:rsidRDefault="006D60CF" w:rsidP="006D60CF">
            <w:pPr>
              <w:spacing w:after="0" w:line="240" w:lineRule="auto"/>
              <w:rPr>
                <w:rFonts w:eastAsia="Times New Roman" w:cs="Segoe UI"/>
                <w:szCs w:val="22"/>
                <w:lang w:eastAsia="en-AU"/>
              </w:rPr>
            </w:pPr>
            <w:r w:rsidRPr="006D60CF">
              <w:rPr>
                <w:rFonts w:eastAsia="Times New Roman" w:cs="Segoe UI"/>
                <w:szCs w:val="22"/>
                <w:lang w:eastAsia="en-AU"/>
              </w:rPr>
              <w:t>44</w:t>
            </w:r>
          </w:p>
        </w:tc>
        <w:tc>
          <w:tcPr>
            <w:tcW w:w="0" w:type="auto"/>
            <w:vAlign w:val="center"/>
            <w:hideMark/>
          </w:tcPr>
          <w:p w14:paraId="1BCB9009" w14:textId="77777777" w:rsidR="006D60CF" w:rsidRPr="006D60CF" w:rsidRDefault="006D60CF" w:rsidP="006D60CF">
            <w:pPr>
              <w:spacing w:after="0" w:line="240" w:lineRule="auto"/>
              <w:rPr>
                <w:rFonts w:eastAsia="Times New Roman" w:cs="Segoe UI"/>
                <w:szCs w:val="22"/>
                <w:lang w:eastAsia="en-AU"/>
              </w:rPr>
            </w:pPr>
            <w:r w:rsidRPr="006D60CF">
              <w:rPr>
                <w:rFonts w:eastAsia="Times New Roman" w:cs="Segoe UI"/>
                <w:szCs w:val="22"/>
                <w:lang w:eastAsia="en-AU"/>
              </w:rPr>
              <w:t>111</w:t>
            </w:r>
          </w:p>
        </w:tc>
      </w:tr>
      <w:tr w:rsidR="006D60CF" w:rsidRPr="006D60CF" w14:paraId="255C3946" w14:textId="77777777" w:rsidTr="006D60CF">
        <w:tc>
          <w:tcPr>
            <w:tcW w:w="0" w:type="auto"/>
            <w:vAlign w:val="center"/>
            <w:hideMark/>
          </w:tcPr>
          <w:p w14:paraId="108364D2" w14:textId="77777777" w:rsidR="006D60CF" w:rsidRPr="006D60CF" w:rsidRDefault="006D60CF" w:rsidP="006D60CF">
            <w:pPr>
              <w:spacing w:after="0" w:line="240" w:lineRule="auto"/>
              <w:rPr>
                <w:rFonts w:eastAsia="Times New Roman" w:cs="Segoe UI"/>
                <w:szCs w:val="22"/>
                <w:lang w:eastAsia="en-AU"/>
              </w:rPr>
            </w:pPr>
            <w:r w:rsidRPr="006D60CF">
              <w:rPr>
                <w:rFonts w:eastAsia="Times New Roman" w:cs="Segoe UI"/>
                <w:szCs w:val="22"/>
                <w:lang w:eastAsia="en-AU"/>
              </w:rPr>
              <w:t>Raw annualized relapse rateᶜ</w:t>
            </w:r>
          </w:p>
        </w:tc>
        <w:tc>
          <w:tcPr>
            <w:tcW w:w="0" w:type="auto"/>
            <w:vAlign w:val="center"/>
            <w:hideMark/>
          </w:tcPr>
          <w:p w14:paraId="1BBF908D" w14:textId="77777777" w:rsidR="006D60CF" w:rsidRPr="006D60CF" w:rsidRDefault="006D60CF" w:rsidP="006D60CF">
            <w:pPr>
              <w:spacing w:after="0" w:line="240" w:lineRule="auto"/>
              <w:rPr>
                <w:rFonts w:eastAsia="Times New Roman" w:cs="Segoe UI"/>
                <w:szCs w:val="22"/>
                <w:lang w:eastAsia="en-AU"/>
              </w:rPr>
            </w:pPr>
            <w:r w:rsidRPr="006D60CF">
              <w:rPr>
                <w:rFonts w:eastAsia="Times New Roman" w:cs="Segoe UI"/>
                <w:szCs w:val="22"/>
                <w:lang w:eastAsia="en-AU"/>
              </w:rPr>
              <w:t>0.09</w:t>
            </w:r>
          </w:p>
        </w:tc>
        <w:tc>
          <w:tcPr>
            <w:tcW w:w="0" w:type="auto"/>
            <w:vAlign w:val="center"/>
            <w:hideMark/>
          </w:tcPr>
          <w:p w14:paraId="1F1936E9" w14:textId="77777777" w:rsidR="006D60CF" w:rsidRPr="006D60CF" w:rsidRDefault="006D60CF" w:rsidP="006D60CF">
            <w:pPr>
              <w:spacing w:after="0" w:line="240" w:lineRule="auto"/>
              <w:rPr>
                <w:rFonts w:eastAsia="Times New Roman" w:cs="Segoe UI"/>
                <w:szCs w:val="22"/>
                <w:lang w:eastAsia="en-AU"/>
              </w:rPr>
            </w:pPr>
            <w:r w:rsidRPr="006D60CF">
              <w:rPr>
                <w:rFonts w:eastAsia="Times New Roman" w:cs="Segoe UI"/>
                <w:szCs w:val="22"/>
                <w:lang w:eastAsia="en-AU"/>
              </w:rPr>
              <w:t>0.23</w:t>
            </w:r>
          </w:p>
        </w:tc>
      </w:tr>
      <w:tr w:rsidR="006D60CF" w:rsidRPr="006D60CF" w14:paraId="3C51E4FC" w14:textId="77777777" w:rsidTr="006D60CF">
        <w:tc>
          <w:tcPr>
            <w:tcW w:w="0" w:type="auto"/>
            <w:vAlign w:val="center"/>
            <w:hideMark/>
          </w:tcPr>
          <w:p w14:paraId="5E0E07D9" w14:textId="77777777" w:rsidR="006D60CF" w:rsidRPr="006D60CF" w:rsidRDefault="006D60CF" w:rsidP="006D60CF">
            <w:pPr>
              <w:spacing w:after="0" w:line="240" w:lineRule="auto"/>
              <w:rPr>
                <w:rFonts w:eastAsia="Times New Roman" w:cs="Segoe UI"/>
                <w:szCs w:val="22"/>
                <w:lang w:eastAsia="en-AU"/>
              </w:rPr>
            </w:pPr>
            <w:r w:rsidRPr="006D60CF">
              <w:rPr>
                <w:rFonts w:eastAsia="Times New Roman" w:cs="Segoe UI"/>
                <w:szCs w:val="22"/>
                <w:lang w:eastAsia="en-AU"/>
              </w:rPr>
              <w:t>Negative binomial modelᵈ</w:t>
            </w:r>
          </w:p>
        </w:tc>
        <w:tc>
          <w:tcPr>
            <w:tcW w:w="0" w:type="auto"/>
            <w:vAlign w:val="center"/>
            <w:hideMark/>
          </w:tcPr>
          <w:p w14:paraId="5B4FEC5E" w14:textId="77777777" w:rsidR="006D60CF" w:rsidRPr="006D60CF" w:rsidRDefault="006D60CF" w:rsidP="006D60CF">
            <w:pPr>
              <w:spacing w:after="0" w:line="240" w:lineRule="auto"/>
              <w:rPr>
                <w:rFonts w:eastAsia="Times New Roman" w:cs="Segoe UI"/>
                <w:szCs w:val="22"/>
                <w:lang w:eastAsia="en-AU"/>
              </w:rPr>
            </w:pPr>
          </w:p>
        </w:tc>
        <w:tc>
          <w:tcPr>
            <w:tcW w:w="0" w:type="auto"/>
            <w:vAlign w:val="center"/>
            <w:hideMark/>
          </w:tcPr>
          <w:p w14:paraId="242BB881" w14:textId="77777777" w:rsidR="006D60CF" w:rsidRPr="006D60CF" w:rsidRDefault="006D60CF" w:rsidP="006D60CF">
            <w:pPr>
              <w:spacing w:after="0" w:line="240" w:lineRule="auto"/>
              <w:rPr>
                <w:rFonts w:eastAsia="Times New Roman" w:cs="Segoe UI"/>
                <w:szCs w:val="22"/>
                <w:lang w:eastAsia="en-AU"/>
              </w:rPr>
            </w:pPr>
          </w:p>
        </w:tc>
      </w:tr>
      <w:tr w:rsidR="006D60CF" w:rsidRPr="006D60CF" w14:paraId="49C39FC1" w14:textId="77777777" w:rsidTr="006D60CF">
        <w:tc>
          <w:tcPr>
            <w:tcW w:w="0" w:type="auto"/>
            <w:vAlign w:val="center"/>
            <w:hideMark/>
          </w:tcPr>
          <w:p w14:paraId="2CCA7343" w14:textId="77777777" w:rsidR="006D60CF" w:rsidRPr="006D60CF" w:rsidRDefault="006D60CF" w:rsidP="006D60CF">
            <w:pPr>
              <w:spacing w:after="0" w:line="240" w:lineRule="auto"/>
              <w:rPr>
                <w:rFonts w:eastAsia="Times New Roman" w:cs="Segoe UI"/>
                <w:szCs w:val="22"/>
                <w:lang w:eastAsia="en-AU"/>
              </w:rPr>
            </w:pPr>
            <w:r w:rsidRPr="006D60CF">
              <w:rPr>
                <w:rFonts w:eastAsia="Times New Roman" w:cs="Segoe UI"/>
                <w:szCs w:val="22"/>
                <w:lang w:eastAsia="en-AU"/>
              </w:rPr>
              <w:t xml:space="preserve">Least squares </w:t>
            </w:r>
            <w:proofErr w:type="gramStart"/>
            <w:r w:rsidRPr="006D60CF">
              <w:rPr>
                <w:rFonts w:eastAsia="Times New Roman" w:cs="Segoe UI"/>
                <w:szCs w:val="22"/>
                <w:lang w:eastAsia="en-AU"/>
              </w:rPr>
              <w:t>means</w:t>
            </w:r>
            <w:proofErr w:type="gramEnd"/>
            <w:r w:rsidRPr="006D60CF">
              <w:rPr>
                <w:rFonts w:eastAsia="Times New Roman" w:cs="Segoe UI"/>
                <w:szCs w:val="22"/>
                <w:lang w:eastAsia="en-AU"/>
              </w:rPr>
              <w:t xml:space="preserve"> (95% CI)</w:t>
            </w:r>
          </w:p>
        </w:tc>
        <w:tc>
          <w:tcPr>
            <w:tcW w:w="0" w:type="auto"/>
            <w:vAlign w:val="center"/>
            <w:hideMark/>
          </w:tcPr>
          <w:p w14:paraId="6DB49167" w14:textId="77777777" w:rsidR="006D60CF" w:rsidRPr="006D60CF" w:rsidRDefault="006D60CF" w:rsidP="006D60CF">
            <w:pPr>
              <w:spacing w:after="0" w:line="240" w:lineRule="auto"/>
              <w:rPr>
                <w:rFonts w:eastAsia="Times New Roman" w:cs="Segoe UI"/>
                <w:szCs w:val="22"/>
                <w:lang w:eastAsia="en-AU"/>
              </w:rPr>
            </w:pPr>
            <w:r w:rsidRPr="006D60CF">
              <w:rPr>
                <w:rFonts w:eastAsia="Times New Roman" w:cs="Segoe UI"/>
                <w:szCs w:val="22"/>
                <w:lang w:eastAsia="en-AU"/>
              </w:rPr>
              <w:t>0.076 (0.042, 0.138)</w:t>
            </w:r>
          </w:p>
        </w:tc>
        <w:tc>
          <w:tcPr>
            <w:tcW w:w="0" w:type="auto"/>
            <w:vAlign w:val="center"/>
            <w:hideMark/>
          </w:tcPr>
          <w:p w14:paraId="433B01DF" w14:textId="77777777" w:rsidR="006D60CF" w:rsidRPr="006D60CF" w:rsidRDefault="006D60CF" w:rsidP="006D60CF">
            <w:pPr>
              <w:spacing w:after="0" w:line="240" w:lineRule="auto"/>
              <w:rPr>
                <w:rFonts w:eastAsia="Times New Roman" w:cs="Segoe UI"/>
                <w:szCs w:val="22"/>
                <w:lang w:eastAsia="en-AU"/>
              </w:rPr>
            </w:pPr>
            <w:r w:rsidRPr="006D60CF">
              <w:rPr>
                <w:rFonts w:eastAsia="Times New Roman" w:cs="Segoe UI"/>
                <w:szCs w:val="22"/>
                <w:lang w:eastAsia="en-AU"/>
              </w:rPr>
              <w:t>0.188 (0.124, 0.283)</w:t>
            </w:r>
          </w:p>
        </w:tc>
      </w:tr>
      <w:tr w:rsidR="006D60CF" w:rsidRPr="006D60CF" w14:paraId="6DD57936" w14:textId="77777777" w:rsidTr="006D60CF">
        <w:tc>
          <w:tcPr>
            <w:tcW w:w="0" w:type="auto"/>
            <w:vAlign w:val="center"/>
            <w:hideMark/>
          </w:tcPr>
          <w:p w14:paraId="70D47D7C" w14:textId="77777777" w:rsidR="006D60CF" w:rsidRPr="006D60CF" w:rsidRDefault="006D60CF" w:rsidP="006D60CF">
            <w:pPr>
              <w:spacing w:after="0" w:line="240" w:lineRule="auto"/>
              <w:rPr>
                <w:rFonts w:eastAsia="Times New Roman" w:cs="Segoe UI"/>
                <w:szCs w:val="22"/>
                <w:lang w:eastAsia="en-AU"/>
              </w:rPr>
            </w:pPr>
            <w:r w:rsidRPr="006D60CF">
              <w:rPr>
                <w:rFonts w:eastAsia="Times New Roman" w:cs="Segoe UI"/>
                <w:szCs w:val="22"/>
                <w:lang w:eastAsia="en-AU"/>
              </w:rPr>
              <w:t>Rate ratio: ublituximab / teriflunomide</w:t>
            </w:r>
          </w:p>
        </w:tc>
        <w:tc>
          <w:tcPr>
            <w:tcW w:w="0" w:type="auto"/>
            <w:vAlign w:val="center"/>
            <w:hideMark/>
          </w:tcPr>
          <w:p w14:paraId="22DEFE1A" w14:textId="77777777" w:rsidR="006D60CF" w:rsidRPr="006D60CF" w:rsidRDefault="006D60CF" w:rsidP="006D60CF">
            <w:pPr>
              <w:spacing w:after="0" w:line="240" w:lineRule="auto"/>
              <w:rPr>
                <w:rFonts w:eastAsia="Times New Roman" w:cs="Segoe UI"/>
                <w:szCs w:val="22"/>
                <w:lang w:eastAsia="en-AU"/>
              </w:rPr>
            </w:pPr>
            <w:r w:rsidRPr="006D60CF">
              <w:rPr>
                <w:rFonts w:eastAsia="Times New Roman" w:cs="Segoe UI"/>
                <w:szCs w:val="22"/>
                <w:lang w:eastAsia="en-AU"/>
              </w:rPr>
              <w:t>0.406 (0.268, 0.615)</w:t>
            </w:r>
          </w:p>
        </w:tc>
        <w:tc>
          <w:tcPr>
            <w:tcW w:w="0" w:type="auto"/>
            <w:vAlign w:val="center"/>
            <w:hideMark/>
          </w:tcPr>
          <w:p w14:paraId="5FC6EF41" w14:textId="77777777" w:rsidR="006D60CF" w:rsidRPr="006D60CF" w:rsidRDefault="006D60CF" w:rsidP="006D60CF">
            <w:pPr>
              <w:spacing w:after="0" w:line="240" w:lineRule="auto"/>
              <w:rPr>
                <w:rFonts w:eastAsia="Times New Roman" w:cs="Segoe UI"/>
                <w:szCs w:val="22"/>
                <w:lang w:eastAsia="en-AU"/>
              </w:rPr>
            </w:pPr>
          </w:p>
        </w:tc>
      </w:tr>
      <w:tr w:rsidR="006D60CF" w:rsidRPr="006D60CF" w14:paraId="19F108FD" w14:textId="77777777" w:rsidTr="006D60CF">
        <w:tc>
          <w:tcPr>
            <w:tcW w:w="0" w:type="auto"/>
            <w:vAlign w:val="center"/>
            <w:hideMark/>
          </w:tcPr>
          <w:p w14:paraId="3197FC56" w14:textId="77777777" w:rsidR="006D60CF" w:rsidRPr="006D60CF" w:rsidRDefault="006D60CF" w:rsidP="006D60CF">
            <w:pPr>
              <w:spacing w:after="0" w:line="240" w:lineRule="auto"/>
              <w:rPr>
                <w:rFonts w:eastAsia="Times New Roman" w:cs="Segoe UI"/>
                <w:szCs w:val="22"/>
                <w:lang w:eastAsia="en-AU"/>
              </w:rPr>
            </w:pPr>
            <w:r w:rsidRPr="006D60CF">
              <w:rPr>
                <w:rFonts w:eastAsia="Times New Roman" w:cs="Segoe UI"/>
                <w:szCs w:val="22"/>
                <w:lang w:eastAsia="en-AU"/>
              </w:rPr>
              <w:t>Difference: ublituximab − teriflunomide</w:t>
            </w:r>
          </w:p>
        </w:tc>
        <w:tc>
          <w:tcPr>
            <w:tcW w:w="0" w:type="auto"/>
            <w:vAlign w:val="center"/>
            <w:hideMark/>
          </w:tcPr>
          <w:p w14:paraId="2EB8427D" w14:textId="77777777" w:rsidR="006D60CF" w:rsidRPr="006D60CF" w:rsidRDefault="006D60CF" w:rsidP="006D60CF">
            <w:pPr>
              <w:spacing w:after="0" w:line="240" w:lineRule="auto"/>
              <w:rPr>
                <w:rFonts w:eastAsia="Times New Roman" w:cs="Segoe UI"/>
                <w:szCs w:val="22"/>
                <w:lang w:eastAsia="en-AU"/>
              </w:rPr>
            </w:pPr>
            <w:r w:rsidRPr="006D60CF">
              <w:rPr>
                <w:rFonts w:eastAsia="Times New Roman" w:cs="Segoe UI"/>
                <w:szCs w:val="22"/>
                <w:lang w:eastAsia="en-AU"/>
              </w:rPr>
              <w:t>−0.111 (−0.166, −0.056)</w:t>
            </w:r>
          </w:p>
        </w:tc>
        <w:tc>
          <w:tcPr>
            <w:tcW w:w="0" w:type="auto"/>
            <w:vAlign w:val="center"/>
            <w:hideMark/>
          </w:tcPr>
          <w:p w14:paraId="6DDB87AE" w14:textId="77777777" w:rsidR="006D60CF" w:rsidRPr="006D60CF" w:rsidRDefault="006D60CF" w:rsidP="006D60CF">
            <w:pPr>
              <w:spacing w:after="0" w:line="240" w:lineRule="auto"/>
              <w:rPr>
                <w:rFonts w:eastAsia="Times New Roman" w:cs="Segoe UI"/>
                <w:szCs w:val="22"/>
                <w:lang w:eastAsia="en-AU"/>
              </w:rPr>
            </w:pPr>
          </w:p>
        </w:tc>
      </w:tr>
      <w:tr w:rsidR="006D60CF" w:rsidRPr="006D60CF" w14:paraId="5F467DE8" w14:textId="77777777" w:rsidTr="006D60CF">
        <w:tc>
          <w:tcPr>
            <w:tcW w:w="0" w:type="auto"/>
            <w:vAlign w:val="center"/>
            <w:hideMark/>
          </w:tcPr>
          <w:p w14:paraId="4EF27F3E" w14:textId="77777777" w:rsidR="006D60CF" w:rsidRPr="006D60CF" w:rsidRDefault="006D60CF" w:rsidP="006D60CF">
            <w:pPr>
              <w:spacing w:after="0" w:line="240" w:lineRule="auto"/>
              <w:rPr>
                <w:rFonts w:eastAsia="Times New Roman" w:cs="Segoe UI"/>
                <w:szCs w:val="22"/>
                <w:lang w:eastAsia="en-AU"/>
              </w:rPr>
            </w:pPr>
            <w:r w:rsidRPr="006D60CF">
              <w:rPr>
                <w:rFonts w:eastAsia="Times New Roman" w:cs="Segoe UI"/>
                <w:szCs w:val="22"/>
                <w:lang w:eastAsia="en-AU"/>
              </w:rPr>
              <w:t>p value</w:t>
            </w:r>
          </w:p>
        </w:tc>
        <w:tc>
          <w:tcPr>
            <w:tcW w:w="0" w:type="auto"/>
            <w:vAlign w:val="center"/>
            <w:hideMark/>
          </w:tcPr>
          <w:p w14:paraId="4808433E" w14:textId="77777777" w:rsidR="006D60CF" w:rsidRPr="006D60CF" w:rsidRDefault="006D60CF" w:rsidP="006D60CF">
            <w:pPr>
              <w:spacing w:after="0" w:line="240" w:lineRule="auto"/>
              <w:rPr>
                <w:rFonts w:eastAsia="Times New Roman" w:cs="Segoe UI"/>
                <w:szCs w:val="22"/>
                <w:lang w:eastAsia="en-AU"/>
              </w:rPr>
            </w:pPr>
            <w:r w:rsidRPr="006D60CF">
              <w:rPr>
                <w:rFonts w:eastAsia="Times New Roman" w:cs="Segoe UI"/>
                <w:szCs w:val="22"/>
                <w:lang w:eastAsia="en-AU"/>
              </w:rPr>
              <w:t>&lt;0.0001</w:t>
            </w:r>
          </w:p>
        </w:tc>
        <w:tc>
          <w:tcPr>
            <w:tcW w:w="0" w:type="auto"/>
            <w:vAlign w:val="center"/>
            <w:hideMark/>
          </w:tcPr>
          <w:p w14:paraId="00087393" w14:textId="77777777" w:rsidR="006D60CF" w:rsidRPr="006D60CF" w:rsidRDefault="006D60CF" w:rsidP="006D60CF">
            <w:pPr>
              <w:spacing w:after="0" w:line="240" w:lineRule="auto"/>
              <w:rPr>
                <w:rFonts w:eastAsia="Times New Roman" w:cs="Segoe UI"/>
                <w:szCs w:val="22"/>
                <w:lang w:eastAsia="en-AU"/>
              </w:rPr>
            </w:pPr>
          </w:p>
        </w:tc>
      </w:tr>
    </w:tbl>
    <w:p w14:paraId="0FE2BFEA" w14:textId="77777777" w:rsidR="00C05B6A" w:rsidRDefault="008F3138" w:rsidP="008F3138">
      <w:pPr>
        <w:pStyle w:val="TableDescription"/>
        <w:contextualSpacing/>
        <w:rPr>
          <w:lang w:eastAsia="en-AU"/>
        </w:rPr>
      </w:pPr>
      <w:bookmarkStart w:id="48" w:name="_Toc314842514"/>
      <w:bookmarkStart w:id="49" w:name="_Toc103679298"/>
      <w:r>
        <w:rPr>
          <w:lang w:eastAsia="en-AU"/>
        </w:rPr>
        <w:t>Cl, confidence interval; modified intent-to-treat; MRI: magnetic resonance imaging; SD, standard deviation.</w:t>
      </w:r>
    </w:p>
    <w:p w14:paraId="025E7031" w14:textId="7D9339CE" w:rsidR="00C14E83" w:rsidRDefault="008F3138" w:rsidP="008F3138">
      <w:pPr>
        <w:pStyle w:val="TableDescription"/>
        <w:contextualSpacing/>
        <w:rPr>
          <w:lang w:eastAsia="en-AU"/>
        </w:rPr>
      </w:pPr>
      <w:r>
        <w:rPr>
          <w:lang w:eastAsia="en-AU"/>
        </w:rPr>
        <w:t xml:space="preserve">a GEE (Generalized Estimating Equation) model with </w:t>
      </w:r>
      <w:r w:rsidR="00C05B6A">
        <w:rPr>
          <w:lang w:eastAsia="en-AU"/>
        </w:rPr>
        <w:t>logarithmic</w:t>
      </w:r>
      <w:r>
        <w:rPr>
          <w:lang w:eastAsia="en-AU"/>
        </w:rPr>
        <w:t xml:space="preserve"> link function, covariates treatment, region, baseline EDSS strat</w:t>
      </w:r>
      <w:r w:rsidR="00C05B6A">
        <w:rPr>
          <w:lang w:eastAsia="en-AU"/>
        </w:rPr>
        <w:t>a</w:t>
      </w:r>
      <w:r>
        <w:rPr>
          <w:lang w:eastAsia="en-AU"/>
        </w:rPr>
        <w:t>, baseline</w:t>
      </w:r>
      <w:r w:rsidR="00C05B6A">
        <w:rPr>
          <w:lang w:eastAsia="en-AU"/>
        </w:rPr>
        <w:t xml:space="preserve"> </w:t>
      </w:r>
      <w:r>
        <w:rPr>
          <w:lang w:eastAsia="en-AU"/>
        </w:rPr>
        <w:t>number of lesions (0/21) and an offset based on the log-transformed number of post-baseline MRI scans)</w:t>
      </w:r>
    </w:p>
    <w:p w14:paraId="702942C6" w14:textId="493DBC6F" w:rsidR="003B17EB" w:rsidRPr="006D60CF" w:rsidRDefault="003B17EB" w:rsidP="00D83D85">
      <w:pPr>
        <w:pStyle w:val="Heading7"/>
        <w:rPr>
          <w:lang w:eastAsia="en-AU"/>
        </w:rPr>
      </w:pPr>
      <w:r w:rsidRPr="006D60CF">
        <w:rPr>
          <w:lang w:eastAsia="en-AU"/>
        </w:rPr>
        <w:t xml:space="preserve">Total </w:t>
      </w:r>
      <w:r w:rsidR="00D83D85" w:rsidRPr="006D60CF">
        <w:rPr>
          <w:lang w:eastAsia="en-AU"/>
        </w:rPr>
        <w:t xml:space="preserve">number of new and enlarging t2 hyperintense lesions </w:t>
      </w:r>
      <w:r w:rsidRPr="006D60CF">
        <w:rPr>
          <w:lang w:eastAsia="en-AU"/>
        </w:rPr>
        <w:t>per MRI Scan by Week 96</w:t>
      </w:r>
    </w:p>
    <w:p w14:paraId="79F38BAE" w14:textId="35DECAEB" w:rsidR="003B17EB" w:rsidRDefault="003B17EB" w:rsidP="003B17EB">
      <w:pPr>
        <w:rPr>
          <w:lang w:eastAsia="en-AU"/>
        </w:rPr>
      </w:pPr>
      <w:r>
        <w:rPr>
          <w:lang w:eastAsia="en-AU"/>
        </w:rPr>
        <w:t xml:space="preserve">The treatment effect of ublituximab versus </w:t>
      </w:r>
      <w:r w:rsidR="00F4017C">
        <w:rPr>
          <w:lang w:eastAsia="en-AU"/>
        </w:rPr>
        <w:t>teri</w:t>
      </w:r>
      <w:r w:rsidR="00F4017C">
        <w:rPr>
          <w:rFonts w:cs="Cambria"/>
          <w:lang w:eastAsia="en-AU"/>
        </w:rPr>
        <w:t>f</w:t>
      </w:r>
      <w:r w:rsidR="00F4017C">
        <w:rPr>
          <w:lang w:eastAsia="en-AU"/>
        </w:rPr>
        <w:t>lunomide</w:t>
      </w:r>
      <w:r>
        <w:rPr>
          <w:lang w:eastAsia="en-AU"/>
        </w:rPr>
        <w:t xml:space="preserve"> was statistically </w:t>
      </w:r>
      <w:r w:rsidR="00F4017C">
        <w:rPr>
          <w:lang w:eastAsia="en-AU"/>
        </w:rPr>
        <w:t>signi</w:t>
      </w:r>
      <w:r w:rsidR="00F4017C">
        <w:rPr>
          <w:rFonts w:cs="Cambria"/>
          <w:lang w:eastAsia="en-AU"/>
        </w:rPr>
        <w:t>f</w:t>
      </w:r>
      <w:r w:rsidR="00F4017C">
        <w:rPr>
          <w:lang w:eastAsia="en-AU"/>
        </w:rPr>
        <w:t>icant</w:t>
      </w:r>
      <w:r>
        <w:rPr>
          <w:lang w:eastAsia="en-AU"/>
        </w:rPr>
        <w:t xml:space="preserve"> in </w:t>
      </w:r>
      <w:r w:rsidR="00F4017C">
        <w:rPr>
          <w:lang w:eastAsia="en-AU"/>
        </w:rPr>
        <w:t>favour</w:t>
      </w:r>
      <w:r>
        <w:rPr>
          <w:lang w:eastAsia="en-AU"/>
        </w:rPr>
        <w:t xml:space="preserve"> of ublituximab (Table </w:t>
      </w:r>
      <w:r w:rsidR="0022378A">
        <w:rPr>
          <w:lang w:eastAsia="en-AU"/>
        </w:rPr>
        <w:t>8</w:t>
      </w:r>
      <w:r>
        <w:rPr>
          <w:lang w:eastAsia="en-AU"/>
        </w:rPr>
        <w:t xml:space="preserve">). Similar </w:t>
      </w:r>
      <w:r w:rsidR="00F4017C">
        <w:rPr>
          <w:lang w:eastAsia="en-AU"/>
        </w:rPr>
        <w:t>findings</w:t>
      </w:r>
      <w:r>
        <w:rPr>
          <w:lang w:eastAsia="en-AU"/>
        </w:rPr>
        <w:t xml:space="preserve"> were reported for the ITT population and for the PP-MRI</w:t>
      </w:r>
      <w:r w:rsidR="005A7AE4">
        <w:rPr>
          <w:rStyle w:val="FootnoteReference"/>
          <w:lang w:eastAsia="en-AU"/>
        </w:rPr>
        <w:footnoteReference w:id="22"/>
      </w:r>
      <w:r>
        <w:rPr>
          <w:lang w:eastAsia="en-AU"/>
        </w:rPr>
        <w:t xml:space="preserve"> population.</w:t>
      </w:r>
    </w:p>
    <w:p w14:paraId="35272B8B" w14:textId="0F429CC2" w:rsidR="00C05B6A" w:rsidRDefault="003B17EB" w:rsidP="003B17EB">
      <w:pPr>
        <w:rPr>
          <w:lang w:eastAsia="en-AU"/>
        </w:rPr>
      </w:pPr>
      <w:r>
        <w:rPr>
          <w:lang w:eastAsia="en-AU"/>
        </w:rPr>
        <w:t>A sensitivity analysis of the total number of new and enlarging T2 hyperintense lesions per MRI scan at Week 96 using multiple imputation showed similar results.</w:t>
      </w:r>
    </w:p>
    <w:p w14:paraId="5F32487C" w14:textId="184E30C1" w:rsidR="000D57BC" w:rsidRDefault="000D57BC" w:rsidP="00A3087C">
      <w:pPr>
        <w:pStyle w:val="TableTitle"/>
        <w:rPr>
          <w:lang w:eastAsia="en-AU"/>
        </w:rPr>
      </w:pPr>
      <w:r w:rsidRPr="000D57BC">
        <w:rPr>
          <w:lang w:eastAsia="en-AU"/>
        </w:rPr>
        <w:lastRenderedPageBreak/>
        <w:t xml:space="preserve">Table </w:t>
      </w:r>
      <w:r w:rsidR="0022378A">
        <w:rPr>
          <w:lang w:eastAsia="en-AU"/>
        </w:rPr>
        <w:t>8</w:t>
      </w:r>
      <w:r w:rsidR="00A3087C">
        <w:rPr>
          <w:lang w:eastAsia="en-AU"/>
        </w:rPr>
        <w:t>.</w:t>
      </w:r>
      <w:r w:rsidRPr="000D57BC">
        <w:rPr>
          <w:lang w:eastAsia="en-AU"/>
        </w:rPr>
        <w:t xml:space="preserve"> Total Number of New and Enlarging T2 Hyperintense Lesions per MRI Scan by Week 96 in Study TG1101-RMS301 (mITT-MRI Population)</w:t>
      </w:r>
    </w:p>
    <w:tbl>
      <w:tblPr>
        <w:tblW w:w="0" w:type="auto"/>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ook w:val="04A0" w:firstRow="1" w:lastRow="0" w:firstColumn="1" w:lastColumn="0" w:noHBand="0" w:noVBand="1"/>
        <w:tblDescription w:val="Table 8. Total Number of New and Enlarging T2 Hyperintense Lesions per MRI Scan by Week 96 in Study TG1101-RMS301 (mITT-MRI Population)"/>
      </w:tblPr>
      <w:tblGrid>
        <w:gridCol w:w="4970"/>
        <w:gridCol w:w="1938"/>
        <w:gridCol w:w="2152"/>
      </w:tblGrid>
      <w:tr w:rsidR="00897CCC" w14:paraId="007BE865" w14:textId="77777777" w:rsidTr="00B95EBC">
        <w:trPr>
          <w:tblHeader/>
        </w:trPr>
        <w:tc>
          <w:tcPr>
            <w:tcW w:w="0" w:type="auto"/>
            <w:shd w:val="clear" w:color="auto" w:fill="DEEAF6"/>
          </w:tcPr>
          <w:p w14:paraId="4B9A5121" w14:textId="77777777" w:rsidR="00897CCC" w:rsidRPr="005012A3" w:rsidRDefault="00897CCC" w:rsidP="00CC732D">
            <w:pPr>
              <w:spacing w:line="240" w:lineRule="auto"/>
              <w:contextualSpacing/>
              <w:rPr>
                <w:b/>
                <w:bCs/>
              </w:rPr>
            </w:pPr>
          </w:p>
        </w:tc>
        <w:tc>
          <w:tcPr>
            <w:tcW w:w="0" w:type="auto"/>
            <w:shd w:val="clear" w:color="auto" w:fill="DEEAF6"/>
          </w:tcPr>
          <w:p w14:paraId="7A2741BE" w14:textId="77777777" w:rsidR="00897CCC" w:rsidRPr="00B95EBC" w:rsidRDefault="00897CCC" w:rsidP="00CC732D">
            <w:pPr>
              <w:spacing w:line="240" w:lineRule="auto"/>
              <w:contextualSpacing/>
              <w:rPr>
                <w:b/>
                <w:bCs/>
                <w:color w:val="263287"/>
              </w:rPr>
            </w:pPr>
            <w:r w:rsidRPr="00B95EBC">
              <w:rPr>
                <w:b/>
                <w:bCs/>
                <w:color w:val="263287"/>
              </w:rPr>
              <w:t>Ublituximab (N=265)</w:t>
            </w:r>
          </w:p>
        </w:tc>
        <w:tc>
          <w:tcPr>
            <w:tcW w:w="0" w:type="auto"/>
            <w:shd w:val="clear" w:color="auto" w:fill="DEEAF6"/>
          </w:tcPr>
          <w:p w14:paraId="4F11FF4C" w14:textId="77777777" w:rsidR="00897CCC" w:rsidRPr="00B95EBC" w:rsidRDefault="00897CCC" w:rsidP="00CC732D">
            <w:pPr>
              <w:spacing w:line="240" w:lineRule="auto"/>
              <w:contextualSpacing/>
              <w:rPr>
                <w:b/>
                <w:bCs/>
                <w:color w:val="263287"/>
              </w:rPr>
            </w:pPr>
            <w:r w:rsidRPr="00B95EBC">
              <w:rPr>
                <w:b/>
                <w:bCs/>
                <w:color w:val="263287"/>
              </w:rPr>
              <w:t>Teriflunomide (N=270)</w:t>
            </w:r>
          </w:p>
        </w:tc>
      </w:tr>
      <w:tr w:rsidR="00897CCC" w14:paraId="2CF73AD9" w14:textId="77777777" w:rsidTr="00CC732D">
        <w:trPr>
          <w:tblHeader/>
        </w:trPr>
        <w:tc>
          <w:tcPr>
            <w:tcW w:w="0" w:type="auto"/>
          </w:tcPr>
          <w:p w14:paraId="2C8F1FBE" w14:textId="77777777" w:rsidR="00897CCC" w:rsidRDefault="00897CCC" w:rsidP="00CC732D">
            <w:pPr>
              <w:spacing w:line="240" w:lineRule="auto"/>
              <w:contextualSpacing/>
            </w:pPr>
            <w:r>
              <w:t>T2 lesion count, mean (SD)</w:t>
            </w:r>
          </w:p>
        </w:tc>
        <w:tc>
          <w:tcPr>
            <w:tcW w:w="0" w:type="auto"/>
          </w:tcPr>
          <w:p w14:paraId="09C18695" w14:textId="77777777" w:rsidR="00897CCC" w:rsidRDefault="00897CCC" w:rsidP="00CC732D">
            <w:pPr>
              <w:spacing w:line="240" w:lineRule="auto"/>
              <w:contextualSpacing/>
            </w:pPr>
          </w:p>
        </w:tc>
        <w:tc>
          <w:tcPr>
            <w:tcW w:w="0" w:type="auto"/>
          </w:tcPr>
          <w:p w14:paraId="6054B6D7" w14:textId="77777777" w:rsidR="00897CCC" w:rsidRDefault="00897CCC" w:rsidP="00CC732D">
            <w:pPr>
              <w:spacing w:line="240" w:lineRule="auto"/>
              <w:contextualSpacing/>
            </w:pPr>
          </w:p>
        </w:tc>
      </w:tr>
      <w:tr w:rsidR="00897CCC" w14:paraId="77BD618E" w14:textId="77777777" w:rsidTr="00CC732D">
        <w:trPr>
          <w:tblHeader/>
        </w:trPr>
        <w:tc>
          <w:tcPr>
            <w:tcW w:w="0" w:type="auto"/>
          </w:tcPr>
          <w:p w14:paraId="239965CF" w14:textId="77777777" w:rsidR="00897CCC" w:rsidRDefault="00897CCC" w:rsidP="00CC732D">
            <w:pPr>
              <w:spacing w:line="240" w:lineRule="auto"/>
              <w:contextualSpacing/>
            </w:pPr>
            <w:r>
              <w:t>Baseline</w:t>
            </w:r>
          </w:p>
        </w:tc>
        <w:tc>
          <w:tcPr>
            <w:tcW w:w="0" w:type="auto"/>
          </w:tcPr>
          <w:p w14:paraId="4EE37AE8" w14:textId="77777777" w:rsidR="00897CCC" w:rsidRDefault="00897CCC" w:rsidP="00CC732D">
            <w:pPr>
              <w:spacing w:line="240" w:lineRule="auto"/>
              <w:contextualSpacing/>
            </w:pPr>
            <w:r>
              <w:t>63.8 (38.21)</w:t>
            </w:r>
          </w:p>
        </w:tc>
        <w:tc>
          <w:tcPr>
            <w:tcW w:w="0" w:type="auto"/>
          </w:tcPr>
          <w:p w14:paraId="07EF05C7" w14:textId="77777777" w:rsidR="00897CCC" w:rsidRDefault="00897CCC" w:rsidP="00CC732D">
            <w:pPr>
              <w:spacing w:line="240" w:lineRule="auto"/>
              <w:contextualSpacing/>
            </w:pPr>
            <w:r>
              <w:t>60.5 (37.14)</w:t>
            </w:r>
          </w:p>
        </w:tc>
      </w:tr>
      <w:tr w:rsidR="00897CCC" w14:paraId="59F76172" w14:textId="77777777" w:rsidTr="00CC732D">
        <w:trPr>
          <w:tblHeader/>
        </w:trPr>
        <w:tc>
          <w:tcPr>
            <w:tcW w:w="0" w:type="auto"/>
          </w:tcPr>
          <w:p w14:paraId="3754829E" w14:textId="77777777" w:rsidR="00897CCC" w:rsidRDefault="00897CCC" w:rsidP="00CC732D">
            <w:pPr>
              <w:spacing w:line="240" w:lineRule="auto"/>
              <w:contextualSpacing/>
            </w:pPr>
            <w:r>
              <w:t>New or enlarging T2 lesion count, mean (SD)</w:t>
            </w:r>
          </w:p>
        </w:tc>
        <w:tc>
          <w:tcPr>
            <w:tcW w:w="0" w:type="auto"/>
          </w:tcPr>
          <w:p w14:paraId="4023AEF5" w14:textId="77777777" w:rsidR="00897CCC" w:rsidRDefault="00897CCC" w:rsidP="00CC732D">
            <w:pPr>
              <w:spacing w:line="240" w:lineRule="auto"/>
              <w:contextualSpacing/>
            </w:pPr>
          </w:p>
        </w:tc>
        <w:tc>
          <w:tcPr>
            <w:tcW w:w="0" w:type="auto"/>
          </w:tcPr>
          <w:p w14:paraId="33FBB263" w14:textId="77777777" w:rsidR="00897CCC" w:rsidRDefault="00897CCC" w:rsidP="00CC732D">
            <w:pPr>
              <w:spacing w:line="240" w:lineRule="auto"/>
              <w:contextualSpacing/>
            </w:pPr>
          </w:p>
        </w:tc>
      </w:tr>
      <w:tr w:rsidR="00897CCC" w14:paraId="2D3C6883" w14:textId="77777777" w:rsidTr="00CC732D">
        <w:trPr>
          <w:tblHeader/>
        </w:trPr>
        <w:tc>
          <w:tcPr>
            <w:tcW w:w="0" w:type="auto"/>
          </w:tcPr>
          <w:p w14:paraId="02623852" w14:textId="77777777" w:rsidR="00897CCC" w:rsidRDefault="00897CCC" w:rsidP="00CC732D">
            <w:pPr>
              <w:spacing w:line="240" w:lineRule="auto"/>
              <w:contextualSpacing/>
            </w:pPr>
            <w:r>
              <w:t>Week 24</w:t>
            </w:r>
          </w:p>
        </w:tc>
        <w:tc>
          <w:tcPr>
            <w:tcW w:w="0" w:type="auto"/>
          </w:tcPr>
          <w:p w14:paraId="0D175678" w14:textId="77777777" w:rsidR="00897CCC" w:rsidRDefault="00897CCC" w:rsidP="00CC732D">
            <w:pPr>
              <w:spacing w:line="240" w:lineRule="auto"/>
              <w:contextualSpacing/>
            </w:pPr>
            <w:r>
              <w:t>1.0 (2.14)</w:t>
            </w:r>
          </w:p>
        </w:tc>
        <w:tc>
          <w:tcPr>
            <w:tcW w:w="0" w:type="auto"/>
          </w:tcPr>
          <w:p w14:paraId="535CE14F" w14:textId="77777777" w:rsidR="00897CCC" w:rsidRDefault="00897CCC" w:rsidP="00CC732D">
            <w:pPr>
              <w:spacing w:line="240" w:lineRule="auto"/>
              <w:contextualSpacing/>
            </w:pPr>
            <w:r>
              <w:t>4.4 (10.00)</w:t>
            </w:r>
          </w:p>
        </w:tc>
      </w:tr>
      <w:tr w:rsidR="00897CCC" w14:paraId="36D33742" w14:textId="77777777" w:rsidTr="00CC732D">
        <w:trPr>
          <w:tblHeader/>
        </w:trPr>
        <w:tc>
          <w:tcPr>
            <w:tcW w:w="0" w:type="auto"/>
          </w:tcPr>
          <w:p w14:paraId="01822576" w14:textId="77777777" w:rsidR="00897CCC" w:rsidRDefault="00897CCC" w:rsidP="00CC732D">
            <w:pPr>
              <w:spacing w:line="240" w:lineRule="auto"/>
              <w:contextualSpacing/>
            </w:pPr>
            <w:r>
              <w:t>Week 48</w:t>
            </w:r>
          </w:p>
        </w:tc>
        <w:tc>
          <w:tcPr>
            <w:tcW w:w="0" w:type="auto"/>
          </w:tcPr>
          <w:p w14:paraId="78E3D85C" w14:textId="77777777" w:rsidR="00897CCC" w:rsidRDefault="00897CCC" w:rsidP="00CC732D">
            <w:pPr>
              <w:spacing w:line="240" w:lineRule="auto"/>
              <w:contextualSpacing/>
            </w:pPr>
            <w:r>
              <w:t>0.0 (0.23)</w:t>
            </w:r>
          </w:p>
        </w:tc>
        <w:tc>
          <w:tcPr>
            <w:tcW w:w="0" w:type="auto"/>
          </w:tcPr>
          <w:p w14:paraId="57F03FFA" w14:textId="77777777" w:rsidR="00897CCC" w:rsidRDefault="00897CCC" w:rsidP="00CC732D">
            <w:pPr>
              <w:spacing w:line="240" w:lineRule="auto"/>
              <w:contextualSpacing/>
            </w:pPr>
            <w:r>
              <w:t>3.5 (7.68)</w:t>
            </w:r>
          </w:p>
        </w:tc>
      </w:tr>
      <w:tr w:rsidR="00897CCC" w14:paraId="3C52DC62" w14:textId="77777777" w:rsidTr="00CC732D">
        <w:trPr>
          <w:tblHeader/>
        </w:trPr>
        <w:tc>
          <w:tcPr>
            <w:tcW w:w="0" w:type="auto"/>
          </w:tcPr>
          <w:p w14:paraId="5FFBA5DB" w14:textId="77777777" w:rsidR="00897CCC" w:rsidRDefault="00897CCC" w:rsidP="00CC732D">
            <w:pPr>
              <w:spacing w:line="240" w:lineRule="auto"/>
              <w:contextualSpacing/>
            </w:pPr>
            <w:r>
              <w:t>Week 96</w:t>
            </w:r>
          </w:p>
        </w:tc>
        <w:tc>
          <w:tcPr>
            <w:tcW w:w="0" w:type="auto"/>
          </w:tcPr>
          <w:p w14:paraId="5416BC51" w14:textId="77777777" w:rsidR="00897CCC" w:rsidRDefault="00897CCC" w:rsidP="00CC732D">
            <w:pPr>
              <w:spacing w:line="240" w:lineRule="auto"/>
              <w:contextualSpacing/>
            </w:pPr>
            <w:r>
              <w:t>0.0 (0.13)</w:t>
            </w:r>
          </w:p>
        </w:tc>
        <w:tc>
          <w:tcPr>
            <w:tcW w:w="0" w:type="auto"/>
          </w:tcPr>
          <w:p w14:paraId="07434FA3" w14:textId="77777777" w:rsidR="00897CCC" w:rsidRDefault="00897CCC" w:rsidP="00CC732D">
            <w:pPr>
              <w:spacing w:line="240" w:lineRule="auto"/>
              <w:contextualSpacing/>
            </w:pPr>
            <w:r>
              <w:t>4.6 (8.59)</w:t>
            </w:r>
          </w:p>
        </w:tc>
      </w:tr>
      <w:tr w:rsidR="00897CCC" w14:paraId="1AA0F002" w14:textId="77777777" w:rsidTr="00CC732D">
        <w:trPr>
          <w:tblHeader/>
        </w:trPr>
        <w:tc>
          <w:tcPr>
            <w:tcW w:w="0" w:type="auto"/>
          </w:tcPr>
          <w:p w14:paraId="51DD6FF8" w14:textId="77777777" w:rsidR="00897CCC" w:rsidRDefault="00897CCC" w:rsidP="00CC732D">
            <w:pPr>
              <w:spacing w:line="240" w:lineRule="auto"/>
              <w:contextualSpacing/>
            </w:pPr>
            <w:r>
              <w:t>Total number of new and enlarging T2 hyperintense lesions per MRI scan per subject</w:t>
            </w:r>
          </w:p>
        </w:tc>
        <w:tc>
          <w:tcPr>
            <w:tcW w:w="0" w:type="auto"/>
          </w:tcPr>
          <w:p w14:paraId="371D6B2A" w14:textId="77777777" w:rsidR="00897CCC" w:rsidRDefault="00897CCC" w:rsidP="00CC732D">
            <w:pPr>
              <w:spacing w:line="240" w:lineRule="auto"/>
              <w:contextualSpacing/>
            </w:pPr>
          </w:p>
        </w:tc>
        <w:tc>
          <w:tcPr>
            <w:tcW w:w="0" w:type="auto"/>
          </w:tcPr>
          <w:p w14:paraId="7EA4FD93" w14:textId="77777777" w:rsidR="00897CCC" w:rsidRDefault="00897CCC" w:rsidP="00CC732D">
            <w:pPr>
              <w:spacing w:line="240" w:lineRule="auto"/>
              <w:contextualSpacing/>
            </w:pPr>
          </w:p>
        </w:tc>
      </w:tr>
      <w:tr w:rsidR="00897CCC" w14:paraId="55ACAF7E" w14:textId="77777777" w:rsidTr="00CC732D">
        <w:trPr>
          <w:tblHeader/>
        </w:trPr>
        <w:tc>
          <w:tcPr>
            <w:tcW w:w="0" w:type="auto"/>
          </w:tcPr>
          <w:p w14:paraId="2B243D17" w14:textId="77777777" w:rsidR="00897CCC" w:rsidRDefault="00897CCC" w:rsidP="00CC732D">
            <w:pPr>
              <w:spacing w:line="240" w:lineRule="auto"/>
              <w:contextualSpacing/>
            </w:pPr>
            <w:r>
              <w:t>n</w:t>
            </w:r>
          </w:p>
        </w:tc>
        <w:tc>
          <w:tcPr>
            <w:tcW w:w="0" w:type="auto"/>
          </w:tcPr>
          <w:p w14:paraId="28487652" w14:textId="77777777" w:rsidR="00897CCC" w:rsidRDefault="00897CCC" w:rsidP="00CC732D">
            <w:pPr>
              <w:spacing w:line="240" w:lineRule="auto"/>
              <w:contextualSpacing/>
            </w:pPr>
            <w:r>
              <w:t>260</w:t>
            </w:r>
          </w:p>
        </w:tc>
        <w:tc>
          <w:tcPr>
            <w:tcW w:w="0" w:type="auto"/>
          </w:tcPr>
          <w:p w14:paraId="7EEFEEE4" w14:textId="77777777" w:rsidR="00897CCC" w:rsidRDefault="00897CCC" w:rsidP="00CC732D">
            <w:pPr>
              <w:spacing w:line="240" w:lineRule="auto"/>
              <w:contextualSpacing/>
            </w:pPr>
            <w:r>
              <w:t>267</w:t>
            </w:r>
          </w:p>
        </w:tc>
      </w:tr>
      <w:tr w:rsidR="00897CCC" w14:paraId="6B505C85" w14:textId="77777777" w:rsidTr="00CC732D">
        <w:trPr>
          <w:tblHeader/>
        </w:trPr>
        <w:tc>
          <w:tcPr>
            <w:tcW w:w="0" w:type="auto"/>
          </w:tcPr>
          <w:p w14:paraId="5CD5489E" w14:textId="77777777" w:rsidR="00897CCC" w:rsidRDefault="00897CCC" w:rsidP="00CC732D">
            <w:pPr>
              <w:spacing w:line="240" w:lineRule="auto"/>
              <w:contextualSpacing/>
            </w:pPr>
            <w:r>
              <w:t>Mean (SD)</w:t>
            </w:r>
          </w:p>
        </w:tc>
        <w:tc>
          <w:tcPr>
            <w:tcW w:w="0" w:type="auto"/>
          </w:tcPr>
          <w:p w14:paraId="7D4FB90D" w14:textId="77777777" w:rsidR="00897CCC" w:rsidRDefault="00897CCC" w:rsidP="00CC732D">
            <w:pPr>
              <w:spacing w:line="240" w:lineRule="auto"/>
              <w:contextualSpacing/>
            </w:pPr>
            <w:r>
              <w:t>0.351 (0.7256)</w:t>
            </w:r>
          </w:p>
        </w:tc>
        <w:tc>
          <w:tcPr>
            <w:tcW w:w="0" w:type="auto"/>
          </w:tcPr>
          <w:p w14:paraId="767B17E3" w14:textId="77777777" w:rsidR="00897CCC" w:rsidRDefault="00897CCC" w:rsidP="00CC732D">
            <w:pPr>
              <w:spacing w:line="240" w:lineRule="auto"/>
              <w:contextualSpacing/>
            </w:pPr>
            <w:r>
              <w:t>4.279 (7.6766)</w:t>
            </w:r>
          </w:p>
        </w:tc>
      </w:tr>
      <w:tr w:rsidR="00897CCC" w14:paraId="417F9AE6" w14:textId="77777777" w:rsidTr="00CC732D">
        <w:trPr>
          <w:tblHeader/>
        </w:trPr>
        <w:tc>
          <w:tcPr>
            <w:tcW w:w="0" w:type="auto"/>
          </w:tcPr>
          <w:p w14:paraId="04FA3A4E" w14:textId="77777777" w:rsidR="00897CCC" w:rsidRDefault="00897CCC" w:rsidP="00CC732D">
            <w:pPr>
              <w:spacing w:line="240" w:lineRule="auto"/>
              <w:contextualSpacing/>
            </w:pPr>
            <w:r>
              <w:t>Median (minimum, maximum)</w:t>
            </w:r>
          </w:p>
        </w:tc>
        <w:tc>
          <w:tcPr>
            <w:tcW w:w="0" w:type="auto"/>
          </w:tcPr>
          <w:p w14:paraId="0E9B69AD" w14:textId="77777777" w:rsidR="00897CCC" w:rsidRDefault="00897CCC" w:rsidP="00CC732D">
            <w:pPr>
              <w:spacing w:line="240" w:lineRule="auto"/>
              <w:contextualSpacing/>
            </w:pPr>
            <w:r>
              <w:t>0.00 (0.00, 7.00)</w:t>
            </w:r>
          </w:p>
        </w:tc>
        <w:tc>
          <w:tcPr>
            <w:tcW w:w="0" w:type="auto"/>
          </w:tcPr>
          <w:p w14:paraId="7B31D32F" w14:textId="77777777" w:rsidR="00897CCC" w:rsidRDefault="00897CCC" w:rsidP="00CC732D">
            <w:pPr>
              <w:spacing w:line="240" w:lineRule="auto"/>
              <w:contextualSpacing/>
            </w:pPr>
            <w:r>
              <w:t>1.33 (0.00, 58.33)</w:t>
            </w:r>
          </w:p>
        </w:tc>
      </w:tr>
      <w:tr w:rsidR="00897CCC" w14:paraId="7DF540BC" w14:textId="77777777" w:rsidTr="00CC732D">
        <w:trPr>
          <w:tblHeader/>
        </w:trPr>
        <w:tc>
          <w:tcPr>
            <w:tcW w:w="0" w:type="auto"/>
          </w:tcPr>
          <w:p w14:paraId="576647E3" w14:textId="77777777" w:rsidR="00897CCC" w:rsidRDefault="00897CCC" w:rsidP="00CC732D">
            <w:pPr>
              <w:spacing w:line="240" w:lineRule="auto"/>
              <w:contextualSpacing/>
            </w:pPr>
            <w:r>
              <w:t>Negative binomial model</w:t>
            </w:r>
          </w:p>
        </w:tc>
        <w:tc>
          <w:tcPr>
            <w:tcW w:w="0" w:type="auto"/>
          </w:tcPr>
          <w:p w14:paraId="09E0C39B" w14:textId="77777777" w:rsidR="00897CCC" w:rsidRDefault="00897CCC" w:rsidP="00CC732D">
            <w:pPr>
              <w:spacing w:line="240" w:lineRule="auto"/>
              <w:contextualSpacing/>
            </w:pPr>
          </w:p>
        </w:tc>
        <w:tc>
          <w:tcPr>
            <w:tcW w:w="0" w:type="auto"/>
          </w:tcPr>
          <w:p w14:paraId="0EBCD99E" w14:textId="77777777" w:rsidR="00897CCC" w:rsidRDefault="00897CCC" w:rsidP="00CC732D">
            <w:pPr>
              <w:spacing w:line="240" w:lineRule="auto"/>
              <w:contextualSpacing/>
            </w:pPr>
          </w:p>
        </w:tc>
      </w:tr>
      <w:tr w:rsidR="00897CCC" w14:paraId="7992D0F7" w14:textId="77777777" w:rsidTr="00CC732D">
        <w:trPr>
          <w:tblHeader/>
        </w:trPr>
        <w:tc>
          <w:tcPr>
            <w:tcW w:w="0" w:type="auto"/>
          </w:tcPr>
          <w:p w14:paraId="44C1714B" w14:textId="77777777" w:rsidR="00897CCC" w:rsidRDefault="00897CCC" w:rsidP="00CC732D">
            <w:pPr>
              <w:spacing w:line="240" w:lineRule="auto"/>
              <w:contextualSpacing/>
            </w:pPr>
            <w:r>
              <w:t xml:space="preserve">Least squares </w:t>
            </w:r>
            <w:proofErr w:type="gramStart"/>
            <w:r>
              <w:t>means</w:t>
            </w:r>
            <w:proofErr w:type="gramEnd"/>
            <w:r>
              <w:t xml:space="preserve"> (95% CI)</w:t>
            </w:r>
          </w:p>
        </w:tc>
        <w:tc>
          <w:tcPr>
            <w:tcW w:w="0" w:type="auto"/>
          </w:tcPr>
          <w:p w14:paraId="4C2433F8" w14:textId="77777777" w:rsidR="00897CCC" w:rsidRDefault="00897CCC" w:rsidP="00CC732D">
            <w:pPr>
              <w:spacing w:line="240" w:lineRule="auto"/>
              <w:contextualSpacing/>
            </w:pPr>
            <w:r>
              <w:t>0.213 (0.144, 0.316)</w:t>
            </w:r>
          </w:p>
        </w:tc>
        <w:tc>
          <w:tcPr>
            <w:tcW w:w="0" w:type="auto"/>
          </w:tcPr>
          <w:p w14:paraId="23EA9640" w14:textId="77777777" w:rsidR="00897CCC" w:rsidRDefault="00897CCC" w:rsidP="00CC732D">
            <w:pPr>
              <w:spacing w:line="240" w:lineRule="auto"/>
              <w:contextualSpacing/>
            </w:pPr>
            <w:r>
              <w:t>2.789 (2.136, 3.643)</w:t>
            </w:r>
          </w:p>
        </w:tc>
      </w:tr>
      <w:tr w:rsidR="00897CCC" w14:paraId="76F4ED89" w14:textId="77777777" w:rsidTr="00CC732D">
        <w:trPr>
          <w:tblHeader/>
        </w:trPr>
        <w:tc>
          <w:tcPr>
            <w:tcW w:w="0" w:type="auto"/>
          </w:tcPr>
          <w:p w14:paraId="10678B05" w14:textId="77777777" w:rsidR="00897CCC" w:rsidRDefault="00897CCC" w:rsidP="00CC732D">
            <w:pPr>
              <w:spacing w:line="240" w:lineRule="auto"/>
              <w:contextualSpacing/>
            </w:pPr>
            <w:r>
              <w:t>Ratio: ublituximab / teriflunomide</w:t>
            </w:r>
          </w:p>
        </w:tc>
        <w:tc>
          <w:tcPr>
            <w:tcW w:w="0" w:type="auto"/>
            <w:gridSpan w:val="2"/>
          </w:tcPr>
          <w:p w14:paraId="6F4CF8E2" w14:textId="77777777" w:rsidR="00897CCC" w:rsidRDefault="00897CCC" w:rsidP="00CC732D">
            <w:pPr>
              <w:spacing w:line="240" w:lineRule="auto"/>
              <w:contextualSpacing/>
            </w:pPr>
            <w:r>
              <w:t>0.076 (0.056, 0.104)</w:t>
            </w:r>
          </w:p>
        </w:tc>
      </w:tr>
      <w:tr w:rsidR="00897CCC" w14:paraId="0E5C070E" w14:textId="77777777" w:rsidTr="00CC732D">
        <w:trPr>
          <w:tblHeader/>
        </w:trPr>
        <w:tc>
          <w:tcPr>
            <w:tcW w:w="0" w:type="auto"/>
          </w:tcPr>
          <w:p w14:paraId="2D498F4A" w14:textId="77777777" w:rsidR="00897CCC" w:rsidRDefault="00897CCC" w:rsidP="00CC732D">
            <w:pPr>
              <w:spacing w:line="240" w:lineRule="auto"/>
              <w:contextualSpacing/>
            </w:pPr>
            <w:r>
              <w:t>Difference: ublituximab - teriflunomide</w:t>
            </w:r>
          </w:p>
        </w:tc>
        <w:tc>
          <w:tcPr>
            <w:tcW w:w="0" w:type="auto"/>
            <w:gridSpan w:val="2"/>
          </w:tcPr>
          <w:p w14:paraId="7A0AE0B9" w14:textId="77777777" w:rsidR="00897CCC" w:rsidRDefault="00897CCC" w:rsidP="00CC732D">
            <w:pPr>
              <w:spacing w:line="240" w:lineRule="auto"/>
              <w:contextualSpacing/>
            </w:pPr>
            <w:r>
              <w:t>-2.576 (-3.272, -1.881)</w:t>
            </w:r>
          </w:p>
        </w:tc>
      </w:tr>
      <w:tr w:rsidR="00B95EBC" w14:paraId="500E8F2A" w14:textId="77777777" w:rsidTr="00624222">
        <w:trPr>
          <w:tblHeader/>
        </w:trPr>
        <w:tc>
          <w:tcPr>
            <w:tcW w:w="0" w:type="auto"/>
          </w:tcPr>
          <w:p w14:paraId="7B8762A6" w14:textId="77777777" w:rsidR="00B95EBC" w:rsidRDefault="00B95EBC" w:rsidP="00CC732D">
            <w:pPr>
              <w:spacing w:line="240" w:lineRule="auto"/>
              <w:contextualSpacing/>
            </w:pPr>
            <w:r>
              <w:t>p value</w:t>
            </w:r>
          </w:p>
        </w:tc>
        <w:tc>
          <w:tcPr>
            <w:tcW w:w="0" w:type="auto"/>
            <w:gridSpan w:val="2"/>
          </w:tcPr>
          <w:p w14:paraId="23E2D4E8" w14:textId="76BEF6A2" w:rsidR="00B95EBC" w:rsidRDefault="00B95EBC" w:rsidP="00CC732D">
            <w:pPr>
              <w:spacing w:line="240" w:lineRule="auto"/>
              <w:contextualSpacing/>
            </w:pPr>
            <w:r>
              <w:t>&lt;0.0001</w:t>
            </w:r>
          </w:p>
        </w:tc>
      </w:tr>
    </w:tbl>
    <w:p w14:paraId="47CD2CEF" w14:textId="77777777" w:rsidR="003048AF" w:rsidRDefault="003048AF" w:rsidP="003048AF">
      <w:pPr>
        <w:pStyle w:val="TableDescription"/>
        <w:rPr>
          <w:lang w:eastAsia="en-AU"/>
        </w:rPr>
      </w:pPr>
      <w:r>
        <w:rPr>
          <w:lang w:eastAsia="en-AU"/>
        </w:rPr>
        <w:t>CI, confidence interval; modified intent-to-treat; MRI: magnetic resonance imaging; SD, standard deviation</w:t>
      </w:r>
    </w:p>
    <w:p w14:paraId="1680A1B3" w14:textId="6F718869" w:rsidR="003048AF" w:rsidRDefault="00B95EBC" w:rsidP="003048AF">
      <w:pPr>
        <w:pStyle w:val="TableDescription"/>
        <w:rPr>
          <w:lang w:eastAsia="en-AU"/>
        </w:rPr>
      </w:pPr>
      <w:r>
        <w:rPr>
          <w:lang w:eastAsia="en-AU"/>
        </w:rPr>
        <w:t>a</w:t>
      </w:r>
      <w:r w:rsidR="003048AF">
        <w:rPr>
          <w:lang w:eastAsia="en-AU"/>
        </w:rPr>
        <w:t>. GEE (Generalized Estimating Equation) model with logarithmic link function, covariates treatment, region, baseline EDSS</w:t>
      </w:r>
      <w:r w:rsidR="004B526D">
        <w:rPr>
          <w:lang w:eastAsia="en-AU"/>
        </w:rPr>
        <w:t xml:space="preserve"> </w:t>
      </w:r>
      <w:r w:rsidR="003048AF">
        <w:rPr>
          <w:lang w:eastAsia="en-AU"/>
        </w:rPr>
        <w:t>Strata, baseline number of lesions (0</w:t>
      </w:r>
      <w:r w:rsidR="004B526D">
        <w:rPr>
          <w:lang w:eastAsia="en-AU"/>
        </w:rPr>
        <w:t>≥</w:t>
      </w:r>
      <w:r w:rsidR="003048AF">
        <w:rPr>
          <w:lang w:eastAsia="en-AU"/>
        </w:rPr>
        <w:t>1) and an offset based on the log-transformed number of post-baseline MRI scans)</w:t>
      </w:r>
    </w:p>
    <w:p w14:paraId="5C8C0335" w14:textId="17688CAF" w:rsidR="00BC4CB4" w:rsidRPr="006D60CF" w:rsidRDefault="00BC4CB4" w:rsidP="00D83D85">
      <w:pPr>
        <w:pStyle w:val="Heading7"/>
        <w:rPr>
          <w:lang w:eastAsia="en-AU"/>
        </w:rPr>
      </w:pPr>
      <w:r w:rsidRPr="006D60CF">
        <w:rPr>
          <w:lang w:eastAsia="en-AU"/>
        </w:rPr>
        <w:t xml:space="preserve">Proportion of </w:t>
      </w:r>
      <w:r w:rsidR="00D83D85" w:rsidRPr="006D60CF">
        <w:rPr>
          <w:lang w:eastAsia="en-AU"/>
        </w:rPr>
        <w:t xml:space="preserve">subjects with </w:t>
      </w:r>
      <w:r w:rsidRPr="006D60CF">
        <w:rPr>
          <w:lang w:eastAsia="en-AU"/>
        </w:rPr>
        <w:t xml:space="preserve">NEDA </w:t>
      </w:r>
      <w:r w:rsidR="00D83D85" w:rsidRPr="006D60CF">
        <w:rPr>
          <w:lang w:eastAsia="en-AU"/>
        </w:rPr>
        <w:t>from week 24 to week 96</w:t>
      </w:r>
    </w:p>
    <w:p w14:paraId="44C02DB4" w14:textId="456808C3" w:rsidR="00BC4CB4" w:rsidRDefault="00BC4CB4" w:rsidP="00BC4CB4">
      <w:pPr>
        <w:rPr>
          <w:lang w:eastAsia="en-AU"/>
        </w:rPr>
      </w:pPr>
      <w:r>
        <w:rPr>
          <w:lang w:eastAsia="en-AU"/>
        </w:rPr>
        <w:t xml:space="preserve">The treatment effect was numerically in </w:t>
      </w:r>
      <w:r w:rsidR="00F4017C">
        <w:rPr>
          <w:lang w:eastAsia="en-AU"/>
        </w:rPr>
        <w:t>favour</w:t>
      </w:r>
      <w:r>
        <w:rPr>
          <w:lang w:eastAsia="en-AU"/>
        </w:rPr>
        <w:t xml:space="preserve"> of ublituximab (Table </w:t>
      </w:r>
      <w:r w:rsidR="0022378A">
        <w:rPr>
          <w:lang w:eastAsia="en-AU"/>
        </w:rPr>
        <w:t>9</w:t>
      </w:r>
      <w:r>
        <w:rPr>
          <w:lang w:eastAsia="en-AU"/>
        </w:rPr>
        <w:t xml:space="preserve">). Similar </w:t>
      </w:r>
      <w:r w:rsidR="00F4017C">
        <w:rPr>
          <w:lang w:eastAsia="en-AU"/>
        </w:rPr>
        <w:t>findings</w:t>
      </w:r>
      <w:r>
        <w:rPr>
          <w:lang w:eastAsia="en-AU"/>
        </w:rPr>
        <w:t xml:space="preserve"> were reported for the ITT population and for the PP population.</w:t>
      </w:r>
    </w:p>
    <w:p w14:paraId="3EC3F2C8" w14:textId="285FBF4A" w:rsidR="00BC4CB4" w:rsidRDefault="00BC4CB4" w:rsidP="00BC4CB4">
      <w:pPr>
        <w:pStyle w:val="TableTitle"/>
        <w:rPr>
          <w:lang w:eastAsia="en-AU"/>
        </w:rPr>
      </w:pPr>
      <w:r>
        <w:rPr>
          <w:lang w:eastAsia="en-AU"/>
        </w:rPr>
        <w:t xml:space="preserve">Table </w:t>
      </w:r>
      <w:r w:rsidR="0022378A">
        <w:rPr>
          <w:lang w:eastAsia="en-AU"/>
        </w:rPr>
        <w:t>9.</w:t>
      </w:r>
      <w:r>
        <w:rPr>
          <w:lang w:eastAsia="en-AU"/>
        </w:rPr>
        <w:t xml:space="preserve"> Proportion of Subjects </w:t>
      </w:r>
      <w:proofErr w:type="gramStart"/>
      <w:r>
        <w:rPr>
          <w:lang w:eastAsia="en-AU"/>
        </w:rPr>
        <w:t>With</w:t>
      </w:r>
      <w:proofErr w:type="gramEnd"/>
      <w:r>
        <w:rPr>
          <w:lang w:eastAsia="en-AU"/>
        </w:rPr>
        <w:t xml:space="preserve"> NEDA From Week 24 to Week 96 for Study TG1101-RMS301 (mITT Population)</w:t>
      </w:r>
    </w:p>
    <w:tbl>
      <w:tblPr>
        <w:tblW w:w="0" w:type="auto"/>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CellMar>
          <w:top w:w="15" w:type="dxa"/>
          <w:left w:w="15" w:type="dxa"/>
          <w:bottom w:w="15" w:type="dxa"/>
          <w:right w:w="15" w:type="dxa"/>
        </w:tblCellMar>
        <w:tblLook w:val="04A0" w:firstRow="1" w:lastRow="0" w:firstColumn="1" w:lastColumn="0" w:noHBand="0" w:noVBand="1"/>
        <w:tblDescription w:val="Table 9. Proportion of Subjects With NEDA From Week 24 to Week 96 for Study TG1101-RMS301 (mITT Population)"/>
      </w:tblPr>
      <w:tblGrid>
        <w:gridCol w:w="5212"/>
        <w:gridCol w:w="1817"/>
        <w:gridCol w:w="2031"/>
      </w:tblGrid>
      <w:tr w:rsidR="006D60CF" w:rsidRPr="006D60CF" w14:paraId="7BECB4B9" w14:textId="77777777" w:rsidTr="006D60CF">
        <w:trPr>
          <w:tblHeader/>
        </w:trPr>
        <w:tc>
          <w:tcPr>
            <w:tcW w:w="0" w:type="auto"/>
            <w:shd w:val="clear" w:color="auto" w:fill="DEEAF6"/>
            <w:vAlign w:val="center"/>
            <w:hideMark/>
          </w:tcPr>
          <w:p w14:paraId="21B17CEE" w14:textId="77777777" w:rsidR="006D60CF" w:rsidRPr="006D60CF" w:rsidRDefault="006D60CF" w:rsidP="006D60CF">
            <w:pPr>
              <w:spacing w:after="0" w:line="240" w:lineRule="auto"/>
              <w:rPr>
                <w:rFonts w:eastAsia="Times New Roman" w:cs="Times New Roman"/>
                <w:color w:val="263287"/>
                <w:szCs w:val="22"/>
                <w:lang w:eastAsia="en-AU"/>
              </w:rPr>
            </w:pPr>
          </w:p>
        </w:tc>
        <w:tc>
          <w:tcPr>
            <w:tcW w:w="0" w:type="auto"/>
            <w:shd w:val="clear" w:color="auto" w:fill="DEEAF6"/>
            <w:vAlign w:val="center"/>
            <w:hideMark/>
          </w:tcPr>
          <w:p w14:paraId="31127B79" w14:textId="77777777" w:rsidR="006D60CF" w:rsidRPr="006D60CF" w:rsidRDefault="006D60CF" w:rsidP="006D60CF">
            <w:pPr>
              <w:spacing w:after="0" w:line="240" w:lineRule="auto"/>
              <w:jc w:val="center"/>
              <w:rPr>
                <w:rFonts w:eastAsia="Times New Roman" w:cs="Times New Roman"/>
                <w:b/>
                <w:bCs/>
                <w:color w:val="263287"/>
                <w:szCs w:val="22"/>
                <w:lang w:eastAsia="en-AU"/>
              </w:rPr>
            </w:pPr>
            <w:r w:rsidRPr="006D60CF">
              <w:rPr>
                <w:rFonts w:eastAsia="Times New Roman" w:cs="Times New Roman"/>
                <w:b/>
                <w:bCs/>
                <w:color w:val="263287"/>
                <w:szCs w:val="22"/>
                <w:lang w:eastAsia="en-AU"/>
              </w:rPr>
              <w:t>Ublituximab (N=271)</w:t>
            </w:r>
          </w:p>
        </w:tc>
        <w:tc>
          <w:tcPr>
            <w:tcW w:w="0" w:type="auto"/>
            <w:shd w:val="clear" w:color="auto" w:fill="DEEAF6"/>
            <w:vAlign w:val="center"/>
            <w:hideMark/>
          </w:tcPr>
          <w:p w14:paraId="2D178F99" w14:textId="77777777" w:rsidR="006D60CF" w:rsidRPr="006D60CF" w:rsidRDefault="006D60CF" w:rsidP="006D60CF">
            <w:pPr>
              <w:spacing w:after="0" w:line="240" w:lineRule="auto"/>
              <w:jc w:val="center"/>
              <w:rPr>
                <w:rFonts w:eastAsia="Times New Roman" w:cs="Times New Roman"/>
                <w:b/>
                <w:bCs/>
                <w:color w:val="263287"/>
                <w:szCs w:val="22"/>
                <w:lang w:eastAsia="en-AU"/>
              </w:rPr>
            </w:pPr>
            <w:r w:rsidRPr="006D60CF">
              <w:rPr>
                <w:rFonts w:eastAsia="Times New Roman" w:cs="Times New Roman"/>
                <w:b/>
                <w:bCs/>
                <w:color w:val="263287"/>
                <w:szCs w:val="22"/>
                <w:lang w:eastAsia="en-AU"/>
              </w:rPr>
              <w:t>Teriflunomide (N=274)</w:t>
            </w:r>
          </w:p>
        </w:tc>
      </w:tr>
      <w:tr w:rsidR="006D60CF" w:rsidRPr="006D60CF" w14:paraId="13E6D89C" w14:textId="77777777" w:rsidTr="006D60CF">
        <w:tc>
          <w:tcPr>
            <w:tcW w:w="0" w:type="auto"/>
            <w:vAlign w:val="center"/>
            <w:hideMark/>
          </w:tcPr>
          <w:p w14:paraId="42DE1CBC" w14:textId="77777777" w:rsidR="006D60CF" w:rsidRPr="009C25AF" w:rsidRDefault="006D60CF" w:rsidP="006D60CF">
            <w:pPr>
              <w:spacing w:after="0" w:line="240" w:lineRule="auto"/>
              <w:rPr>
                <w:rFonts w:eastAsia="Times New Roman" w:cs="Times New Roman"/>
                <w:szCs w:val="22"/>
                <w:lang w:eastAsia="en-AU"/>
              </w:rPr>
            </w:pPr>
            <w:r w:rsidRPr="009C25AF">
              <w:rPr>
                <w:rFonts w:eastAsia="Times New Roman" w:cs="Times New Roman"/>
                <w:szCs w:val="22"/>
                <w:lang w:eastAsia="en-AU"/>
              </w:rPr>
              <w:t>Number of subjects with NEDAᵃ, n (%)</w:t>
            </w:r>
          </w:p>
        </w:tc>
        <w:tc>
          <w:tcPr>
            <w:tcW w:w="0" w:type="auto"/>
            <w:vAlign w:val="center"/>
            <w:hideMark/>
          </w:tcPr>
          <w:p w14:paraId="5E013821"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121 (44.6)</w:t>
            </w:r>
          </w:p>
        </w:tc>
        <w:tc>
          <w:tcPr>
            <w:tcW w:w="0" w:type="auto"/>
            <w:vAlign w:val="center"/>
            <w:hideMark/>
          </w:tcPr>
          <w:p w14:paraId="6FD3300A"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41 (15.0)</w:t>
            </w:r>
          </w:p>
        </w:tc>
      </w:tr>
      <w:tr w:rsidR="006D60CF" w:rsidRPr="006D60CF" w14:paraId="3CA4BA39" w14:textId="77777777" w:rsidTr="006D60CF">
        <w:tc>
          <w:tcPr>
            <w:tcW w:w="0" w:type="auto"/>
            <w:vAlign w:val="center"/>
            <w:hideMark/>
          </w:tcPr>
          <w:p w14:paraId="1A109E95" w14:textId="77777777" w:rsidR="006D60CF" w:rsidRPr="009C25AF" w:rsidRDefault="006D60CF" w:rsidP="006D60CF">
            <w:pPr>
              <w:spacing w:after="0" w:line="240" w:lineRule="auto"/>
              <w:rPr>
                <w:rFonts w:eastAsia="Times New Roman" w:cs="Times New Roman"/>
                <w:szCs w:val="22"/>
                <w:lang w:eastAsia="en-AU"/>
              </w:rPr>
            </w:pPr>
            <w:r w:rsidRPr="009C25AF">
              <w:rPr>
                <w:rFonts w:eastAsia="Times New Roman" w:cs="Times New Roman"/>
                <w:szCs w:val="22"/>
                <w:lang w:eastAsia="en-AU"/>
              </w:rPr>
              <w:t>Difference (%) ublituximab – teriflunomide (95% CI)</w:t>
            </w:r>
          </w:p>
        </w:tc>
        <w:tc>
          <w:tcPr>
            <w:tcW w:w="0" w:type="auto"/>
            <w:gridSpan w:val="2"/>
            <w:vAlign w:val="center"/>
            <w:hideMark/>
          </w:tcPr>
          <w:p w14:paraId="4A4E65D0" w14:textId="35E5B7C3"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29.7 (22.4, 37.0)</w:t>
            </w:r>
          </w:p>
        </w:tc>
      </w:tr>
      <w:tr w:rsidR="006D60CF" w:rsidRPr="006D60CF" w14:paraId="629B919B" w14:textId="77777777" w:rsidTr="006D60CF">
        <w:tc>
          <w:tcPr>
            <w:tcW w:w="0" w:type="auto"/>
            <w:vAlign w:val="center"/>
            <w:hideMark/>
          </w:tcPr>
          <w:p w14:paraId="1688F87F" w14:textId="77777777" w:rsidR="006D60CF" w:rsidRPr="009C25AF" w:rsidRDefault="006D60CF" w:rsidP="006D60CF">
            <w:pPr>
              <w:spacing w:after="0" w:line="240" w:lineRule="auto"/>
              <w:rPr>
                <w:rFonts w:eastAsia="Times New Roman" w:cs="Times New Roman"/>
                <w:szCs w:val="22"/>
                <w:lang w:eastAsia="en-AU"/>
              </w:rPr>
            </w:pPr>
            <w:r w:rsidRPr="009C25AF">
              <w:rPr>
                <w:rFonts w:eastAsia="Times New Roman" w:cs="Times New Roman"/>
                <w:szCs w:val="22"/>
                <w:lang w:eastAsia="en-AU"/>
              </w:rPr>
              <w:t>Number of subjects with any evidence of disease activity or terminated earlyᵃ, n (%)</w:t>
            </w:r>
          </w:p>
        </w:tc>
        <w:tc>
          <w:tcPr>
            <w:tcW w:w="0" w:type="auto"/>
            <w:vAlign w:val="center"/>
            <w:hideMark/>
          </w:tcPr>
          <w:p w14:paraId="1FB1E72C"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150 (55.4)</w:t>
            </w:r>
          </w:p>
        </w:tc>
        <w:tc>
          <w:tcPr>
            <w:tcW w:w="0" w:type="auto"/>
            <w:vAlign w:val="center"/>
            <w:hideMark/>
          </w:tcPr>
          <w:p w14:paraId="06FE3DF5"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233 (85.0)</w:t>
            </w:r>
          </w:p>
        </w:tc>
      </w:tr>
      <w:tr w:rsidR="006D60CF" w:rsidRPr="006D60CF" w14:paraId="48D92AE4" w14:textId="77777777" w:rsidTr="006D60CF">
        <w:tc>
          <w:tcPr>
            <w:tcW w:w="0" w:type="auto"/>
            <w:vAlign w:val="center"/>
            <w:hideMark/>
          </w:tcPr>
          <w:p w14:paraId="052DCA98" w14:textId="77777777" w:rsidR="006D60CF" w:rsidRPr="009C25AF" w:rsidRDefault="006D60CF" w:rsidP="006D60CF">
            <w:pPr>
              <w:spacing w:after="0" w:line="240" w:lineRule="auto"/>
              <w:rPr>
                <w:rFonts w:eastAsia="Times New Roman" w:cs="Times New Roman"/>
                <w:szCs w:val="22"/>
                <w:lang w:eastAsia="en-AU"/>
              </w:rPr>
            </w:pPr>
            <w:r w:rsidRPr="009C25AF">
              <w:rPr>
                <w:rFonts w:eastAsia="Times New Roman" w:cs="Times New Roman"/>
                <w:szCs w:val="22"/>
                <w:lang w:eastAsia="en-AU"/>
              </w:rPr>
              <w:t>Logistic regressionᵇ</w:t>
            </w:r>
          </w:p>
        </w:tc>
        <w:tc>
          <w:tcPr>
            <w:tcW w:w="0" w:type="auto"/>
            <w:vAlign w:val="center"/>
            <w:hideMark/>
          </w:tcPr>
          <w:p w14:paraId="48C1D02E" w14:textId="77777777" w:rsidR="006D60CF" w:rsidRPr="006D60CF" w:rsidRDefault="006D60CF" w:rsidP="006D60CF">
            <w:pPr>
              <w:spacing w:after="0" w:line="240" w:lineRule="auto"/>
              <w:rPr>
                <w:rFonts w:eastAsia="Times New Roman" w:cs="Times New Roman"/>
                <w:szCs w:val="22"/>
                <w:lang w:eastAsia="en-AU"/>
              </w:rPr>
            </w:pPr>
          </w:p>
        </w:tc>
        <w:tc>
          <w:tcPr>
            <w:tcW w:w="0" w:type="auto"/>
            <w:vAlign w:val="center"/>
            <w:hideMark/>
          </w:tcPr>
          <w:p w14:paraId="4E5C5FEF" w14:textId="77777777" w:rsidR="006D60CF" w:rsidRPr="006D60CF" w:rsidRDefault="006D60CF" w:rsidP="006D60CF">
            <w:pPr>
              <w:spacing w:after="0" w:line="240" w:lineRule="auto"/>
              <w:rPr>
                <w:rFonts w:eastAsia="Times New Roman" w:cs="Times New Roman"/>
                <w:szCs w:val="22"/>
                <w:lang w:eastAsia="en-AU"/>
              </w:rPr>
            </w:pPr>
          </w:p>
        </w:tc>
      </w:tr>
      <w:tr w:rsidR="006D60CF" w:rsidRPr="006D60CF" w14:paraId="0002DBD7" w14:textId="77777777" w:rsidTr="006D60CF">
        <w:tc>
          <w:tcPr>
            <w:tcW w:w="0" w:type="auto"/>
            <w:vAlign w:val="center"/>
            <w:hideMark/>
          </w:tcPr>
          <w:p w14:paraId="4E4F4937" w14:textId="77777777" w:rsidR="006D60CF" w:rsidRPr="009C25AF" w:rsidRDefault="006D60CF" w:rsidP="006D60CF">
            <w:pPr>
              <w:spacing w:after="0" w:line="240" w:lineRule="auto"/>
              <w:rPr>
                <w:rFonts w:eastAsia="Times New Roman" w:cs="Times New Roman"/>
                <w:szCs w:val="22"/>
                <w:lang w:eastAsia="en-AU"/>
              </w:rPr>
            </w:pPr>
            <w:r w:rsidRPr="009C25AF">
              <w:rPr>
                <w:rFonts w:eastAsia="Times New Roman" w:cs="Times New Roman"/>
                <w:szCs w:val="22"/>
                <w:lang w:eastAsia="en-AU"/>
              </w:rPr>
              <w:t>Odds ratio: ublituximab / teriflunomide (95% CI)</w:t>
            </w:r>
          </w:p>
        </w:tc>
        <w:tc>
          <w:tcPr>
            <w:tcW w:w="0" w:type="auto"/>
            <w:gridSpan w:val="2"/>
            <w:vAlign w:val="center"/>
            <w:hideMark/>
          </w:tcPr>
          <w:p w14:paraId="0F2E586C" w14:textId="20D3B2AC"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5.442 (3.536, 8.375)</w:t>
            </w:r>
          </w:p>
        </w:tc>
      </w:tr>
      <w:tr w:rsidR="006D60CF" w:rsidRPr="006D60CF" w14:paraId="6FE769EE" w14:textId="77777777" w:rsidTr="006D60CF">
        <w:tc>
          <w:tcPr>
            <w:tcW w:w="0" w:type="auto"/>
            <w:vAlign w:val="center"/>
            <w:hideMark/>
          </w:tcPr>
          <w:p w14:paraId="08B867DA" w14:textId="77777777" w:rsidR="006D60CF" w:rsidRPr="009C25AF" w:rsidRDefault="006D60CF" w:rsidP="006D60CF">
            <w:pPr>
              <w:spacing w:after="0" w:line="240" w:lineRule="auto"/>
              <w:rPr>
                <w:rFonts w:eastAsia="Times New Roman" w:cs="Times New Roman"/>
                <w:szCs w:val="22"/>
                <w:lang w:eastAsia="en-AU"/>
              </w:rPr>
            </w:pPr>
            <w:r w:rsidRPr="009C25AF">
              <w:rPr>
                <w:rFonts w:eastAsia="Times New Roman" w:cs="Times New Roman"/>
                <w:szCs w:val="22"/>
                <w:lang w:eastAsia="en-AU"/>
              </w:rPr>
              <w:t>p value</w:t>
            </w:r>
          </w:p>
        </w:tc>
        <w:tc>
          <w:tcPr>
            <w:tcW w:w="0" w:type="auto"/>
            <w:gridSpan w:val="2"/>
            <w:vAlign w:val="center"/>
            <w:hideMark/>
          </w:tcPr>
          <w:p w14:paraId="0E947209" w14:textId="3AE5F388"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&lt;0.0001</w:t>
            </w:r>
          </w:p>
        </w:tc>
      </w:tr>
    </w:tbl>
    <w:p w14:paraId="122B4E46" w14:textId="7ADD6003" w:rsidR="008B64FA" w:rsidRDefault="008B64FA" w:rsidP="008B64FA">
      <w:pPr>
        <w:pStyle w:val="TableDescription"/>
        <w:contextualSpacing/>
        <w:rPr>
          <w:lang w:eastAsia="en-AU"/>
        </w:rPr>
      </w:pPr>
      <w:r>
        <w:rPr>
          <w:lang w:eastAsia="en-AU"/>
        </w:rPr>
        <w:t xml:space="preserve">CI, </w:t>
      </w:r>
      <w:r w:rsidR="00F4017C">
        <w:rPr>
          <w:lang w:eastAsia="en-AU"/>
        </w:rPr>
        <w:t>con</w:t>
      </w:r>
      <w:r w:rsidR="00F4017C">
        <w:rPr>
          <w:rFonts w:cs="Cambria"/>
          <w:lang w:eastAsia="en-AU"/>
        </w:rPr>
        <w:t>f</w:t>
      </w:r>
      <w:r w:rsidR="00F4017C">
        <w:rPr>
          <w:lang w:eastAsia="en-AU"/>
        </w:rPr>
        <w:t>idence</w:t>
      </w:r>
      <w:r>
        <w:rPr>
          <w:lang w:eastAsia="en-AU"/>
        </w:rPr>
        <w:t xml:space="preserve"> interval; </w:t>
      </w:r>
      <w:r w:rsidR="00AE1EB5">
        <w:rPr>
          <w:lang w:eastAsia="en-AU"/>
        </w:rPr>
        <w:t>modi</w:t>
      </w:r>
      <w:r w:rsidR="00AE1EB5">
        <w:rPr>
          <w:rFonts w:cs="Cambria"/>
          <w:lang w:eastAsia="en-AU"/>
        </w:rPr>
        <w:t>f</w:t>
      </w:r>
      <w:r w:rsidR="00AE1EB5">
        <w:rPr>
          <w:lang w:eastAsia="en-AU"/>
        </w:rPr>
        <w:t>ied</w:t>
      </w:r>
      <w:r>
        <w:rPr>
          <w:lang w:eastAsia="en-AU"/>
        </w:rPr>
        <w:t xml:space="preserve"> intent-to-treat; NEDA, no evidence of disease activity.</w:t>
      </w:r>
    </w:p>
    <w:p w14:paraId="2266812D" w14:textId="39935000" w:rsidR="008B64FA" w:rsidRDefault="008B64FA" w:rsidP="008B64FA">
      <w:pPr>
        <w:pStyle w:val="TableDescription"/>
        <w:contextualSpacing/>
        <w:rPr>
          <w:lang w:eastAsia="en-AU"/>
        </w:rPr>
      </w:pPr>
      <w:r>
        <w:rPr>
          <w:lang w:eastAsia="en-AU"/>
        </w:rPr>
        <w:t>a</w:t>
      </w:r>
      <w:r w:rsidR="004B4F8A">
        <w:rPr>
          <w:lang w:eastAsia="en-AU"/>
        </w:rPr>
        <w:t>.</w:t>
      </w:r>
      <w:r>
        <w:rPr>
          <w:lang w:eastAsia="en-AU"/>
        </w:rPr>
        <w:t xml:space="preserve"> Denominator is the number of participants in the analysis population.</w:t>
      </w:r>
    </w:p>
    <w:p w14:paraId="73902895" w14:textId="6862B0C2" w:rsidR="00F04952" w:rsidRDefault="008B64FA" w:rsidP="008B64FA">
      <w:pPr>
        <w:pStyle w:val="TableDescription"/>
        <w:contextualSpacing/>
        <w:rPr>
          <w:lang w:eastAsia="en-AU"/>
        </w:rPr>
      </w:pPr>
      <w:r>
        <w:rPr>
          <w:lang w:eastAsia="en-AU"/>
        </w:rPr>
        <w:t>b</w:t>
      </w:r>
      <w:r w:rsidR="004B4F8A">
        <w:rPr>
          <w:lang w:eastAsia="en-AU"/>
        </w:rPr>
        <w:t>.</w:t>
      </w:r>
      <w:r>
        <w:rPr>
          <w:lang w:eastAsia="en-AU"/>
        </w:rPr>
        <w:t xml:space="preserve"> Logistic regression model with treatment, region, baseline EDSS strata, and log-transformed baseline MRI counts (T1 unenhancing, T2, Gad enhancing) as covariates p-value is nominal as the 12-week CDP was not statistically </w:t>
      </w:r>
      <w:r w:rsidR="00AE1EB5">
        <w:rPr>
          <w:lang w:eastAsia="en-AU"/>
        </w:rPr>
        <w:t>signi</w:t>
      </w:r>
      <w:r w:rsidR="00AE1EB5">
        <w:rPr>
          <w:rFonts w:cs="Cambria"/>
          <w:lang w:eastAsia="en-AU"/>
        </w:rPr>
        <w:t>f</w:t>
      </w:r>
      <w:r w:rsidR="00AE1EB5">
        <w:rPr>
          <w:lang w:eastAsia="en-AU"/>
        </w:rPr>
        <w:t>icant</w:t>
      </w:r>
      <w:r>
        <w:rPr>
          <w:lang w:eastAsia="en-AU"/>
        </w:rPr>
        <w:t>.</w:t>
      </w:r>
    </w:p>
    <w:p w14:paraId="447C1AF7" w14:textId="218BDE7D" w:rsidR="001E5BB1" w:rsidRPr="006D60CF" w:rsidRDefault="001E5BB1" w:rsidP="00D83D85">
      <w:pPr>
        <w:pStyle w:val="Heading7"/>
        <w:rPr>
          <w:lang w:eastAsia="en-AU"/>
        </w:rPr>
      </w:pPr>
      <w:r w:rsidRPr="006D60CF">
        <w:rPr>
          <w:lang w:eastAsia="en-AU"/>
        </w:rPr>
        <w:t xml:space="preserve">Proportion of </w:t>
      </w:r>
      <w:r w:rsidR="00D83D85" w:rsidRPr="006D60CF">
        <w:rPr>
          <w:lang w:eastAsia="en-AU"/>
        </w:rPr>
        <w:t xml:space="preserve">subjects reaching impaired </w:t>
      </w:r>
      <w:r w:rsidRPr="006D60CF">
        <w:rPr>
          <w:lang w:eastAsia="en-AU"/>
        </w:rPr>
        <w:t xml:space="preserve">SDMT From </w:t>
      </w:r>
      <w:r w:rsidR="00D83D85" w:rsidRPr="006D60CF">
        <w:rPr>
          <w:lang w:eastAsia="en-AU"/>
        </w:rPr>
        <w:t xml:space="preserve">baseline to week </w:t>
      </w:r>
      <w:r w:rsidRPr="006D60CF">
        <w:rPr>
          <w:lang w:eastAsia="en-AU"/>
        </w:rPr>
        <w:t>96</w:t>
      </w:r>
    </w:p>
    <w:p w14:paraId="68234B72" w14:textId="669229EC" w:rsidR="001E5BB1" w:rsidRDefault="001E5BB1" w:rsidP="001E5BB1">
      <w:pPr>
        <w:rPr>
          <w:lang w:eastAsia="en-AU"/>
        </w:rPr>
      </w:pPr>
      <w:r>
        <w:rPr>
          <w:lang w:eastAsia="en-AU"/>
        </w:rPr>
        <w:t xml:space="preserve">The treatment effect for the number of subjects with impaired SDMT is shown in Table </w:t>
      </w:r>
      <w:r w:rsidR="0022378A">
        <w:rPr>
          <w:lang w:eastAsia="en-AU"/>
        </w:rPr>
        <w:t>10</w:t>
      </w:r>
      <w:r>
        <w:rPr>
          <w:lang w:eastAsia="en-AU"/>
        </w:rPr>
        <w:t>.</w:t>
      </w:r>
    </w:p>
    <w:p w14:paraId="2EC64352" w14:textId="77777777" w:rsidR="0022378A" w:rsidRDefault="001E5BB1" w:rsidP="001E5BB1">
      <w:pPr>
        <w:rPr>
          <w:lang w:eastAsia="en-AU"/>
        </w:rPr>
      </w:pPr>
      <w:r>
        <w:rPr>
          <w:lang w:eastAsia="en-AU"/>
        </w:rPr>
        <w:t xml:space="preserve">Similar </w:t>
      </w:r>
      <w:r w:rsidR="00AE1EB5">
        <w:rPr>
          <w:lang w:eastAsia="en-AU"/>
        </w:rPr>
        <w:t>findings</w:t>
      </w:r>
      <w:r>
        <w:rPr>
          <w:lang w:eastAsia="en-AU"/>
        </w:rPr>
        <w:t xml:space="preserve"> were reported for the </w:t>
      </w:r>
      <w:r w:rsidR="004B2DB8">
        <w:rPr>
          <w:lang w:eastAsia="en-AU"/>
        </w:rPr>
        <w:t>intention to treat (</w:t>
      </w:r>
      <w:r>
        <w:rPr>
          <w:lang w:eastAsia="en-AU"/>
        </w:rPr>
        <w:t>ITT</w:t>
      </w:r>
      <w:r w:rsidR="004B2DB8">
        <w:rPr>
          <w:lang w:eastAsia="en-AU"/>
        </w:rPr>
        <w:t>)</w:t>
      </w:r>
      <w:r>
        <w:rPr>
          <w:lang w:eastAsia="en-AU"/>
        </w:rPr>
        <w:t xml:space="preserve"> population and for the PP population. </w:t>
      </w:r>
    </w:p>
    <w:p w14:paraId="1B52EE3F" w14:textId="04DB2AEB" w:rsidR="001E5BB1" w:rsidRDefault="001E5BB1" w:rsidP="0022378A">
      <w:pPr>
        <w:pStyle w:val="TableTitle"/>
        <w:rPr>
          <w:lang w:eastAsia="en-AU"/>
        </w:rPr>
      </w:pPr>
      <w:r>
        <w:rPr>
          <w:lang w:eastAsia="en-AU"/>
        </w:rPr>
        <w:lastRenderedPageBreak/>
        <w:t xml:space="preserve">Table </w:t>
      </w:r>
      <w:r w:rsidR="0022378A">
        <w:rPr>
          <w:lang w:eastAsia="en-AU"/>
        </w:rPr>
        <w:t>10.</w:t>
      </w:r>
      <w:r>
        <w:rPr>
          <w:lang w:eastAsia="en-AU"/>
        </w:rPr>
        <w:t xml:space="preserve"> Proportion of Subjects Reaching Impaired Symbol Digit Modalities Test </w:t>
      </w:r>
      <w:proofErr w:type="gramStart"/>
      <w:r>
        <w:rPr>
          <w:lang w:eastAsia="en-AU"/>
        </w:rPr>
        <w:t>From</w:t>
      </w:r>
      <w:proofErr w:type="gramEnd"/>
      <w:r>
        <w:rPr>
          <w:lang w:eastAsia="en-AU"/>
        </w:rPr>
        <w:t xml:space="preserve"> Baseline to Week 96 in Study TG1101-RMS301 (mITT Population)</w:t>
      </w:r>
    </w:p>
    <w:tbl>
      <w:tblPr>
        <w:tblW w:w="0" w:type="auto"/>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CellMar>
          <w:top w:w="15" w:type="dxa"/>
          <w:left w:w="15" w:type="dxa"/>
          <w:bottom w:w="15" w:type="dxa"/>
          <w:right w:w="15" w:type="dxa"/>
        </w:tblCellMar>
        <w:tblLook w:val="04A0" w:firstRow="1" w:lastRow="0" w:firstColumn="1" w:lastColumn="0" w:noHBand="0" w:noVBand="1"/>
        <w:tblDescription w:val="Table 10. Proportion of Subjects Reaching Impaired Symbol Digit Modalities Test From Baseline to Week 96 in Study TG1101-RMS301 (mITT Population)"/>
      </w:tblPr>
      <w:tblGrid>
        <w:gridCol w:w="4684"/>
        <w:gridCol w:w="2081"/>
        <w:gridCol w:w="2295"/>
      </w:tblGrid>
      <w:tr w:rsidR="006D60CF" w:rsidRPr="006D60CF" w14:paraId="5326E87F" w14:textId="77777777" w:rsidTr="006D60CF">
        <w:trPr>
          <w:tblHeader/>
        </w:trPr>
        <w:tc>
          <w:tcPr>
            <w:tcW w:w="0" w:type="auto"/>
            <w:shd w:val="clear" w:color="auto" w:fill="DEEAF6"/>
            <w:vAlign w:val="center"/>
            <w:hideMark/>
          </w:tcPr>
          <w:p w14:paraId="7ACF3FD3" w14:textId="77777777" w:rsidR="006D60CF" w:rsidRPr="006D60CF" w:rsidRDefault="006D60CF" w:rsidP="006D60CF">
            <w:pPr>
              <w:spacing w:after="0" w:line="240" w:lineRule="auto"/>
              <w:rPr>
                <w:rFonts w:eastAsia="Times New Roman" w:cs="Times New Roman"/>
                <w:color w:val="263287"/>
                <w:szCs w:val="22"/>
                <w:lang w:eastAsia="en-AU"/>
              </w:rPr>
            </w:pPr>
          </w:p>
        </w:tc>
        <w:tc>
          <w:tcPr>
            <w:tcW w:w="0" w:type="auto"/>
            <w:shd w:val="clear" w:color="auto" w:fill="DEEAF6"/>
            <w:vAlign w:val="center"/>
            <w:hideMark/>
          </w:tcPr>
          <w:p w14:paraId="7BD08094" w14:textId="77777777" w:rsidR="006D60CF" w:rsidRPr="006D60CF" w:rsidRDefault="006D60CF" w:rsidP="006D60CF">
            <w:pPr>
              <w:spacing w:after="0" w:line="240" w:lineRule="auto"/>
              <w:jc w:val="center"/>
              <w:rPr>
                <w:rFonts w:eastAsia="Times New Roman" w:cs="Times New Roman"/>
                <w:b/>
                <w:bCs/>
                <w:color w:val="263287"/>
                <w:szCs w:val="22"/>
                <w:lang w:eastAsia="en-AU"/>
              </w:rPr>
            </w:pPr>
            <w:r w:rsidRPr="006D60CF">
              <w:rPr>
                <w:rFonts w:eastAsia="Times New Roman" w:cs="Times New Roman"/>
                <w:b/>
                <w:bCs/>
                <w:color w:val="263287"/>
                <w:szCs w:val="22"/>
                <w:lang w:eastAsia="en-AU"/>
              </w:rPr>
              <w:t>Ublituximab (N=271)</w:t>
            </w:r>
          </w:p>
        </w:tc>
        <w:tc>
          <w:tcPr>
            <w:tcW w:w="0" w:type="auto"/>
            <w:shd w:val="clear" w:color="auto" w:fill="DEEAF6"/>
            <w:vAlign w:val="center"/>
            <w:hideMark/>
          </w:tcPr>
          <w:p w14:paraId="08E1A295" w14:textId="77777777" w:rsidR="006D60CF" w:rsidRPr="006D60CF" w:rsidRDefault="006D60CF" w:rsidP="006D60CF">
            <w:pPr>
              <w:spacing w:after="0" w:line="240" w:lineRule="auto"/>
              <w:jc w:val="center"/>
              <w:rPr>
                <w:rFonts w:eastAsia="Times New Roman" w:cs="Times New Roman"/>
                <w:b/>
                <w:bCs/>
                <w:color w:val="263287"/>
                <w:szCs w:val="22"/>
                <w:lang w:eastAsia="en-AU"/>
              </w:rPr>
            </w:pPr>
            <w:r w:rsidRPr="006D60CF">
              <w:rPr>
                <w:rFonts w:eastAsia="Times New Roman" w:cs="Times New Roman"/>
                <w:b/>
                <w:bCs/>
                <w:color w:val="263287"/>
                <w:szCs w:val="22"/>
                <w:lang w:eastAsia="en-AU"/>
              </w:rPr>
              <w:t>Teriflunomide (N=274)</w:t>
            </w:r>
          </w:p>
        </w:tc>
      </w:tr>
      <w:tr w:rsidR="006D60CF" w:rsidRPr="006D60CF" w14:paraId="12854131" w14:textId="77777777" w:rsidTr="006D60CF">
        <w:tc>
          <w:tcPr>
            <w:tcW w:w="0" w:type="auto"/>
            <w:vAlign w:val="center"/>
            <w:hideMark/>
          </w:tcPr>
          <w:p w14:paraId="16B23D16"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Number of subjects with SDMT impairmentᵃ, n (%)</w:t>
            </w:r>
          </w:p>
        </w:tc>
        <w:tc>
          <w:tcPr>
            <w:tcW w:w="0" w:type="auto"/>
            <w:vAlign w:val="center"/>
            <w:hideMark/>
          </w:tcPr>
          <w:p w14:paraId="4EDE2C83"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79 (29.2)</w:t>
            </w:r>
          </w:p>
        </w:tc>
        <w:tc>
          <w:tcPr>
            <w:tcW w:w="0" w:type="auto"/>
            <w:vAlign w:val="center"/>
            <w:hideMark/>
          </w:tcPr>
          <w:p w14:paraId="3C5E8E48"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87 (31.8)</w:t>
            </w:r>
          </w:p>
        </w:tc>
      </w:tr>
      <w:tr w:rsidR="006D60CF" w:rsidRPr="006D60CF" w14:paraId="7D1F044D" w14:textId="77777777" w:rsidTr="006D60CF">
        <w:tc>
          <w:tcPr>
            <w:tcW w:w="0" w:type="auto"/>
            <w:vAlign w:val="center"/>
            <w:hideMark/>
          </w:tcPr>
          <w:p w14:paraId="1D22B0E5"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Risk difference (%): ublituximab – teriflunomide</w:t>
            </w:r>
          </w:p>
        </w:tc>
        <w:tc>
          <w:tcPr>
            <w:tcW w:w="0" w:type="auto"/>
            <w:gridSpan w:val="2"/>
            <w:vAlign w:val="center"/>
            <w:hideMark/>
          </w:tcPr>
          <w:p w14:paraId="45E1A90C" w14:textId="5DFF48F8"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−2.6 (−10.3, 5.1)</w:t>
            </w:r>
          </w:p>
        </w:tc>
      </w:tr>
      <w:tr w:rsidR="006D60CF" w:rsidRPr="006D60CF" w14:paraId="06CD662C" w14:textId="77777777" w:rsidTr="006D60CF">
        <w:tc>
          <w:tcPr>
            <w:tcW w:w="0" w:type="auto"/>
            <w:vAlign w:val="center"/>
            <w:hideMark/>
          </w:tcPr>
          <w:p w14:paraId="29F50119"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Number of subjects without SDMT impairmentᵃ, n (%)</w:t>
            </w:r>
          </w:p>
        </w:tc>
        <w:tc>
          <w:tcPr>
            <w:tcW w:w="0" w:type="auto"/>
            <w:vAlign w:val="center"/>
            <w:hideMark/>
          </w:tcPr>
          <w:p w14:paraId="3737F120"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192 (70.8)</w:t>
            </w:r>
          </w:p>
        </w:tc>
        <w:tc>
          <w:tcPr>
            <w:tcW w:w="0" w:type="auto"/>
            <w:vAlign w:val="center"/>
            <w:hideMark/>
          </w:tcPr>
          <w:p w14:paraId="782A38AE"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187 (68.2)</w:t>
            </w:r>
          </w:p>
        </w:tc>
      </w:tr>
      <w:tr w:rsidR="006D60CF" w:rsidRPr="006D60CF" w14:paraId="19D2129D" w14:textId="77777777" w:rsidTr="006D60CF">
        <w:tc>
          <w:tcPr>
            <w:tcW w:w="0" w:type="auto"/>
            <w:vAlign w:val="center"/>
            <w:hideMark/>
          </w:tcPr>
          <w:p w14:paraId="10D55C50"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Logistic regressionᵇ</w:t>
            </w:r>
          </w:p>
        </w:tc>
        <w:tc>
          <w:tcPr>
            <w:tcW w:w="0" w:type="auto"/>
            <w:vAlign w:val="center"/>
            <w:hideMark/>
          </w:tcPr>
          <w:p w14:paraId="6443109F" w14:textId="77777777" w:rsidR="006D60CF" w:rsidRPr="006D60CF" w:rsidRDefault="006D60CF" w:rsidP="006D60CF">
            <w:pPr>
              <w:spacing w:after="0" w:line="240" w:lineRule="auto"/>
              <w:rPr>
                <w:rFonts w:eastAsia="Times New Roman" w:cs="Times New Roman"/>
                <w:szCs w:val="22"/>
                <w:lang w:eastAsia="en-AU"/>
              </w:rPr>
            </w:pPr>
          </w:p>
        </w:tc>
        <w:tc>
          <w:tcPr>
            <w:tcW w:w="0" w:type="auto"/>
            <w:vAlign w:val="center"/>
            <w:hideMark/>
          </w:tcPr>
          <w:p w14:paraId="7BE1A05D" w14:textId="77777777" w:rsidR="006D60CF" w:rsidRPr="006D60CF" w:rsidRDefault="006D60CF" w:rsidP="006D60CF">
            <w:pPr>
              <w:spacing w:after="0" w:line="240" w:lineRule="auto"/>
              <w:rPr>
                <w:rFonts w:eastAsia="Times New Roman" w:cs="Times New Roman"/>
                <w:szCs w:val="22"/>
                <w:lang w:eastAsia="en-AU"/>
              </w:rPr>
            </w:pPr>
          </w:p>
        </w:tc>
      </w:tr>
      <w:tr w:rsidR="006D60CF" w:rsidRPr="006D60CF" w14:paraId="5DF83991" w14:textId="77777777" w:rsidTr="006D60CF">
        <w:tc>
          <w:tcPr>
            <w:tcW w:w="0" w:type="auto"/>
            <w:vAlign w:val="center"/>
            <w:hideMark/>
          </w:tcPr>
          <w:p w14:paraId="2B20CA35"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Odds ratio: ublituximab / teriflunomide (95% CI)</w:t>
            </w:r>
          </w:p>
        </w:tc>
        <w:tc>
          <w:tcPr>
            <w:tcW w:w="0" w:type="auto"/>
            <w:gridSpan w:val="2"/>
            <w:vAlign w:val="center"/>
            <w:hideMark/>
          </w:tcPr>
          <w:p w14:paraId="4D47FE6B" w14:textId="6DBA932E"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0.872 (0.603, 1.261)</w:t>
            </w:r>
          </w:p>
        </w:tc>
      </w:tr>
      <w:tr w:rsidR="006D60CF" w:rsidRPr="006D60CF" w14:paraId="056C0F50" w14:textId="77777777" w:rsidTr="006D60CF">
        <w:tc>
          <w:tcPr>
            <w:tcW w:w="0" w:type="auto"/>
            <w:vAlign w:val="center"/>
            <w:hideMark/>
          </w:tcPr>
          <w:p w14:paraId="16C562B2"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p value</w:t>
            </w:r>
          </w:p>
        </w:tc>
        <w:tc>
          <w:tcPr>
            <w:tcW w:w="0" w:type="auto"/>
            <w:gridSpan w:val="2"/>
            <w:vAlign w:val="center"/>
            <w:hideMark/>
          </w:tcPr>
          <w:p w14:paraId="07E8B4C8" w14:textId="52584170"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0.4669</w:t>
            </w:r>
          </w:p>
        </w:tc>
      </w:tr>
    </w:tbl>
    <w:p w14:paraId="2FBF1CD7" w14:textId="142253D3" w:rsidR="008111D0" w:rsidRDefault="008111D0" w:rsidP="008111D0">
      <w:pPr>
        <w:pStyle w:val="TableDescription"/>
        <w:contextualSpacing/>
        <w:rPr>
          <w:lang w:eastAsia="en-AU"/>
        </w:rPr>
      </w:pPr>
      <w:r>
        <w:rPr>
          <w:lang w:eastAsia="en-AU"/>
        </w:rPr>
        <w:t xml:space="preserve">CI, </w:t>
      </w:r>
      <w:r w:rsidR="00AE1EB5">
        <w:rPr>
          <w:lang w:eastAsia="en-AU"/>
        </w:rPr>
        <w:t>con</w:t>
      </w:r>
      <w:r w:rsidR="00AE1EB5">
        <w:rPr>
          <w:rFonts w:cs="Cambria"/>
          <w:lang w:eastAsia="en-AU"/>
        </w:rPr>
        <w:t>f</w:t>
      </w:r>
      <w:r w:rsidR="00AE1EB5">
        <w:rPr>
          <w:lang w:eastAsia="en-AU"/>
        </w:rPr>
        <w:t>idence</w:t>
      </w:r>
      <w:r>
        <w:rPr>
          <w:lang w:eastAsia="en-AU"/>
        </w:rPr>
        <w:t xml:space="preserve"> interval; </w:t>
      </w:r>
      <w:r w:rsidR="00AE1EB5">
        <w:rPr>
          <w:lang w:eastAsia="en-AU"/>
        </w:rPr>
        <w:t>modi</w:t>
      </w:r>
      <w:r w:rsidR="00AE1EB5">
        <w:rPr>
          <w:rFonts w:cs="Cambria"/>
          <w:lang w:eastAsia="en-AU"/>
        </w:rPr>
        <w:t>f</w:t>
      </w:r>
      <w:r w:rsidR="00AE1EB5">
        <w:rPr>
          <w:lang w:eastAsia="en-AU"/>
        </w:rPr>
        <w:t>ied</w:t>
      </w:r>
      <w:r>
        <w:rPr>
          <w:lang w:eastAsia="en-AU"/>
        </w:rPr>
        <w:t xml:space="preserve"> intent-to-treat; SDMT, symbol digit modalities test.</w:t>
      </w:r>
    </w:p>
    <w:p w14:paraId="51C224D8" w14:textId="77777777" w:rsidR="008111D0" w:rsidRDefault="008111D0" w:rsidP="008111D0">
      <w:pPr>
        <w:pStyle w:val="TableDescription"/>
        <w:contextualSpacing/>
        <w:rPr>
          <w:lang w:eastAsia="en-AU"/>
        </w:rPr>
      </w:pPr>
      <w:r>
        <w:rPr>
          <w:lang w:eastAsia="en-AU"/>
        </w:rPr>
        <w:t>a Denominator is the number of participants in the analysis population.</w:t>
      </w:r>
    </w:p>
    <w:p w14:paraId="200C49EA" w14:textId="77777777" w:rsidR="008111D0" w:rsidRDefault="008111D0" w:rsidP="008111D0">
      <w:pPr>
        <w:pStyle w:val="TableDescription"/>
        <w:contextualSpacing/>
        <w:rPr>
          <w:lang w:eastAsia="en-AU"/>
        </w:rPr>
      </w:pPr>
      <w:r>
        <w:rPr>
          <w:lang w:eastAsia="en-AU"/>
        </w:rPr>
        <w:t>b Logistic regression model with treatment, region, baseline EDSS strata, and log-transformed baseline MRI counts (T1 unenhancing, T2, Gad enhancing) as covariates</w:t>
      </w:r>
    </w:p>
    <w:p w14:paraId="39574A33" w14:textId="6E7109CC" w:rsidR="008111D0" w:rsidRDefault="008111D0" w:rsidP="008111D0">
      <w:pPr>
        <w:pStyle w:val="TableDescription"/>
        <w:contextualSpacing/>
        <w:rPr>
          <w:lang w:eastAsia="en-AU"/>
        </w:rPr>
      </w:pPr>
      <w:r>
        <w:rPr>
          <w:lang w:eastAsia="en-AU"/>
        </w:rPr>
        <w:t xml:space="preserve">p-value is nominal as the 12-week CDP was not statistically </w:t>
      </w:r>
      <w:r w:rsidR="00AE1EB5">
        <w:rPr>
          <w:lang w:eastAsia="en-AU"/>
        </w:rPr>
        <w:t>signi</w:t>
      </w:r>
      <w:r w:rsidR="00AE1EB5">
        <w:rPr>
          <w:rFonts w:cs="Cambria"/>
          <w:lang w:eastAsia="en-AU"/>
        </w:rPr>
        <w:t>f</w:t>
      </w:r>
      <w:r w:rsidR="00AE1EB5">
        <w:rPr>
          <w:lang w:eastAsia="en-AU"/>
        </w:rPr>
        <w:t>icant</w:t>
      </w:r>
      <w:r>
        <w:rPr>
          <w:lang w:eastAsia="en-AU"/>
        </w:rPr>
        <w:t>.</w:t>
      </w:r>
    </w:p>
    <w:p w14:paraId="3EC4B0B2" w14:textId="0850F3A7" w:rsidR="000820DE" w:rsidRPr="006D60CF" w:rsidRDefault="000820DE" w:rsidP="00D83D85">
      <w:pPr>
        <w:pStyle w:val="Heading7"/>
        <w:rPr>
          <w:lang w:eastAsia="en-AU"/>
        </w:rPr>
      </w:pPr>
      <w:r w:rsidRPr="006D60CF">
        <w:rPr>
          <w:lang w:eastAsia="en-AU"/>
        </w:rPr>
        <w:t xml:space="preserve">Percentage </w:t>
      </w:r>
      <w:r w:rsidR="00D83D85" w:rsidRPr="006D60CF">
        <w:rPr>
          <w:lang w:eastAsia="en-AU"/>
        </w:rPr>
        <w:t xml:space="preserve">change in brain volume from baseline to week </w:t>
      </w:r>
      <w:r w:rsidRPr="006D60CF">
        <w:rPr>
          <w:lang w:eastAsia="en-AU"/>
        </w:rPr>
        <w:t>96</w:t>
      </w:r>
    </w:p>
    <w:p w14:paraId="6969D1E3" w14:textId="3443D7C3" w:rsidR="008111D0" w:rsidRDefault="000820DE" w:rsidP="00F14AD7">
      <w:pPr>
        <w:rPr>
          <w:lang w:eastAsia="en-AU"/>
        </w:rPr>
      </w:pPr>
      <w:r>
        <w:rPr>
          <w:lang w:eastAsia="en-AU"/>
        </w:rPr>
        <w:t xml:space="preserve">In the ublituximab group, the mean percentage change from Baseline in brain volume demonstrated increased brain atrophy at Weeks 24, 48, and 96 In the </w:t>
      </w:r>
      <w:r w:rsidR="00AE1EB5">
        <w:rPr>
          <w:lang w:eastAsia="en-AU"/>
        </w:rPr>
        <w:t>teri</w:t>
      </w:r>
      <w:r w:rsidR="00AE1EB5">
        <w:rPr>
          <w:rFonts w:cs="Cambria"/>
          <w:lang w:eastAsia="en-AU"/>
        </w:rPr>
        <w:t>f</w:t>
      </w:r>
      <w:r w:rsidR="00AE1EB5">
        <w:rPr>
          <w:lang w:eastAsia="en-AU"/>
        </w:rPr>
        <w:t>lunomide</w:t>
      </w:r>
      <w:r>
        <w:rPr>
          <w:lang w:eastAsia="en-AU"/>
        </w:rPr>
        <w:t xml:space="preserve"> group, the mean percentage change from Baseline in brain volume increased slightly at Week 24 and then demonstrated increased brain atrophy at Weeks 48 and 96. The LS mean for the percentage change of the cube root transformed volume from Baseline to Week 96 for ublituximab versus </w:t>
      </w:r>
      <w:r w:rsidR="00AE1EB5">
        <w:rPr>
          <w:lang w:eastAsia="en-AU"/>
        </w:rPr>
        <w:t>teri</w:t>
      </w:r>
      <w:r w:rsidR="00AE1EB5">
        <w:rPr>
          <w:rFonts w:cs="Cambria"/>
          <w:lang w:eastAsia="en-AU"/>
        </w:rPr>
        <w:t>f</w:t>
      </w:r>
      <w:r w:rsidR="00AE1EB5">
        <w:rPr>
          <w:lang w:eastAsia="en-AU"/>
        </w:rPr>
        <w:t>lunomide</w:t>
      </w:r>
      <w:r>
        <w:rPr>
          <w:lang w:eastAsia="en-AU"/>
        </w:rPr>
        <w:t xml:space="preserve"> is shown in Table </w:t>
      </w:r>
      <w:r w:rsidR="0022378A">
        <w:rPr>
          <w:lang w:eastAsia="en-AU"/>
        </w:rPr>
        <w:t>11</w:t>
      </w:r>
      <w:r>
        <w:rPr>
          <w:lang w:eastAsia="en-AU"/>
        </w:rPr>
        <w:t xml:space="preserve">. Similar </w:t>
      </w:r>
      <w:r>
        <w:rPr>
          <w:rFonts w:cs="Cambria"/>
          <w:lang w:eastAsia="en-AU"/>
        </w:rPr>
        <w:t>�</w:t>
      </w:r>
      <w:r w:rsidR="00AE1EB5">
        <w:rPr>
          <w:lang w:eastAsia="en-AU"/>
        </w:rPr>
        <w:t>findings</w:t>
      </w:r>
      <w:r>
        <w:rPr>
          <w:lang w:eastAsia="en-AU"/>
        </w:rPr>
        <w:t xml:space="preserve"> were reported for the ITT population and for the PP-MRI population.</w:t>
      </w:r>
    </w:p>
    <w:p w14:paraId="29090117" w14:textId="0D3AC820" w:rsidR="00F14AD7" w:rsidRDefault="00F14AD7" w:rsidP="00F14AD7">
      <w:pPr>
        <w:pStyle w:val="TableTitle"/>
        <w:rPr>
          <w:lang w:eastAsia="en-AU"/>
        </w:rPr>
      </w:pPr>
      <w:r w:rsidRPr="00F14AD7">
        <w:rPr>
          <w:lang w:eastAsia="en-AU"/>
        </w:rPr>
        <w:t xml:space="preserve">Table </w:t>
      </w:r>
      <w:r w:rsidR="0022378A">
        <w:rPr>
          <w:lang w:eastAsia="en-AU"/>
        </w:rPr>
        <w:t>11</w:t>
      </w:r>
      <w:r w:rsidRPr="00F14AD7">
        <w:rPr>
          <w:lang w:eastAsia="en-AU"/>
        </w:rPr>
        <w:t>: Percentage in Brain Volume Change from Baseline to Week 96 in Study TG1101-RMS301 (</w:t>
      </w:r>
      <w:proofErr w:type="spellStart"/>
      <w:r w:rsidRPr="00F14AD7">
        <w:rPr>
          <w:lang w:eastAsia="en-AU"/>
        </w:rPr>
        <w:t>mITTMRI</w:t>
      </w:r>
      <w:proofErr w:type="spellEnd"/>
      <w:r w:rsidRPr="00F14AD7">
        <w:rPr>
          <w:lang w:eastAsia="en-AU"/>
        </w:rPr>
        <w:t xml:space="preserve"> Population)</w:t>
      </w:r>
    </w:p>
    <w:tbl>
      <w:tblPr>
        <w:tblW w:w="0" w:type="auto"/>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CellMar>
          <w:top w:w="15" w:type="dxa"/>
          <w:left w:w="15" w:type="dxa"/>
          <w:bottom w:w="15" w:type="dxa"/>
          <w:right w:w="15" w:type="dxa"/>
        </w:tblCellMar>
        <w:tblLook w:val="04A0" w:firstRow="1" w:lastRow="0" w:firstColumn="1" w:lastColumn="0" w:noHBand="0" w:noVBand="1"/>
      </w:tblPr>
      <w:tblGrid>
        <w:gridCol w:w="4512"/>
        <w:gridCol w:w="2167"/>
        <w:gridCol w:w="2381"/>
      </w:tblGrid>
      <w:tr w:rsidR="006D60CF" w:rsidRPr="006D60CF" w14:paraId="4938F846" w14:textId="77777777" w:rsidTr="006D60CF">
        <w:trPr>
          <w:tblHeader/>
        </w:trPr>
        <w:tc>
          <w:tcPr>
            <w:tcW w:w="0" w:type="auto"/>
            <w:shd w:val="clear" w:color="auto" w:fill="DEEAF6"/>
            <w:vAlign w:val="center"/>
            <w:hideMark/>
          </w:tcPr>
          <w:p w14:paraId="7B56AAC2" w14:textId="77777777" w:rsidR="006D60CF" w:rsidRPr="006D60CF" w:rsidRDefault="006D60CF" w:rsidP="006D60CF">
            <w:pPr>
              <w:spacing w:after="0" w:line="240" w:lineRule="auto"/>
              <w:rPr>
                <w:rFonts w:eastAsia="Times New Roman" w:cs="Times New Roman"/>
                <w:color w:val="263287"/>
                <w:szCs w:val="22"/>
                <w:lang w:eastAsia="en-AU"/>
              </w:rPr>
            </w:pPr>
          </w:p>
        </w:tc>
        <w:tc>
          <w:tcPr>
            <w:tcW w:w="0" w:type="auto"/>
            <w:shd w:val="clear" w:color="auto" w:fill="DEEAF6"/>
            <w:vAlign w:val="center"/>
            <w:hideMark/>
          </w:tcPr>
          <w:p w14:paraId="46E1CD1C" w14:textId="77777777" w:rsidR="006D60CF" w:rsidRPr="006D60CF" w:rsidRDefault="006D60CF" w:rsidP="006D60CF">
            <w:pPr>
              <w:spacing w:after="0" w:line="240" w:lineRule="auto"/>
              <w:jc w:val="center"/>
              <w:rPr>
                <w:rFonts w:eastAsia="Times New Roman" w:cs="Times New Roman"/>
                <w:b/>
                <w:bCs/>
                <w:color w:val="263287"/>
                <w:szCs w:val="22"/>
                <w:lang w:eastAsia="en-AU"/>
              </w:rPr>
            </w:pPr>
            <w:r w:rsidRPr="006D60CF">
              <w:rPr>
                <w:rFonts w:eastAsia="Times New Roman" w:cs="Times New Roman"/>
                <w:b/>
                <w:bCs/>
                <w:color w:val="263287"/>
                <w:szCs w:val="22"/>
                <w:lang w:eastAsia="en-AU"/>
              </w:rPr>
              <w:t>Ublituximab (N=265)</w:t>
            </w:r>
          </w:p>
        </w:tc>
        <w:tc>
          <w:tcPr>
            <w:tcW w:w="0" w:type="auto"/>
            <w:shd w:val="clear" w:color="auto" w:fill="DEEAF6"/>
            <w:vAlign w:val="center"/>
            <w:hideMark/>
          </w:tcPr>
          <w:p w14:paraId="5F869618" w14:textId="77777777" w:rsidR="006D60CF" w:rsidRPr="006D60CF" w:rsidRDefault="006D60CF" w:rsidP="006D60CF">
            <w:pPr>
              <w:spacing w:after="0" w:line="240" w:lineRule="auto"/>
              <w:jc w:val="center"/>
              <w:rPr>
                <w:rFonts w:eastAsia="Times New Roman" w:cs="Times New Roman"/>
                <w:b/>
                <w:bCs/>
                <w:color w:val="263287"/>
                <w:szCs w:val="22"/>
                <w:lang w:eastAsia="en-AU"/>
              </w:rPr>
            </w:pPr>
            <w:r w:rsidRPr="006D60CF">
              <w:rPr>
                <w:rFonts w:eastAsia="Times New Roman" w:cs="Times New Roman"/>
                <w:b/>
                <w:bCs/>
                <w:color w:val="263287"/>
                <w:szCs w:val="22"/>
                <w:lang w:eastAsia="en-AU"/>
              </w:rPr>
              <w:t>Teriflunomide (N=270)</w:t>
            </w:r>
          </w:p>
        </w:tc>
      </w:tr>
      <w:tr w:rsidR="006D60CF" w:rsidRPr="006D60CF" w14:paraId="3CB0E374" w14:textId="77777777" w:rsidTr="006D60CF">
        <w:tc>
          <w:tcPr>
            <w:tcW w:w="0" w:type="auto"/>
            <w:vAlign w:val="center"/>
            <w:hideMark/>
          </w:tcPr>
          <w:p w14:paraId="2999824D" w14:textId="77777777" w:rsidR="006D60CF" w:rsidRPr="009C25AF" w:rsidRDefault="006D60CF" w:rsidP="006D60CF">
            <w:pPr>
              <w:spacing w:after="0" w:line="240" w:lineRule="auto"/>
              <w:rPr>
                <w:rFonts w:eastAsia="Times New Roman" w:cs="Times New Roman"/>
                <w:szCs w:val="22"/>
                <w:lang w:eastAsia="en-AU"/>
              </w:rPr>
            </w:pPr>
            <w:r w:rsidRPr="009C25AF">
              <w:rPr>
                <w:rFonts w:eastAsia="Times New Roman" w:cs="Times New Roman"/>
                <w:szCs w:val="22"/>
                <w:lang w:eastAsia="en-AU"/>
              </w:rPr>
              <w:t>Baseline (mm³), mean (SD)</w:t>
            </w:r>
          </w:p>
        </w:tc>
        <w:tc>
          <w:tcPr>
            <w:tcW w:w="0" w:type="auto"/>
            <w:vAlign w:val="center"/>
            <w:hideMark/>
          </w:tcPr>
          <w:p w14:paraId="01289AE5"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165366.1 (116369.48)</w:t>
            </w:r>
          </w:p>
        </w:tc>
        <w:tc>
          <w:tcPr>
            <w:tcW w:w="0" w:type="auto"/>
            <w:vAlign w:val="center"/>
            <w:hideMark/>
          </w:tcPr>
          <w:p w14:paraId="0DCAEB48"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169997.7 (109684.30)</w:t>
            </w:r>
          </w:p>
        </w:tc>
      </w:tr>
      <w:tr w:rsidR="009C25AF" w:rsidRPr="006D60CF" w14:paraId="374F779B" w14:textId="77777777" w:rsidTr="006D7054">
        <w:tc>
          <w:tcPr>
            <w:tcW w:w="0" w:type="auto"/>
            <w:gridSpan w:val="3"/>
            <w:vAlign w:val="center"/>
            <w:hideMark/>
          </w:tcPr>
          <w:p w14:paraId="6EE08B5E" w14:textId="12C00CDF" w:rsidR="009C25AF" w:rsidRPr="006D60CF" w:rsidRDefault="009C25AF" w:rsidP="006D60CF">
            <w:pPr>
              <w:spacing w:after="0" w:line="240" w:lineRule="auto"/>
              <w:rPr>
                <w:rFonts w:eastAsia="Times New Roman" w:cs="Times New Roman"/>
                <w:szCs w:val="22"/>
                <w:lang w:eastAsia="en-AU"/>
              </w:rPr>
            </w:pPr>
            <w:r w:rsidRPr="009C25AF">
              <w:rPr>
                <w:rFonts w:eastAsia="Times New Roman" w:cs="Times New Roman"/>
                <w:szCs w:val="22"/>
                <w:lang w:eastAsia="en-AU"/>
              </w:rPr>
              <w:t>Percentage change from Baseline, mean (SD)</w:t>
            </w:r>
          </w:p>
        </w:tc>
      </w:tr>
      <w:tr w:rsidR="006D60CF" w:rsidRPr="006D60CF" w14:paraId="54D4D5D4" w14:textId="77777777" w:rsidTr="006D60CF">
        <w:tc>
          <w:tcPr>
            <w:tcW w:w="0" w:type="auto"/>
            <w:vAlign w:val="center"/>
            <w:hideMark/>
          </w:tcPr>
          <w:p w14:paraId="7EAC42DB" w14:textId="77777777" w:rsidR="006D60CF" w:rsidRPr="009C25AF" w:rsidRDefault="006D60CF" w:rsidP="006D60CF">
            <w:pPr>
              <w:spacing w:after="0" w:line="240" w:lineRule="auto"/>
              <w:rPr>
                <w:rFonts w:eastAsia="Times New Roman" w:cs="Times New Roman"/>
                <w:szCs w:val="22"/>
                <w:lang w:eastAsia="en-AU"/>
              </w:rPr>
            </w:pPr>
            <w:r w:rsidRPr="009C25AF">
              <w:rPr>
                <w:rFonts w:eastAsia="Times New Roman" w:cs="Times New Roman"/>
                <w:szCs w:val="22"/>
                <w:lang w:eastAsia="en-AU"/>
              </w:rPr>
              <w:t>Week 24</w:t>
            </w:r>
          </w:p>
        </w:tc>
        <w:tc>
          <w:tcPr>
            <w:tcW w:w="0" w:type="auto"/>
            <w:vAlign w:val="center"/>
            <w:hideMark/>
          </w:tcPr>
          <w:p w14:paraId="318DCBB0"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-0.142 (0.3910)</w:t>
            </w:r>
          </w:p>
        </w:tc>
        <w:tc>
          <w:tcPr>
            <w:tcW w:w="0" w:type="auto"/>
            <w:vAlign w:val="center"/>
            <w:hideMark/>
          </w:tcPr>
          <w:p w14:paraId="27CBE9CB"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0.070 (0.4201)</w:t>
            </w:r>
          </w:p>
        </w:tc>
      </w:tr>
      <w:tr w:rsidR="006D60CF" w:rsidRPr="006D60CF" w14:paraId="0E4123F3" w14:textId="77777777" w:rsidTr="006D60CF">
        <w:tc>
          <w:tcPr>
            <w:tcW w:w="0" w:type="auto"/>
            <w:vAlign w:val="center"/>
            <w:hideMark/>
          </w:tcPr>
          <w:p w14:paraId="041C11FE" w14:textId="77777777" w:rsidR="006D60CF" w:rsidRPr="009C25AF" w:rsidRDefault="006D60CF" w:rsidP="006D60CF">
            <w:pPr>
              <w:spacing w:after="0" w:line="240" w:lineRule="auto"/>
              <w:rPr>
                <w:rFonts w:eastAsia="Times New Roman" w:cs="Times New Roman"/>
                <w:szCs w:val="22"/>
                <w:lang w:eastAsia="en-AU"/>
              </w:rPr>
            </w:pPr>
            <w:r w:rsidRPr="009C25AF">
              <w:rPr>
                <w:rFonts w:eastAsia="Times New Roman" w:cs="Times New Roman"/>
                <w:szCs w:val="22"/>
                <w:lang w:eastAsia="en-AU"/>
              </w:rPr>
              <w:t>Week 48</w:t>
            </w:r>
          </w:p>
        </w:tc>
        <w:tc>
          <w:tcPr>
            <w:tcW w:w="0" w:type="auto"/>
            <w:vAlign w:val="center"/>
            <w:hideMark/>
          </w:tcPr>
          <w:p w14:paraId="43EAE6EF"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-0.357 (0.4843)</w:t>
            </w:r>
          </w:p>
        </w:tc>
        <w:tc>
          <w:tcPr>
            <w:tcW w:w="0" w:type="auto"/>
            <w:vAlign w:val="center"/>
            <w:hideMark/>
          </w:tcPr>
          <w:p w14:paraId="25AA385E"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-0.108 (0.5074)</w:t>
            </w:r>
          </w:p>
        </w:tc>
      </w:tr>
      <w:tr w:rsidR="006D60CF" w:rsidRPr="006D60CF" w14:paraId="498236C3" w14:textId="77777777" w:rsidTr="006D60CF">
        <w:tc>
          <w:tcPr>
            <w:tcW w:w="0" w:type="auto"/>
            <w:vAlign w:val="center"/>
            <w:hideMark/>
          </w:tcPr>
          <w:p w14:paraId="740CE4C9" w14:textId="77777777" w:rsidR="006D60CF" w:rsidRPr="009C25AF" w:rsidRDefault="006D60CF" w:rsidP="006D60CF">
            <w:pPr>
              <w:spacing w:after="0" w:line="240" w:lineRule="auto"/>
              <w:rPr>
                <w:rFonts w:eastAsia="Times New Roman" w:cs="Times New Roman"/>
                <w:szCs w:val="22"/>
                <w:lang w:eastAsia="en-AU"/>
              </w:rPr>
            </w:pPr>
            <w:r w:rsidRPr="009C25AF">
              <w:rPr>
                <w:rFonts w:eastAsia="Times New Roman" w:cs="Times New Roman"/>
                <w:szCs w:val="22"/>
                <w:lang w:eastAsia="en-AU"/>
              </w:rPr>
              <w:t>Week 96</w:t>
            </w:r>
          </w:p>
        </w:tc>
        <w:tc>
          <w:tcPr>
            <w:tcW w:w="0" w:type="auto"/>
            <w:vAlign w:val="center"/>
            <w:hideMark/>
          </w:tcPr>
          <w:p w14:paraId="2DB1E61C"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-0.596 (0.5769)</w:t>
            </w:r>
          </w:p>
        </w:tc>
        <w:tc>
          <w:tcPr>
            <w:tcW w:w="0" w:type="auto"/>
            <w:vAlign w:val="center"/>
            <w:hideMark/>
          </w:tcPr>
          <w:p w14:paraId="1CD59A03"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-0.375 (0.5564)</w:t>
            </w:r>
          </w:p>
        </w:tc>
      </w:tr>
      <w:tr w:rsidR="006D60CF" w:rsidRPr="006D60CF" w14:paraId="5D3FBDC8" w14:textId="77777777" w:rsidTr="006D60CF">
        <w:tc>
          <w:tcPr>
            <w:tcW w:w="0" w:type="auto"/>
            <w:vAlign w:val="center"/>
            <w:hideMark/>
          </w:tcPr>
          <w:p w14:paraId="237BB03B" w14:textId="77777777" w:rsidR="006D60CF" w:rsidRPr="009C25AF" w:rsidRDefault="006D60CF" w:rsidP="006D60CF">
            <w:pPr>
              <w:spacing w:after="0" w:line="240" w:lineRule="auto"/>
              <w:rPr>
                <w:rFonts w:eastAsia="Times New Roman" w:cs="Times New Roman"/>
                <w:szCs w:val="22"/>
                <w:lang w:eastAsia="en-AU"/>
              </w:rPr>
            </w:pPr>
            <w:r w:rsidRPr="009C25AF">
              <w:rPr>
                <w:rFonts w:eastAsia="Times New Roman" w:cs="Times New Roman"/>
                <w:szCs w:val="22"/>
                <w:lang w:eastAsia="en-AU"/>
              </w:rPr>
              <w:t>MMRMᵃ</w:t>
            </w:r>
          </w:p>
        </w:tc>
        <w:tc>
          <w:tcPr>
            <w:tcW w:w="0" w:type="auto"/>
            <w:vAlign w:val="center"/>
            <w:hideMark/>
          </w:tcPr>
          <w:p w14:paraId="5B2495A8" w14:textId="77777777" w:rsidR="006D60CF" w:rsidRPr="006D60CF" w:rsidRDefault="006D60CF" w:rsidP="006D60CF">
            <w:pPr>
              <w:spacing w:after="0" w:line="240" w:lineRule="auto"/>
              <w:rPr>
                <w:rFonts w:eastAsia="Times New Roman" w:cs="Times New Roman"/>
                <w:szCs w:val="22"/>
                <w:lang w:eastAsia="en-AU"/>
              </w:rPr>
            </w:pPr>
          </w:p>
        </w:tc>
        <w:tc>
          <w:tcPr>
            <w:tcW w:w="0" w:type="auto"/>
            <w:vAlign w:val="center"/>
            <w:hideMark/>
          </w:tcPr>
          <w:p w14:paraId="258E4026" w14:textId="77777777" w:rsidR="006D60CF" w:rsidRPr="006D60CF" w:rsidRDefault="006D60CF" w:rsidP="006D60CF">
            <w:pPr>
              <w:spacing w:after="0" w:line="240" w:lineRule="auto"/>
              <w:rPr>
                <w:rFonts w:eastAsia="Times New Roman" w:cs="Times New Roman"/>
                <w:szCs w:val="22"/>
                <w:lang w:eastAsia="en-AU"/>
              </w:rPr>
            </w:pPr>
          </w:p>
        </w:tc>
      </w:tr>
      <w:tr w:rsidR="006D60CF" w:rsidRPr="006D60CF" w14:paraId="613D5024" w14:textId="77777777" w:rsidTr="006D60CF">
        <w:tc>
          <w:tcPr>
            <w:tcW w:w="0" w:type="auto"/>
            <w:vAlign w:val="center"/>
            <w:hideMark/>
          </w:tcPr>
          <w:p w14:paraId="71608289" w14:textId="77777777" w:rsidR="006D60CF" w:rsidRPr="009C25AF" w:rsidRDefault="006D60CF" w:rsidP="006D60CF">
            <w:pPr>
              <w:spacing w:after="0" w:line="240" w:lineRule="auto"/>
              <w:rPr>
                <w:rFonts w:eastAsia="Times New Roman" w:cs="Times New Roman"/>
                <w:szCs w:val="22"/>
                <w:lang w:eastAsia="en-AU"/>
              </w:rPr>
            </w:pPr>
            <w:r w:rsidRPr="009C25AF">
              <w:rPr>
                <w:rFonts w:eastAsia="Times New Roman" w:cs="Times New Roman"/>
                <w:szCs w:val="22"/>
                <w:lang w:eastAsia="en-AU"/>
              </w:rPr>
              <w:t>LS means (95% CI)</w:t>
            </w:r>
          </w:p>
        </w:tc>
        <w:tc>
          <w:tcPr>
            <w:tcW w:w="0" w:type="auto"/>
            <w:vAlign w:val="center"/>
            <w:hideMark/>
          </w:tcPr>
          <w:p w14:paraId="1E7CBCA8"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-0.197 (-0.228, -0.166)</w:t>
            </w:r>
          </w:p>
        </w:tc>
        <w:tc>
          <w:tcPr>
            <w:tcW w:w="0" w:type="auto"/>
            <w:vAlign w:val="center"/>
            <w:hideMark/>
          </w:tcPr>
          <w:p w14:paraId="325E2850"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-0.125 (-0.155, -0.095)</w:t>
            </w:r>
          </w:p>
        </w:tc>
      </w:tr>
      <w:tr w:rsidR="009C25AF" w:rsidRPr="006D60CF" w14:paraId="1337FEAC" w14:textId="77777777" w:rsidTr="00D376D5">
        <w:tc>
          <w:tcPr>
            <w:tcW w:w="0" w:type="auto"/>
            <w:vAlign w:val="center"/>
            <w:hideMark/>
          </w:tcPr>
          <w:p w14:paraId="08384F12" w14:textId="77777777" w:rsidR="009C25AF" w:rsidRPr="009C25AF" w:rsidRDefault="009C25AF" w:rsidP="006D60CF">
            <w:pPr>
              <w:spacing w:after="0" w:line="240" w:lineRule="auto"/>
              <w:rPr>
                <w:rFonts w:eastAsia="Times New Roman" w:cs="Times New Roman"/>
                <w:szCs w:val="22"/>
                <w:lang w:eastAsia="en-AU"/>
              </w:rPr>
            </w:pPr>
            <w:r w:rsidRPr="009C25AF">
              <w:rPr>
                <w:rFonts w:eastAsia="Times New Roman" w:cs="Times New Roman"/>
                <w:szCs w:val="22"/>
                <w:lang w:eastAsia="en-AU"/>
              </w:rPr>
              <w:t>LS means: ublituximab − teriflunomide (95% CI)</w:t>
            </w:r>
          </w:p>
        </w:tc>
        <w:tc>
          <w:tcPr>
            <w:tcW w:w="0" w:type="auto"/>
            <w:gridSpan w:val="2"/>
            <w:vAlign w:val="center"/>
            <w:hideMark/>
          </w:tcPr>
          <w:p w14:paraId="312FD62B" w14:textId="25CD260F" w:rsidR="009C25AF" w:rsidRPr="006D60CF" w:rsidRDefault="009C25AF" w:rsidP="006D60CF">
            <w:pPr>
              <w:spacing w:after="0" w:line="240" w:lineRule="auto"/>
              <w:rPr>
                <w:rFonts w:eastAsia="Times New Roman" w:cs="Times New Roman"/>
                <w:szCs w:val="22"/>
                <w:lang w:eastAsia="en-AU"/>
              </w:rPr>
            </w:pPr>
            <w:r w:rsidRPr="006D60CF">
              <w:rPr>
                <w:rFonts w:eastAsia="Times New Roman" w:cs="Times New Roman"/>
                <w:szCs w:val="22"/>
                <w:lang w:eastAsia="en-AU"/>
              </w:rPr>
              <w:t>-0.072 (-0.107, -0.036)</w:t>
            </w:r>
          </w:p>
        </w:tc>
      </w:tr>
      <w:tr w:rsidR="009C25AF" w:rsidRPr="006D60CF" w14:paraId="1C295CE7" w14:textId="77777777" w:rsidTr="001F39A6">
        <w:tc>
          <w:tcPr>
            <w:tcW w:w="0" w:type="auto"/>
            <w:vAlign w:val="center"/>
            <w:hideMark/>
          </w:tcPr>
          <w:p w14:paraId="6631D829" w14:textId="77777777" w:rsidR="009C25AF" w:rsidRPr="009C25AF" w:rsidRDefault="009C25AF" w:rsidP="006D60CF">
            <w:pPr>
              <w:spacing w:after="0" w:line="240" w:lineRule="auto"/>
              <w:rPr>
                <w:rFonts w:eastAsia="Times New Roman" w:cs="Times New Roman"/>
                <w:szCs w:val="22"/>
                <w:lang w:eastAsia="en-AU"/>
              </w:rPr>
            </w:pPr>
            <w:r w:rsidRPr="009C25AF">
              <w:rPr>
                <w:rFonts w:eastAsia="Times New Roman" w:cs="Times New Roman"/>
                <w:szCs w:val="22"/>
                <w:lang w:eastAsia="en-AU"/>
              </w:rPr>
              <w:t>p value</w:t>
            </w:r>
          </w:p>
        </w:tc>
        <w:tc>
          <w:tcPr>
            <w:tcW w:w="0" w:type="auto"/>
            <w:gridSpan w:val="2"/>
            <w:vAlign w:val="center"/>
            <w:hideMark/>
          </w:tcPr>
          <w:p w14:paraId="76FE7DB4" w14:textId="55151825" w:rsidR="009C25AF" w:rsidRPr="006D60CF" w:rsidRDefault="009C25AF" w:rsidP="006D60CF">
            <w:pPr>
              <w:spacing w:after="0" w:line="240" w:lineRule="auto"/>
              <w:rPr>
                <w:rFonts w:eastAsia="Times New Roman" w:cs="Times New Roman"/>
                <w:szCs w:val="22"/>
                <w:lang w:eastAsia="en-AU"/>
              </w:rPr>
            </w:pPr>
            <w:r w:rsidRPr="006D60CF">
              <w:rPr>
                <w:rFonts w:eastAsia="Times New Roman" w:cs="Times New Roman"/>
                <w:szCs w:val="22"/>
                <w:lang w:eastAsia="en-AU"/>
              </w:rPr>
              <w:t>&lt;0.0001</w:t>
            </w:r>
          </w:p>
        </w:tc>
      </w:tr>
    </w:tbl>
    <w:p w14:paraId="6D0DBB95" w14:textId="4EF4E206" w:rsidR="00304943" w:rsidRDefault="00304943" w:rsidP="00304943">
      <w:pPr>
        <w:pStyle w:val="TableDescription"/>
        <w:contextualSpacing/>
        <w:rPr>
          <w:lang w:eastAsia="en-AU"/>
        </w:rPr>
      </w:pPr>
      <w:r>
        <w:rPr>
          <w:lang w:eastAsia="en-AU"/>
        </w:rPr>
        <w:t>Cl, confidence interval; mITT</w:t>
      </w:r>
      <w:r w:rsidR="00026171">
        <w:rPr>
          <w:lang w:eastAsia="en-AU"/>
        </w:rPr>
        <w:t>,</w:t>
      </w:r>
      <w:r>
        <w:rPr>
          <w:lang w:eastAsia="en-AU"/>
        </w:rPr>
        <w:t xml:space="preserve"> modified intent-to-treat; MRI, magnetic resonance imaging; LS least squares; MRMM Mixed Model Repeated</w:t>
      </w:r>
      <w:r w:rsidR="00026171">
        <w:rPr>
          <w:lang w:eastAsia="en-AU"/>
        </w:rPr>
        <w:t xml:space="preserve"> </w:t>
      </w:r>
      <w:r>
        <w:rPr>
          <w:lang w:eastAsia="en-AU"/>
        </w:rPr>
        <w:t>Measures; SD, standard deviation.</w:t>
      </w:r>
    </w:p>
    <w:p w14:paraId="653EA667" w14:textId="103A6C15" w:rsidR="004B4F8A" w:rsidRDefault="00304943" w:rsidP="00304943">
      <w:pPr>
        <w:pStyle w:val="TableDescription"/>
        <w:contextualSpacing/>
        <w:rPr>
          <w:lang w:eastAsia="en-AU"/>
        </w:rPr>
      </w:pPr>
      <w:r>
        <w:rPr>
          <w:lang w:eastAsia="en-AU"/>
        </w:rPr>
        <w:t>A MMRM (Mixed Model Repeated Measures) of the percentage changes of the cube root transformed volume from baseline. The model includes</w:t>
      </w:r>
      <w:r w:rsidR="00026171">
        <w:rPr>
          <w:lang w:eastAsia="en-AU"/>
        </w:rPr>
        <w:t xml:space="preserve"> </w:t>
      </w:r>
      <w:r>
        <w:rPr>
          <w:lang w:eastAsia="en-AU"/>
        </w:rPr>
        <w:t>treatment, region, baseline EDSS strata, visit, treatment-by-visit interaction, and baseline volume (cube root transformed) as cova</w:t>
      </w:r>
      <w:r w:rsidR="00026171">
        <w:rPr>
          <w:lang w:eastAsia="en-AU"/>
        </w:rPr>
        <w:t>ri</w:t>
      </w:r>
      <w:r>
        <w:rPr>
          <w:lang w:eastAsia="en-AU"/>
        </w:rPr>
        <w:t>ates and</w:t>
      </w:r>
      <w:r w:rsidR="00026171">
        <w:rPr>
          <w:lang w:eastAsia="en-AU"/>
        </w:rPr>
        <w:t xml:space="preserve"> </w:t>
      </w:r>
      <w:r>
        <w:rPr>
          <w:lang w:eastAsia="en-AU"/>
        </w:rPr>
        <w:t xml:space="preserve">an unstructured </w:t>
      </w:r>
      <w:r w:rsidR="00026171" w:rsidRPr="00026171">
        <w:rPr>
          <w:lang w:eastAsia="en-AU"/>
        </w:rPr>
        <w:t xml:space="preserve">covariates </w:t>
      </w:r>
      <w:r w:rsidR="00026171">
        <w:rPr>
          <w:lang w:eastAsia="en-AU"/>
        </w:rPr>
        <w:t>matrix</w:t>
      </w:r>
      <w:r>
        <w:rPr>
          <w:lang w:eastAsia="en-AU"/>
        </w:rPr>
        <w:t>.</w:t>
      </w:r>
    </w:p>
    <w:p w14:paraId="70881F3C" w14:textId="20742071" w:rsidR="00026171" w:rsidRDefault="00026171" w:rsidP="00304943">
      <w:pPr>
        <w:pStyle w:val="TableDescription"/>
        <w:contextualSpacing/>
        <w:rPr>
          <w:lang w:eastAsia="en-AU"/>
        </w:rPr>
      </w:pPr>
      <w:r w:rsidRPr="00026171">
        <w:rPr>
          <w:lang w:eastAsia="en-AU"/>
        </w:rPr>
        <w:t>p-value is nominal as the 12-week CDP was not statistically significant.</w:t>
      </w:r>
    </w:p>
    <w:p w14:paraId="530F5160" w14:textId="51628073" w:rsidR="00A542F3" w:rsidRDefault="00A542F3" w:rsidP="007E2D77">
      <w:pPr>
        <w:pStyle w:val="Heading5"/>
        <w:rPr>
          <w:lang w:eastAsia="en-AU"/>
        </w:rPr>
      </w:pPr>
      <w:r>
        <w:rPr>
          <w:lang w:eastAsia="en-AU"/>
        </w:rPr>
        <w:t>Study TG1101-RMS302 (ULTIMATE II)</w:t>
      </w:r>
    </w:p>
    <w:p w14:paraId="0DB1ABE4" w14:textId="50F1277F" w:rsidR="00A542F3" w:rsidRDefault="00A542F3" w:rsidP="00A542F3">
      <w:pPr>
        <w:rPr>
          <w:lang w:eastAsia="en-AU"/>
        </w:rPr>
      </w:pPr>
      <w:r>
        <w:rPr>
          <w:lang w:eastAsia="en-AU"/>
        </w:rPr>
        <w:t xml:space="preserve">120-week Phase III, randomized, multicenter, double-blinded, double-dummy, active-controlled study that is primarily designed to assess the ARR and safety/tolerability of ublituximab (TG- </w:t>
      </w:r>
      <w:r>
        <w:rPr>
          <w:lang w:eastAsia="en-AU"/>
        </w:rPr>
        <w:lastRenderedPageBreak/>
        <w:t xml:space="preserve">1101; UTX)/oral placebo as compared to </w:t>
      </w:r>
      <w:r w:rsidR="00AE1EB5">
        <w:rPr>
          <w:lang w:eastAsia="en-AU"/>
        </w:rPr>
        <w:t>teri</w:t>
      </w:r>
      <w:r w:rsidR="00AE1EB5">
        <w:rPr>
          <w:rFonts w:cs="Cambria"/>
          <w:lang w:eastAsia="en-AU"/>
        </w:rPr>
        <w:t>f</w:t>
      </w:r>
      <w:r w:rsidR="00AE1EB5">
        <w:rPr>
          <w:lang w:eastAsia="en-AU"/>
        </w:rPr>
        <w:t>lunomide</w:t>
      </w:r>
      <w:r>
        <w:rPr>
          <w:lang w:eastAsia="en-AU"/>
        </w:rPr>
        <w:t>/IV placebo in participants with RMS. Conducted at 50 study centres in 8 countries in Europe and North America</w:t>
      </w:r>
      <w:r w:rsidR="00691A93">
        <w:rPr>
          <w:lang w:eastAsia="en-AU"/>
        </w:rPr>
        <w:t xml:space="preserve"> (Figure 3)</w:t>
      </w:r>
      <w:r>
        <w:rPr>
          <w:lang w:eastAsia="en-AU"/>
        </w:rPr>
        <w:t>.</w:t>
      </w:r>
    </w:p>
    <w:p w14:paraId="5987C136" w14:textId="5AA7BC13" w:rsidR="00A542F3" w:rsidRDefault="00A542F3" w:rsidP="007E2D77">
      <w:pPr>
        <w:pStyle w:val="Heading6"/>
        <w:rPr>
          <w:lang w:eastAsia="en-AU"/>
        </w:rPr>
      </w:pPr>
      <w:r>
        <w:rPr>
          <w:lang w:eastAsia="en-AU"/>
        </w:rPr>
        <w:t xml:space="preserve">Participant </w:t>
      </w:r>
      <w:r w:rsidR="00D83D85">
        <w:rPr>
          <w:lang w:eastAsia="en-AU"/>
        </w:rPr>
        <w:t>f</w:t>
      </w:r>
      <w:r>
        <w:rPr>
          <w:lang w:eastAsia="en-AU"/>
        </w:rPr>
        <w:t>low</w:t>
      </w:r>
    </w:p>
    <w:p w14:paraId="46ADC47B" w14:textId="561F940D" w:rsidR="00BC4CB4" w:rsidRDefault="00DB26D3" w:rsidP="00A76F57">
      <w:pPr>
        <w:pStyle w:val="FigureTitle"/>
        <w:rPr>
          <w:lang w:eastAsia="en-AU"/>
        </w:rPr>
      </w:pPr>
      <w:r w:rsidRPr="00DB26D3">
        <w:rPr>
          <w:lang w:eastAsia="en-AU"/>
        </w:rPr>
        <w:t>Figure 3: Disposition of Subjects in Study TG1101-RMS302 (ITT Population</w:t>
      </w:r>
      <w:r>
        <w:rPr>
          <w:lang w:eastAsia="en-AU"/>
        </w:rPr>
        <w:t>)</w:t>
      </w:r>
    </w:p>
    <w:p w14:paraId="4AC2BCF5" w14:textId="4EF92A3E" w:rsidR="00D22F5A" w:rsidRDefault="00D22F5A" w:rsidP="00BC4CB4">
      <w:pPr>
        <w:pStyle w:val="TableTitle"/>
        <w:rPr>
          <w:lang w:eastAsia="en-AU"/>
        </w:rPr>
      </w:pPr>
      <w:r>
        <w:rPr>
          <w:noProof/>
        </w:rPr>
        <w:drawing>
          <wp:inline distT="0" distB="0" distL="0" distR="0" wp14:anchorId="11E742AA" wp14:editId="444BE42C">
            <wp:extent cx="5196935" cy="4309110"/>
            <wp:effectExtent l="0" t="0" r="3810" b="0"/>
            <wp:docPr id="22" name="Image 22" descr="Figure 3: Disposition of Subjects in Study TG1101-RMS302 (ITT Popul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Figure 3: Disposition of Subjects in Study TG1101-RMS302 (ITT Population)"/>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96935" cy="4309110"/>
                    </a:xfrm>
                    <a:prstGeom prst="rect">
                      <a:avLst/>
                    </a:prstGeom>
                  </pic:spPr>
                </pic:pic>
              </a:graphicData>
            </a:graphic>
          </wp:inline>
        </w:drawing>
      </w:r>
    </w:p>
    <w:p w14:paraId="230AC023" w14:textId="77777777" w:rsidR="00A76F57" w:rsidRDefault="00A76F57" w:rsidP="00A76F57">
      <w:pPr>
        <w:pStyle w:val="FigureDescription"/>
        <w:rPr>
          <w:lang w:eastAsia="en-AU"/>
        </w:rPr>
      </w:pPr>
      <w:r w:rsidRPr="00A76F57">
        <w:rPr>
          <w:lang w:eastAsia="en-AU"/>
        </w:rPr>
        <w:t>ITT: Intend-to-treat; IV: Intravenous; COVID-19, coronavirus infection 2019. The ITT population consisted of all randomized subjects</w:t>
      </w:r>
    </w:p>
    <w:p w14:paraId="4BD6888C" w14:textId="77777777" w:rsidR="005668DD" w:rsidRDefault="005668DD" w:rsidP="007E2D77">
      <w:pPr>
        <w:pStyle w:val="Heading6"/>
        <w:rPr>
          <w:lang w:eastAsia="en-AU"/>
        </w:rPr>
      </w:pPr>
      <w:r>
        <w:rPr>
          <w:lang w:eastAsia="en-AU"/>
        </w:rPr>
        <w:t>Baseline data</w:t>
      </w:r>
    </w:p>
    <w:p w14:paraId="00413D61" w14:textId="5AAF3B67" w:rsidR="005668DD" w:rsidRDefault="005668DD" w:rsidP="008766EA">
      <w:pPr>
        <w:rPr>
          <w:lang w:eastAsia="en-AU"/>
        </w:rPr>
      </w:pPr>
      <w:r>
        <w:rPr>
          <w:lang w:eastAsia="en-AU"/>
        </w:rPr>
        <w:t xml:space="preserve">The demographics and disease characteristics were similar for subjects in the ublituximab and </w:t>
      </w:r>
      <w:r w:rsidR="00AE1EB5">
        <w:rPr>
          <w:lang w:eastAsia="en-AU"/>
        </w:rPr>
        <w:t>teri</w:t>
      </w:r>
      <w:r w:rsidR="00AE1EB5">
        <w:rPr>
          <w:rFonts w:cs="Cambria"/>
          <w:lang w:eastAsia="en-AU"/>
        </w:rPr>
        <w:t>f</w:t>
      </w:r>
      <w:r w:rsidR="00AE1EB5">
        <w:rPr>
          <w:lang w:eastAsia="en-AU"/>
        </w:rPr>
        <w:t>lunomide</w:t>
      </w:r>
      <w:r>
        <w:rPr>
          <w:lang w:eastAsia="en-AU"/>
        </w:rPr>
        <w:t xml:space="preserve"> groups. For the ublituximab group, the median (range) age was 33.0 (18 to 55) years, 65.4% of subjects were female, 98.9% of subjects were White, 96.3% of subjects were not Hispanic or Latino, and 90.1% of subjects were from Eastern Europe. For the </w:t>
      </w:r>
      <w:r w:rsidR="00AE1EB5">
        <w:rPr>
          <w:lang w:eastAsia="en-AU"/>
        </w:rPr>
        <w:t>teri</w:t>
      </w:r>
      <w:r w:rsidR="00AE1EB5">
        <w:rPr>
          <w:rFonts w:cs="Cambria"/>
          <w:lang w:eastAsia="en-AU"/>
        </w:rPr>
        <w:t>f</w:t>
      </w:r>
      <w:r w:rsidR="00AE1EB5">
        <w:rPr>
          <w:lang w:eastAsia="en-AU"/>
        </w:rPr>
        <w:t>lunomide</w:t>
      </w:r>
      <w:r>
        <w:rPr>
          <w:lang w:eastAsia="en-AU"/>
        </w:rPr>
        <w:t xml:space="preserve"> group, the median (range) age was 36.0 (18 to 55) years, 64.7% of subjects were female, 98.5% of subjects were White, 96.3% of subjects were not Hispanic or Latino, and 91.9% of subjects were from Eastern Europe.</w:t>
      </w:r>
    </w:p>
    <w:p w14:paraId="61DC4F89" w14:textId="77777777" w:rsidR="005668DD" w:rsidRDefault="005668DD" w:rsidP="008766EA">
      <w:pPr>
        <w:rPr>
          <w:lang w:eastAsia="en-AU"/>
        </w:rPr>
      </w:pPr>
      <w:r>
        <w:rPr>
          <w:lang w:eastAsia="en-AU"/>
        </w:rPr>
        <w:t>The MS disease history and the percentage of subjects with prior MS treatment was similar in the 2 treatment groups.</w:t>
      </w:r>
    </w:p>
    <w:p w14:paraId="07C1A511" w14:textId="5BE4156F" w:rsidR="00A76F57" w:rsidRDefault="005668DD" w:rsidP="008766EA">
      <w:pPr>
        <w:rPr>
          <w:lang w:eastAsia="en-AU"/>
        </w:rPr>
      </w:pPr>
      <w:r>
        <w:rPr>
          <w:lang w:eastAsia="en-AU"/>
        </w:rPr>
        <w:t>Most subjects received 5 infusions that were &gt;50% complete.</w:t>
      </w:r>
    </w:p>
    <w:p w14:paraId="42CFD2E3" w14:textId="77777777" w:rsidR="00D83D85" w:rsidRDefault="00D83D85" w:rsidP="008766EA">
      <w:pPr>
        <w:rPr>
          <w:lang w:eastAsia="en-AU"/>
        </w:rPr>
      </w:pPr>
    </w:p>
    <w:p w14:paraId="33407F54" w14:textId="1392800A" w:rsidR="003257CC" w:rsidRDefault="003257CC" w:rsidP="00B93C9C">
      <w:pPr>
        <w:pStyle w:val="TableTitle"/>
        <w:rPr>
          <w:lang w:eastAsia="en-AU"/>
        </w:rPr>
      </w:pPr>
      <w:r w:rsidRPr="003257CC">
        <w:rPr>
          <w:lang w:eastAsia="en-AU"/>
        </w:rPr>
        <w:lastRenderedPageBreak/>
        <w:t>Table 1</w:t>
      </w:r>
      <w:r w:rsidR="0022378A">
        <w:rPr>
          <w:lang w:eastAsia="en-AU"/>
        </w:rPr>
        <w:t>2</w:t>
      </w:r>
      <w:r w:rsidRPr="003257CC">
        <w:rPr>
          <w:lang w:eastAsia="en-AU"/>
        </w:rPr>
        <w:t>: Extent of Exposure to Intravenous Study Treatment in Study TG1101-RMS302 (mITT Population)</w:t>
      </w:r>
    </w:p>
    <w:tbl>
      <w:tblPr>
        <w:tblW w:w="0" w:type="auto"/>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CellMar>
          <w:top w:w="15" w:type="dxa"/>
          <w:left w:w="15" w:type="dxa"/>
          <w:bottom w:w="15" w:type="dxa"/>
          <w:right w:w="15" w:type="dxa"/>
        </w:tblCellMar>
        <w:tblLook w:val="04A0" w:firstRow="1" w:lastRow="0" w:firstColumn="1" w:lastColumn="0" w:noHBand="0" w:noVBand="1"/>
        <w:tblDescription w:val="Table 12: Extent of Exposure to Intravenous Study Treatment in Study TG1101-RMS302 (mITT Population)"/>
      </w:tblPr>
      <w:tblGrid>
        <w:gridCol w:w="3163"/>
        <w:gridCol w:w="2928"/>
        <w:gridCol w:w="2835"/>
      </w:tblGrid>
      <w:tr w:rsidR="006D60CF" w:rsidRPr="006D60CF" w14:paraId="35CAB1C7" w14:textId="77777777" w:rsidTr="009C25AF">
        <w:trPr>
          <w:tblHeader/>
        </w:trPr>
        <w:tc>
          <w:tcPr>
            <w:tcW w:w="0" w:type="auto"/>
            <w:shd w:val="clear" w:color="auto" w:fill="DEEAF6"/>
            <w:vAlign w:val="center"/>
            <w:hideMark/>
          </w:tcPr>
          <w:p w14:paraId="6E28C7F2" w14:textId="77777777" w:rsidR="006D60CF" w:rsidRPr="006D60CF" w:rsidRDefault="006D60CF" w:rsidP="006D60CF">
            <w:pPr>
              <w:spacing w:after="0" w:line="240" w:lineRule="auto"/>
              <w:rPr>
                <w:rFonts w:eastAsia="Times New Roman" w:cs="Times New Roman"/>
                <w:color w:val="263287"/>
                <w:sz w:val="20"/>
                <w:szCs w:val="24"/>
                <w:lang w:eastAsia="en-AU"/>
              </w:rPr>
            </w:pPr>
          </w:p>
        </w:tc>
        <w:tc>
          <w:tcPr>
            <w:tcW w:w="2928" w:type="dxa"/>
            <w:shd w:val="clear" w:color="auto" w:fill="DEEAF6"/>
            <w:vAlign w:val="center"/>
            <w:hideMark/>
          </w:tcPr>
          <w:p w14:paraId="2D8B87DA" w14:textId="77777777" w:rsidR="006D60CF" w:rsidRPr="006D60CF" w:rsidRDefault="006D60CF" w:rsidP="009C25AF">
            <w:pPr>
              <w:spacing w:after="0" w:line="240" w:lineRule="auto"/>
              <w:rPr>
                <w:rFonts w:eastAsia="Times New Roman" w:cs="Times New Roman"/>
                <w:b/>
                <w:bCs/>
                <w:color w:val="263287"/>
                <w:sz w:val="24"/>
                <w:szCs w:val="24"/>
                <w:lang w:eastAsia="en-AU"/>
              </w:rPr>
            </w:pPr>
            <w:r w:rsidRPr="006D60CF">
              <w:rPr>
                <w:rFonts w:eastAsia="Times New Roman" w:cs="Times New Roman"/>
                <w:b/>
                <w:bCs/>
                <w:color w:val="263287"/>
                <w:sz w:val="24"/>
                <w:szCs w:val="24"/>
                <w:lang w:eastAsia="en-AU"/>
              </w:rPr>
              <w:t>Ublituximab (N=272)</w:t>
            </w:r>
          </w:p>
        </w:tc>
        <w:tc>
          <w:tcPr>
            <w:tcW w:w="2835" w:type="dxa"/>
            <w:shd w:val="clear" w:color="auto" w:fill="DEEAF6"/>
            <w:vAlign w:val="center"/>
            <w:hideMark/>
          </w:tcPr>
          <w:p w14:paraId="5CE77043" w14:textId="77777777" w:rsidR="006D60CF" w:rsidRPr="006D60CF" w:rsidRDefault="006D60CF" w:rsidP="009C25AF">
            <w:pPr>
              <w:spacing w:after="0" w:line="240" w:lineRule="auto"/>
              <w:rPr>
                <w:rFonts w:eastAsia="Times New Roman" w:cs="Times New Roman"/>
                <w:b/>
                <w:bCs/>
                <w:color w:val="263287"/>
                <w:sz w:val="24"/>
                <w:szCs w:val="24"/>
                <w:lang w:eastAsia="en-AU"/>
              </w:rPr>
            </w:pPr>
            <w:r w:rsidRPr="006D60CF">
              <w:rPr>
                <w:rFonts w:eastAsia="Times New Roman" w:cs="Times New Roman"/>
                <w:b/>
                <w:bCs/>
                <w:color w:val="263287"/>
                <w:sz w:val="24"/>
                <w:szCs w:val="24"/>
                <w:lang w:eastAsia="en-AU"/>
              </w:rPr>
              <w:t>Teriflunomide (N=272)</w:t>
            </w:r>
          </w:p>
        </w:tc>
      </w:tr>
      <w:tr w:rsidR="006D60CF" w:rsidRPr="006D60CF" w14:paraId="33421902" w14:textId="77777777" w:rsidTr="009C25AF">
        <w:tc>
          <w:tcPr>
            <w:tcW w:w="0" w:type="auto"/>
            <w:vAlign w:val="center"/>
            <w:hideMark/>
          </w:tcPr>
          <w:p w14:paraId="3C12E74D" w14:textId="77777777" w:rsidR="006D60CF" w:rsidRPr="006D60CF" w:rsidRDefault="006D60CF" w:rsidP="006D60CF">
            <w:pPr>
              <w:spacing w:after="0" w:line="240" w:lineRule="auto"/>
              <w:rPr>
                <w:rFonts w:eastAsia="Times New Roman" w:cs="Times New Roman"/>
                <w:sz w:val="24"/>
                <w:szCs w:val="24"/>
                <w:lang w:eastAsia="en-AU"/>
              </w:rPr>
            </w:pPr>
            <w:r w:rsidRPr="006D60CF">
              <w:rPr>
                <w:rFonts w:eastAsia="Times New Roman" w:cs="Times New Roman"/>
                <w:b/>
                <w:bCs/>
                <w:sz w:val="24"/>
                <w:szCs w:val="24"/>
                <w:lang w:eastAsia="en-AU"/>
              </w:rPr>
              <w:t>Number of infusions</w:t>
            </w:r>
          </w:p>
        </w:tc>
        <w:tc>
          <w:tcPr>
            <w:tcW w:w="2928" w:type="dxa"/>
            <w:vAlign w:val="center"/>
            <w:hideMark/>
          </w:tcPr>
          <w:p w14:paraId="3C403DCE" w14:textId="77777777" w:rsidR="006D60CF" w:rsidRPr="006D60CF" w:rsidRDefault="006D60CF" w:rsidP="006D60CF">
            <w:pPr>
              <w:spacing w:after="0" w:line="240" w:lineRule="auto"/>
              <w:rPr>
                <w:rFonts w:eastAsia="Times New Roman" w:cs="Times New Roman"/>
                <w:sz w:val="24"/>
                <w:szCs w:val="24"/>
                <w:lang w:eastAsia="en-AU"/>
              </w:rPr>
            </w:pPr>
          </w:p>
        </w:tc>
        <w:tc>
          <w:tcPr>
            <w:tcW w:w="2835" w:type="dxa"/>
            <w:vAlign w:val="center"/>
            <w:hideMark/>
          </w:tcPr>
          <w:p w14:paraId="078FD098" w14:textId="77777777" w:rsidR="006D60CF" w:rsidRPr="006D60CF" w:rsidRDefault="006D60CF" w:rsidP="006D60CF">
            <w:pPr>
              <w:spacing w:after="0" w:line="240" w:lineRule="auto"/>
              <w:rPr>
                <w:rFonts w:eastAsia="Times New Roman" w:cs="Times New Roman"/>
                <w:sz w:val="20"/>
                <w:lang w:eastAsia="en-AU"/>
              </w:rPr>
            </w:pPr>
          </w:p>
        </w:tc>
      </w:tr>
      <w:tr w:rsidR="006D60CF" w:rsidRPr="006D60CF" w14:paraId="5CCD577F" w14:textId="77777777" w:rsidTr="009C25AF">
        <w:tc>
          <w:tcPr>
            <w:tcW w:w="0" w:type="auto"/>
            <w:vAlign w:val="center"/>
            <w:hideMark/>
          </w:tcPr>
          <w:p w14:paraId="09C627A3" w14:textId="77777777" w:rsidR="006D60CF" w:rsidRPr="006D60CF" w:rsidRDefault="006D60CF" w:rsidP="006D60CF">
            <w:pPr>
              <w:spacing w:after="0" w:line="240" w:lineRule="auto"/>
              <w:rPr>
                <w:rFonts w:eastAsia="Times New Roman" w:cs="Times New Roman"/>
                <w:sz w:val="24"/>
                <w:szCs w:val="24"/>
                <w:lang w:eastAsia="en-AU"/>
              </w:rPr>
            </w:pPr>
            <w:r w:rsidRPr="006D60CF">
              <w:rPr>
                <w:rFonts w:eastAsia="Times New Roman" w:cs="Times New Roman"/>
                <w:sz w:val="24"/>
                <w:szCs w:val="24"/>
                <w:lang w:eastAsia="en-AU"/>
              </w:rPr>
              <w:t>Mean (SD)</w:t>
            </w:r>
          </w:p>
        </w:tc>
        <w:tc>
          <w:tcPr>
            <w:tcW w:w="2928" w:type="dxa"/>
            <w:vAlign w:val="center"/>
            <w:hideMark/>
          </w:tcPr>
          <w:p w14:paraId="11EB5DC0" w14:textId="77777777" w:rsidR="006D60CF" w:rsidRPr="006D60CF" w:rsidRDefault="006D60CF" w:rsidP="006D60CF">
            <w:pPr>
              <w:spacing w:after="0" w:line="240" w:lineRule="auto"/>
              <w:rPr>
                <w:rFonts w:eastAsia="Times New Roman" w:cs="Times New Roman"/>
                <w:sz w:val="24"/>
                <w:szCs w:val="24"/>
                <w:lang w:eastAsia="en-AU"/>
              </w:rPr>
            </w:pPr>
            <w:r w:rsidRPr="006D60CF">
              <w:rPr>
                <w:rFonts w:eastAsia="Times New Roman" w:cs="Times New Roman"/>
                <w:sz w:val="24"/>
                <w:szCs w:val="24"/>
                <w:lang w:eastAsia="en-AU"/>
              </w:rPr>
              <w:t>4.9 (0.38)</w:t>
            </w:r>
          </w:p>
        </w:tc>
        <w:tc>
          <w:tcPr>
            <w:tcW w:w="2835" w:type="dxa"/>
            <w:vAlign w:val="center"/>
            <w:hideMark/>
          </w:tcPr>
          <w:p w14:paraId="0D7857CF" w14:textId="77777777" w:rsidR="006D60CF" w:rsidRPr="006D60CF" w:rsidRDefault="006D60CF" w:rsidP="006D60CF">
            <w:pPr>
              <w:spacing w:after="0" w:line="240" w:lineRule="auto"/>
              <w:rPr>
                <w:rFonts w:eastAsia="Times New Roman" w:cs="Times New Roman"/>
                <w:sz w:val="24"/>
                <w:szCs w:val="24"/>
                <w:lang w:eastAsia="en-AU"/>
              </w:rPr>
            </w:pPr>
            <w:r w:rsidRPr="006D60CF">
              <w:rPr>
                <w:rFonts w:eastAsia="Times New Roman" w:cs="Times New Roman"/>
                <w:sz w:val="24"/>
                <w:szCs w:val="24"/>
                <w:lang w:eastAsia="en-AU"/>
              </w:rPr>
              <w:t>4.8 (0.71)</w:t>
            </w:r>
          </w:p>
        </w:tc>
      </w:tr>
      <w:tr w:rsidR="006D60CF" w:rsidRPr="006D60CF" w14:paraId="56CB21C1" w14:textId="77777777" w:rsidTr="009C25AF">
        <w:tc>
          <w:tcPr>
            <w:tcW w:w="0" w:type="auto"/>
            <w:vAlign w:val="center"/>
            <w:hideMark/>
          </w:tcPr>
          <w:p w14:paraId="4CA27EEC" w14:textId="77777777" w:rsidR="006D60CF" w:rsidRPr="006D60CF" w:rsidRDefault="006D60CF" w:rsidP="006D60CF">
            <w:pPr>
              <w:spacing w:after="0" w:line="240" w:lineRule="auto"/>
              <w:rPr>
                <w:rFonts w:eastAsia="Times New Roman" w:cs="Times New Roman"/>
                <w:sz w:val="24"/>
                <w:szCs w:val="24"/>
                <w:lang w:eastAsia="en-AU"/>
              </w:rPr>
            </w:pPr>
            <w:r w:rsidRPr="006D60CF">
              <w:rPr>
                <w:rFonts w:eastAsia="Times New Roman" w:cs="Times New Roman"/>
                <w:sz w:val="24"/>
                <w:szCs w:val="24"/>
                <w:lang w:eastAsia="en-AU"/>
              </w:rPr>
              <w:t>Median (minimum, maximum)</w:t>
            </w:r>
          </w:p>
        </w:tc>
        <w:tc>
          <w:tcPr>
            <w:tcW w:w="2928" w:type="dxa"/>
            <w:vAlign w:val="center"/>
            <w:hideMark/>
          </w:tcPr>
          <w:p w14:paraId="10EC1122" w14:textId="77777777" w:rsidR="006D60CF" w:rsidRPr="006D60CF" w:rsidRDefault="006D60CF" w:rsidP="006D60CF">
            <w:pPr>
              <w:spacing w:after="0" w:line="240" w:lineRule="auto"/>
              <w:rPr>
                <w:rFonts w:eastAsia="Times New Roman" w:cs="Times New Roman"/>
                <w:sz w:val="24"/>
                <w:szCs w:val="24"/>
                <w:lang w:eastAsia="en-AU"/>
              </w:rPr>
            </w:pPr>
            <w:r w:rsidRPr="006D60CF">
              <w:rPr>
                <w:rFonts w:eastAsia="Times New Roman" w:cs="Times New Roman"/>
                <w:sz w:val="24"/>
                <w:szCs w:val="24"/>
                <w:lang w:eastAsia="en-AU"/>
              </w:rPr>
              <w:t>5.0 (2, 5)</w:t>
            </w:r>
          </w:p>
        </w:tc>
        <w:tc>
          <w:tcPr>
            <w:tcW w:w="2835" w:type="dxa"/>
            <w:vAlign w:val="center"/>
            <w:hideMark/>
          </w:tcPr>
          <w:p w14:paraId="4B5A0052" w14:textId="77777777" w:rsidR="006D60CF" w:rsidRPr="006D60CF" w:rsidRDefault="006D60CF" w:rsidP="006D60CF">
            <w:pPr>
              <w:spacing w:after="0" w:line="240" w:lineRule="auto"/>
              <w:rPr>
                <w:rFonts w:eastAsia="Times New Roman" w:cs="Times New Roman"/>
                <w:sz w:val="24"/>
                <w:szCs w:val="24"/>
                <w:lang w:eastAsia="en-AU"/>
              </w:rPr>
            </w:pPr>
            <w:r w:rsidRPr="006D60CF">
              <w:rPr>
                <w:rFonts w:eastAsia="Times New Roman" w:cs="Times New Roman"/>
                <w:sz w:val="24"/>
                <w:szCs w:val="24"/>
                <w:lang w:eastAsia="en-AU"/>
              </w:rPr>
              <w:t>5.0 (1, 5)</w:t>
            </w:r>
          </w:p>
        </w:tc>
      </w:tr>
      <w:tr w:rsidR="006D60CF" w:rsidRPr="006D60CF" w14:paraId="6E6D23E9" w14:textId="77777777" w:rsidTr="009C25AF">
        <w:tc>
          <w:tcPr>
            <w:tcW w:w="8926" w:type="dxa"/>
            <w:gridSpan w:val="3"/>
            <w:vAlign w:val="center"/>
            <w:hideMark/>
          </w:tcPr>
          <w:p w14:paraId="5339E0AD" w14:textId="6B06785D" w:rsidR="006D60CF" w:rsidRPr="006D60CF" w:rsidRDefault="006D60CF" w:rsidP="006D60CF">
            <w:pPr>
              <w:spacing w:after="0" w:line="240" w:lineRule="auto"/>
              <w:rPr>
                <w:rFonts w:eastAsia="Times New Roman" w:cs="Times New Roman"/>
                <w:sz w:val="20"/>
                <w:lang w:eastAsia="en-AU"/>
              </w:rPr>
            </w:pPr>
            <w:r w:rsidRPr="006D60CF">
              <w:rPr>
                <w:rFonts w:eastAsia="Times New Roman" w:cs="Times New Roman"/>
                <w:b/>
                <w:bCs/>
                <w:sz w:val="24"/>
                <w:szCs w:val="24"/>
                <w:lang w:eastAsia="en-AU"/>
              </w:rPr>
              <w:t>Number of infusionsᵃ, n (%)</w:t>
            </w:r>
          </w:p>
        </w:tc>
      </w:tr>
      <w:tr w:rsidR="006D60CF" w:rsidRPr="006D60CF" w14:paraId="590BDD91" w14:textId="77777777" w:rsidTr="009C25AF">
        <w:tc>
          <w:tcPr>
            <w:tcW w:w="0" w:type="auto"/>
            <w:vAlign w:val="center"/>
            <w:hideMark/>
          </w:tcPr>
          <w:p w14:paraId="6C07A464" w14:textId="77777777" w:rsidR="006D60CF" w:rsidRPr="006D60CF" w:rsidRDefault="006D60CF" w:rsidP="006D60CF">
            <w:pPr>
              <w:spacing w:after="0" w:line="240" w:lineRule="auto"/>
              <w:rPr>
                <w:rFonts w:eastAsia="Times New Roman" w:cs="Times New Roman"/>
                <w:sz w:val="24"/>
                <w:szCs w:val="24"/>
                <w:lang w:eastAsia="en-AU"/>
              </w:rPr>
            </w:pPr>
            <w:r w:rsidRPr="006D60CF">
              <w:rPr>
                <w:rFonts w:eastAsia="Times New Roman" w:cs="Times New Roman"/>
                <w:sz w:val="24"/>
                <w:szCs w:val="24"/>
                <w:lang w:eastAsia="en-AU"/>
              </w:rPr>
              <w:t>1</w:t>
            </w:r>
          </w:p>
        </w:tc>
        <w:tc>
          <w:tcPr>
            <w:tcW w:w="2928" w:type="dxa"/>
            <w:vAlign w:val="center"/>
            <w:hideMark/>
          </w:tcPr>
          <w:p w14:paraId="7C3A8F2E" w14:textId="77777777" w:rsidR="006D60CF" w:rsidRPr="006D60CF" w:rsidRDefault="006D60CF" w:rsidP="006D60CF">
            <w:pPr>
              <w:spacing w:after="0" w:line="240" w:lineRule="auto"/>
              <w:rPr>
                <w:rFonts w:eastAsia="Times New Roman" w:cs="Times New Roman"/>
                <w:sz w:val="24"/>
                <w:szCs w:val="24"/>
                <w:lang w:eastAsia="en-AU"/>
              </w:rPr>
            </w:pPr>
            <w:r w:rsidRPr="006D60CF">
              <w:rPr>
                <w:rFonts w:eastAsia="Times New Roman" w:cs="Times New Roman"/>
                <w:sz w:val="24"/>
                <w:szCs w:val="24"/>
                <w:lang w:eastAsia="en-AU"/>
              </w:rPr>
              <w:t>0</w:t>
            </w:r>
          </w:p>
        </w:tc>
        <w:tc>
          <w:tcPr>
            <w:tcW w:w="2835" w:type="dxa"/>
            <w:vAlign w:val="center"/>
            <w:hideMark/>
          </w:tcPr>
          <w:p w14:paraId="6D93C57A" w14:textId="77777777" w:rsidR="006D60CF" w:rsidRPr="006D60CF" w:rsidRDefault="006D60CF" w:rsidP="006D60CF">
            <w:pPr>
              <w:spacing w:after="0" w:line="240" w:lineRule="auto"/>
              <w:rPr>
                <w:rFonts w:eastAsia="Times New Roman" w:cs="Times New Roman"/>
                <w:sz w:val="24"/>
                <w:szCs w:val="24"/>
                <w:lang w:eastAsia="en-AU"/>
              </w:rPr>
            </w:pPr>
            <w:r w:rsidRPr="006D60CF">
              <w:rPr>
                <w:rFonts w:eastAsia="Times New Roman" w:cs="Times New Roman"/>
                <w:sz w:val="24"/>
                <w:szCs w:val="24"/>
                <w:lang w:eastAsia="en-AU"/>
              </w:rPr>
              <w:t>1 (0.4)</w:t>
            </w:r>
          </w:p>
        </w:tc>
      </w:tr>
      <w:tr w:rsidR="006D60CF" w:rsidRPr="006D60CF" w14:paraId="047F8D3B" w14:textId="77777777" w:rsidTr="009C25AF">
        <w:tc>
          <w:tcPr>
            <w:tcW w:w="0" w:type="auto"/>
            <w:vAlign w:val="center"/>
            <w:hideMark/>
          </w:tcPr>
          <w:p w14:paraId="373FF472" w14:textId="77777777" w:rsidR="006D60CF" w:rsidRPr="006D60CF" w:rsidRDefault="006D60CF" w:rsidP="006D60CF">
            <w:pPr>
              <w:spacing w:after="0" w:line="240" w:lineRule="auto"/>
              <w:rPr>
                <w:rFonts w:eastAsia="Times New Roman" w:cs="Times New Roman"/>
                <w:sz w:val="24"/>
                <w:szCs w:val="24"/>
                <w:lang w:eastAsia="en-AU"/>
              </w:rPr>
            </w:pPr>
            <w:r w:rsidRPr="006D60CF">
              <w:rPr>
                <w:rFonts w:eastAsia="Times New Roman" w:cs="Times New Roman"/>
                <w:sz w:val="24"/>
                <w:szCs w:val="24"/>
                <w:lang w:eastAsia="en-AU"/>
              </w:rPr>
              <w:t>2</w:t>
            </w:r>
          </w:p>
        </w:tc>
        <w:tc>
          <w:tcPr>
            <w:tcW w:w="2928" w:type="dxa"/>
            <w:vAlign w:val="center"/>
            <w:hideMark/>
          </w:tcPr>
          <w:p w14:paraId="2B917B0E" w14:textId="77777777" w:rsidR="006D60CF" w:rsidRPr="006D60CF" w:rsidRDefault="006D60CF" w:rsidP="006D60CF">
            <w:pPr>
              <w:spacing w:after="0" w:line="240" w:lineRule="auto"/>
              <w:rPr>
                <w:rFonts w:eastAsia="Times New Roman" w:cs="Times New Roman"/>
                <w:sz w:val="24"/>
                <w:szCs w:val="24"/>
                <w:lang w:eastAsia="en-AU"/>
              </w:rPr>
            </w:pPr>
            <w:r w:rsidRPr="006D60CF">
              <w:rPr>
                <w:rFonts w:eastAsia="Times New Roman" w:cs="Times New Roman"/>
                <w:sz w:val="24"/>
                <w:szCs w:val="24"/>
                <w:lang w:eastAsia="en-AU"/>
              </w:rPr>
              <w:t>2 (0.7)</w:t>
            </w:r>
          </w:p>
        </w:tc>
        <w:tc>
          <w:tcPr>
            <w:tcW w:w="2835" w:type="dxa"/>
            <w:vAlign w:val="center"/>
            <w:hideMark/>
          </w:tcPr>
          <w:p w14:paraId="072A8010" w14:textId="77777777" w:rsidR="006D60CF" w:rsidRPr="006D60CF" w:rsidRDefault="006D60CF" w:rsidP="006D60CF">
            <w:pPr>
              <w:spacing w:after="0" w:line="240" w:lineRule="auto"/>
              <w:rPr>
                <w:rFonts w:eastAsia="Times New Roman" w:cs="Times New Roman"/>
                <w:sz w:val="24"/>
                <w:szCs w:val="24"/>
                <w:lang w:eastAsia="en-AU"/>
              </w:rPr>
            </w:pPr>
            <w:r w:rsidRPr="006D60CF">
              <w:rPr>
                <w:rFonts w:eastAsia="Times New Roman" w:cs="Times New Roman"/>
                <w:sz w:val="24"/>
                <w:szCs w:val="24"/>
                <w:lang w:eastAsia="en-AU"/>
              </w:rPr>
              <w:t>10 (3.7)</w:t>
            </w:r>
          </w:p>
        </w:tc>
      </w:tr>
      <w:tr w:rsidR="006D60CF" w:rsidRPr="006D60CF" w14:paraId="3645C7B4" w14:textId="77777777" w:rsidTr="009C25AF">
        <w:tc>
          <w:tcPr>
            <w:tcW w:w="0" w:type="auto"/>
            <w:vAlign w:val="center"/>
            <w:hideMark/>
          </w:tcPr>
          <w:p w14:paraId="2C59B261" w14:textId="77777777" w:rsidR="006D60CF" w:rsidRPr="006D60CF" w:rsidRDefault="006D60CF" w:rsidP="006D60CF">
            <w:pPr>
              <w:spacing w:after="0" w:line="240" w:lineRule="auto"/>
              <w:rPr>
                <w:rFonts w:eastAsia="Times New Roman" w:cs="Times New Roman"/>
                <w:sz w:val="24"/>
                <w:szCs w:val="24"/>
                <w:lang w:eastAsia="en-AU"/>
              </w:rPr>
            </w:pPr>
            <w:r w:rsidRPr="006D60CF">
              <w:rPr>
                <w:rFonts w:eastAsia="Times New Roman" w:cs="Times New Roman"/>
                <w:sz w:val="24"/>
                <w:szCs w:val="24"/>
                <w:lang w:eastAsia="en-AU"/>
              </w:rPr>
              <w:t>3</w:t>
            </w:r>
          </w:p>
        </w:tc>
        <w:tc>
          <w:tcPr>
            <w:tcW w:w="2928" w:type="dxa"/>
            <w:vAlign w:val="center"/>
            <w:hideMark/>
          </w:tcPr>
          <w:p w14:paraId="081CF195" w14:textId="77777777" w:rsidR="006D60CF" w:rsidRPr="006D60CF" w:rsidRDefault="006D60CF" w:rsidP="006D60CF">
            <w:pPr>
              <w:spacing w:after="0" w:line="240" w:lineRule="auto"/>
              <w:rPr>
                <w:rFonts w:eastAsia="Times New Roman" w:cs="Times New Roman"/>
                <w:sz w:val="24"/>
                <w:szCs w:val="24"/>
                <w:lang w:eastAsia="en-AU"/>
              </w:rPr>
            </w:pPr>
            <w:r w:rsidRPr="006D60CF">
              <w:rPr>
                <w:rFonts w:eastAsia="Times New Roman" w:cs="Times New Roman"/>
                <w:sz w:val="24"/>
                <w:szCs w:val="24"/>
                <w:lang w:eastAsia="en-AU"/>
              </w:rPr>
              <w:t>4 (1.5)</w:t>
            </w:r>
          </w:p>
        </w:tc>
        <w:tc>
          <w:tcPr>
            <w:tcW w:w="2835" w:type="dxa"/>
            <w:vAlign w:val="center"/>
            <w:hideMark/>
          </w:tcPr>
          <w:p w14:paraId="596C9966" w14:textId="77777777" w:rsidR="006D60CF" w:rsidRPr="006D60CF" w:rsidRDefault="006D60CF" w:rsidP="006D60CF">
            <w:pPr>
              <w:spacing w:after="0" w:line="240" w:lineRule="auto"/>
              <w:rPr>
                <w:rFonts w:eastAsia="Times New Roman" w:cs="Times New Roman"/>
                <w:sz w:val="24"/>
                <w:szCs w:val="24"/>
                <w:lang w:eastAsia="en-AU"/>
              </w:rPr>
            </w:pPr>
            <w:r w:rsidRPr="006D60CF">
              <w:rPr>
                <w:rFonts w:eastAsia="Times New Roman" w:cs="Times New Roman"/>
                <w:sz w:val="24"/>
                <w:szCs w:val="24"/>
                <w:lang w:eastAsia="en-AU"/>
              </w:rPr>
              <w:t>10 (3.7)</w:t>
            </w:r>
          </w:p>
        </w:tc>
      </w:tr>
      <w:tr w:rsidR="006D60CF" w:rsidRPr="006D60CF" w14:paraId="59EE1696" w14:textId="77777777" w:rsidTr="009C25AF">
        <w:tc>
          <w:tcPr>
            <w:tcW w:w="0" w:type="auto"/>
            <w:vAlign w:val="center"/>
            <w:hideMark/>
          </w:tcPr>
          <w:p w14:paraId="2E0B2294" w14:textId="77777777" w:rsidR="006D60CF" w:rsidRPr="006D60CF" w:rsidRDefault="006D60CF" w:rsidP="006D60CF">
            <w:pPr>
              <w:spacing w:after="0" w:line="240" w:lineRule="auto"/>
              <w:rPr>
                <w:rFonts w:eastAsia="Times New Roman" w:cs="Times New Roman"/>
                <w:sz w:val="24"/>
                <w:szCs w:val="24"/>
                <w:lang w:eastAsia="en-AU"/>
              </w:rPr>
            </w:pPr>
            <w:r w:rsidRPr="006D60CF">
              <w:rPr>
                <w:rFonts w:eastAsia="Times New Roman" w:cs="Times New Roman"/>
                <w:sz w:val="24"/>
                <w:szCs w:val="24"/>
                <w:lang w:eastAsia="en-AU"/>
              </w:rPr>
              <w:t>4</w:t>
            </w:r>
          </w:p>
        </w:tc>
        <w:tc>
          <w:tcPr>
            <w:tcW w:w="2928" w:type="dxa"/>
            <w:vAlign w:val="center"/>
            <w:hideMark/>
          </w:tcPr>
          <w:p w14:paraId="7C3A479A" w14:textId="77777777" w:rsidR="006D60CF" w:rsidRPr="006D60CF" w:rsidRDefault="006D60CF" w:rsidP="006D60CF">
            <w:pPr>
              <w:spacing w:after="0" w:line="240" w:lineRule="auto"/>
              <w:rPr>
                <w:rFonts w:eastAsia="Times New Roman" w:cs="Times New Roman"/>
                <w:sz w:val="24"/>
                <w:szCs w:val="24"/>
                <w:lang w:eastAsia="en-AU"/>
              </w:rPr>
            </w:pPr>
            <w:r w:rsidRPr="006D60CF">
              <w:rPr>
                <w:rFonts w:eastAsia="Times New Roman" w:cs="Times New Roman"/>
                <w:sz w:val="24"/>
                <w:szCs w:val="24"/>
                <w:lang w:eastAsia="en-AU"/>
              </w:rPr>
              <w:t>7 (2.6)</w:t>
            </w:r>
          </w:p>
        </w:tc>
        <w:tc>
          <w:tcPr>
            <w:tcW w:w="2835" w:type="dxa"/>
            <w:vAlign w:val="center"/>
            <w:hideMark/>
          </w:tcPr>
          <w:p w14:paraId="62D9D5DB" w14:textId="77777777" w:rsidR="006D60CF" w:rsidRPr="006D60CF" w:rsidRDefault="006D60CF" w:rsidP="006D60CF">
            <w:pPr>
              <w:spacing w:after="0" w:line="240" w:lineRule="auto"/>
              <w:rPr>
                <w:rFonts w:eastAsia="Times New Roman" w:cs="Times New Roman"/>
                <w:sz w:val="24"/>
                <w:szCs w:val="24"/>
                <w:lang w:eastAsia="en-AU"/>
              </w:rPr>
            </w:pPr>
            <w:r w:rsidRPr="006D60CF">
              <w:rPr>
                <w:rFonts w:eastAsia="Times New Roman" w:cs="Times New Roman"/>
                <w:sz w:val="24"/>
                <w:szCs w:val="24"/>
                <w:lang w:eastAsia="en-AU"/>
              </w:rPr>
              <w:t>5 (1.8)</w:t>
            </w:r>
          </w:p>
        </w:tc>
      </w:tr>
      <w:tr w:rsidR="006D60CF" w:rsidRPr="006D60CF" w14:paraId="27DBE228" w14:textId="77777777" w:rsidTr="009C25AF">
        <w:tc>
          <w:tcPr>
            <w:tcW w:w="0" w:type="auto"/>
            <w:vAlign w:val="center"/>
            <w:hideMark/>
          </w:tcPr>
          <w:p w14:paraId="1DE56524" w14:textId="77777777" w:rsidR="006D60CF" w:rsidRPr="006D60CF" w:rsidRDefault="006D60CF" w:rsidP="006D60CF">
            <w:pPr>
              <w:spacing w:after="0" w:line="240" w:lineRule="auto"/>
              <w:rPr>
                <w:rFonts w:eastAsia="Times New Roman" w:cs="Times New Roman"/>
                <w:sz w:val="24"/>
                <w:szCs w:val="24"/>
                <w:lang w:eastAsia="en-AU"/>
              </w:rPr>
            </w:pPr>
            <w:r w:rsidRPr="006D60CF">
              <w:rPr>
                <w:rFonts w:eastAsia="Times New Roman" w:cs="Times New Roman"/>
                <w:sz w:val="24"/>
                <w:szCs w:val="24"/>
                <w:lang w:eastAsia="en-AU"/>
              </w:rPr>
              <w:t>5</w:t>
            </w:r>
          </w:p>
        </w:tc>
        <w:tc>
          <w:tcPr>
            <w:tcW w:w="2928" w:type="dxa"/>
            <w:vAlign w:val="center"/>
            <w:hideMark/>
          </w:tcPr>
          <w:p w14:paraId="0465D818" w14:textId="77777777" w:rsidR="006D60CF" w:rsidRPr="006D60CF" w:rsidRDefault="006D60CF" w:rsidP="006D60CF">
            <w:pPr>
              <w:spacing w:after="0" w:line="240" w:lineRule="auto"/>
              <w:rPr>
                <w:rFonts w:eastAsia="Times New Roman" w:cs="Times New Roman"/>
                <w:sz w:val="24"/>
                <w:szCs w:val="24"/>
                <w:lang w:eastAsia="en-AU"/>
              </w:rPr>
            </w:pPr>
            <w:r w:rsidRPr="006D60CF">
              <w:rPr>
                <w:rFonts w:eastAsia="Times New Roman" w:cs="Times New Roman"/>
                <w:sz w:val="24"/>
                <w:szCs w:val="24"/>
                <w:lang w:eastAsia="en-AU"/>
              </w:rPr>
              <w:t>259 (95.2)</w:t>
            </w:r>
          </w:p>
        </w:tc>
        <w:tc>
          <w:tcPr>
            <w:tcW w:w="2835" w:type="dxa"/>
            <w:vAlign w:val="center"/>
            <w:hideMark/>
          </w:tcPr>
          <w:p w14:paraId="521FC52B" w14:textId="77777777" w:rsidR="006D60CF" w:rsidRPr="006D60CF" w:rsidRDefault="006D60CF" w:rsidP="006D60CF">
            <w:pPr>
              <w:spacing w:after="0" w:line="240" w:lineRule="auto"/>
              <w:rPr>
                <w:rFonts w:eastAsia="Times New Roman" w:cs="Times New Roman"/>
                <w:sz w:val="24"/>
                <w:szCs w:val="24"/>
                <w:lang w:eastAsia="en-AU"/>
              </w:rPr>
            </w:pPr>
            <w:r w:rsidRPr="006D60CF">
              <w:rPr>
                <w:rFonts w:eastAsia="Times New Roman" w:cs="Times New Roman"/>
                <w:sz w:val="24"/>
                <w:szCs w:val="24"/>
                <w:lang w:eastAsia="en-AU"/>
              </w:rPr>
              <w:t>246 (90.4)</w:t>
            </w:r>
          </w:p>
        </w:tc>
      </w:tr>
      <w:tr w:rsidR="006D60CF" w:rsidRPr="006D60CF" w14:paraId="7206B513" w14:textId="77777777" w:rsidTr="009C25AF">
        <w:tc>
          <w:tcPr>
            <w:tcW w:w="8926" w:type="dxa"/>
            <w:gridSpan w:val="3"/>
            <w:vAlign w:val="center"/>
            <w:hideMark/>
          </w:tcPr>
          <w:p w14:paraId="199E8951" w14:textId="20AAD9CE" w:rsidR="006D60CF" w:rsidRPr="006D60CF" w:rsidRDefault="006D60CF" w:rsidP="006D60CF">
            <w:pPr>
              <w:spacing w:after="0" w:line="240" w:lineRule="auto"/>
              <w:rPr>
                <w:rFonts w:eastAsia="Times New Roman" w:cs="Times New Roman"/>
                <w:sz w:val="20"/>
                <w:lang w:eastAsia="en-AU"/>
              </w:rPr>
            </w:pPr>
            <w:r w:rsidRPr="006D60CF">
              <w:rPr>
                <w:rFonts w:eastAsia="Times New Roman" w:cs="Times New Roman"/>
                <w:b/>
                <w:bCs/>
                <w:sz w:val="24"/>
                <w:szCs w:val="24"/>
                <w:lang w:eastAsia="en-AU"/>
              </w:rPr>
              <w:t>Percentage of planned total dose (ublituximab or placebo) taken</w:t>
            </w:r>
          </w:p>
        </w:tc>
      </w:tr>
      <w:tr w:rsidR="006D60CF" w:rsidRPr="006D60CF" w14:paraId="087B070E" w14:textId="77777777" w:rsidTr="009C25AF">
        <w:tc>
          <w:tcPr>
            <w:tcW w:w="0" w:type="auto"/>
            <w:vAlign w:val="center"/>
            <w:hideMark/>
          </w:tcPr>
          <w:p w14:paraId="065D9324" w14:textId="77777777" w:rsidR="006D60CF" w:rsidRPr="006D60CF" w:rsidRDefault="006D60CF" w:rsidP="006D60CF">
            <w:pPr>
              <w:spacing w:after="0" w:line="240" w:lineRule="auto"/>
              <w:rPr>
                <w:rFonts w:eastAsia="Times New Roman" w:cs="Times New Roman"/>
                <w:sz w:val="24"/>
                <w:szCs w:val="24"/>
                <w:lang w:eastAsia="en-AU"/>
              </w:rPr>
            </w:pPr>
            <w:r w:rsidRPr="006D60CF">
              <w:rPr>
                <w:rFonts w:eastAsia="Times New Roman" w:cs="Times New Roman"/>
                <w:sz w:val="24"/>
                <w:szCs w:val="24"/>
                <w:lang w:eastAsia="en-AU"/>
              </w:rPr>
              <w:t>Mean (SD)</w:t>
            </w:r>
          </w:p>
        </w:tc>
        <w:tc>
          <w:tcPr>
            <w:tcW w:w="2928" w:type="dxa"/>
            <w:vAlign w:val="center"/>
            <w:hideMark/>
          </w:tcPr>
          <w:p w14:paraId="4EE27BA8" w14:textId="77777777" w:rsidR="006D60CF" w:rsidRPr="006D60CF" w:rsidRDefault="006D60CF" w:rsidP="006D60CF">
            <w:pPr>
              <w:spacing w:after="0" w:line="240" w:lineRule="auto"/>
              <w:rPr>
                <w:rFonts w:eastAsia="Times New Roman" w:cs="Times New Roman"/>
                <w:sz w:val="24"/>
                <w:szCs w:val="24"/>
                <w:lang w:eastAsia="en-AU"/>
              </w:rPr>
            </w:pPr>
            <w:r w:rsidRPr="006D60CF">
              <w:rPr>
                <w:rFonts w:eastAsia="Times New Roman" w:cs="Times New Roman"/>
                <w:sz w:val="24"/>
                <w:szCs w:val="24"/>
                <w:lang w:eastAsia="en-AU"/>
              </w:rPr>
              <w:t>98.4 (8.75)</w:t>
            </w:r>
          </w:p>
        </w:tc>
        <w:tc>
          <w:tcPr>
            <w:tcW w:w="2835" w:type="dxa"/>
            <w:vAlign w:val="center"/>
            <w:hideMark/>
          </w:tcPr>
          <w:p w14:paraId="61AEC2FB" w14:textId="77777777" w:rsidR="006D60CF" w:rsidRPr="006D60CF" w:rsidRDefault="006D60CF" w:rsidP="006D60CF">
            <w:pPr>
              <w:spacing w:after="0" w:line="240" w:lineRule="auto"/>
              <w:rPr>
                <w:rFonts w:eastAsia="Times New Roman" w:cs="Times New Roman"/>
                <w:sz w:val="24"/>
                <w:szCs w:val="24"/>
                <w:lang w:eastAsia="en-AU"/>
              </w:rPr>
            </w:pPr>
            <w:r w:rsidRPr="006D60CF">
              <w:rPr>
                <w:rFonts w:eastAsia="Times New Roman" w:cs="Times New Roman"/>
                <w:sz w:val="24"/>
                <w:szCs w:val="24"/>
                <w:lang w:eastAsia="en-AU"/>
              </w:rPr>
              <w:t>95.2 (16.53)</w:t>
            </w:r>
          </w:p>
        </w:tc>
      </w:tr>
      <w:tr w:rsidR="006D60CF" w:rsidRPr="006D60CF" w14:paraId="5426B4F3" w14:textId="77777777" w:rsidTr="009C25AF">
        <w:tc>
          <w:tcPr>
            <w:tcW w:w="0" w:type="auto"/>
            <w:vAlign w:val="center"/>
            <w:hideMark/>
          </w:tcPr>
          <w:p w14:paraId="72CA5ED4" w14:textId="77777777" w:rsidR="006D60CF" w:rsidRPr="006D60CF" w:rsidRDefault="006D60CF" w:rsidP="006D60CF">
            <w:pPr>
              <w:spacing w:after="0" w:line="240" w:lineRule="auto"/>
              <w:rPr>
                <w:rFonts w:eastAsia="Times New Roman" w:cs="Times New Roman"/>
                <w:sz w:val="24"/>
                <w:szCs w:val="24"/>
                <w:lang w:eastAsia="en-AU"/>
              </w:rPr>
            </w:pPr>
            <w:r w:rsidRPr="006D60CF">
              <w:rPr>
                <w:rFonts w:eastAsia="Times New Roman" w:cs="Times New Roman"/>
                <w:sz w:val="24"/>
                <w:szCs w:val="24"/>
                <w:lang w:eastAsia="en-AU"/>
              </w:rPr>
              <w:t>Median (minimum, maximum)</w:t>
            </w:r>
          </w:p>
        </w:tc>
        <w:tc>
          <w:tcPr>
            <w:tcW w:w="2928" w:type="dxa"/>
            <w:vAlign w:val="center"/>
            <w:hideMark/>
          </w:tcPr>
          <w:p w14:paraId="58A4D470" w14:textId="77777777" w:rsidR="006D60CF" w:rsidRPr="006D60CF" w:rsidRDefault="006D60CF" w:rsidP="006D60CF">
            <w:pPr>
              <w:spacing w:after="0" w:line="240" w:lineRule="auto"/>
              <w:rPr>
                <w:rFonts w:eastAsia="Times New Roman" w:cs="Times New Roman"/>
                <w:sz w:val="24"/>
                <w:szCs w:val="24"/>
                <w:lang w:eastAsia="en-AU"/>
              </w:rPr>
            </w:pPr>
            <w:r w:rsidRPr="006D60CF">
              <w:rPr>
                <w:rFonts w:eastAsia="Times New Roman" w:cs="Times New Roman"/>
                <w:sz w:val="24"/>
                <w:szCs w:val="24"/>
                <w:lang w:eastAsia="en-AU"/>
              </w:rPr>
              <w:t>100.0 (30.8, 103.5)</w:t>
            </w:r>
          </w:p>
        </w:tc>
        <w:tc>
          <w:tcPr>
            <w:tcW w:w="2835" w:type="dxa"/>
            <w:vAlign w:val="center"/>
            <w:hideMark/>
          </w:tcPr>
          <w:p w14:paraId="4676BC68" w14:textId="77777777" w:rsidR="006D60CF" w:rsidRPr="006D60CF" w:rsidRDefault="006D60CF" w:rsidP="006D60CF">
            <w:pPr>
              <w:spacing w:after="0" w:line="240" w:lineRule="auto"/>
              <w:rPr>
                <w:rFonts w:eastAsia="Times New Roman" w:cs="Times New Roman"/>
                <w:sz w:val="24"/>
                <w:szCs w:val="24"/>
                <w:lang w:eastAsia="en-AU"/>
              </w:rPr>
            </w:pPr>
            <w:r w:rsidRPr="006D60CF">
              <w:rPr>
                <w:rFonts w:eastAsia="Times New Roman" w:cs="Times New Roman"/>
                <w:sz w:val="24"/>
                <w:szCs w:val="24"/>
                <w:lang w:eastAsia="en-AU"/>
              </w:rPr>
              <w:t>100.0 (7.7, 103.5)</w:t>
            </w:r>
          </w:p>
        </w:tc>
      </w:tr>
    </w:tbl>
    <w:p w14:paraId="4DB0C877" w14:textId="77777777" w:rsidR="0031624A" w:rsidRDefault="0031624A" w:rsidP="0031624A">
      <w:pPr>
        <w:pStyle w:val="TableDescription"/>
        <w:contextualSpacing/>
        <w:rPr>
          <w:lang w:eastAsia="en-AU"/>
        </w:rPr>
      </w:pPr>
      <w:r>
        <w:rPr>
          <w:lang w:eastAsia="en-AU"/>
        </w:rPr>
        <w:t>mITT, modified intent-to-treat; SD, standard deviation.</w:t>
      </w:r>
    </w:p>
    <w:p w14:paraId="120756EC" w14:textId="77777777" w:rsidR="0031624A" w:rsidRDefault="0031624A" w:rsidP="0031624A">
      <w:pPr>
        <w:pStyle w:val="TableDescription"/>
        <w:contextualSpacing/>
        <w:rPr>
          <w:lang w:eastAsia="en-AU"/>
        </w:rPr>
      </w:pPr>
      <w:r>
        <w:rPr>
          <w:lang w:eastAsia="en-AU"/>
        </w:rPr>
        <w:t>Note: Ublituximab treatment in the Ublituximab group, Placebo in the Teriflunomide group</w:t>
      </w:r>
    </w:p>
    <w:p w14:paraId="76D583A3" w14:textId="3E9E5F78" w:rsidR="0031624A" w:rsidRDefault="0031624A" w:rsidP="0031624A">
      <w:pPr>
        <w:pStyle w:val="TableDescription"/>
        <w:contextualSpacing/>
        <w:rPr>
          <w:lang w:eastAsia="en-AU"/>
        </w:rPr>
      </w:pPr>
      <w:r>
        <w:rPr>
          <w:lang w:eastAsia="en-AU"/>
        </w:rPr>
        <w:t>3&gt;50% complete, only participants with at least one infusion are represented in this summary</w:t>
      </w:r>
    </w:p>
    <w:p w14:paraId="19F5DDCB" w14:textId="77777777" w:rsidR="00316582" w:rsidRDefault="00316582" w:rsidP="007E2D77">
      <w:pPr>
        <w:pStyle w:val="Heading6"/>
        <w:rPr>
          <w:lang w:eastAsia="en-AU"/>
        </w:rPr>
      </w:pPr>
      <w:r>
        <w:rPr>
          <w:lang w:eastAsia="en-AU"/>
        </w:rPr>
        <w:t>Outcomes and estimation</w:t>
      </w:r>
    </w:p>
    <w:p w14:paraId="084A660D" w14:textId="1E744FEA" w:rsidR="00316582" w:rsidRDefault="00316582" w:rsidP="007E2D77">
      <w:pPr>
        <w:pStyle w:val="Heading7"/>
        <w:rPr>
          <w:lang w:eastAsia="en-AU"/>
        </w:rPr>
      </w:pPr>
      <w:r>
        <w:rPr>
          <w:lang w:eastAsia="en-AU"/>
        </w:rPr>
        <w:t xml:space="preserve">Primary </w:t>
      </w:r>
      <w:r w:rsidR="00AE1EB5">
        <w:rPr>
          <w:lang w:eastAsia="en-AU"/>
        </w:rPr>
        <w:t>ef</w:t>
      </w:r>
      <w:r w:rsidR="00AE1EB5">
        <w:rPr>
          <w:rFonts w:ascii="Cambria" w:hAnsi="Cambria" w:cs="Cambria"/>
          <w:lang w:eastAsia="en-AU"/>
        </w:rPr>
        <w:t>f</w:t>
      </w:r>
      <w:r w:rsidR="00AE1EB5">
        <w:rPr>
          <w:lang w:eastAsia="en-AU"/>
        </w:rPr>
        <w:t>icacy</w:t>
      </w:r>
      <w:r>
        <w:rPr>
          <w:lang w:eastAsia="en-AU"/>
        </w:rPr>
        <w:t xml:space="preserve"> endpoint</w:t>
      </w:r>
    </w:p>
    <w:p w14:paraId="2939C822" w14:textId="5BCB2FCA" w:rsidR="00316582" w:rsidRDefault="00316582" w:rsidP="008766EA">
      <w:pPr>
        <w:rPr>
          <w:lang w:eastAsia="en-AU"/>
        </w:rPr>
      </w:pPr>
      <w:r>
        <w:rPr>
          <w:lang w:eastAsia="en-AU"/>
        </w:rPr>
        <w:t xml:space="preserve">The treatment effect of ublituximab versus </w:t>
      </w:r>
      <w:r w:rsidR="00AE1EB5">
        <w:rPr>
          <w:lang w:eastAsia="en-AU"/>
        </w:rPr>
        <w:t>teri</w:t>
      </w:r>
      <w:r w:rsidR="00AE1EB5">
        <w:rPr>
          <w:rFonts w:cs="Cambria"/>
          <w:lang w:eastAsia="en-AU"/>
        </w:rPr>
        <w:t>f</w:t>
      </w:r>
      <w:r w:rsidR="00AE1EB5">
        <w:rPr>
          <w:lang w:eastAsia="en-AU"/>
        </w:rPr>
        <w:t>lunomide</w:t>
      </w:r>
      <w:r>
        <w:rPr>
          <w:lang w:eastAsia="en-AU"/>
        </w:rPr>
        <w:t xml:space="preserve"> was statistically </w:t>
      </w:r>
      <w:r w:rsidR="00AE1EB5">
        <w:rPr>
          <w:lang w:eastAsia="en-AU"/>
        </w:rPr>
        <w:t>signi</w:t>
      </w:r>
      <w:r w:rsidR="00AE1EB5">
        <w:rPr>
          <w:rFonts w:cs="Cambria"/>
          <w:lang w:eastAsia="en-AU"/>
        </w:rPr>
        <w:t>f</w:t>
      </w:r>
      <w:r w:rsidR="00AE1EB5">
        <w:rPr>
          <w:lang w:eastAsia="en-AU"/>
        </w:rPr>
        <w:t>icant</w:t>
      </w:r>
      <w:r>
        <w:rPr>
          <w:lang w:eastAsia="en-AU"/>
        </w:rPr>
        <w:t xml:space="preserve"> in </w:t>
      </w:r>
      <w:r w:rsidR="00AE1EB5">
        <w:rPr>
          <w:lang w:eastAsia="en-AU"/>
        </w:rPr>
        <w:t>favour</w:t>
      </w:r>
      <w:r>
        <w:rPr>
          <w:lang w:eastAsia="en-AU"/>
        </w:rPr>
        <w:t xml:space="preserve"> of ublituximab. Similar </w:t>
      </w:r>
      <w:r w:rsidR="00AE1EB5">
        <w:rPr>
          <w:lang w:eastAsia="en-AU"/>
        </w:rPr>
        <w:t>findings</w:t>
      </w:r>
      <w:r>
        <w:rPr>
          <w:lang w:eastAsia="en-AU"/>
        </w:rPr>
        <w:t xml:space="preserve"> were reported for the ITT population and the PP population.</w:t>
      </w:r>
    </w:p>
    <w:p w14:paraId="35F06881" w14:textId="4C747461" w:rsidR="00316582" w:rsidRDefault="00316582" w:rsidP="00316582">
      <w:pPr>
        <w:pStyle w:val="TableTitle"/>
        <w:rPr>
          <w:lang w:eastAsia="en-AU"/>
        </w:rPr>
      </w:pPr>
      <w:r>
        <w:rPr>
          <w:lang w:eastAsia="en-AU"/>
        </w:rPr>
        <w:t>Table 1</w:t>
      </w:r>
      <w:r w:rsidR="0022378A">
        <w:rPr>
          <w:lang w:eastAsia="en-AU"/>
        </w:rPr>
        <w:t>3</w:t>
      </w:r>
      <w:r>
        <w:rPr>
          <w:lang w:eastAsia="en-AU"/>
        </w:rPr>
        <w:t xml:space="preserve">: Annualized Relapse Rate (IRAP </w:t>
      </w:r>
      <w:r w:rsidR="00AE1EB5">
        <w:rPr>
          <w:lang w:eastAsia="en-AU"/>
        </w:rPr>
        <w:t>Con</w:t>
      </w:r>
      <w:r w:rsidR="00AE1EB5">
        <w:rPr>
          <w:rFonts w:cs="Cambria"/>
          <w:lang w:eastAsia="en-AU"/>
        </w:rPr>
        <w:t>f</w:t>
      </w:r>
      <w:r w:rsidR="00AE1EB5">
        <w:rPr>
          <w:lang w:eastAsia="en-AU"/>
        </w:rPr>
        <w:t>irmed</w:t>
      </w:r>
      <w:r>
        <w:rPr>
          <w:lang w:eastAsia="en-AU"/>
        </w:rPr>
        <w:t>) in Study TG1101-RMS302 (mITT Population)</w:t>
      </w:r>
    </w:p>
    <w:tbl>
      <w:tblPr>
        <w:tblW w:w="0" w:type="auto"/>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CellMar>
          <w:top w:w="15" w:type="dxa"/>
          <w:left w:w="15" w:type="dxa"/>
          <w:bottom w:w="15" w:type="dxa"/>
          <w:right w:w="15" w:type="dxa"/>
        </w:tblCellMar>
        <w:tblLook w:val="04A0" w:firstRow="1" w:lastRow="0" w:firstColumn="1" w:lastColumn="0" w:noHBand="0" w:noVBand="1"/>
        <w:tblDescription w:val="Table 13: Annualized Relapse Rate (IRAP Confirmed) in Study TG1101-RMS302 (mITT Population)"/>
      </w:tblPr>
      <w:tblGrid>
        <w:gridCol w:w="4794"/>
        <w:gridCol w:w="2026"/>
        <w:gridCol w:w="2240"/>
      </w:tblGrid>
      <w:tr w:rsidR="006D60CF" w:rsidRPr="006D60CF" w14:paraId="22C13262" w14:textId="77777777" w:rsidTr="006D60CF">
        <w:trPr>
          <w:tblHeader/>
        </w:trPr>
        <w:tc>
          <w:tcPr>
            <w:tcW w:w="0" w:type="auto"/>
            <w:shd w:val="clear" w:color="auto" w:fill="DEEAF6"/>
            <w:vAlign w:val="center"/>
            <w:hideMark/>
          </w:tcPr>
          <w:p w14:paraId="4C9F10F6" w14:textId="1D459CCA" w:rsidR="006D60CF" w:rsidRPr="006D60CF" w:rsidRDefault="006D60CF" w:rsidP="006D60CF">
            <w:pPr>
              <w:spacing w:after="0" w:line="240" w:lineRule="auto"/>
              <w:jc w:val="center"/>
              <w:rPr>
                <w:rFonts w:eastAsia="Times New Roman" w:cs="Times New Roman"/>
                <w:b/>
                <w:bCs/>
                <w:color w:val="263287"/>
                <w:szCs w:val="22"/>
                <w:lang w:eastAsia="en-AU"/>
              </w:rPr>
            </w:pPr>
          </w:p>
        </w:tc>
        <w:tc>
          <w:tcPr>
            <w:tcW w:w="0" w:type="auto"/>
            <w:shd w:val="clear" w:color="auto" w:fill="DEEAF6"/>
            <w:vAlign w:val="center"/>
            <w:hideMark/>
          </w:tcPr>
          <w:p w14:paraId="0D5A90E0" w14:textId="77777777" w:rsidR="006D60CF" w:rsidRPr="006D60CF" w:rsidRDefault="006D60CF" w:rsidP="009C25AF">
            <w:pPr>
              <w:spacing w:after="0" w:line="240" w:lineRule="auto"/>
              <w:rPr>
                <w:rFonts w:eastAsia="Times New Roman" w:cs="Times New Roman"/>
                <w:b/>
                <w:bCs/>
                <w:color w:val="263287"/>
                <w:szCs w:val="22"/>
                <w:lang w:eastAsia="en-AU"/>
              </w:rPr>
            </w:pPr>
            <w:r w:rsidRPr="006D60CF">
              <w:rPr>
                <w:rFonts w:eastAsia="Times New Roman" w:cs="Times New Roman"/>
                <w:b/>
                <w:bCs/>
                <w:color w:val="263287"/>
                <w:szCs w:val="22"/>
                <w:lang w:eastAsia="en-AU"/>
              </w:rPr>
              <w:t>Ublituximab (N=272)</w:t>
            </w:r>
          </w:p>
        </w:tc>
        <w:tc>
          <w:tcPr>
            <w:tcW w:w="0" w:type="auto"/>
            <w:shd w:val="clear" w:color="auto" w:fill="DEEAF6"/>
            <w:vAlign w:val="center"/>
            <w:hideMark/>
          </w:tcPr>
          <w:p w14:paraId="66749D3E" w14:textId="77777777" w:rsidR="006D60CF" w:rsidRPr="006D60CF" w:rsidRDefault="006D60CF" w:rsidP="009C25AF">
            <w:pPr>
              <w:spacing w:after="0" w:line="240" w:lineRule="auto"/>
              <w:rPr>
                <w:rFonts w:eastAsia="Times New Roman" w:cs="Times New Roman"/>
                <w:b/>
                <w:bCs/>
                <w:color w:val="263287"/>
                <w:szCs w:val="22"/>
                <w:lang w:eastAsia="en-AU"/>
              </w:rPr>
            </w:pPr>
            <w:r w:rsidRPr="006D60CF">
              <w:rPr>
                <w:rFonts w:eastAsia="Times New Roman" w:cs="Times New Roman"/>
                <w:b/>
                <w:bCs/>
                <w:color w:val="263287"/>
                <w:szCs w:val="22"/>
                <w:lang w:eastAsia="en-AU"/>
              </w:rPr>
              <w:t>Teriflunomide (N=272)</w:t>
            </w:r>
          </w:p>
        </w:tc>
      </w:tr>
      <w:tr w:rsidR="006D60CF" w:rsidRPr="006D60CF" w14:paraId="0783205A" w14:textId="77777777" w:rsidTr="006D60CF">
        <w:tc>
          <w:tcPr>
            <w:tcW w:w="0" w:type="auto"/>
            <w:vAlign w:val="center"/>
            <w:hideMark/>
          </w:tcPr>
          <w:p w14:paraId="68B6B1CA"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b/>
                <w:bCs/>
                <w:szCs w:val="22"/>
                <w:lang w:eastAsia="en-AU"/>
              </w:rPr>
              <w:t>Duration of treatmentᵃ (years)</w:t>
            </w:r>
          </w:p>
        </w:tc>
        <w:tc>
          <w:tcPr>
            <w:tcW w:w="0" w:type="auto"/>
            <w:vAlign w:val="center"/>
            <w:hideMark/>
          </w:tcPr>
          <w:p w14:paraId="43CF8A91" w14:textId="77777777" w:rsidR="006D60CF" w:rsidRPr="006D60CF" w:rsidRDefault="006D60CF" w:rsidP="006D60CF">
            <w:pPr>
              <w:spacing w:after="0" w:line="240" w:lineRule="auto"/>
              <w:rPr>
                <w:rFonts w:eastAsia="Times New Roman" w:cs="Times New Roman"/>
                <w:szCs w:val="22"/>
                <w:lang w:eastAsia="en-AU"/>
              </w:rPr>
            </w:pPr>
          </w:p>
        </w:tc>
        <w:tc>
          <w:tcPr>
            <w:tcW w:w="0" w:type="auto"/>
            <w:vAlign w:val="center"/>
            <w:hideMark/>
          </w:tcPr>
          <w:p w14:paraId="0C03C401" w14:textId="77777777" w:rsidR="006D60CF" w:rsidRPr="006D60CF" w:rsidRDefault="006D60CF" w:rsidP="006D60CF">
            <w:pPr>
              <w:spacing w:after="0" w:line="240" w:lineRule="auto"/>
              <w:rPr>
                <w:rFonts w:eastAsia="Times New Roman" w:cs="Times New Roman"/>
                <w:szCs w:val="22"/>
                <w:lang w:eastAsia="en-AU"/>
              </w:rPr>
            </w:pPr>
          </w:p>
        </w:tc>
      </w:tr>
      <w:tr w:rsidR="006D60CF" w:rsidRPr="006D60CF" w14:paraId="3073E85E" w14:textId="77777777" w:rsidTr="006D60CF">
        <w:tc>
          <w:tcPr>
            <w:tcW w:w="0" w:type="auto"/>
            <w:vAlign w:val="center"/>
            <w:hideMark/>
          </w:tcPr>
          <w:p w14:paraId="4C7CC2D5"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Mean (SD)</w:t>
            </w:r>
          </w:p>
        </w:tc>
        <w:tc>
          <w:tcPr>
            <w:tcW w:w="0" w:type="auto"/>
            <w:vAlign w:val="center"/>
            <w:hideMark/>
          </w:tcPr>
          <w:p w14:paraId="694B50AD"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1.8 (0.20)</w:t>
            </w:r>
          </w:p>
        </w:tc>
        <w:tc>
          <w:tcPr>
            <w:tcW w:w="0" w:type="auto"/>
            <w:vAlign w:val="center"/>
            <w:hideMark/>
          </w:tcPr>
          <w:p w14:paraId="0962DAE3"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1.7 (0.37)</w:t>
            </w:r>
          </w:p>
        </w:tc>
      </w:tr>
      <w:tr w:rsidR="006D60CF" w:rsidRPr="006D60CF" w14:paraId="158498B5" w14:textId="77777777" w:rsidTr="006D60CF">
        <w:tc>
          <w:tcPr>
            <w:tcW w:w="0" w:type="auto"/>
            <w:vAlign w:val="center"/>
            <w:hideMark/>
          </w:tcPr>
          <w:p w14:paraId="69A636F0"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Cumulative treatment timeᵇ (subject years)</w:t>
            </w:r>
          </w:p>
        </w:tc>
        <w:tc>
          <w:tcPr>
            <w:tcW w:w="0" w:type="auto"/>
            <w:vAlign w:val="center"/>
            <w:hideMark/>
          </w:tcPr>
          <w:p w14:paraId="28967865"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485.90</w:t>
            </w:r>
          </w:p>
        </w:tc>
        <w:tc>
          <w:tcPr>
            <w:tcW w:w="0" w:type="auto"/>
            <w:vAlign w:val="center"/>
            <w:hideMark/>
          </w:tcPr>
          <w:p w14:paraId="2F95810D"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465.70</w:t>
            </w:r>
          </w:p>
        </w:tc>
      </w:tr>
      <w:tr w:rsidR="006D60CF" w:rsidRPr="006D60CF" w14:paraId="387E633D" w14:textId="77777777" w:rsidTr="006D60CF">
        <w:tc>
          <w:tcPr>
            <w:tcW w:w="0" w:type="auto"/>
            <w:vAlign w:val="center"/>
            <w:hideMark/>
          </w:tcPr>
          <w:p w14:paraId="1AE30816"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b/>
                <w:bCs/>
                <w:szCs w:val="22"/>
                <w:lang w:eastAsia="en-AU"/>
              </w:rPr>
              <w:t>Number of IRAP confirmed relapses during treatmentᵃ</w:t>
            </w:r>
          </w:p>
        </w:tc>
        <w:tc>
          <w:tcPr>
            <w:tcW w:w="0" w:type="auto"/>
            <w:vAlign w:val="center"/>
            <w:hideMark/>
          </w:tcPr>
          <w:p w14:paraId="12B9ED8A" w14:textId="77777777" w:rsidR="006D60CF" w:rsidRPr="006D60CF" w:rsidRDefault="006D60CF" w:rsidP="006D60CF">
            <w:pPr>
              <w:spacing w:after="0" w:line="240" w:lineRule="auto"/>
              <w:rPr>
                <w:rFonts w:eastAsia="Times New Roman" w:cs="Times New Roman"/>
                <w:szCs w:val="22"/>
                <w:lang w:eastAsia="en-AU"/>
              </w:rPr>
            </w:pPr>
          </w:p>
        </w:tc>
        <w:tc>
          <w:tcPr>
            <w:tcW w:w="0" w:type="auto"/>
            <w:vAlign w:val="center"/>
            <w:hideMark/>
          </w:tcPr>
          <w:p w14:paraId="01DA8DCB" w14:textId="77777777" w:rsidR="006D60CF" w:rsidRPr="006D60CF" w:rsidRDefault="006D60CF" w:rsidP="006D60CF">
            <w:pPr>
              <w:spacing w:after="0" w:line="240" w:lineRule="auto"/>
              <w:rPr>
                <w:rFonts w:eastAsia="Times New Roman" w:cs="Times New Roman"/>
                <w:szCs w:val="22"/>
                <w:lang w:eastAsia="en-AU"/>
              </w:rPr>
            </w:pPr>
          </w:p>
        </w:tc>
      </w:tr>
      <w:tr w:rsidR="006D60CF" w:rsidRPr="006D60CF" w14:paraId="1D65EBE9" w14:textId="77777777" w:rsidTr="006D60CF">
        <w:tc>
          <w:tcPr>
            <w:tcW w:w="0" w:type="auto"/>
            <w:vAlign w:val="center"/>
            <w:hideMark/>
          </w:tcPr>
          <w:p w14:paraId="63B1E15E"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Mean (SD)</w:t>
            </w:r>
          </w:p>
        </w:tc>
        <w:tc>
          <w:tcPr>
            <w:tcW w:w="0" w:type="auto"/>
            <w:vAlign w:val="center"/>
            <w:hideMark/>
          </w:tcPr>
          <w:p w14:paraId="3A1FCB8F"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0.195 (0.5848)</w:t>
            </w:r>
          </w:p>
        </w:tc>
        <w:tc>
          <w:tcPr>
            <w:tcW w:w="0" w:type="auto"/>
            <w:vAlign w:val="center"/>
            <w:hideMark/>
          </w:tcPr>
          <w:p w14:paraId="70D102D0"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0.375 (0.7334)</w:t>
            </w:r>
          </w:p>
        </w:tc>
      </w:tr>
      <w:tr w:rsidR="006D60CF" w:rsidRPr="006D60CF" w14:paraId="3D480C2D" w14:textId="77777777" w:rsidTr="006D60CF">
        <w:tc>
          <w:tcPr>
            <w:tcW w:w="0" w:type="auto"/>
            <w:vAlign w:val="center"/>
            <w:hideMark/>
          </w:tcPr>
          <w:p w14:paraId="6A181758"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Cumulative number of IRAP confirmed relapsesᵇ</w:t>
            </w:r>
          </w:p>
        </w:tc>
        <w:tc>
          <w:tcPr>
            <w:tcW w:w="0" w:type="auto"/>
            <w:vAlign w:val="center"/>
            <w:hideMark/>
          </w:tcPr>
          <w:p w14:paraId="394472AC"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53</w:t>
            </w:r>
          </w:p>
        </w:tc>
        <w:tc>
          <w:tcPr>
            <w:tcW w:w="0" w:type="auto"/>
            <w:vAlign w:val="center"/>
            <w:hideMark/>
          </w:tcPr>
          <w:p w14:paraId="11EFF2F3"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102</w:t>
            </w:r>
          </w:p>
        </w:tc>
      </w:tr>
      <w:tr w:rsidR="006D60CF" w:rsidRPr="006D60CF" w14:paraId="1AF2ED0A" w14:textId="77777777" w:rsidTr="006D60CF">
        <w:tc>
          <w:tcPr>
            <w:tcW w:w="0" w:type="auto"/>
            <w:vAlign w:val="center"/>
            <w:hideMark/>
          </w:tcPr>
          <w:p w14:paraId="1007E128"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Raw annualized relapse rateᶜ</w:t>
            </w:r>
          </w:p>
        </w:tc>
        <w:tc>
          <w:tcPr>
            <w:tcW w:w="0" w:type="auto"/>
            <w:vAlign w:val="center"/>
            <w:hideMark/>
          </w:tcPr>
          <w:p w14:paraId="195587F6"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0.11</w:t>
            </w:r>
          </w:p>
        </w:tc>
        <w:tc>
          <w:tcPr>
            <w:tcW w:w="0" w:type="auto"/>
            <w:vAlign w:val="center"/>
            <w:hideMark/>
          </w:tcPr>
          <w:p w14:paraId="014DA656"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0.22</w:t>
            </w:r>
          </w:p>
        </w:tc>
      </w:tr>
      <w:tr w:rsidR="006D60CF" w:rsidRPr="006D60CF" w14:paraId="0C9E6108" w14:textId="77777777" w:rsidTr="006D60CF">
        <w:tc>
          <w:tcPr>
            <w:tcW w:w="0" w:type="auto"/>
            <w:vAlign w:val="center"/>
            <w:hideMark/>
          </w:tcPr>
          <w:p w14:paraId="747C4A29"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b/>
                <w:bCs/>
                <w:szCs w:val="22"/>
                <w:lang w:eastAsia="en-AU"/>
              </w:rPr>
              <w:t>Negative binomial modelᵈ</w:t>
            </w:r>
          </w:p>
        </w:tc>
        <w:tc>
          <w:tcPr>
            <w:tcW w:w="0" w:type="auto"/>
            <w:vAlign w:val="center"/>
            <w:hideMark/>
          </w:tcPr>
          <w:p w14:paraId="5F35EEB5" w14:textId="77777777" w:rsidR="006D60CF" w:rsidRPr="006D60CF" w:rsidRDefault="006D60CF" w:rsidP="006D60CF">
            <w:pPr>
              <w:spacing w:after="0" w:line="240" w:lineRule="auto"/>
              <w:rPr>
                <w:rFonts w:eastAsia="Times New Roman" w:cs="Times New Roman"/>
                <w:szCs w:val="22"/>
                <w:lang w:eastAsia="en-AU"/>
              </w:rPr>
            </w:pPr>
          </w:p>
        </w:tc>
        <w:tc>
          <w:tcPr>
            <w:tcW w:w="0" w:type="auto"/>
            <w:vAlign w:val="center"/>
            <w:hideMark/>
          </w:tcPr>
          <w:p w14:paraId="331375E3" w14:textId="77777777" w:rsidR="006D60CF" w:rsidRPr="006D60CF" w:rsidRDefault="006D60CF" w:rsidP="006D60CF">
            <w:pPr>
              <w:spacing w:after="0" w:line="240" w:lineRule="auto"/>
              <w:rPr>
                <w:rFonts w:eastAsia="Times New Roman" w:cs="Times New Roman"/>
                <w:szCs w:val="22"/>
                <w:lang w:eastAsia="en-AU"/>
              </w:rPr>
            </w:pPr>
          </w:p>
        </w:tc>
      </w:tr>
      <w:tr w:rsidR="006D60CF" w:rsidRPr="006D60CF" w14:paraId="1F2BD8DE" w14:textId="77777777" w:rsidTr="006D60CF">
        <w:tc>
          <w:tcPr>
            <w:tcW w:w="0" w:type="auto"/>
            <w:vAlign w:val="center"/>
            <w:hideMark/>
          </w:tcPr>
          <w:p w14:paraId="32FD2209"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 xml:space="preserve">Least squares </w:t>
            </w:r>
            <w:proofErr w:type="gramStart"/>
            <w:r w:rsidRPr="006D60CF">
              <w:rPr>
                <w:rFonts w:eastAsia="Times New Roman" w:cs="Times New Roman"/>
                <w:szCs w:val="22"/>
                <w:lang w:eastAsia="en-AU"/>
              </w:rPr>
              <w:t>means</w:t>
            </w:r>
            <w:proofErr w:type="gramEnd"/>
            <w:r w:rsidRPr="006D60CF">
              <w:rPr>
                <w:rFonts w:eastAsia="Times New Roman" w:cs="Times New Roman"/>
                <w:szCs w:val="22"/>
                <w:lang w:eastAsia="en-AU"/>
              </w:rPr>
              <w:t xml:space="preserve"> (95% CI)</w:t>
            </w:r>
          </w:p>
        </w:tc>
        <w:tc>
          <w:tcPr>
            <w:tcW w:w="0" w:type="auto"/>
            <w:vAlign w:val="center"/>
            <w:hideMark/>
          </w:tcPr>
          <w:p w14:paraId="340F7A9A"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0.091 (0.049, 0.169)</w:t>
            </w:r>
          </w:p>
        </w:tc>
        <w:tc>
          <w:tcPr>
            <w:tcW w:w="0" w:type="auto"/>
            <w:vAlign w:val="center"/>
            <w:hideMark/>
          </w:tcPr>
          <w:p w14:paraId="50DF3CC9" w14:textId="77777777" w:rsidR="006D60CF" w:rsidRPr="006D60CF" w:rsidRDefault="006D60CF" w:rsidP="006D60CF">
            <w:pPr>
              <w:spacing w:after="0" w:line="240" w:lineRule="auto"/>
              <w:rPr>
                <w:rFonts w:eastAsia="Times New Roman" w:cs="Times New Roman"/>
                <w:szCs w:val="22"/>
                <w:lang w:eastAsia="en-AU"/>
              </w:rPr>
            </w:pPr>
            <w:r w:rsidRPr="006D60CF">
              <w:rPr>
                <w:rFonts w:eastAsia="Times New Roman" w:cs="Times New Roman"/>
                <w:szCs w:val="22"/>
                <w:lang w:eastAsia="en-AU"/>
              </w:rPr>
              <w:t>0.178 (0.109, 0.291)</w:t>
            </w:r>
          </w:p>
        </w:tc>
      </w:tr>
      <w:tr w:rsidR="0099607F" w:rsidRPr="006D60CF" w14:paraId="428529D4" w14:textId="77777777" w:rsidTr="00EE360E">
        <w:tc>
          <w:tcPr>
            <w:tcW w:w="0" w:type="auto"/>
            <w:vAlign w:val="center"/>
            <w:hideMark/>
          </w:tcPr>
          <w:p w14:paraId="702B7B10" w14:textId="77777777" w:rsidR="0099607F" w:rsidRPr="006D60CF" w:rsidRDefault="0099607F" w:rsidP="006D60CF">
            <w:pPr>
              <w:spacing w:after="0" w:line="240" w:lineRule="auto"/>
              <w:rPr>
                <w:rFonts w:eastAsia="Times New Roman" w:cs="Times New Roman"/>
                <w:szCs w:val="22"/>
                <w:lang w:eastAsia="en-AU"/>
              </w:rPr>
            </w:pPr>
            <w:r w:rsidRPr="006D60CF">
              <w:rPr>
                <w:rFonts w:eastAsia="Times New Roman" w:cs="Times New Roman"/>
                <w:szCs w:val="22"/>
                <w:lang w:eastAsia="en-AU"/>
              </w:rPr>
              <w:t>Rate ratio: ublituximab / teriflunomide</w:t>
            </w:r>
          </w:p>
        </w:tc>
        <w:tc>
          <w:tcPr>
            <w:tcW w:w="0" w:type="auto"/>
            <w:gridSpan w:val="2"/>
            <w:vAlign w:val="center"/>
            <w:hideMark/>
          </w:tcPr>
          <w:p w14:paraId="25BF9A0A" w14:textId="7BE3999D" w:rsidR="0099607F" w:rsidRPr="006D60CF" w:rsidRDefault="0099607F" w:rsidP="006D60CF">
            <w:pPr>
              <w:spacing w:after="0" w:line="240" w:lineRule="auto"/>
              <w:rPr>
                <w:rFonts w:eastAsia="Times New Roman" w:cs="Times New Roman"/>
                <w:szCs w:val="22"/>
                <w:lang w:eastAsia="en-AU"/>
              </w:rPr>
            </w:pPr>
            <w:r w:rsidRPr="006D60CF">
              <w:rPr>
                <w:rFonts w:eastAsia="Times New Roman" w:cs="Times New Roman"/>
                <w:szCs w:val="22"/>
                <w:lang w:eastAsia="en-AU"/>
              </w:rPr>
              <w:t>0.509 (0.330, 0.784)</w:t>
            </w:r>
          </w:p>
        </w:tc>
      </w:tr>
      <w:tr w:rsidR="0099607F" w:rsidRPr="006D60CF" w14:paraId="740ADECD" w14:textId="77777777" w:rsidTr="00AB5E9E">
        <w:tc>
          <w:tcPr>
            <w:tcW w:w="0" w:type="auto"/>
            <w:vAlign w:val="center"/>
            <w:hideMark/>
          </w:tcPr>
          <w:p w14:paraId="09A28CB3" w14:textId="77777777" w:rsidR="0099607F" w:rsidRPr="006D60CF" w:rsidRDefault="0099607F" w:rsidP="006D60CF">
            <w:pPr>
              <w:spacing w:after="0" w:line="240" w:lineRule="auto"/>
              <w:rPr>
                <w:rFonts w:eastAsia="Times New Roman" w:cs="Times New Roman"/>
                <w:szCs w:val="22"/>
                <w:lang w:eastAsia="en-AU"/>
              </w:rPr>
            </w:pPr>
            <w:r w:rsidRPr="006D60CF">
              <w:rPr>
                <w:rFonts w:eastAsia="Times New Roman" w:cs="Times New Roman"/>
                <w:szCs w:val="22"/>
                <w:lang w:eastAsia="en-AU"/>
              </w:rPr>
              <w:t>Difference: ublituximab − teriflunomide</w:t>
            </w:r>
          </w:p>
        </w:tc>
        <w:tc>
          <w:tcPr>
            <w:tcW w:w="0" w:type="auto"/>
            <w:gridSpan w:val="2"/>
            <w:vAlign w:val="center"/>
            <w:hideMark/>
          </w:tcPr>
          <w:p w14:paraId="5DA091EB" w14:textId="2F5A36B2" w:rsidR="0099607F" w:rsidRPr="006D60CF" w:rsidRDefault="0099607F" w:rsidP="006D60CF">
            <w:pPr>
              <w:spacing w:after="0" w:line="240" w:lineRule="auto"/>
              <w:rPr>
                <w:rFonts w:eastAsia="Times New Roman" w:cs="Times New Roman"/>
                <w:szCs w:val="22"/>
                <w:lang w:eastAsia="en-AU"/>
              </w:rPr>
            </w:pPr>
            <w:r w:rsidRPr="006D60CF">
              <w:rPr>
                <w:rFonts w:eastAsia="Times New Roman" w:cs="Times New Roman"/>
                <w:szCs w:val="22"/>
                <w:lang w:eastAsia="en-AU"/>
              </w:rPr>
              <w:t>−0.087 (−0.148, −0.027)</w:t>
            </w:r>
          </w:p>
        </w:tc>
      </w:tr>
      <w:tr w:rsidR="0099607F" w:rsidRPr="006D60CF" w14:paraId="52F5B230" w14:textId="77777777" w:rsidTr="008B2D1B">
        <w:tc>
          <w:tcPr>
            <w:tcW w:w="0" w:type="auto"/>
            <w:vAlign w:val="center"/>
            <w:hideMark/>
          </w:tcPr>
          <w:p w14:paraId="60125708" w14:textId="77777777" w:rsidR="0099607F" w:rsidRPr="006D60CF" w:rsidRDefault="0099607F" w:rsidP="006D60CF">
            <w:pPr>
              <w:spacing w:after="0" w:line="240" w:lineRule="auto"/>
              <w:rPr>
                <w:rFonts w:eastAsia="Times New Roman" w:cs="Times New Roman"/>
                <w:szCs w:val="22"/>
                <w:lang w:eastAsia="en-AU"/>
              </w:rPr>
            </w:pPr>
            <w:r w:rsidRPr="006D60CF">
              <w:rPr>
                <w:rFonts w:eastAsia="Times New Roman" w:cs="Times New Roman"/>
                <w:szCs w:val="22"/>
                <w:lang w:eastAsia="en-AU"/>
              </w:rPr>
              <w:t>p value</w:t>
            </w:r>
          </w:p>
        </w:tc>
        <w:tc>
          <w:tcPr>
            <w:tcW w:w="0" w:type="auto"/>
            <w:gridSpan w:val="2"/>
            <w:vAlign w:val="center"/>
            <w:hideMark/>
          </w:tcPr>
          <w:p w14:paraId="682E4ABA" w14:textId="11DB98C6" w:rsidR="0099607F" w:rsidRPr="006D60CF" w:rsidRDefault="0099607F" w:rsidP="006D60CF">
            <w:pPr>
              <w:spacing w:after="0" w:line="240" w:lineRule="auto"/>
              <w:rPr>
                <w:rFonts w:eastAsia="Times New Roman" w:cs="Times New Roman"/>
                <w:szCs w:val="22"/>
                <w:lang w:eastAsia="en-AU"/>
              </w:rPr>
            </w:pPr>
            <w:r w:rsidRPr="006D60CF">
              <w:rPr>
                <w:rFonts w:eastAsia="Times New Roman" w:cs="Times New Roman"/>
                <w:szCs w:val="22"/>
                <w:lang w:eastAsia="en-AU"/>
              </w:rPr>
              <w:t>0.0022</w:t>
            </w:r>
          </w:p>
        </w:tc>
      </w:tr>
    </w:tbl>
    <w:p w14:paraId="79039149" w14:textId="77777777" w:rsidR="00E523B9" w:rsidRDefault="00E523B9" w:rsidP="00E523B9">
      <w:pPr>
        <w:pStyle w:val="TableDescription"/>
        <w:contextualSpacing/>
        <w:rPr>
          <w:lang w:eastAsia="en-AU"/>
        </w:rPr>
      </w:pPr>
      <w:r>
        <w:rPr>
          <w:lang w:eastAsia="en-AU"/>
        </w:rPr>
        <w:t>CI, confidence interval; IRAP, Independent Relapse Adjudication Panel; mITT, modified intent-to-treat; SD, standard deviation.</w:t>
      </w:r>
    </w:p>
    <w:p w14:paraId="52F7B6A4" w14:textId="2FB1B10E" w:rsidR="00E523B9" w:rsidRDefault="00E523B9" w:rsidP="00E523B9">
      <w:pPr>
        <w:pStyle w:val="TableDescription"/>
        <w:contextualSpacing/>
        <w:rPr>
          <w:lang w:eastAsia="en-AU"/>
        </w:rPr>
      </w:pPr>
      <w:r>
        <w:rPr>
          <w:lang w:eastAsia="en-AU"/>
        </w:rPr>
        <w:t>a</w:t>
      </w:r>
      <w:r w:rsidR="00D45785">
        <w:rPr>
          <w:lang w:eastAsia="en-AU"/>
        </w:rPr>
        <w:t>.</w:t>
      </w:r>
      <w:r>
        <w:rPr>
          <w:lang w:eastAsia="en-AU"/>
        </w:rPr>
        <w:t xml:space="preserve"> Per subject</w:t>
      </w:r>
    </w:p>
    <w:p w14:paraId="04269829" w14:textId="3FBC0F20" w:rsidR="00E523B9" w:rsidRDefault="00E523B9" w:rsidP="00E523B9">
      <w:pPr>
        <w:pStyle w:val="TableDescription"/>
        <w:contextualSpacing/>
        <w:rPr>
          <w:lang w:eastAsia="en-AU"/>
        </w:rPr>
      </w:pPr>
      <w:r>
        <w:rPr>
          <w:lang w:eastAsia="en-AU"/>
        </w:rPr>
        <w:t>b</w:t>
      </w:r>
      <w:r w:rsidR="00D45785">
        <w:rPr>
          <w:lang w:eastAsia="en-AU"/>
        </w:rPr>
        <w:t>.</w:t>
      </w:r>
      <w:r>
        <w:rPr>
          <w:lang w:eastAsia="en-AU"/>
        </w:rPr>
        <w:t xml:space="preserve"> Overall</w:t>
      </w:r>
    </w:p>
    <w:p w14:paraId="639D544C" w14:textId="2C9D0BE1" w:rsidR="00E523B9" w:rsidRDefault="00E523B9" w:rsidP="00E523B9">
      <w:pPr>
        <w:pStyle w:val="TableDescription"/>
        <w:contextualSpacing/>
        <w:rPr>
          <w:lang w:eastAsia="en-AU"/>
        </w:rPr>
      </w:pPr>
      <w:r>
        <w:rPr>
          <w:lang w:eastAsia="en-AU"/>
        </w:rPr>
        <w:t>c</w:t>
      </w:r>
      <w:r w:rsidR="00D45785">
        <w:rPr>
          <w:lang w:eastAsia="en-AU"/>
        </w:rPr>
        <w:t>.</w:t>
      </w:r>
      <w:r>
        <w:rPr>
          <w:lang w:eastAsia="en-AU"/>
        </w:rPr>
        <w:t xml:space="preserve"> Cumulative number of IRAP-confirmed relapses / Cumulative treatment time</w:t>
      </w:r>
    </w:p>
    <w:p w14:paraId="1E8D54E8" w14:textId="1FDD74A2" w:rsidR="00316582" w:rsidRDefault="00E523B9" w:rsidP="00E523B9">
      <w:pPr>
        <w:pStyle w:val="TableDescription"/>
        <w:contextualSpacing/>
        <w:rPr>
          <w:lang w:eastAsia="en-AU"/>
        </w:rPr>
      </w:pPr>
      <w:r>
        <w:rPr>
          <w:lang w:eastAsia="en-AU"/>
        </w:rPr>
        <w:t>d</w:t>
      </w:r>
      <w:r w:rsidR="00D45785">
        <w:rPr>
          <w:lang w:eastAsia="en-AU"/>
        </w:rPr>
        <w:t>.</w:t>
      </w:r>
      <w:r>
        <w:rPr>
          <w:lang w:eastAsia="en-AU"/>
        </w:rPr>
        <w:t xml:space="preserve"> GEE model for the relapse count per participant with logarithmic link function, treatment, region, and baseline EDSS strata as covariate and log (years of treatment) as offset.</w:t>
      </w:r>
    </w:p>
    <w:p w14:paraId="3D36295F" w14:textId="77777777" w:rsidR="00C5236B" w:rsidRDefault="00C5236B" w:rsidP="00C5236B">
      <w:pPr>
        <w:pStyle w:val="TableDescription"/>
        <w:contextualSpacing/>
        <w:rPr>
          <w:lang w:eastAsia="en-AU"/>
        </w:rPr>
      </w:pPr>
      <w:r>
        <w:rPr>
          <w:lang w:eastAsia="en-AU"/>
        </w:rPr>
        <w:t>The results for the three sensitivity analyses for the mITT population including the Annualized Relapse Rate were consistent with the primary analyses.</w:t>
      </w:r>
    </w:p>
    <w:p w14:paraId="1C737832" w14:textId="2CD99E20" w:rsidR="00C5236B" w:rsidRDefault="00C5236B" w:rsidP="007E2D77">
      <w:pPr>
        <w:pStyle w:val="Heading7"/>
        <w:rPr>
          <w:lang w:eastAsia="en-AU"/>
        </w:rPr>
      </w:pPr>
      <w:r>
        <w:rPr>
          <w:lang w:eastAsia="en-AU"/>
        </w:rPr>
        <w:lastRenderedPageBreak/>
        <w:t xml:space="preserve">Key secondary </w:t>
      </w:r>
      <w:r w:rsidR="00AE1EB5">
        <w:rPr>
          <w:lang w:eastAsia="en-AU"/>
        </w:rPr>
        <w:t>ef</w:t>
      </w:r>
      <w:r w:rsidR="00AE1EB5">
        <w:rPr>
          <w:rFonts w:ascii="Cambria" w:hAnsi="Cambria" w:cs="Cambria"/>
          <w:lang w:eastAsia="en-AU"/>
        </w:rPr>
        <w:t>f</w:t>
      </w:r>
      <w:r w:rsidR="00AE1EB5">
        <w:rPr>
          <w:lang w:eastAsia="en-AU"/>
        </w:rPr>
        <w:t>icacy</w:t>
      </w:r>
      <w:r>
        <w:rPr>
          <w:lang w:eastAsia="en-AU"/>
        </w:rPr>
        <w:t xml:space="preserve"> endpoints</w:t>
      </w:r>
    </w:p>
    <w:p w14:paraId="14D6E42B" w14:textId="431E36A1" w:rsidR="00C5236B" w:rsidRPr="0099607F" w:rsidRDefault="00C5236B" w:rsidP="0099607F">
      <w:pPr>
        <w:pStyle w:val="Heading8"/>
        <w:rPr>
          <w:lang w:eastAsia="en-AU"/>
        </w:rPr>
      </w:pPr>
      <w:r w:rsidRPr="0099607F">
        <w:rPr>
          <w:lang w:eastAsia="en-AU"/>
        </w:rPr>
        <w:t xml:space="preserve">Total </w:t>
      </w:r>
      <w:r w:rsidR="00D83D85" w:rsidRPr="0099607F">
        <w:rPr>
          <w:lang w:eastAsia="en-AU"/>
        </w:rPr>
        <w:t>number of gadolinium</w:t>
      </w:r>
      <w:r w:rsidRPr="0099607F">
        <w:rPr>
          <w:lang w:eastAsia="en-AU"/>
        </w:rPr>
        <w:t xml:space="preserve">-enhancing T1 </w:t>
      </w:r>
      <w:r w:rsidR="00D83D85">
        <w:rPr>
          <w:lang w:eastAsia="en-AU"/>
        </w:rPr>
        <w:t>l</w:t>
      </w:r>
      <w:r w:rsidRPr="0099607F">
        <w:rPr>
          <w:lang w:eastAsia="en-AU"/>
        </w:rPr>
        <w:t xml:space="preserve">esions per MRI </w:t>
      </w:r>
      <w:r w:rsidR="00D83D85" w:rsidRPr="0099607F">
        <w:rPr>
          <w:lang w:eastAsia="en-AU"/>
        </w:rPr>
        <w:t xml:space="preserve">scan by week </w:t>
      </w:r>
      <w:r w:rsidRPr="0099607F">
        <w:rPr>
          <w:lang w:eastAsia="en-AU"/>
        </w:rPr>
        <w:t>96</w:t>
      </w:r>
    </w:p>
    <w:p w14:paraId="20E1BC07" w14:textId="16C78A7A" w:rsidR="00E523B9" w:rsidRDefault="00C5236B" w:rsidP="008766EA">
      <w:pPr>
        <w:rPr>
          <w:lang w:eastAsia="en-AU"/>
        </w:rPr>
      </w:pPr>
      <w:r>
        <w:rPr>
          <w:lang w:eastAsia="en-AU"/>
        </w:rPr>
        <w:t xml:space="preserve">The treatment effect of ublituximab versus </w:t>
      </w:r>
      <w:r w:rsidR="00AE1EB5">
        <w:rPr>
          <w:lang w:eastAsia="en-AU"/>
        </w:rPr>
        <w:t>teri</w:t>
      </w:r>
      <w:r w:rsidR="00AE1EB5">
        <w:rPr>
          <w:rFonts w:cs="Cambria"/>
          <w:lang w:eastAsia="en-AU"/>
        </w:rPr>
        <w:t>f</w:t>
      </w:r>
      <w:r w:rsidR="00AE1EB5">
        <w:rPr>
          <w:lang w:eastAsia="en-AU"/>
        </w:rPr>
        <w:t>lunomide</w:t>
      </w:r>
      <w:r>
        <w:rPr>
          <w:lang w:eastAsia="en-AU"/>
        </w:rPr>
        <w:t xml:space="preserve"> was statistically </w:t>
      </w:r>
      <w:r w:rsidR="00AE1EB5">
        <w:rPr>
          <w:lang w:eastAsia="en-AU"/>
        </w:rPr>
        <w:t>signi</w:t>
      </w:r>
      <w:r w:rsidR="00AE1EB5">
        <w:rPr>
          <w:rFonts w:cs="Cambria"/>
          <w:lang w:eastAsia="en-AU"/>
        </w:rPr>
        <w:t>f</w:t>
      </w:r>
      <w:r w:rsidR="00AE1EB5">
        <w:rPr>
          <w:lang w:eastAsia="en-AU"/>
        </w:rPr>
        <w:t>icant</w:t>
      </w:r>
      <w:r>
        <w:rPr>
          <w:lang w:eastAsia="en-AU"/>
        </w:rPr>
        <w:t xml:space="preserve"> in </w:t>
      </w:r>
      <w:r w:rsidR="00AE1EB5">
        <w:rPr>
          <w:lang w:eastAsia="en-AU"/>
        </w:rPr>
        <w:t>favour</w:t>
      </w:r>
      <w:r>
        <w:rPr>
          <w:lang w:eastAsia="en-AU"/>
        </w:rPr>
        <w:t xml:space="preserve"> of ublituximab (Table 1</w:t>
      </w:r>
      <w:r w:rsidR="00DF57A6">
        <w:rPr>
          <w:lang w:eastAsia="en-AU"/>
        </w:rPr>
        <w:t>4</w:t>
      </w:r>
      <w:r>
        <w:rPr>
          <w:lang w:eastAsia="en-AU"/>
        </w:rPr>
        <w:t xml:space="preserve">). Similar </w:t>
      </w:r>
      <w:r w:rsidR="00AE1EB5">
        <w:rPr>
          <w:lang w:eastAsia="en-AU"/>
        </w:rPr>
        <w:t>findings</w:t>
      </w:r>
      <w:r>
        <w:rPr>
          <w:lang w:eastAsia="en-AU"/>
        </w:rPr>
        <w:t xml:space="preserve"> were reported for the ITT population and for the PP-MRI population.</w:t>
      </w:r>
    </w:p>
    <w:p w14:paraId="3481FB45" w14:textId="724DDBEF" w:rsidR="00813E92" w:rsidRDefault="00813E92" w:rsidP="00813E92">
      <w:pPr>
        <w:pStyle w:val="TableTitle"/>
        <w:rPr>
          <w:lang w:eastAsia="en-AU"/>
        </w:rPr>
      </w:pPr>
      <w:r w:rsidRPr="00813E92">
        <w:rPr>
          <w:lang w:eastAsia="en-AU"/>
        </w:rPr>
        <w:t>Table 1</w:t>
      </w:r>
      <w:r w:rsidR="00DF57A6">
        <w:rPr>
          <w:lang w:eastAsia="en-AU"/>
        </w:rPr>
        <w:t>4</w:t>
      </w:r>
      <w:r w:rsidR="00691A93">
        <w:rPr>
          <w:lang w:eastAsia="en-AU"/>
        </w:rPr>
        <w:t xml:space="preserve">: </w:t>
      </w:r>
      <w:r w:rsidRPr="00813E92">
        <w:rPr>
          <w:lang w:eastAsia="en-AU"/>
        </w:rPr>
        <w:t>Total Number of Gadolinium-enhancing T1 Lesions per MRI Scan by Week 96 in Study TG1101- RMS302 (mITT-MRI Population)</w:t>
      </w:r>
    </w:p>
    <w:tbl>
      <w:tblPr>
        <w:tblW w:w="0" w:type="auto"/>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CellMar>
          <w:top w:w="15" w:type="dxa"/>
          <w:left w:w="15" w:type="dxa"/>
          <w:bottom w:w="15" w:type="dxa"/>
          <w:right w:w="15" w:type="dxa"/>
        </w:tblCellMar>
        <w:tblLook w:val="04A0" w:firstRow="1" w:lastRow="0" w:firstColumn="1" w:lastColumn="0" w:noHBand="0" w:noVBand="1"/>
        <w:tblDescription w:val="Table 14: Total Number of Gadolinium-enhancing T1 Lesions per MRI Scan by Week 96 in Study TG1101- RMS302 (mITT-MRI Population)"/>
      </w:tblPr>
      <w:tblGrid>
        <w:gridCol w:w="5198"/>
        <w:gridCol w:w="1824"/>
        <w:gridCol w:w="2038"/>
      </w:tblGrid>
      <w:tr w:rsidR="0099607F" w:rsidRPr="0099607F" w14:paraId="205278EC" w14:textId="77777777" w:rsidTr="0099607F">
        <w:trPr>
          <w:tblHeader/>
        </w:trPr>
        <w:tc>
          <w:tcPr>
            <w:tcW w:w="0" w:type="auto"/>
            <w:shd w:val="clear" w:color="auto" w:fill="DEEAF6"/>
            <w:vAlign w:val="center"/>
            <w:hideMark/>
          </w:tcPr>
          <w:p w14:paraId="594DF849" w14:textId="2B336885" w:rsidR="0099607F" w:rsidRPr="0099607F" w:rsidRDefault="0099607F" w:rsidP="0099607F">
            <w:pPr>
              <w:spacing w:after="0" w:line="240" w:lineRule="auto"/>
              <w:jc w:val="center"/>
              <w:rPr>
                <w:rFonts w:eastAsia="Times New Roman" w:cs="Times New Roman"/>
                <w:b/>
                <w:bCs/>
                <w:color w:val="263287"/>
                <w:szCs w:val="22"/>
                <w:lang w:eastAsia="en-AU"/>
              </w:rPr>
            </w:pPr>
          </w:p>
        </w:tc>
        <w:tc>
          <w:tcPr>
            <w:tcW w:w="0" w:type="auto"/>
            <w:shd w:val="clear" w:color="auto" w:fill="DEEAF6"/>
            <w:vAlign w:val="center"/>
            <w:hideMark/>
          </w:tcPr>
          <w:p w14:paraId="1F3AE3DC" w14:textId="77777777" w:rsidR="0099607F" w:rsidRPr="0099607F" w:rsidRDefault="0099607F" w:rsidP="009C25AF">
            <w:pPr>
              <w:spacing w:after="0" w:line="240" w:lineRule="auto"/>
              <w:rPr>
                <w:rFonts w:eastAsia="Times New Roman" w:cs="Times New Roman"/>
                <w:b/>
                <w:bCs/>
                <w:color w:val="263287"/>
                <w:szCs w:val="22"/>
                <w:lang w:eastAsia="en-AU"/>
              </w:rPr>
            </w:pPr>
            <w:r w:rsidRPr="0099607F">
              <w:rPr>
                <w:rFonts w:eastAsia="Times New Roman" w:cs="Times New Roman"/>
                <w:b/>
                <w:bCs/>
                <w:color w:val="263287"/>
                <w:szCs w:val="22"/>
                <w:lang w:eastAsia="en-AU"/>
              </w:rPr>
              <w:t>Ublituximab (N = 272)</w:t>
            </w:r>
          </w:p>
        </w:tc>
        <w:tc>
          <w:tcPr>
            <w:tcW w:w="0" w:type="auto"/>
            <w:shd w:val="clear" w:color="auto" w:fill="DEEAF6"/>
            <w:vAlign w:val="center"/>
            <w:hideMark/>
          </w:tcPr>
          <w:p w14:paraId="31443282" w14:textId="77777777" w:rsidR="0099607F" w:rsidRPr="0099607F" w:rsidRDefault="0099607F" w:rsidP="009C25AF">
            <w:pPr>
              <w:spacing w:after="0" w:line="240" w:lineRule="auto"/>
              <w:rPr>
                <w:rFonts w:eastAsia="Times New Roman" w:cs="Times New Roman"/>
                <w:b/>
                <w:bCs/>
                <w:color w:val="263287"/>
                <w:szCs w:val="22"/>
                <w:lang w:eastAsia="en-AU"/>
              </w:rPr>
            </w:pPr>
            <w:r w:rsidRPr="0099607F">
              <w:rPr>
                <w:rFonts w:eastAsia="Times New Roman" w:cs="Times New Roman"/>
                <w:b/>
                <w:bCs/>
                <w:color w:val="263287"/>
                <w:szCs w:val="22"/>
                <w:lang w:eastAsia="en-AU"/>
              </w:rPr>
              <w:t>Teriflunomide (N = 267)</w:t>
            </w:r>
          </w:p>
        </w:tc>
      </w:tr>
      <w:tr w:rsidR="0099607F" w:rsidRPr="0099607F" w14:paraId="17E8E679" w14:textId="77777777" w:rsidTr="0099607F">
        <w:tc>
          <w:tcPr>
            <w:tcW w:w="0" w:type="auto"/>
            <w:vAlign w:val="center"/>
            <w:hideMark/>
          </w:tcPr>
          <w:p w14:paraId="16F5CB75" w14:textId="77777777" w:rsidR="0099607F" w:rsidRPr="0099607F" w:rsidRDefault="0099607F" w:rsidP="0099607F">
            <w:pPr>
              <w:spacing w:after="0" w:line="240" w:lineRule="auto"/>
              <w:rPr>
                <w:rFonts w:eastAsia="Times New Roman" w:cs="Times New Roman"/>
                <w:szCs w:val="22"/>
                <w:lang w:eastAsia="en-AU"/>
              </w:rPr>
            </w:pPr>
            <w:r w:rsidRPr="0099607F">
              <w:rPr>
                <w:rFonts w:eastAsia="Times New Roman" w:cs="Times New Roman"/>
                <w:b/>
                <w:bCs/>
                <w:szCs w:val="22"/>
                <w:lang w:eastAsia="en-AU"/>
              </w:rPr>
              <w:t>Gadolinium</w:t>
            </w:r>
            <w:r w:rsidRPr="0099607F">
              <w:rPr>
                <w:rFonts w:eastAsia="Times New Roman" w:cs="Times New Roman"/>
                <w:b/>
                <w:bCs/>
                <w:szCs w:val="22"/>
                <w:lang w:eastAsia="en-AU"/>
              </w:rPr>
              <w:noBreakHyphen/>
              <w:t>enhancing lesion count, mean (SD)</w:t>
            </w:r>
          </w:p>
        </w:tc>
        <w:tc>
          <w:tcPr>
            <w:tcW w:w="0" w:type="auto"/>
            <w:vAlign w:val="center"/>
            <w:hideMark/>
          </w:tcPr>
          <w:p w14:paraId="6E8AF32F" w14:textId="77777777" w:rsidR="0099607F" w:rsidRPr="0099607F" w:rsidRDefault="0099607F" w:rsidP="0099607F">
            <w:pPr>
              <w:spacing w:after="0" w:line="240" w:lineRule="auto"/>
              <w:rPr>
                <w:rFonts w:eastAsia="Times New Roman" w:cs="Times New Roman"/>
                <w:szCs w:val="22"/>
                <w:lang w:eastAsia="en-AU"/>
              </w:rPr>
            </w:pPr>
          </w:p>
        </w:tc>
        <w:tc>
          <w:tcPr>
            <w:tcW w:w="0" w:type="auto"/>
            <w:vAlign w:val="center"/>
            <w:hideMark/>
          </w:tcPr>
          <w:p w14:paraId="63A04E4E" w14:textId="77777777" w:rsidR="0099607F" w:rsidRPr="0099607F" w:rsidRDefault="0099607F" w:rsidP="0099607F">
            <w:pPr>
              <w:spacing w:after="0" w:line="240" w:lineRule="auto"/>
              <w:rPr>
                <w:rFonts w:eastAsia="Times New Roman" w:cs="Times New Roman"/>
                <w:szCs w:val="22"/>
                <w:lang w:eastAsia="en-AU"/>
              </w:rPr>
            </w:pPr>
          </w:p>
        </w:tc>
      </w:tr>
      <w:tr w:rsidR="0099607F" w:rsidRPr="0099607F" w14:paraId="588C196E" w14:textId="77777777" w:rsidTr="0099607F">
        <w:tc>
          <w:tcPr>
            <w:tcW w:w="0" w:type="auto"/>
            <w:vAlign w:val="center"/>
            <w:hideMark/>
          </w:tcPr>
          <w:p w14:paraId="5CDE6528" w14:textId="77777777" w:rsidR="0099607F" w:rsidRPr="0099607F" w:rsidRDefault="0099607F" w:rsidP="0099607F">
            <w:pPr>
              <w:spacing w:after="0" w:line="240" w:lineRule="auto"/>
              <w:rPr>
                <w:rFonts w:eastAsia="Times New Roman" w:cs="Times New Roman"/>
                <w:szCs w:val="22"/>
                <w:lang w:eastAsia="en-AU"/>
              </w:rPr>
            </w:pPr>
            <w:r w:rsidRPr="0099607F">
              <w:rPr>
                <w:rFonts w:eastAsia="Times New Roman" w:cs="Times New Roman"/>
                <w:szCs w:val="22"/>
                <w:lang w:eastAsia="en-AU"/>
              </w:rPr>
              <w:t>Baseline</w:t>
            </w:r>
          </w:p>
        </w:tc>
        <w:tc>
          <w:tcPr>
            <w:tcW w:w="0" w:type="auto"/>
            <w:vAlign w:val="center"/>
            <w:hideMark/>
          </w:tcPr>
          <w:p w14:paraId="5ADB8805" w14:textId="77777777" w:rsidR="0099607F" w:rsidRPr="0099607F" w:rsidRDefault="0099607F" w:rsidP="0099607F">
            <w:pPr>
              <w:spacing w:after="0" w:line="240" w:lineRule="auto"/>
              <w:rPr>
                <w:rFonts w:eastAsia="Times New Roman" w:cs="Times New Roman"/>
                <w:szCs w:val="22"/>
                <w:lang w:eastAsia="en-AU"/>
              </w:rPr>
            </w:pPr>
            <w:r w:rsidRPr="0099607F">
              <w:rPr>
                <w:rFonts w:eastAsia="Times New Roman" w:cs="Times New Roman"/>
                <w:szCs w:val="22"/>
                <w:lang w:eastAsia="en-AU"/>
              </w:rPr>
              <w:t>2.6 (5.77)</w:t>
            </w:r>
          </w:p>
        </w:tc>
        <w:tc>
          <w:tcPr>
            <w:tcW w:w="0" w:type="auto"/>
            <w:vAlign w:val="center"/>
            <w:hideMark/>
          </w:tcPr>
          <w:p w14:paraId="32FE1583" w14:textId="77777777" w:rsidR="0099607F" w:rsidRPr="0099607F" w:rsidRDefault="0099607F" w:rsidP="0099607F">
            <w:pPr>
              <w:spacing w:after="0" w:line="240" w:lineRule="auto"/>
              <w:rPr>
                <w:rFonts w:eastAsia="Times New Roman" w:cs="Times New Roman"/>
                <w:szCs w:val="22"/>
                <w:lang w:eastAsia="en-AU"/>
              </w:rPr>
            </w:pPr>
            <w:r w:rsidRPr="0099607F">
              <w:rPr>
                <w:rFonts w:eastAsia="Times New Roman" w:cs="Times New Roman"/>
                <w:szCs w:val="22"/>
                <w:lang w:eastAsia="en-AU"/>
              </w:rPr>
              <w:t>2.4 (5.44)</w:t>
            </w:r>
          </w:p>
        </w:tc>
      </w:tr>
      <w:tr w:rsidR="0099607F" w:rsidRPr="0099607F" w14:paraId="55C61FBE" w14:textId="77777777" w:rsidTr="0099607F">
        <w:tc>
          <w:tcPr>
            <w:tcW w:w="0" w:type="auto"/>
            <w:vAlign w:val="center"/>
            <w:hideMark/>
          </w:tcPr>
          <w:p w14:paraId="11B87ECF" w14:textId="77777777" w:rsidR="0099607F" w:rsidRPr="0099607F" w:rsidRDefault="0099607F" w:rsidP="0099607F">
            <w:pPr>
              <w:spacing w:after="0" w:line="240" w:lineRule="auto"/>
              <w:rPr>
                <w:rFonts w:eastAsia="Times New Roman" w:cs="Times New Roman"/>
                <w:szCs w:val="22"/>
                <w:lang w:eastAsia="en-AU"/>
              </w:rPr>
            </w:pPr>
            <w:r w:rsidRPr="0099607F">
              <w:rPr>
                <w:rFonts w:eastAsia="Times New Roman" w:cs="Times New Roman"/>
                <w:szCs w:val="22"/>
                <w:lang w:eastAsia="en-AU"/>
              </w:rPr>
              <w:t>Week 12</w:t>
            </w:r>
          </w:p>
        </w:tc>
        <w:tc>
          <w:tcPr>
            <w:tcW w:w="0" w:type="auto"/>
            <w:vAlign w:val="center"/>
            <w:hideMark/>
          </w:tcPr>
          <w:p w14:paraId="6DE5899D" w14:textId="77777777" w:rsidR="0099607F" w:rsidRPr="0099607F" w:rsidRDefault="0099607F" w:rsidP="0099607F">
            <w:pPr>
              <w:spacing w:after="0" w:line="240" w:lineRule="auto"/>
              <w:rPr>
                <w:rFonts w:eastAsia="Times New Roman" w:cs="Times New Roman"/>
                <w:szCs w:val="22"/>
                <w:lang w:eastAsia="en-AU"/>
              </w:rPr>
            </w:pPr>
            <w:r w:rsidRPr="0099607F">
              <w:rPr>
                <w:rFonts w:eastAsia="Times New Roman" w:cs="Times New Roman"/>
                <w:szCs w:val="22"/>
                <w:lang w:eastAsia="en-AU"/>
              </w:rPr>
              <w:t>0.1 (0.67)</w:t>
            </w:r>
          </w:p>
        </w:tc>
        <w:tc>
          <w:tcPr>
            <w:tcW w:w="0" w:type="auto"/>
            <w:vAlign w:val="center"/>
            <w:hideMark/>
          </w:tcPr>
          <w:p w14:paraId="19DD31A4" w14:textId="77777777" w:rsidR="0099607F" w:rsidRPr="0099607F" w:rsidRDefault="0099607F" w:rsidP="0099607F">
            <w:pPr>
              <w:spacing w:after="0" w:line="240" w:lineRule="auto"/>
              <w:rPr>
                <w:rFonts w:eastAsia="Times New Roman" w:cs="Times New Roman"/>
                <w:szCs w:val="22"/>
                <w:lang w:eastAsia="en-AU"/>
              </w:rPr>
            </w:pPr>
            <w:r w:rsidRPr="0099607F">
              <w:rPr>
                <w:rFonts w:eastAsia="Times New Roman" w:cs="Times New Roman"/>
                <w:szCs w:val="22"/>
                <w:lang w:eastAsia="en-AU"/>
              </w:rPr>
              <w:t>1.0 (3.70)</w:t>
            </w:r>
          </w:p>
        </w:tc>
      </w:tr>
      <w:tr w:rsidR="0099607F" w:rsidRPr="0099607F" w14:paraId="3BDF8DB1" w14:textId="77777777" w:rsidTr="0099607F">
        <w:tc>
          <w:tcPr>
            <w:tcW w:w="0" w:type="auto"/>
            <w:vAlign w:val="center"/>
            <w:hideMark/>
          </w:tcPr>
          <w:p w14:paraId="2CBC9A96" w14:textId="77777777" w:rsidR="0099607F" w:rsidRPr="0099607F" w:rsidRDefault="0099607F" w:rsidP="0099607F">
            <w:pPr>
              <w:spacing w:after="0" w:line="240" w:lineRule="auto"/>
              <w:rPr>
                <w:rFonts w:eastAsia="Times New Roman" w:cs="Times New Roman"/>
                <w:szCs w:val="22"/>
                <w:lang w:eastAsia="en-AU"/>
              </w:rPr>
            </w:pPr>
            <w:r w:rsidRPr="0099607F">
              <w:rPr>
                <w:rFonts w:eastAsia="Times New Roman" w:cs="Times New Roman"/>
                <w:szCs w:val="22"/>
                <w:lang w:eastAsia="en-AU"/>
              </w:rPr>
              <w:t>Week 24</w:t>
            </w:r>
          </w:p>
        </w:tc>
        <w:tc>
          <w:tcPr>
            <w:tcW w:w="0" w:type="auto"/>
            <w:vAlign w:val="center"/>
            <w:hideMark/>
          </w:tcPr>
          <w:p w14:paraId="5A8328CF" w14:textId="77777777" w:rsidR="0099607F" w:rsidRPr="0099607F" w:rsidRDefault="0099607F" w:rsidP="0099607F">
            <w:pPr>
              <w:spacing w:after="0" w:line="240" w:lineRule="auto"/>
              <w:rPr>
                <w:rFonts w:eastAsia="Times New Roman" w:cs="Times New Roman"/>
                <w:szCs w:val="22"/>
                <w:lang w:eastAsia="en-AU"/>
              </w:rPr>
            </w:pPr>
            <w:r w:rsidRPr="0099607F">
              <w:rPr>
                <w:rFonts w:eastAsia="Times New Roman" w:cs="Times New Roman"/>
                <w:szCs w:val="22"/>
                <w:lang w:eastAsia="en-AU"/>
              </w:rPr>
              <w:t>0.0 (0.15)</w:t>
            </w:r>
          </w:p>
        </w:tc>
        <w:tc>
          <w:tcPr>
            <w:tcW w:w="0" w:type="auto"/>
            <w:vAlign w:val="center"/>
            <w:hideMark/>
          </w:tcPr>
          <w:p w14:paraId="74C16F81" w14:textId="77777777" w:rsidR="0099607F" w:rsidRPr="0099607F" w:rsidRDefault="0099607F" w:rsidP="0099607F">
            <w:pPr>
              <w:spacing w:after="0" w:line="240" w:lineRule="auto"/>
              <w:rPr>
                <w:rFonts w:eastAsia="Times New Roman" w:cs="Times New Roman"/>
                <w:szCs w:val="22"/>
                <w:lang w:eastAsia="en-AU"/>
              </w:rPr>
            </w:pPr>
            <w:r w:rsidRPr="0099607F">
              <w:rPr>
                <w:rFonts w:eastAsia="Times New Roman" w:cs="Times New Roman"/>
                <w:szCs w:val="22"/>
                <w:lang w:eastAsia="en-AU"/>
              </w:rPr>
              <w:t>0.8 (2.38)</w:t>
            </w:r>
          </w:p>
        </w:tc>
      </w:tr>
      <w:tr w:rsidR="0099607F" w:rsidRPr="0099607F" w14:paraId="074F89E6" w14:textId="77777777" w:rsidTr="0099607F">
        <w:tc>
          <w:tcPr>
            <w:tcW w:w="0" w:type="auto"/>
            <w:vAlign w:val="center"/>
            <w:hideMark/>
          </w:tcPr>
          <w:p w14:paraId="0A4B9373" w14:textId="77777777" w:rsidR="0099607F" w:rsidRPr="0099607F" w:rsidRDefault="0099607F" w:rsidP="0099607F">
            <w:pPr>
              <w:spacing w:after="0" w:line="240" w:lineRule="auto"/>
              <w:rPr>
                <w:rFonts w:eastAsia="Times New Roman" w:cs="Times New Roman"/>
                <w:szCs w:val="22"/>
                <w:lang w:eastAsia="en-AU"/>
              </w:rPr>
            </w:pPr>
            <w:r w:rsidRPr="0099607F">
              <w:rPr>
                <w:rFonts w:eastAsia="Times New Roman" w:cs="Times New Roman"/>
                <w:szCs w:val="22"/>
                <w:lang w:eastAsia="en-AU"/>
              </w:rPr>
              <w:t>Week 48</w:t>
            </w:r>
          </w:p>
        </w:tc>
        <w:tc>
          <w:tcPr>
            <w:tcW w:w="0" w:type="auto"/>
            <w:vAlign w:val="center"/>
            <w:hideMark/>
          </w:tcPr>
          <w:p w14:paraId="10645595" w14:textId="77777777" w:rsidR="0099607F" w:rsidRPr="0099607F" w:rsidRDefault="0099607F" w:rsidP="0099607F">
            <w:pPr>
              <w:spacing w:after="0" w:line="240" w:lineRule="auto"/>
              <w:rPr>
                <w:rFonts w:eastAsia="Times New Roman" w:cs="Times New Roman"/>
                <w:szCs w:val="22"/>
                <w:lang w:eastAsia="en-AU"/>
              </w:rPr>
            </w:pPr>
            <w:r w:rsidRPr="0099607F">
              <w:rPr>
                <w:rFonts w:eastAsia="Times New Roman" w:cs="Times New Roman"/>
                <w:szCs w:val="22"/>
                <w:lang w:eastAsia="en-AU"/>
              </w:rPr>
              <w:t>0.0 (0.06)</w:t>
            </w:r>
          </w:p>
        </w:tc>
        <w:tc>
          <w:tcPr>
            <w:tcW w:w="0" w:type="auto"/>
            <w:vAlign w:val="center"/>
            <w:hideMark/>
          </w:tcPr>
          <w:p w14:paraId="7433EE72" w14:textId="77777777" w:rsidR="0099607F" w:rsidRPr="0099607F" w:rsidRDefault="0099607F" w:rsidP="0099607F">
            <w:pPr>
              <w:spacing w:after="0" w:line="240" w:lineRule="auto"/>
              <w:rPr>
                <w:rFonts w:eastAsia="Times New Roman" w:cs="Times New Roman"/>
                <w:szCs w:val="22"/>
                <w:lang w:eastAsia="en-AU"/>
              </w:rPr>
            </w:pPr>
            <w:r w:rsidRPr="0099607F">
              <w:rPr>
                <w:rFonts w:eastAsia="Times New Roman" w:cs="Times New Roman"/>
                <w:szCs w:val="22"/>
                <w:lang w:eastAsia="en-AU"/>
              </w:rPr>
              <w:t>0.7 (1.88)</w:t>
            </w:r>
          </w:p>
        </w:tc>
      </w:tr>
      <w:tr w:rsidR="0099607F" w:rsidRPr="0099607F" w14:paraId="13BE8335" w14:textId="77777777" w:rsidTr="0099607F">
        <w:tc>
          <w:tcPr>
            <w:tcW w:w="0" w:type="auto"/>
            <w:vAlign w:val="center"/>
            <w:hideMark/>
          </w:tcPr>
          <w:p w14:paraId="1169E10C" w14:textId="77777777" w:rsidR="0099607F" w:rsidRPr="0099607F" w:rsidRDefault="0099607F" w:rsidP="0099607F">
            <w:pPr>
              <w:spacing w:after="0" w:line="240" w:lineRule="auto"/>
              <w:rPr>
                <w:rFonts w:eastAsia="Times New Roman" w:cs="Times New Roman"/>
                <w:szCs w:val="22"/>
                <w:lang w:eastAsia="en-AU"/>
              </w:rPr>
            </w:pPr>
            <w:r w:rsidRPr="0099607F">
              <w:rPr>
                <w:rFonts w:eastAsia="Times New Roman" w:cs="Times New Roman"/>
                <w:szCs w:val="22"/>
                <w:lang w:eastAsia="en-AU"/>
              </w:rPr>
              <w:t>Week 96</w:t>
            </w:r>
          </w:p>
        </w:tc>
        <w:tc>
          <w:tcPr>
            <w:tcW w:w="0" w:type="auto"/>
            <w:vAlign w:val="center"/>
            <w:hideMark/>
          </w:tcPr>
          <w:p w14:paraId="25EB4E72" w14:textId="77777777" w:rsidR="0099607F" w:rsidRPr="0099607F" w:rsidRDefault="0099607F" w:rsidP="0099607F">
            <w:pPr>
              <w:spacing w:after="0" w:line="240" w:lineRule="auto"/>
              <w:rPr>
                <w:rFonts w:eastAsia="Times New Roman" w:cs="Times New Roman"/>
                <w:szCs w:val="22"/>
                <w:lang w:eastAsia="en-AU"/>
              </w:rPr>
            </w:pPr>
            <w:r w:rsidRPr="0099607F">
              <w:rPr>
                <w:rFonts w:eastAsia="Times New Roman" w:cs="Times New Roman"/>
                <w:szCs w:val="22"/>
                <w:lang w:eastAsia="en-AU"/>
              </w:rPr>
              <w:t>0.0 (0.00)</w:t>
            </w:r>
          </w:p>
        </w:tc>
        <w:tc>
          <w:tcPr>
            <w:tcW w:w="0" w:type="auto"/>
            <w:vAlign w:val="center"/>
            <w:hideMark/>
          </w:tcPr>
          <w:p w14:paraId="4F2D3106" w14:textId="77777777" w:rsidR="0099607F" w:rsidRPr="0099607F" w:rsidRDefault="0099607F" w:rsidP="0099607F">
            <w:pPr>
              <w:spacing w:after="0" w:line="240" w:lineRule="auto"/>
              <w:rPr>
                <w:rFonts w:eastAsia="Times New Roman" w:cs="Times New Roman"/>
                <w:szCs w:val="22"/>
                <w:lang w:eastAsia="en-AU"/>
              </w:rPr>
            </w:pPr>
            <w:r w:rsidRPr="0099607F">
              <w:rPr>
                <w:rFonts w:eastAsia="Times New Roman" w:cs="Times New Roman"/>
                <w:szCs w:val="22"/>
                <w:lang w:eastAsia="en-AU"/>
              </w:rPr>
              <w:t>0.7 (1.79)</w:t>
            </w:r>
          </w:p>
        </w:tc>
      </w:tr>
      <w:tr w:rsidR="0099607F" w:rsidRPr="0099607F" w14:paraId="20743D72" w14:textId="77777777" w:rsidTr="0099607F">
        <w:tc>
          <w:tcPr>
            <w:tcW w:w="0" w:type="auto"/>
            <w:vAlign w:val="center"/>
            <w:hideMark/>
          </w:tcPr>
          <w:p w14:paraId="0EBC3B6F" w14:textId="77777777" w:rsidR="0099607F" w:rsidRPr="0099607F" w:rsidRDefault="0099607F" w:rsidP="0099607F">
            <w:pPr>
              <w:spacing w:after="0" w:line="240" w:lineRule="auto"/>
              <w:rPr>
                <w:rFonts w:eastAsia="Times New Roman" w:cs="Times New Roman"/>
                <w:szCs w:val="22"/>
                <w:lang w:eastAsia="en-AU"/>
              </w:rPr>
            </w:pPr>
            <w:r w:rsidRPr="0099607F">
              <w:rPr>
                <w:rFonts w:eastAsia="Times New Roman" w:cs="Times New Roman"/>
                <w:b/>
                <w:bCs/>
                <w:szCs w:val="22"/>
                <w:lang w:eastAsia="en-AU"/>
              </w:rPr>
              <w:t>Total number of Gadolinium</w:t>
            </w:r>
            <w:r w:rsidRPr="0099607F">
              <w:rPr>
                <w:rFonts w:eastAsia="Times New Roman" w:cs="Times New Roman"/>
                <w:b/>
                <w:bCs/>
                <w:szCs w:val="22"/>
                <w:lang w:eastAsia="en-AU"/>
              </w:rPr>
              <w:noBreakHyphen/>
              <w:t>enhancing T1 lesions per MRI scan per subject</w:t>
            </w:r>
          </w:p>
        </w:tc>
        <w:tc>
          <w:tcPr>
            <w:tcW w:w="0" w:type="auto"/>
            <w:vAlign w:val="center"/>
            <w:hideMark/>
          </w:tcPr>
          <w:p w14:paraId="6640C71F" w14:textId="77777777" w:rsidR="0099607F" w:rsidRPr="0099607F" w:rsidRDefault="0099607F" w:rsidP="0099607F">
            <w:pPr>
              <w:spacing w:after="0" w:line="240" w:lineRule="auto"/>
              <w:rPr>
                <w:rFonts w:eastAsia="Times New Roman" w:cs="Times New Roman"/>
                <w:szCs w:val="22"/>
                <w:lang w:eastAsia="en-AU"/>
              </w:rPr>
            </w:pPr>
          </w:p>
        </w:tc>
        <w:tc>
          <w:tcPr>
            <w:tcW w:w="0" w:type="auto"/>
            <w:vAlign w:val="center"/>
            <w:hideMark/>
          </w:tcPr>
          <w:p w14:paraId="5E23DA22" w14:textId="77777777" w:rsidR="0099607F" w:rsidRPr="0099607F" w:rsidRDefault="0099607F" w:rsidP="0099607F">
            <w:pPr>
              <w:spacing w:after="0" w:line="240" w:lineRule="auto"/>
              <w:rPr>
                <w:rFonts w:eastAsia="Times New Roman" w:cs="Times New Roman"/>
                <w:szCs w:val="22"/>
                <w:lang w:eastAsia="en-AU"/>
              </w:rPr>
            </w:pPr>
          </w:p>
        </w:tc>
      </w:tr>
      <w:tr w:rsidR="0099607F" w:rsidRPr="0099607F" w14:paraId="4A11150E" w14:textId="77777777" w:rsidTr="0099607F">
        <w:tc>
          <w:tcPr>
            <w:tcW w:w="0" w:type="auto"/>
            <w:vAlign w:val="center"/>
            <w:hideMark/>
          </w:tcPr>
          <w:p w14:paraId="2665F1E4" w14:textId="77777777" w:rsidR="0099607F" w:rsidRPr="0099607F" w:rsidRDefault="0099607F" w:rsidP="0099607F">
            <w:pPr>
              <w:spacing w:after="0" w:line="240" w:lineRule="auto"/>
              <w:rPr>
                <w:rFonts w:eastAsia="Times New Roman" w:cs="Times New Roman"/>
                <w:szCs w:val="22"/>
                <w:lang w:eastAsia="en-AU"/>
              </w:rPr>
            </w:pPr>
            <w:r w:rsidRPr="0099607F">
              <w:rPr>
                <w:rFonts w:eastAsia="Times New Roman" w:cs="Times New Roman"/>
                <w:szCs w:val="22"/>
                <w:lang w:eastAsia="en-AU"/>
              </w:rPr>
              <w:t>n</w:t>
            </w:r>
          </w:p>
        </w:tc>
        <w:tc>
          <w:tcPr>
            <w:tcW w:w="0" w:type="auto"/>
            <w:vAlign w:val="center"/>
            <w:hideMark/>
          </w:tcPr>
          <w:p w14:paraId="2FFD8980" w14:textId="77777777" w:rsidR="0099607F" w:rsidRPr="0099607F" w:rsidRDefault="0099607F" w:rsidP="0099607F">
            <w:pPr>
              <w:spacing w:after="0" w:line="240" w:lineRule="auto"/>
              <w:rPr>
                <w:rFonts w:eastAsia="Times New Roman" w:cs="Times New Roman"/>
                <w:szCs w:val="22"/>
                <w:lang w:eastAsia="en-AU"/>
              </w:rPr>
            </w:pPr>
            <w:r w:rsidRPr="0099607F">
              <w:rPr>
                <w:rFonts w:eastAsia="Times New Roman" w:cs="Times New Roman"/>
                <w:szCs w:val="22"/>
                <w:lang w:eastAsia="en-AU"/>
              </w:rPr>
              <w:t>272</w:t>
            </w:r>
          </w:p>
        </w:tc>
        <w:tc>
          <w:tcPr>
            <w:tcW w:w="0" w:type="auto"/>
            <w:vAlign w:val="center"/>
            <w:hideMark/>
          </w:tcPr>
          <w:p w14:paraId="2C90CCE4" w14:textId="77777777" w:rsidR="0099607F" w:rsidRPr="0099607F" w:rsidRDefault="0099607F" w:rsidP="0099607F">
            <w:pPr>
              <w:spacing w:after="0" w:line="240" w:lineRule="auto"/>
              <w:rPr>
                <w:rFonts w:eastAsia="Times New Roman" w:cs="Times New Roman"/>
                <w:szCs w:val="22"/>
                <w:lang w:eastAsia="en-AU"/>
              </w:rPr>
            </w:pPr>
            <w:r w:rsidRPr="0099607F">
              <w:rPr>
                <w:rFonts w:eastAsia="Times New Roman" w:cs="Times New Roman"/>
                <w:szCs w:val="22"/>
                <w:lang w:eastAsia="en-AU"/>
              </w:rPr>
              <w:t>267</w:t>
            </w:r>
          </w:p>
        </w:tc>
      </w:tr>
      <w:tr w:rsidR="0099607F" w:rsidRPr="0099607F" w14:paraId="6BF2611B" w14:textId="77777777" w:rsidTr="0099607F">
        <w:tc>
          <w:tcPr>
            <w:tcW w:w="0" w:type="auto"/>
            <w:vAlign w:val="center"/>
            <w:hideMark/>
          </w:tcPr>
          <w:p w14:paraId="0C6185D8" w14:textId="77777777" w:rsidR="0099607F" w:rsidRPr="0099607F" w:rsidRDefault="0099607F" w:rsidP="0099607F">
            <w:pPr>
              <w:spacing w:after="0" w:line="240" w:lineRule="auto"/>
              <w:rPr>
                <w:rFonts w:eastAsia="Times New Roman" w:cs="Times New Roman"/>
                <w:szCs w:val="22"/>
                <w:lang w:eastAsia="en-AU"/>
              </w:rPr>
            </w:pPr>
            <w:r w:rsidRPr="0099607F">
              <w:rPr>
                <w:rFonts w:eastAsia="Times New Roman" w:cs="Times New Roman"/>
                <w:szCs w:val="22"/>
                <w:lang w:eastAsia="en-AU"/>
              </w:rPr>
              <w:t>Mean (SD)</w:t>
            </w:r>
          </w:p>
        </w:tc>
        <w:tc>
          <w:tcPr>
            <w:tcW w:w="0" w:type="auto"/>
            <w:vAlign w:val="center"/>
            <w:hideMark/>
          </w:tcPr>
          <w:p w14:paraId="14585516" w14:textId="77777777" w:rsidR="0099607F" w:rsidRPr="0099607F" w:rsidRDefault="0099607F" w:rsidP="0099607F">
            <w:pPr>
              <w:spacing w:after="0" w:line="240" w:lineRule="auto"/>
              <w:rPr>
                <w:rFonts w:eastAsia="Times New Roman" w:cs="Times New Roman"/>
                <w:szCs w:val="22"/>
                <w:lang w:eastAsia="en-AU"/>
              </w:rPr>
            </w:pPr>
            <w:r w:rsidRPr="0099607F">
              <w:rPr>
                <w:rFonts w:eastAsia="Times New Roman" w:cs="Times New Roman"/>
                <w:szCs w:val="22"/>
                <w:lang w:eastAsia="en-AU"/>
              </w:rPr>
              <w:t>0.037 (0.1939)</w:t>
            </w:r>
          </w:p>
        </w:tc>
        <w:tc>
          <w:tcPr>
            <w:tcW w:w="0" w:type="auto"/>
            <w:vAlign w:val="center"/>
            <w:hideMark/>
          </w:tcPr>
          <w:p w14:paraId="1BC4E784" w14:textId="77777777" w:rsidR="0099607F" w:rsidRPr="0099607F" w:rsidRDefault="0099607F" w:rsidP="0099607F">
            <w:pPr>
              <w:spacing w:after="0" w:line="240" w:lineRule="auto"/>
              <w:rPr>
                <w:rFonts w:eastAsia="Times New Roman" w:cs="Times New Roman"/>
                <w:szCs w:val="22"/>
                <w:lang w:eastAsia="en-AU"/>
              </w:rPr>
            </w:pPr>
            <w:r w:rsidRPr="0099607F">
              <w:rPr>
                <w:rFonts w:eastAsia="Times New Roman" w:cs="Times New Roman"/>
                <w:szCs w:val="22"/>
                <w:lang w:eastAsia="en-AU"/>
              </w:rPr>
              <w:t>0.882 (2.2144)</w:t>
            </w:r>
          </w:p>
        </w:tc>
      </w:tr>
      <w:tr w:rsidR="0099607F" w:rsidRPr="0099607F" w14:paraId="34DADF32" w14:textId="77777777" w:rsidTr="0099607F">
        <w:tc>
          <w:tcPr>
            <w:tcW w:w="0" w:type="auto"/>
            <w:vAlign w:val="center"/>
            <w:hideMark/>
          </w:tcPr>
          <w:p w14:paraId="4C8444D1" w14:textId="77777777" w:rsidR="0099607F" w:rsidRPr="0099607F" w:rsidRDefault="0099607F" w:rsidP="0099607F">
            <w:pPr>
              <w:spacing w:after="0" w:line="240" w:lineRule="auto"/>
              <w:rPr>
                <w:rFonts w:eastAsia="Times New Roman" w:cs="Times New Roman"/>
                <w:szCs w:val="22"/>
                <w:lang w:eastAsia="en-AU"/>
              </w:rPr>
            </w:pPr>
            <w:r w:rsidRPr="0099607F">
              <w:rPr>
                <w:rFonts w:eastAsia="Times New Roman" w:cs="Times New Roman"/>
                <w:szCs w:val="22"/>
                <w:lang w:eastAsia="en-AU"/>
              </w:rPr>
              <w:t>Median (minimum, maximum)</w:t>
            </w:r>
          </w:p>
        </w:tc>
        <w:tc>
          <w:tcPr>
            <w:tcW w:w="0" w:type="auto"/>
            <w:vAlign w:val="center"/>
            <w:hideMark/>
          </w:tcPr>
          <w:p w14:paraId="0950D115" w14:textId="77777777" w:rsidR="0099607F" w:rsidRPr="0099607F" w:rsidRDefault="0099607F" w:rsidP="0099607F">
            <w:pPr>
              <w:spacing w:after="0" w:line="240" w:lineRule="auto"/>
              <w:rPr>
                <w:rFonts w:eastAsia="Times New Roman" w:cs="Times New Roman"/>
                <w:szCs w:val="22"/>
                <w:lang w:eastAsia="en-AU"/>
              </w:rPr>
            </w:pPr>
            <w:r w:rsidRPr="0099607F">
              <w:rPr>
                <w:rFonts w:eastAsia="Times New Roman" w:cs="Times New Roman"/>
                <w:szCs w:val="22"/>
                <w:lang w:eastAsia="en-AU"/>
              </w:rPr>
              <w:t>0.00 (0.00, 2.25)</w:t>
            </w:r>
          </w:p>
        </w:tc>
        <w:tc>
          <w:tcPr>
            <w:tcW w:w="0" w:type="auto"/>
            <w:vAlign w:val="center"/>
            <w:hideMark/>
          </w:tcPr>
          <w:p w14:paraId="7C71CD38" w14:textId="77777777" w:rsidR="0099607F" w:rsidRPr="0099607F" w:rsidRDefault="0099607F" w:rsidP="0099607F">
            <w:pPr>
              <w:spacing w:after="0" w:line="240" w:lineRule="auto"/>
              <w:rPr>
                <w:rFonts w:eastAsia="Times New Roman" w:cs="Times New Roman"/>
                <w:szCs w:val="22"/>
                <w:lang w:eastAsia="en-AU"/>
              </w:rPr>
            </w:pPr>
            <w:r w:rsidRPr="0099607F">
              <w:rPr>
                <w:rFonts w:eastAsia="Times New Roman" w:cs="Times New Roman"/>
                <w:szCs w:val="22"/>
                <w:lang w:eastAsia="en-AU"/>
              </w:rPr>
              <w:t>0.25 (0.00, 23.00)</w:t>
            </w:r>
          </w:p>
        </w:tc>
      </w:tr>
      <w:tr w:rsidR="0099607F" w:rsidRPr="0099607F" w14:paraId="02C55465" w14:textId="77777777" w:rsidTr="0099607F">
        <w:tc>
          <w:tcPr>
            <w:tcW w:w="0" w:type="auto"/>
            <w:vAlign w:val="center"/>
            <w:hideMark/>
          </w:tcPr>
          <w:p w14:paraId="4BB152C3" w14:textId="77777777" w:rsidR="0099607F" w:rsidRPr="0099607F" w:rsidRDefault="0099607F" w:rsidP="0099607F">
            <w:pPr>
              <w:spacing w:after="0" w:line="240" w:lineRule="auto"/>
              <w:rPr>
                <w:rFonts w:eastAsia="Times New Roman" w:cs="Times New Roman"/>
                <w:szCs w:val="22"/>
                <w:lang w:eastAsia="en-AU"/>
              </w:rPr>
            </w:pPr>
            <w:r w:rsidRPr="0099607F">
              <w:rPr>
                <w:rFonts w:eastAsia="Times New Roman" w:cs="Times New Roman"/>
                <w:b/>
                <w:bCs/>
                <w:szCs w:val="22"/>
                <w:lang w:eastAsia="en-AU"/>
              </w:rPr>
              <w:t>Negative binomial modelᵃ</w:t>
            </w:r>
          </w:p>
        </w:tc>
        <w:tc>
          <w:tcPr>
            <w:tcW w:w="0" w:type="auto"/>
            <w:vAlign w:val="center"/>
            <w:hideMark/>
          </w:tcPr>
          <w:p w14:paraId="6CC0D542" w14:textId="77777777" w:rsidR="0099607F" w:rsidRPr="0099607F" w:rsidRDefault="0099607F" w:rsidP="0099607F">
            <w:pPr>
              <w:spacing w:after="0" w:line="240" w:lineRule="auto"/>
              <w:rPr>
                <w:rFonts w:eastAsia="Times New Roman" w:cs="Times New Roman"/>
                <w:szCs w:val="22"/>
                <w:lang w:eastAsia="en-AU"/>
              </w:rPr>
            </w:pPr>
          </w:p>
        </w:tc>
        <w:tc>
          <w:tcPr>
            <w:tcW w:w="0" w:type="auto"/>
            <w:vAlign w:val="center"/>
            <w:hideMark/>
          </w:tcPr>
          <w:p w14:paraId="3CC23DB0" w14:textId="77777777" w:rsidR="0099607F" w:rsidRPr="0099607F" w:rsidRDefault="0099607F" w:rsidP="0099607F">
            <w:pPr>
              <w:spacing w:after="0" w:line="240" w:lineRule="auto"/>
              <w:rPr>
                <w:rFonts w:eastAsia="Times New Roman" w:cs="Times New Roman"/>
                <w:szCs w:val="22"/>
                <w:lang w:eastAsia="en-AU"/>
              </w:rPr>
            </w:pPr>
          </w:p>
        </w:tc>
      </w:tr>
      <w:tr w:rsidR="0099607F" w:rsidRPr="0099607F" w14:paraId="3D68F59D" w14:textId="77777777" w:rsidTr="0099607F">
        <w:tc>
          <w:tcPr>
            <w:tcW w:w="0" w:type="auto"/>
            <w:vAlign w:val="center"/>
            <w:hideMark/>
          </w:tcPr>
          <w:p w14:paraId="674356CB" w14:textId="77777777" w:rsidR="0099607F" w:rsidRPr="0099607F" w:rsidRDefault="0099607F" w:rsidP="0099607F">
            <w:pPr>
              <w:spacing w:after="0" w:line="240" w:lineRule="auto"/>
              <w:rPr>
                <w:rFonts w:eastAsia="Times New Roman" w:cs="Times New Roman"/>
                <w:szCs w:val="22"/>
                <w:lang w:eastAsia="en-AU"/>
              </w:rPr>
            </w:pPr>
            <w:r w:rsidRPr="0099607F">
              <w:rPr>
                <w:rFonts w:eastAsia="Times New Roman" w:cs="Times New Roman"/>
                <w:szCs w:val="22"/>
                <w:lang w:eastAsia="en-AU"/>
              </w:rPr>
              <w:t xml:space="preserve">Least squares </w:t>
            </w:r>
            <w:proofErr w:type="gramStart"/>
            <w:r w:rsidRPr="0099607F">
              <w:rPr>
                <w:rFonts w:eastAsia="Times New Roman" w:cs="Times New Roman"/>
                <w:szCs w:val="22"/>
                <w:lang w:eastAsia="en-AU"/>
              </w:rPr>
              <w:t>means</w:t>
            </w:r>
            <w:proofErr w:type="gramEnd"/>
            <w:r w:rsidRPr="0099607F">
              <w:rPr>
                <w:rFonts w:eastAsia="Times New Roman" w:cs="Times New Roman"/>
                <w:szCs w:val="22"/>
                <w:lang w:eastAsia="en-AU"/>
              </w:rPr>
              <w:t xml:space="preserve"> (95% CI)</w:t>
            </w:r>
          </w:p>
        </w:tc>
        <w:tc>
          <w:tcPr>
            <w:tcW w:w="0" w:type="auto"/>
            <w:vAlign w:val="center"/>
            <w:hideMark/>
          </w:tcPr>
          <w:p w14:paraId="1D659B1E" w14:textId="77777777" w:rsidR="0099607F" w:rsidRPr="0099607F" w:rsidRDefault="0099607F" w:rsidP="0099607F">
            <w:pPr>
              <w:spacing w:after="0" w:line="240" w:lineRule="auto"/>
              <w:rPr>
                <w:rFonts w:eastAsia="Times New Roman" w:cs="Times New Roman"/>
                <w:szCs w:val="22"/>
                <w:lang w:eastAsia="en-AU"/>
              </w:rPr>
            </w:pPr>
            <w:r w:rsidRPr="0099607F">
              <w:rPr>
                <w:rFonts w:eastAsia="Times New Roman" w:cs="Times New Roman"/>
                <w:szCs w:val="22"/>
                <w:lang w:eastAsia="en-AU"/>
              </w:rPr>
              <w:t>0.009 (0.004, 0.017)</w:t>
            </w:r>
          </w:p>
        </w:tc>
        <w:tc>
          <w:tcPr>
            <w:tcW w:w="0" w:type="auto"/>
            <w:vAlign w:val="center"/>
            <w:hideMark/>
          </w:tcPr>
          <w:p w14:paraId="5DFC918F" w14:textId="77777777" w:rsidR="0099607F" w:rsidRPr="0099607F" w:rsidRDefault="0099607F" w:rsidP="0099607F">
            <w:pPr>
              <w:spacing w:after="0" w:line="240" w:lineRule="auto"/>
              <w:rPr>
                <w:rFonts w:eastAsia="Times New Roman" w:cs="Times New Roman"/>
                <w:szCs w:val="22"/>
                <w:lang w:eastAsia="en-AU"/>
              </w:rPr>
            </w:pPr>
            <w:r w:rsidRPr="0099607F">
              <w:rPr>
                <w:rFonts w:eastAsia="Times New Roman" w:cs="Times New Roman"/>
                <w:szCs w:val="22"/>
                <w:lang w:eastAsia="en-AU"/>
              </w:rPr>
              <w:t>0.250 (0.162, 0.385)</w:t>
            </w:r>
          </w:p>
        </w:tc>
      </w:tr>
      <w:tr w:rsidR="0099607F" w:rsidRPr="0099607F" w14:paraId="34AAAEAC" w14:textId="77777777" w:rsidTr="00213EE8">
        <w:tc>
          <w:tcPr>
            <w:tcW w:w="0" w:type="auto"/>
            <w:vAlign w:val="center"/>
            <w:hideMark/>
          </w:tcPr>
          <w:p w14:paraId="7EA359A1" w14:textId="77777777" w:rsidR="0099607F" w:rsidRPr="0099607F" w:rsidRDefault="0099607F" w:rsidP="0099607F">
            <w:pPr>
              <w:spacing w:after="0" w:line="240" w:lineRule="auto"/>
              <w:rPr>
                <w:rFonts w:eastAsia="Times New Roman" w:cs="Times New Roman"/>
                <w:szCs w:val="22"/>
                <w:lang w:eastAsia="en-AU"/>
              </w:rPr>
            </w:pPr>
            <w:r w:rsidRPr="0099607F">
              <w:rPr>
                <w:rFonts w:eastAsia="Times New Roman" w:cs="Times New Roman"/>
                <w:szCs w:val="22"/>
                <w:lang w:eastAsia="en-AU"/>
              </w:rPr>
              <w:t>Ratio: ublituximab / teriflunomide</w:t>
            </w:r>
          </w:p>
        </w:tc>
        <w:tc>
          <w:tcPr>
            <w:tcW w:w="0" w:type="auto"/>
            <w:gridSpan w:val="2"/>
            <w:vAlign w:val="center"/>
            <w:hideMark/>
          </w:tcPr>
          <w:p w14:paraId="673D45C6" w14:textId="166AC23F" w:rsidR="0099607F" w:rsidRPr="0099607F" w:rsidRDefault="0099607F" w:rsidP="0099607F">
            <w:pPr>
              <w:spacing w:after="0" w:line="240" w:lineRule="auto"/>
              <w:rPr>
                <w:rFonts w:eastAsia="Times New Roman" w:cs="Times New Roman"/>
                <w:szCs w:val="22"/>
                <w:lang w:eastAsia="en-AU"/>
              </w:rPr>
            </w:pPr>
            <w:r w:rsidRPr="0099607F">
              <w:rPr>
                <w:rFonts w:eastAsia="Times New Roman" w:cs="Times New Roman"/>
                <w:szCs w:val="22"/>
                <w:lang w:eastAsia="en-AU"/>
              </w:rPr>
              <w:t>0.035 (0.019, 0.064)</w:t>
            </w:r>
          </w:p>
        </w:tc>
      </w:tr>
      <w:tr w:rsidR="0099607F" w:rsidRPr="0099607F" w14:paraId="37CF073E" w14:textId="77777777" w:rsidTr="00931329">
        <w:tc>
          <w:tcPr>
            <w:tcW w:w="0" w:type="auto"/>
            <w:vAlign w:val="center"/>
            <w:hideMark/>
          </w:tcPr>
          <w:p w14:paraId="12FBCBFD" w14:textId="77777777" w:rsidR="0099607F" w:rsidRPr="0099607F" w:rsidRDefault="0099607F" w:rsidP="0099607F">
            <w:pPr>
              <w:spacing w:after="0" w:line="240" w:lineRule="auto"/>
              <w:rPr>
                <w:rFonts w:eastAsia="Times New Roman" w:cs="Times New Roman"/>
                <w:szCs w:val="22"/>
                <w:lang w:eastAsia="en-AU"/>
              </w:rPr>
            </w:pPr>
            <w:r w:rsidRPr="0099607F">
              <w:rPr>
                <w:rFonts w:eastAsia="Times New Roman" w:cs="Times New Roman"/>
                <w:szCs w:val="22"/>
                <w:lang w:eastAsia="en-AU"/>
              </w:rPr>
              <w:t>Difference: ublituximab − teriflunomide</w:t>
            </w:r>
          </w:p>
        </w:tc>
        <w:tc>
          <w:tcPr>
            <w:tcW w:w="0" w:type="auto"/>
            <w:gridSpan w:val="2"/>
            <w:vAlign w:val="center"/>
            <w:hideMark/>
          </w:tcPr>
          <w:p w14:paraId="3FC30621" w14:textId="3728622D" w:rsidR="0099607F" w:rsidRPr="0099607F" w:rsidRDefault="0099607F" w:rsidP="0099607F">
            <w:pPr>
              <w:spacing w:after="0" w:line="240" w:lineRule="auto"/>
              <w:rPr>
                <w:rFonts w:eastAsia="Times New Roman" w:cs="Times New Roman"/>
                <w:szCs w:val="22"/>
                <w:lang w:eastAsia="en-AU"/>
              </w:rPr>
            </w:pPr>
            <w:r w:rsidRPr="0099607F">
              <w:rPr>
                <w:rFonts w:eastAsia="Times New Roman" w:cs="Times New Roman"/>
                <w:szCs w:val="22"/>
                <w:lang w:eastAsia="en-AU"/>
              </w:rPr>
              <w:t>−0.241 (−0.347, −0.135)</w:t>
            </w:r>
          </w:p>
        </w:tc>
      </w:tr>
      <w:tr w:rsidR="0099607F" w:rsidRPr="0099607F" w14:paraId="1DC927D4" w14:textId="77777777" w:rsidTr="00B82578">
        <w:tc>
          <w:tcPr>
            <w:tcW w:w="0" w:type="auto"/>
            <w:vAlign w:val="center"/>
            <w:hideMark/>
          </w:tcPr>
          <w:p w14:paraId="1C55948A" w14:textId="77777777" w:rsidR="0099607F" w:rsidRPr="0099607F" w:rsidRDefault="0099607F" w:rsidP="0099607F">
            <w:pPr>
              <w:spacing w:after="0" w:line="240" w:lineRule="auto"/>
              <w:rPr>
                <w:rFonts w:eastAsia="Times New Roman" w:cs="Times New Roman"/>
                <w:szCs w:val="22"/>
                <w:lang w:eastAsia="en-AU"/>
              </w:rPr>
            </w:pPr>
            <w:r w:rsidRPr="0099607F">
              <w:rPr>
                <w:rFonts w:eastAsia="Times New Roman" w:cs="Times New Roman"/>
                <w:szCs w:val="22"/>
                <w:lang w:eastAsia="en-AU"/>
              </w:rPr>
              <w:t>p value</w:t>
            </w:r>
          </w:p>
        </w:tc>
        <w:tc>
          <w:tcPr>
            <w:tcW w:w="0" w:type="auto"/>
            <w:gridSpan w:val="2"/>
            <w:vAlign w:val="center"/>
            <w:hideMark/>
          </w:tcPr>
          <w:p w14:paraId="487DD109" w14:textId="28168151" w:rsidR="0099607F" w:rsidRPr="0099607F" w:rsidRDefault="0099607F" w:rsidP="0099607F">
            <w:pPr>
              <w:spacing w:after="0" w:line="240" w:lineRule="auto"/>
              <w:rPr>
                <w:rFonts w:eastAsia="Times New Roman" w:cs="Times New Roman"/>
                <w:szCs w:val="22"/>
                <w:lang w:eastAsia="en-AU"/>
              </w:rPr>
            </w:pPr>
            <w:r w:rsidRPr="0099607F">
              <w:rPr>
                <w:rFonts w:eastAsia="Times New Roman" w:cs="Times New Roman"/>
                <w:szCs w:val="22"/>
                <w:lang w:eastAsia="en-AU"/>
              </w:rPr>
              <w:t>&lt;0.0001</w:t>
            </w:r>
          </w:p>
        </w:tc>
      </w:tr>
    </w:tbl>
    <w:p w14:paraId="6292AEC3" w14:textId="79BBECC2" w:rsidR="00D45785" w:rsidRDefault="00D45785" w:rsidP="0099607F">
      <w:pPr>
        <w:pStyle w:val="TableDescription"/>
        <w:contextualSpacing/>
        <w:rPr>
          <w:lang w:eastAsia="en-AU"/>
        </w:rPr>
      </w:pPr>
      <w:r>
        <w:rPr>
          <w:lang w:eastAsia="en-AU"/>
        </w:rPr>
        <w:t>CI, confidence interval; modified intent-to-treat; MRI: magnetic resonance imaging; SD, standard deviation.</w:t>
      </w:r>
    </w:p>
    <w:p w14:paraId="634C62BC" w14:textId="072A4653" w:rsidR="00E27F94" w:rsidRDefault="00D45785" w:rsidP="0099607F">
      <w:pPr>
        <w:pStyle w:val="TableDescription"/>
        <w:contextualSpacing/>
        <w:rPr>
          <w:lang w:eastAsia="en-AU"/>
        </w:rPr>
      </w:pPr>
      <w:r>
        <w:rPr>
          <w:lang w:eastAsia="en-AU"/>
        </w:rPr>
        <w:t>a. GEE (Generalized Estimating Equation) model with logarithmic link function, covariates treatment, region, baseline EDSS strata, baseline number of lesions (0/≥1) and an offset based on the log-transformed number of post-baseline MRI scans)</w:t>
      </w:r>
    </w:p>
    <w:p w14:paraId="41656EB3" w14:textId="2DFBE74A" w:rsidR="00924D9D" w:rsidRDefault="00924D9D" w:rsidP="00924D9D">
      <w:pPr>
        <w:rPr>
          <w:lang w:eastAsia="en-AU"/>
        </w:rPr>
      </w:pPr>
      <w:r w:rsidRPr="00924D9D">
        <w:rPr>
          <w:lang w:eastAsia="en-AU"/>
        </w:rPr>
        <w:t xml:space="preserve">Sensitivity analysis of the total number of Gd-enhancing T1 lesions per MRI scan at Week 96 using multiple imputation showed similar results. The LS mean for the number of Gd-enhancing T1 lesions per MRI scan was 0.009 (95% CI: 0.005, 0.018) in the ublituximab group and 0.276 (95% CI: 0.180, 0.424) in the </w:t>
      </w:r>
      <w:r w:rsidR="00AE1EB5" w:rsidRPr="00924D9D">
        <w:rPr>
          <w:lang w:eastAsia="en-AU"/>
        </w:rPr>
        <w:t>teri</w:t>
      </w:r>
      <w:r w:rsidR="00AE1EB5" w:rsidRPr="00924D9D">
        <w:rPr>
          <w:rFonts w:cs="Cambria"/>
          <w:lang w:eastAsia="en-AU"/>
        </w:rPr>
        <w:t>f</w:t>
      </w:r>
      <w:r w:rsidR="00AE1EB5" w:rsidRPr="00924D9D">
        <w:rPr>
          <w:lang w:eastAsia="en-AU"/>
        </w:rPr>
        <w:t>lunomide</w:t>
      </w:r>
      <w:r w:rsidRPr="00924D9D">
        <w:rPr>
          <w:lang w:eastAsia="en-AU"/>
        </w:rPr>
        <w:t xml:space="preserve"> group. The treatment effect was statistically </w:t>
      </w:r>
      <w:r w:rsidR="00AE1EB5" w:rsidRPr="00924D9D">
        <w:rPr>
          <w:lang w:eastAsia="en-AU"/>
        </w:rPr>
        <w:t>signi</w:t>
      </w:r>
      <w:r w:rsidR="00AE1EB5" w:rsidRPr="00924D9D">
        <w:rPr>
          <w:rFonts w:cs="Cambria"/>
          <w:lang w:eastAsia="en-AU"/>
        </w:rPr>
        <w:t>f</w:t>
      </w:r>
      <w:r w:rsidR="00AE1EB5" w:rsidRPr="00924D9D">
        <w:rPr>
          <w:lang w:eastAsia="en-AU"/>
        </w:rPr>
        <w:t>icant</w:t>
      </w:r>
      <w:r w:rsidRPr="00924D9D">
        <w:rPr>
          <w:lang w:eastAsia="en-AU"/>
        </w:rPr>
        <w:t xml:space="preserve"> in favour of ublituximab at a ratio of 0.033 (95% CI: 0.018, 0.060; p&lt;0.0001), corresponding to a reduction of 96.7%.</w:t>
      </w:r>
    </w:p>
    <w:p w14:paraId="26D3AB1A" w14:textId="22519E1E" w:rsidR="006B1D7F" w:rsidRPr="0099607F" w:rsidRDefault="006B1D7F" w:rsidP="0099607F">
      <w:pPr>
        <w:pStyle w:val="Heading8"/>
      </w:pPr>
      <w:r w:rsidRPr="0099607F">
        <w:rPr>
          <w:rStyle w:val="Heading8Char"/>
        </w:rPr>
        <w:t xml:space="preserve">Total </w:t>
      </w:r>
      <w:r w:rsidR="00D83D85" w:rsidRPr="0099607F">
        <w:rPr>
          <w:rStyle w:val="Heading8Char"/>
        </w:rPr>
        <w:t xml:space="preserve">number of new and enlarging </w:t>
      </w:r>
      <w:r w:rsidRPr="0099607F">
        <w:rPr>
          <w:rStyle w:val="Heading8Char"/>
        </w:rPr>
        <w:t xml:space="preserve">T2 </w:t>
      </w:r>
      <w:r w:rsidR="00D83D85" w:rsidRPr="0099607F">
        <w:rPr>
          <w:rStyle w:val="Heading8Char"/>
        </w:rPr>
        <w:t xml:space="preserve">hyperintense lesions </w:t>
      </w:r>
      <w:r w:rsidRPr="0099607F">
        <w:rPr>
          <w:rStyle w:val="Heading8Char"/>
        </w:rPr>
        <w:t xml:space="preserve">per MRI </w:t>
      </w:r>
      <w:r w:rsidR="00D83D85" w:rsidRPr="0099607F">
        <w:rPr>
          <w:rStyle w:val="Heading8Char"/>
        </w:rPr>
        <w:t>scan by week</w:t>
      </w:r>
      <w:r w:rsidR="00D83D85" w:rsidRPr="0099607F">
        <w:t xml:space="preserve"> </w:t>
      </w:r>
      <w:r w:rsidRPr="0099607F">
        <w:t>96</w:t>
      </w:r>
    </w:p>
    <w:p w14:paraId="15756E0A" w14:textId="13F50634" w:rsidR="006B1D7F" w:rsidRDefault="006B1D7F" w:rsidP="006B1D7F">
      <w:pPr>
        <w:rPr>
          <w:lang w:eastAsia="en-AU"/>
        </w:rPr>
      </w:pPr>
      <w:r>
        <w:rPr>
          <w:lang w:eastAsia="en-AU"/>
        </w:rPr>
        <w:t xml:space="preserve">The treatment effect of ublituximab versus </w:t>
      </w:r>
      <w:r w:rsidR="00AE1EB5">
        <w:rPr>
          <w:lang w:eastAsia="en-AU"/>
        </w:rPr>
        <w:t>teri</w:t>
      </w:r>
      <w:r w:rsidR="00AE1EB5">
        <w:rPr>
          <w:rFonts w:cs="Cambria"/>
          <w:lang w:eastAsia="en-AU"/>
        </w:rPr>
        <w:t>f</w:t>
      </w:r>
      <w:r w:rsidR="00AE1EB5">
        <w:rPr>
          <w:lang w:eastAsia="en-AU"/>
        </w:rPr>
        <w:t>lunomide</w:t>
      </w:r>
      <w:r>
        <w:rPr>
          <w:lang w:eastAsia="en-AU"/>
        </w:rPr>
        <w:t xml:space="preserve"> was statistically </w:t>
      </w:r>
      <w:r w:rsidR="00AE1EB5">
        <w:rPr>
          <w:lang w:eastAsia="en-AU"/>
        </w:rPr>
        <w:t>signi</w:t>
      </w:r>
      <w:r w:rsidR="00AE1EB5">
        <w:rPr>
          <w:rFonts w:cs="Cambria"/>
          <w:lang w:eastAsia="en-AU"/>
        </w:rPr>
        <w:t>f</w:t>
      </w:r>
      <w:r w:rsidR="00AE1EB5">
        <w:rPr>
          <w:lang w:eastAsia="en-AU"/>
        </w:rPr>
        <w:t>icant</w:t>
      </w:r>
      <w:r>
        <w:rPr>
          <w:lang w:eastAsia="en-AU"/>
        </w:rPr>
        <w:t xml:space="preserve"> in </w:t>
      </w:r>
      <w:r w:rsidR="00AE1EB5">
        <w:rPr>
          <w:lang w:eastAsia="en-AU"/>
        </w:rPr>
        <w:t>favour</w:t>
      </w:r>
      <w:r>
        <w:rPr>
          <w:lang w:eastAsia="en-AU"/>
        </w:rPr>
        <w:t xml:space="preserve"> of ublituximab (Table 1</w:t>
      </w:r>
      <w:r w:rsidR="00DF57A6">
        <w:rPr>
          <w:lang w:eastAsia="en-AU"/>
        </w:rPr>
        <w:t>5</w:t>
      </w:r>
      <w:r>
        <w:rPr>
          <w:lang w:eastAsia="en-AU"/>
        </w:rPr>
        <w:t xml:space="preserve">). Similar </w:t>
      </w:r>
      <w:r>
        <w:rPr>
          <w:rFonts w:cs="Cambria"/>
          <w:lang w:eastAsia="en-AU"/>
        </w:rPr>
        <w:t>�</w:t>
      </w:r>
      <w:r w:rsidR="00AE1EB5">
        <w:rPr>
          <w:lang w:eastAsia="en-AU"/>
        </w:rPr>
        <w:t>findings</w:t>
      </w:r>
      <w:r>
        <w:rPr>
          <w:lang w:eastAsia="en-AU"/>
        </w:rPr>
        <w:t xml:space="preserve"> were reported for the ITT population and for the PP-MRI population.</w:t>
      </w:r>
    </w:p>
    <w:p w14:paraId="3B584542" w14:textId="100FD0C7" w:rsidR="00A34C2B" w:rsidRDefault="00A34C2B" w:rsidP="00DF57A6">
      <w:pPr>
        <w:pStyle w:val="TableTitle"/>
        <w:rPr>
          <w:lang w:eastAsia="en-AU"/>
        </w:rPr>
      </w:pPr>
      <w:r w:rsidRPr="00A34C2B">
        <w:rPr>
          <w:lang w:eastAsia="en-AU"/>
        </w:rPr>
        <w:t>Table 1</w:t>
      </w:r>
      <w:r w:rsidR="00DF57A6">
        <w:rPr>
          <w:lang w:eastAsia="en-AU"/>
        </w:rPr>
        <w:t>5.</w:t>
      </w:r>
      <w:r w:rsidRPr="00A34C2B">
        <w:rPr>
          <w:lang w:eastAsia="en-AU"/>
        </w:rPr>
        <w:t xml:space="preserve"> Total Number of New and Enlarging T2 Hyperintense Lesions per MRI Scan by Week 96 in Study TG1101-RMS302 (mITT-MRI Population)</w:t>
      </w:r>
    </w:p>
    <w:tbl>
      <w:tblPr>
        <w:tblW w:w="0" w:type="auto"/>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CellMar>
          <w:top w:w="15" w:type="dxa"/>
          <w:left w:w="15" w:type="dxa"/>
          <w:bottom w:w="15" w:type="dxa"/>
          <w:right w:w="15" w:type="dxa"/>
        </w:tblCellMar>
        <w:tblLook w:val="04A0" w:firstRow="1" w:lastRow="0" w:firstColumn="1" w:lastColumn="0" w:noHBand="0" w:noVBand="1"/>
        <w:tblDescription w:val="Table 15. Total Number of New and Enlarging T2 Hyperintense Lesions per MRI Scan by Week 96 in Study TG1101-RMS302 (mITT-MRI Population)"/>
      </w:tblPr>
      <w:tblGrid>
        <w:gridCol w:w="5286"/>
        <w:gridCol w:w="1794"/>
        <w:gridCol w:w="1980"/>
      </w:tblGrid>
      <w:tr w:rsidR="0099607F" w:rsidRPr="0099607F" w14:paraId="44882995" w14:textId="77777777" w:rsidTr="0099607F">
        <w:trPr>
          <w:tblHeader/>
        </w:trPr>
        <w:tc>
          <w:tcPr>
            <w:tcW w:w="0" w:type="auto"/>
            <w:shd w:val="clear" w:color="auto" w:fill="DEEAF6"/>
            <w:vAlign w:val="center"/>
            <w:hideMark/>
          </w:tcPr>
          <w:p w14:paraId="0369302E" w14:textId="77777777" w:rsidR="0099607F" w:rsidRPr="0099607F" w:rsidRDefault="0099607F" w:rsidP="0099607F">
            <w:pPr>
              <w:spacing w:after="0" w:line="240" w:lineRule="auto"/>
              <w:jc w:val="center"/>
              <w:rPr>
                <w:rFonts w:ascii="Times New Roman" w:eastAsia="Times New Roman" w:hAnsi="Times New Roman" w:cs="Times New Roman"/>
                <w:b/>
                <w:bCs/>
                <w:color w:val="263287"/>
                <w:sz w:val="24"/>
                <w:szCs w:val="24"/>
                <w:lang w:eastAsia="en-AU"/>
              </w:rPr>
            </w:pPr>
            <w:r w:rsidRPr="0099607F">
              <w:rPr>
                <w:rFonts w:ascii="Times New Roman" w:eastAsia="Times New Roman" w:hAnsi="Times New Roman" w:cs="Times New Roman"/>
                <w:b/>
                <w:bCs/>
                <w:color w:val="263287"/>
                <w:sz w:val="24"/>
                <w:szCs w:val="24"/>
                <w:lang w:eastAsia="en-AU"/>
              </w:rPr>
              <w:t>T2 lesion count</w:t>
            </w:r>
          </w:p>
        </w:tc>
        <w:tc>
          <w:tcPr>
            <w:tcW w:w="0" w:type="auto"/>
            <w:shd w:val="clear" w:color="auto" w:fill="DEEAF6"/>
            <w:vAlign w:val="center"/>
            <w:hideMark/>
          </w:tcPr>
          <w:p w14:paraId="7569FDFE" w14:textId="77777777" w:rsidR="0099607F" w:rsidRPr="0099607F" w:rsidRDefault="0099607F" w:rsidP="009C25AF">
            <w:pPr>
              <w:spacing w:after="0" w:line="240" w:lineRule="auto"/>
              <w:rPr>
                <w:rFonts w:ascii="Times New Roman" w:eastAsia="Times New Roman" w:hAnsi="Times New Roman" w:cs="Times New Roman"/>
                <w:b/>
                <w:bCs/>
                <w:color w:val="263287"/>
                <w:sz w:val="24"/>
                <w:szCs w:val="24"/>
                <w:lang w:eastAsia="en-AU"/>
              </w:rPr>
            </w:pPr>
            <w:r w:rsidRPr="0099607F">
              <w:rPr>
                <w:rFonts w:ascii="Times New Roman" w:eastAsia="Times New Roman" w:hAnsi="Times New Roman" w:cs="Times New Roman"/>
                <w:b/>
                <w:bCs/>
                <w:color w:val="263287"/>
                <w:sz w:val="24"/>
                <w:szCs w:val="24"/>
                <w:lang w:eastAsia="en-AU"/>
              </w:rPr>
              <w:t>Ublituximab (N=272)</w:t>
            </w:r>
          </w:p>
        </w:tc>
        <w:tc>
          <w:tcPr>
            <w:tcW w:w="0" w:type="auto"/>
            <w:shd w:val="clear" w:color="auto" w:fill="DEEAF6"/>
            <w:vAlign w:val="center"/>
            <w:hideMark/>
          </w:tcPr>
          <w:p w14:paraId="7E41FCB2" w14:textId="77777777" w:rsidR="0099607F" w:rsidRPr="0099607F" w:rsidRDefault="0099607F" w:rsidP="009C25AF">
            <w:pPr>
              <w:spacing w:after="0" w:line="240" w:lineRule="auto"/>
              <w:rPr>
                <w:rFonts w:ascii="Times New Roman" w:eastAsia="Times New Roman" w:hAnsi="Times New Roman" w:cs="Times New Roman"/>
                <w:b/>
                <w:bCs/>
                <w:color w:val="263287"/>
                <w:sz w:val="24"/>
                <w:szCs w:val="24"/>
                <w:lang w:eastAsia="en-AU"/>
              </w:rPr>
            </w:pPr>
            <w:r w:rsidRPr="0099607F">
              <w:rPr>
                <w:rFonts w:ascii="Times New Roman" w:eastAsia="Times New Roman" w:hAnsi="Times New Roman" w:cs="Times New Roman"/>
                <w:b/>
                <w:bCs/>
                <w:color w:val="263287"/>
                <w:sz w:val="24"/>
                <w:szCs w:val="24"/>
                <w:lang w:eastAsia="en-AU"/>
              </w:rPr>
              <w:t>Teriflunomide (N=267)</w:t>
            </w:r>
          </w:p>
        </w:tc>
      </w:tr>
      <w:tr w:rsidR="0099607F" w:rsidRPr="0099607F" w14:paraId="784CBEDD" w14:textId="77777777" w:rsidTr="0099607F">
        <w:tc>
          <w:tcPr>
            <w:tcW w:w="0" w:type="auto"/>
            <w:vAlign w:val="center"/>
            <w:hideMark/>
          </w:tcPr>
          <w:p w14:paraId="36B008C7" w14:textId="77777777" w:rsidR="0099607F" w:rsidRPr="0099607F" w:rsidRDefault="0099607F" w:rsidP="0099607F">
            <w:pPr>
              <w:spacing w:after="0" w:line="240" w:lineRule="auto"/>
              <w:rPr>
                <w:rFonts w:ascii="Times New Roman" w:eastAsia="Times New Roman" w:hAnsi="Times New Roman" w:cs="Times New Roman"/>
                <w:sz w:val="24"/>
                <w:szCs w:val="24"/>
                <w:lang w:eastAsia="en-AU"/>
              </w:rPr>
            </w:pPr>
            <w:r w:rsidRPr="0099607F">
              <w:rPr>
                <w:rFonts w:ascii="Times New Roman" w:eastAsia="Times New Roman" w:hAnsi="Times New Roman" w:cs="Times New Roman"/>
                <w:sz w:val="24"/>
                <w:szCs w:val="24"/>
                <w:lang w:eastAsia="en-AU"/>
              </w:rPr>
              <w:t>Baseline, mean (SD)</w:t>
            </w:r>
          </w:p>
        </w:tc>
        <w:tc>
          <w:tcPr>
            <w:tcW w:w="0" w:type="auto"/>
            <w:vAlign w:val="center"/>
            <w:hideMark/>
          </w:tcPr>
          <w:p w14:paraId="1A4D975B" w14:textId="77777777" w:rsidR="0099607F" w:rsidRPr="0099607F" w:rsidRDefault="0099607F" w:rsidP="0099607F">
            <w:pPr>
              <w:spacing w:after="0" w:line="240" w:lineRule="auto"/>
              <w:rPr>
                <w:rFonts w:ascii="Times New Roman" w:eastAsia="Times New Roman" w:hAnsi="Times New Roman" w:cs="Times New Roman"/>
                <w:sz w:val="24"/>
                <w:szCs w:val="24"/>
                <w:lang w:eastAsia="en-AU"/>
              </w:rPr>
            </w:pPr>
            <w:r w:rsidRPr="0099607F">
              <w:rPr>
                <w:rFonts w:ascii="Times New Roman" w:eastAsia="Times New Roman" w:hAnsi="Times New Roman" w:cs="Times New Roman"/>
                <w:sz w:val="24"/>
                <w:szCs w:val="24"/>
                <w:lang w:eastAsia="en-AU"/>
              </w:rPr>
              <w:t>65.3 (41.23)</w:t>
            </w:r>
          </w:p>
        </w:tc>
        <w:tc>
          <w:tcPr>
            <w:tcW w:w="0" w:type="auto"/>
            <w:vAlign w:val="center"/>
            <w:hideMark/>
          </w:tcPr>
          <w:p w14:paraId="2DB44877" w14:textId="77777777" w:rsidR="0099607F" w:rsidRPr="0099607F" w:rsidRDefault="0099607F" w:rsidP="0099607F">
            <w:pPr>
              <w:spacing w:after="0" w:line="240" w:lineRule="auto"/>
              <w:rPr>
                <w:rFonts w:ascii="Times New Roman" w:eastAsia="Times New Roman" w:hAnsi="Times New Roman" w:cs="Times New Roman"/>
                <w:sz w:val="24"/>
                <w:szCs w:val="24"/>
                <w:lang w:eastAsia="en-AU"/>
              </w:rPr>
            </w:pPr>
            <w:r w:rsidRPr="0099607F">
              <w:rPr>
                <w:rFonts w:ascii="Times New Roman" w:eastAsia="Times New Roman" w:hAnsi="Times New Roman" w:cs="Times New Roman"/>
                <w:sz w:val="24"/>
                <w:szCs w:val="24"/>
                <w:lang w:eastAsia="en-AU"/>
              </w:rPr>
              <w:t>63.8 (41.36)</w:t>
            </w:r>
          </w:p>
        </w:tc>
      </w:tr>
      <w:tr w:rsidR="0099607F" w:rsidRPr="0099607F" w14:paraId="6E2ED018" w14:textId="77777777" w:rsidTr="0099607F">
        <w:tc>
          <w:tcPr>
            <w:tcW w:w="0" w:type="auto"/>
            <w:vAlign w:val="center"/>
            <w:hideMark/>
          </w:tcPr>
          <w:p w14:paraId="334328FC" w14:textId="77777777" w:rsidR="0099607F" w:rsidRPr="0099607F" w:rsidRDefault="0099607F" w:rsidP="0099607F">
            <w:pPr>
              <w:spacing w:after="0" w:line="240" w:lineRule="auto"/>
              <w:rPr>
                <w:rFonts w:ascii="Times New Roman" w:eastAsia="Times New Roman" w:hAnsi="Times New Roman" w:cs="Times New Roman"/>
                <w:sz w:val="24"/>
                <w:szCs w:val="24"/>
                <w:lang w:eastAsia="en-AU"/>
              </w:rPr>
            </w:pPr>
            <w:r w:rsidRPr="0099607F">
              <w:rPr>
                <w:rFonts w:ascii="Times New Roman" w:eastAsia="Times New Roman" w:hAnsi="Times New Roman" w:cs="Times New Roman"/>
                <w:b/>
                <w:bCs/>
                <w:sz w:val="24"/>
                <w:szCs w:val="24"/>
                <w:lang w:eastAsia="en-AU"/>
              </w:rPr>
              <w:t>New or enlarging T2 lesion count, mean (SD)</w:t>
            </w:r>
          </w:p>
        </w:tc>
        <w:tc>
          <w:tcPr>
            <w:tcW w:w="0" w:type="auto"/>
            <w:vAlign w:val="center"/>
            <w:hideMark/>
          </w:tcPr>
          <w:p w14:paraId="32881966" w14:textId="77777777" w:rsidR="0099607F" w:rsidRPr="0099607F" w:rsidRDefault="0099607F" w:rsidP="0099607F">
            <w:pPr>
              <w:spacing w:after="0" w:line="240" w:lineRule="auto"/>
              <w:rPr>
                <w:rFonts w:ascii="Times New Roman" w:eastAsia="Times New Roman" w:hAnsi="Times New Roman" w:cs="Times New Roman"/>
                <w:sz w:val="24"/>
                <w:szCs w:val="24"/>
                <w:lang w:eastAsia="en-AU"/>
              </w:rPr>
            </w:pPr>
          </w:p>
        </w:tc>
        <w:tc>
          <w:tcPr>
            <w:tcW w:w="0" w:type="auto"/>
            <w:vAlign w:val="center"/>
            <w:hideMark/>
          </w:tcPr>
          <w:p w14:paraId="2A432D55" w14:textId="77777777" w:rsidR="0099607F" w:rsidRPr="0099607F" w:rsidRDefault="0099607F" w:rsidP="0099607F">
            <w:pPr>
              <w:spacing w:after="0" w:line="240" w:lineRule="auto"/>
              <w:rPr>
                <w:rFonts w:ascii="Times New Roman" w:eastAsia="Times New Roman" w:hAnsi="Times New Roman" w:cs="Times New Roman"/>
                <w:sz w:val="20"/>
                <w:lang w:eastAsia="en-AU"/>
              </w:rPr>
            </w:pPr>
          </w:p>
        </w:tc>
      </w:tr>
      <w:tr w:rsidR="0099607F" w:rsidRPr="0099607F" w14:paraId="1CF60634" w14:textId="77777777" w:rsidTr="0099607F">
        <w:tc>
          <w:tcPr>
            <w:tcW w:w="0" w:type="auto"/>
            <w:vAlign w:val="center"/>
            <w:hideMark/>
          </w:tcPr>
          <w:p w14:paraId="14F22E18" w14:textId="77777777" w:rsidR="0099607F" w:rsidRPr="0099607F" w:rsidRDefault="0099607F" w:rsidP="0099607F">
            <w:pPr>
              <w:spacing w:after="0" w:line="240" w:lineRule="auto"/>
              <w:rPr>
                <w:rFonts w:ascii="Times New Roman" w:eastAsia="Times New Roman" w:hAnsi="Times New Roman" w:cs="Times New Roman"/>
                <w:sz w:val="24"/>
                <w:szCs w:val="24"/>
                <w:lang w:eastAsia="en-AU"/>
              </w:rPr>
            </w:pPr>
            <w:r w:rsidRPr="0099607F">
              <w:rPr>
                <w:rFonts w:ascii="Times New Roman" w:eastAsia="Times New Roman" w:hAnsi="Times New Roman" w:cs="Times New Roman"/>
                <w:sz w:val="24"/>
                <w:szCs w:val="24"/>
                <w:lang w:eastAsia="en-AU"/>
              </w:rPr>
              <w:t>Week 24</w:t>
            </w:r>
          </w:p>
        </w:tc>
        <w:tc>
          <w:tcPr>
            <w:tcW w:w="0" w:type="auto"/>
            <w:vAlign w:val="center"/>
            <w:hideMark/>
          </w:tcPr>
          <w:p w14:paraId="29DF0E7C" w14:textId="77777777" w:rsidR="0099607F" w:rsidRPr="0099607F" w:rsidRDefault="0099607F" w:rsidP="0099607F">
            <w:pPr>
              <w:spacing w:after="0" w:line="240" w:lineRule="auto"/>
              <w:rPr>
                <w:rFonts w:ascii="Times New Roman" w:eastAsia="Times New Roman" w:hAnsi="Times New Roman" w:cs="Times New Roman"/>
                <w:sz w:val="24"/>
                <w:szCs w:val="24"/>
                <w:lang w:eastAsia="en-AU"/>
              </w:rPr>
            </w:pPr>
            <w:r w:rsidRPr="0099607F">
              <w:rPr>
                <w:rFonts w:ascii="Times New Roman" w:eastAsia="Times New Roman" w:hAnsi="Times New Roman" w:cs="Times New Roman"/>
                <w:sz w:val="24"/>
                <w:szCs w:val="24"/>
                <w:lang w:eastAsia="en-AU"/>
              </w:rPr>
              <w:t>1.4 (3.39)</w:t>
            </w:r>
          </w:p>
        </w:tc>
        <w:tc>
          <w:tcPr>
            <w:tcW w:w="0" w:type="auto"/>
            <w:vAlign w:val="center"/>
            <w:hideMark/>
          </w:tcPr>
          <w:p w14:paraId="6D3B74A0" w14:textId="77777777" w:rsidR="0099607F" w:rsidRPr="0099607F" w:rsidRDefault="0099607F" w:rsidP="0099607F">
            <w:pPr>
              <w:spacing w:after="0" w:line="240" w:lineRule="auto"/>
              <w:rPr>
                <w:rFonts w:ascii="Times New Roman" w:eastAsia="Times New Roman" w:hAnsi="Times New Roman" w:cs="Times New Roman"/>
                <w:sz w:val="24"/>
                <w:szCs w:val="24"/>
                <w:lang w:eastAsia="en-AU"/>
              </w:rPr>
            </w:pPr>
            <w:r w:rsidRPr="0099607F">
              <w:rPr>
                <w:rFonts w:ascii="Times New Roman" w:eastAsia="Times New Roman" w:hAnsi="Times New Roman" w:cs="Times New Roman"/>
                <w:sz w:val="24"/>
                <w:szCs w:val="24"/>
                <w:lang w:eastAsia="en-AU"/>
              </w:rPr>
              <w:t>5.1 (9.15)</w:t>
            </w:r>
          </w:p>
        </w:tc>
      </w:tr>
      <w:tr w:rsidR="0099607F" w:rsidRPr="0099607F" w14:paraId="4CF448A9" w14:textId="77777777" w:rsidTr="0099607F">
        <w:tc>
          <w:tcPr>
            <w:tcW w:w="0" w:type="auto"/>
            <w:vAlign w:val="center"/>
            <w:hideMark/>
          </w:tcPr>
          <w:p w14:paraId="2558B7E8" w14:textId="77777777" w:rsidR="0099607F" w:rsidRPr="0099607F" w:rsidRDefault="0099607F" w:rsidP="0099607F">
            <w:pPr>
              <w:spacing w:after="0" w:line="240" w:lineRule="auto"/>
              <w:rPr>
                <w:rFonts w:ascii="Times New Roman" w:eastAsia="Times New Roman" w:hAnsi="Times New Roman" w:cs="Times New Roman"/>
                <w:sz w:val="24"/>
                <w:szCs w:val="24"/>
                <w:lang w:eastAsia="en-AU"/>
              </w:rPr>
            </w:pPr>
            <w:r w:rsidRPr="0099607F">
              <w:rPr>
                <w:rFonts w:ascii="Times New Roman" w:eastAsia="Times New Roman" w:hAnsi="Times New Roman" w:cs="Times New Roman"/>
                <w:sz w:val="24"/>
                <w:szCs w:val="24"/>
                <w:lang w:eastAsia="en-AU"/>
              </w:rPr>
              <w:lastRenderedPageBreak/>
              <w:t>Week 48</w:t>
            </w:r>
          </w:p>
        </w:tc>
        <w:tc>
          <w:tcPr>
            <w:tcW w:w="0" w:type="auto"/>
            <w:vAlign w:val="center"/>
            <w:hideMark/>
          </w:tcPr>
          <w:p w14:paraId="57940FE7" w14:textId="77777777" w:rsidR="0099607F" w:rsidRPr="0099607F" w:rsidRDefault="0099607F" w:rsidP="0099607F">
            <w:pPr>
              <w:spacing w:after="0" w:line="240" w:lineRule="auto"/>
              <w:rPr>
                <w:rFonts w:ascii="Times New Roman" w:eastAsia="Times New Roman" w:hAnsi="Times New Roman" w:cs="Times New Roman"/>
                <w:sz w:val="24"/>
                <w:szCs w:val="24"/>
                <w:lang w:eastAsia="en-AU"/>
              </w:rPr>
            </w:pPr>
            <w:r w:rsidRPr="0099607F">
              <w:rPr>
                <w:rFonts w:ascii="Times New Roman" w:eastAsia="Times New Roman" w:hAnsi="Times New Roman" w:cs="Times New Roman"/>
                <w:sz w:val="24"/>
                <w:szCs w:val="24"/>
                <w:lang w:eastAsia="en-AU"/>
              </w:rPr>
              <w:t>0.0 (0.12)</w:t>
            </w:r>
          </w:p>
        </w:tc>
        <w:tc>
          <w:tcPr>
            <w:tcW w:w="0" w:type="auto"/>
            <w:vAlign w:val="center"/>
            <w:hideMark/>
          </w:tcPr>
          <w:p w14:paraId="6632FBD7" w14:textId="77777777" w:rsidR="0099607F" w:rsidRPr="0099607F" w:rsidRDefault="0099607F" w:rsidP="0099607F">
            <w:pPr>
              <w:spacing w:after="0" w:line="240" w:lineRule="auto"/>
              <w:rPr>
                <w:rFonts w:ascii="Times New Roman" w:eastAsia="Times New Roman" w:hAnsi="Times New Roman" w:cs="Times New Roman"/>
                <w:sz w:val="24"/>
                <w:szCs w:val="24"/>
                <w:lang w:eastAsia="en-AU"/>
              </w:rPr>
            </w:pPr>
            <w:r w:rsidRPr="0099607F">
              <w:rPr>
                <w:rFonts w:ascii="Times New Roman" w:eastAsia="Times New Roman" w:hAnsi="Times New Roman" w:cs="Times New Roman"/>
                <w:sz w:val="24"/>
                <w:szCs w:val="24"/>
                <w:lang w:eastAsia="en-AU"/>
              </w:rPr>
              <w:t>3.0 (5.14)</w:t>
            </w:r>
          </w:p>
        </w:tc>
      </w:tr>
      <w:tr w:rsidR="0099607F" w:rsidRPr="0099607F" w14:paraId="2BD55947" w14:textId="77777777" w:rsidTr="0099607F">
        <w:tc>
          <w:tcPr>
            <w:tcW w:w="0" w:type="auto"/>
            <w:vAlign w:val="center"/>
            <w:hideMark/>
          </w:tcPr>
          <w:p w14:paraId="52946844" w14:textId="77777777" w:rsidR="0099607F" w:rsidRPr="0099607F" w:rsidRDefault="0099607F" w:rsidP="0099607F">
            <w:pPr>
              <w:spacing w:after="0" w:line="240" w:lineRule="auto"/>
              <w:rPr>
                <w:rFonts w:ascii="Times New Roman" w:eastAsia="Times New Roman" w:hAnsi="Times New Roman" w:cs="Times New Roman"/>
                <w:sz w:val="24"/>
                <w:szCs w:val="24"/>
                <w:lang w:eastAsia="en-AU"/>
              </w:rPr>
            </w:pPr>
            <w:r w:rsidRPr="0099607F">
              <w:rPr>
                <w:rFonts w:ascii="Times New Roman" w:eastAsia="Times New Roman" w:hAnsi="Times New Roman" w:cs="Times New Roman"/>
                <w:sz w:val="24"/>
                <w:szCs w:val="24"/>
                <w:lang w:eastAsia="en-AU"/>
              </w:rPr>
              <w:t>Week 96</w:t>
            </w:r>
          </w:p>
        </w:tc>
        <w:tc>
          <w:tcPr>
            <w:tcW w:w="0" w:type="auto"/>
            <w:vAlign w:val="center"/>
            <w:hideMark/>
          </w:tcPr>
          <w:p w14:paraId="2270CF9F" w14:textId="77777777" w:rsidR="0099607F" w:rsidRPr="0099607F" w:rsidRDefault="0099607F" w:rsidP="0099607F">
            <w:pPr>
              <w:spacing w:after="0" w:line="240" w:lineRule="auto"/>
              <w:rPr>
                <w:rFonts w:ascii="Times New Roman" w:eastAsia="Times New Roman" w:hAnsi="Times New Roman" w:cs="Times New Roman"/>
                <w:sz w:val="24"/>
                <w:szCs w:val="24"/>
                <w:lang w:eastAsia="en-AU"/>
              </w:rPr>
            </w:pPr>
            <w:r w:rsidRPr="0099607F">
              <w:rPr>
                <w:rFonts w:ascii="Times New Roman" w:eastAsia="Times New Roman" w:hAnsi="Times New Roman" w:cs="Times New Roman"/>
                <w:sz w:val="24"/>
                <w:szCs w:val="24"/>
                <w:lang w:eastAsia="en-AU"/>
              </w:rPr>
              <w:t>0.0 (0.14)</w:t>
            </w:r>
          </w:p>
        </w:tc>
        <w:tc>
          <w:tcPr>
            <w:tcW w:w="0" w:type="auto"/>
            <w:vAlign w:val="center"/>
            <w:hideMark/>
          </w:tcPr>
          <w:p w14:paraId="5CD9D536" w14:textId="77777777" w:rsidR="0099607F" w:rsidRPr="0099607F" w:rsidRDefault="0099607F" w:rsidP="0099607F">
            <w:pPr>
              <w:spacing w:after="0" w:line="240" w:lineRule="auto"/>
              <w:rPr>
                <w:rFonts w:ascii="Times New Roman" w:eastAsia="Times New Roman" w:hAnsi="Times New Roman" w:cs="Times New Roman"/>
                <w:sz w:val="24"/>
                <w:szCs w:val="24"/>
                <w:lang w:eastAsia="en-AU"/>
              </w:rPr>
            </w:pPr>
            <w:r w:rsidRPr="0099607F">
              <w:rPr>
                <w:rFonts w:ascii="Times New Roman" w:eastAsia="Times New Roman" w:hAnsi="Times New Roman" w:cs="Times New Roman"/>
                <w:sz w:val="24"/>
                <w:szCs w:val="24"/>
                <w:lang w:eastAsia="en-AU"/>
              </w:rPr>
              <w:t>5.2 (9.03)</w:t>
            </w:r>
          </w:p>
        </w:tc>
      </w:tr>
      <w:tr w:rsidR="0099607F" w:rsidRPr="0099607F" w14:paraId="19F641CC" w14:textId="77777777" w:rsidTr="0099607F">
        <w:tc>
          <w:tcPr>
            <w:tcW w:w="0" w:type="auto"/>
            <w:vAlign w:val="center"/>
            <w:hideMark/>
          </w:tcPr>
          <w:p w14:paraId="32CEB869" w14:textId="77777777" w:rsidR="0099607F" w:rsidRPr="0099607F" w:rsidRDefault="0099607F" w:rsidP="0099607F">
            <w:pPr>
              <w:spacing w:after="0" w:line="240" w:lineRule="auto"/>
              <w:rPr>
                <w:rFonts w:ascii="Times New Roman" w:eastAsia="Times New Roman" w:hAnsi="Times New Roman" w:cs="Times New Roman"/>
                <w:sz w:val="24"/>
                <w:szCs w:val="24"/>
                <w:lang w:eastAsia="en-AU"/>
              </w:rPr>
            </w:pPr>
            <w:r w:rsidRPr="0099607F">
              <w:rPr>
                <w:rFonts w:ascii="Times New Roman" w:eastAsia="Times New Roman" w:hAnsi="Times New Roman" w:cs="Times New Roman"/>
                <w:b/>
                <w:bCs/>
                <w:sz w:val="24"/>
                <w:szCs w:val="24"/>
                <w:lang w:eastAsia="en-AU"/>
              </w:rPr>
              <w:t>Total number of new and enlarging T2 hyperintense lesions per MRI scan per subject</w:t>
            </w:r>
          </w:p>
        </w:tc>
        <w:tc>
          <w:tcPr>
            <w:tcW w:w="0" w:type="auto"/>
            <w:vAlign w:val="center"/>
            <w:hideMark/>
          </w:tcPr>
          <w:p w14:paraId="3F854FCA" w14:textId="77777777" w:rsidR="0099607F" w:rsidRPr="0099607F" w:rsidRDefault="0099607F" w:rsidP="0099607F">
            <w:pPr>
              <w:spacing w:after="0" w:line="240" w:lineRule="auto"/>
              <w:rPr>
                <w:rFonts w:ascii="Times New Roman" w:eastAsia="Times New Roman" w:hAnsi="Times New Roman" w:cs="Times New Roman"/>
                <w:sz w:val="24"/>
                <w:szCs w:val="24"/>
                <w:lang w:eastAsia="en-AU"/>
              </w:rPr>
            </w:pPr>
          </w:p>
        </w:tc>
        <w:tc>
          <w:tcPr>
            <w:tcW w:w="0" w:type="auto"/>
            <w:vAlign w:val="center"/>
            <w:hideMark/>
          </w:tcPr>
          <w:p w14:paraId="7852C255" w14:textId="77777777" w:rsidR="0099607F" w:rsidRPr="0099607F" w:rsidRDefault="0099607F" w:rsidP="0099607F">
            <w:pPr>
              <w:spacing w:after="0" w:line="240" w:lineRule="auto"/>
              <w:rPr>
                <w:rFonts w:ascii="Times New Roman" w:eastAsia="Times New Roman" w:hAnsi="Times New Roman" w:cs="Times New Roman"/>
                <w:sz w:val="20"/>
                <w:lang w:eastAsia="en-AU"/>
              </w:rPr>
            </w:pPr>
          </w:p>
        </w:tc>
      </w:tr>
      <w:tr w:rsidR="0099607F" w:rsidRPr="0099607F" w14:paraId="0211A805" w14:textId="77777777" w:rsidTr="0099607F">
        <w:tc>
          <w:tcPr>
            <w:tcW w:w="0" w:type="auto"/>
            <w:vAlign w:val="center"/>
            <w:hideMark/>
          </w:tcPr>
          <w:p w14:paraId="1746FFF6" w14:textId="77777777" w:rsidR="0099607F" w:rsidRPr="0099607F" w:rsidRDefault="0099607F" w:rsidP="0099607F">
            <w:pPr>
              <w:spacing w:after="0" w:line="240" w:lineRule="auto"/>
              <w:rPr>
                <w:rFonts w:ascii="Times New Roman" w:eastAsia="Times New Roman" w:hAnsi="Times New Roman" w:cs="Times New Roman"/>
                <w:sz w:val="24"/>
                <w:szCs w:val="24"/>
                <w:lang w:eastAsia="en-AU"/>
              </w:rPr>
            </w:pPr>
            <w:r w:rsidRPr="0099607F">
              <w:rPr>
                <w:rFonts w:ascii="Times New Roman" w:eastAsia="Times New Roman" w:hAnsi="Times New Roman" w:cs="Times New Roman"/>
                <w:sz w:val="24"/>
                <w:szCs w:val="24"/>
                <w:lang w:eastAsia="en-AU"/>
              </w:rPr>
              <w:t>n</w:t>
            </w:r>
          </w:p>
        </w:tc>
        <w:tc>
          <w:tcPr>
            <w:tcW w:w="0" w:type="auto"/>
            <w:vAlign w:val="center"/>
            <w:hideMark/>
          </w:tcPr>
          <w:p w14:paraId="19D63379" w14:textId="77777777" w:rsidR="0099607F" w:rsidRPr="0099607F" w:rsidRDefault="0099607F" w:rsidP="0099607F">
            <w:pPr>
              <w:spacing w:after="0" w:line="240" w:lineRule="auto"/>
              <w:rPr>
                <w:rFonts w:ascii="Times New Roman" w:eastAsia="Times New Roman" w:hAnsi="Times New Roman" w:cs="Times New Roman"/>
                <w:sz w:val="24"/>
                <w:szCs w:val="24"/>
                <w:lang w:eastAsia="en-AU"/>
              </w:rPr>
            </w:pPr>
            <w:r w:rsidRPr="0099607F">
              <w:rPr>
                <w:rFonts w:ascii="Times New Roman" w:eastAsia="Times New Roman" w:hAnsi="Times New Roman" w:cs="Times New Roman"/>
                <w:sz w:val="24"/>
                <w:szCs w:val="24"/>
                <w:lang w:eastAsia="en-AU"/>
              </w:rPr>
              <w:t>269</w:t>
            </w:r>
          </w:p>
        </w:tc>
        <w:tc>
          <w:tcPr>
            <w:tcW w:w="0" w:type="auto"/>
            <w:vAlign w:val="center"/>
            <w:hideMark/>
          </w:tcPr>
          <w:p w14:paraId="498157C9" w14:textId="77777777" w:rsidR="0099607F" w:rsidRPr="0099607F" w:rsidRDefault="0099607F" w:rsidP="0099607F">
            <w:pPr>
              <w:spacing w:after="0" w:line="240" w:lineRule="auto"/>
              <w:rPr>
                <w:rFonts w:ascii="Times New Roman" w:eastAsia="Times New Roman" w:hAnsi="Times New Roman" w:cs="Times New Roman"/>
                <w:sz w:val="24"/>
                <w:szCs w:val="24"/>
                <w:lang w:eastAsia="en-AU"/>
              </w:rPr>
            </w:pPr>
            <w:r w:rsidRPr="0099607F">
              <w:rPr>
                <w:rFonts w:ascii="Times New Roman" w:eastAsia="Times New Roman" w:hAnsi="Times New Roman" w:cs="Times New Roman"/>
                <w:sz w:val="24"/>
                <w:szCs w:val="24"/>
                <w:lang w:eastAsia="en-AU"/>
              </w:rPr>
              <w:t>259</w:t>
            </w:r>
          </w:p>
        </w:tc>
      </w:tr>
      <w:tr w:rsidR="0099607F" w:rsidRPr="0099607F" w14:paraId="67232FCF" w14:textId="77777777" w:rsidTr="0099607F">
        <w:tc>
          <w:tcPr>
            <w:tcW w:w="0" w:type="auto"/>
            <w:vAlign w:val="center"/>
            <w:hideMark/>
          </w:tcPr>
          <w:p w14:paraId="7A676DCD" w14:textId="77777777" w:rsidR="0099607F" w:rsidRPr="0099607F" w:rsidRDefault="0099607F" w:rsidP="0099607F">
            <w:pPr>
              <w:spacing w:after="0" w:line="240" w:lineRule="auto"/>
              <w:rPr>
                <w:rFonts w:ascii="Times New Roman" w:eastAsia="Times New Roman" w:hAnsi="Times New Roman" w:cs="Times New Roman"/>
                <w:sz w:val="24"/>
                <w:szCs w:val="24"/>
                <w:lang w:eastAsia="en-AU"/>
              </w:rPr>
            </w:pPr>
            <w:r w:rsidRPr="0099607F">
              <w:rPr>
                <w:rFonts w:ascii="Times New Roman" w:eastAsia="Times New Roman" w:hAnsi="Times New Roman" w:cs="Times New Roman"/>
                <w:sz w:val="24"/>
                <w:szCs w:val="24"/>
                <w:lang w:eastAsia="en-AU"/>
              </w:rPr>
              <w:t>Mean (SD)</w:t>
            </w:r>
          </w:p>
        </w:tc>
        <w:tc>
          <w:tcPr>
            <w:tcW w:w="0" w:type="auto"/>
            <w:vAlign w:val="center"/>
            <w:hideMark/>
          </w:tcPr>
          <w:p w14:paraId="6CEC5532" w14:textId="77777777" w:rsidR="0099607F" w:rsidRPr="0099607F" w:rsidRDefault="0099607F" w:rsidP="0099607F">
            <w:pPr>
              <w:spacing w:after="0" w:line="240" w:lineRule="auto"/>
              <w:rPr>
                <w:rFonts w:ascii="Times New Roman" w:eastAsia="Times New Roman" w:hAnsi="Times New Roman" w:cs="Times New Roman"/>
                <w:sz w:val="24"/>
                <w:szCs w:val="24"/>
                <w:lang w:eastAsia="en-AU"/>
              </w:rPr>
            </w:pPr>
            <w:r w:rsidRPr="0099607F">
              <w:rPr>
                <w:rFonts w:ascii="Times New Roman" w:eastAsia="Times New Roman" w:hAnsi="Times New Roman" w:cs="Times New Roman"/>
                <w:sz w:val="24"/>
                <w:szCs w:val="24"/>
                <w:lang w:eastAsia="en-AU"/>
              </w:rPr>
              <w:t>0.498 (1.1454)</w:t>
            </w:r>
          </w:p>
        </w:tc>
        <w:tc>
          <w:tcPr>
            <w:tcW w:w="0" w:type="auto"/>
            <w:vAlign w:val="center"/>
            <w:hideMark/>
          </w:tcPr>
          <w:p w14:paraId="418D5C85" w14:textId="77777777" w:rsidR="0099607F" w:rsidRPr="0099607F" w:rsidRDefault="0099607F" w:rsidP="0099607F">
            <w:pPr>
              <w:spacing w:after="0" w:line="240" w:lineRule="auto"/>
              <w:rPr>
                <w:rFonts w:ascii="Times New Roman" w:eastAsia="Times New Roman" w:hAnsi="Times New Roman" w:cs="Times New Roman"/>
                <w:sz w:val="24"/>
                <w:szCs w:val="24"/>
                <w:lang w:eastAsia="en-AU"/>
              </w:rPr>
            </w:pPr>
            <w:r w:rsidRPr="0099607F">
              <w:rPr>
                <w:rFonts w:ascii="Times New Roman" w:eastAsia="Times New Roman" w:hAnsi="Times New Roman" w:cs="Times New Roman"/>
                <w:sz w:val="24"/>
                <w:szCs w:val="24"/>
                <w:lang w:eastAsia="en-AU"/>
              </w:rPr>
              <w:t>4.662 (7.7407)</w:t>
            </w:r>
          </w:p>
        </w:tc>
      </w:tr>
      <w:tr w:rsidR="0099607F" w:rsidRPr="0099607F" w14:paraId="569D2FF4" w14:textId="77777777" w:rsidTr="0099607F">
        <w:tc>
          <w:tcPr>
            <w:tcW w:w="0" w:type="auto"/>
            <w:vAlign w:val="center"/>
            <w:hideMark/>
          </w:tcPr>
          <w:p w14:paraId="4BEDFBB4" w14:textId="77777777" w:rsidR="0099607F" w:rsidRPr="0099607F" w:rsidRDefault="0099607F" w:rsidP="0099607F">
            <w:pPr>
              <w:spacing w:after="0" w:line="240" w:lineRule="auto"/>
              <w:rPr>
                <w:rFonts w:ascii="Times New Roman" w:eastAsia="Times New Roman" w:hAnsi="Times New Roman" w:cs="Times New Roman"/>
                <w:sz w:val="24"/>
                <w:szCs w:val="24"/>
                <w:lang w:eastAsia="en-AU"/>
              </w:rPr>
            </w:pPr>
            <w:r w:rsidRPr="0099607F">
              <w:rPr>
                <w:rFonts w:ascii="Times New Roman" w:eastAsia="Times New Roman" w:hAnsi="Times New Roman" w:cs="Times New Roman"/>
                <w:sz w:val="24"/>
                <w:szCs w:val="24"/>
                <w:lang w:eastAsia="en-AU"/>
              </w:rPr>
              <w:t>Median (minimum, maximum)</w:t>
            </w:r>
          </w:p>
        </w:tc>
        <w:tc>
          <w:tcPr>
            <w:tcW w:w="0" w:type="auto"/>
            <w:vAlign w:val="center"/>
            <w:hideMark/>
          </w:tcPr>
          <w:p w14:paraId="03DE0AA0" w14:textId="77777777" w:rsidR="0099607F" w:rsidRPr="0099607F" w:rsidRDefault="0099607F" w:rsidP="0099607F">
            <w:pPr>
              <w:spacing w:after="0" w:line="240" w:lineRule="auto"/>
              <w:rPr>
                <w:rFonts w:ascii="Times New Roman" w:eastAsia="Times New Roman" w:hAnsi="Times New Roman" w:cs="Times New Roman"/>
                <w:sz w:val="24"/>
                <w:szCs w:val="24"/>
                <w:lang w:eastAsia="en-AU"/>
              </w:rPr>
            </w:pPr>
            <w:r w:rsidRPr="0099607F">
              <w:rPr>
                <w:rFonts w:ascii="Times New Roman" w:eastAsia="Times New Roman" w:hAnsi="Times New Roman" w:cs="Times New Roman"/>
                <w:sz w:val="24"/>
                <w:szCs w:val="24"/>
                <w:lang w:eastAsia="en-AU"/>
              </w:rPr>
              <w:t>0.00 (0.00, 9.33)</w:t>
            </w:r>
          </w:p>
        </w:tc>
        <w:tc>
          <w:tcPr>
            <w:tcW w:w="0" w:type="auto"/>
            <w:vAlign w:val="center"/>
            <w:hideMark/>
          </w:tcPr>
          <w:p w14:paraId="784A549E" w14:textId="77777777" w:rsidR="0099607F" w:rsidRPr="0099607F" w:rsidRDefault="0099607F" w:rsidP="0099607F">
            <w:pPr>
              <w:spacing w:after="0" w:line="240" w:lineRule="auto"/>
              <w:rPr>
                <w:rFonts w:ascii="Times New Roman" w:eastAsia="Times New Roman" w:hAnsi="Times New Roman" w:cs="Times New Roman"/>
                <w:sz w:val="24"/>
                <w:szCs w:val="24"/>
                <w:lang w:eastAsia="en-AU"/>
              </w:rPr>
            </w:pPr>
            <w:r w:rsidRPr="0099607F">
              <w:rPr>
                <w:rFonts w:ascii="Times New Roman" w:eastAsia="Times New Roman" w:hAnsi="Times New Roman" w:cs="Times New Roman"/>
                <w:sz w:val="24"/>
                <w:szCs w:val="24"/>
                <w:lang w:eastAsia="en-AU"/>
              </w:rPr>
              <w:t>2.00 (0.00, 52.00)</w:t>
            </w:r>
          </w:p>
        </w:tc>
      </w:tr>
      <w:tr w:rsidR="0099607F" w:rsidRPr="0099607F" w14:paraId="77589195" w14:textId="77777777" w:rsidTr="0099607F">
        <w:tc>
          <w:tcPr>
            <w:tcW w:w="0" w:type="auto"/>
            <w:vAlign w:val="center"/>
            <w:hideMark/>
          </w:tcPr>
          <w:p w14:paraId="67457589" w14:textId="77777777" w:rsidR="0099607F" w:rsidRPr="0099607F" w:rsidRDefault="0099607F" w:rsidP="0099607F">
            <w:pPr>
              <w:spacing w:after="0" w:line="240" w:lineRule="auto"/>
              <w:rPr>
                <w:rFonts w:ascii="Times New Roman" w:eastAsia="Times New Roman" w:hAnsi="Times New Roman" w:cs="Times New Roman"/>
                <w:sz w:val="24"/>
                <w:szCs w:val="24"/>
                <w:lang w:eastAsia="en-AU"/>
              </w:rPr>
            </w:pPr>
            <w:r w:rsidRPr="0099607F">
              <w:rPr>
                <w:rFonts w:ascii="Times New Roman" w:eastAsia="Times New Roman" w:hAnsi="Times New Roman" w:cs="Times New Roman"/>
                <w:b/>
                <w:bCs/>
                <w:sz w:val="24"/>
                <w:szCs w:val="24"/>
                <w:lang w:eastAsia="en-AU"/>
              </w:rPr>
              <w:t>Negative binomial model</w:t>
            </w:r>
          </w:p>
        </w:tc>
        <w:tc>
          <w:tcPr>
            <w:tcW w:w="0" w:type="auto"/>
            <w:vAlign w:val="center"/>
            <w:hideMark/>
          </w:tcPr>
          <w:p w14:paraId="6EBAF710" w14:textId="77777777" w:rsidR="0099607F" w:rsidRPr="0099607F" w:rsidRDefault="0099607F" w:rsidP="0099607F">
            <w:pPr>
              <w:spacing w:after="0" w:line="240" w:lineRule="auto"/>
              <w:rPr>
                <w:rFonts w:ascii="Times New Roman" w:eastAsia="Times New Roman" w:hAnsi="Times New Roman" w:cs="Times New Roman"/>
                <w:sz w:val="24"/>
                <w:szCs w:val="24"/>
                <w:lang w:eastAsia="en-AU"/>
              </w:rPr>
            </w:pPr>
          </w:p>
        </w:tc>
        <w:tc>
          <w:tcPr>
            <w:tcW w:w="0" w:type="auto"/>
            <w:vAlign w:val="center"/>
            <w:hideMark/>
          </w:tcPr>
          <w:p w14:paraId="15A5090A" w14:textId="77777777" w:rsidR="0099607F" w:rsidRPr="0099607F" w:rsidRDefault="0099607F" w:rsidP="0099607F">
            <w:pPr>
              <w:spacing w:after="0" w:line="240" w:lineRule="auto"/>
              <w:rPr>
                <w:rFonts w:ascii="Times New Roman" w:eastAsia="Times New Roman" w:hAnsi="Times New Roman" w:cs="Times New Roman"/>
                <w:sz w:val="20"/>
                <w:lang w:eastAsia="en-AU"/>
              </w:rPr>
            </w:pPr>
          </w:p>
        </w:tc>
      </w:tr>
      <w:tr w:rsidR="0099607F" w:rsidRPr="0099607F" w14:paraId="038C7EF3" w14:textId="77777777" w:rsidTr="0099607F">
        <w:tc>
          <w:tcPr>
            <w:tcW w:w="0" w:type="auto"/>
            <w:vAlign w:val="center"/>
            <w:hideMark/>
          </w:tcPr>
          <w:p w14:paraId="1BD5EFE0" w14:textId="77777777" w:rsidR="0099607F" w:rsidRPr="0099607F" w:rsidRDefault="0099607F" w:rsidP="0099607F">
            <w:pPr>
              <w:spacing w:after="0" w:line="240" w:lineRule="auto"/>
              <w:rPr>
                <w:rFonts w:ascii="Times New Roman" w:eastAsia="Times New Roman" w:hAnsi="Times New Roman" w:cs="Times New Roman"/>
                <w:sz w:val="24"/>
                <w:szCs w:val="24"/>
                <w:lang w:eastAsia="en-AU"/>
              </w:rPr>
            </w:pPr>
            <w:r w:rsidRPr="0099607F">
              <w:rPr>
                <w:rFonts w:ascii="Times New Roman" w:eastAsia="Times New Roman" w:hAnsi="Times New Roman" w:cs="Times New Roman"/>
                <w:sz w:val="24"/>
                <w:szCs w:val="24"/>
                <w:lang w:eastAsia="en-AU"/>
              </w:rPr>
              <w:t xml:space="preserve">Least squares </w:t>
            </w:r>
            <w:proofErr w:type="gramStart"/>
            <w:r w:rsidRPr="0099607F">
              <w:rPr>
                <w:rFonts w:ascii="Times New Roman" w:eastAsia="Times New Roman" w:hAnsi="Times New Roman" w:cs="Times New Roman"/>
                <w:sz w:val="24"/>
                <w:szCs w:val="24"/>
                <w:lang w:eastAsia="en-AU"/>
              </w:rPr>
              <w:t>means</w:t>
            </w:r>
            <w:proofErr w:type="gramEnd"/>
            <w:r w:rsidRPr="0099607F">
              <w:rPr>
                <w:rFonts w:ascii="Times New Roman" w:eastAsia="Times New Roman" w:hAnsi="Times New Roman" w:cs="Times New Roman"/>
                <w:sz w:val="24"/>
                <w:szCs w:val="24"/>
                <w:lang w:eastAsia="en-AU"/>
              </w:rPr>
              <w:t xml:space="preserve"> (95% CI)</w:t>
            </w:r>
          </w:p>
        </w:tc>
        <w:tc>
          <w:tcPr>
            <w:tcW w:w="0" w:type="auto"/>
            <w:vAlign w:val="center"/>
            <w:hideMark/>
          </w:tcPr>
          <w:p w14:paraId="796029D5" w14:textId="77777777" w:rsidR="0099607F" w:rsidRPr="0099607F" w:rsidRDefault="0099607F" w:rsidP="0099607F">
            <w:pPr>
              <w:spacing w:after="0" w:line="240" w:lineRule="auto"/>
              <w:rPr>
                <w:rFonts w:ascii="Times New Roman" w:eastAsia="Times New Roman" w:hAnsi="Times New Roman" w:cs="Times New Roman"/>
                <w:sz w:val="24"/>
                <w:szCs w:val="24"/>
                <w:lang w:eastAsia="en-AU"/>
              </w:rPr>
            </w:pPr>
            <w:r w:rsidRPr="0099607F">
              <w:rPr>
                <w:rFonts w:ascii="Times New Roman" w:eastAsia="Times New Roman" w:hAnsi="Times New Roman" w:cs="Times New Roman"/>
                <w:sz w:val="24"/>
                <w:szCs w:val="24"/>
                <w:lang w:eastAsia="en-AU"/>
              </w:rPr>
              <w:t>0.282 (0.200, 0.397)</w:t>
            </w:r>
          </w:p>
        </w:tc>
        <w:tc>
          <w:tcPr>
            <w:tcW w:w="0" w:type="auto"/>
            <w:vAlign w:val="center"/>
            <w:hideMark/>
          </w:tcPr>
          <w:p w14:paraId="7931B8D3" w14:textId="77777777" w:rsidR="0099607F" w:rsidRPr="0099607F" w:rsidRDefault="0099607F" w:rsidP="0099607F">
            <w:pPr>
              <w:spacing w:after="0" w:line="240" w:lineRule="auto"/>
              <w:rPr>
                <w:rFonts w:ascii="Times New Roman" w:eastAsia="Times New Roman" w:hAnsi="Times New Roman" w:cs="Times New Roman"/>
                <w:sz w:val="24"/>
                <w:szCs w:val="24"/>
                <w:lang w:eastAsia="en-AU"/>
              </w:rPr>
            </w:pPr>
            <w:r w:rsidRPr="0099607F">
              <w:rPr>
                <w:rFonts w:ascii="Times New Roman" w:eastAsia="Times New Roman" w:hAnsi="Times New Roman" w:cs="Times New Roman"/>
                <w:sz w:val="24"/>
                <w:szCs w:val="24"/>
                <w:lang w:eastAsia="en-AU"/>
              </w:rPr>
              <w:t>2.831 (2.128, 3.767)</w:t>
            </w:r>
          </w:p>
        </w:tc>
      </w:tr>
      <w:tr w:rsidR="0099607F" w:rsidRPr="0099607F" w14:paraId="29DAA08C" w14:textId="77777777" w:rsidTr="00603F2C">
        <w:tc>
          <w:tcPr>
            <w:tcW w:w="0" w:type="auto"/>
            <w:vAlign w:val="center"/>
            <w:hideMark/>
          </w:tcPr>
          <w:p w14:paraId="3FEEF357" w14:textId="77777777" w:rsidR="0099607F" w:rsidRPr="0099607F" w:rsidRDefault="0099607F" w:rsidP="0099607F">
            <w:pPr>
              <w:spacing w:after="0" w:line="240" w:lineRule="auto"/>
              <w:rPr>
                <w:rFonts w:ascii="Times New Roman" w:eastAsia="Times New Roman" w:hAnsi="Times New Roman" w:cs="Times New Roman"/>
                <w:sz w:val="24"/>
                <w:szCs w:val="24"/>
                <w:lang w:eastAsia="en-AU"/>
              </w:rPr>
            </w:pPr>
            <w:r w:rsidRPr="0099607F">
              <w:rPr>
                <w:rFonts w:ascii="Times New Roman" w:eastAsia="Times New Roman" w:hAnsi="Times New Roman" w:cs="Times New Roman"/>
                <w:sz w:val="24"/>
                <w:szCs w:val="24"/>
                <w:lang w:eastAsia="en-AU"/>
              </w:rPr>
              <w:t>Ratio: ublituximab / teriflunomide</w:t>
            </w:r>
          </w:p>
        </w:tc>
        <w:tc>
          <w:tcPr>
            <w:tcW w:w="0" w:type="auto"/>
            <w:gridSpan w:val="2"/>
            <w:vAlign w:val="center"/>
            <w:hideMark/>
          </w:tcPr>
          <w:p w14:paraId="31BFE5AB" w14:textId="46D97A6A" w:rsidR="0099607F" w:rsidRPr="0099607F" w:rsidRDefault="0099607F" w:rsidP="0099607F">
            <w:pPr>
              <w:spacing w:after="0" w:line="240" w:lineRule="auto"/>
              <w:rPr>
                <w:rFonts w:ascii="Times New Roman" w:eastAsia="Times New Roman" w:hAnsi="Times New Roman" w:cs="Times New Roman"/>
                <w:sz w:val="24"/>
                <w:szCs w:val="24"/>
                <w:lang w:eastAsia="en-AU"/>
              </w:rPr>
            </w:pPr>
            <w:r w:rsidRPr="0099607F">
              <w:rPr>
                <w:rFonts w:ascii="Times New Roman" w:eastAsia="Times New Roman" w:hAnsi="Times New Roman" w:cs="Times New Roman"/>
                <w:sz w:val="24"/>
                <w:szCs w:val="24"/>
                <w:lang w:eastAsia="en-AU"/>
              </w:rPr>
              <w:t>0.100 (0.073, 0.136)</w:t>
            </w:r>
          </w:p>
        </w:tc>
      </w:tr>
      <w:tr w:rsidR="0099607F" w:rsidRPr="0099607F" w14:paraId="170DEB3F" w14:textId="77777777" w:rsidTr="00D00FB4">
        <w:tc>
          <w:tcPr>
            <w:tcW w:w="0" w:type="auto"/>
            <w:vAlign w:val="center"/>
            <w:hideMark/>
          </w:tcPr>
          <w:p w14:paraId="434DE304" w14:textId="77777777" w:rsidR="0099607F" w:rsidRPr="0099607F" w:rsidRDefault="0099607F" w:rsidP="0099607F">
            <w:pPr>
              <w:spacing w:after="0" w:line="240" w:lineRule="auto"/>
              <w:rPr>
                <w:rFonts w:ascii="Times New Roman" w:eastAsia="Times New Roman" w:hAnsi="Times New Roman" w:cs="Times New Roman"/>
                <w:sz w:val="24"/>
                <w:szCs w:val="24"/>
                <w:lang w:eastAsia="en-AU"/>
              </w:rPr>
            </w:pPr>
            <w:r w:rsidRPr="0099607F">
              <w:rPr>
                <w:rFonts w:ascii="Times New Roman" w:eastAsia="Times New Roman" w:hAnsi="Times New Roman" w:cs="Times New Roman"/>
                <w:sz w:val="24"/>
                <w:szCs w:val="24"/>
                <w:lang w:eastAsia="en-AU"/>
              </w:rPr>
              <w:t>Difference: ublituximab − teriflunomide</w:t>
            </w:r>
          </w:p>
        </w:tc>
        <w:tc>
          <w:tcPr>
            <w:tcW w:w="0" w:type="auto"/>
            <w:gridSpan w:val="2"/>
            <w:vAlign w:val="center"/>
            <w:hideMark/>
          </w:tcPr>
          <w:p w14:paraId="23553639" w14:textId="30A3FD98" w:rsidR="0099607F" w:rsidRPr="0099607F" w:rsidRDefault="0099607F" w:rsidP="0099607F">
            <w:pPr>
              <w:spacing w:after="0" w:line="240" w:lineRule="auto"/>
              <w:rPr>
                <w:rFonts w:ascii="Times New Roman" w:eastAsia="Times New Roman" w:hAnsi="Times New Roman" w:cs="Times New Roman"/>
                <w:sz w:val="24"/>
                <w:szCs w:val="24"/>
                <w:lang w:eastAsia="en-AU"/>
              </w:rPr>
            </w:pPr>
            <w:r w:rsidRPr="0099607F">
              <w:rPr>
                <w:rFonts w:ascii="Times New Roman" w:eastAsia="Times New Roman" w:hAnsi="Times New Roman" w:cs="Times New Roman"/>
                <w:sz w:val="24"/>
                <w:szCs w:val="24"/>
                <w:lang w:eastAsia="en-AU"/>
              </w:rPr>
              <w:t>−2.549 (−3.313, −1.786)</w:t>
            </w:r>
          </w:p>
        </w:tc>
      </w:tr>
      <w:tr w:rsidR="0099607F" w:rsidRPr="0099607F" w14:paraId="3FE51350" w14:textId="77777777" w:rsidTr="00A70421">
        <w:tc>
          <w:tcPr>
            <w:tcW w:w="0" w:type="auto"/>
            <w:vAlign w:val="center"/>
            <w:hideMark/>
          </w:tcPr>
          <w:p w14:paraId="0C068EC1" w14:textId="77777777" w:rsidR="0099607F" w:rsidRPr="0099607F" w:rsidRDefault="0099607F" w:rsidP="0099607F">
            <w:pPr>
              <w:spacing w:after="0" w:line="240" w:lineRule="auto"/>
              <w:rPr>
                <w:rFonts w:ascii="Times New Roman" w:eastAsia="Times New Roman" w:hAnsi="Times New Roman" w:cs="Times New Roman"/>
                <w:sz w:val="24"/>
                <w:szCs w:val="24"/>
                <w:lang w:eastAsia="en-AU"/>
              </w:rPr>
            </w:pPr>
            <w:r w:rsidRPr="0099607F">
              <w:rPr>
                <w:rFonts w:ascii="Times New Roman" w:eastAsia="Times New Roman" w:hAnsi="Times New Roman" w:cs="Times New Roman"/>
                <w:sz w:val="24"/>
                <w:szCs w:val="24"/>
                <w:lang w:eastAsia="en-AU"/>
              </w:rPr>
              <w:t>p value</w:t>
            </w:r>
          </w:p>
        </w:tc>
        <w:tc>
          <w:tcPr>
            <w:tcW w:w="0" w:type="auto"/>
            <w:gridSpan w:val="2"/>
            <w:vAlign w:val="center"/>
            <w:hideMark/>
          </w:tcPr>
          <w:p w14:paraId="631F3946" w14:textId="164EEA43" w:rsidR="0099607F" w:rsidRPr="0099607F" w:rsidRDefault="0099607F" w:rsidP="0099607F">
            <w:pPr>
              <w:spacing w:after="0" w:line="240" w:lineRule="auto"/>
              <w:rPr>
                <w:rFonts w:ascii="Times New Roman" w:eastAsia="Times New Roman" w:hAnsi="Times New Roman" w:cs="Times New Roman"/>
                <w:sz w:val="24"/>
                <w:szCs w:val="24"/>
                <w:lang w:eastAsia="en-AU"/>
              </w:rPr>
            </w:pPr>
            <w:r w:rsidRPr="0099607F">
              <w:rPr>
                <w:rFonts w:ascii="Times New Roman" w:eastAsia="Times New Roman" w:hAnsi="Times New Roman" w:cs="Times New Roman"/>
                <w:sz w:val="24"/>
                <w:szCs w:val="24"/>
                <w:lang w:eastAsia="en-AU"/>
              </w:rPr>
              <w:t>&lt;0.0001</w:t>
            </w:r>
          </w:p>
        </w:tc>
      </w:tr>
    </w:tbl>
    <w:p w14:paraId="09CD19D4" w14:textId="77777777" w:rsidR="002104D3" w:rsidRDefault="002104D3" w:rsidP="0099607F">
      <w:pPr>
        <w:pStyle w:val="TableDescription"/>
        <w:contextualSpacing/>
        <w:rPr>
          <w:lang w:eastAsia="en-AU"/>
        </w:rPr>
      </w:pPr>
      <w:r>
        <w:rPr>
          <w:lang w:eastAsia="en-AU"/>
        </w:rPr>
        <w:t>CI, confidence interval; modified intent-to-treat; MRI: magnetic resonance imaging; SD, standard deviation.</w:t>
      </w:r>
    </w:p>
    <w:p w14:paraId="4E088619" w14:textId="306FFAA7" w:rsidR="002104D3" w:rsidRDefault="002104D3" w:rsidP="0099607F">
      <w:pPr>
        <w:pStyle w:val="TableDescription"/>
        <w:contextualSpacing/>
        <w:rPr>
          <w:lang w:eastAsia="en-AU"/>
        </w:rPr>
      </w:pPr>
      <w:r>
        <w:rPr>
          <w:lang w:eastAsia="en-AU"/>
        </w:rPr>
        <w:t>a. GEE (Generalized Estimating Equation) model with logarithmic link function, covariates treatment, region, baseline EDSS strata, baseline number of lesions (0/21) and an offset based on the log-transformed number of post-baseline MRI scans).</w:t>
      </w:r>
    </w:p>
    <w:p w14:paraId="30C6C3A6" w14:textId="4046543D" w:rsidR="007B7BA4" w:rsidRDefault="007B7BA4" w:rsidP="007B7BA4">
      <w:pPr>
        <w:rPr>
          <w:lang w:eastAsia="en-AU"/>
        </w:rPr>
      </w:pPr>
      <w:r>
        <w:rPr>
          <w:lang w:eastAsia="en-AU"/>
        </w:rPr>
        <w:t xml:space="preserve">A sensitivity analysis of the total number of new and enlarging T2 hyperintense lesions per MRI scan at Week 96 using multiple imputation showed similar results. The LS mean for the number of new and enlarging T2 hyperintense lesions per MRI scan was 0.292 (95% CI: 0.208, 0.412) in the ublituximab group and 3.041 (95% CI: 2.256, 4.098) in the </w:t>
      </w:r>
      <w:r w:rsidR="00AE1EB5">
        <w:rPr>
          <w:lang w:eastAsia="en-AU"/>
        </w:rPr>
        <w:t>teri</w:t>
      </w:r>
      <w:r w:rsidR="00AE1EB5">
        <w:rPr>
          <w:rFonts w:cs="Cambria"/>
          <w:lang w:eastAsia="en-AU"/>
        </w:rPr>
        <w:t>f</w:t>
      </w:r>
      <w:r w:rsidR="00AE1EB5">
        <w:rPr>
          <w:lang w:eastAsia="en-AU"/>
        </w:rPr>
        <w:t>lunomide</w:t>
      </w:r>
      <w:r>
        <w:rPr>
          <w:lang w:eastAsia="en-AU"/>
        </w:rPr>
        <w:t xml:space="preserve"> group. The treatment effect was statistically </w:t>
      </w:r>
      <w:r w:rsidR="00AE1EB5">
        <w:rPr>
          <w:lang w:eastAsia="en-AU"/>
        </w:rPr>
        <w:t>signi</w:t>
      </w:r>
      <w:r w:rsidR="00AE1EB5">
        <w:rPr>
          <w:rFonts w:cs="Cambria"/>
          <w:lang w:eastAsia="en-AU"/>
        </w:rPr>
        <w:t>f</w:t>
      </w:r>
      <w:r w:rsidR="00AE1EB5">
        <w:rPr>
          <w:lang w:eastAsia="en-AU"/>
        </w:rPr>
        <w:t>icant</w:t>
      </w:r>
      <w:r>
        <w:rPr>
          <w:lang w:eastAsia="en-AU"/>
        </w:rPr>
        <w:t xml:space="preserve"> in favour of ublituximab at a ratio of 0.096 (95% CI: 0.070, 0.131; p&lt;0.0001), corresponding to a reduction of 90.4%.</w:t>
      </w:r>
    </w:p>
    <w:p w14:paraId="544C8587" w14:textId="07697E70" w:rsidR="007B7BA4" w:rsidRDefault="007B7BA4" w:rsidP="0099607F">
      <w:pPr>
        <w:pStyle w:val="Heading8"/>
        <w:rPr>
          <w:lang w:eastAsia="en-AU"/>
        </w:rPr>
      </w:pPr>
      <w:r>
        <w:rPr>
          <w:lang w:eastAsia="en-AU"/>
        </w:rPr>
        <w:t xml:space="preserve">Proportion of </w:t>
      </w:r>
      <w:r w:rsidR="00D83D85">
        <w:rPr>
          <w:lang w:eastAsia="en-AU"/>
        </w:rPr>
        <w:t xml:space="preserve">subjects with </w:t>
      </w:r>
      <w:r>
        <w:rPr>
          <w:lang w:eastAsia="en-AU"/>
        </w:rPr>
        <w:t xml:space="preserve">NEDA </w:t>
      </w:r>
      <w:r w:rsidR="00D83D85">
        <w:rPr>
          <w:lang w:eastAsia="en-AU"/>
        </w:rPr>
        <w:t xml:space="preserve">from week 24 to week </w:t>
      </w:r>
      <w:r>
        <w:rPr>
          <w:lang w:eastAsia="en-AU"/>
        </w:rPr>
        <w:t>96</w:t>
      </w:r>
    </w:p>
    <w:p w14:paraId="50FBF2C2" w14:textId="415243E1" w:rsidR="002104D3" w:rsidRDefault="007B7BA4" w:rsidP="007B7BA4">
      <w:pPr>
        <w:rPr>
          <w:lang w:eastAsia="en-AU"/>
        </w:rPr>
      </w:pPr>
      <w:r>
        <w:rPr>
          <w:lang w:eastAsia="en-AU"/>
        </w:rPr>
        <w:t xml:space="preserve">The treatment effect was numerically in </w:t>
      </w:r>
      <w:r w:rsidR="00AE1EB5">
        <w:rPr>
          <w:lang w:eastAsia="en-AU"/>
        </w:rPr>
        <w:t>favour</w:t>
      </w:r>
      <w:r>
        <w:rPr>
          <w:lang w:eastAsia="en-AU"/>
        </w:rPr>
        <w:t xml:space="preserve"> of ublituximab (Table 1</w:t>
      </w:r>
      <w:r w:rsidR="00DF57A6">
        <w:rPr>
          <w:lang w:eastAsia="en-AU"/>
        </w:rPr>
        <w:t>6</w:t>
      </w:r>
      <w:r>
        <w:rPr>
          <w:lang w:eastAsia="en-AU"/>
        </w:rPr>
        <w:t xml:space="preserve">). Similar </w:t>
      </w:r>
      <w:r>
        <w:rPr>
          <w:rFonts w:cs="Cambria"/>
          <w:lang w:eastAsia="en-AU"/>
        </w:rPr>
        <w:t>�</w:t>
      </w:r>
      <w:r w:rsidR="00AE1EB5">
        <w:rPr>
          <w:lang w:eastAsia="en-AU"/>
        </w:rPr>
        <w:t>findings</w:t>
      </w:r>
      <w:r>
        <w:rPr>
          <w:lang w:eastAsia="en-AU"/>
        </w:rPr>
        <w:t xml:space="preserve"> were reported for the ITT population and for the PP population.</w:t>
      </w:r>
    </w:p>
    <w:p w14:paraId="475C6D7D" w14:textId="2FFB5EFB" w:rsidR="00342639" w:rsidRDefault="00342639" w:rsidP="00342639">
      <w:pPr>
        <w:pStyle w:val="TableTitle"/>
        <w:rPr>
          <w:lang w:eastAsia="en-AU"/>
        </w:rPr>
      </w:pPr>
      <w:r w:rsidRPr="00342639">
        <w:rPr>
          <w:lang w:eastAsia="en-AU"/>
        </w:rPr>
        <w:t>Table 1</w:t>
      </w:r>
      <w:r w:rsidR="00DF57A6">
        <w:rPr>
          <w:lang w:eastAsia="en-AU"/>
        </w:rPr>
        <w:t>6</w:t>
      </w:r>
      <w:r w:rsidRPr="00342639">
        <w:rPr>
          <w:lang w:eastAsia="en-AU"/>
        </w:rPr>
        <w:t>: Proportion of subjects with no evidence of disease activity from week 24 to week 96 for study TG1101-RMS302 (mITT Population)</w:t>
      </w:r>
    </w:p>
    <w:tbl>
      <w:tblPr>
        <w:tblW w:w="0" w:type="auto"/>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CellMar>
          <w:top w:w="15" w:type="dxa"/>
          <w:left w:w="15" w:type="dxa"/>
          <w:bottom w:w="15" w:type="dxa"/>
          <w:right w:w="15" w:type="dxa"/>
        </w:tblCellMar>
        <w:tblLook w:val="04A0" w:firstRow="1" w:lastRow="0" w:firstColumn="1" w:lastColumn="0" w:noHBand="0" w:noVBand="1"/>
        <w:tblDescription w:val="Table 16: Proportion of subjects with no evidence of disease activity from week 24 to week 96 for study TG1101-RMS302 (mITT Population)"/>
      </w:tblPr>
      <w:tblGrid>
        <w:gridCol w:w="5202"/>
        <w:gridCol w:w="1822"/>
        <w:gridCol w:w="2036"/>
      </w:tblGrid>
      <w:tr w:rsidR="004274E8" w:rsidRPr="004274E8" w14:paraId="083DB9B9" w14:textId="77777777" w:rsidTr="004274E8">
        <w:trPr>
          <w:tblHeader/>
        </w:trPr>
        <w:tc>
          <w:tcPr>
            <w:tcW w:w="0" w:type="auto"/>
            <w:shd w:val="clear" w:color="auto" w:fill="DEEAF6"/>
            <w:vAlign w:val="center"/>
            <w:hideMark/>
          </w:tcPr>
          <w:p w14:paraId="02C75208" w14:textId="08093DF3" w:rsidR="004274E8" w:rsidRPr="004274E8" w:rsidRDefault="004274E8" w:rsidP="004274E8">
            <w:pPr>
              <w:spacing w:after="0" w:line="240" w:lineRule="auto"/>
              <w:rPr>
                <w:rFonts w:eastAsia="Times New Roman" w:cs="Times New Roman"/>
                <w:b/>
                <w:bCs/>
                <w:color w:val="263287"/>
                <w:szCs w:val="22"/>
                <w:lang w:eastAsia="en-AU"/>
              </w:rPr>
            </w:pPr>
          </w:p>
        </w:tc>
        <w:tc>
          <w:tcPr>
            <w:tcW w:w="0" w:type="auto"/>
            <w:shd w:val="clear" w:color="auto" w:fill="DEEAF6"/>
            <w:vAlign w:val="center"/>
            <w:hideMark/>
          </w:tcPr>
          <w:p w14:paraId="33A29DF3" w14:textId="77777777" w:rsidR="004274E8" w:rsidRPr="004274E8" w:rsidRDefault="004274E8" w:rsidP="004274E8">
            <w:pPr>
              <w:spacing w:after="0" w:line="240" w:lineRule="auto"/>
              <w:rPr>
                <w:rFonts w:eastAsia="Times New Roman" w:cs="Times New Roman"/>
                <w:b/>
                <w:bCs/>
                <w:color w:val="263287"/>
                <w:szCs w:val="22"/>
                <w:lang w:eastAsia="en-AU"/>
              </w:rPr>
            </w:pPr>
            <w:r w:rsidRPr="004274E8">
              <w:rPr>
                <w:rFonts w:eastAsia="Times New Roman" w:cs="Times New Roman"/>
                <w:b/>
                <w:bCs/>
                <w:color w:val="263287"/>
                <w:szCs w:val="22"/>
                <w:lang w:eastAsia="en-AU"/>
              </w:rPr>
              <w:t>Ublituximab (N=272)</w:t>
            </w:r>
          </w:p>
        </w:tc>
        <w:tc>
          <w:tcPr>
            <w:tcW w:w="0" w:type="auto"/>
            <w:shd w:val="clear" w:color="auto" w:fill="DEEAF6"/>
            <w:vAlign w:val="center"/>
            <w:hideMark/>
          </w:tcPr>
          <w:p w14:paraId="00925118" w14:textId="77777777" w:rsidR="004274E8" w:rsidRPr="004274E8" w:rsidRDefault="004274E8" w:rsidP="004274E8">
            <w:pPr>
              <w:spacing w:after="0" w:line="240" w:lineRule="auto"/>
              <w:rPr>
                <w:rFonts w:eastAsia="Times New Roman" w:cs="Times New Roman"/>
                <w:b/>
                <w:bCs/>
                <w:color w:val="263287"/>
                <w:szCs w:val="22"/>
                <w:lang w:eastAsia="en-AU"/>
              </w:rPr>
            </w:pPr>
            <w:r w:rsidRPr="004274E8">
              <w:rPr>
                <w:rFonts w:eastAsia="Times New Roman" w:cs="Times New Roman"/>
                <w:b/>
                <w:bCs/>
                <w:color w:val="263287"/>
                <w:szCs w:val="22"/>
                <w:lang w:eastAsia="en-AU"/>
              </w:rPr>
              <w:t>Teriflunomide (N=272)</w:t>
            </w:r>
          </w:p>
        </w:tc>
      </w:tr>
      <w:tr w:rsidR="004274E8" w:rsidRPr="004274E8" w14:paraId="6D189061" w14:textId="77777777" w:rsidTr="004274E8">
        <w:tc>
          <w:tcPr>
            <w:tcW w:w="0" w:type="auto"/>
            <w:vAlign w:val="center"/>
            <w:hideMark/>
          </w:tcPr>
          <w:p w14:paraId="430AA3EF" w14:textId="77777777" w:rsidR="004274E8" w:rsidRPr="004274E8" w:rsidRDefault="004274E8" w:rsidP="004274E8">
            <w:pPr>
              <w:spacing w:after="0" w:line="240" w:lineRule="auto"/>
              <w:rPr>
                <w:rFonts w:eastAsia="Times New Roman" w:cs="Times New Roman"/>
                <w:szCs w:val="22"/>
                <w:lang w:eastAsia="en-AU"/>
              </w:rPr>
            </w:pPr>
            <w:r w:rsidRPr="004274E8">
              <w:rPr>
                <w:rFonts w:eastAsia="Times New Roman" w:cs="Times New Roman"/>
                <w:szCs w:val="22"/>
                <w:lang w:eastAsia="en-AU"/>
              </w:rPr>
              <w:t>Number of subjects with NEDA, n (%)</w:t>
            </w:r>
          </w:p>
        </w:tc>
        <w:tc>
          <w:tcPr>
            <w:tcW w:w="0" w:type="auto"/>
            <w:vAlign w:val="center"/>
            <w:hideMark/>
          </w:tcPr>
          <w:p w14:paraId="0A3FCFDF" w14:textId="77777777" w:rsidR="004274E8" w:rsidRPr="004274E8" w:rsidRDefault="004274E8" w:rsidP="004274E8">
            <w:pPr>
              <w:spacing w:after="0" w:line="240" w:lineRule="auto"/>
              <w:rPr>
                <w:rFonts w:eastAsia="Times New Roman" w:cs="Times New Roman"/>
                <w:szCs w:val="22"/>
                <w:lang w:eastAsia="en-AU"/>
              </w:rPr>
            </w:pPr>
            <w:r w:rsidRPr="004274E8">
              <w:rPr>
                <w:rFonts w:eastAsia="Times New Roman" w:cs="Times New Roman"/>
                <w:szCs w:val="22"/>
                <w:lang w:eastAsia="en-AU"/>
              </w:rPr>
              <w:t>117 (43.0)</w:t>
            </w:r>
          </w:p>
        </w:tc>
        <w:tc>
          <w:tcPr>
            <w:tcW w:w="0" w:type="auto"/>
            <w:vAlign w:val="center"/>
            <w:hideMark/>
          </w:tcPr>
          <w:p w14:paraId="4D16571B" w14:textId="77777777" w:rsidR="004274E8" w:rsidRPr="004274E8" w:rsidRDefault="004274E8" w:rsidP="004274E8">
            <w:pPr>
              <w:spacing w:after="0" w:line="240" w:lineRule="auto"/>
              <w:rPr>
                <w:rFonts w:eastAsia="Times New Roman" w:cs="Times New Roman"/>
                <w:szCs w:val="22"/>
                <w:lang w:eastAsia="en-AU"/>
              </w:rPr>
            </w:pPr>
            <w:r w:rsidRPr="004274E8">
              <w:rPr>
                <w:rFonts w:eastAsia="Times New Roman" w:cs="Times New Roman"/>
                <w:szCs w:val="22"/>
                <w:lang w:eastAsia="en-AU"/>
              </w:rPr>
              <w:t>31 (11.4)</w:t>
            </w:r>
          </w:p>
        </w:tc>
      </w:tr>
      <w:tr w:rsidR="004274E8" w:rsidRPr="004274E8" w14:paraId="74C8CBB5" w14:textId="77777777" w:rsidTr="000516A5">
        <w:tc>
          <w:tcPr>
            <w:tcW w:w="0" w:type="auto"/>
            <w:vAlign w:val="center"/>
            <w:hideMark/>
          </w:tcPr>
          <w:p w14:paraId="6267D6D1" w14:textId="77777777" w:rsidR="004274E8" w:rsidRPr="004274E8" w:rsidRDefault="004274E8" w:rsidP="004274E8">
            <w:pPr>
              <w:spacing w:after="0" w:line="240" w:lineRule="auto"/>
              <w:rPr>
                <w:rFonts w:eastAsia="Times New Roman" w:cs="Times New Roman"/>
                <w:szCs w:val="22"/>
                <w:lang w:eastAsia="en-AU"/>
              </w:rPr>
            </w:pPr>
            <w:r w:rsidRPr="004274E8">
              <w:rPr>
                <w:rFonts w:eastAsia="Times New Roman" w:cs="Times New Roman"/>
                <w:szCs w:val="22"/>
                <w:lang w:eastAsia="en-AU"/>
              </w:rPr>
              <w:t>Difference (%): ublituximab – teriflunomide (95% CI)</w:t>
            </w:r>
          </w:p>
        </w:tc>
        <w:tc>
          <w:tcPr>
            <w:tcW w:w="0" w:type="auto"/>
            <w:gridSpan w:val="2"/>
            <w:vAlign w:val="center"/>
            <w:hideMark/>
          </w:tcPr>
          <w:p w14:paraId="2195396D" w14:textId="00C5400C" w:rsidR="004274E8" w:rsidRPr="004274E8" w:rsidRDefault="004274E8" w:rsidP="004274E8">
            <w:pPr>
              <w:spacing w:after="0" w:line="240" w:lineRule="auto"/>
              <w:rPr>
                <w:rFonts w:eastAsia="Times New Roman" w:cs="Times New Roman"/>
                <w:szCs w:val="22"/>
                <w:lang w:eastAsia="en-AU"/>
              </w:rPr>
            </w:pPr>
            <w:r w:rsidRPr="004274E8">
              <w:rPr>
                <w:rFonts w:eastAsia="Times New Roman" w:cs="Times New Roman"/>
                <w:szCs w:val="22"/>
                <w:lang w:eastAsia="en-AU"/>
              </w:rPr>
              <w:t>31.6 (24.6, 38.6)</w:t>
            </w:r>
          </w:p>
        </w:tc>
      </w:tr>
      <w:tr w:rsidR="004274E8" w:rsidRPr="004274E8" w14:paraId="06EA3E5F" w14:textId="77777777" w:rsidTr="004274E8">
        <w:tc>
          <w:tcPr>
            <w:tcW w:w="0" w:type="auto"/>
            <w:vAlign w:val="center"/>
            <w:hideMark/>
          </w:tcPr>
          <w:p w14:paraId="563BD909" w14:textId="77777777" w:rsidR="004274E8" w:rsidRPr="004274E8" w:rsidRDefault="004274E8" w:rsidP="004274E8">
            <w:pPr>
              <w:spacing w:after="0" w:line="240" w:lineRule="auto"/>
              <w:rPr>
                <w:rFonts w:eastAsia="Times New Roman" w:cs="Times New Roman"/>
                <w:szCs w:val="22"/>
                <w:lang w:eastAsia="en-AU"/>
              </w:rPr>
            </w:pPr>
            <w:r w:rsidRPr="004274E8">
              <w:rPr>
                <w:rFonts w:eastAsia="Times New Roman" w:cs="Times New Roman"/>
                <w:szCs w:val="22"/>
                <w:lang w:eastAsia="en-AU"/>
              </w:rPr>
              <w:t>Number of subjects with any evidence of disease activity or terminated early, n (%)</w:t>
            </w:r>
          </w:p>
        </w:tc>
        <w:tc>
          <w:tcPr>
            <w:tcW w:w="0" w:type="auto"/>
            <w:vAlign w:val="center"/>
            <w:hideMark/>
          </w:tcPr>
          <w:p w14:paraId="510218E4" w14:textId="77777777" w:rsidR="004274E8" w:rsidRPr="004274E8" w:rsidRDefault="004274E8" w:rsidP="004274E8">
            <w:pPr>
              <w:spacing w:after="0" w:line="240" w:lineRule="auto"/>
              <w:rPr>
                <w:rFonts w:eastAsia="Times New Roman" w:cs="Times New Roman"/>
                <w:szCs w:val="22"/>
                <w:lang w:eastAsia="en-AU"/>
              </w:rPr>
            </w:pPr>
            <w:r w:rsidRPr="004274E8">
              <w:rPr>
                <w:rFonts w:eastAsia="Times New Roman" w:cs="Times New Roman"/>
                <w:szCs w:val="22"/>
                <w:lang w:eastAsia="en-AU"/>
              </w:rPr>
              <w:t>155 (57.0)</w:t>
            </w:r>
          </w:p>
        </w:tc>
        <w:tc>
          <w:tcPr>
            <w:tcW w:w="0" w:type="auto"/>
            <w:vAlign w:val="center"/>
            <w:hideMark/>
          </w:tcPr>
          <w:p w14:paraId="5881CEE0" w14:textId="77777777" w:rsidR="004274E8" w:rsidRPr="004274E8" w:rsidRDefault="004274E8" w:rsidP="004274E8">
            <w:pPr>
              <w:spacing w:after="0" w:line="240" w:lineRule="auto"/>
              <w:rPr>
                <w:rFonts w:eastAsia="Times New Roman" w:cs="Times New Roman"/>
                <w:szCs w:val="22"/>
                <w:lang w:eastAsia="en-AU"/>
              </w:rPr>
            </w:pPr>
            <w:r w:rsidRPr="004274E8">
              <w:rPr>
                <w:rFonts w:eastAsia="Times New Roman" w:cs="Times New Roman"/>
                <w:szCs w:val="22"/>
                <w:lang w:eastAsia="en-AU"/>
              </w:rPr>
              <w:t>241 (88.6)</w:t>
            </w:r>
          </w:p>
        </w:tc>
      </w:tr>
      <w:tr w:rsidR="004274E8" w:rsidRPr="004274E8" w14:paraId="7450B593" w14:textId="77777777" w:rsidTr="004274E8">
        <w:tc>
          <w:tcPr>
            <w:tcW w:w="0" w:type="auto"/>
            <w:vAlign w:val="center"/>
            <w:hideMark/>
          </w:tcPr>
          <w:p w14:paraId="63677191" w14:textId="77777777" w:rsidR="004274E8" w:rsidRPr="004274E8" w:rsidRDefault="004274E8" w:rsidP="004274E8">
            <w:pPr>
              <w:spacing w:after="0" w:line="240" w:lineRule="auto"/>
              <w:rPr>
                <w:rFonts w:eastAsia="Times New Roman" w:cs="Times New Roman"/>
                <w:szCs w:val="22"/>
                <w:lang w:eastAsia="en-AU"/>
              </w:rPr>
            </w:pPr>
            <w:r w:rsidRPr="004274E8">
              <w:rPr>
                <w:rFonts w:eastAsia="Times New Roman" w:cs="Times New Roman"/>
                <w:b/>
                <w:bCs/>
                <w:szCs w:val="22"/>
                <w:lang w:eastAsia="en-AU"/>
              </w:rPr>
              <w:t>Logistic regression</w:t>
            </w:r>
          </w:p>
        </w:tc>
        <w:tc>
          <w:tcPr>
            <w:tcW w:w="0" w:type="auto"/>
            <w:vAlign w:val="center"/>
            <w:hideMark/>
          </w:tcPr>
          <w:p w14:paraId="127CA437" w14:textId="77777777" w:rsidR="004274E8" w:rsidRPr="004274E8" w:rsidRDefault="004274E8" w:rsidP="004274E8">
            <w:pPr>
              <w:spacing w:after="0" w:line="240" w:lineRule="auto"/>
              <w:rPr>
                <w:rFonts w:eastAsia="Times New Roman" w:cs="Times New Roman"/>
                <w:szCs w:val="22"/>
                <w:lang w:eastAsia="en-AU"/>
              </w:rPr>
            </w:pPr>
          </w:p>
        </w:tc>
        <w:tc>
          <w:tcPr>
            <w:tcW w:w="0" w:type="auto"/>
            <w:vAlign w:val="center"/>
            <w:hideMark/>
          </w:tcPr>
          <w:p w14:paraId="52B491F8" w14:textId="77777777" w:rsidR="004274E8" w:rsidRPr="004274E8" w:rsidRDefault="004274E8" w:rsidP="004274E8">
            <w:pPr>
              <w:spacing w:after="0" w:line="240" w:lineRule="auto"/>
              <w:rPr>
                <w:rFonts w:eastAsia="Times New Roman" w:cs="Times New Roman"/>
                <w:szCs w:val="22"/>
                <w:lang w:eastAsia="en-AU"/>
              </w:rPr>
            </w:pPr>
          </w:p>
        </w:tc>
      </w:tr>
      <w:tr w:rsidR="004274E8" w:rsidRPr="004274E8" w14:paraId="25B913B3" w14:textId="77777777" w:rsidTr="00904662">
        <w:tc>
          <w:tcPr>
            <w:tcW w:w="0" w:type="auto"/>
            <w:vAlign w:val="center"/>
            <w:hideMark/>
          </w:tcPr>
          <w:p w14:paraId="5752CA7A" w14:textId="77777777" w:rsidR="004274E8" w:rsidRPr="004274E8" w:rsidRDefault="004274E8" w:rsidP="004274E8">
            <w:pPr>
              <w:spacing w:after="0" w:line="240" w:lineRule="auto"/>
              <w:rPr>
                <w:rFonts w:eastAsia="Times New Roman" w:cs="Times New Roman"/>
                <w:szCs w:val="22"/>
                <w:lang w:eastAsia="en-AU"/>
              </w:rPr>
            </w:pPr>
            <w:r w:rsidRPr="004274E8">
              <w:rPr>
                <w:rFonts w:eastAsia="Times New Roman" w:cs="Times New Roman"/>
                <w:szCs w:val="22"/>
                <w:lang w:eastAsia="en-AU"/>
              </w:rPr>
              <w:t>Odds ratio: ublituximab / teriflunomide (95% CI)</w:t>
            </w:r>
          </w:p>
        </w:tc>
        <w:tc>
          <w:tcPr>
            <w:tcW w:w="0" w:type="auto"/>
            <w:gridSpan w:val="2"/>
            <w:vAlign w:val="center"/>
            <w:hideMark/>
          </w:tcPr>
          <w:p w14:paraId="7B73D4D6" w14:textId="5EAF4A75" w:rsidR="004274E8" w:rsidRPr="004274E8" w:rsidRDefault="004274E8" w:rsidP="004274E8">
            <w:pPr>
              <w:spacing w:after="0" w:line="240" w:lineRule="auto"/>
              <w:rPr>
                <w:rFonts w:eastAsia="Times New Roman" w:cs="Times New Roman"/>
                <w:szCs w:val="22"/>
                <w:lang w:eastAsia="en-AU"/>
              </w:rPr>
            </w:pPr>
            <w:r w:rsidRPr="004274E8">
              <w:rPr>
                <w:rFonts w:eastAsia="Times New Roman" w:cs="Times New Roman"/>
                <w:szCs w:val="22"/>
                <w:lang w:eastAsia="en-AU"/>
              </w:rPr>
              <w:t>7.946 (4.917, 12.841)</w:t>
            </w:r>
          </w:p>
        </w:tc>
      </w:tr>
      <w:tr w:rsidR="004274E8" w:rsidRPr="004274E8" w14:paraId="07F6AA68" w14:textId="77777777" w:rsidTr="00760CA9">
        <w:tc>
          <w:tcPr>
            <w:tcW w:w="0" w:type="auto"/>
            <w:vAlign w:val="center"/>
            <w:hideMark/>
          </w:tcPr>
          <w:p w14:paraId="48357A8A" w14:textId="77777777" w:rsidR="004274E8" w:rsidRPr="004274E8" w:rsidRDefault="004274E8" w:rsidP="004274E8">
            <w:pPr>
              <w:spacing w:after="0" w:line="240" w:lineRule="auto"/>
              <w:rPr>
                <w:rFonts w:eastAsia="Times New Roman" w:cs="Times New Roman"/>
                <w:szCs w:val="22"/>
                <w:lang w:eastAsia="en-AU"/>
              </w:rPr>
            </w:pPr>
            <w:r w:rsidRPr="004274E8">
              <w:rPr>
                <w:rFonts w:eastAsia="Times New Roman" w:cs="Times New Roman"/>
                <w:szCs w:val="22"/>
                <w:lang w:eastAsia="en-AU"/>
              </w:rPr>
              <w:t>p value</w:t>
            </w:r>
          </w:p>
        </w:tc>
        <w:tc>
          <w:tcPr>
            <w:tcW w:w="0" w:type="auto"/>
            <w:gridSpan w:val="2"/>
            <w:vAlign w:val="center"/>
            <w:hideMark/>
          </w:tcPr>
          <w:p w14:paraId="25BABD23" w14:textId="5FA844C5" w:rsidR="004274E8" w:rsidRPr="004274E8" w:rsidRDefault="004274E8" w:rsidP="004274E8">
            <w:pPr>
              <w:spacing w:after="0" w:line="240" w:lineRule="auto"/>
              <w:rPr>
                <w:rFonts w:eastAsia="Times New Roman" w:cs="Times New Roman"/>
                <w:szCs w:val="22"/>
                <w:lang w:eastAsia="en-AU"/>
              </w:rPr>
            </w:pPr>
            <w:r w:rsidRPr="004274E8">
              <w:rPr>
                <w:rFonts w:eastAsia="Times New Roman" w:cs="Times New Roman"/>
                <w:szCs w:val="22"/>
                <w:lang w:eastAsia="en-AU"/>
              </w:rPr>
              <w:t>&lt;0.0001</w:t>
            </w:r>
          </w:p>
        </w:tc>
      </w:tr>
    </w:tbl>
    <w:p w14:paraId="24A8DA57" w14:textId="1C48A10E" w:rsidR="005C47CE" w:rsidRDefault="005C47CE" w:rsidP="004274E8">
      <w:pPr>
        <w:pStyle w:val="TableDescription"/>
        <w:contextualSpacing/>
        <w:rPr>
          <w:lang w:eastAsia="en-AU"/>
        </w:rPr>
      </w:pPr>
      <w:r>
        <w:rPr>
          <w:lang w:eastAsia="en-AU"/>
        </w:rPr>
        <w:t>CI confidence interval; modified intent-to-treat; NEDA, no evidence of disease activity.</w:t>
      </w:r>
    </w:p>
    <w:p w14:paraId="5FFF27A4" w14:textId="595E7A9F" w:rsidR="005C47CE" w:rsidRDefault="005C47CE" w:rsidP="004274E8">
      <w:pPr>
        <w:pStyle w:val="TableDescription"/>
        <w:contextualSpacing/>
        <w:rPr>
          <w:lang w:eastAsia="en-AU"/>
        </w:rPr>
      </w:pPr>
      <w:r>
        <w:rPr>
          <w:lang w:eastAsia="en-AU"/>
        </w:rPr>
        <w:t>a. Denominator is the number of participants in the analysis population.</w:t>
      </w:r>
    </w:p>
    <w:p w14:paraId="27DB0201" w14:textId="77777777" w:rsidR="00955699" w:rsidRDefault="00955699" w:rsidP="004274E8">
      <w:pPr>
        <w:pStyle w:val="TableDescription"/>
        <w:contextualSpacing/>
        <w:rPr>
          <w:lang w:eastAsia="en-AU"/>
        </w:rPr>
      </w:pPr>
      <w:r>
        <w:rPr>
          <w:lang w:eastAsia="en-AU"/>
        </w:rPr>
        <w:t xml:space="preserve">b. </w:t>
      </w:r>
      <w:r w:rsidR="005C47CE">
        <w:rPr>
          <w:lang w:eastAsia="en-AU"/>
        </w:rPr>
        <w:t>Logistic regression model with treatment, region, baseline EDSS strata, and log-transformed baseline MRI counts (T1 unenhancing, T2, Gad</w:t>
      </w:r>
      <w:r>
        <w:rPr>
          <w:lang w:eastAsia="en-AU"/>
        </w:rPr>
        <w:t xml:space="preserve"> e</w:t>
      </w:r>
      <w:r w:rsidR="005C47CE">
        <w:rPr>
          <w:lang w:eastAsia="en-AU"/>
        </w:rPr>
        <w:t>nhancing) as covariates</w:t>
      </w:r>
      <w:r>
        <w:rPr>
          <w:lang w:eastAsia="en-AU"/>
        </w:rPr>
        <w:t xml:space="preserve"> </w:t>
      </w:r>
    </w:p>
    <w:p w14:paraId="56535949" w14:textId="2C23D982" w:rsidR="005C47CE" w:rsidRDefault="00955699" w:rsidP="004274E8">
      <w:pPr>
        <w:pStyle w:val="TableDescription"/>
        <w:contextualSpacing/>
        <w:rPr>
          <w:lang w:eastAsia="en-AU"/>
        </w:rPr>
      </w:pPr>
      <w:r>
        <w:rPr>
          <w:lang w:eastAsia="en-AU"/>
        </w:rPr>
        <w:t>P-</w:t>
      </w:r>
      <w:r w:rsidR="005C47CE">
        <w:rPr>
          <w:lang w:eastAsia="en-AU"/>
        </w:rPr>
        <w:t>value is nominal as the 12-week CDP was not statistically significant</w:t>
      </w:r>
      <w:r>
        <w:rPr>
          <w:lang w:eastAsia="en-AU"/>
        </w:rPr>
        <w:t xml:space="preserve">. </w:t>
      </w:r>
    </w:p>
    <w:p w14:paraId="5A8E7308" w14:textId="0B8F50FC" w:rsidR="00420E8B" w:rsidRDefault="00420E8B" w:rsidP="004274E8">
      <w:pPr>
        <w:pStyle w:val="Heading8"/>
        <w:rPr>
          <w:lang w:eastAsia="en-AU"/>
        </w:rPr>
      </w:pPr>
      <w:r>
        <w:rPr>
          <w:lang w:eastAsia="en-AU"/>
        </w:rPr>
        <w:t xml:space="preserve">Proportion of </w:t>
      </w:r>
      <w:r w:rsidR="00D83D85">
        <w:rPr>
          <w:lang w:eastAsia="en-AU"/>
        </w:rPr>
        <w:t xml:space="preserve">subjects reaching impaired symbol digit modalities test from baseline to week </w:t>
      </w:r>
      <w:r>
        <w:rPr>
          <w:lang w:eastAsia="en-AU"/>
        </w:rPr>
        <w:t>96</w:t>
      </w:r>
    </w:p>
    <w:p w14:paraId="7B43DC36" w14:textId="4833AA95" w:rsidR="00420E8B" w:rsidRDefault="00420E8B" w:rsidP="00420E8B">
      <w:pPr>
        <w:rPr>
          <w:lang w:eastAsia="en-AU"/>
        </w:rPr>
      </w:pPr>
      <w:r>
        <w:rPr>
          <w:lang w:eastAsia="en-AU"/>
        </w:rPr>
        <w:t>The treatment effect for the number of subjects with impaired SDMT is shown in Table 1</w:t>
      </w:r>
      <w:r w:rsidR="00DF57A6">
        <w:rPr>
          <w:lang w:eastAsia="en-AU"/>
        </w:rPr>
        <w:t>7</w:t>
      </w:r>
      <w:r>
        <w:rPr>
          <w:lang w:eastAsia="en-AU"/>
        </w:rPr>
        <w:t xml:space="preserve">. Similar </w:t>
      </w:r>
      <w:r w:rsidR="006D2303">
        <w:rPr>
          <w:lang w:eastAsia="en-AU"/>
        </w:rPr>
        <w:t>findings</w:t>
      </w:r>
      <w:r>
        <w:rPr>
          <w:lang w:eastAsia="en-AU"/>
        </w:rPr>
        <w:t xml:space="preserve"> were reported for the ITT population and for the PP population. </w:t>
      </w:r>
    </w:p>
    <w:p w14:paraId="165AD35D" w14:textId="5BB3E383" w:rsidR="00420E8B" w:rsidRDefault="00420E8B" w:rsidP="00420E8B">
      <w:pPr>
        <w:pStyle w:val="TableTitle"/>
        <w:rPr>
          <w:lang w:eastAsia="en-AU"/>
        </w:rPr>
      </w:pPr>
      <w:r>
        <w:rPr>
          <w:lang w:eastAsia="en-AU"/>
        </w:rPr>
        <w:lastRenderedPageBreak/>
        <w:t>Table 1</w:t>
      </w:r>
      <w:r w:rsidR="00DF57A6">
        <w:rPr>
          <w:lang w:eastAsia="en-AU"/>
        </w:rPr>
        <w:t>7</w:t>
      </w:r>
      <w:r>
        <w:rPr>
          <w:lang w:eastAsia="en-AU"/>
        </w:rPr>
        <w:t>: Proportion of subjects reaching impaired symbol digit modalities test from baseline to week 96 for study TG1101-RMS302 (mITT Population)</w:t>
      </w:r>
    </w:p>
    <w:tbl>
      <w:tblPr>
        <w:tblW w:w="0" w:type="auto"/>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CellMar>
          <w:top w:w="15" w:type="dxa"/>
          <w:left w:w="15" w:type="dxa"/>
          <w:bottom w:w="15" w:type="dxa"/>
          <w:right w:w="15" w:type="dxa"/>
        </w:tblCellMar>
        <w:tblLook w:val="04A0" w:firstRow="1" w:lastRow="0" w:firstColumn="1" w:lastColumn="0" w:noHBand="0" w:noVBand="1"/>
        <w:tblDescription w:val="Table 17: Proportion of subjects reaching impaired symbol digit modalities test from baseline to week 96 for study TG1101-RMS302 (mITT Population)"/>
      </w:tblPr>
      <w:tblGrid>
        <w:gridCol w:w="4572"/>
        <w:gridCol w:w="2137"/>
        <w:gridCol w:w="2351"/>
      </w:tblGrid>
      <w:tr w:rsidR="004274E8" w:rsidRPr="004274E8" w14:paraId="2FFC8055" w14:textId="77777777" w:rsidTr="004274E8">
        <w:trPr>
          <w:tblHeader/>
        </w:trPr>
        <w:tc>
          <w:tcPr>
            <w:tcW w:w="0" w:type="auto"/>
            <w:shd w:val="clear" w:color="auto" w:fill="DEEAF6"/>
            <w:vAlign w:val="center"/>
            <w:hideMark/>
          </w:tcPr>
          <w:p w14:paraId="410256A1" w14:textId="28331C03" w:rsidR="004274E8" w:rsidRPr="009C25AF" w:rsidRDefault="004274E8" w:rsidP="004274E8">
            <w:pPr>
              <w:spacing w:after="0" w:line="240" w:lineRule="auto"/>
              <w:jc w:val="center"/>
              <w:rPr>
                <w:rFonts w:eastAsia="Times New Roman" w:cs="Times New Roman"/>
                <w:b/>
                <w:bCs/>
                <w:color w:val="263287"/>
                <w:szCs w:val="22"/>
                <w:lang w:eastAsia="en-AU"/>
              </w:rPr>
            </w:pPr>
          </w:p>
        </w:tc>
        <w:tc>
          <w:tcPr>
            <w:tcW w:w="0" w:type="auto"/>
            <w:shd w:val="clear" w:color="auto" w:fill="DEEAF6"/>
            <w:vAlign w:val="center"/>
            <w:hideMark/>
          </w:tcPr>
          <w:p w14:paraId="11C23F86" w14:textId="77777777" w:rsidR="004274E8" w:rsidRPr="009C25AF" w:rsidRDefault="004274E8" w:rsidP="009C25AF">
            <w:pPr>
              <w:spacing w:after="0" w:line="240" w:lineRule="auto"/>
              <w:rPr>
                <w:rFonts w:eastAsia="Times New Roman" w:cs="Times New Roman"/>
                <w:b/>
                <w:bCs/>
                <w:color w:val="263287"/>
                <w:szCs w:val="22"/>
                <w:lang w:eastAsia="en-AU"/>
              </w:rPr>
            </w:pPr>
            <w:r w:rsidRPr="009C25AF">
              <w:rPr>
                <w:rFonts w:eastAsia="Times New Roman" w:cs="Times New Roman"/>
                <w:b/>
                <w:bCs/>
                <w:color w:val="263287"/>
                <w:szCs w:val="22"/>
                <w:lang w:eastAsia="en-AU"/>
              </w:rPr>
              <w:t>Ublituximab (N = 272)</w:t>
            </w:r>
          </w:p>
        </w:tc>
        <w:tc>
          <w:tcPr>
            <w:tcW w:w="0" w:type="auto"/>
            <w:shd w:val="clear" w:color="auto" w:fill="DEEAF6"/>
            <w:vAlign w:val="center"/>
            <w:hideMark/>
          </w:tcPr>
          <w:p w14:paraId="640BB3C5" w14:textId="77777777" w:rsidR="004274E8" w:rsidRPr="009C25AF" w:rsidRDefault="004274E8" w:rsidP="009C25AF">
            <w:pPr>
              <w:spacing w:after="0" w:line="240" w:lineRule="auto"/>
              <w:rPr>
                <w:rFonts w:eastAsia="Times New Roman" w:cs="Times New Roman"/>
                <w:b/>
                <w:bCs/>
                <w:color w:val="263287"/>
                <w:szCs w:val="22"/>
                <w:lang w:eastAsia="en-AU"/>
              </w:rPr>
            </w:pPr>
            <w:r w:rsidRPr="009C25AF">
              <w:rPr>
                <w:rFonts w:eastAsia="Times New Roman" w:cs="Times New Roman"/>
                <w:b/>
                <w:bCs/>
                <w:color w:val="263287"/>
                <w:szCs w:val="22"/>
                <w:lang w:eastAsia="en-AU"/>
              </w:rPr>
              <w:t>Teriflunomide (N = 272)</w:t>
            </w:r>
          </w:p>
        </w:tc>
      </w:tr>
      <w:tr w:rsidR="004274E8" w:rsidRPr="004274E8" w14:paraId="10FAD748" w14:textId="77777777" w:rsidTr="004274E8">
        <w:tc>
          <w:tcPr>
            <w:tcW w:w="0" w:type="auto"/>
            <w:vAlign w:val="center"/>
            <w:hideMark/>
          </w:tcPr>
          <w:p w14:paraId="04D408B6" w14:textId="77777777" w:rsidR="004274E8" w:rsidRPr="004274E8" w:rsidRDefault="004274E8" w:rsidP="004274E8">
            <w:pPr>
              <w:spacing w:after="0" w:line="240" w:lineRule="auto"/>
              <w:rPr>
                <w:rFonts w:eastAsia="Times New Roman" w:cs="Times New Roman"/>
                <w:szCs w:val="22"/>
                <w:lang w:eastAsia="en-AU"/>
              </w:rPr>
            </w:pPr>
            <w:r w:rsidRPr="004274E8">
              <w:rPr>
                <w:rFonts w:eastAsia="Times New Roman" w:cs="Times New Roman"/>
                <w:szCs w:val="22"/>
                <w:lang w:eastAsia="en-AU"/>
              </w:rPr>
              <w:t>Number of subjects with SDMT impairmentᵃ, n (%)</w:t>
            </w:r>
          </w:p>
        </w:tc>
        <w:tc>
          <w:tcPr>
            <w:tcW w:w="0" w:type="auto"/>
            <w:vAlign w:val="center"/>
            <w:hideMark/>
          </w:tcPr>
          <w:p w14:paraId="555EDAB3" w14:textId="77777777" w:rsidR="004274E8" w:rsidRPr="004274E8" w:rsidRDefault="004274E8" w:rsidP="004274E8">
            <w:pPr>
              <w:spacing w:after="0" w:line="240" w:lineRule="auto"/>
              <w:rPr>
                <w:rFonts w:eastAsia="Times New Roman" w:cs="Times New Roman"/>
                <w:szCs w:val="22"/>
                <w:lang w:eastAsia="en-AU"/>
              </w:rPr>
            </w:pPr>
            <w:r w:rsidRPr="004274E8">
              <w:rPr>
                <w:rFonts w:eastAsia="Times New Roman" w:cs="Times New Roman"/>
                <w:szCs w:val="22"/>
                <w:lang w:eastAsia="en-AU"/>
              </w:rPr>
              <w:t>79 (29.0)</w:t>
            </w:r>
          </w:p>
        </w:tc>
        <w:tc>
          <w:tcPr>
            <w:tcW w:w="0" w:type="auto"/>
            <w:vAlign w:val="center"/>
            <w:hideMark/>
          </w:tcPr>
          <w:p w14:paraId="32F8E1CA" w14:textId="77777777" w:rsidR="004274E8" w:rsidRPr="004274E8" w:rsidRDefault="004274E8" w:rsidP="004274E8">
            <w:pPr>
              <w:spacing w:after="0" w:line="240" w:lineRule="auto"/>
              <w:rPr>
                <w:rFonts w:eastAsia="Times New Roman" w:cs="Times New Roman"/>
                <w:szCs w:val="22"/>
                <w:lang w:eastAsia="en-AU"/>
              </w:rPr>
            </w:pPr>
            <w:r w:rsidRPr="004274E8">
              <w:rPr>
                <w:rFonts w:eastAsia="Times New Roman" w:cs="Times New Roman"/>
                <w:szCs w:val="22"/>
                <w:lang w:eastAsia="en-AU"/>
              </w:rPr>
              <w:t>86 (31.6)</w:t>
            </w:r>
          </w:p>
        </w:tc>
      </w:tr>
      <w:tr w:rsidR="004274E8" w:rsidRPr="004274E8" w14:paraId="31E598E2" w14:textId="77777777" w:rsidTr="00441C69">
        <w:tc>
          <w:tcPr>
            <w:tcW w:w="0" w:type="auto"/>
            <w:vAlign w:val="center"/>
            <w:hideMark/>
          </w:tcPr>
          <w:p w14:paraId="022190EB" w14:textId="77777777" w:rsidR="004274E8" w:rsidRPr="004274E8" w:rsidRDefault="004274E8" w:rsidP="004274E8">
            <w:pPr>
              <w:spacing w:after="0" w:line="240" w:lineRule="auto"/>
              <w:rPr>
                <w:rFonts w:eastAsia="Times New Roman" w:cs="Times New Roman"/>
                <w:szCs w:val="22"/>
                <w:lang w:eastAsia="en-AU"/>
              </w:rPr>
            </w:pPr>
            <w:r w:rsidRPr="004274E8">
              <w:rPr>
                <w:rFonts w:eastAsia="Times New Roman" w:cs="Times New Roman"/>
                <w:szCs w:val="22"/>
                <w:lang w:eastAsia="en-AU"/>
              </w:rPr>
              <w:t>Risk difference (%): ublituximab – teriflunomide</w:t>
            </w:r>
          </w:p>
        </w:tc>
        <w:tc>
          <w:tcPr>
            <w:tcW w:w="0" w:type="auto"/>
            <w:gridSpan w:val="2"/>
            <w:vAlign w:val="center"/>
            <w:hideMark/>
          </w:tcPr>
          <w:p w14:paraId="7C6E6354" w14:textId="26BBDC18" w:rsidR="004274E8" w:rsidRPr="004274E8" w:rsidRDefault="004274E8" w:rsidP="004274E8">
            <w:pPr>
              <w:spacing w:after="0" w:line="240" w:lineRule="auto"/>
              <w:rPr>
                <w:rFonts w:eastAsia="Times New Roman" w:cs="Times New Roman"/>
                <w:szCs w:val="22"/>
                <w:lang w:eastAsia="en-AU"/>
              </w:rPr>
            </w:pPr>
            <w:r w:rsidRPr="004274E8">
              <w:rPr>
                <w:rFonts w:eastAsia="Times New Roman" w:cs="Times New Roman"/>
                <w:szCs w:val="22"/>
                <w:lang w:eastAsia="en-AU"/>
              </w:rPr>
              <w:t>−2.6 (−10.3, 5.1)</w:t>
            </w:r>
          </w:p>
        </w:tc>
      </w:tr>
      <w:tr w:rsidR="004274E8" w:rsidRPr="004274E8" w14:paraId="675F63F8" w14:textId="77777777" w:rsidTr="004274E8">
        <w:tc>
          <w:tcPr>
            <w:tcW w:w="0" w:type="auto"/>
            <w:vAlign w:val="center"/>
            <w:hideMark/>
          </w:tcPr>
          <w:p w14:paraId="5026EA3F" w14:textId="77777777" w:rsidR="004274E8" w:rsidRPr="004274E8" w:rsidRDefault="004274E8" w:rsidP="004274E8">
            <w:pPr>
              <w:spacing w:after="0" w:line="240" w:lineRule="auto"/>
              <w:rPr>
                <w:rFonts w:eastAsia="Times New Roman" w:cs="Times New Roman"/>
                <w:szCs w:val="22"/>
                <w:lang w:eastAsia="en-AU"/>
              </w:rPr>
            </w:pPr>
            <w:r w:rsidRPr="004274E8">
              <w:rPr>
                <w:rFonts w:eastAsia="Times New Roman" w:cs="Times New Roman"/>
                <w:szCs w:val="22"/>
                <w:lang w:eastAsia="en-AU"/>
              </w:rPr>
              <w:t>Number of subjects without SDMT impairmentᵃ, n (%)</w:t>
            </w:r>
          </w:p>
        </w:tc>
        <w:tc>
          <w:tcPr>
            <w:tcW w:w="0" w:type="auto"/>
            <w:vAlign w:val="center"/>
            <w:hideMark/>
          </w:tcPr>
          <w:p w14:paraId="7FF54C0C" w14:textId="77777777" w:rsidR="004274E8" w:rsidRPr="004274E8" w:rsidRDefault="004274E8" w:rsidP="004274E8">
            <w:pPr>
              <w:spacing w:after="0" w:line="240" w:lineRule="auto"/>
              <w:rPr>
                <w:rFonts w:eastAsia="Times New Roman" w:cs="Times New Roman"/>
                <w:szCs w:val="22"/>
                <w:lang w:eastAsia="en-AU"/>
              </w:rPr>
            </w:pPr>
            <w:r w:rsidRPr="004274E8">
              <w:rPr>
                <w:rFonts w:eastAsia="Times New Roman" w:cs="Times New Roman"/>
                <w:szCs w:val="22"/>
                <w:lang w:eastAsia="en-AU"/>
              </w:rPr>
              <w:t>193 (71.0)</w:t>
            </w:r>
          </w:p>
        </w:tc>
        <w:tc>
          <w:tcPr>
            <w:tcW w:w="0" w:type="auto"/>
            <w:vAlign w:val="center"/>
            <w:hideMark/>
          </w:tcPr>
          <w:p w14:paraId="00736E69" w14:textId="77777777" w:rsidR="004274E8" w:rsidRPr="004274E8" w:rsidRDefault="004274E8" w:rsidP="004274E8">
            <w:pPr>
              <w:spacing w:after="0" w:line="240" w:lineRule="auto"/>
              <w:rPr>
                <w:rFonts w:eastAsia="Times New Roman" w:cs="Times New Roman"/>
                <w:szCs w:val="22"/>
                <w:lang w:eastAsia="en-AU"/>
              </w:rPr>
            </w:pPr>
            <w:r w:rsidRPr="004274E8">
              <w:rPr>
                <w:rFonts w:eastAsia="Times New Roman" w:cs="Times New Roman"/>
                <w:szCs w:val="22"/>
                <w:lang w:eastAsia="en-AU"/>
              </w:rPr>
              <w:t>186 (68.4)</w:t>
            </w:r>
          </w:p>
        </w:tc>
      </w:tr>
      <w:tr w:rsidR="004274E8" w:rsidRPr="004274E8" w14:paraId="28BC05A9" w14:textId="77777777" w:rsidTr="004274E8">
        <w:tc>
          <w:tcPr>
            <w:tcW w:w="0" w:type="auto"/>
            <w:vAlign w:val="center"/>
            <w:hideMark/>
          </w:tcPr>
          <w:p w14:paraId="518B1947" w14:textId="77777777" w:rsidR="004274E8" w:rsidRPr="004274E8" w:rsidRDefault="004274E8" w:rsidP="004274E8">
            <w:pPr>
              <w:spacing w:after="0" w:line="240" w:lineRule="auto"/>
              <w:rPr>
                <w:rFonts w:eastAsia="Times New Roman" w:cs="Times New Roman"/>
                <w:szCs w:val="22"/>
                <w:lang w:eastAsia="en-AU"/>
              </w:rPr>
            </w:pPr>
            <w:r w:rsidRPr="004274E8">
              <w:rPr>
                <w:rFonts w:eastAsia="Times New Roman" w:cs="Times New Roman"/>
                <w:szCs w:val="22"/>
                <w:lang w:eastAsia="en-AU"/>
              </w:rPr>
              <w:t>Logistic regressionᵇ</w:t>
            </w:r>
          </w:p>
        </w:tc>
        <w:tc>
          <w:tcPr>
            <w:tcW w:w="0" w:type="auto"/>
            <w:vAlign w:val="center"/>
            <w:hideMark/>
          </w:tcPr>
          <w:p w14:paraId="6055AB95" w14:textId="77777777" w:rsidR="004274E8" w:rsidRPr="004274E8" w:rsidRDefault="004274E8" w:rsidP="004274E8">
            <w:pPr>
              <w:spacing w:after="0" w:line="240" w:lineRule="auto"/>
              <w:rPr>
                <w:rFonts w:eastAsia="Times New Roman" w:cs="Times New Roman"/>
                <w:szCs w:val="22"/>
                <w:lang w:eastAsia="en-AU"/>
              </w:rPr>
            </w:pPr>
          </w:p>
        </w:tc>
        <w:tc>
          <w:tcPr>
            <w:tcW w:w="0" w:type="auto"/>
            <w:vAlign w:val="center"/>
            <w:hideMark/>
          </w:tcPr>
          <w:p w14:paraId="51A45775" w14:textId="77777777" w:rsidR="004274E8" w:rsidRPr="004274E8" w:rsidRDefault="004274E8" w:rsidP="004274E8">
            <w:pPr>
              <w:spacing w:after="0" w:line="240" w:lineRule="auto"/>
              <w:rPr>
                <w:rFonts w:eastAsia="Times New Roman" w:cs="Times New Roman"/>
                <w:szCs w:val="22"/>
                <w:lang w:eastAsia="en-AU"/>
              </w:rPr>
            </w:pPr>
          </w:p>
        </w:tc>
      </w:tr>
      <w:tr w:rsidR="004274E8" w:rsidRPr="004274E8" w14:paraId="7B79ED7F" w14:textId="77777777" w:rsidTr="00F341DD">
        <w:tc>
          <w:tcPr>
            <w:tcW w:w="0" w:type="auto"/>
            <w:vAlign w:val="center"/>
            <w:hideMark/>
          </w:tcPr>
          <w:p w14:paraId="5031FC49" w14:textId="77777777" w:rsidR="004274E8" w:rsidRPr="004274E8" w:rsidRDefault="004274E8" w:rsidP="004274E8">
            <w:pPr>
              <w:spacing w:after="0" w:line="240" w:lineRule="auto"/>
              <w:rPr>
                <w:rFonts w:eastAsia="Times New Roman" w:cs="Times New Roman"/>
                <w:szCs w:val="22"/>
                <w:lang w:eastAsia="en-AU"/>
              </w:rPr>
            </w:pPr>
            <w:r w:rsidRPr="004274E8">
              <w:rPr>
                <w:rFonts w:eastAsia="Times New Roman" w:cs="Times New Roman"/>
                <w:szCs w:val="22"/>
                <w:lang w:eastAsia="en-AU"/>
              </w:rPr>
              <w:t>Odds ratio: ublituximab / teriflunomide (95% CI)</w:t>
            </w:r>
          </w:p>
        </w:tc>
        <w:tc>
          <w:tcPr>
            <w:tcW w:w="0" w:type="auto"/>
            <w:gridSpan w:val="2"/>
            <w:vAlign w:val="center"/>
            <w:hideMark/>
          </w:tcPr>
          <w:p w14:paraId="5D64B4D3" w14:textId="74B1C10B" w:rsidR="004274E8" w:rsidRPr="004274E8" w:rsidRDefault="004274E8" w:rsidP="004274E8">
            <w:pPr>
              <w:spacing w:after="0" w:line="240" w:lineRule="auto"/>
              <w:rPr>
                <w:rFonts w:eastAsia="Times New Roman" w:cs="Times New Roman"/>
                <w:szCs w:val="22"/>
                <w:lang w:eastAsia="en-AU"/>
              </w:rPr>
            </w:pPr>
            <w:r w:rsidRPr="004274E8">
              <w:rPr>
                <w:rFonts w:eastAsia="Times New Roman" w:cs="Times New Roman"/>
                <w:szCs w:val="22"/>
                <w:lang w:eastAsia="en-AU"/>
              </w:rPr>
              <w:t>0.862 (0.596, 1.246)</w:t>
            </w:r>
          </w:p>
        </w:tc>
      </w:tr>
      <w:tr w:rsidR="004274E8" w:rsidRPr="004274E8" w14:paraId="642D6638" w14:textId="77777777" w:rsidTr="007565B8">
        <w:tc>
          <w:tcPr>
            <w:tcW w:w="0" w:type="auto"/>
            <w:vAlign w:val="center"/>
            <w:hideMark/>
          </w:tcPr>
          <w:p w14:paraId="0F992217" w14:textId="77777777" w:rsidR="004274E8" w:rsidRPr="004274E8" w:rsidRDefault="004274E8" w:rsidP="004274E8">
            <w:pPr>
              <w:spacing w:after="0" w:line="240" w:lineRule="auto"/>
              <w:rPr>
                <w:rFonts w:eastAsia="Times New Roman" w:cs="Times New Roman"/>
                <w:szCs w:val="22"/>
                <w:lang w:eastAsia="en-AU"/>
              </w:rPr>
            </w:pPr>
            <w:r w:rsidRPr="004274E8">
              <w:rPr>
                <w:rFonts w:eastAsia="Times New Roman" w:cs="Times New Roman"/>
                <w:szCs w:val="22"/>
                <w:lang w:eastAsia="en-AU"/>
              </w:rPr>
              <w:t>p value</w:t>
            </w:r>
          </w:p>
        </w:tc>
        <w:tc>
          <w:tcPr>
            <w:tcW w:w="0" w:type="auto"/>
            <w:gridSpan w:val="2"/>
            <w:vAlign w:val="center"/>
            <w:hideMark/>
          </w:tcPr>
          <w:p w14:paraId="0458F7F7" w14:textId="08FD597F" w:rsidR="004274E8" w:rsidRPr="004274E8" w:rsidRDefault="004274E8" w:rsidP="004274E8">
            <w:pPr>
              <w:spacing w:after="0" w:line="240" w:lineRule="auto"/>
              <w:rPr>
                <w:rFonts w:eastAsia="Times New Roman" w:cs="Times New Roman"/>
                <w:szCs w:val="22"/>
                <w:lang w:eastAsia="en-AU"/>
              </w:rPr>
            </w:pPr>
            <w:r w:rsidRPr="004274E8">
              <w:rPr>
                <w:rFonts w:eastAsia="Times New Roman" w:cs="Times New Roman"/>
                <w:szCs w:val="22"/>
                <w:lang w:eastAsia="en-AU"/>
              </w:rPr>
              <w:t>0.4290</w:t>
            </w:r>
          </w:p>
        </w:tc>
      </w:tr>
    </w:tbl>
    <w:p w14:paraId="48D28078" w14:textId="41B34BFD" w:rsidR="002C0AE8" w:rsidRDefault="002C0AE8" w:rsidP="004274E8">
      <w:pPr>
        <w:pStyle w:val="TableDescription"/>
        <w:contextualSpacing/>
        <w:rPr>
          <w:lang w:eastAsia="en-AU"/>
        </w:rPr>
      </w:pPr>
      <w:r>
        <w:rPr>
          <w:lang w:eastAsia="en-AU"/>
        </w:rPr>
        <w:t>CI, confidence interval; modified intent-to-treat; SDMT, symbol digit modalities test.</w:t>
      </w:r>
    </w:p>
    <w:p w14:paraId="1FC94895" w14:textId="7A0845E4" w:rsidR="002C0AE8" w:rsidRDefault="002C0AE8" w:rsidP="004274E8">
      <w:pPr>
        <w:pStyle w:val="TableDescription"/>
        <w:contextualSpacing/>
        <w:rPr>
          <w:lang w:eastAsia="en-AU"/>
        </w:rPr>
      </w:pPr>
      <w:r>
        <w:rPr>
          <w:lang w:eastAsia="en-AU"/>
        </w:rPr>
        <w:t>a Denominator is the number of participants in the analysis population.</w:t>
      </w:r>
    </w:p>
    <w:p w14:paraId="76F17ABD" w14:textId="741685F3" w:rsidR="002C0AE8" w:rsidRDefault="002C0AE8" w:rsidP="004274E8">
      <w:pPr>
        <w:pStyle w:val="TableDescription"/>
        <w:contextualSpacing/>
        <w:rPr>
          <w:lang w:eastAsia="en-AU"/>
        </w:rPr>
      </w:pPr>
      <w:r>
        <w:rPr>
          <w:lang w:eastAsia="en-AU"/>
        </w:rPr>
        <w:t>b Logistic regression model with treatment, region, baseline EDSS strata, and log-transformed baseline MRI counts (T1 unenhanang, T2, Gad enhancing) as covariates</w:t>
      </w:r>
    </w:p>
    <w:p w14:paraId="4717733F" w14:textId="28FEA7DD" w:rsidR="00955699" w:rsidRDefault="002C0AE8" w:rsidP="004274E8">
      <w:pPr>
        <w:pStyle w:val="TableDescription"/>
        <w:contextualSpacing/>
        <w:rPr>
          <w:lang w:eastAsia="en-AU"/>
        </w:rPr>
      </w:pPr>
      <w:r>
        <w:rPr>
          <w:lang w:eastAsia="en-AU"/>
        </w:rPr>
        <w:t>p-value is nominal as the 12-week CDP was not statistically significant.</w:t>
      </w:r>
    </w:p>
    <w:p w14:paraId="13C8E4C3" w14:textId="0BE7BFC0" w:rsidR="00EF3F6C" w:rsidRDefault="00EF3F6C" w:rsidP="004274E8">
      <w:pPr>
        <w:pStyle w:val="Heading8"/>
        <w:rPr>
          <w:lang w:eastAsia="en-AU"/>
        </w:rPr>
      </w:pPr>
      <w:r>
        <w:rPr>
          <w:lang w:eastAsia="en-AU"/>
        </w:rPr>
        <w:t xml:space="preserve">Percentage </w:t>
      </w:r>
      <w:r w:rsidR="00D83D85">
        <w:rPr>
          <w:lang w:eastAsia="en-AU"/>
        </w:rPr>
        <w:t xml:space="preserve">change in brain volume from baseline to week </w:t>
      </w:r>
      <w:r>
        <w:rPr>
          <w:lang w:eastAsia="en-AU"/>
        </w:rPr>
        <w:t>96</w:t>
      </w:r>
    </w:p>
    <w:p w14:paraId="2AB20F56" w14:textId="77B1F88C" w:rsidR="00EF3F6C" w:rsidRDefault="00EF3F6C" w:rsidP="00EF3F6C">
      <w:pPr>
        <w:rPr>
          <w:lang w:eastAsia="en-AU"/>
        </w:rPr>
      </w:pPr>
      <w:r>
        <w:rPr>
          <w:lang w:eastAsia="en-AU"/>
        </w:rPr>
        <w:t xml:space="preserve">In the ublituximab group, the mean percentage change from Baseline in brain volume demonstrated increased brain atrophy at Weeks 24, 48, and 96. In the </w:t>
      </w:r>
      <w:r w:rsidR="006D2303">
        <w:rPr>
          <w:lang w:eastAsia="en-AU"/>
        </w:rPr>
        <w:t>teri</w:t>
      </w:r>
      <w:r w:rsidR="006D2303">
        <w:rPr>
          <w:rFonts w:cs="Cambria"/>
          <w:lang w:eastAsia="en-AU"/>
        </w:rPr>
        <w:t>f</w:t>
      </w:r>
      <w:r w:rsidR="006D2303">
        <w:rPr>
          <w:lang w:eastAsia="en-AU"/>
        </w:rPr>
        <w:t>lunomide</w:t>
      </w:r>
      <w:r>
        <w:rPr>
          <w:lang w:eastAsia="en-AU"/>
        </w:rPr>
        <w:t xml:space="preserve"> group, the mean percentage change from Baseline in brain volume increased slightly at Week 24 and then demonstrated increased brain atrophy at Weeks 48 and 96. The LS mean for percentage change of the cube root transformed volume from Baseline at Week 96 for ublituximab versus </w:t>
      </w:r>
      <w:r w:rsidR="006D2303">
        <w:rPr>
          <w:lang w:eastAsia="en-AU"/>
        </w:rPr>
        <w:t>teri</w:t>
      </w:r>
      <w:r w:rsidR="006D2303">
        <w:rPr>
          <w:rFonts w:cs="Cambria"/>
          <w:lang w:eastAsia="en-AU"/>
        </w:rPr>
        <w:t>f</w:t>
      </w:r>
      <w:r w:rsidR="006D2303">
        <w:rPr>
          <w:lang w:eastAsia="en-AU"/>
        </w:rPr>
        <w:t>lunomide</w:t>
      </w:r>
      <w:r>
        <w:rPr>
          <w:lang w:eastAsia="en-AU"/>
        </w:rPr>
        <w:t xml:space="preserve"> are shown in Table 1</w:t>
      </w:r>
      <w:r w:rsidR="00DF57A6">
        <w:rPr>
          <w:lang w:eastAsia="en-AU"/>
        </w:rPr>
        <w:t>8</w:t>
      </w:r>
      <w:r>
        <w:rPr>
          <w:lang w:eastAsia="en-AU"/>
        </w:rPr>
        <w:t xml:space="preserve">. Similar </w:t>
      </w:r>
      <w:r>
        <w:rPr>
          <w:rFonts w:cs="Cambria"/>
          <w:lang w:eastAsia="en-AU"/>
        </w:rPr>
        <w:t>�</w:t>
      </w:r>
      <w:r w:rsidR="006D2303">
        <w:rPr>
          <w:lang w:eastAsia="en-AU"/>
        </w:rPr>
        <w:t>findings</w:t>
      </w:r>
      <w:r>
        <w:rPr>
          <w:lang w:eastAsia="en-AU"/>
        </w:rPr>
        <w:t xml:space="preserve"> were reported for the ITT population</w:t>
      </w:r>
      <w:r w:rsidR="00465E42">
        <w:rPr>
          <w:lang w:eastAsia="en-AU"/>
        </w:rPr>
        <w:t xml:space="preserve"> </w:t>
      </w:r>
      <w:r>
        <w:rPr>
          <w:lang w:eastAsia="en-AU"/>
        </w:rPr>
        <w:t>and for the PP-MRI population.</w:t>
      </w:r>
    </w:p>
    <w:p w14:paraId="7C5899EE" w14:textId="23AB55DF" w:rsidR="002C0AE8" w:rsidRDefault="00EF3F6C" w:rsidP="00EF3F6C">
      <w:pPr>
        <w:pStyle w:val="TableTitle"/>
        <w:rPr>
          <w:lang w:eastAsia="en-AU"/>
        </w:rPr>
      </w:pPr>
      <w:r>
        <w:rPr>
          <w:lang w:eastAsia="en-AU"/>
        </w:rPr>
        <w:t>Table 1</w:t>
      </w:r>
      <w:r w:rsidR="00DF57A6">
        <w:rPr>
          <w:lang w:eastAsia="en-AU"/>
        </w:rPr>
        <w:t>8.</w:t>
      </w:r>
      <w:r>
        <w:rPr>
          <w:lang w:eastAsia="en-AU"/>
        </w:rPr>
        <w:t xml:space="preserve"> Percentage in Brain Volume Change from Baseline to Week 96 in Study TG1101-RMS302 (mITT-MRI Population)</w:t>
      </w:r>
    </w:p>
    <w:tbl>
      <w:tblPr>
        <w:tblW w:w="0" w:type="auto"/>
        <w:tblBorders>
          <w:top w:val="single" w:sz="6" w:space="0" w:color="263287"/>
          <w:left w:val="single" w:sz="6" w:space="0" w:color="263287"/>
          <w:bottom w:val="single" w:sz="6" w:space="0" w:color="263287"/>
          <w:right w:val="single" w:sz="6" w:space="0" w:color="263287"/>
          <w:insideH w:val="single" w:sz="6" w:space="0" w:color="263287"/>
          <w:insideV w:val="single" w:sz="6" w:space="0" w:color="263287"/>
        </w:tblBorders>
        <w:tblCellMar>
          <w:top w:w="15" w:type="dxa"/>
          <w:left w:w="15" w:type="dxa"/>
          <w:bottom w:w="15" w:type="dxa"/>
          <w:right w:w="15" w:type="dxa"/>
        </w:tblCellMar>
        <w:tblLook w:val="04A0" w:firstRow="1" w:lastRow="0" w:firstColumn="1" w:lastColumn="0" w:noHBand="0" w:noVBand="1"/>
        <w:tblDescription w:val="Table 18. Percentage in Brain Volume Change from Baseline to Week 96 in Study TG1101-RMS302 (mITT-MRI Population)"/>
      </w:tblPr>
      <w:tblGrid>
        <w:gridCol w:w="4488"/>
        <w:gridCol w:w="2176"/>
        <w:gridCol w:w="2390"/>
      </w:tblGrid>
      <w:tr w:rsidR="004274E8" w:rsidRPr="004274E8" w14:paraId="7222B4D2" w14:textId="77777777" w:rsidTr="004274E8">
        <w:trPr>
          <w:tblHeader/>
        </w:trPr>
        <w:tc>
          <w:tcPr>
            <w:tcW w:w="0" w:type="auto"/>
            <w:shd w:val="clear" w:color="auto" w:fill="DEEAF6"/>
            <w:vAlign w:val="center"/>
            <w:hideMark/>
          </w:tcPr>
          <w:p w14:paraId="3BB299F2" w14:textId="77777777" w:rsidR="004274E8" w:rsidRPr="004274E8" w:rsidRDefault="004274E8" w:rsidP="004274E8">
            <w:pPr>
              <w:spacing w:after="0" w:line="240" w:lineRule="auto"/>
              <w:rPr>
                <w:rFonts w:eastAsia="Times New Roman" w:cs="Times New Roman"/>
                <w:color w:val="263287"/>
                <w:szCs w:val="22"/>
                <w:lang w:eastAsia="en-AU"/>
              </w:rPr>
            </w:pPr>
          </w:p>
        </w:tc>
        <w:tc>
          <w:tcPr>
            <w:tcW w:w="0" w:type="auto"/>
            <w:shd w:val="clear" w:color="auto" w:fill="DEEAF6"/>
            <w:vAlign w:val="center"/>
            <w:hideMark/>
          </w:tcPr>
          <w:p w14:paraId="4DC8BF7E" w14:textId="77777777" w:rsidR="004274E8" w:rsidRPr="004274E8" w:rsidRDefault="004274E8" w:rsidP="004274E8">
            <w:pPr>
              <w:spacing w:after="0" w:line="240" w:lineRule="auto"/>
              <w:jc w:val="center"/>
              <w:rPr>
                <w:rFonts w:eastAsia="Times New Roman" w:cs="Times New Roman"/>
                <w:b/>
                <w:bCs/>
                <w:color w:val="263287"/>
                <w:szCs w:val="22"/>
                <w:lang w:eastAsia="en-AU"/>
              </w:rPr>
            </w:pPr>
            <w:r w:rsidRPr="004274E8">
              <w:rPr>
                <w:rFonts w:eastAsia="Times New Roman" w:cs="Times New Roman"/>
                <w:b/>
                <w:bCs/>
                <w:color w:val="263287"/>
                <w:szCs w:val="22"/>
                <w:lang w:eastAsia="en-AU"/>
              </w:rPr>
              <w:t>Ublituximab (N=272)</w:t>
            </w:r>
          </w:p>
        </w:tc>
        <w:tc>
          <w:tcPr>
            <w:tcW w:w="0" w:type="auto"/>
            <w:shd w:val="clear" w:color="auto" w:fill="DEEAF6"/>
            <w:vAlign w:val="center"/>
            <w:hideMark/>
          </w:tcPr>
          <w:p w14:paraId="296711CD" w14:textId="77777777" w:rsidR="004274E8" w:rsidRPr="004274E8" w:rsidRDefault="004274E8" w:rsidP="004274E8">
            <w:pPr>
              <w:spacing w:after="0" w:line="240" w:lineRule="auto"/>
              <w:jc w:val="center"/>
              <w:rPr>
                <w:rFonts w:eastAsia="Times New Roman" w:cs="Times New Roman"/>
                <w:b/>
                <w:bCs/>
                <w:color w:val="263287"/>
                <w:szCs w:val="22"/>
                <w:lang w:eastAsia="en-AU"/>
              </w:rPr>
            </w:pPr>
            <w:r w:rsidRPr="004274E8">
              <w:rPr>
                <w:rFonts w:eastAsia="Times New Roman" w:cs="Times New Roman"/>
                <w:b/>
                <w:bCs/>
                <w:color w:val="263287"/>
                <w:szCs w:val="22"/>
                <w:lang w:eastAsia="en-AU"/>
              </w:rPr>
              <w:t>Teriflunomide (N=267)</w:t>
            </w:r>
          </w:p>
        </w:tc>
      </w:tr>
      <w:tr w:rsidR="004274E8" w:rsidRPr="004274E8" w14:paraId="1842BB23" w14:textId="77777777" w:rsidTr="004274E8">
        <w:tc>
          <w:tcPr>
            <w:tcW w:w="0" w:type="auto"/>
            <w:vAlign w:val="center"/>
            <w:hideMark/>
          </w:tcPr>
          <w:p w14:paraId="387FC3D7" w14:textId="77777777" w:rsidR="004274E8" w:rsidRPr="004274E8" w:rsidRDefault="004274E8" w:rsidP="004274E8">
            <w:pPr>
              <w:spacing w:after="0" w:line="240" w:lineRule="auto"/>
              <w:rPr>
                <w:rFonts w:eastAsia="Times New Roman" w:cs="Times New Roman"/>
                <w:szCs w:val="22"/>
                <w:lang w:eastAsia="en-AU"/>
              </w:rPr>
            </w:pPr>
            <w:r w:rsidRPr="004274E8">
              <w:rPr>
                <w:rFonts w:eastAsia="Times New Roman" w:cs="Times New Roman"/>
                <w:b/>
                <w:bCs/>
                <w:szCs w:val="22"/>
                <w:lang w:eastAsia="en-AU"/>
              </w:rPr>
              <w:t>Baseline (mm³), mean (SD)</w:t>
            </w:r>
          </w:p>
        </w:tc>
        <w:tc>
          <w:tcPr>
            <w:tcW w:w="0" w:type="auto"/>
            <w:vAlign w:val="center"/>
            <w:hideMark/>
          </w:tcPr>
          <w:p w14:paraId="1888EA25" w14:textId="77777777" w:rsidR="004274E8" w:rsidRPr="004274E8" w:rsidRDefault="004274E8" w:rsidP="004274E8">
            <w:pPr>
              <w:spacing w:after="0" w:line="240" w:lineRule="auto"/>
              <w:rPr>
                <w:rFonts w:eastAsia="Times New Roman" w:cs="Times New Roman"/>
                <w:szCs w:val="22"/>
                <w:lang w:eastAsia="en-AU"/>
              </w:rPr>
            </w:pPr>
            <w:r w:rsidRPr="004274E8">
              <w:rPr>
                <w:rFonts w:eastAsia="Times New Roman" w:cs="Times New Roman"/>
                <w:szCs w:val="22"/>
                <w:lang w:eastAsia="en-AU"/>
              </w:rPr>
              <w:t>1679927.3 (93579.97)</w:t>
            </w:r>
          </w:p>
        </w:tc>
        <w:tc>
          <w:tcPr>
            <w:tcW w:w="0" w:type="auto"/>
            <w:vAlign w:val="center"/>
            <w:hideMark/>
          </w:tcPr>
          <w:p w14:paraId="578B5B84" w14:textId="77777777" w:rsidR="004274E8" w:rsidRPr="004274E8" w:rsidRDefault="004274E8" w:rsidP="004274E8">
            <w:pPr>
              <w:spacing w:after="0" w:line="240" w:lineRule="auto"/>
              <w:rPr>
                <w:rFonts w:eastAsia="Times New Roman" w:cs="Times New Roman"/>
                <w:szCs w:val="22"/>
                <w:lang w:eastAsia="en-AU"/>
              </w:rPr>
            </w:pPr>
            <w:r w:rsidRPr="004274E8">
              <w:rPr>
                <w:rFonts w:eastAsia="Times New Roman" w:cs="Times New Roman"/>
                <w:szCs w:val="22"/>
                <w:lang w:eastAsia="en-AU"/>
              </w:rPr>
              <w:t>1668710.7 (100037.37)</w:t>
            </w:r>
          </w:p>
        </w:tc>
      </w:tr>
      <w:tr w:rsidR="00D83D85" w:rsidRPr="004274E8" w14:paraId="5D7C6A80" w14:textId="77777777" w:rsidTr="007C35C8">
        <w:tc>
          <w:tcPr>
            <w:tcW w:w="0" w:type="auto"/>
            <w:gridSpan w:val="3"/>
            <w:vAlign w:val="center"/>
            <w:hideMark/>
          </w:tcPr>
          <w:p w14:paraId="6C0D838B" w14:textId="0AA406A7" w:rsidR="00D83D85" w:rsidRPr="004274E8" w:rsidRDefault="00D83D85" w:rsidP="004274E8">
            <w:pPr>
              <w:spacing w:after="0" w:line="240" w:lineRule="auto"/>
              <w:rPr>
                <w:rFonts w:eastAsia="Times New Roman" w:cs="Times New Roman"/>
                <w:szCs w:val="22"/>
                <w:lang w:eastAsia="en-AU"/>
              </w:rPr>
            </w:pPr>
            <w:r w:rsidRPr="004274E8">
              <w:rPr>
                <w:rFonts w:eastAsia="Times New Roman" w:cs="Times New Roman"/>
                <w:b/>
                <w:bCs/>
                <w:szCs w:val="22"/>
                <w:lang w:eastAsia="en-AU"/>
              </w:rPr>
              <w:t>Percentage change from Baseline, mean (SD)</w:t>
            </w:r>
          </w:p>
        </w:tc>
      </w:tr>
      <w:tr w:rsidR="004274E8" w:rsidRPr="004274E8" w14:paraId="335C1B22" w14:textId="77777777" w:rsidTr="004274E8">
        <w:tc>
          <w:tcPr>
            <w:tcW w:w="0" w:type="auto"/>
            <w:vAlign w:val="center"/>
            <w:hideMark/>
          </w:tcPr>
          <w:p w14:paraId="090E85D9" w14:textId="77777777" w:rsidR="004274E8" w:rsidRPr="004274E8" w:rsidRDefault="004274E8" w:rsidP="004274E8">
            <w:pPr>
              <w:spacing w:after="0" w:line="240" w:lineRule="auto"/>
              <w:rPr>
                <w:rFonts w:eastAsia="Times New Roman" w:cs="Times New Roman"/>
                <w:szCs w:val="22"/>
                <w:lang w:eastAsia="en-AU"/>
              </w:rPr>
            </w:pPr>
            <w:r w:rsidRPr="004274E8">
              <w:rPr>
                <w:rFonts w:eastAsia="Times New Roman" w:cs="Times New Roman"/>
                <w:szCs w:val="22"/>
                <w:lang w:eastAsia="en-AU"/>
              </w:rPr>
              <w:t>Week 24</w:t>
            </w:r>
          </w:p>
        </w:tc>
        <w:tc>
          <w:tcPr>
            <w:tcW w:w="0" w:type="auto"/>
            <w:vAlign w:val="center"/>
            <w:hideMark/>
          </w:tcPr>
          <w:p w14:paraId="0D31850A" w14:textId="77777777" w:rsidR="004274E8" w:rsidRPr="004274E8" w:rsidRDefault="004274E8" w:rsidP="004274E8">
            <w:pPr>
              <w:spacing w:after="0" w:line="240" w:lineRule="auto"/>
              <w:rPr>
                <w:rFonts w:eastAsia="Times New Roman" w:cs="Times New Roman"/>
                <w:szCs w:val="22"/>
                <w:lang w:eastAsia="en-AU"/>
              </w:rPr>
            </w:pPr>
            <w:r w:rsidRPr="004274E8">
              <w:rPr>
                <w:rFonts w:eastAsia="Times New Roman" w:cs="Times New Roman"/>
                <w:szCs w:val="22"/>
                <w:lang w:eastAsia="en-AU"/>
              </w:rPr>
              <w:t>-0.150 (0.3975)</w:t>
            </w:r>
          </w:p>
        </w:tc>
        <w:tc>
          <w:tcPr>
            <w:tcW w:w="0" w:type="auto"/>
            <w:vAlign w:val="center"/>
            <w:hideMark/>
          </w:tcPr>
          <w:p w14:paraId="3FC994BE" w14:textId="77777777" w:rsidR="004274E8" w:rsidRPr="004274E8" w:rsidRDefault="004274E8" w:rsidP="004274E8">
            <w:pPr>
              <w:spacing w:after="0" w:line="240" w:lineRule="auto"/>
              <w:rPr>
                <w:rFonts w:eastAsia="Times New Roman" w:cs="Times New Roman"/>
                <w:szCs w:val="22"/>
                <w:lang w:eastAsia="en-AU"/>
              </w:rPr>
            </w:pPr>
            <w:r w:rsidRPr="004274E8">
              <w:rPr>
                <w:rFonts w:eastAsia="Times New Roman" w:cs="Times New Roman"/>
                <w:szCs w:val="22"/>
                <w:lang w:eastAsia="en-AU"/>
              </w:rPr>
              <w:t>0.027 (0.3957)</w:t>
            </w:r>
          </w:p>
        </w:tc>
      </w:tr>
      <w:tr w:rsidR="004274E8" w:rsidRPr="004274E8" w14:paraId="17AB97E7" w14:textId="77777777" w:rsidTr="004274E8">
        <w:tc>
          <w:tcPr>
            <w:tcW w:w="0" w:type="auto"/>
            <w:vAlign w:val="center"/>
            <w:hideMark/>
          </w:tcPr>
          <w:p w14:paraId="6F89C695" w14:textId="77777777" w:rsidR="004274E8" w:rsidRPr="004274E8" w:rsidRDefault="004274E8" w:rsidP="004274E8">
            <w:pPr>
              <w:spacing w:after="0" w:line="240" w:lineRule="auto"/>
              <w:rPr>
                <w:rFonts w:eastAsia="Times New Roman" w:cs="Times New Roman"/>
                <w:szCs w:val="22"/>
                <w:lang w:eastAsia="en-AU"/>
              </w:rPr>
            </w:pPr>
            <w:r w:rsidRPr="004274E8">
              <w:rPr>
                <w:rFonts w:eastAsia="Times New Roman" w:cs="Times New Roman"/>
                <w:szCs w:val="22"/>
                <w:lang w:eastAsia="en-AU"/>
              </w:rPr>
              <w:t>Week 48</w:t>
            </w:r>
          </w:p>
        </w:tc>
        <w:tc>
          <w:tcPr>
            <w:tcW w:w="0" w:type="auto"/>
            <w:vAlign w:val="center"/>
            <w:hideMark/>
          </w:tcPr>
          <w:p w14:paraId="13943D2A" w14:textId="77777777" w:rsidR="004274E8" w:rsidRPr="004274E8" w:rsidRDefault="004274E8" w:rsidP="004274E8">
            <w:pPr>
              <w:spacing w:after="0" w:line="240" w:lineRule="auto"/>
              <w:rPr>
                <w:rFonts w:eastAsia="Times New Roman" w:cs="Times New Roman"/>
                <w:szCs w:val="22"/>
                <w:lang w:eastAsia="en-AU"/>
              </w:rPr>
            </w:pPr>
            <w:r w:rsidRPr="004274E8">
              <w:rPr>
                <w:rFonts w:eastAsia="Times New Roman" w:cs="Times New Roman"/>
                <w:szCs w:val="22"/>
                <w:lang w:eastAsia="en-AU"/>
              </w:rPr>
              <w:t>-0.357 (0.4302)</w:t>
            </w:r>
          </w:p>
        </w:tc>
        <w:tc>
          <w:tcPr>
            <w:tcW w:w="0" w:type="auto"/>
            <w:vAlign w:val="center"/>
            <w:hideMark/>
          </w:tcPr>
          <w:p w14:paraId="38FB31A0" w14:textId="77777777" w:rsidR="004274E8" w:rsidRPr="004274E8" w:rsidRDefault="004274E8" w:rsidP="004274E8">
            <w:pPr>
              <w:spacing w:after="0" w:line="240" w:lineRule="auto"/>
              <w:rPr>
                <w:rFonts w:eastAsia="Times New Roman" w:cs="Times New Roman"/>
                <w:szCs w:val="22"/>
                <w:lang w:eastAsia="en-AU"/>
              </w:rPr>
            </w:pPr>
            <w:r w:rsidRPr="004274E8">
              <w:rPr>
                <w:rFonts w:eastAsia="Times New Roman" w:cs="Times New Roman"/>
                <w:szCs w:val="22"/>
                <w:lang w:eastAsia="en-AU"/>
              </w:rPr>
              <w:t>-0.177 (0.4440)</w:t>
            </w:r>
          </w:p>
        </w:tc>
      </w:tr>
      <w:tr w:rsidR="004274E8" w:rsidRPr="004274E8" w14:paraId="21904DC7" w14:textId="77777777" w:rsidTr="004274E8">
        <w:tc>
          <w:tcPr>
            <w:tcW w:w="0" w:type="auto"/>
            <w:vAlign w:val="center"/>
            <w:hideMark/>
          </w:tcPr>
          <w:p w14:paraId="2CEF250D" w14:textId="77777777" w:rsidR="004274E8" w:rsidRPr="004274E8" w:rsidRDefault="004274E8" w:rsidP="004274E8">
            <w:pPr>
              <w:spacing w:after="0" w:line="240" w:lineRule="auto"/>
              <w:rPr>
                <w:rFonts w:eastAsia="Times New Roman" w:cs="Times New Roman"/>
                <w:szCs w:val="22"/>
                <w:lang w:eastAsia="en-AU"/>
              </w:rPr>
            </w:pPr>
            <w:r w:rsidRPr="004274E8">
              <w:rPr>
                <w:rFonts w:eastAsia="Times New Roman" w:cs="Times New Roman"/>
                <w:szCs w:val="22"/>
                <w:lang w:eastAsia="en-AU"/>
              </w:rPr>
              <w:t>Week 96</w:t>
            </w:r>
          </w:p>
        </w:tc>
        <w:tc>
          <w:tcPr>
            <w:tcW w:w="0" w:type="auto"/>
            <w:vAlign w:val="center"/>
            <w:hideMark/>
          </w:tcPr>
          <w:p w14:paraId="6D6D3D09" w14:textId="77777777" w:rsidR="004274E8" w:rsidRPr="004274E8" w:rsidRDefault="004274E8" w:rsidP="004274E8">
            <w:pPr>
              <w:spacing w:after="0" w:line="240" w:lineRule="auto"/>
              <w:rPr>
                <w:rFonts w:eastAsia="Times New Roman" w:cs="Times New Roman"/>
                <w:szCs w:val="22"/>
                <w:lang w:eastAsia="en-AU"/>
              </w:rPr>
            </w:pPr>
            <w:r w:rsidRPr="004274E8">
              <w:rPr>
                <w:rFonts w:eastAsia="Times New Roman" w:cs="Times New Roman"/>
                <w:szCs w:val="22"/>
                <w:lang w:eastAsia="en-AU"/>
              </w:rPr>
              <w:t>-0.642 (0.5600)</w:t>
            </w:r>
          </w:p>
        </w:tc>
        <w:tc>
          <w:tcPr>
            <w:tcW w:w="0" w:type="auto"/>
            <w:vAlign w:val="center"/>
            <w:hideMark/>
          </w:tcPr>
          <w:p w14:paraId="12CB6FE5" w14:textId="77777777" w:rsidR="004274E8" w:rsidRPr="004274E8" w:rsidRDefault="004274E8" w:rsidP="004274E8">
            <w:pPr>
              <w:spacing w:after="0" w:line="240" w:lineRule="auto"/>
              <w:rPr>
                <w:rFonts w:eastAsia="Times New Roman" w:cs="Times New Roman"/>
                <w:szCs w:val="22"/>
                <w:lang w:eastAsia="en-AU"/>
              </w:rPr>
            </w:pPr>
            <w:r w:rsidRPr="004274E8">
              <w:rPr>
                <w:rFonts w:eastAsia="Times New Roman" w:cs="Times New Roman"/>
                <w:szCs w:val="22"/>
                <w:lang w:eastAsia="en-AU"/>
              </w:rPr>
              <w:t>-0.576 (0.5988)</w:t>
            </w:r>
          </w:p>
        </w:tc>
      </w:tr>
      <w:tr w:rsidR="004274E8" w:rsidRPr="004274E8" w14:paraId="0262A19A" w14:textId="77777777" w:rsidTr="004274E8">
        <w:tc>
          <w:tcPr>
            <w:tcW w:w="0" w:type="auto"/>
            <w:vAlign w:val="center"/>
            <w:hideMark/>
          </w:tcPr>
          <w:p w14:paraId="38049DDD" w14:textId="77777777" w:rsidR="004274E8" w:rsidRPr="004274E8" w:rsidRDefault="004274E8" w:rsidP="004274E8">
            <w:pPr>
              <w:spacing w:after="0" w:line="240" w:lineRule="auto"/>
              <w:rPr>
                <w:rFonts w:eastAsia="Times New Roman" w:cs="Times New Roman"/>
                <w:szCs w:val="22"/>
                <w:lang w:eastAsia="en-AU"/>
              </w:rPr>
            </w:pPr>
            <w:r w:rsidRPr="004274E8">
              <w:rPr>
                <w:rFonts w:eastAsia="Times New Roman" w:cs="Times New Roman"/>
                <w:b/>
                <w:bCs/>
                <w:szCs w:val="22"/>
                <w:lang w:eastAsia="en-AU"/>
              </w:rPr>
              <w:t>MMRMᵃ</w:t>
            </w:r>
          </w:p>
        </w:tc>
        <w:tc>
          <w:tcPr>
            <w:tcW w:w="0" w:type="auto"/>
            <w:vAlign w:val="center"/>
            <w:hideMark/>
          </w:tcPr>
          <w:p w14:paraId="24290792" w14:textId="77777777" w:rsidR="004274E8" w:rsidRPr="004274E8" w:rsidRDefault="004274E8" w:rsidP="004274E8">
            <w:pPr>
              <w:spacing w:after="0" w:line="240" w:lineRule="auto"/>
              <w:rPr>
                <w:rFonts w:eastAsia="Times New Roman" w:cs="Times New Roman"/>
                <w:szCs w:val="22"/>
                <w:lang w:eastAsia="en-AU"/>
              </w:rPr>
            </w:pPr>
          </w:p>
        </w:tc>
        <w:tc>
          <w:tcPr>
            <w:tcW w:w="0" w:type="auto"/>
            <w:vAlign w:val="center"/>
            <w:hideMark/>
          </w:tcPr>
          <w:p w14:paraId="55142F2D" w14:textId="77777777" w:rsidR="004274E8" w:rsidRPr="004274E8" w:rsidRDefault="004274E8" w:rsidP="004274E8">
            <w:pPr>
              <w:spacing w:after="0" w:line="240" w:lineRule="auto"/>
              <w:rPr>
                <w:rFonts w:eastAsia="Times New Roman" w:cs="Times New Roman"/>
                <w:szCs w:val="22"/>
                <w:lang w:eastAsia="en-AU"/>
              </w:rPr>
            </w:pPr>
          </w:p>
        </w:tc>
      </w:tr>
      <w:tr w:rsidR="004274E8" w:rsidRPr="004274E8" w14:paraId="76C929F3" w14:textId="77777777" w:rsidTr="004274E8">
        <w:tc>
          <w:tcPr>
            <w:tcW w:w="0" w:type="auto"/>
            <w:vAlign w:val="center"/>
            <w:hideMark/>
          </w:tcPr>
          <w:p w14:paraId="1CDE32AA" w14:textId="77777777" w:rsidR="004274E8" w:rsidRPr="004274E8" w:rsidRDefault="004274E8" w:rsidP="004274E8">
            <w:pPr>
              <w:spacing w:after="0" w:line="240" w:lineRule="auto"/>
              <w:rPr>
                <w:rFonts w:eastAsia="Times New Roman" w:cs="Times New Roman"/>
                <w:szCs w:val="22"/>
                <w:lang w:eastAsia="en-AU"/>
              </w:rPr>
            </w:pPr>
            <w:r w:rsidRPr="004274E8">
              <w:rPr>
                <w:rFonts w:eastAsia="Times New Roman" w:cs="Times New Roman"/>
                <w:szCs w:val="22"/>
                <w:lang w:eastAsia="en-AU"/>
              </w:rPr>
              <w:t>LS means (95% CI)</w:t>
            </w:r>
          </w:p>
        </w:tc>
        <w:tc>
          <w:tcPr>
            <w:tcW w:w="0" w:type="auto"/>
            <w:vAlign w:val="center"/>
            <w:hideMark/>
          </w:tcPr>
          <w:p w14:paraId="134A7390" w14:textId="77777777" w:rsidR="004274E8" w:rsidRPr="004274E8" w:rsidRDefault="004274E8" w:rsidP="004274E8">
            <w:pPr>
              <w:spacing w:after="0" w:line="240" w:lineRule="auto"/>
              <w:rPr>
                <w:rFonts w:eastAsia="Times New Roman" w:cs="Times New Roman"/>
                <w:szCs w:val="22"/>
                <w:lang w:eastAsia="en-AU"/>
              </w:rPr>
            </w:pPr>
            <w:r w:rsidRPr="004274E8">
              <w:rPr>
                <w:rFonts w:eastAsia="Times New Roman" w:cs="Times New Roman"/>
                <w:szCs w:val="22"/>
                <w:lang w:eastAsia="en-AU"/>
              </w:rPr>
              <w:t>-0.194 (-0.225, -0.164)</w:t>
            </w:r>
          </w:p>
        </w:tc>
        <w:tc>
          <w:tcPr>
            <w:tcW w:w="0" w:type="auto"/>
            <w:vAlign w:val="center"/>
            <w:hideMark/>
          </w:tcPr>
          <w:p w14:paraId="2A401097" w14:textId="77777777" w:rsidR="004274E8" w:rsidRPr="004274E8" w:rsidRDefault="004274E8" w:rsidP="004274E8">
            <w:pPr>
              <w:spacing w:after="0" w:line="240" w:lineRule="auto"/>
              <w:rPr>
                <w:rFonts w:eastAsia="Times New Roman" w:cs="Times New Roman"/>
                <w:szCs w:val="22"/>
                <w:lang w:eastAsia="en-AU"/>
              </w:rPr>
            </w:pPr>
            <w:r w:rsidRPr="004274E8">
              <w:rPr>
                <w:rFonts w:eastAsia="Times New Roman" w:cs="Times New Roman"/>
                <w:szCs w:val="22"/>
                <w:lang w:eastAsia="en-AU"/>
              </w:rPr>
              <w:t>-0.176 (-0.207, -0.146)</w:t>
            </w:r>
          </w:p>
        </w:tc>
      </w:tr>
      <w:tr w:rsidR="004274E8" w:rsidRPr="004274E8" w14:paraId="14AEADA9" w14:textId="77777777" w:rsidTr="001E03FA">
        <w:tc>
          <w:tcPr>
            <w:tcW w:w="0" w:type="auto"/>
            <w:vAlign w:val="center"/>
            <w:hideMark/>
          </w:tcPr>
          <w:p w14:paraId="1E5B38DB" w14:textId="77777777" w:rsidR="004274E8" w:rsidRPr="004274E8" w:rsidRDefault="004274E8" w:rsidP="004274E8">
            <w:pPr>
              <w:spacing w:after="0" w:line="240" w:lineRule="auto"/>
              <w:rPr>
                <w:rFonts w:eastAsia="Times New Roman" w:cs="Times New Roman"/>
                <w:szCs w:val="22"/>
                <w:lang w:eastAsia="en-AU"/>
              </w:rPr>
            </w:pPr>
            <w:r w:rsidRPr="004274E8">
              <w:rPr>
                <w:rFonts w:eastAsia="Times New Roman" w:cs="Times New Roman"/>
                <w:szCs w:val="22"/>
                <w:lang w:eastAsia="en-AU"/>
              </w:rPr>
              <w:t>LS means ublituximab − teriflunomide (95% CI)</w:t>
            </w:r>
          </w:p>
        </w:tc>
        <w:tc>
          <w:tcPr>
            <w:tcW w:w="0" w:type="auto"/>
            <w:gridSpan w:val="2"/>
            <w:vAlign w:val="center"/>
            <w:hideMark/>
          </w:tcPr>
          <w:p w14:paraId="31EAB857" w14:textId="2FFC3FA7" w:rsidR="004274E8" w:rsidRPr="004274E8" w:rsidRDefault="004274E8" w:rsidP="004274E8">
            <w:pPr>
              <w:spacing w:after="0" w:line="240" w:lineRule="auto"/>
              <w:rPr>
                <w:rFonts w:eastAsia="Times New Roman" w:cs="Times New Roman"/>
                <w:szCs w:val="22"/>
                <w:lang w:eastAsia="en-AU"/>
              </w:rPr>
            </w:pPr>
            <w:r w:rsidRPr="004274E8">
              <w:rPr>
                <w:rFonts w:eastAsia="Times New Roman" w:cs="Times New Roman"/>
                <w:szCs w:val="22"/>
                <w:lang w:eastAsia="en-AU"/>
              </w:rPr>
              <w:t>-0.018 (-0.053, 0.017)</w:t>
            </w:r>
          </w:p>
        </w:tc>
      </w:tr>
      <w:tr w:rsidR="004274E8" w:rsidRPr="004274E8" w14:paraId="640B68DF" w14:textId="77777777" w:rsidTr="00077C97">
        <w:tc>
          <w:tcPr>
            <w:tcW w:w="0" w:type="auto"/>
            <w:vAlign w:val="center"/>
            <w:hideMark/>
          </w:tcPr>
          <w:p w14:paraId="0C48EDE3" w14:textId="77777777" w:rsidR="004274E8" w:rsidRPr="004274E8" w:rsidRDefault="004274E8" w:rsidP="004274E8">
            <w:pPr>
              <w:spacing w:after="0" w:line="240" w:lineRule="auto"/>
              <w:rPr>
                <w:rFonts w:eastAsia="Times New Roman" w:cs="Times New Roman"/>
                <w:szCs w:val="22"/>
                <w:lang w:eastAsia="en-AU"/>
              </w:rPr>
            </w:pPr>
            <w:r w:rsidRPr="004274E8">
              <w:rPr>
                <w:rFonts w:eastAsia="Times New Roman" w:cs="Times New Roman"/>
                <w:szCs w:val="22"/>
                <w:lang w:eastAsia="en-AU"/>
              </w:rPr>
              <w:t>p value</w:t>
            </w:r>
          </w:p>
        </w:tc>
        <w:tc>
          <w:tcPr>
            <w:tcW w:w="0" w:type="auto"/>
            <w:gridSpan w:val="2"/>
            <w:vAlign w:val="center"/>
            <w:hideMark/>
          </w:tcPr>
          <w:p w14:paraId="38244F85" w14:textId="04067751" w:rsidR="004274E8" w:rsidRPr="004274E8" w:rsidRDefault="004274E8" w:rsidP="004274E8">
            <w:pPr>
              <w:spacing w:after="0" w:line="240" w:lineRule="auto"/>
              <w:rPr>
                <w:rFonts w:eastAsia="Times New Roman" w:cs="Times New Roman"/>
                <w:szCs w:val="22"/>
                <w:lang w:eastAsia="en-AU"/>
              </w:rPr>
            </w:pPr>
            <w:r w:rsidRPr="004274E8">
              <w:rPr>
                <w:rFonts w:eastAsia="Times New Roman" w:cs="Times New Roman"/>
                <w:szCs w:val="22"/>
                <w:lang w:eastAsia="en-AU"/>
              </w:rPr>
              <w:t>0.3108</w:t>
            </w:r>
          </w:p>
        </w:tc>
      </w:tr>
    </w:tbl>
    <w:p w14:paraId="392F490D" w14:textId="1512C08C" w:rsidR="00882F49" w:rsidRDefault="00882F49" w:rsidP="004274E8">
      <w:pPr>
        <w:pStyle w:val="TableDescription"/>
        <w:contextualSpacing/>
        <w:rPr>
          <w:lang w:eastAsia="en-AU"/>
        </w:rPr>
      </w:pPr>
      <w:r>
        <w:rPr>
          <w:lang w:eastAsia="en-AU"/>
        </w:rPr>
        <w:t>CI, confidence interval; mITT. modified intent-to-treat; MRI, magnetic resonance imaging; LS least squares; MRMM Mixed Model Repeated Measures; SD, standard deviation.</w:t>
      </w:r>
    </w:p>
    <w:p w14:paraId="51C911D6" w14:textId="421A6E46" w:rsidR="00882F49" w:rsidRDefault="00882F49" w:rsidP="004274E8">
      <w:pPr>
        <w:pStyle w:val="TableDescription"/>
        <w:contextualSpacing/>
        <w:rPr>
          <w:lang w:eastAsia="en-AU"/>
        </w:rPr>
      </w:pPr>
      <w:r>
        <w:rPr>
          <w:lang w:eastAsia="en-AU"/>
        </w:rPr>
        <w:t>a MMRM (Mixed Model Repeated Measures) of the percentage changes of the cube root transformed volume from baseline. The model includes treatment, region, baseline EDSS strata, visit, treatment-by-visit interaction, and baseline volume (cube root transformed) as covariates and an unstructured covariance matrix.</w:t>
      </w:r>
    </w:p>
    <w:p w14:paraId="704A4493" w14:textId="29BE204D" w:rsidR="00882F49" w:rsidRDefault="00882F49" w:rsidP="004274E8">
      <w:pPr>
        <w:pStyle w:val="TableDescription"/>
        <w:contextualSpacing/>
        <w:rPr>
          <w:lang w:eastAsia="en-AU"/>
        </w:rPr>
      </w:pPr>
      <w:r>
        <w:rPr>
          <w:lang w:eastAsia="en-AU"/>
        </w:rPr>
        <w:t>p-value is nominal as the 12-week CDP was not statistically significant.</w:t>
      </w:r>
    </w:p>
    <w:p w14:paraId="7EAC73C0" w14:textId="713DEC18" w:rsidR="004214C8" w:rsidRDefault="004214C8" w:rsidP="004214C8">
      <w:pPr>
        <w:pStyle w:val="Heading4"/>
        <w:rPr>
          <w:lang w:eastAsia="en-AU"/>
        </w:rPr>
      </w:pPr>
      <w:bookmarkStart w:id="50" w:name="_Toc225502000"/>
      <w:r>
        <w:rPr>
          <w:lang w:eastAsia="en-AU"/>
        </w:rPr>
        <w:lastRenderedPageBreak/>
        <w:t>Safety</w:t>
      </w:r>
      <w:bookmarkEnd w:id="50"/>
    </w:p>
    <w:p w14:paraId="3D8AB99A" w14:textId="4B893911" w:rsidR="004214C8" w:rsidRDefault="004214C8" w:rsidP="00BD34F2">
      <w:pPr>
        <w:rPr>
          <w:lang w:eastAsia="en-AU"/>
        </w:rPr>
      </w:pPr>
      <w:r>
        <w:rPr>
          <w:lang w:eastAsia="en-AU"/>
        </w:rPr>
        <w:t xml:space="preserve">The primary safety evaluation for ublituximab compared to </w:t>
      </w:r>
      <w:r w:rsidR="006D2303">
        <w:rPr>
          <w:lang w:eastAsia="en-AU"/>
        </w:rPr>
        <w:t>teri</w:t>
      </w:r>
      <w:r w:rsidR="006D2303">
        <w:rPr>
          <w:rFonts w:cs="Cambria"/>
          <w:lang w:eastAsia="en-AU"/>
        </w:rPr>
        <w:t>f</w:t>
      </w:r>
      <w:r w:rsidR="006D2303">
        <w:rPr>
          <w:lang w:eastAsia="en-AU"/>
        </w:rPr>
        <w:t>lunomide</w:t>
      </w:r>
      <w:r>
        <w:rPr>
          <w:lang w:eastAsia="en-AU"/>
        </w:rPr>
        <w:t xml:space="preserve"> is based on pooled safety data from the 2 pivotal studies.</w:t>
      </w:r>
    </w:p>
    <w:p w14:paraId="0DFF1587" w14:textId="77777777" w:rsidR="004214C8" w:rsidRDefault="004214C8" w:rsidP="004214C8">
      <w:pPr>
        <w:pStyle w:val="Heading5"/>
        <w:rPr>
          <w:lang w:eastAsia="en-AU"/>
        </w:rPr>
      </w:pPr>
      <w:r>
        <w:rPr>
          <w:lang w:eastAsia="en-AU"/>
        </w:rPr>
        <w:t>Patient exposure</w:t>
      </w:r>
    </w:p>
    <w:p w14:paraId="0DE98196" w14:textId="77777777" w:rsidR="004214C8" w:rsidRDefault="004214C8" w:rsidP="00BD34F2">
      <w:pPr>
        <w:rPr>
          <w:lang w:eastAsia="en-AU"/>
        </w:rPr>
      </w:pPr>
      <w:r>
        <w:rPr>
          <w:lang w:eastAsia="en-AU"/>
        </w:rPr>
        <w:t>In total 545 patients with RMS have been exposed to ublituximab in two completed pivotal studies for 72 weeks.</w:t>
      </w:r>
    </w:p>
    <w:p w14:paraId="521D0B0B" w14:textId="1BD9D294" w:rsidR="004214C8" w:rsidRDefault="004214C8" w:rsidP="00BD34F2">
      <w:pPr>
        <w:rPr>
          <w:lang w:eastAsia="en-AU"/>
        </w:rPr>
      </w:pPr>
      <w:r>
        <w:rPr>
          <w:lang w:eastAsia="en-AU"/>
        </w:rPr>
        <w:t xml:space="preserve">As per cutoff date of 01 March 2022, the total number of participants exposed to ublituximab in phase III trials was 974 participants </w:t>
      </w:r>
      <w:r w:rsidR="006D2303">
        <w:rPr>
          <w:lang w:eastAsia="en-AU"/>
        </w:rPr>
        <w:t>re</w:t>
      </w:r>
      <w:r w:rsidR="006D2303">
        <w:rPr>
          <w:rFonts w:cs="Cambria"/>
          <w:lang w:eastAsia="en-AU"/>
        </w:rPr>
        <w:t>f</w:t>
      </w:r>
      <w:r w:rsidR="006D2303">
        <w:rPr>
          <w:lang w:eastAsia="en-AU"/>
        </w:rPr>
        <w:t>lecting</w:t>
      </w:r>
      <w:r>
        <w:rPr>
          <w:lang w:eastAsia="en-AU"/>
        </w:rPr>
        <w:t xml:space="preserve"> the newly rolled over participants from the </w:t>
      </w:r>
      <w:r w:rsidR="006D2303">
        <w:rPr>
          <w:lang w:eastAsia="en-AU"/>
        </w:rPr>
        <w:t>teri</w:t>
      </w:r>
      <w:r w:rsidR="006D2303">
        <w:rPr>
          <w:rFonts w:cs="Cambria"/>
          <w:lang w:eastAsia="en-AU"/>
        </w:rPr>
        <w:t>f</w:t>
      </w:r>
      <w:r w:rsidR="006D2303">
        <w:rPr>
          <w:lang w:eastAsia="en-AU"/>
        </w:rPr>
        <w:t>lunomide</w:t>
      </w:r>
      <w:r>
        <w:rPr>
          <w:lang w:eastAsia="en-AU"/>
        </w:rPr>
        <w:t xml:space="preserve"> arm of the parent studies now being treated with ublituximab. In addition, 48 subjects have been exposed in a completed Phase 2 study for 24 weeks</w:t>
      </w:r>
    </w:p>
    <w:p w14:paraId="3F3D7DA3" w14:textId="77777777" w:rsidR="004214C8" w:rsidRDefault="004214C8" w:rsidP="004214C8">
      <w:pPr>
        <w:pStyle w:val="Heading5"/>
        <w:rPr>
          <w:lang w:eastAsia="en-AU"/>
        </w:rPr>
      </w:pPr>
      <w:r>
        <w:rPr>
          <w:lang w:eastAsia="en-AU"/>
        </w:rPr>
        <w:t>Adverse events</w:t>
      </w:r>
    </w:p>
    <w:p w14:paraId="3509AB7C" w14:textId="2CC23F12" w:rsidR="004214C8" w:rsidRDefault="004214C8" w:rsidP="00954CE9">
      <w:pPr>
        <w:rPr>
          <w:lang w:eastAsia="en-AU"/>
        </w:rPr>
      </w:pPr>
      <w:r>
        <w:rPr>
          <w:lang w:eastAsia="en-AU"/>
        </w:rPr>
        <w:t xml:space="preserve">In the pooled analysis of the pivotal Phase III studies </w:t>
      </w:r>
      <w:proofErr w:type="gramStart"/>
      <w:r>
        <w:rPr>
          <w:lang w:eastAsia="en-AU"/>
        </w:rPr>
        <w:t>( cut</w:t>
      </w:r>
      <w:proofErr w:type="gramEnd"/>
      <w:r>
        <w:rPr>
          <w:lang w:eastAsia="en-AU"/>
        </w:rPr>
        <w:t xml:space="preserve"> off 20Nov 2020), the incidence of at least 1 </w:t>
      </w:r>
      <w:r w:rsidR="00C139AD">
        <w:rPr>
          <w:lang w:eastAsia="en-AU"/>
        </w:rPr>
        <w:t>treatment emergent adverse events (</w:t>
      </w:r>
      <w:r>
        <w:rPr>
          <w:lang w:eastAsia="en-AU"/>
        </w:rPr>
        <w:t>TEAE</w:t>
      </w:r>
      <w:r w:rsidR="00C139AD">
        <w:rPr>
          <w:lang w:eastAsia="en-AU"/>
        </w:rPr>
        <w:t>s)</w:t>
      </w:r>
      <w:r>
        <w:rPr>
          <w:lang w:eastAsia="en-AU"/>
        </w:rPr>
        <w:t xml:space="preserve"> was similar in subjects in the ublituximab and </w:t>
      </w:r>
      <w:r w:rsidR="006D2303">
        <w:rPr>
          <w:lang w:eastAsia="en-AU"/>
        </w:rPr>
        <w:t>teri</w:t>
      </w:r>
      <w:r w:rsidR="006D2303">
        <w:rPr>
          <w:rFonts w:cs="Cambria"/>
          <w:lang w:eastAsia="en-AU"/>
        </w:rPr>
        <w:t>f</w:t>
      </w:r>
      <w:r w:rsidR="006D2303">
        <w:rPr>
          <w:lang w:eastAsia="en-AU"/>
        </w:rPr>
        <w:t>lunomide</w:t>
      </w:r>
      <w:r>
        <w:rPr>
          <w:lang w:eastAsia="en-AU"/>
        </w:rPr>
        <w:t xml:space="preserve"> groups (89.2% and 91.4%, respectively). More subjects in the ublituximab group than subjects in the </w:t>
      </w:r>
      <w:r w:rsidR="006D2303">
        <w:rPr>
          <w:lang w:eastAsia="en-AU"/>
        </w:rPr>
        <w:t>teri</w:t>
      </w:r>
      <w:r w:rsidR="006D2303">
        <w:rPr>
          <w:rFonts w:cs="Cambria"/>
          <w:lang w:eastAsia="en-AU"/>
        </w:rPr>
        <w:t>f</w:t>
      </w:r>
      <w:r w:rsidR="006D2303">
        <w:rPr>
          <w:lang w:eastAsia="en-AU"/>
        </w:rPr>
        <w:t>lunomide</w:t>
      </w:r>
      <w:r>
        <w:rPr>
          <w:lang w:eastAsia="en-AU"/>
        </w:rPr>
        <w:t xml:space="preserve"> group reported TEAEs of Grade ≥3 (21.3% versus 14.1%), TEAEs of Grade 4 (2.2% versus 0.7%) , serious TEAEs were reported in 10.8% of subjects in the ublituximab group and 7.3% of subjects in the </w:t>
      </w:r>
      <w:r w:rsidR="006D2303">
        <w:rPr>
          <w:lang w:eastAsia="en-AU"/>
        </w:rPr>
        <w:t>teri</w:t>
      </w:r>
      <w:r w:rsidR="006D2303">
        <w:rPr>
          <w:rFonts w:cs="Cambria"/>
          <w:lang w:eastAsia="en-AU"/>
        </w:rPr>
        <w:t>f</w:t>
      </w:r>
      <w:r w:rsidR="006D2303">
        <w:rPr>
          <w:lang w:eastAsia="en-AU"/>
        </w:rPr>
        <w:t>lunomide</w:t>
      </w:r>
      <w:r>
        <w:rPr>
          <w:lang w:eastAsia="en-AU"/>
        </w:rPr>
        <w:t xml:space="preserve"> group, TEAEs leading to discontinuation of study treatment were reported in 4.2% of subjects in the ublituximab group and 0.7% of subjects in the </w:t>
      </w:r>
      <w:r w:rsidR="006D2303">
        <w:rPr>
          <w:lang w:eastAsia="en-AU"/>
        </w:rPr>
        <w:t>teri</w:t>
      </w:r>
      <w:r w:rsidR="006D2303">
        <w:rPr>
          <w:rFonts w:cs="Cambria"/>
          <w:lang w:eastAsia="en-AU"/>
        </w:rPr>
        <w:t>f</w:t>
      </w:r>
      <w:r w:rsidR="006D2303">
        <w:rPr>
          <w:lang w:eastAsia="en-AU"/>
        </w:rPr>
        <w:t>lunomide</w:t>
      </w:r>
      <w:r>
        <w:rPr>
          <w:lang w:eastAsia="en-AU"/>
        </w:rPr>
        <w:t xml:space="preserve"> group and TEAEs leading to death were reported in 0.6% of subjects in the ublituximab group and none of the subjects in the </w:t>
      </w:r>
      <w:r w:rsidR="006D2303">
        <w:rPr>
          <w:lang w:eastAsia="en-AU"/>
        </w:rPr>
        <w:t>teri</w:t>
      </w:r>
      <w:r w:rsidR="006D2303">
        <w:rPr>
          <w:rFonts w:cs="Cambria"/>
          <w:lang w:eastAsia="en-AU"/>
        </w:rPr>
        <w:t>f</w:t>
      </w:r>
      <w:r w:rsidR="006D2303">
        <w:rPr>
          <w:lang w:eastAsia="en-AU"/>
        </w:rPr>
        <w:t>lunomide</w:t>
      </w:r>
      <w:r>
        <w:rPr>
          <w:lang w:eastAsia="en-AU"/>
        </w:rPr>
        <w:t xml:space="preserve"> group.</w:t>
      </w:r>
    </w:p>
    <w:p w14:paraId="177F5AB2" w14:textId="4ADC8D01" w:rsidR="004214C8" w:rsidRDefault="004214C8" w:rsidP="00954CE9">
      <w:pPr>
        <w:rPr>
          <w:lang w:eastAsia="en-AU"/>
        </w:rPr>
      </w:pPr>
      <w:r>
        <w:rPr>
          <w:lang w:eastAsia="en-AU"/>
        </w:rPr>
        <w:t xml:space="preserve">The most common TEAEs (≥10% of subjects in any group) were headache (ublituximab: 34.3%; </w:t>
      </w:r>
      <w:r w:rsidR="006D2303">
        <w:rPr>
          <w:lang w:eastAsia="en-AU"/>
        </w:rPr>
        <w:t>teri</w:t>
      </w:r>
      <w:r w:rsidR="006D2303">
        <w:rPr>
          <w:rFonts w:cs="Cambria"/>
          <w:lang w:eastAsia="en-AU"/>
        </w:rPr>
        <w:t>f</w:t>
      </w:r>
      <w:r w:rsidR="006D2303">
        <w:rPr>
          <w:lang w:eastAsia="en-AU"/>
        </w:rPr>
        <w:t>lunomide</w:t>
      </w:r>
      <w:r>
        <w:rPr>
          <w:lang w:eastAsia="en-AU"/>
        </w:rPr>
        <w:t xml:space="preserve">: 26.6%), nasopharyngitis (ublituximab: 18.3%; </w:t>
      </w:r>
      <w:r w:rsidR="006D2303">
        <w:rPr>
          <w:lang w:eastAsia="en-AU"/>
        </w:rPr>
        <w:t>teri</w:t>
      </w:r>
      <w:r w:rsidR="006D2303">
        <w:rPr>
          <w:rFonts w:cs="Cambria"/>
          <w:lang w:eastAsia="en-AU"/>
        </w:rPr>
        <w:t>f</w:t>
      </w:r>
      <w:r w:rsidR="006D2303">
        <w:rPr>
          <w:lang w:eastAsia="en-AU"/>
        </w:rPr>
        <w:t>lunomide</w:t>
      </w:r>
      <w:r>
        <w:rPr>
          <w:lang w:eastAsia="en-AU"/>
        </w:rPr>
        <w:t xml:space="preserve">: 17.9%), pyrexia (ublituximab: 13.9%; </w:t>
      </w:r>
      <w:r w:rsidR="006D2303">
        <w:rPr>
          <w:lang w:eastAsia="en-AU"/>
        </w:rPr>
        <w:t>teri</w:t>
      </w:r>
      <w:r w:rsidR="006D2303">
        <w:rPr>
          <w:rFonts w:cs="Cambria"/>
          <w:lang w:eastAsia="en-AU"/>
        </w:rPr>
        <w:t>f</w:t>
      </w:r>
      <w:r w:rsidR="006D2303">
        <w:rPr>
          <w:lang w:eastAsia="en-AU"/>
        </w:rPr>
        <w:t>lunomide</w:t>
      </w:r>
      <w:r>
        <w:rPr>
          <w:lang w:eastAsia="en-AU"/>
        </w:rPr>
        <w:t xml:space="preserve">: 4.9%), nausea (ublituximab: 10.6%; </w:t>
      </w:r>
      <w:r w:rsidR="006D2303">
        <w:rPr>
          <w:lang w:eastAsia="en-AU"/>
        </w:rPr>
        <w:t>teri</w:t>
      </w:r>
      <w:r w:rsidR="006D2303">
        <w:rPr>
          <w:rFonts w:cs="Cambria"/>
          <w:lang w:eastAsia="en-AU"/>
        </w:rPr>
        <w:t>f</w:t>
      </w:r>
      <w:r w:rsidR="006D2303">
        <w:rPr>
          <w:lang w:eastAsia="en-AU"/>
        </w:rPr>
        <w:t>lunomide</w:t>
      </w:r>
      <w:r>
        <w:rPr>
          <w:lang w:eastAsia="en-AU"/>
        </w:rPr>
        <w:t xml:space="preserve">: 7.8%), diarrhoea (ublituximab: 8.1%; </w:t>
      </w:r>
      <w:r w:rsidR="006D2303">
        <w:rPr>
          <w:lang w:eastAsia="en-AU"/>
        </w:rPr>
        <w:t>teri</w:t>
      </w:r>
      <w:r w:rsidR="006D2303">
        <w:rPr>
          <w:rFonts w:cs="Cambria"/>
          <w:lang w:eastAsia="en-AU"/>
        </w:rPr>
        <w:t>f</w:t>
      </w:r>
      <w:r w:rsidR="006D2303">
        <w:rPr>
          <w:lang w:eastAsia="en-AU"/>
        </w:rPr>
        <w:t>lunomide</w:t>
      </w:r>
      <w:r>
        <w:rPr>
          <w:lang w:eastAsia="en-AU"/>
        </w:rPr>
        <w:t xml:space="preserve">: 10.6%), and alopecia (ublituximab: 3.5%; </w:t>
      </w:r>
      <w:r w:rsidR="006D2303">
        <w:rPr>
          <w:lang w:eastAsia="en-AU"/>
        </w:rPr>
        <w:t>teri</w:t>
      </w:r>
      <w:r w:rsidR="006D2303">
        <w:rPr>
          <w:rFonts w:cs="Cambria"/>
          <w:lang w:eastAsia="en-AU"/>
        </w:rPr>
        <w:t>f</w:t>
      </w:r>
      <w:r w:rsidR="006D2303">
        <w:rPr>
          <w:lang w:eastAsia="en-AU"/>
        </w:rPr>
        <w:t>lunomide</w:t>
      </w:r>
      <w:r>
        <w:rPr>
          <w:lang w:eastAsia="en-AU"/>
        </w:rPr>
        <w:t xml:space="preserve">: 15.3%). The percentage of subjects with TEAEs related to study treatment was higher in the ublituximab group compared to the </w:t>
      </w:r>
      <w:r w:rsidR="006D2303">
        <w:rPr>
          <w:lang w:eastAsia="en-AU"/>
        </w:rPr>
        <w:t>teri</w:t>
      </w:r>
      <w:r w:rsidR="006D2303">
        <w:rPr>
          <w:rFonts w:cs="Cambria"/>
          <w:lang w:eastAsia="en-AU"/>
        </w:rPr>
        <w:t>f</w:t>
      </w:r>
      <w:r w:rsidR="006D2303">
        <w:rPr>
          <w:lang w:eastAsia="en-AU"/>
        </w:rPr>
        <w:t>lunomide</w:t>
      </w:r>
      <w:r>
        <w:rPr>
          <w:lang w:eastAsia="en-AU"/>
        </w:rPr>
        <w:t xml:space="preserve"> group (66.4% versus 50.0%). The most common TEAEs related to study treatment (≥10% of subjects in any group) were headache (ublituximab: 11.2%; </w:t>
      </w:r>
      <w:r w:rsidR="006D2303">
        <w:rPr>
          <w:lang w:eastAsia="en-AU"/>
        </w:rPr>
        <w:t>teri</w:t>
      </w:r>
      <w:r w:rsidR="006D2303">
        <w:rPr>
          <w:rFonts w:cs="Cambria"/>
          <w:lang w:eastAsia="en-AU"/>
        </w:rPr>
        <w:t>f</w:t>
      </w:r>
      <w:r w:rsidR="006D2303">
        <w:rPr>
          <w:lang w:eastAsia="en-AU"/>
        </w:rPr>
        <w:t>lunomide</w:t>
      </w:r>
      <w:r>
        <w:rPr>
          <w:lang w:eastAsia="en-AU"/>
        </w:rPr>
        <w:t xml:space="preserve">: 5.5%), pyrexia (ublituximab: 10.5%; </w:t>
      </w:r>
      <w:r w:rsidR="006D2303">
        <w:rPr>
          <w:lang w:eastAsia="en-AU"/>
        </w:rPr>
        <w:t>teri</w:t>
      </w:r>
      <w:r w:rsidR="006D2303">
        <w:rPr>
          <w:rFonts w:cs="Cambria"/>
          <w:lang w:eastAsia="en-AU"/>
        </w:rPr>
        <w:t>f</w:t>
      </w:r>
      <w:r w:rsidR="006D2303">
        <w:rPr>
          <w:lang w:eastAsia="en-AU"/>
        </w:rPr>
        <w:t>lunomide</w:t>
      </w:r>
      <w:r>
        <w:rPr>
          <w:lang w:eastAsia="en-AU"/>
        </w:rPr>
        <w:t xml:space="preserve">: 1.8%), and alopecia (ublituximab: 2.9%; </w:t>
      </w:r>
      <w:r w:rsidR="006D2303">
        <w:rPr>
          <w:lang w:eastAsia="en-AU"/>
        </w:rPr>
        <w:t>teri</w:t>
      </w:r>
      <w:r w:rsidR="006D2303">
        <w:rPr>
          <w:rFonts w:cs="Cambria"/>
          <w:lang w:eastAsia="en-AU"/>
        </w:rPr>
        <w:t>f</w:t>
      </w:r>
      <w:r w:rsidR="006D2303">
        <w:rPr>
          <w:lang w:eastAsia="en-AU"/>
        </w:rPr>
        <w:t>lunomide</w:t>
      </w:r>
      <w:r>
        <w:rPr>
          <w:lang w:eastAsia="en-AU"/>
        </w:rPr>
        <w:t xml:space="preserve">: 14.8%). The most common TEAEs of Grade ≥3 was lymphocyte count decreased (ublituximab: 5.5%; </w:t>
      </w:r>
      <w:r w:rsidR="006D2303">
        <w:rPr>
          <w:lang w:eastAsia="en-AU"/>
        </w:rPr>
        <w:t>teri</w:t>
      </w:r>
      <w:r w:rsidR="006D2303">
        <w:rPr>
          <w:rFonts w:cs="Cambria"/>
          <w:lang w:eastAsia="en-AU"/>
        </w:rPr>
        <w:t>f</w:t>
      </w:r>
      <w:r w:rsidR="006D2303">
        <w:rPr>
          <w:lang w:eastAsia="en-AU"/>
        </w:rPr>
        <w:t>lunomide</w:t>
      </w:r>
      <w:r>
        <w:rPr>
          <w:lang w:eastAsia="en-AU"/>
        </w:rPr>
        <w:t xml:space="preserve">: 0) and lymphopenia (ublituximab: 4.0%; </w:t>
      </w:r>
      <w:r w:rsidR="006D2303">
        <w:rPr>
          <w:lang w:eastAsia="en-AU"/>
        </w:rPr>
        <w:t>teri</w:t>
      </w:r>
      <w:r w:rsidR="006D2303">
        <w:rPr>
          <w:rFonts w:cs="Cambria"/>
          <w:lang w:eastAsia="en-AU"/>
        </w:rPr>
        <w:t>f</w:t>
      </w:r>
      <w:r w:rsidR="006D2303">
        <w:rPr>
          <w:lang w:eastAsia="en-AU"/>
        </w:rPr>
        <w:t>lunomide</w:t>
      </w:r>
      <w:r>
        <w:rPr>
          <w:lang w:eastAsia="en-AU"/>
        </w:rPr>
        <w:t>: 0.5%), which was attributable to the intended mechanism of action of ublituximab. All other TEAEs of Grade ≥3 was reported in ≤2% of subjects in either treatment group. Two TEAEs of Grade 4 (anaphylactic reaction and CNS enteroviral infection) were considered serious and led to discontinuation of ublituximab treatment.</w:t>
      </w:r>
    </w:p>
    <w:p w14:paraId="0BC7289F" w14:textId="661F19EC" w:rsidR="004214C8" w:rsidRDefault="004214C8" w:rsidP="00954CE9">
      <w:pPr>
        <w:rPr>
          <w:lang w:eastAsia="en-AU"/>
        </w:rPr>
      </w:pPr>
      <w:r>
        <w:rPr>
          <w:lang w:eastAsia="en-AU"/>
        </w:rPr>
        <w:t>TEAEs were reported in 4 additional subjects (67.2% of subjects versus 66.4% of subjects in the parent studies). No new TEAEs related to study treatment were reported in ≥10% of subjects. An additional Grade 4 TEAE of neutropenia was reported in 1 subject.</w:t>
      </w:r>
    </w:p>
    <w:p w14:paraId="726E19F3" w14:textId="2AEF1A0F" w:rsidR="004214C8" w:rsidRDefault="004214C8" w:rsidP="00490872">
      <w:pPr>
        <w:pStyle w:val="Heading5"/>
        <w:rPr>
          <w:lang w:eastAsia="en-AU"/>
        </w:rPr>
      </w:pPr>
      <w:r>
        <w:rPr>
          <w:lang w:eastAsia="en-AU"/>
        </w:rPr>
        <w:t xml:space="preserve">Serious adverse event/deaths/other </w:t>
      </w:r>
      <w:r w:rsidR="006D2303">
        <w:rPr>
          <w:lang w:eastAsia="en-AU"/>
        </w:rPr>
        <w:t>signi</w:t>
      </w:r>
      <w:r w:rsidR="006D2303">
        <w:rPr>
          <w:rFonts w:ascii="Cambria" w:hAnsi="Cambria" w:cs="Cambria"/>
          <w:lang w:eastAsia="en-AU"/>
        </w:rPr>
        <w:t>f</w:t>
      </w:r>
      <w:r w:rsidR="006D2303">
        <w:rPr>
          <w:lang w:eastAsia="en-AU"/>
        </w:rPr>
        <w:t>icant</w:t>
      </w:r>
      <w:r>
        <w:rPr>
          <w:lang w:eastAsia="en-AU"/>
        </w:rPr>
        <w:t xml:space="preserve"> events</w:t>
      </w:r>
    </w:p>
    <w:p w14:paraId="1856B336" w14:textId="4C9386A1" w:rsidR="004214C8" w:rsidRDefault="004214C8" w:rsidP="00954CE9">
      <w:pPr>
        <w:rPr>
          <w:lang w:eastAsia="en-AU"/>
        </w:rPr>
      </w:pPr>
      <w:r>
        <w:rPr>
          <w:lang w:eastAsia="en-AU"/>
        </w:rPr>
        <w:t xml:space="preserve">In the pooled analysis of the pivotal Phase III studies (cut off 20Nov 2020), serious TEAEs were reported in 59 subjects (10.8%) in the ublituximab group and 40 subjects (7.3%) in the </w:t>
      </w:r>
      <w:r w:rsidR="006D2303">
        <w:rPr>
          <w:lang w:eastAsia="en-AU"/>
        </w:rPr>
        <w:t>teri</w:t>
      </w:r>
      <w:r w:rsidR="006D2303">
        <w:rPr>
          <w:rFonts w:cs="Cambria"/>
          <w:lang w:eastAsia="en-AU"/>
        </w:rPr>
        <w:t>f</w:t>
      </w:r>
      <w:r w:rsidR="006D2303">
        <w:rPr>
          <w:lang w:eastAsia="en-AU"/>
        </w:rPr>
        <w:t>lunomide</w:t>
      </w:r>
      <w:r>
        <w:rPr>
          <w:lang w:eastAsia="en-AU"/>
        </w:rPr>
        <w:t xml:space="preserve"> group. No serious TEAEs (by PT) were reported in ≥1% of subjects in either treatment group. Serious TEAEs reported in 3 or more subjects included events of coronavirus </w:t>
      </w:r>
      <w:r>
        <w:rPr>
          <w:lang w:eastAsia="en-AU"/>
        </w:rPr>
        <w:lastRenderedPageBreak/>
        <w:t xml:space="preserve">infection 2019 (COVID-19) pneumonia, pneumonia, and acute sinusitis in the ublituximab group and neurological symptom and pyelonephritis acute in the </w:t>
      </w:r>
      <w:r w:rsidR="006D2303">
        <w:rPr>
          <w:lang w:eastAsia="en-AU"/>
        </w:rPr>
        <w:t>teri</w:t>
      </w:r>
      <w:r w:rsidR="006D2303">
        <w:rPr>
          <w:rFonts w:cs="Cambria"/>
          <w:lang w:eastAsia="en-AU"/>
        </w:rPr>
        <w:t>f</w:t>
      </w:r>
      <w:r w:rsidR="006D2303">
        <w:rPr>
          <w:lang w:eastAsia="en-AU"/>
        </w:rPr>
        <w:t>lunomide</w:t>
      </w:r>
      <w:r>
        <w:rPr>
          <w:lang w:eastAsia="en-AU"/>
        </w:rPr>
        <w:t xml:space="preserve"> group. </w:t>
      </w:r>
    </w:p>
    <w:p w14:paraId="5125DCA8" w14:textId="25A71D87" w:rsidR="004214C8" w:rsidRDefault="004214C8" w:rsidP="00954CE9">
      <w:pPr>
        <w:rPr>
          <w:lang w:eastAsia="en-AU"/>
        </w:rPr>
      </w:pPr>
      <w:proofErr w:type="gramStart"/>
      <w:r>
        <w:rPr>
          <w:lang w:eastAsia="en-AU"/>
        </w:rPr>
        <w:t>At</w:t>
      </w:r>
      <w:proofErr w:type="gramEnd"/>
      <w:r>
        <w:rPr>
          <w:lang w:eastAsia="en-AU"/>
        </w:rPr>
        <w:t xml:space="preserve"> 1 March 2022, out of the 974 participants included in the Ublituximab Update Safety set of phase III trials, 167 (17.1%) had at least 1 serious TEAEs. The increased incidence of serious TEAEs was driven by COVID-19 pneumonia (80 participants).</w:t>
      </w:r>
    </w:p>
    <w:p w14:paraId="348F0228" w14:textId="77777777" w:rsidR="004214C8" w:rsidRDefault="004214C8" w:rsidP="00954CE9">
      <w:pPr>
        <w:rPr>
          <w:lang w:eastAsia="en-AU"/>
        </w:rPr>
      </w:pPr>
      <w:r>
        <w:rPr>
          <w:lang w:eastAsia="en-AU"/>
        </w:rPr>
        <w:t>As per 20 November 2020, in the pooled Phase III studies, serious TEAEs were reported in 6 additional subjects (11.9% versus 10.8% in the parent studies).</w:t>
      </w:r>
    </w:p>
    <w:p w14:paraId="6D528C4C" w14:textId="1604D59D" w:rsidR="004214C8" w:rsidRDefault="004214C8" w:rsidP="003408B5">
      <w:pPr>
        <w:pStyle w:val="Heading5"/>
        <w:rPr>
          <w:lang w:eastAsia="en-AU"/>
        </w:rPr>
      </w:pPr>
      <w:r>
        <w:rPr>
          <w:lang w:eastAsia="en-AU"/>
        </w:rPr>
        <w:t>Infusion-related reaction</w:t>
      </w:r>
      <w:r w:rsidR="00465E42">
        <w:rPr>
          <w:lang w:eastAsia="en-AU"/>
        </w:rPr>
        <w:t>s</w:t>
      </w:r>
    </w:p>
    <w:p w14:paraId="084ECEE8" w14:textId="64D0F69B" w:rsidR="004214C8" w:rsidRDefault="003408B5" w:rsidP="00954CE9">
      <w:pPr>
        <w:rPr>
          <w:lang w:eastAsia="en-AU"/>
        </w:rPr>
      </w:pPr>
      <w:r>
        <w:rPr>
          <w:lang w:eastAsia="en-AU"/>
        </w:rPr>
        <w:t>P</w:t>
      </w:r>
      <w:r w:rsidR="004214C8">
        <w:rPr>
          <w:lang w:eastAsia="en-AU"/>
        </w:rPr>
        <w:t xml:space="preserve">ooled analysis of the pivotal Phase III studies, the percentage of subjects with Investigator-reported </w:t>
      </w:r>
      <w:r w:rsidR="009B72B1" w:rsidRPr="009B72B1">
        <w:rPr>
          <w:lang w:eastAsia="en-AU"/>
        </w:rPr>
        <w:t>Infusion-related reaction</w:t>
      </w:r>
      <w:r w:rsidR="00203CB9">
        <w:rPr>
          <w:lang w:eastAsia="en-AU"/>
        </w:rPr>
        <w:t>s</w:t>
      </w:r>
      <w:r w:rsidR="009B72B1" w:rsidRPr="009B72B1">
        <w:rPr>
          <w:lang w:eastAsia="en-AU"/>
        </w:rPr>
        <w:t xml:space="preserve"> </w:t>
      </w:r>
      <w:r w:rsidR="00203CB9">
        <w:rPr>
          <w:lang w:eastAsia="en-AU"/>
        </w:rPr>
        <w:t>(</w:t>
      </w:r>
      <w:r w:rsidR="004214C8">
        <w:rPr>
          <w:lang w:eastAsia="en-AU"/>
        </w:rPr>
        <w:t>IRRs</w:t>
      </w:r>
      <w:r w:rsidR="00203CB9">
        <w:rPr>
          <w:lang w:eastAsia="en-AU"/>
        </w:rPr>
        <w:t>)</w:t>
      </w:r>
      <w:r w:rsidR="004214C8">
        <w:rPr>
          <w:lang w:eastAsia="en-AU"/>
        </w:rPr>
        <w:t xml:space="preserve"> was higher in the ublituximab group as expected with the infusion of an anti-CD20 monoclonal antibody compared to the </w:t>
      </w:r>
      <w:r w:rsidR="006D2303">
        <w:rPr>
          <w:lang w:eastAsia="en-AU"/>
        </w:rPr>
        <w:t>teri</w:t>
      </w:r>
      <w:r w:rsidR="006D2303">
        <w:rPr>
          <w:rFonts w:cs="Cambria"/>
          <w:lang w:eastAsia="en-AU"/>
        </w:rPr>
        <w:t>f</w:t>
      </w:r>
      <w:r w:rsidR="006D2303">
        <w:rPr>
          <w:lang w:eastAsia="en-AU"/>
        </w:rPr>
        <w:t>lunomide</w:t>
      </w:r>
      <w:r w:rsidR="004214C8">
        <w:rPr>
          <w:lang w:eastAsia="en-AU"/>
        </w:rPr>
        <w:t xml:space="preserve"> group (47.7% versus 12.2%). The most common Investigator-reported IRRs by PT (≥5% of subjects in any group) were pyrexia (ublituximab: 9.5%; </w:t>
      </w:r>
      <w:r w:rsidR="006D2303">
        <w:rPr>
          <w:lang w:eastAsia="en-AU"/>
        </w:rPr>
        <w:t>teri</w:t>
      </w:r>
      <w:r w:rsidR="006D2303">
        <w:rPr>
          <w:rFonts w:cs="Cambria"/>
          <w:lang w:eastAsia="en-AU"/>
        </w:rPr>
        <w:t>f</w:t>
      </w:r>
      <w:r w:rsidR="006D2303">
        <w:rPr>
          <w:lang w:eastAsia="en-AU"/>
        </w:rPr>
        <w:t>lunomide</w:t>
      </w:r>
      <w:r w:rsidR="004214C8">
        <w:rPr>
          <w:lang w:eastAsia="en-AU"/>
        </w:rPr>
        <w:t xml:space="preserve">: 0.7%), chills (ublituximab: 7.9%; </w:t>
      </w:r>
      <w:r w:rsidR="006D2303">
        <w:rPr>
          <w:lang w:eastAsia="en-AU"/>
        </w:rPr>
        <w:t>teri</w:t>
      </w:r>
      <w:r w:rsidR="006D2303">
        <w:rPr>
          <w:rFonts w:cs="Cambria"/>
          <w:lang w:eastAsia="en-AU"/>
        </w:rPr>
        <w:t>f</w:t>
      </w:r>
      <w:r w:rsidR="006D2303">
        <w:rPr>
          <w:lang w:eastAsia="en-AU"/>
        </w:rPr>
        <w:t>lunomide</w:t>
      </w:r>
      <w:r w:rsidR="004214C8">
        <w:rPr>
          <w:lang w:eastAsia="en-AU"/>
        </w:rPr>
        <w:t>:</w:t>
      </w:r>
      <w:r>
        <w:rPr>
          <w:lang w:eastAsia="en-AU"/>
        </w:rPr>
        <w:t xml:space="preserve"> </w:t>
      </w:r>
      <w:r w:rsidR="004214C8">
        <w:rPr>
          <w:lang w:eastAsia="en-AU"/>
        </w:rPr>
        <w:t xml:space="preserve">0.5%), headache  (ublituximab:  7.5%; </w:t>
      </w:r>
      <w:r w:rsidR="006D2303">
        <w:rPr>
          <w:lang w:eastAsia="en-AU"/>
        </w:rPr>
        <w:t>teri</w:t>
      </w:r>
      <w:r w:rsidR="006D2303">
        <w:rPr>
          <w:rFonts w:cs="Cambria"/>
          <w:lang w:eastAsia="en-AU"/>
        </w:rPr>
        <w:t>f</w:t>
      </w:r>
      <w:r w:rsidR="006D2303">
        <w:rPr>
          <w:lang w:eastAsia="en-AU"/>
        </w:rPr>
        <w:t>lunomide</w:t>
      </w:r>
      <w:r w:rsidR="004214C8">
        <w:rPr>
          <w:lang w:eastAsia="en-AU"/>
        </w:rPr>
        <w:t>: 2.2%), in</w:t>
      </w:r>
      <w:r w:rsidR="006D2303">
        <w:rPr>
          <w:rFonts w:cs="Cambria"/>
          <w:lang w:eastAsia="en-AU"/>
        </w:rPr>
        <w:t>f</w:t>
      </w:r>
      <w:r w:rsidR="004214C8">
        <w:rPr>
          <w:lang w:eastAsia="en-AU"/>
        </w:rPr>
        <w:t>luenza-like  illness</w:t>
      </w:r>
      <w:r>
        <w:rPr>
          <w:lang w:eastAsia="en-AU"/>
        </w:rPr>
        <w:t xml:space="preserve"> </w:t>
      </w:r>
      <w:r w:rsidR="004214C8">
        <w:rPr>
          <w:lang w:eastAsia="en-AU"/>
        </w:rPr>
        <w:t xml:space="preserve">(ublituximab: 5.9%; </w:t>
      </w:r>
      <w:r w:rsidR="006D2303">
        <w:rPr>
          <w:lang w:eastAsia="en-AU"/>
        </w:rPr>
        <w:t>teri</w:t>
      </w:r>
      <w:r w:rsidR="006D2303">
        <w:rPr>
          <w:rFonts w:cs="Cambria"/>
          <w:lang w:eastAsia="en-AU"/>
        </w:rPr>
        <w:t>f</w:t>
      </w:r>
      <w:r w:rsidR="006D2303">
        <w:rPr>
          <w:lang w:eastAsia="en-AU"/>
        </w:rPr>
        <w:t>lunomide</w:t>
      </w:r>
      <w:r w:rsidR="004214C8">
        <w:rPr>
          <w:lang w:eastAsia="en-AU"/>
        </w:rPr>
        <w:t xml:space="preserve">: 0.9%), and IRR (ublituximab: 5.0%; </w:t>
      </w:r>
      <w:r w:rsidR="006D2303">
        <w:rPr>
          <w:lang w:eastAsia="en-AU"/>
        </w:rPr>
        <w:t>teri</w:t>
      </w:r>
      <w:r w:rsidR="006D2303">
        <w:rPr>
          <w:rFonts w:cs="Cambria"/>
          <w:lang w:eastAsia="en-AU"/>
        </w:rPr>
        <w:t>f</w:t>
      </w:r>
      <w:r w:rsidR="006D2303">
        <w:rPr>
          <w:lang w:eastAsia="en-AU"/>
        </w:rPr>
        <w:t>lunomide</w:t>
      </w:r>
      <w:r w:rsidR="004214C8">
        <w:rPr>
          <w:lang w:eastAsia="en-AU"/>
        </w:rPr>
        <w:t xml:space="preserve">: 0.5%). Investigator-reported IRRs of Grade ≥3 occurred in 15 subjects (2.8%) in the ublituximab group and 1 subject (0.2%) in the </w:t>
      </w:r>
      <w:r w:rsidR="006D2303">
        <w:rPr>
          <w:lang w:eastAsia="en-AU"/>
        </w:rPr>
        <w:t>teri</w:t>
      </w:r>
      <w:r w:rsidR="006D2303">
        <w:rPr>
          <w:rFonts w:cs="Cambria"/>
          <w:lang w:eastAsia="en-AU"/>
        </w:rPr>
        <w:t>f</w:t>
      </w:r>
      <w:r w:rsidR="006D2303">
        <w:rPr>
          <w:lang w:eastAsia="en-AU"/>
        </w:rPr>
        <w:t>lunomide</w:t>
      </w:r>
      <w:r w:rsidR="004214C8">
        <w:rPr>
          <w:lang w:eastAsia="en-AU"/>
        </w:rPr>
        <w:t xml:space="preserve"> group. Lymphocyte count decreased (1.7%) was the most common Investigator-reported IRR of Grade ≥3 in the ublituximab group. The majority of the</w:t>
      </w:r>
    </w:p>
    <w:p w14:paraId="52644C42" w14:textId="77777777" w:rsidR="004214C8" w:rsidRDefault="004214C8" w:rsidP="00954CE9">
      <w:pPr>
        <w:rPr>
          <w:lang w:eastAsia="en-AU"/>
        </w:rPr>
      </w:pPr>
      <w:r>
        <w:rPr>
          <w:lang w:eastAsia="en-AU"/>
        </w:rPr>
        <w:t>Investigator-reported IRRs started within 24 hours of infusion.</w:t>
      </w:r>
    </w:p>
    <w:p w14:paraId="6CCE5FBC" w14:textId="77777777" w:rsidR="004214C8" w:rsidRDefault="004214C8" w:rsidP="003408B5">
      <w:pPr>
        <w:pStyle w:val="Heading5"/>
        <w:rPr>
          <w:lang w:eastAsia="en-AU"/>
        </w:rPr>
      </w:pPr>
      <w:r>
        <w:rPr>
          <w:lang w:eastAsia="en-AU"/>
        </w:rPr>
        <w:t>Cytopenias / Lymphopenia</w:t>
      </w:r>
    </w:p>
    <w:p w14:paraId="443B8E62" w14:textId="71D0D9CF" w:rsidR="004214C8" w:rsidRDefault="004214C8" w:rsidP="00954CE9">
      <w:pPr>
        <w:rPr>
          <w:lang w:eastAsia="en-AU"/>
        </w:rPr>
      </w:pPr>
      <w:r>
        <w:rPr>
          <w:lang w:eastAsia="en-AU"/>
        </w:rPr>
        <w:t xml:space="preserve">In the pooled analysis of the pivotal Phase III studies, cytopenias as </w:t>
      </w:r>
      <w:r w:rsidR="00203CB9">
        <w:rPr>
          <w:lang w:eastAsia="en-AU"/>
        </w:rPr>
        <w:t>adverse events of special interest (</w:t>
      </w:r>
      <w:r>
        <w:rPr>
          <w:lang w:eastAsia="en-AU"/>
        </w:rPr>
        <w:t>AESIs</w:t>
      </w:r>
      <w:r w:rsidR="00203CB9">
        <w:rPr>
          <w:lang w:eastAsia="en-AU"/>
        </w:rPr>
        <w:t>)</w:t>
      </w:r>
      <w:r>
        <w:rPr>
          <w:lang w:eastAsia="en-AU"/>
        </w:rPr>
        <w:t xml:space="preserve"> were reported in 25.7% of subjects in the ublituximab group and were of Grade ≥3 in 12.1% of subjects. In the concatenated Phase III studies, the percentage of subjects with cytopenias as AESIs was </w:t>
      </w:r>
      <w:proofErr w:type="gramStart"/>
      <w:r>
        <w:rPr>
          <w:lang w:eastAsia="en-AU"/>
        </w:rPr>
        <w:t>similar to</w:t>
      </w:r>
      <w:proofErr w:type="gramEnd"/>
      <w:r>
        <w:rPr>
          <w:lang w:eastAsia="en-AU"/>
        </w:rPr>
        <w:t xml:space="preserve"> the parent studies (any grade: 26.8% versus 25.7%; Grade ≥3: 12.7% versus 12.1%).</w:t>
      </w:r>
    </w:p>
    <w:p w14:paraId="3BD20C69" w14:textId="77777777" w:rsidR="004214C8" w:rsidRDefault="004214C8" w:rsidP="003408B5">
      <w:pPr>
        <w:pStyle w:val="Heading5"/>
        <w:rPr>
          <w:lang w:eastAsia="en-AU"/>
        </w:rPr>
      </w:pPr>
      <w:r>
        <w:rPr>
          <w:lang w:eastAsia="en-AU"/>
        </w:rPr>
        <w:t>Malignancies</w:t>
      </w:r>
    </w:p>
    <w:p w14:paraId="0432E493" w14:textId="5E7DF82F" w:rsidR="004214C8" w:rsidRDefault="003408B5" w:rsidP="00954CE9">
      <w:pPr>
        <w:rPr>
          <w:lang w:eastAsia="en-AU"/>
        </w:rPr>
      </w:pPr>
      <w:r>
        <w:rPr>
          <w:lang w:eastAsia="en-AU"/>
        </w:rPr>
        <w:t>I</w:t>
      </w:r>
      <w:r w:rsidR="004214C8">
        <w:rPr>
          <w:lang w:eastAsia="en-AU"/>
        </w:rPr>
        <w:t xml:space="preserve">n the pooled analysis of the pivotal Phase III studies, malignancies as AESIs were reported in 2 subjects (0.4%) in the ublituximab group and 1 subject (0.2%) in the </w:t>
      </w:r>
      <w:r w:rsidR="006D2303">
        <w:rPr>
          <w:lang w:eastAsia="en-AU"/>
        </w:rPr>
        <w:t>teri</w:t>
      </w:r>
      <w:r w:rsidR="006D2303">
        <w:rPr>
          <w:rFonts w:cs="Cambria"/>
          <w:lang w:eastAsia="en-AU"/>
        </w:rPr>
        <w:t>f</w:t>
      </w:r>
      <w:r w:rsidR="006D2303">
        <w:rPr>
          <w:lang w:eastAsia="en-AU"/>
        </w:rPr>
        <w:t>lunomide</w:t>
      </w:r>
      <w:r w:rsidR="004214C8">
        <w:rPr>
          <w:lang w:eastAsia="en-AU"/>
        </w:rPr>
        <w:t xml:space="preserve"> group. The TEAEs of endometrial stromal sarcoma and uterine cancer in the ublituximab group were considered SAEs. Neither of the events led to permanent discontinuation of study treatment.</w:t>
      </w:r>
    </w:p>
    <w:p w14:paraId="2F77995F" w14:textId="77777777" w:rsidR="004214C8" w:rsidRDefault="004214C8" w:rsidP="003408B5">
      <w:pPr>
        <w:pStyle w:val="Heading5"/>
        <w:rPr>
          <w:lang w:eastAsia="en-AU"/>
        </w:rPr>
      </w:pPr>
      <w:r>
        <w:rPr>
          <w:lang w:eastAsia="en-AU"/>
        </w:rPr>
        <w:t>Serious infections</w:t>
      </w:r>
    </w:p>
    <w:p w14:paraId="1A438D4F" w14:textId="66DD64AB" w:rsidR="004214C8" w:rsidRDefault="003408B5" w:rsidP="00954CE9">
      <w:pPr>
        <w:rPr>
          <w:lang w:eastAsia="en-AU"/>
        </w:rPr>
      </w:pPr>
      <w:r>
        <w:rPr>
          <w:lang w:eastAsia="en-AU"/>
        </w:rPr>
        <w:t>I</w:t>
      </w:r>
      <w:r w:rsidR="004214C8">
        <w:rPr>
          <w:lang w:eastAsia="en-AU"/>
        </w:rPr>
        <w:t xml:space="preserve">n the pooled analysis of the pivotal Phase III studies, serious infections as AESIs were reported in 5.0% of subjects in the ublituximab group and 2.9% of subjects in the </w:t>
      </w:r>
      <w:r w:rsidR="006D2303">
        <w:rPr>
          <w:lang w:eastAsia="en-AU"/>
        </w:rPr>
        <w:t>teri</w:t>
      </w:r>
      <w:r w:rsidR="006D2303">
        <w:rPr>
          <w:rFonts w:cs="Cambria"/>
          <w:lang w:eastAsia="en-AU"/>
        </w:rPr>
        <w:t>f</w:t>
      </w:r>
      <w:r w:rsidR="006D2303">
        <w:rPr>
          <w:lang w:eastAsia="en-AU"/>
        </w:rPr>
        <w:t>lunomide</w:t>
      </w:r>
      <w:r w:rsidR="004214C8">
        <w:rPr>
          <w:lang w:eastAsia="en-AU"/>
        </w:rPr>
        <w:t xml:space="preserve"> group.</w:t>
      </w:r>
    </w:p>
    <w:p w14:paraId="2C90C13A" w14:textId="3525C0CA" w:rsidR="004214C8" w:rsidRDefault="004214C8" w:rsidP="00954CE9">
      <w:pPr>
        <w:rPr>
          <w:lang w:eastAsia="en-AU"/>
        </w:rPr>
      </w:pPr>
      <w:r>
        <w:rPr>
          <w:lang w:eastAsia="en-AU"/>
        </w:rPr>
        <w:t xml:space="preserve">The most common TEAEs (≥0.5% of subjects in any group) in the serious infections AESI category were pneumonia (ublituximab: 0.9%; </w:t>
      </w:r>
      <w:r w:rsidR="006D2303">
        <w:rPr>
          <w:lang w:eastAsia="en-AU"/>
        </w:rPr>
        <w:t>teri</w:t>
      </w:r>
      <w:r w:rsidR="006D2303">
        <w:rPr>
          <w:rFonts w:cs="Cambria"/>
          <w:lang w:eastAsia="en-AU"/>
        </w:rPr>
        <w:t>f</w:t>
      </w:r>
      <w:r w:rsidR="006D2303">
        <w:rPr>
          <w:lang w:eastAsia="en-AU"/>
        </w:rPr>
        <w:t>lunomide</w:t>
      </w:r>
      <w:r>
        <w:rPr>
          <w:lang w:eastAsia="en-AU"/>
        </w:rPr>
        <w:t>: 0.4%), COVID-19 pneumonia (ublituximab: 0.7</w:t>
      </w:r>
      <w:proofErr w:type="gramStart"/>
      <w:r>
        <w:rPr>
          <w:lang w:eastAsia="en-AU"/>
        </w:rPr>
        <w:t>%;</w:t>
      </w:r>
      <w:r w:rsidR="006D2303">
        <w:rPr>
          <w:lang w:eastAsia="en-AU"/>
        </w:rPr>
        <w:t>teri</w:t>
      </w:r>
      <w:r w:rsidR="006D2303">
        <w:rPr>
          <w:rFonts w:cs="Cambria"/>
          <w:lang w:eastAsia="en-AU"/>
        </w:rPr>
        <w:t>f</w:t>
      </w:r>
      <w:r w:rsidR="006D2303">
        <w:rPr>
          <w:lang w:eastAsia="en-AU"/>
        </w:rPr>
        <w:t>lunomide</w:t>
      </w:r>
      <w:proofErr w:type="gramEnd"/>
      <w:r>
        <w:rPr>
          <w:lang w:eastAsia="en-AU"/>
        </w:rPr>
        <w:t xml:space="preserve">: 0.4%), and acute sinusitis (ublituximab: 0.6%; </w:t>
      </w:r>
      <w:r w:rsidR="006D2303">
        <w:rPr>
          <w:lang w:eastAsia="en-AU"/>
        </w:rPr>
        <w:t>teri</w:t>
      </w:r>
      <w:r w:rsidR="006D2303">
        <w:rPr>
          <w:rFonts w:cs="Cambria"/>
          <w:lang w:eastAsia="en-AU"/>
        </w:rPr>
        <w:t>f</w:t>
      </w:r>
      <w:r w:rsidR="006D2303">
        <w:rPr>
          <w:lang w:eastAsia="en-AU"/>
        </w:rPr>
        <w:t>lunomide</w:t>
      </w:r>
      <w:r>
        <w:rPr>
          <w:lang w:eastAsia="en-AU"/>
        </w:rPr>
        <w:t>: 0).</w:t>
      </w:r>
    </w:p>
    <w:p w14:paraId="4851AA62" w14:textId="3ADB60A4" w:rsidR="004214C8" w:rsidRDefault="004214C8" w:rsidP="003408B5">
      <w:pPr>
        <w:pStyle w:val="Heading5"/>
        <w:rPr>
          <w:lang w:eastAsia="en-AU"/>
        </w:rPr>
      </w:pPr>
      <w:r>
        <w:rPr>
          <w:lang w:eastAsia="en-AU"/>
        </w:rPr>
        <w:t xml:space="preserve">Treatment-emergent </w:t>
      </w:r>
      <w:r w:rsidR="003408B5">
        <w:rPr>
          <w:lang w:eastAsia="en-AU"/>
        </w:rPr>
        <w:t>o</w:t>
      </w:r>
      <w:r>
        <w:rPr>
          <w:lang w:eastAsia="en-AU"/>
        </w:rPr>
        <w:t xml:space="preserve">pportunistic </w:t>
      </w:r>
      <w:r w:rsidR="003408B5">
        <w:rPr>
          <w:lang w:eastAsia="en-AU"/>
        </w:rPr>
        <w:t>i</w:t>
      </w:r>
      <w:r>
        <w:rPr>
          <w:lang w:eastAsia="en-AU"/>
        </w:rPr>
        <w:t>nfections</w:t>
      </w:r>
    </w:p>
    <w:p w14:paraId="0002430E" w14:textId="0E1455DE" w:rsidR="004214C8" w:rsidRDefault="00954CE9" w:rsidP="002E507F">
      <w:pPr>
        <w:rPr>
          <w:lang w:eastAsia="en-AU"/>
        </w:rPr>
      </w:pPr>
      <w:r>
        <w:rPr>
          <w:lang w:eastAsia="en-AU"/>
        </w:rPr>
        <w:t>I</w:t>
      </w:r>
      <w:r w:rsidR="004214C8">
        <w:rPr>
          <w:lang w:eastAsia="en-AU"/>
        </w:rPr>
        <w:t xml:space="preserve">n the pooled analysis of the pivotal Phase III studies, the incidence of potential treatment emergent opportunistic infections was similar in subjects in the ublituximab and </w:t>
      </w:r>
      <w:r w:rsidR="006D2303">
        <w:rPr>
          <w:lang w:eastAsia="en-AU"/>
        </w:rPr>
        <w:t>teri</w:t>
      </w:r>
      <w:r w:rsidR="006D2303">
        <w:rPr>
          <w:rFonts w:cs="Cambria"/>
          <w:lang w:eastAsia="en-AU"/>
        </w:rPr>
        <w:t>f</w:t>
      </w:r>
      <w:r w:rsidR="006D2303">
        <w:rPr>
          <w:lang w:eastAsia="en-AU"/>
        </w:rPr>
        <w:t>lunomide</w:t>
      </w:r>
      <w:r w:rsidR="004214C8">
        <w:rPr>
          <w:lang w:eastAsia="en-AU"/>
        </w:rPr>
        <w:t xml:space="preserve"> groups (11.9% and 10.4%, respectively). The most common TEAEs (≥2% of subjects in any group) were oral herpes (ublituximab: 3.1%; </w:t>
      </w:r>
      <w:r w:rsidR="006D2303">
        <w:rPr>
          <w:lang w:eastAsia="en-AU"/>
        </w:rPr>
        <w:t>teri</w:t>
      </w:r>
      <w:r w:rsidR="006D2303">
        <w:rPr>
          <w:rFonts w:cs="Cambria"/>
          <w:lang w:eastAsia="en-AU"/>
        </w:rPr>
        <w:t>f</w:t>
      </w:r>
      <w:r w:rsidR="006D2303">
        <w:rPr>
          <w:lang w:eastAsia="en-AU"/>
        </w:rPr>
        <w:t>lunomide</w:t>
      </w:r>
      <w:r w:rsidR="004214C8">
        <w:rPr>
          <w:lang w:eastAsia="en-AU"/>
        </w:rPr>
        <w:t>: 3.3%) and in</w:t>
      </w:r>
      <w:r w:rsidR="006D2303">
        <w:rPr>
          <w:rFonts w:cs="Cambria"/>
          <w:lang w:eastAsia="en-AU"/>
        </w:rPr>
        <w:t>f</w:t>
      </w:r>
      <w:r w:rsidR="004214C8">
        <w:rPr>
          <w:lang w:eastAsia="en-AU"/>
        </w:rPr>
        <w:t xml:space="preserve">luenza (ublituximab: </w:t>
      </w:r>
      <w:r w:rsidR="004214C8">
        <w:rPr>
          <w:lang w:eastAsia="en-AU"/>
        </w:rPr>
        <w:lastRenderedPageBreak/>
        <w:t xml:space="preserve">2.6%; </w:t>
      </w:r>
      <w:r w:rsidR="006D2303">
        <w:rPr>
          <w:lang w:eastAsia="en-AU"/>
        </w:rPr>
        <w:t>teri</w:t>
      </w:r>
      <w:r w:rsidR="006D2303">
        <w:rPr>
          <w:rFonts w:cs="Cambria"/>
          <w:lang w:eastAsia="en-AU"/>
        </w:rPr>
        <w:t>f</w:t>
      </w:r>
      <w:r w:rsidR="006D2303">
        <w:rPr>
          <w:lang w:eastAsia="en-AU"/>
        </w:rPr>
        <w:t>lunomide</w:t>
      </w:r>
      <w:r w:rsidR="004214C8">
        <w:rPr>
          <w:lang w:eastAsia="en-AU"/>
        </w:rPr>
        <w:t xml:space="preserve">: 2.7%). The treatment-emergent opportunistic infections of Grade ≥3 was reported in 2 subjects in the ublituximab group (chronic hepatitis B and meningoencephalitis viral) and 1 subject in the </w:t>
      </w:r>
      <w:r w:rsidR="006D2303">
        <w:rPr>
          <w:lang w:eastAsia="en-AU"/>
        </w:rPr>
        <w:t>teri</w:t>
      </w:r>
      <w:r w:rsidR="006D2303">
        <w:rPr>
          <w:rFonts w:cs="Cambria"/>
          <w:lang w:eastAsia="en-AU"/>
        </w:rPr>
        <w:t>f</w:t>
      </w:r>
      <w:r w:rsidR="006D2303">
        <w:rPr>
          <w:lang w:eastAsia="en-AU"/>
        </w:rPr>
        <w:t>lunomide</w:t>
      </w:r>
      <w:r w:rsidR="004214C8">
        <w:rPr>
          <w:lang w:eastAsia="en-AU"/>
        </w:rPr>
        <w:t xml:space="preserve"> group (septic shock).</w:t>
      </w:r>
    </w:p>
    <w:p w14:paraId="71D30E34" w14:textId="77777777" w:rsidR="004214C8" w:rsidRDefault="004214C8" w:rsidP="003408B5">
      <w:pPr>
        <w:pStyle w:val="Heading5"/>
        <w:rPr>
          <w:lang w:eastAsia="en-AU"/>
        </w:rPr>
      </w:pPr>
      <w:r>
        <w:rPr>
          <w:lang w:eastAsia="en-AU"/>
        </w:rPr>
        <w:t>Deaths</w:t>
      </w:r>
    </w:p>
    <w:p w14:paraId="48D4E1D8" w14:textId="1A3990C4" w:rsidR="004214C8" w:rsidRDefault="002E507F" w:rsidP="00F21092">
      <w:pPr>
        <w:rPr>
          <w:lang w:eastAsia="en-AU"/>
        </w:rPr>
      </w:pPr>
      <w:r>
        <w:rPr>
          <w:lang w:eastAsia="en-AU"/>
        </w:rPr>
        <w:t>I</w:t>
      </w:r>
      <w:r w:rsidR="004214C8">
        <w:rPr>
          <w:lang w:eastAsia="en-AU"/>
        </w:rPr>
        <w:t xml:space="preserve">n the pooled analysis of the pivotal Phase III studies, deaths were reported in 3 subjects (0.6%) in the ublituximab group (encephalitis, pneumonia, and salpingitis). There </w:t>
      </w:r>
      <w:proofErr w:type="gramStart"/>
      <w:r w:rsidR="004214C8">
        <w:rPr>
          <w:lang w:eastAsia="en-AU"/>
        </w:rPr>
        <w:t>were</w:t>
      </w:r>
      <w:proofErr w:type="gramEnd"/>
      <w:r w:rsidR="004214C8">
        <w:rPr>
          <w:lang w:eastAsia="en-AU"/>
        </w:rPr>
        <w:t xml:space="preserve"> no death in the </w:t>
      </w:r>
      <w:r w:rsidR="006D2303">
        <w:rPr>
          <w:lang w:eastAsia="en-AU"/>
        </w:rPr>
        <w:t>teri</w:t>
      </w:r>
      <w:r w:rsidR="006D2303">
        <w:rPr>
          <w:rFonts w:cs="Cambria"/>
          <w:lang w:eastAsia="en-AU"/>
        </w:rPr>
        <w:t>f</w:t>
      </w:r>
      <w:r w:rsidR="006D2303">
        <w:rPr>
          <w:lang w:eastAsia="en-AU"/>
        </w:rPr>
        <w:t>lunomide</w:t>
      </w:r>
      <w:r w:rsidR="004214C8">
        <w:rPr>
          <w:lang w:eastAsia="en-AU"/>
        </w:rPr>
        <w:t xml:space="preserve"> group. The event of pneumonia was considered possibly related to ublituximab. The other two events were considered not related to ublituximab.</w:t>
      </w:r>
    </w:p>
    <w:p w14:paraId="29E8F3F6" w14:textId="77777777" w:rsidR="004214C8" w:rsidRDefault="004214C8" w:rsidP="00F9453B">
      <w:pPr>
        <w:pStyle w:val="Heading5"/>
        <w:rPr>
          <w:lang w:eastAsia="en-AU"/>
        </w:rPr>
      </w:pPr>
      <w:r>
        <w:rPr>
          <w:lang w:eastAsia="en-AU"/>
        </w:rPr>
        <w:t>Immunological events</w:t>
      </w:r>
    </w:p>
    <w:p w14:paraId="5448388D" w14:textId="69E7A02E" w:rsidR="004214C8" w:rsidRDefault="004214C8" w:rsidP="00F21092">
      <w:pPr>
        <w:rPr>
          <w:lang w:eastAsia="en-AU"/>
        </w:rPr>
      </w:pPr>
      <w:r>
        <w:rPr>
          <w:lang w:eastAsia="en-AU"/>
        </w:rPr>
        <w:t>Immunological events were evaluated through the assessment of ADA and characterization of ADA positive clinical samples for potential neutralizing activity. incidence of TE-ADA in</w:t>
      </w:r>
      <w:r w:rsidR="00F9453B">
        <w:rPr>
          <w:lang w:eastAsia="en-AU"/>
        </w:rPr>
        <w:t xml:space="preserve"> </w:t>
      </w:r>
      <w:r>
        <w:rPr>
          <w:lang w:eastAsia="en-AU"/>
        </w:rPr>
        <w:t>Study TG1101-RMS201 was 52.5% (21/40) but only 1 was Nab positive. The incidence of TE-ADA in Studies TG1101-RMS301 and TG1101-RMS302 was 78.0% and 84.4% in each study,</w:t>
      </w:r>
      <w:r w:rsidR="00F9453B">
        <w:rPr>
          <w:lang w:eastAsia="en-AU"/>
        </w:rPr>
        <w:t xml:space="preserve"> </w:t>
      </w:r>
      <w:r>
        <w:rPr>
          <w:lang w:eastAsia="en-AU"/>
        </w:rPr>
        <w:t>respectively, and was 81.3% (434/534) with only 34 subjects being NAb positive. in the pooled data from both studies.</w:t>
      </w:r>
    </w:p>
    <w:p w14:paraId="71AE5ED3" w14:textId="77777777" w:rsidR="004214C8" w:rsidRDefault="004214C8" w:rsidP="00F9453B">
      <w:pPr>
        <w:pStyle w:val="Heading5"/>
        <w:rPr>
          <w:lang w:eastAsia="en-AU"/>
        </w:rPr>
      </w:pPr>
      <w:r>
        <w:rPr>
          <w:lang w:eastAsia="en-AU"/>
        </w:rPr>
        <w:t>Discontinuation due to adverse events</w:t>
      </w:r>
    </w:p>
    <w:p w14:paraId="79F8DA1E" w14:textId="3D67AB10" w:rsidR="004214C8" w:rsidRDefault="004214C8" w:rsidP="00F21092">
      <w:pPr>
        <w:rPr>
          <w:lang w:eastAsia="en-AU"/>
        </w:rPr>
      </w:pPr>
      <w:r>
        <w:rPr>
          <w:lang w:eastAsia="en-AU"/>
        </w:rPr>
        <w:t xml:space="preserve">In the pooled analysis of the pivotal Phase III studies, the incidence of TEAEs leading to study treatment discontinuation was higher in the ublituximab group compared to the </w:t>
      </w:r>
      <w:r w:rsidR="006D2303">
        <w:rPr>
          <w:lang w:eastAsia="en-AU"/>
        </w:rPr>
        <w:t>teri</w:t>
      </w:r>
      <w:r w:rsidR="006D2303">
        <w:rPr>
          <w:rFonts w:cs="Cambria"/>
          <w:lang w:eastAsia="en-AU"/>
        </w:rPr>
        <w:t>f</w:t>
      </w:r>
      <w:r w:rsidR="006D2303">
        <w:rPr>
          <w:lang w:eastAsia="en-AU"/>
        </w:rPr>
        <w:t>lunomide</w:t>
      </w:r>
      <w:r>
        <w:rPr>
          <w:lang w:eastAsia="en-AU"/>
        </w:rPr>
        <w:t xml:space="preserve"> group (4.2% versus 0.7%). The </w:t>
      </w:r>
      <w:r w:rsidR="00816C5D">
        <w:rPr>
          <w:lang w:eastAsia="en-AU"/>
        </w:rPr>
        <w:t>adverse drug reactions</w:t>
      </w:r>
      <w:r>
        <w:rPr>
          <w:lang w:eastAsia="en-AU"/>
        </w:rPr>
        <w:t xml:space="preserve"> leading to discontinuation in the ublituximab group were anaphylactic reaction, hypersensitivity, IRR, myalgia and </w:t>
      </w:r>
      <w:r w:rsidR="006D2303">
        <w:rPr>
          <w:lang w:eastAsia="en-AU"/>
        </w:rPr>
        <w:t>tracheobronchitis</w:t>
      </w:r>
      <w:r>
        <w:rPr>
          <w:lang w:eastAsia="en-AU"/>
        </w:rPr>
        <w:t xml:space="preserve"> (1 subject each). Anaphylactic reaction was the only Grade ≥3 </w:t>
      </w:r>
      <w:r w:rsidR="00816C5D" w:rsidRPr="00816C5D">
        <w:rPr>
          <w:lang w:eastAsia="en-AU"/>
        </w:rPr>
        <w:t>adverse drug reaction</w:t>
      </w:r>
      <w:r w:rsidR="00816C5D">
        <w:rPr>
          <w:lang w:eastAsia="en-AU"/>
        </w:rPr>
        <w:t xml:space="preserve"> </w:t>
      </w:r>
      <w:r>
        <w:rPr>
          <w:lang w:eastAsia="en-AU"/>
        </w:rPr>
        <w:t>that led to discontinuation of study treatment.</w:t>
      </w:r>
    </w:p>
    <w:p w14:paraId="2858B006" w14:textId="284E53D3" w:rsidR="00C22214" w:rsidRDefault="00C22214" w:rsidP="00C22214">
      <w:pPr>
        <w:pStyle w:val="Heading3"/>
        <w:rPr>
          <w:lang w:eastAsia="en-AU"/>
        </w:rPr>
      </w:pPr>
      <w:bookmarkStart w:id="51" w:name="_Toc225502001"/>
      <w:r>
        <w:rPr>
          <w:lang w:eastAsia="en-AU"/>
        </w:rPr>
        <w:t>Risk management plan</w:t>
      </w:r>
      <w:bookmarkEnd w:id="48"/>
      <w:bookmarkEnd w:id="49"/>
      <w:bookmarkEnd w:id="51"/>
    </w:p>
    <w:p w14:paraId="321C961B" w14:textId="639E853D" w:rsidR="00950BEC" w:rsidRPr="00950BEC" w:rsidRDefault="00950BEC" w:rsidP="00950BEC">
      <w:pPr>
        <w:rPr>
          <w:lang w:eastAsia="en-AU"/>
        </w:rPr>
      </w:pPr>
      <w:r>
        <w:rPr>
          <w:lang w:eastAsia="en-AU"/>
        </w:rPr>
        <w:t xml:space="preserve">Accelagen Pty Ltd has submitted EU-RMP version 1.2 (dated 20 November 2023; </w:t>
      </w:r>
      <w:r w:rsidR="00EA4A6D" w:rsidRPr="00EA4A6D">
        <w:rPr>
          <w:lang w:eastAsia="en-AU"/>
        </w:rPr>
        <w:t xml:space="preserve">Data lock point </w:t>
      </w:r>
      <w:r>
        <w:rPr>
          <w:lang w:eastAsia="en-AU"/>
        </w:rPr>
        <w:t xml:space="preserve">10 October 2023) and </w:t>
      </w:r>
      <w:r w:rsidR="00747271" w:rsidRPr="00747271">
        <w:rPr>
          <w:lang w:eastAsia="en-AU"/>
        </w:rPr>
        <w:t xml:space="preserve">Australia specific annex </w:t>
      </w:r>
      <w:r>
        <w:rPr>
          <w:lang w:eastAsia="en-AU"/>
        </w:rPr>
        <w:t>version 0.1 (dated 6 June 2024) in support of this application.</w:t>
      </w:r>
      <w:r w:rsidR="00747271">
        <w:rPr>
          <w:lang w:eastAsia="en-AU"/>
        </w:rPr>
        <w:t xml:space="preserve"> </w:t>
      </w:r>
      <w:r>
        <w:rPr>
          <w:lang w:eastAsia="en-AU"/>
        </w:rPr>
        <w:t>The proposed summary of safety concerns and their associated risk monitoring and mitigation strategies are summarised below:</w:t>
      </w:r>
    </w:p>
    <w:p w14:paraId="56B51A93" w14:textId="243CEA42" w:rsidR="006A277A" w:rsidRDefault="00C22214" w:rsidP="00C22214">
      <w:pPr>
        <w:pStyle w:val="TableTitle"/>
      </w:pPr>
      <w:bookmarkStart w:id="52" w:name="_Ref97629131"/>
      <w:bookmarkStart w:id="53" w:name="_Toc247691531"/>
      <w:bookmarkStart w:id="54" w:name="_Toc314842515"/>
      <w:r>
        <w:t xml:space="preserve">Table </w:t>
      </w:r>
      <w:bookmarkEnd w:id="52"/>
      <w:r w:rsidR="00DF57A6">
        <w:t>19</w:t>
      </w:r>
      <w:r>
        <w:t>: Summary of safety concerns</w:t>
      </w:r>
    </w:p>
    <w:tbl>
      <w:tblPr>
        <w:tblStyle w:val="TableGrid"/>
        <w:tblW w:w="8926" w:type="dxa"/>
        <w:jc w:val="cente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ayout w:type="fixed"/>
        <w:tblCellMar>
          <w:left w:w="85" w:type="dxa"/>
          <w:right w:w="85" w:type="dxa"/>
        </w:tblCellMar>
        <w:tblLook w:val="04A0" w:firstRow="1" w:lastRow="0" w:firstColumn="1" w:lastColumn="0" w:noHBand="0" w:noVBand="1"/>
        <w:tblDescription w:val="Table 19: Summary of safety concerns"/>
      </w:tblPr>
      <w:tblGrid>
        <w:gridCol w:w="1413"/>
        <w:gridCol w:w="2693"/>
        <w:gridCol w:w="6"/>
        <w:gridCol w:w="1270"/>
        <w:gridCol w:w="6"/>
        <w:gridCol w:w="1270"/>
        <w:gridCol w:w="6"/>
        <w:gridCol w:w="986"/>
        <w:gridCol w:w="1276"/>
      </w:tblGrid>
      <w:tr w:rsidR="00005EE8" w:rsidRPr="00747271" w14:paraId="683CC5C7" w14:textId="77777777" w:rsidTr="00D83D85">
        <w:trPr>
          <w:trHeight w:val="131"/>
          <w:tblHeader/>
          <w:jc w:val="center"/>
        </w:trPr>
        <w:tc>
          <w:tcPr>
            <w:tcW w:w="4112" w:type="dxa"/>
            <w:gridSpan w:val="3"/>
            <w:vMerge w:val="restart"/>
            <w:shd w:val="clear" w:color="auto" w:fill="DEEAF6"/>
          </w:tcPr>
          <w:p w14:paraId="034DC443" w14:textId="77777777" w:rsidR="00005EE8" w:rsidRPr="00747271" w:rsidRDefault="00005EE8" w:rsidP="001C75A0">
            <w:pPr>
              <w:pStyle w:val="Tabletext0"/>
              <w:rPr>
                <w:b/>
                <w:color w:val="263287"/>
                <w:kern w:val="0"/>
                <w:sz w:val="22"/>
                <w:szCs w:val="22"/>
              </w:rPr>
            </w:pPr>
            <w:r w:rsidRPr="00747271">
              <w:rPr>
                <w:b/>
                <w:color w:val="263287"/>
                <w:kern w:val="0"/>
                <w:sz w:val="22"/>
                <w:szCs w:val="22"/>
              </w:rPr>
              <w:t>Summary of safety concerns</w:t>
            </w:r>
          </w:p>
        </w:tc>
        <w:tc>
          <w:tcPr>
            <w:tcW w:w="2552" w:type="dxa"/>
            <w:gridSpan w:val="4"/>
            <w:shd w:val="clear" w:color="auto" w:fill="DEEAF6"/>
          </w:tcPr>
          <w:p w14:paraId="596F0106" w14:textId="77777777" w:rsidR="00005EE8" w:rsidRPr="00747271" w:rsidRDefault="00005EE8" w:rsidP="001C75A0">
            <w:pPr>
              <w:pStyle w:val="Tabletext0"/>
              <w:rPr>
                <w:b/>
                <w:color w:val="263287"/>
                <w:kern w:val="0"/>
                <w:sz w:val="22"/>
                <w:szCs w:val="22"/>
              </w:rPr>
            </w:pPr>
            <w:r w:rsidRPr="00747271">
              <w:rPr>
                <w:b/>
                <w:color w:val="263287"/>
                <w:kern w:val="0"/>
                <w:sz w:val="22"/>
                <w:szCs w:val="22"/>
              </w:rPr>
              <w:t>Pharmacovigilance</w:t>
            </w:r>
          </w:p>
        </w:tc>
        <w:tc>
          <w:tcPr>
            <w:tcW w:w="2262" w:type="dxa"/>
            <w:gridSpan w:val="2"/>
            <w:shd w:val="clear" w:color="auto" w:fill="DEEAF6"/>
          </w:tcPr>
          <w:p w14:paraId="1287365A" w14:textId="77777777" w:rsidR="00005EE8" w:rsidRPr="00747271" w:rsidRDefault="00005EE8" w:rsidP="001C75A0">
            <w:pPr>
              <w:pStyle w:val="Tabletext0"/>
              <w:rPr>
                <w:b/>
                <w:color w:val="263287"/>
                <w:kern w:val="0"/>
                <w:sz w:val="22"/>
                <w:szCs w:val="22"/>
              </w:rPr>
            </w:pPr>
            <w:r w:rsidRPr="00747271">
              <w:rPr>
                <w:b/>
                <w:color w:val="263287"/>
                <w:kern w:val="0"/>
                <w:sz w:val="22"/>
                <w:szCs w:val="22"/>
              </w:rPr>
              <w:t>Risk Minimisation</w:t>
            </w:r>
          </w:p>
        </w:tc>
      </w:tr>
      <w:tr w:rsidR="00005EE8" w:rsidRPr="00747271" w14:paraId="1BD0819E" w14:textId="77777777" w:rsidTr="00D83D85">
        <w:trPr>
          <w:trHeight w:val="150"/>
          <w:tblHeader/>
          <w:jc w:val="center"/>
        </w:trPr>
        <w:tc>
          <w:tcPr>
            <w:tcW w:w="4112" w:type="dxa"/>
            <w:gridSpan w:val="3"/>
            <w:vMerge/>
            <w:shd w:val="clear" w:color="auto" w:fill="DEEAF6"/>
          </w:tcPr>
          <w:p w14:paraId="7E7C4E23" w14:textId="77777777" w:rsidR="00005EE8" w:rsidRPr="00747271" w:rsidRDefault="00005EE8" w:rsidP="001C75A0">
            <w:pPr>
              <w:pStyle w:val="Tabletext0"/>
              <w:rPr>
                <w:b/>
                <w:color w:val="263287"/>
                <w:kern w:val="0"/>
                <w:sz w:val="22"/>
                <w:szCs w:val="22"/>
              </w:rPr>
            </w:pPr>
          </w:p>
        </w:tc>
        <w:tc>
          <w:tcPr>
            <w:tcW w:w="1276" w:type="dxa"/>
            <w:gridSpan w:val="2"/>
            <w:shd w:val="clear" w:color="auto" w:fill="DEEAF6"/>
          </w:tcPr>
          <w:p w14:paraId="01CE95AC" w14:textId="77777777" w:rsidR="00005EE8" w:rsidRPr="00747271" w:rsidRDefault="00005EE8" w:rsidP="001C75A0">
            <w:pPr>
              <w:pStyle w:val="Tabletext0"/>
              <w:rPr>
                <w:color w:val="263287"/>
                <w:kern w:val="0"/>
                <w:sz w:val="22"/>
                <w:szCs w:val="22"/>
              </w:rPr>
            </w:pPr>
            <w:r w:rsidRPr="00747271">
              <w:rPr>
                <w:color w:val="263287"/>
                <w:kern w:val="0"/>
                <w:sz w:val="22"/>
                <w:szCs w:val="22"/>
              </w:rPr>
              <w:t>Routine</w:t>
            </w:r>
          </w:p>
        </w:tc>
        <w:tc>
          <w:tcPr>
            <w:tcW w:w="1276" w:type="dxa"/>
            <w:gridSpan w:val="2"/>
            <w:shd w:val="clear" w:color="auto" w:fill="DEEAF6"/>
          </w:tcPr>
          <w:p w14:paraId="6D508BD2" w14:textId="77777777" w:rsidR="00005EE8" w:rsidRPr="00747271" w:rsidRDefault="00005EE8" w:rsidP="001C75A0">
            <w:pPr>
              <w:pStyle w:val="Tabletext0"/>
              <w:rPr>
                <w:color w:val="263287"/>
                <w:kern w:val="0"/>
                <w:sz w:val="22"/>
                <w:szCs w:val="22"/>
              </w:rPr>
            </w:pPr>
            <w:r w:rsidRPr="00747271">
              <w:rPr>
                <w:color w:val="263287"/>
                <w:kern w:val="0"/>
                <w:sz w:val="22"/>
                <w:szCs w:val="22"/>
              </w:rPr>
              <w:t>Additional</w:t>
            </w:r>
          </w:p>
        </w:tc>
        <w:tc>
          <w:tcPr>
            <w:tcW w:w="986" w:type="dxa"/>
            <w:shd w:val="clear" w:color="auto" w:fill="DEEAF6"/>
          </w:tcPr>
          <w:p w14:paraId="4610FB2A" w14:textId="77777777" w:rsidR="00005EE8" w:rsidRPr="00747271" w:rsidRDefault="00005EE8" w:rsidP="001C75A0">
            <w:pPr>
              <w:pStyle w:val="Tabletext0"/>
              <w:rPr>
                <w:color w:val="263287"/>
                <w:kern w:val="0"/>
                <w:sz w:val="22"/>
                <w:szCs w:val="22"/>
              </w:rPr>
            </w:pPr>
            <w:r w:rsidRPr="00747271">
              <w:rPr>
                <w:color w:val="263287"/>
                <w:kern w:val="0"/>
                <w:sz w:val="22"/>
                <w:szCs w:val="22"/>
              </w:rPr>
              <w:t>Routine</w:t>
            </w:r>
          </w:p>
        </w:tc>
        <w:tc>
          <w:tcPr>
            <w:tcW w:w="1276" w:type="dxa"/>
            <w:shd w:val="clear" w:color="auto" w:fill="DEEAF6"/>
          </w:tcPr>
          <w:p w14:paraId="14805F30" w14:textId="77777777" w:rsidR="00005EE8" w:rsidRPr="00747271" w:rsidRDefault="00005EE8" w:rsidP="001C75A0">
            <w:pPr>
              <w:pStyle w:val="Tabletext0"/>
              <w:rPr>
                <w:color w:val="263287"/>
                <w:kern w:val="0"/>
                <w:sz w:val="22"/>
                <w:szCs w:val="22"/>
              </w:rPr>
            </w:pPr>
            <w:r w:rsidRPr="00747271">
              <w:rPr>
                <w:color w:val="263287"/>
                <w:kern w:val="0"/>
                <w:sz w:val="22"/>
                <w:szCs w:val="22"/>
              </w:rPr>
              <w:t>Additional</w:t>
            </w:r>
          </w:p>
        </w:tc>
      </w:tr>
      <w:tr w:rsidR="00005EE8" w:rsidRPr="00747271" w14:paraId="29CA9CF1" w14:textId="77777777" w:rsidTr="00747271">
        <w:trPr>
          <w:trHeight w:val="461"/>
          <w:jc w:val="center"/>
        </w:trPr>
        <w:tc>
          <w:tcPr>
            <w:tcW w:w="1413" w:type="dxa"/>
          </w:tcPr>
          <w:p w14:paraId="29094153" w14:textId="77777777" w:rsidR="00005EE8" w:rsidRPr="00747271" w:rsidRDefault="00005EE8" w:rsidP="001C75A0">
            <w:pPr>
              <w:pStyle w:val="Tabletext0"/>
              <w:rPr>
                <w:b/>
                <w:kern w:val="0"/>
                <w:sz w:val="22"/>
                <w:szCs w:val="22"/>
              </w:rPr>
            </w:pPr>
            <w:r w:rsidRPr="00747271">
              <w:rPr>
                <w:b/>
                <w:kern w:val="0"/>
                <w:sz w:val="22"/>
                <w:szCs w:val="22"/>
              </w:rPr>
              <w:t>Important identified risks</w:t>
            </w:r>
          </w:p>
        </w:tc>
        <w:tc>
          <w:tcPr>
            <w:tcW w:w="2693" w:type="dxa"/>
          </w:tcPr>
          <w:p w14:paraId="631BC619" w14:textId="77777777" w:rsidR="00005EE8" w:rsidRPr="00747271" w:rsidRDefault="00005EE8" w:rsidP="00747271">
            <w:pPr>
              <w:pStyle w:val="Tabletext0"/>
              <w:ind w:right="60"/>
              <w:rPr>
                <w:kern w:val="0"/>
                <w:sz w:val="22"/>
                <w:szCs w:val="22"/>
              </w:rPr>
            </w:pPr>
            <w:r w:rsidRPr="00747271">
              <w:rPr>
                <w:kern w:val="0"/>
                <w:sz w:val="22"/>
                <w:szCs w:val="22"/>
              </w:rPr>
              <w:t>Infusion-related reactions</w:t>
            </w:r>
          </w:p>
        </w:tc>
        <w:tc>
          <w:tcPr>
            <w:tcW w:w="1276" w:type="dxa"/>
            <w:gridSpan w:val="2"/>
            <w:vAlign w:val="center"/>
          </w:tcPr>
          <w:p w14:paraId="3B8B88B8" w14:textId="77777777" w:rsidR="00005EE8" w:rsidRPr="00747271" w:rsidRDefault="00005EE8" w:rsidP="001C75A0">
            <w:pPr>
              <w:pStyle w:val="Tabletext0"/>
              <w:jc w:val="center"/>
              <w:rPr>
                <w:kern w:val="0"/>
                <w:sz w:val="22"/>
                <w:szCs w:val="22"/>
              </w:rPr>
            </w:pPr>
            <w:r w:rsidRPr="00747271">
              <w:rPr>
                <w:rFonts w:eastAsia="Cambria"/>
                <w:kern w:val="0"/>
                <w:sz w:val="22"/>
                <w:szCs w:val="22"/>
              </w:rPr>
              <w:sym w:font="Wingdings" w:char="F0FC"/>
            </w:r>
          </w:p>
          <w:p w14:paraId="7308DA4D" w14:textId="77777777" w:rsidR="00005EE8" w:rsidRPr="00747271" w:rsidRDefault="00005EE8" w:rsidP="001C75A0">
            <w:pPr>
              <w:pStyle w:val="Tabletext0"/>
              <w:jc w:val="center"/>
              <w:rPr>
                <w:color w:val="00B050"/>
                <w:kern w:val="0"/>
                <w:sz w:val="22"/>
                <w:szCs w:val="22"/>
              </w:rPr>
            </w:pPr>
          </w:p>
          <w:p w14:paraId="35ABA58C" w14:textId="77777777" w:rsidR="00005EE8" w:rsidRPr="00747271" w:rsidRDefault="00005EE8" w:rsidP="001C75A0">
            <w:pPr>
              <w:pStyle w:val="Tabletext0"/>
              <w:jc w:val="center"/>
              <w:rPr>
                <w:color w:val="00B050"/>
                <w:kern w:val="0"/>
                <w:sz w:val="22"/>
                <w:szCs w:val="22"/>
              </w:rPr>
            </w:pPr>
          </w:p>
        </w:tc>
        <w:tc>
          <w:tcPr>
            <w:tcW w:w="1276" w:type="dxa"/>
            <w:gridSpan w:val="2"/>
            <w:vAlign w:val="center"/>
          </w:tcPr>
          <w:p w14:paraId="14FAC327" w14:textId="77777777" w:rsidR="00005EE8" w:rsidRPr="00747271" w:rsidRDefault="00005EE8" w:rsidP="001C75A0">
            <w:pPr>
              <w:pStyle w:val="Tabletext0"/>
              <w:jc w:val="center"/>
              <w:rPr>
                <w:kern w:val="0"/>
                <w:sz w:val="22"/>
                <w:szCs w:val="22"/>
              </w:rPr>
            </w:pPr>
            <w:r w:rsidRPr="00747271">
              <w:rPr>
                <w:kern w:val="0"/>
                <w:sz w:val="22"/>
                <w:szCs w:val="22"/>
              </w:rPr>
              <w:t>None</w:t>
            </w:r>
          </w:p>
          <w:p w14:paraId="731D7A18" w14:textId="77777777" w:rsidR="00005EE8" w:rsidRPr="00747271" w:rsidRDefault="00005EE8" w:rsidP="001C75A0">
            <w:pPr>
              <w:pStyle w:val="Tabletext0"/>
              <w:jc w:val="center"/>
              <w:rPr>
                <w:kern w:val="0"/>
                <w:sz w:val="22"/>
                <w:szCs w:val="22"/>
              </w:rPr>
            </w:pPr>
          </w:p>
          <w:p w14:paraId="4CE1DD22" w14:textId="77777777" w:rsidR="00005EE8" w:rsidRPr="00747271" w:rsidRDefault="00005EE8" w:rsidP="001C75A0">
            <w:pPr>
              <w:pStyle w:val="Tabletext0"/>
              <w:jc w:val="center"/>
              <w:rPr>
                <w:kern w:val="0"/>
                <w:sz w:val="22"/>
                <w:szCs w:val="22"/>
              </w:rPr>
            </w:pPr>
          </w:p>
        </w:tc>
        <w:tc>
          <w:tcPr>
            <w:tcW w:w="992" w:type="dxa"/>
            <w:gridSpan w:val="2"/>
            <w:vAlign w:val="center"/>
          </w:tcPr>
          <w:p w14:paraId="0FED4948" w14:textId="77777777" w:rsidR="00005EE8" w:rsidRPr="00747271" w:rsidRDefault="00005EE8" w:rsidP="001C75A0">
            <w:pPr>
              <w:pStyle w:val="Tabletext0"/>
              <w:jc w:val="center"/>
              <w:rPr>
                <w:kern w:val="0"/>
                <w:sz w:val="22"/>
                <w:szCs w:val="22"/>
              </w:rPr>
            </w:pPr>
            <w:r w:rsidRPr="00747271">
              <w:rPr>
                <w:rFonts w:eastAsia="Cambria"/>
                <w:kern w:val="0"/>
                <w:sz w:val="22"/>
                <w:szCs w:val="22"/>
              </w:rPr>
              <w:sym w:font="Wingdings" w:char="F0FC"/>
            </w:r>
          </w:p>
          <w:p w14:paraId="1D210029" w14:textId="77777777" w:rsidR="00005EE8" w:rsidRPr="00747271" w:rsidRDefault="00005EE8" w:rsidP="001C75A0">
            <w:pPr>
              <w:pStyle w:val="Tabletext0"/>
              <w:jc w:val="center"/>
              <w:rPr>
                <w:kern w:val="0"/>
                <w:sz w:val="22"/>
                <w:szCs w:val="22"/>
              </w:rPr>
            </w:pPr>
          </w:p>
          <w:p w14:paraId="160FF6CB" w14:textId="77777777" w:rsidR="00005EE8" w:rsidRPr="00747271" w:rsidRDefault="00005EE8" w:rsidP="001C75A0">
            <w:pPr>
              <w:pStyle w:val="Tabletext0"/>
              <w:jc w:val="center"/>
              <w:rPr>
                <w:kern w:val="0"/>
                <w:sz w:val="22"/>
                <w:szCs w:val="22"/>
              </w:rPr>
            </w:pPr>
          </w:p>
        </w:tc>
        <w:tc>
          <w:tcPr>
            <w:tcW w:w="1276" w:type="dxa"/>
            <w:vAlign w:val="center"/>
          </w:tcPr>
          <w:p w14:paraId="7D7B91AD" w14:textId="77777777" w:rsidR="00005EE8" w:rsidRPr="00747271" w:rsidRDefault="00005EE8" w:rsidP="001C75A0">
            <w:pPr>
              <w:pStyle w:val="Tabletext0"/>
              <w:jc w:val="center"/>
              <w:rPr>
                <w:kern w:val="0"/>
                <w:sz w:val="22"/>
                <w:szCs w:val="22"/>
              </w:rPr>
            </w:pPr>
            <w:r w:rsidRPr="00747271">
              <w:rPr>
                <w:rFonts w:eastAsia="Cambria"/>
                <w:kern w:val="0"/>
                <w:sz w:val="22"/>
                <w:szCs w:val="22"/>
              </w:rPr>
              <w:t>None</w:t>
            </w:r>
          </w:p>
          <w:p w14:paraId="08908214" w14:textId="77777777" w:rsidR="00005EE8" w:rsidRPr="00747271" w:rsidRDefault="00005EE8" w:rsidP="001C75A0">
            <w:pPr>
              <w:pStyle w:val="Tabletext0"/>
              <w:jc w:val="center"/>
              <w:rPr>
                <w:kern w:val="0"/>
                <w:sz w:val="22"/>
                <w:szCs w:val="22"/>
              </w:rPr>
            </w:pPr>
          </w:p>
          <w:p w14:paraId="2ADADFDB" w14:textId="77777777" w:rsidR="00005EE8" w:rsidRPr="00747271" w:rsidRDefault="00005EE8" w:rsidP="001C75A0">
            <w:pPr>
              <w:pStyle w:val="Tabletext0"/>
              <w:jc w:val="center"/>
              <w:rPr>
                <w:kern w:val="0"/>
                <w:sz w:val="22"/>
                <w:szCs w:val="22"/>
              </w:rPr>
            </w:pPr>
          </w:p>
        </w:tc>
      </w:tr>
      <w:tr w:rsidR="00005EE8" w:rsidRPr="00747271" w14:paraId="08915BAF" w14:textId="77777777" w:rsidTr="00747271">
        <w:trPr>
          <w:trHeight w:val="159"/>
          <w:jc w:val="center"/>
        </w:trPr>
        <w:tc>
          <w:tcPr>
            <w:tcW w:w="1413" w:type="dxa"/>
            <w:vMerge w:val="restart"/>
          </w:tcPr>
          <w:p w14:paraId="5CF38EDC" w14:textId="77777777" w:rsidR="00005EE8" w:rsidRPr="00747271" w:rsidRDefault="00005EE8" w:rsidP="001C75A0">
            <w:pPr>
              <w:pStyle w:val="Tabletext0"/>
              <w:rPr>
                <w:b/>
                <w:kern w:val="0"/>
                <w:sz w:val="22"/>
                <w:szCs w:val="22"/>
              </w:rPr>
            </w:pPr>
            <w:r w:rsidRPr="00747271">
              <w:rPr>
                <w:b/>
                <w:kern w:val="0"/>
                <w:sz w:val="22"/>
                <w:szCs w:val="22"/>
              </w:rPr>
              <w:t>Important potential risks</w:t>
            </w:r>
          </w:p>
        </w:tc>
        <w:tc>
          <w:tcPr>
            <w:tcW w:w="2693" w:type="dxa"/>
          </w:tcPr>
          <w:p w14:paraId="06BC6870" w14:textId="77777777" w:rsidR="00005EE8" w:rsidRPr="00747271" w:rsidRDefault="00005EE8" w:rsidP="001C75A0">
            <w:pPr>
              <w:pStyle w:val="Tabletext0"/>
              <w:rPr>
                <w:sz w:val="22"/>
                <w:szCs w:val="22"/>
              </w:rPr>
            </w:pPr>
            <w:r w:rsidRPr="00747271">
              <w:rPr>
                <w:sz w:val="22"/>
                <w:szCs w:val="22"/>
              </w:rPr>
              <w:t>Serious infections, including opportunistic infections (e.g., PML and</w:t>
            </w:r>
          </w:p>
          <w:p w14:paraId="04FF545A" w14:textId="77777777" w:rsidR="00005EE8" w:rsidRPr="00747271" w:rsidRDefault="00005EE8" w:rsidP="001C75A0">
            <w:pPr>
              <w:pStyle w:val="Tabletext0"/>
              <w:rPr>
                <w:kern w:val="0"/>
                <w:sz w:val="22"/>
                <w:szCs w:val="22"/>
              </w:rPr>
            </w:pPr>
            <w:r w:rsidRPr="00747271">
              <w:rPr>
                <w:kern w:val="0"/>
                <w:sz w:val="22"/>
                <w:szCs w:val="22"/>
              </w:rPr>
              <w:t>HBV reactivation)</w:t>
            </w:r>
          </w:p>
        </w:tc>
        <w:tc>
          <w:tcPr>
            <w:tcW w:w="1276" w:type="dxa"/>
            <w:gridSpan w:val="2"/>
            <w:vAlign w:val="center"/>
          </w:tcPr>
          <w:p w14:paraId="5253B4FF" w14:textId="77777777" w:rsidR="00005EE8" w:rsidRPr="00747271" w:rsidRDefault="00005EE8" w:rsidP="001C75A0">
            <w:pPr>
              <w:pStyle w:val="Tabletext0"/>
              <w:jc w:val="center"/>
              <w:rPr>
                <w:color w:val="00B050"/>
                <w:kern w:val="0"/>
                <w:sz w:val="22"/>
                <w:szCs w:val="22"/>
              </w:rPr>
            </w:pPr>
            <w:r w:rsidRPr="00747271">
              <w:rPr>
                <w:rFonts w:eastAsia="Cambria"/>
                <w:kern w:val="0"/>
                <w:sz w:val="22"/>
                <w:szCs w:val="22"/>
              </w:rPr>
              <w:sym w:font="Wingdings" w:char="F0FC"/>
            </w:r>
            <w:r w:rsidRPr="00747271">
              <w:rPr>
                <w:kern w:val="0"/>
                <w:sz w:val="22"/>
                <w:szCs w:val="22"/>
                <w:vertAlign w:val="superscript"/>
              </w:rPr>
              <w:t>§</w:t>
            </w:r>
          </w:p>
        </w:tc>
        <w:tc>
          <w:tcPr>
            <w:tcW w:w="1276" w:type="dxa"/>
            <w:gridSpan w:val="2"/>
            <w:vAlign w:val="center"/>
          </w:tcPr>
          <w:p w14:paraId="70536C3B" w14:textId="77777777" w:rsidR="00005EE8" w:rsidRPr="00747271" w:rsidRDefault="00005EE8" w:rsidP="001C75A0">
            <w:pPr>
              <w:pStyle w:val="Tabletext0"/>
              <w:jc w:val="center"/>
              <w:rPr>
                <w:color w:val="00B050"/>
                <w:kern w:val="0"/>
                <w:sz w:val="22"/>
                <w:szCs w:val="22"/>
              </w:rPr>
            </w:pPr>
            <w:r w:rsidRPr="00747271">
              <w:rPr>
                <w:rFonts w:eastAsia="Cambria"/>
                <w:kern w:val="0"/>
                <w:sz w:val="22"/>
                <w:szCs w:val="22"/>
              </w:rPr>
              <w:sym w:font="Wingdings" w:char="F0FC"/>
            </w:r>
            <w:r w:rsidRPr="00747271">
              <w:rPr>
                <w:kern w:val="0"/>
                <w:sz w:val="22"/>
                <w:szCs w:val="22"/>
              </w:rPr>
              <w:t>*</w:t>
            </w:r>
          </w:p>
        </w:tc>
        <w:tc>
          <w:tcPr>
            <w:tcW w:w="992" w:type="dxa"/>
            <w:gridSpan w:val="2"/>
            <w:vAlign w:val="center"/>
          </w:tcPr>
          <w:p w14:paraId="4B6C0C38" w14:textId="77777777" w:rsidR="00005EE8" w:rsidRPr="00747271" w:rsidRDefault="00005EE8" w:rsidP="001C75A0">
            <w:pPr>
              <w:pStyle w:val="Tabletext0"/>
              <w:jc w:val="center"/>
              <w:rPr>
                <w:color w:val="00B050"/>
                <w:kern w:val="0"/>
                <w:sz w:val="22"/>
                <w:szCs w:val="22"/>
              </w:rPr>
            </w:pPr>
            <w:r w:rsidRPr="00747271">
              <w:rPr>
                <w:rFonts w:eastAsia="Cambria"/>
                <w:kern w:val="0"/>
                <w:sz w:val="22"/>
                <w:szCs w:val="22"/>
              </w:rPr>
              <w:sym w:font="Wingdings" w:char="F0FC"/>
            </w:r>
          </w:p>
        </w:tc>
        <w:tc>
          <w:tcPr>
            <w:tcW w:w="1276" w:type="dxa"/>
            <w:vAlign w:val="center"/>
          </w:tcPr>
          <w:p w14:paraId="0B1D92B2" w14:textId="77777777" w:rsidR="00005EE8" w:rsidRPr="00747271" w:rsidRDefault="00005EE8" w:rsidP="001C75A0">
            <w:pPr>
              <w:pStyle w:val="Tabletext0"/>
              <w:jc w:val="center"/>
              <w:rPr>
                <w:color w:val="00B050"/>
                <w:kern w:val="0"/>
                <w:sz w:val="22"/>
                <w:szCs w:val="22"/>
              </w:rPr>
            </w:pPr>
            <w:r w:rsidRPr="00747271">
              <w:rPr>
                <w:kern w:val="0"/>
                <w:sz w:val="22"/>
                <w:szCs w:val="22"/>
              </w:rPr>
              <w:t>None</w:t>
            </w:r>
          </w:p>
        </w:tc>
      </w:tr>
      <w:tr w:rsidR="00005EE8" w:rsidRPr="00747271" w14:paraId="1BB1E56B" w14:textId="77777777" w:rsidTr="00747271">
        <w:trPr>
          <w:trHeight w:val="285"/>
          <w:jc w:val="center"/>
        </w:trPr>
        <w:tc>
          <w:tcPr>
            <w:tcW w:w="1413" w:type="dxa"/>
            <w:vMerge/>
          </w:tcPr>
          <w:p w14:paraId="4B76F1B6" w14:textId="77777777" w:rsidR="00005EE8" w:rsidRPr="00747271" w:rsidRDefault="00005EE8" w:rsidP="001C75A0">
            <w:pPr>
              <w:pStyle w:val="Tabletext0"/>
              <w:rPr>
                <w:b/>
                <w:kern w:val="0"/>
                <w:sz w:val="22"/>
                <w:szCs w:val="22"/>
              </w:rPr>
            </w:pPr>
          </w:p>
        </w:tc>
        <w:tc>
          <w:tcPr>
            <w:tcW w:w="2693" w:type="dxa"/>
          </w:tcPr>
          <w:p w14:paraId="2D23A23E" w14:textId="77777777" w:rsidR="00005EE8" w:rsidRPr="00747271" w:rsidRDefault="00005EE8" w:rsidP="001C75A0">
            <w:pPr>
              <w:pStyle w:val="Tabletext0"/>
              <w:rPr>
                <w:kern w:val="0"/>
                <w:sz w:val="22"/>
                <w:szCs w:val="22"/>
              </w:rPr>
            </w:pPr>
            <w:r w:rsidRPr="00747271">
              <w:rPr>
                <w:kern w:val="0"/>
                <w:sz w:val="22"/>
                <w:szCs w:val="22"/>
              </w:rPr>
              <w:t>Malignancy</w:t>
            </w:r>
          </w:p>
        </w:tc>
        <w:tc>
          <w:tcPr>
            <w:tcW w:w="1276" w:type="dxa"/>
            <w:gridSpan w:val="2"/>
            <w:vAlign w:val="center"/>
          </w:tcPr>
          <w:p w14:paraId="4B13F72B" w14:textId="77777777" w:rsidR="00005EE8" w:rsidRPr="00747271" w:rsidRDefault="00005EE8" w:rsidP="001C75A0">
            <w:pPr>
              <w:pStyle w:val="Tabletext0"/>
              <w:jc w:val="center"/>
              <w:rPr>
                <w:kern w:val="0"/>
                <w:sz w:val="22"/>
                <w:szCs w:val="22"/>
              </w:rPr>
            </w:pPr>
            <w:r w:rsidRPr="00747271">
              <w:rPr>
                <w:rFonts w:eastAsia="Cambria"/>
                <w:kern w:val="0"/>
                <w:sz w:val="22"/>
                <w:szCs w:val="22"/>
              </w:rPr>
              <w:sym w:font="Wingdings" w:char="F0FC"/>
            </w:r>
          </w:p>
          <w:p w14:paraId="57FE13DF" w14:textId="77777777" w:rsidR="00005EE8" w:rsidRPr="00747271" w:rsidRDefault="00005EE8" w:rsidP="001C75A0">
            <w:pPr>
              <w:pStyle w:val="Tabletext0"/>
              <w:jc w:val="center"/>
              <w:rPr>
                <w:color w:val="00B050"/>
                <w:kern w:val="0"/>
                <w:sz w:val="22"/>
                <w:szCs w:val="22"/>
              </w:rPr>
            </w:pPr>
          </w:p>
        </w:tc>
        <w:tc>
          <w:tcPr>
            <w:tcW w:w="1276" w:type="dxa"/>
            <w:gridSpan w:val="2"/>
            <w:vAlign w:val="center"/>
          </w:tcPr>
          <w:p w14:paraId="494D3764" w14:textId="77777777" w:rsidR="00005EE8" w:rsidRPr="00747271" w:rsidRDefault="00005EE8" w:rsidP="001C75A0">
            <w:pPr>
              <w:pStyle w:val="Tabletext0"/>
              <w:jc w:val="center"/>
              <w:rPr>
                <w:color w:val="00B050"/>
                <w:kern w:val="0"/>
                <w:sz w:val="22"/>
                <w:szCs w:val="22"/>
              </w:rPr>
            </w:pPr>
            <w:r w:rsidRPr="00747271">
              <w:rPr>
                <w:rFonts w:eastAsia="Cambria"/>
                <w:kern w:val="0"/>
                <w:sz w:val="22"/>
                <w:szCs w:val="22"/>
              </w:rPr>
              <w:sym w:font="Wingdings" w:char="F0FC"/>
            </w:r>
            <w:r w:rsidRPr="00747271">
              <w:rPr>
                <w:kern w:val="0"/>
                <w:sz w:val="22"/>
                <w:szCs w:val="22"/>
              </w:rPr>
              <w:t>*</w:t>
            </w:r>
          </w:p>
        </w:tc>
        <w:tc>
          <w:tcPr>
            <w:tcW w:w="992" w:type="dxa"/>
            <w:gridSpan w:val="2"/>
            <w:vAlign w:val="center"/>
          </w:tcPr>
          <w:p w14:paraId="3252C7F4" w14:textId="77777777" w:rsidR="00005EE8" w:rsidRPr="00747271" w:rsidRDefault="00005EE8" w:rsidP="001C75A0">
            <w:pPr>
              <w:pStyle w:val="Tabletext0"/>
              <w:jc w:val="center"/>
              <w:rPr>
                <w:kern w:val="0"/>
                <w:sz w:val="22"/>
                <w:szCs w:val="22"/>
              </w:rPr>
            </w:pPr>
            <w:r w:rsidRPr="00747271">
              <w:rPr>
                <w:rFonts w:eastAsia="Cambria"/>
                <w:kern w:val="0"/>
                <w:sz w:val="22"/>
                <w:szCs w:val="22"/>
              </w:rPr>
              <w:sym w:font="Wingdings" w:char="F0FC"/>
            </w:r>
          </w:p>
          <w:p w14:paraId="2CCDA034" w14:textId="77777777" w:rsidR="00005EE8" w:rsidRPr="00747271" w:rsidRDefault="00005EE8" w:rsidP="001C75A0">
            <w:pPr>
              <w:pStyle w:val="Tabletext0"/>
              <w:jc w:val="center"/>
              <w:rPr>
                <w:kern w:val="0"/>
                <w:sz w:val="22"/>
                <w:szCs w:val="22"/>
              </w:rPr>
            </w:pPr>
          </w:p>
        </w:tc>
        <w:tc>
          <w:tcPr>
            <w:tcW w:w="1276" w:type="dxa"/>
            <w:vAlign w:val="center"/>
          </w:tcPr>
          <w:p w14:paraId="6787A615" w14:textId="77777777" w:rsidR="00005EE8" w:rsidRPr="00747271" w:rsidRDefault="00005EE8" w:rsidP="001C75A0">
            <w:pPr>
              <w:pStyle w:val="Tabletext0"/>
              <w:jc w:val="center"/>
              <w:rPr>
                <w:kern w:val="0"/>
                <w:sz w:val="22"/>
                <w:szCs w:val="22"/>
              </w:rPr>
            </w:pPr>
            <w:r w:rsidRPr="00747271">
              <w:rPr>
                <w:kern w:val="0"/>
                <w:sz w:val="22"/>
                <w:szCs w:val="22"/>
              </w:rPr>
              <w:t>None</w:t>
            </w:r>
          </w:p>
          <w:p w14:paraId="59FB6080" w14:textId="77777777" w:rsidR="00005EE8" w:rsidRPr="00747271" w:rsidRDefault="00005EE8" w:rsidP="001C75A0">
            <w:pPr>
              <w:pStyle w:val="Tabletext0"/>
              <w:jc w:val="center"/>
              <w:rPr>
                <w:kern w:val="0"/>
                <w:sz w:val="22"/>
                <w:szCs w:val="22"/>
              </w:rPr>
            </w:pPr>
          </w:p>
        </w:tc>
      </w:tr>
      <w:tr w:rsidR="00005EE8" w:rsidRPr="00747271" w14:paraId="3157BD8B" w14:textId="77777777" w:rsidTr="00747271">
        <w:trPr>
          <w:trHeight w:val="178"/>
          <w:jc w:val="center"/>
        </w:trPr>
        <w:tc>
          <w:tcPr>
            <w:tcW w:w="1413" w:type="dxa"/>
            <w:vMerge w:val="restart"/>
          </w:tcPr>
          <w:p w14:paraId="12BB0853" w14:textId="77777777" w:rsidR="00005EE8" w:rsidRPr="00747271" w:rsidRDefault="00005EE8" w:rsidP="001C75A0">
            <w:pPr>
              <w:pStyle w:val="Tabletext0"/>
              <w:rPr>
                <w:b/>
                <w:kern w:val="0"/>
                <w:sz w:val="22"/>
                <w:szCs w:val="22"/>
              </w:rPr>
            </w:pPr>
            <w:r w:rsidRPr="00747271">
              <w:rPr>
                <w:b/>
                <w:kern w:val="0"/>
                <w:sz w:val="22"/>
                <w:szCs w:val="22"/>
              </w:rPr>
              <w:t>Missing information</w:t>
            </w:r>
          </w:p>
        </w:tc>
        <w:tc>
          <w:tcPr>
            <w:tcW w:w="2693" w:type="dxa"/>
          </w:tcPr>
          <w:p w14:paraId="2C3B1273" w14:textId="77777777" w:rsidR="00005EE8" w:rsidRPr="00747271" w:rsidRDefault="00005EE8" w:rsidP="001C75A0">
            <w:pPr>
              <w:pStyle w:val="Tabletext0"/>
              <w:rPr>
                <w:kern w:val="0"/>
                <w:sz w:val="22"/>
                <w:szCs w:val="22"/>
              </w:rPr>
            </w:pPr>
            <w:r w:rsidRPr="00747271">
              <w:rPr>
                <w:kern w:val="0"/>
                <w:sz w:val="22"/>
                <w:szCs w:val="22"/>
              </w:rPr>
              <w:t>Long-term safety of ublituximab treatment</w:t>
            </w:r>
          </w:p>
        </w:tc>
        <w:tc>
          <w:tcPr>
            <w:tcW w:w="1276" w:type="dxa"/>
            <w:gridSpan w:val="2"/>
            <w:vAlign w:val="center"/>
          </w:tcPr>
          <w:p w14:paraId="713F8564" w14:textId="77777777" w:rsidR="00005EE8" w:rsidRPr="00747271" w:rsidRDefault="00005EE8" w:rsidP="001C75A0">
            <w:pPr>
              <w:pStyle w:val="Tabletext0"/>
              <w:jc w:val="center"/>
              <w:rPr>
                <w:color w:val="00B050"/>
                <w:kern w:val="0"/>
                <w:sz w:val="22"/>
                <w:szCs w:val="22"/>
              </w:rPr>
            </w:pPr>
            <w:r w:rsidRPr="00747271">
              <w:rPr>
                <w:rFonts w:eastAsia="Cambria"/>
                <w:kern w:val="0"/>
                <w:sz w:val="22"/>
                <w:szCs w:val="22"/>
              </w:rPr>
              <w:sym w:font="Wingdings" w:char="F0FC"/>
            </w:r>
          </w:p>
        </w:tc>
        <w:tc>
          <w:tcPr>
            <w:tcW w:w="1276" w:type="dxa"/>
            <w:gridSpan w:val="2"/>
            <w:vAlign w:val="center"/>
          </w:tcPr>
          <w:p w14:paraId="2CED2F56" w14:textId="77777777" w:rsidR="00005EE8" w:rsidRPr="00747271" w:rsidRDefault="00005EE8" w:rsidP="001C75A0">
            <w:pPr>
              <w:pStyle w:val="Tabletext0"/>
              <w:jc w:val="center"/>
              <w:rPr>
                <w:kern w:val="0"/>
                <w:sz w:val="22"/>
                <w:szCs w:val="22"/>
              </w:rPr>
            </w:pPr>
            <w:r w:rsidRPr="00747271">
              <w:rPr>
                <w:rFonts w:eastAsia="Cambria"/>
                <w:kern w:val="0"/>
                <w:sz w:val="22"/>
                <w:szCs w:val="22"/>
              </w:rPr>
              <w:sym w:font="Wingdings" w:char="F0FC"/>
            </w:r>
            <w:r w:rsidRPr="00747271">
              <w:rPr>
                <w:kern w:val="0"/>
                <w:sz w:val="22"/>
                <w:szCs w:val="22"/>
              </w:rPr>
              <w:t>*</w:t>
            </w:r>
            <w:r w:rsidRPr="00747271">
              <w:rPr>
                <w:kern w:val="0"/>
                <w:sz w:val="22"/>
                <w:szCs w:val="22"/>
                <w:vertAlign w:val="superscript"/>
              </w:rPr>
              <w:t>‡</w:t>
            </w:r>
          </w:p>
        </w:tc>
        <w:tc>
          <w:tcPr>
            <w:tcW w:w="992" w:type="dxa"/>
            <w:gridSpan w:val="2"/>
            <w:vAlign w:val="center"/>
          </w:tcPr>
          <w:p w14:paraId="223DC033" w14:textId="77777777" w:rsidR="00005EE8" w:rsidRPr="00747271" w:rsidRDefault="00005EE8" w:rsidP="001C75A0">
            <w:pPr>
              <w:pStyle w:val="Tabletext0"/>
              <w:jc w:val="center"/>
              <w:rPr>
                <w:kern w:val="0"/>
                <w:sz w:val="22"/>
                <w:szCs w:val="22"/>
              </w:rPr>
            </w:pPr>
            <w:r w:rsidRPr="00747271">
              <w:rPr>
                <w:rFonts w:eastAsia="Cambria"/>
                <w:kern w:val="0"/>
                <w:sz w:val="22"/>
                <w:szCs w:val="22"/>
              </w:rPr>
              <w:sym w:font="Wingdings" w:char="F0FC"/>
            </w:r>
          </w:p>
        </w:tc>
        <w:tc>
          <w:tcPr>
            <w:tcW w:w="1276" w:type="dxa"/>
            <w:vAlign w:val="center"/>
          </w:tcPr>
          <w:p w14:paraId="360322B8" w14:textId="77777777" w:rsidR="00005EE8" w:rsidRPr="00747271" w:rsidRDefault="00005EE8" w:rsidP="001C75A0">
            <w:pPr>
              <w:pStyle w:val="Tabletext0"/>
              <w:jc w:val="center"/>
              <w:rPr>
                <w:kern w:val="0"/>
                <w:sz w:val="22"/>
                <w:szCs w:val="22"/>
              </w:rPr>
            </w:pPr>
            <w:r w:rsidRPr="00747271">
              <w:rPr>
                <w:kern w:val="0"/>
                <w:sz w:val="22"/>
                <w:szCs w:val="22"/>
              </w:rPr>
              <w:t>None</w:t>
            </w:r>
          </w:p>
        </w:tc>
      </w:tr>
      <w:tr w:rsidR="00005EE8" w:rsidRPr="00747271" w14:paraId="63558826" w14:textId="77777777" w:rsidTr="00747271">
        <w:trPr>
          <w:trHeight w:val="592"/>
          <w:jc w:val="center"/>
        </w:trPr>
        <w:tc>
          <w:tcPr>
            <w:tcW w:w="1413" w:type="dxa"/>
            <w:vMerge/>
          </w:tcPr>
          <w:p w14:paraId="0E0F4907" w14:textId="77777777" w:rsidR="00005EE8" w:rsidRPr="00747271" w:rsidRDefault="00005EE8" w:rsidP="001C75A0">
            <w:pPr>
              <w:pStyle w:val="Tabletext0"/>
              <w:rPr>
                <w:kern w:val="0"/>
                <w:sz w:val="22"/>
                <w:szCs w:val="22"/>
              </w:rPr>
            </w:pPr>
          </w:p>
        </w:tc>
        <w:tc>
          <w:tcPr>
            <w:tcW w:w="2693" w:type="dxa"/>
          </w:tcPr>
          <w:p w14:paraId="7B71489D" w14:textId="77777777" w:rsidR="00005EE8" w:rsidRPr="00747271" w:rsidRDefault="00005EE8" w:rsidP="001C75A0">
            <w:pPr>
              <w:pStyle w:val="Tabletext0"/>
              <w:rPr>
                <w:kern w:val="0"/>
                <w:sz w:val="22"/>
                <w:szCs w:val="22"/>
              </w:rPr>
            </w:pPr>
            <w:r w:rsidRPr="00747271">
              <w:rPr>
                <w:kern w:val="0"/>
                <w:sz w:val="22"/>
                <w:szCs w:val="22"/>
              </w:rPr>
              <w:t>Safety in pregnancy and lactation, including foetal risk</w:t>
            </w:r>
          </w:p>
        </w:tc>
        <w:tc>
          <w:tcPr>
            <w:tcW w:w="1276" w:type="dxa"/>
            <w:gridSpan w:val="2"/>
            <w:vAlign w:val="center"/>
          </w:tcPr>
          <w:p w14:paraId="43FB9C48" w14:textId="77777777" w:rsidR="00005EE8" w:rsidRPr="00747271" w:rsidRDefault="00005EE8" w:rsidP="001C75A0">
            <w:pPr>
              <w:pStyle w:val="Tabletext0"/>
              <w:jc w:val="center"/>
              <w:rPr>
                <w:kern w:val="0"/>
                <w:sz w:val="22"/>
                <w:szCs w:val="22"/>
              </w:rPr>
            </w:pPr>
            <w:r w:rsidRPr="00747271">
              <w:rPr>
                <w:rFonts w:eastAsia="Cambria"/>
                <w:kern w:val="0"/>
                <w:sz w:val="22"/>
                <w:szCs w:val="22"/>
              </w:rPr>
              <w:sym w:font="Wingdings" w:char="F0FC"/>
            </w:r>
          </w:p>
          <w:p w14:paraId="26A749B4" w14:textId="77777777" w:rsidR="00005EE8" w:rsidRPr="00747271" w:rsidRDefault="00005EE8" w:rsidP="001C75A0">
            <w:pPr>
              <w:pStyle w:val="Tabletext0"/>
              <w:jc w:val="center"/>
              <w:rPr>
                <w:kern w:val="0"/>
                <w:sz w:val="22"/>
                <w:szCs w:val="22"/>
              </w:rPr>
            </w:pPr>
          </w:p>
        </w:tc>
        <w:tc>
          <w:tcPr>
            <w:tcW w:w="1276" w:type="dxa"/>
            <w:gridSpan w:val="2"/>
            <w:vAlign w:val="center"/>
          </w:tcPr>
          <w:p w14:paraId="7AC3462B" w14:textId="77777777" w:rsidR="00005EE8" w:rsidRPr="00747271" w:rsidRDefault="00005EE8" w:rsidP="001C75A0">
            <w:pPr>
              <w:pStyle w:val="Tabletext0"/>
              <w:jc w:val="center"/>
              <w:rPr>
                <w:kern w:val="0"/>
                <w:sz w:val="22"/>
                <w:szCs w:val="22"/>
              </w:rPr>
            </w:pPr>
            <w:r w:rsidRPr="00747271">
              <w:rPr>
                <w:rFonts w:eastAsia="Cambria"/>
                <w:kern w:val="0"/>
                <w:sz w:val="22"/>
                <w:szCs w:val="22"/>
              </w:rPr>
              <w:sym w:font="Wingdings" w:char="F0FC"/>
            </w:r>
            <w:r w:rsidRPr="00747271">
              <w:rPr>
                <w:kern w:val="0"/>
                <w:sz w:val="22"/>
                <w:szCs w:val="22"/>
                <w:vertAlign w:val="superscript"/>
              </w:rPr>
              <w:t>†</w:t>
            </w:r>
          </w:p>
          <w:p w14:paraId="3067E046" w14:textId="77777777" w:rsidR="00005EE8" w:rsidRPr="00747271" w:rsidRDefault="00005EE8" w:rsidP="001C75A0">
            <w:pPr>
              <w:pStyle w:val="Tabletext0"/>
              <w:jc w:val="center"/>
              <w:rPr>
                <w:kern w:val="0"/>
                <w:sz w:val="22"/>
                <w:szCs w:val="22"/>
              </w:rPr>
            </w:pPr>
          </w:p>
        </w:tc>
        <w:tc>
          <w:tcPr>
            <w:tcW w:w="992" w:type="dxa"/>
            <w:gridSpan w:val="2"/>
            <w:vAlign w:val="center"/>
          </w:tcPr>
          <w:p w14:paraId="1C13B2A0" w14:textId="77777777" w:rsidR="00005EE8" w:rsidRPr="00747271" w:rsidRDefault="00005EE8" w:rsidP="001C75A0">
            <w:pPr>
              <w:pStyle w:val="Tabletext0"/>
              <w:jc w:val="center"/>
              <w:rPr>
                <w:kern w:val="0"/>
                <w:sz w:val="22"/>
                <w:szCs w:val="22"/>
              </w:rPr>
            </w:pPr>
            <w:r w:rsidRPr="00747271">
              <w:rPr>
                <w:rFonts w:eastAsia="Cambria"/>
                <w:kern w:val="0"/>
                <w:sz w:val="22"/>
                <w:szCs w:val="22"/>
              </w:rPr>
              <w:sym w:font="Wingdings" w:char="F0FC"/>
            </w:r>
          </w:p>
          <w:p w14:paraId="3AB86BC2" w14:textId="77777777" w:rsidR="00005EE8" w:rsidRPr="00747271" w:rsidRDefault="00005EE8" w:rsidP="001C75A0">
            <w:pPr>
              <w:pStyle w:val="Tabletext0"/>
              <w:jc w:val="center"/>
              <w:rPr>
                <w:kern w:val="0"/>
                <w:sz w:val="22"/>
                <w:szCs w:val="22"/>
              </w:rPr>
            </w:pPr>
          </w:p>
        </w:tc>
        <w:tc>
          <w:tcPr>
            <w:tcW w:w="1276" w:type="dxa"/>
            <w:vAlign w:val="center"/>
          </w:tcPr>
          <w:p w14:paraId="500ABDD4" w14:textId="77777777" w:rsidR="00005EE8" w:rsidRPr="00747271" w:rsidRDefault="00005EE8" w:rsidP="001C75A0">
            <w:pPr>
              <w:pStyle w:val="Tabletext0"/>
              <w:jc w:val="center"/>
              <w:rPr>
                <w:kern w:val="0"/>
                <w:sz w:val="22"/>
                <w:szCs w:val="22"/>
              </w:rPr>
            </w:pPr>
            <w:r w:rsidRPr="00747271">
              <w:rPr>
                <w:kern w:val="0"/>
                <w:sz w:val="22"/>
                <w:szCs w:val="22"/>
              </w:rPr>
              <w:t>None</w:t>
            </w:r>
          </w:p>
          <w:p w14:paraId="47214B60" w14:textId="77777777" w:rsidR="00005EE8" w:rsidRPr="00747271" w:rsidRDefault="00005EE8" w:rsidP="001C75A0">
            <w:pPr>
              <w:pStyle w:val="Tabletext0"/>
              <w:jc w:val="center"/>
              <w:rPr>
                <w:kern w:val="0"/>
                <w:sz w:val="22"/>
                <w:szCs w:val="22"/>
              </w:rPr>
            </w:pPr>
          </w:p>
        </w:tc>
      </w:tr>
    </w:tbl>
    <w:p w14:paraId="19110347" w14:textId="77777777" w:rsidR="00E320E4" w:rsidRPr="00E320E4" w:rsidRDefault="00E320E4" w:rsidP="004274E8">
      <w:pPr>
        <w:pStyle w:val="TableDescription"/>
        <w:contextualSpacing/>
      </w:pPr>
      <w:r w:rsidRPr="00E320E4">
        <w:t>*Post-authorisation long-term safety study (TG1101-RMS402)</w:t>
      </w:r>
    </w:p>
    <w:p w14:paraId="3CB77563" w14:textId="77777777" w:rsidR="00E320E4" w:rsidRPr="00E320E4" w:rsidRDefault="00E320E4" w:rsidP="004274E8">
      <w:pPr>
        <w:pStyle w:val="TableDescription"/>
        <w:contextualSpacing/>
      </w:pPr>
      <w:r w:rsidRPr="00E320E4">
        <w:rPr>
          <w:vertAlign w:val="superscript"/>
        </w:rPr>
        <w:t>†</w:t>
      </w:r>
      <w:r w:rsidRPr="00E320E4">
        <w:t>Post-authorisation pregnancy safety studies (TG1101-RMS403 and TG1101-RMS404)</w:t>
      </w:r>
    </w:p>
    <w:p w14:paraId="651F3273" w14:textId="77777777" w:rsidR="00E320E4" w:rsidRPr="00E320E4" w:rsidRDefault="00E320E4" w:rsidP="004274E8">
      <w:pPr>
        <w:pStyle w:val="TableDescription"/>
        <w:contextualSpacing/>
      </w:pPr>
      <w:r w:rsidRPr="00E320E4">
        <w:rPr>
          <w:vertAlign w:val="superscript"/>
        </w:rPr>
        <w:t>‡</w:t>
      </w:r>
      <w:r w:rsidRPr="00E320E4">
        <w:t>Open-label extension study (TG1101-RMS303)</w:t>
      </w:r>
    </w:p>
    <w:p w14:paraId="78DF5DA9" w14:textId="77777777" w:rsidR="00E320E4" w:rsidRPr="00E320E4" w:rsidRDefault="00E320E4" w:rsidP="004274E8">
      <w:pPr>
        <w:pStyle w:val="TableDescription"/>
        <w:contextualSpacing/>
        <w:rPr>
          <w:vertAlign w:val="superscript"/>
        </w:rPr>
      </w:pPr>
      <w:r w:rsidRPr="00E320E4">
        <w:rPr>
          <w:vertAlign w:val="superscript"/>
        </w:rPr>
        <w:t xml:space="preserve">§ </w:t>
      </w:r>
      <w:r w:rsidRPr="00E320E4">
        <w:t>PML targeted follow-up questionnaire</w:t>
      </w:r>
    </w:p>
    <w:p w14:paraId="74A4F87F" w14:textId="77777777" w:rsidR="00C22214" w:rsidRDefault="00C22214" w:rsidP="00C22214">
      <w:pPr>
        <w:pStyle w:val="Heading3"/>
      </w:pPr>
      <w:bookmarkStart w:id="55" w:name="_Toc103679299"/>
      <w:bookmarkStart w:id="56" w:name="_Toc225502002"/>
      <w:r>
        <w:t>Risk-benefit analysis</w:t>
      </w:r>
      <w:bookmarkEnd w:id="53"/>
      <w:bookmarkEnd w:id="54"/>
      <w:bookmarkEnd w:id="55"/>
      <w:bookmarkEnd w:id="56"/>
    </w:p>
    <w:p w14:paraId="06FB30A7" w14:textId="77777777" w:rsidR="004E14C3" w:rsidRDefault="004E14C3" w:rsidP="004E14C3">
      <w:pPr>
        <w:pStyle w:val="Heading4"/>
      </w:pPr>
      <w:bookmarkStart w:id="57" w:name="_Toc225502003"/>
      <w:r>
        <w:t>Overview</w:t>
      </w:r>
      <w:bookmarkEnd w:id="57"/>
    </w:p>
    <w:p w14:paraId="6D86268B" w14:textId="77777777" w:rsidR="004E14C3" w:rsidRDefault="004E14C3" w:rsidP="004E14C3">
      <w:r>
        <w:t>This is a COR-B Category 2 submission to register new biological entity based on EMA reports. There have been several post-approval changes that have been approved in the EU.</w:t>
      </w:r>
    </w:p>
    <w:p w14:paraId="4E81A552" w14:textId="40F72D7B" w:rsidR="004E14C3" w:rsidRDefault="004E14C3" w:rsidP="004E14C3">
      <w:r>
        <w:t xml:space="preserve">Studies 301 (ULTIMATE I) and 302 (ULTIMATE II) provided pivotal efficacy and safety data. Both are 120-week, Phase III, randomized, multicentre, double-blinded, double-dummy, active-controlled study that was primarily designed to assess the Annualized relapse rate (ARR) and safety/tolerability of ublituximab/oral placebo as compared to teriflunomide/IV placebo in participants with </w:t>
      </w:r>
      <w:r w:rsidR="00747271">
        <w:t xml:space="preserve">RMS. </w:t>
      </w:r>
    </w:p>
    <w:p w14:paraId="5EB01A52" w14:textId="09215E6F" w:rsidR="004E14C3" w:rsidRDefault="006D2303" w:rsidP="004E14C3">
      <w:pPr>
        <w:pStyle w:val="Heading4"/>
      </w:pPr>
      <w:bookmarkStart w:id="58" w:name="_Toc225502004"/>
      <w:r>
        <w:t>Ef</w:t>
      </w:r>
      <w:r>
        <w:rPr>
          <w:rFonts w:ascii="Cambria" w:hAnsi="Cambria" w:cs="Cambria"/>
        </w:rPr>
        <w:t>f</w:t>
      </w:r>
      <w:r>
        <w:t>icacy</w:t>
      </w:r>
      <w:bookmarkEnd w:id="58"/>
    </w:p>
    <w:p w14:paraId="24EEAC55" w14:textId="77777777" w:rsidR="004E14C3" w:rsidRDefault="004E14C3" w:rsidP="004E14C3">
      <w:r>
        <w:t xml:space="preserve">Subjects enrolled in each pivotal study were 18 to 55 years of age (inclusive) and with at least 1 relapse in the previous year, at least 2 relapses in the previous 2 years, or had the presence of a T1 Gad-lesion in the previous year. Subjects were also required to have an EDSS score from 0 to 5.5 at Baseline. Both studies were conducted in the USA and Europe. </w:t>
      </w:r>
      <w:proofErr w:type="gramStart"/>
      <w:r>
        <w:t>The vast majority of</w:t>
      </w:r>
      <w:proofErr w:type="gramEnd"/>
      <w:r>
        <w:t xml:space="preserve"> patients (RMS301 - 89.5%, RMS302 – 91.0%) were recruited in study centres located in Eastern Europe (Russia, Ukraine, Belarus, Georgia).</w:t>
      </w:r>
    </w:p>
    <w:p w14:paraId="73560BF9" w14:textId="7EC358ED" w:rsidR="004E14C3" w:rsidRDefault="004E14C3" w:rsidP="004E14C3">
      <w:r>
        <w:t xml:space="preserve">Participants were randomized in a 1:1 ratio to the following treatment arms: ublituximab/oral placebo or </w:t>
      </w:r>
      <w:r w:rsidR="006D2303">
        <w:t>teri</w:t>
      </w:r>
      <w:r w:rsidR="006D2303">
        <w:rPr>
          <w:rFonts w:cs="Cambria"/>
        </w:rPr>
        <w:t>f</w:t>
      </w:r>
      <w:r w:rsidR="006D2303">
        <w:t>lunomide</w:t>
      </w:r>
      <w:r>
        <w:t xml:space="preserve">/IV placebo. The choice of </w:t>
      </w:r>
      <w:r w:rsidR="006D2303">
        <w:t>teri</w:t>
      </w:r>
      <w:r w:rsidR="006D2303">
        <w:rPr>
          <w:rFonts w:cs="Cambria"/>
        </w:rPr>
        <w:t>f</w:t>
      </w:r>
      <w:r w:rsidR="006D2303">
        <w:t>lunomide</w:t>
      </w:r>
      <w:r>
        <w:t xml:space="preserve"> as active comparator is appropriate. The randomization processes in both studies were not </w:t>
      </w:r>
      <w:r w:rsidR="006D2303">
        <w:t>strati</w:t>
      </w:r>
      <w:r w:rsidR="006D2303">
        <w:rPr>
          <w:rFonts w:cs="Cambria"/>
        </w:rPr>
        <w:t>f</w:t>
      </w:r>
      <w:r w:rsidR="006D2303">
        <w:t>ied</w:t>
      </w:r>
      <w:r>
        <w:t xml:space="preserve">. While it can be agreed that for studies involving a large group of patients, performing </w:t>
      </w:r>
      <w:r w:rsidR="006D2303">
        <w:t>strati</w:t>
      </w:r>
      <w:r w:rsidR="006D2303">
        <w:rPr>
          <w:rFonts w:cs="Cambria"/>
        </w:rPr>
        <w:t>f</w:t>
      </w:r>
      <w:r w:rsidR="006D2303">
        <w:t>ication</w:t>
      </w:r>
      <w:r>
        <w:t xml:space="preserve"> is not necessary, </w:t>
      </w:r>
      <w:r w:rsidR="006D2303">
        <w:t>strati</w:t>
      </w:r>
      <w:r w:rsidR="006D2303">
        <w:rPr>
          <w:rFonts w:cs="Cambria"/>
        </w:rPr>
        <w:t>f</w:t>
      </w:r>
      <w:r w:rsidR="006D2303">
        <w:t>ication</w:t>
      </w:r>
      <w:r>
        <w:t xml:space="preserve"> in pivotal studies of DMT for MS is often used in particular </w:t>
      </w:r>
      <w:proofErr w:type="gramStart"/>
      <w:r>
        <w:t>with regard to</w:t>
      </w:r>
      <w:proofErr w:type="gramEnd"/>
      <w:r>
        <w:t xml:space="preserve"> the region or baseline disability </w:t>
      </w:r>
      <w:proofErr w:type="gramStart"/>
      <w:r>
        <w:t>in order to</w:t>
      </w:r>
      <w:proofErr w:type="gramEnd"/>
      <w:r>
        <w:t xml:space="preserve"> avoid imbalance in factors that may be important determinants of treatment effectiveness. In fact, lack of </w:t>
      </w:r>
      <w:r w:rsidR="006D2303">
        <w:t>strati</w:t>
      </w:r>
      <w:r w:rsidR="006D2303">
        <w:rPr>
          <w:rFonts w:cs="Cambria"/>
        </w:rPr>
        <w:t>f</w:t>
      </w:r>
      <w:r w:rsidR="006D2303">
        <w:t>ication</w:t>
      </w:r>
      <w:r>
        <w:t xml:space="preserve">, resulted in a certain degree of imbalance in baseline characteristics between the two treatment groups, especially in USA and Western Europe with a small subset of population (around 10%). Given that results for different regions may differ </w:t>
      </w:r>
      <w:r w:rsidR="006D2303">
        <w:t>signi</w:t>
      </w:r>
      <w:r w:rsidR="006D2303">
        <w:rPr>
          <w:rFonts w:cs="Cambria"/>
        </w:rPr>
        <w:t>f</w:t>
      </w:r>
      <w:r w:rsidR="006D2303">
        <w:t>icantly</w:t>
      </w:r>
      <w:r>
        <w:t xml:space="preserve"> from each other due to many factors, this may have been </w:t>
      </w:r>
      <w:r w:rsidR="006D2303">
        <w:t>justi</w:t>
      </w:r>
      <w:r w:rsidR="006D2303">
        <w:rPr>
          <w:rFonts w:cs="Cambria"/>
        </w:rPr>
        <w:t>f</w:t>
      </w:r>
      <w:r w:rsidR="006D2303">
        <w:t>ied</w:t>
      </w:r>
      <w:r>
        <w:t>. However, relevant variables indicating disease characteristics at baseline, such as EDSS score and T1/T2 lesions count, were included as covariates in the statistical analysis models.</w:t>
      </w:r>
    </w:p>
    <w:p w14:paraId="3A4F26F2" w14:textId="42D5DAD6" w:rsidR="004E14C3" w:rsidRDefault="004E14C3" w:rsidP="004E14C3">
      <w:r>
        <w:t xml:space="preserve">The centralised assignment of clinical endpoints, together with a separate role for the local treating and examining neurologists implemented early in both studies (version 2.0 and 2.1 both dated before </w:t>
      </w:r>
      <w:r>
        <w:rPr>
          <w:rFonts w:cs="Cambria"/>
        </w:rPr>
        <w:t>�</w:t>
      </w:r>
      <w:r w:rsidR="006D2303">
        <w:t>first</w:t>
      </w:r>
      <w:r>
        <w:t xml:space="preserve"> study recruitment), constitute appropriate strategy for mitigation of accidental treatment unblinding associated to the different mechanism of action of ublituximab and </w:t>
      </w:r>
      <w:r w:rsidR="006D2303">
        <w:t>teri</w:t>
      </w:r>
      <w:r w:rsidR="006D2303">
        <w:rPr>
          <w:rFonts w:cs="Cambria"/>
        </w:rPr>
        <w:t>f</w:t>
      </w:r>
      <w:r w:rsidR="006D2303">
        <w:t>lunomide</w:t>
      </w:r>
      <w:r>
        <w:t xml:space="preserve"> and consequent distinct effect on clinical and laboratory parameters. Further, </w:t>
      </w:r>
      <w:r>
        <w:lastRenderedPageBreak/>
        <w:t>a central MRI reading has been performed in both trials, reassuring not only the consistent imaging analysis across centres but also the unblinded estimation of the MRI-based endpoints.</w:t>
      </w:r>
    </w:p>
    <w:p w14:paraId="0995E7B6" w14:textId="136D8079" w:rsidR="004E14C3" w:rsidRDefault="004E14C3" w:rsidP="004E14C3">
      <w:r>
        <w:t xml:space="preserve">The sample size assumptions based on clinical trial results for ocrelizumab and </w:t>
      </w:r>
      <w:r w:rsidR="006D2303">
        <w:t>teri</w:t>
      </w:r>
      <w:r w:rsidR="006D2303">
        <w:rPr>
          <w:rFonts w:cs="Cambria"/>
        </w:rPr>
        <w:t>f</w:t>
      </w:r>
      <w:r w:rsidR="006D2303">
        <w:t>lunomide</w:t>
      </w:r>
      <w:r>
        <w:t xml:space="preserve"> were considered reasonable. The studies allowed for interim sample size reassessment when 210 of the 220 participants have been randomized. The BART estimated the ARR in each group based on the pooled population ARR and recommended adding 30 participants per group. As the reassessment of the sample size seems to be based on the pooled population ARR, done by an independent committee, and almost at the end of the studies, the integrity of the studies is not considered questioned.</w:t>
      </w:r>
    </w:p>
    <w:p w14:paraId="56E6E3C5" w14:textId="76C395FC" w:rsidR="004E14C3" w:rsidRDefault="004E14C3" w:rsidP="004E14C3">
      <w:r>
        <w:t xml:space="preserve">These studies were primarily designed to assess the </w:t>
      </w:r>
      <w:r w:rsidR="006D2303">
        <w:t>ef</w:t>
      </w:r>
      <w:r w:rsidR="006D2303">
        <w:rPr>
          <w:rFonts w:cs="Cambria"/>
        </w:rPr>
        <w:t>f</w:t>
      </w:r>
      <w:r w:rsidR="006D2303">
        <w:t>icacy</w:t>
      </w:r>
      <w:r>
        <w:t xml:space="preserve"> and safety/tolerability of ublituximab/oral placebo compared to </w:t>
      </w:r>
      <w:r w:rsidR="006D2303">
        <w:t>teri</w:t>
      </w:r>
      <w:r w:rsidR="006D2303">
        <w:rPr>
          <w:rFonts w:cs="Cambria"/>
        </w:rPr>
        <w:t>f</w:t>
      </w:r>
      <w:r w:rsidR="006D2303">
        <w:t>lunomide</w:t>
      </w:r>
      <w:r>
        <w:t xml:space="preserve">/IV placebo in subjects with RMS. The primary endpoint (ARR) and secondary endpoints including measurements of MRI </w:t>
      </w:r>
      <w:r w:rsidR="006D2303">
        <w:t>in</w:t>
      </w:r>
      <w:r w:rsidR="006D2303">
        <w:rPr>
          <w:rFonts w:cs="Cambria"/>
        </w:rPr>
        <w:t>f</w:t>
      </w:r>
      <w:r w:rsidR="006D2303">
        <w:t>lammatory</w:t>
      </w:r>
      <w:r>
        <w:t xml:space="preserve"> activity and disability progression were acceptable.</w:t>
      </w:r>
    </w:p>
    <w:p w14:paraId="72BCCE4F" w14:textId="02C7568C" w:rsidR="004E14C3" w:rsidRDefault="004E14C3" w:rsidP="004E14C3">
      <w:r>
        <w:t xml:space="preserve">The Sponsor included sensitivity analysis for the primary endpoint to explore </w:t>
      </w:r>
      <w:proofErr w:type="gramStart"/>
      <w:r w:rsidR="006D2303">
        <w:t>ef</w:t>
      </w:r>
      <w:r w:rsidR="006D2303">
        <w:rPr>
          <w:rFonts w:cs="Cambria"/>
        </w:rPr>
        <w:t>f</w:t>
      </w:r>
      <w:r w:rsidR="006D2303">
        <w:t>icacy</w:t>
      </w:r>
      <w:proofErr w:type="gramEnd"/>
      <w:r>
        <w:t xml:space="preserve"> for all relapses regardless of </w:t>
      </w:r>
      <w:r w:rsidR="006D2303">
        <w:t>con</w:t>
      </w:r>
      <w:r w:rsidR="006D2303">
        <w:rPr>
          <w:rFonts w:cs="Cambria"/>
        </w:rPr>
        <w:t>f</w:t>
      </w:r>
      <w:r w:rsidR="006D2303">
        <w:t>irmation</w:t>
      </w:r>
      <w:r>
        <w:t>, IRAP-con</w:t>
      </w:r>
      <w:r w:rsidR="006D2303">
        <w:rPr>
          <w:rFonts w:cs="Cambria"/>
        </w:rPr>
        <w:t>f</w:t>
      </w:r>
      <w:r>
        <w:t xml:space="preserve">irmed relapses during follow-up and multiple imputation of withdrawn participants. This is acceptable. Type I error was controlled in this study by using a hierarchical gate-keeping procedure. Once primary endpoint was statistically </w:t>
      </w:r>
      <w:r w:rsidR="006D2303">
        <w:t>signi</w:t>
      </w:r>
      <w:r w:rsidR="006D2303">
        <w:rPr>
          <w:rFonts w:cs="Cambria"/>
        </w:rPr>
        <w:t>f</w:t>
      </w:r>
      <w:r w:rsidR="006D2303">
        <w:t>icant</w:t>
      </w:r>
      <w:r>
        <w:t xml:space="preserve"> at alpha=0.05, the secondary endpoints were tested in a </w:t>
      </w:r>
      <w:r w:rsidR="006D2303">
        <w:t>prespecif</w:t>
      </w:r>
      <w:r w:rsidR="006D2303">
        <w:rPr>
          <w:rFonts w:cs="Cambria"/>
        </w:rPr>
        <w:t>i</w:t>
      </w:r>
      <w:r w:rsidR="006D2303">
        <w:t>ed</w:t>
      </w:r>
      <w:r>
        <w:t xml:space="preserve"> order. This is acceptable.</w:t>
      </w:r>
    </w:p>
    <w:p w14:paraId="5043B36B" w14:textId="77777777" w:rsidR="004E14C3" w:rsidRDefault="004E14C3" w:rsidP="004E14C3">
      <w:r>
        <w:t>While there were 7 protocol amendments, only three protocol versions (3.0, 3.1, and 3.2) were implemented during active enrolment and the Sponsor position that the amendments for these protocol versions did not change any inclusion or exclusion criteria and did not impact the study population can be agreed.</w:t>
      </w:r>
    </w:p>
    <w:p w14:paraId="5047007D" w14:textId="392F9F75" w:rsidR="004E14C3" w:rsidRDefault="004E14C3" w:rsidP="004E14C3">
      <w:r>
        <w:t xml:space="preserve">A </w:t>
      </w:r>
      <w:r w:rsidR="006D2303">
        <w:t>signi</w:t>
      </w:r>
      <w:r w:rsidR="006D2303">
        <w:rPr>
          <w:rFonts w:cs="Cambria"/>
        </w:rPr>
        <w:t>f</w:t>
      </w:r>
      <w:r w:rsidR="006D2303">
        <w:t>icant</w:t>
      </w:r>
      <w:r>
        <w:t xml:space="preserve"> number of major protocol deviations was observed in the studies. The most frequent major deviation was “study procedure or assessment”. The Sponsor </w:t>
      </w:r>
      <w:r w:rsidR="006D2303">
        <w:t>clari</w:t>
      </w:r>
      <w:r w:rsidR="006D2303">
        <w:rPr>
          <w:rFonts w:cs="Cambria"/>
        </w:rPr>
        <w:t>f</w:t>
      </w:r>
      <w:r w:rsidR="006D2303">
        <w:t>ied</w:t>
      </w:r>
      <w:r>
        <w:t xml:space="preserve"> that protocol deviations were anticipated in trials of this size, complexity, and duration, and there is no single root cause driving the major protocol deviations recorded in TG1101-RMS301 and TG1101-RMS302. Common causes of study procedure and assessment deviations were due to scheduling </w:t>
      </w:r>
      <w:r w:rsidR="006D2303">
        <w:t>con</w:t>
      </w:r>
      <w:r w:rsidR="006D2303">
        <w:rPr>
          <w:rFonts w:cs="Cambria"/>
        </w:rPr>
        <w:t>f</w:t>
      </w:r>
      <w:r w:rsidR="006D2303">
        <w:t>licts</w:t>
      </w:r>
      <w:r>
        <w:t xml:space="preserve">, staff availability or turnover, changes in protocol procedures, and subject compliance with protocol requirements. A </w:t>
      </w:r>
      <w:r w:rsidR="006D2303">
        <w:t>signi</w:t>
      </w:r>
      <w:r w:rsidR="006D2303">
        <w:rPr>
          <w:rFonts w:cs="Cambria"/>
        </w:rPr>
        <w:t>f</w:t>
      </w:r>
      <w:r w:rsidR="006D2303">
        <w:t>icant</w:t>
      </w:r>
      <w:r>
        <w:t xml:space="preserve"> proportion of study procedure and assessment deviations were related to compliance with the pregnancy test procedure requirement. Further, the TG1101-RMS301 and TG1101-RMS302 studies recorded a </w:t>
      </w:r>
      <w:r w:rsidR="006D2303">
        <w:t>signi</w:t>
      </w:r>
      <w:r w:rsidR="006D2303">
        <w:rPr>
          <w:rFonts w:cs="Cambria"/>
        </w:rPr>
        <w:t>f</w:t>
      </w:r>
      <w:r w:rsidR="006D2303">
        <w:t>icant</w:t>
      </w:r>
      <w:r>
        <w:t xml:space="preserve"> number of deviations due to the COVID-19 pandemic. These deviations primarily </w:t>
      </w:r>
      <w:r w:rsidR="006D2303">
        <w:t>re</w:t>
      </w:r>
      <w:r w:rsidR="006D2303">
        <w:rPr>
          <w:rFonts w:cs="Cambria"/>
        </w:rPr>
        <w:t>f</w:t>
      </w:r>
      <w:r w:rsidR="006D2303">
        <w:t>lect</w:t>
      </w:r>
      <w:r>
        <w:t xml:space="preserve"> a site’s inability to complete study visits within the protocol-de</w:t>
      </w:r>
      <w:r w:rsidR="006D2303">
        <w:rPr>
          <w:rFonts w:cs="Cambria"/>
        </w:rPr>
        <w:t>f</w:t>
      </w:r>
      <w:r>
        <w:t xml:space="preserve">ined window or complete individual study assessments as required, generally due to local travel restrictions or quarantine periods for staff, participants, or even participant family members. The explanations of the reasons for the major protocol deviations in the pivotal studies seem </w:t>
      </w:r>
      <w:r w:rsidR="006D2303">
        <w:t>suf</w:t>
      </w:r>
      <w:r w:rsidR="006D2303">
        <w:rPr>
          <w:rFonts w:cs="Cambria"/>
        </w:rPr>
        <w:t>f</w:t>
      </w:r>
      <w:r w:rsidR="006D2303">
        <w:t>icient</w:t>
      </w:r>
      <w:r>
        <w:t>.</w:t>
      </w:r>
    </w:p>
    <w:p w14:paraId="4EEA9579" w14:textId="04A7CE9E" w:rsidR="004E14C3" w:rsidRDefault="004E14C3" w:rsidP="004E14C3">
      <w:r>
        <w:t xml:space="preserve">The Sponsor provided a breakdown of the reasons for discontinued participation in Study TG1101-RMS301 [ublituximab (6.2%) in comparison to </w:t>
      </w:r>
      <w:r w:rsidR="006D2303">
        <w:t>teri</w:t>
      </w:r>
      <w:r w:rsidR="006D2303">
        <w:rPr>
          <w:rFonts w:cs="Cambria"/>
        </w:rPr>
        <w:t>f</w:t>
      </w:r>
      <w:r w:rsidR="006D2303">
        <w:t>lunomide</w:t>
      </w:r>
      <w:r>
        <w:t xml:space="preserve"> group (0.4%)], with a distinction made regarding the causes. Of note was the higher rate of discontinuation of study participation in the arm taking ublituximab, but both frequency and reasons varied.</w:t>
      </w:r>
    </w:p>
    <w:p w14:paraId="18752989" w14:textId="7F8EBA8B" w:rsidR="004E14C3" w:rsidRDefault="004E14C3" w:rsidP="004E14C3">
      <w:r>
        <w:t xml:space="preserve">Overall, </w:t>
      </w:r>
      <w:r w:rsidR="00022B92">
        <w:t>Briumvi</w:t>
      </w:r>
      <w:r>
        <w:t xml:space="preserve"> can be considered approvable for a clinical </w:t>
      </w:r>
      <w:r w:rsidR="006D2303">
        <w:t>ef</w:t>
      </w:r>
      <w:r w:rsidR="006D2303">
        <w:rPr>
          <w:rFonts w:cs="Cambria"/>
        </w:rPr>
        <w:t>f</w:t>
      </w:r>
      <w:r w:rsidR="006D2303">
        <w:t>icacy</w:t>
      </w:r>
      <w:r>
        <w:t xml:space="preserve"> perspective.</w:t>
      </w:r>
    </w:p>
    <w:p w14:paraId="33011676" w14:textId="60307A00" w:rsidR="004E14C3" w:rsidRDefault="004E14C3" w:rsidP="004E14C3">
      <w:pPr>
        <w:pStyle w:val="Heading4"/>
      </w:pPr>
      <w:bookmarkStart w:id="59" w:name="_Toc225502005"/>
      <w:r>
        <w:t>Safety</w:t>
      </w:r>
      <w:bookmarkEnd w:id="59"/>
    </w:p>
    <w:p w14:paraId="757DDBF5" w14:textId="671FED97" w:rsidR="004E14C3" w:rsidRDefault="004E14C3" w:rsidP="004E14C3">
      <w:r>
        <w:t xml:space="preserve">The primary source of safety data in the RMS target population consists of the two identical pivotal randomized, double blind, 2-arm, active controlled Phase 3 studies TG1101-RMS302 and TG1101-RMS302. In total 545 subjects with RMS treated with ublituximab were included in the </w:t>
      </w:r>
      <w:r>
        <w:lastRenderedPageBreak/>
        <w:t xml:space="preserve">primary safety evaluation. In two pivotal studies, 90.6% of patients from ublituximab group completed the 96-week treatment period. The main reasons for discontinuation in these patients were withdrawal of consent and AE. Supplementary safety data were obtained from a single arm, dose </w:t>
      </w:r>
      <w:r>
        <w:rPr>
          <w:rFonts w:cs="Cambria"/>
        </w:rPr>
        <w:t>�</w:t>
      </w:r>
      <w:r w:rsidR="001933B3">
        <w:t>finding</w:t>
      </w:r>
      <w:r>
        <w:t xml:space="preserve"> Phase 2 study and two ongoing extension</w:t>
      </w:r>
      <w:r w:rsidR="00287BD8">
        <w:t xml:space="preserve"> </w:t>
      </w:r>
      <w:r>
        <w:t>studies. In total 1022 patients were exposed to ublituximab in Phase 3 and Phase 2 studies. 974 patients are exposed to ublituximab in the extension Study TG1101-RMS303 as per cut-off of 01 March 2022.</w:t>
      </w:r>
    </w:p>
    <w:p w14:paraId="786C326C" w14:textId="656EF2EE" w:rsidR="004E14C3" w:rsidRDefault="004E14C3" w:rsidP="004E14C3">
      <w:r>
        <w:t xml:space="preserve">Patients up to 55 years of age were included in the pivotal III studies. 63% of subjects were female, 98% were White. Both groups were well balanced with respect to age, sex and race. In concatenated Phase 2 studies patients between 20 and 56 years of age were included (the media age was 42.5 years). </w:t>
      </w:r>
      <w:proofErr w:type="gramStart"/>
      <w:r>
        <w:t>The majority of</w:t>
      </w:r>
      <w:proofErr w:type="gramEnd"/>
      <w:r>
        <w:t xml:space="preserve"> participants were female (66.7%). Overview of AEs in main safety data did not indicate an imbalance between ublituximab and </w:t>
      </w:r>
      <w:r w:rsidR="001933B3">
        <w:t>teri</w:t>
      </w:r>
      <w:r w:rsidR="001933B3">
        <w:rPr>
          <w:rFonts w:cs="Cambria"/>
        </w:rPr>
        <w:t>f</w:t>
      </w:r>
      <w:r w:rsidR="001933B3">
        <w:t>lunomide</w:t>
      </w:r>
      <w:r>
        <w:t xml:space="preserve"> in incidence of at least 1 TEAEs. However, a higher number of patients from ublituximab group experienced TEAE of Grade ≥3 compared to </w:t>
      </w:r>
      <w:r w:rsidR="001933B3">
        <w:t>teri</w:t>
      </w:r>
      <w:r w:rsidR="001933B3">
        <w:rPr>
          <w:rFonts w:cs="Cambria"/>
        </w:rPr>
        <w:t>f</w:t>
      </w:r>
      <w:r w:rsidR="001933B3">
        <w:t>lunomide</w:t>
      </w:r>
      <w:r>
        <w:t xml:space="preserve"> treated patients. Nevertheless, the disproportion was mainly related to the higher incidence of TEAEs of lymphocyte decrease and lymphopenia, which could be expected, given the mechanism of action of ublituximab. The analysis of the relationship between the duration of exposure and incidence of any TEAEs showed that the highest incidence of TEAEs was reported during the exposure period of 0 to &lt;6 months. The analysis performed did not show an increase in the incidence of serious TEAEs reported during ≥18 months.</w:t>
      </w:r>
    </w:p>
    <w:p w14:paraId="69D75324" w14:textId="24C9D562" w:rsidR="004E14C3" w:rsidRDefault="004E14C3" w:rsidP="004E14C3">
      <w:r>
        <w:t xml:space="preserve">The most common TEAEs reported during the pivotal Phase 3 studies were headache, nasopharyngitis, pyrexia, nausea, diarrhoea and alopecia. The incidence of pyrexia was substantially higher in subjects treated with ublituximab compared to </w:t>
      </w:r>
      <w:r w:rsidR="001933B3">
        <w:t>teri</w:t>
      </w:r>
      <w:r w:rsidR="001933B3">
        <w:rPr>
          <w:rFonts w:cs="Cambria"/>
        </w:rPr>
        <w:t>f</w:t>
      </w:r>
      <w:r w:rsidR="001933B3">
        <w:t>lunomide</w:t>
      </w:r>
      <w:r>
        <w:t xml:space="preserve"> (13.9% vs 4.9%</w:t>
      </w:r>
      <w:proofErr w:type="gramStart"/>
      <w:r>
        <w:t>)</w:t>
      </w:r>
      <w:proofErr w:type="gramEnd"/>
      <w:r>
        <w:t xml:space="preserve"> but the Sponsor </w:t>
      </w:r>
      <w:r w:rsidR="001933B3">
        <w:t>clari</w:t>
      </w:r>
      <w:r w:rsidR="001933B3">
        <w:rPr>
          <w:rFonts w:cs="Cambria"/>
        </w:rPr>
        <w:t>f</w:t>
      </w:r>
      <w:r w:rsidR="001933B3">
        <w:t>ied</w:t>
      </w:r>
      <w:r>
        <w:t xml:space="preserve"> that 75% of events resolved within 3.5 days.</w:t>
      </w:r>
    </w:p>
    <w:p w14:paraId="286996DE" w14:textId="22B923A5" w:rsidR="004E14C3" w:rsidRDefault="004E14C3" w:rsidP="004E14C3">
      <w:r>
        <w:t xml:space="preserve">The overall incidence of serious TEAEs in the pooled pivotal studies was comparable between both ublituximab and </w:t>
      </w:r>
      <w:r w:rsidR="001933B3">
        <w:t>teri</w:t>
      </w:r>
      <w:r w:rsidR="001933B3">
        <w:rPr>
          <w:rFonts w:cs="Cambria"/>
        </w:rPr>
        <w:t>f</w:t>
      </w:r>
      <w:r w:rsidR="001933B3">
        <w:t>lunomide</w:t>
      </w:r>
      <w:r>
        <w:t xml:space="preserve"> groups. As per 20 November 2020 cut-off, serious TEAEs reported in 3 or more subjects in the ublituximab group included events of COVID-19 pneumonia, acute sinusitis, pneumonia. 7 additional serious TEAEs were reported in the concatenated Phase 3 studies (4 cases of COVID-19 pneumonia, tibia and</w:t>
      </w:r>
      <w:r w:rsidR="00287BD8">
        <w:t xml:space="preserve"> </w:t>
      </w:r>
      <w:r>
        <w:rPr>
          <w:rFonts w:cs="Cambria"/>
        </w:rPr>
        <w:t>�</w:t>
      </w:r>
      <w:r w:rsidR="001933B3">
        <w:t>fibula</w:t>
      </w:r>
      <w:r>
        <w:t xml:space="preserve"> fracture in 1 subject and uterine leiomyoma and vaginal haemorrhage in 1 subject). One additional case of COVID-19 pneumonia and one case of salpingitis/peritonitis/</w:t>
      </w:r>
      <w:proofErr w:type="spellStart"/>
      <w:r>
        <w:t>salpingo</w:t>
      </w:r>
      <w:proofErr w:type="spellEnd"/>
      <w:r>
        <w:t>-oophoritis) were reported in the extension study TG1101-RMS303.</w:t>
      </w:r>
    </w:p>
    <w:p w14:paraId="75CD93A5" w14:textId="5DDBFF2A" w:rsidR="004E14C3" w:rsidRDefault="004E14C3" w:rsidP="004E14C3">
      <w:r>
        <w:t xml:space="preserve">In line with the safety </w:t>
      </w:r>
      <w:r w:rsidR="001933B3">
        <w:t>pro</w:t>
      </w:r>
      <w:r w:rsidR="001933B3">
        <w:rPr>
          <w:rFonts w:cs="Cambria"/>
        </w:rPr>
        <w:t>f</w:t>
      </w:r>
      <w:r w:rsidR="001933B3">
        <w:t>ile</w:t>
      </w:r>
      <w:r>
        <w:t xml:space="preserve"> described for other anti-CD20 mAbs, the main safety issues with of ublituximab are the risk of IRR and infections.</w:t>
      </w:r>
    </w:p>
    <w:p w14:paraId="6AA60857" w14:textId="7FCEAB61" w:rsidR="004E14C3" w:rsidRDefault="004E14C3" w:rsidP="004E14C3">
      <w:r>
        <w:t xml:space="preserve">Serious infections were reported in 5% of subjects from ublituximab group compared to 2.9% of patients from </w:t>
      </w:r>
      <w:r w:rsidR="001933B3">
        <w:t>teri</w:t>
      </w:r>
      <w:r w:rsidR="001933B3">
        <w:rPr>
          <w:rFonts w:cs="Cambria"/>
        </w:rPr>
        <w:t>f</w:t>
      </w:r>
      <w:r w:rsidR="001933B3">
        <w:t>lunomide</w:t>
      </w:r>
      <w:r>
        <w:t xml:space="preserve"> group in the pooled analysis of the pivotal studies as per 20 November 2020 cut-off date. The incidence of potential treatment-emergent opportunistic infections was comparable between both groups (11.9% in ublituximab group and 10.4% in </w:t>
      </w:r>
      <w:r w:rsidR="001933B3">
        <w:t>teri</w:t>
      </w:r>
      <w:r w:rsidR="001933B3">
        <w:rPr>
          <w:rFonts w:cs="Cambria"/>
        </w:rPr>
        <w:t>f</w:t>
      </w:r>
      <w:r w:rsidR="001933B3">
        <w:t>lunomide</w:t>
      </w:r>
      <w:r>
        <w:t xml:space="preserve"> group) as per 20 November 2020 cut-off date.</w:t>
      </w:r>
    </w:p>
    <w:p w14:paraId="7E9AE4EB" w14:textId="2129A8CF" w:rsidR="004E14C3" w:rsidRDefault="004E14C3" w:rsidP="004E14C3">
      <w:r>
        <w:t>A risk of cytopenia is a known TEAEs associated with the use of any anti-CD20 biological product depleting B</w:t>
      </w:r>
      <w:r w:rsidR="001933B3">
        <w:t xml:space="preserve"> </w:t>
      </w:r>
      <w:r>
        <w:t xml:space="preserve">cells. As per 20 November 2020 cut-off in the pooled analysis of the pivotal Phase 3 studies, cytopenias were reported in 25.7% of subjects in the ublituximab group compared to 9.3% in </w:t>
      </w:r>
      <w:r w:rsidR="001933B3">
        <w:t>teri</w:t>
      </w:r>
      <w:r w:rsidR="001933B3">
        <w:rPr>
          <w:rFonts w:cs="Cambria"/>
        </w:rPr>
        <w:t>f</w:t>
      </w:r>
      <w:r w:rsidR="001933B3">
        <w:t>lunomide</w:t>
      </w:r>
      <w:r>
        <w:t xml:space="preserve"> group. In 12.1% of subjects treated with ublituximab, cytopenias of Grade ≥3 were reported (lymphocyte count decreased – 5.5%; lymphopenia – 4%). Neutropenia was observed in 2% of patients treated with ublituximab in the pivotal Phase 3 studies. The Sponsor has provided data about the timing of infections and the timing of the events of cytopenia or hypogammaglobulinemia. Apparently, it emerges that most infection events did not happen in proximity of reduced values of neutrophils, lymphocytes or immunoglobulins.</w:t>
      </w:r>
    </w:p>
    <w:p w14:paraId="174CFA1E" w14:textId="16A7F207" w:rsidR="004E14C3" w:rsidRDefault="004E14C3" w:rsidP="004E14C3">
      <w:r>
        <w:lastRenderedPageBreak/>
        <w:t xml:space="preserve">The Sponsor provided detailed analysis of cases of serous and fatal infections, CNS infections, COVID-19 infections and malignancies. Generally, patients reporting had more comorbidities and a history of prior infections. No correlation between infections and cytopenia/hypogammaglobulinemia was </w:t>
      </w:r>
      <w:r w:rsidR="001933B3">
        <w:t>identi</w:t>
      </w:r>
      <w:r w:rsidR="001933B3">
        <w:rPr>
          <w:rFonts w:cs="Cambria"/>
        </w:rPr>
        <w:t>f</w:t>
      </w:r>
      <w:r w:rsidR="001933B3">
        <w:t>ied</w:t>
      </w:r>
      <w:r>
        <w:t xml:space="preserve">. The Sponsor </w:t>
      </w:r>
      <w:r w:rsidR="001933B3">
        <w:t>clari</w:t>
      </w:r>
      <w:r w:rsidR="001933B3">
        <w:rPr>
          <w:rFonts w:cs="Cambria"/>
        </w:rPr>
        <w:t>f</w:t>
      </w:r>
      <w:r w:rsidR="001933B3">
        <w:t>ied</w:t>
      </w:r>
      <w:r>
        <w:t xml:space="preserve"> that two subjects who experienced serious CNS enteroviral infections had normal immunoglobulins, neutrophils and lymphocyte counts. The incidence of COVID-19 was comparable between the two arms with serious cases in 0.7% ublituximab-treated patients and 0.4% teri</w:t>
      </w:r>
      <w:r w:rsidR="001933B3">
        <w:t>f</w:t>
      </w:r>
      <w:r>
        <w:t>lunomide-treated patients as per 20 November 2020 cut-off date.</w:t>
      </w:r>
    </w:p>
    <w:p w14:paraId="267A8983" w14:textId="2DB465DF" w:rsidR="004E14C3" w:rsidRDefault="004E14C3" w:rsidP="004E14C3">
      <w:r>
        <w:t xml:space="preserve">The sponsor has presented updated safety data based on a data cut-off date of 01 March 2022. Overall, the incidence and the pattern of TEAEs, serious TEAEs, AESIs was consistent with that observed in data provided in the initial submission as per 20 November cut-off date. The risk of IRR remained as an important </w:t>
      </w:r>
      <w:r w:rsidR="001933B3">
        <w:t>identi</w:t>
      </w:r>
      <w:r w:rsidR="001933B3">
        <w:rPr>
          <w:rFonts w:cs="Cambria"/>
        </w:rPr>
        <w:t>f</w:t>
      </w:r>
      <w:r w:rsidR="001933B3">
        <w:t>ied</w:t>
      </w:r>
      <w:r>
        <w:t xml:space="preserve"> risk and the risk of serious infections as an important potential risk for ublituximab in RMS. No new safety concerns or risks were </w:t>
      </w:r>
      <w:r w:rsidR="001933B3">
        <w:t>identi</w:t>
      </w:r>
      <w:r w:rsidR="001933B3">
        <w:rPr>
          <w:rFonts w:cs="Cambria"/>
        </w:rPr>
        <w:t>f</w:t>
      </w:r>
      <w:r w:rsidR="001933B3">
        <w:t>ied</w:t>
      </w:r>
      <w:r>
        <w:t xml:space="preserve"> from this safety update. The Sponsor provided detailed analysis of COVID-19 impact on patient’s safety. Overall, no </w:t>
      </w:r>
      <w:r w:rsidR="001933B3">
        <w:t>de</w:t>
      </w:r>
      <w:r w:rsidR="001933B3">
        <w:rPr>
          <w:rFonts w:cs="Cambria"/>
        </w:rPr>
        <w:t>f</w:t>
      </w:r>
      <w:r w:rsidR="001933B3">
        <w:t>initive</w:t>
      </w:r>
      <w:r>
        <w:t xml:space="preserve"> trend in baseline characteristics or disease history for participants who had any COVID-19-related adverse events was observed. However, age and obesity were </w:t>
      </w:r>
      <w:r w:rsidR="001933B3">
        <w:t>con</w:t>
      </w:r>
      <w:r w:rsidR="001933B3">
        <w:rPr>
          <w:rFonts w:cs="Cambria"/>
        </w:rPr>
        <w:t>f</w:t>
      </w:r>
      <w:r w:rsidR="001933B3">
        <w:t>irmed</w:t>
      </w:r>
      <w:r>
        <w:t xml:space="preserve"> as a risk factor for fatal COVID-19-related adverse events.</w:t>
      </w:r>
    </w:p>
    <w:p w14:paraId="45FA2228" w14:textId="67147FBD" w:rsidR="004E14C3" w:rsidRDefault="004E14C3" w:rsidP="004E14C3">
      <w:r>
        <w:t xml:space="preserve">As per 20 November 2020 cut-off date, AEs leading to withdrawal were reported in 4.2% of patients treated with ublituximab in the pivotal studies. The AEs were anaphylactic reaction, hypersensitivity, IRR, myalgia and </w:t>
      </w:r>
      <w:r w:rsidR="00B93C9C">
        <w:t>tracheobronchitis</w:t>
      </w:r>
      <w:r>
        <w:t xml:space="preserve">. </w:t>
      </w:r>
      <w:proofErr w:type="gramStart"/>
      <w:r>
        <w:t>At</w:t>
      </w:r>
      <w:proofErr w:type="gramEnd"/>
      <w:r>
        <w:t xml:space="preserve"> 01 March 2022, out of the 974 participants included in the Ublituximab Update Safety set of phase III trials, 55 had at least 1 TEAE leading to treatment discontinuation. The most common TEAE leading to discontinuation of ublituximab treatment was COVID-19 pneumonia.</w:t>
      </w:r>
    </w:p>
    <w:p w14:paraId="27FD41E2" w14:textId="77777777" w:rsidR="004E14C3" w:rsidRDefault="004E14C3" w:rsidP="004E14C3">
      <w:r>
        <w:t xml:space="preserve">As per 20 November 2020 cut-off date, three deaths were reported in the pivotal studies in the ublituximab group (encephalitis, pneumonia and salpingitis). The event of pneumonia was considered possibly related to ublituximab. In the other two fatal events it is not possible to exclude a causative/permissive role of ublituximab-induced immunosuppression; for the information provided, the encephalitis case was due to measles infection in an apparently unvaccinated patient, and in the salpingitis case the fatal outcome could have been linked to a delay in seeking medical assistance. </w:t>
      </w:r>
      <w:proofErr w:type="gramStart"/>
      <w:r>
        <w:t>At</w:t>
      </w:r>
      <w:proofErr w:type="gramEnd"/>
      <w:r>
        <w:t xml:space="preserve"> 01 March 2022, out of the 974 participants included in the Ublituximab Safety Update phase III set, 22 cases of TEAE with an outcome of death were reported. The additional 19 cases of death were due to COVID-19 related events.</w:t>
      </w:r>
    </w:p>
    <w:p w14:paraId="39D53D6A" w14:textId="3F0A0D28" w:rsidR="004E14C3" w:rsidRDefault="004E14C3" w:rsidP="004E14C3">
      <w:r>
        <w:t xml:space="preserve">No differences in safety </w:t>
      </w:r>
      <w:r w:rsidR="00B93C9C">
        <w:t>pro</w:t>
      </w:r>
      <w:r w:rsidR="00B93C9C">
        <w:rPr>
          <w:rFonts w:cs="Cambria"/>
        </w:rPr>
        <w:t>f</w:t>
      </w:r>
      <w:r w:rsidR="00B93C9C">
        <w:t>ile</w:t>
      </w:r>
      <w:r>
        <w:t xml:space="preserve"> with respect to hepatic impairment at baseline was reported. However, it is noted that a very limited number of patients with moderate hepatic impairment and no patients with severe hepatic impairment at baseline were included.</w:t>
      </w:r>
    </w:p>
    <w:p w14:paraId="44A1DBD5" w14:textId="2C57751C" w:rsidR="004E14C3" w:rsidRDefault="004E14C3" w:rsidP="004E14C3">
      <w:r>
        <w:t xml:space="preserve">There were no clinically meaningful differences observed in TEAE, SAE, drug discontinuations, AESI and deaths in participants receiving ublituximab with mild renal impairment compared to normal renal function. Since only 4 subjects with moderate renal impairment were included in the studies, no analysis of ublituximab safety </w:t>
      </w:r>
      <w:r w:rsidR="00B93C9C">
        <w:t>pro</w:t>
      </w:r>
      <w:r w:rsidR="00B93C9C">
        <w:rPr>
          <w:rFonts w:cs="Cambria"/>
        </w:rPr>
        <w:t>f</w:t>
      </w:r>
      <w:r w:rsidR="00B93C9C">
        <w:t>ile</w:t>
      </w:r>
      <w:r>
        <w:t xml:space="preserve"> was possible.</w:t>
      </w:r>
    </w:p>
    <w:p w14:paraId="107B496E" w14:textId="77777777" w:rsidR="004E14C3" w:rsidRDefault="004E14C3" w:rsidP="004E14C3">
      <w:r>
        <w:t xml:space="preserve">Use of ublituximab during pregnancy may cause foetal harm and may cause infant B-cell depletion. There were 14 cases of pregnancy reported (including 3 cases of pregnancy of the subject’s partner) in the ublituximab clinical development program. One case of spontaneous abortion and 3 cases with an unknown outcome were reported. The outcome of 5 pregnancies </w:t>
      </w:r>
      <w:proofErr w:type="gramStart"/>
      <w:r>
        <w:t>were</w:t>
      </w:r>
      <w:proofErr w:type="gramEnd"/>
      <w:r>
        <w:t xml:space="preserve"> full-time delivery of a healthy newborn.</w:t>
      </w:r>
    </w:p>
    <w:p w14:paraId="64BCCCA3" w14:textId="0179B103" w:rsidR="004E14C3" w:rsidRDefault="004E14C3" w:rsidP="004E14C3">
      <w:r>
        <w:t xml:space="preserve">It is noted that a substantial number of subjects exposed to ublituximab developed TE-ADA (81.3% in the pooled analysis of the pivotal studies and 52.5% in Study TG1101-RMS201). 34 subjects included in Studies TG1101-RMS301 and one TG1101-RMS302 were NAb positive. However, there is no impact on </w:t>
      </w:r>
      <w:r w:rsidR="00B93C9C">
        <w:t>ef</w:t>
      </w:r>
      <w:r w:rsidR="00B93C9C">
        <w:rPr>
          <w:rFonts w:cs="Cambria"/>
        </w:rPr>
        <w:t>f</w:t>
      </w:r>
      <w:r w:rsidR="00B93C9C">
        <w:t>icacy</w:t>
      </w:r>
      <w:r>
        <w:t xml:space="preserve"> and safety as indicated in section 5.1 of the SmPC.</w:t>
      </w:r>
    </w:p>
    <w:p w14:paraId="5E94042F" w14:textId="66E2BF4B" w:rsidR="004E14C3" w:rsidRPr="004E14C3" w:rsidRDefault="004E14C3" w:rsidP="004E14C3">
      <w:r>
        <w:lastRenderedPageBreak/>
        <w:t xml:space="preserve">The overall safety </w:t>
      </w:r>
      <w:r w:rsidR="00B93C9C">
        <w:t>pro</w:t>
      </w:r>
      <w:r w:rsidR="00B93C9C">
        <w:rPr>
          <w:rFonts w:cs="Cambria"/>
        </w:rPr>
        <w:t>f</w:t>
      </w:r>
      <w:r w:rsidR="00B93C9C">
        <w:t>ile</w:t>
      </w:r>
      <w:r>
        <w:t xml:space="preserve"> of ublituximab appears acceptable. Ublituximab can be considered approvable from a clinical safety perspective.</w:t>
      </w:r>
    </w:p>
    <w:p w14:paraId="307F236C" w14:textId="7FD19BD3" w:rsidR="00C22214" w:rsidRPr="002E238E" w:rsidRDefault="0046285C" w:rsidP="00C22214">
      <w:pPr>
        <w:pStyle w:val="Heading2"/>
      </w:pPr>
      <w:bookmarkStart w:id="60" w:name="_Toc247691532"/>
      <w:bookmarkStart w:id="61" w:name="_Toc314842516"/>
      <w:bookmarkStart w:id="62" w:name="_Toc103679300"/>
      <w:bookmarkStart w:id="63" w:name="_Toc225502006"/>
      <w:r>
        <w:t>Assessment</w:t>
      </w:r>
      <w:r w:rsidR="00190853">
        <w:t xml:space="preserve"> </w:t>
      </w:r>
      <w:r>
        <w:t>o</w:t>
      </w:r>
      <w:r w:rsidR="00C22214">
        <w:t>utcome</w:t>
      </w:r>
      <w:bookmarkEnd w:id="60"/>
      <w:bookmarkEnd w:id="61"/>
      <w:bookmarkEnd w:id="62"/>
      <w:bookmarkEnd w:id="63"/>
    </w:p>
    <w:p w14:paraId="4EF22939" w14:textId="2FEFA09A" w:rsidR="00C22214" w:rsidRDefault="00C22214" w:rsidP="0006104E">
      <w:r w:rsidRPr="0017005C">
        <w:t xml:space="preserve">Based on a review of quality, safety, and efficacy, the TGA </w:t>
      </w:r>
      <w:r w:rsidR="00B46DFB">
        <w:t>decided to</w:t>
      </w:r>
      <w:r w:rsidRPr="0017005C">
        <w:t xml:space="preserve"> regist</w:t>
      </w:r>
      <w:r w:rsidR="00B46DFB">
        <w:t>er</w:t>
      </w:r>
      <w:r w:rsidRPr="0017005C">
        <w:t xml:space="preserve"> </w:t>
      </w:r>
      <w:r w:rsidR="00022B92">
        <w:t>Briumvi</w:t>
      </w:r>
      <w:r w:rsidR="00B81A55" w:rsidRPr="00B81A55">
        <w:t xml:space="preserve"> </w:t>
      </w:r>
      <w:r w:rsidR="00B81A55">
        <w:t>(</w:t>
      </w:r>
      <w:r w:rsidR="00B81A55" w:rsidRPr="00B81A55">
        <w:t>ublituximab</w:t>
      </w:r>
      <w:r w:rsidR="00B81A55">
        <w:t>)</w:t>
      </w:r>
      <w:r w:rsidRPr="0017005C">
        <w:t xml:space="preserve"> for the following indication:</w:t>
      </w:r>
    </w:p>
    <w:p w14:paraId="045801E7" w14:textId="38968A99" w:rsidR="00B81A55" w:rsidRPr="0017005C" w:rsidRDefault="00022B92" w:rsidP="00B81A55">
      <w:pPr>
        <w:pStyle w:val="Indication"/>
      </w:pPr>
      <w:r>
        <w:t>Briumvi</w:t>
      </w:r>
      <w:r w:rsidR="00B81A55" w:rsidRPr="00B81A55">
        <w:t xml:space="preserve"> is indicated for the treatment of adult patients with relapsing forms of multiple sclerosis (RMS) with active disease defined by clinical or imaging features</w:t>
      </w:r>
    </w:p>
    <w:p w14:paraId="0D732DA4" w14:textId="74882685" w:rsidR="00854D98" w:rsidRDefault="00854D98" w:rsidP="004B2938">
      <w:pPr>
        <w:pStyle w:val="Heading4"/>
      </w:pPr>
      <w:bookmarkStart w:id="64" w:name="_Toc225502007"/>
      <w:bookmarkStart w:id="65" w:name="_Toc103679301"/>
      <w:r w:rsidRPr="00D23139">
        <w:t>Specific conditions of registration</w:t>
      </w:r>
      <w:bookmarkEnd w:id="64"/>
      <w:r w:rsidRPr="00D23139">
        <w:t xml:space="preserve"> </w:t>
      </w:r>
      <w:bookmarkEnd w:id="65"/>
    </w:p>
    <w:p w14:paraId="01D71D20" w14:textId="0D7796BF" w:rsidR="00EE5F18" w:rsidRDefault="00022B92" w:rsidP="00EE5F18">
      <w:r>
        <w:t>Briumvi</w:t>
      </w:r>
      <w:r w:rsidR="00EE5F18">
        <w:t xml:space="preserve"> (Ublituximab) is to be included in the Black Triangle Scheme. The PI and CMI for </w:t>
      </w:r>
      <w:r>
        <w:t>Briumvi</w:t>
      </w:r>
      <w:r w:rsidR="00EE5F18">
        <w:t xml:space="preserve"> must include the black triangle symbol and mandatory accompanying text for five years, which starts from the date of first supply of the product.</w:t>
      </w:r>
    </w:p>
    <w:p w14:paraId="6F9D1338" w14:textId="657A97DD" w:rsidR="00EE5F18" w:rsidRDefault="00EE5F18" w:rsidP="00EE5F18">
      <w:r>
        <w:t xml:space="preserve">The </w:t>
      </w:r>
      <w:r w:rsidR="00022B92">
        <w:t>Briumvi</w:t>
      </w:r>
      <w:r>
        <w:t xml:space="preserve"> EU-Risk Management Plan (RMP) (version 1.2, dated 20 November 2023, data lock point 10 October 2023), with Australia-Specific Annex (ASA) (version 0.2, dated 14 January 2025), included with submission PM-2024-02503-1-1, and any subsequent revisions, as agreed with the TGA will be implemented in Australia.</w:t>
      </w:r>
    </w:p>
    <w:p w14:paraId="77F7403B" w14:textId="1BA7BE34" w:rsidR="00EE5F18" w:rsidRDefault="00EE5F18" w:rsidP="00EE5F18">
      <w:r>
        <w:t>An obligatory component of risk management plans is routine pharmacovigilance. Routine pharmacovigilance includes the submission of periodic safety update reports (PSURs).</w:t>
      </w:r>
    </w:p>
    <w:p w14:paraId="27B0C462" w14:textId="77777777" w:rsidR="00EE5F18" w:rsidRDefault="00EE5F18" w:rsidP="00EE5F18">
      <w:r>
        <w:t>Reports are to be provided in line with the current published list of EU reference dates and frequency of submission of PSURs until the period covered by such reports is not less than three years from the date of this approval letter. Each report must be submitted within ninety calendar days of the data lock point for that report.</w:t>
      </w:r>
    </w:p>
    <w:p w14:paraId="6D85B12A" w14:textId="37A4472C" w:rsidR="00EE5F18" w:rsidRDefault="00EE5F18" w:rsidP="00EE5F18">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p>
    <w:p w14:paraId="0D7AA8F8" w14:textId="635BB037" w:rsidR="00EE5F18" w:rsidRDefault="00EE5F18" w:rsidP="00EE5F18">
      <w:r>
        <w:t>Laboratory testing &amp; compliance with Certified Product Details (CPD)</w:t>
      </w:r>
    </w:p>
    <w:p w14:paraId="35B0D769" w14:textId="294416C7" w:rsidR="00EE5F18" w:rsidRDefault="00EE5F18" w:rsidP="00EE5F18">
      <w:pPr>
        <w:pStyle w:val="ListBullet"/>
      </w:pPr>
      <w:r>
        <w:t xml:space="preserve">All batches of </w:t>
      </w:r>
      <w:r w:rsidR="00022B92">
        <w:t>Briumvi</w:t>
      </w:r>
      <w:r>
        <w:t xml:space="preserve"> ublituximab 150 mg/6 mL concentrated injection for infusion vial supplied in Australia must comply with the product details and specifications approved during evaluation and detailed in the Certified Product Details (CPD).</w:t>
      </w:r>
    </w:p>
    <w:p w14:paraId="4F27692C" w14:textId="05346EF4" w:rsidR="00EE5F18" w:rsidRDefault="00EE5F18" w:rsidP="00EE5F18">
      <w:pPr>
        <w:pStyle w:val="ListBullet"/>
      </w:pPr>
      <w:r>
        <w:t>When requested by the TGA, the Sponsor should be prepared to provide product samples, specified reference materials and documentary evidence to enable the TGA to conduct laboratory testing on the Product. Outcomes of laboratory testing are published biannually in the TGA Database of Laboratory Testing Results http://www.tga.gov.au/ws-labs-index and periodically in testing reports on the TGA website.</w:t>
      </w:r>
    </w:p>
    <w:p w14:paraId="689E7827" w14:textId="6A005CC7" w:rsidR="00EE5F18" w:rsidRDefault="00EE5F18" w:rsidP="00EE5F18">
      <w:r>
        <w:t xml:space="preserve">Certified </w:t>
      </w:r>
      <w:r w:rsidR="00D83D85">
        <w:t>product d</w:t>
      </w:r>
      <w:r>
        <w:t>etails</w:t>
      </w:r>
    </w:p>
    <w:p w14:paraId="22744FDB" w14:textId="77777777" w:rsidR="00EE5F18" w:rsidRDefault="00EE5F18" w:rsidP="00EE5F18">
      <w:pPr>
        <w:pStyle w:val="ListBullet"/>
      </w:pPr>
      <w:r>
        <w:t>The Certified Product Details (CPD), as described in Guidance 7: Certified Product Details of the Australian Regulatory Guidelines for Prescription Medicines (ARGPM),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p>
    <w:p w14:paraId="6328364F" w14:textId="7432BA06" w:rsidR="00EE5F18" w:rsidRDefault="00EE5F18" w:rsidP="00EE5F18">
      <w:pPr>
        <w:pStyle w:val="ListBullet"/>
      </w:pPr>
      <w:r>
        <w:lastRenderedPageBreak/>
        <w:t>A template for preparation of CPD for biological prescription medicines can be obtained from the TGA website:</w:t>
      </w:r>
    </w:p>
    <w:p w14:paraId="752AAD74" w14:textId="79AC292D" w:rsidR="00EE5F18" w:rsidRDefault="006D1B32" w:rsidP="00EE5F18">
      <w:hyperlink r:id="rId27" w:history="1">
        <w:r>
          <w:rPr>
            <w:rStyle w:val="Hyperlink"/>
          </w:rPr>
          <w:t>Certified Product Details guidance</w:t>
        </w:r>
      </w:hyperlink>
      <w:r>
        <w:t xml:space="preserve"> </w:t>
      </w:r>
      <w:r w:rsidR="00EE5F18">
        <w:t xml:space="preserve">[for the form] </w:t>
      </w:r>
    </w:p>
    <w:p w14:paraId="063D2C08" w14:textId="6A3C7761" w:rsidR="00EE5F18" w:rsidRPr="00EE5F18" w:rsidRDefault="006D1B32" w:rsidP="00EE5F18">
      <w:hyperlink r:id="rId28" w:history="1">
        <w:r>
          <w:rPr>
            <w:color w:val="0000FF"/>
            <w:u w:val="single"/>
          </w:rPr>
          <w:t>Certified Product Details form</w:t>
        </w:r>
      </w:hyperlink>
      <w:r>
        <w:t xml:space="preserve"> </w:t>
      </w:r>
      <w:r w:rsidR="00EE5F18">
        <w:t>[for the CPD guidance]</w:t>
      </w:r>
    </w:p>
    <w:p w14:paraId="0F9C1952" w14:textId="46BD475E" w:rsidR="00BA657C" w:rsidRPr="00BA657C" w:rsidRDefault="00BA657C" w:rsidP="00D83D85">
      <w:pPr>
        <w:pStyle w:val="Heading2"/>
      </w:pPr>
      <w:bookmarkStart w:id="66" w:name="_Toc225502008"/>
      <w:bookmarkStart w:id="67" w:name="_Toc196738290"/>
      <w:r w:rsidRPr="00BA657C">
        <w:t>Product Information and Consumer Medicine Information</w:t>
      </w:r>
      <w:bookmarkEnd w:id="66"/>
      <w:r w:rsidRPr="00BA657C">
        <w:t xml:space="preserve"> </w:t>
      </w:r>
      <w:bookmarkEnd w:id="67"/>
    </w:p>
    <w:p w14:paraId="5F276616" w14:textId="6667B73D" w:rsidR="004D0933" w:rsidRDefault="004D0933" w:rsidP="004D0933">
      <w:bookmarkStart w:id="68" w:name="_Hlk200021736"/>
      <w:r w:rsidRPr="004D0933">
        <w:t xml:space="preserve">For the most recent Product Information (PI) and Consumer Medicine Information (CMI), please refer to the TGA </w:t>
      </w:r>
      <w:hyperlink r:id="rId29" w:history="1">
        <w:r w:rsidRPr="004D0933">
          <w:rPr>
            <w:rStyle w:val="Hyperlink"/>
          </w:rPr>
          <w:t>PI/CMI search facility.</w:t>
        </w:r>
      </w:hyperlink>
    </w:p>
    <w:p w14:paraId="6067680F" w14:textId="77777777" w:rsidR="00E56A41" w:rsidRPr="00EE5F18" w:rsidRDefault="00E56A41" w:rsidP="004D0933">
      <w:pPr>
        <w:rPr>
          <w:lang w:val="en-US"/>
        </w:rPr>
      </w:pPr>
    </w:p>
    <w:bookmarkEnd w:id="68"/>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7452E8">
          <w:headerReference w:type="default" r:id="rId30"/>
          <w:footerReference w:type="default" r:id="rId31"/>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32"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1519D7A3" w:rsidR="00F02AEC" w:rsidRPr="00215D48" w:rsidRDefault="00F02AEC">
            <w:pPr>
              <w:pStyle w:val="Address"/>
              <w:jc w:val="center"/>
              <w:rPr>
                <w:rStyle w:val="Hyperlink"/>
                <w:b/>
                <w:color w:val="auto"/>
                <w:sz w:val="22"/>
              </w:rPr>
            </w:pPr>
            <w:hyperlink r:id="rId33" w:history="1">
              <w:r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34"/>
      <w:footerReference w:type="first" r:id="rId35"/>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152E60" w14:textId="77777777" w:rsidR="00D7083A" w:rsidRDefault="00D7083A" w:rsidP="00F02AEC">
      <w:pPr>
        <w:spacing w:after="0" w:line="240" w:lineRule="auto"/>
      </w:pPr>
      <w:r>
        <w:separator/>
      </w:r>
    </w:p>
  </w:endnote>
  <w:endnote w:type="continuationSeparator" w:id="0">
    <w:p w14:paraId="56E82403" w14:textId="77777777" w:rsidR="00D7083A" w:rsidRDefault="00D7083A"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A2E20" w14:textId="32DF121F" w:rsidR="007E4FF8" w:rsidRDefault="007E4FF8">
    <w:pPr>
      <w:pStyle w:val="Footer"/>
    </w:pPr>
    <w:r>
      <w:rPr>
        <w:noProof/>
      </w:rPr>
      <mc:AlternateContent>
        <mc:Choice Requires="wps">
          <w:drawing>
            <wp:anchor distT="0" distB="0" distL="0" distR="0" simplePos="0" relativeHeight="251667456" behindDoc="0" locked="0" layoutInCell="1" allowOverlap="1" wp14:anchorId="32C7110B" wp14:editId="569C8F27">
              <wp:simplePos x="635" y="635"/>
              <wp:positionH relativeFrom="page">
                <wp:align>center</wp:align>
              </wp:positionH>
              <wp:positionV relativeFrom="page">
                <wp:align>bottom</wp:align>
              </wp:positionV>
              <wp:extent cx="622300" cy="391160"/>
              <wp:effectExtent l="0" t="0" r="6350" b="0"/>
              <wp:wrapNone/>
              <wp:docPr id="177436847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933EE99" w14:textId="0855600B"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C7110B" id="_x0000_t202" coordsize="21600,21600" o:spt="202" path="m,l,21600r21600,l21600,xe">
              <v:stroke joinstyle="miter"/>
              <v:path gradientshapeok="t" o:connecttype="rect"/>
            </v:shapetype>
            <v:shape id="Text Box 7" o:spid="_x0000_s1028" type="#_x0000_t202" alt="OFFICIAL" style="position:absolute;margin-left:0;margin-top:0;width:49pt;height:30.8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PdT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0rPh2n30J9pKUQTnx7J1cttV4LH54FEsE0LYk2&#10;PNGhDfQVh7PFWQP482/+mE+4U5SzngRTcUuK5sx8t8RH1NZo4Ghsk1Hc5p8jPHbf3QPJsKAX4WQy&#10;yYvBjKZG6F5JzsvYiELCSmpX8e1o3oeTcuk5SLVcpiSSkRNhbTdOxtIRrojly/Aq0J0BD8TUI4xq&#10;EuU73E+58aZ3y30g9BMpEdoTkGfESYKJq/NziRp/+5+yro968Qs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LoM91MNAgAAHAQA&#10;AA4AAAAAAAAAAAAAAAAALgIAAGRycy9lMm9Eb2MueG1sUEsBAi0AFAAGAAgAAAAhAIJRlNfaAAAA&#10;AwEAAA8AAAAAAAAAAAAAAAAAZwQAAGRycy9kb3ducmV2LnhtbFBLBQYAAAAABAAEAPMAAABuBQAA&#10;AAA=&#10;" filled="f" stroked="f">
              <v:textbox style="mso-fit-shape-to-text:t" inset="0,0,0,15pt">
                <w:txbxContent>
                  <w:p w14:paraId="6933EE99" w14:textId="0855600B"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60D2B97E" w:rsidR="007452E8" w:rsidRDefault="007E4FF8" w:rsidP="007452E8">
          <w:pPr>
            <w:pStyle w:val="Footer"/>
          </w:pPr>
          <w:r>
            <w:rPr>
              <w:noProof/>
            </w:rPr>
            <mc:AlternateContent>
              <mc:Choice Requires="wps">
                <w:drawing>
                  <wp:anchor distT="0" distB="0" distL="0" distR="0" simplePos="0" relativeHeight="251668480" behindDoc="0" locked="0" layoutInCell="1" allowOverlap="1" wp14:anchorId="553C4243" wp14:editId="4C2D54EB">
                    <wp:simplePos x="635" y="635"/>
                    <wp:positionH relativeFrom="page">
                      <wp:align>center</wp:align>
                    </wp:positionH>
                    <wp:positionV relativeFrom="page">
                      <wp:align>bottom</wp:align>
                    </wp:positionV>
                    <wp:extent cx="622300" cy="391160"/>
                    <wp:effectExtent l="0" t="0" r="6350" b="0"/>
                    <wp:wrapNone/>
                    <wp:docPr id="973010959"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1E1F748" w14:textId="24D8435A"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3C4243" id="_x0000_t202" coordsize="21600,21600" o:spt="202" path="m,l,21600r21600,l21600,xe">
                    <v:stroke joinstyle="miter"/>
                    <v:path gradientshapeok="t" o:connecttype="rect"/>
                  </v:shapetype>
                  <v:shape id="Text Box 8" o:spid="_x0000_s1029" type="#_x0000_t202" alt="OFFICIAL" style="position:absolute;margin-left:0;margin-top:0;width:49pt;height:30.8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Vu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2p+Tj9FuojLYVw4ts7uWqp9Vr48CyQCKZpSbTh&#10;iQ5toK84nC3OGsCff/PHfMKdopz1JJiKW1I0Z+a7JT6itkYDR2ObjOI2/xzhsfvuHkiGBb0IJ5NJ&#10;XgxmNDVC90pyXsZGFBJWUruKb0fzPpyUS89BquUyJZGMnAhru3Eylo5wRSxfhleB7gx4IKYeYVST&#10;KN/hfsqNN71b7gOhn0iJ0J6APCNOEkxcnZ9L1Pjb/5R1fdSLXwA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NezRW4NAgAAHAQA&#10;AA4AAAAAAAAAAAAAAAAALgIAAGRycy9lMm9Eb2MueG1sUEsBAi0AFAAGAAgAAAAhAIJRlNfaAAAA&#10;AwEAAA8AAAAAAAAAAAAAAAAAZwQAAGRycy9kb3ducmV2LnhtbFBLBQYAAAAABAAEAPMAAABuBQAA&#10;AAA=&#10;" filled="f" stroked="f">
                    <v:textbox style="mso-fit-shape-to-text:t" inset="0,0,0,15pt">
                      <w:txbxContent>
                        <w:p w14:paraId="11E1F748" w14:textId="24D8435A"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7F1E37">
                <w:fldChar w:fldCharType="begin"/>
              </w:r>
              <w:r w:rsidR="007F1E37">
                <w:instrText xml:space="preserve"> NUMPAGES  </w:instrText>
              </w:r>
              <w:r w:rsidR="007F1E37">
                <w:fldChar w:fldCharType="separate"/>
              </w:r>
              <w:r>
                <w:rPr>
                  <w:noProof/>
                </w:rPr>
                <w:t>2</w:t>
              </w:r>
              <w:r w:rsidR="007F1E37">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766C74AA" w:rsidR="007452E8" w:rsidRDefault="007E4FF8" w:rsidP="007452E8">
    <w:pPr>
      <w:pStyle w:val="Footer"/>
      <w:ind w:left="-1701"/>
    </w:pPr>
    <w:r>
      <w:rPr>
        <w:noProof/>
      </w:rPr>
      <mc:AlternateContent>
        <mc:Choice Requires="wps">
          <w:drawing>
            <wp:anchor distT="0" distB="0" distL="0" distR="0" simplePos="0" relativeHeight="251666432" behindDoc="0" locked="0" layoutInCell="1" allowOverlap="1" wp14:anchorId="39C48635" wp14:editId="0BB44853">
              <wp:simplePos x="635" y="635"/>
              <wp:positionH relativeFrom="page">
                <wp:align>center</wp:align>
              </wp:positionH>
              <wp:positionV relativeFrom="page">
                <wp:align>bottom</wp:align>
              </wp:positionV>
              <wp:extent cx="622300" cy="391160"/>
              <wp:effectExtent l="0" t="0" r="6350" b="0"/>
              <wp:wrapNone/>
              <wp:docPr id="389281854"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33C04EA" w14:textId="00952F0C"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C48635" id="_x0000_t202" coordsize="21600,21600" o:spt="202" path="m,l,21600r21600,l21600,xe">
              <v:stroke joinstyle="miter"/>
              <v:path gradientshapeok="t" o:connecttype="rect"/>
            </v:shapetype>
            <v:shape id="Text Box 6" o:spid="_x0000_s1031" type="#_x0000_t202" alt="OFFICIAL" style="position:absolute;left:0;text-align:left;margin-left:0;margin-top:0;width:49pt;height:30.8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C5MOrjDgIAABwE&#10;AAAOAAAAAAAAAAAAAAAAAC4CAABkcnMvZTJvRG9jLnhtbFBLAQItABQABgAIAAAAIQCCUZTX2gAA&#10;AAMBAAAPAAAAAAAAAAAAAAAAAGgEAABkcnMvZG93bnJldi54bWxQSwUGAAAAAAQABADzAAAAbwUA&#10;AAAA&#10;" filled="f" stroked="f">
              <v:textbox style="mso-fit-shape-to-text:t" inset="0,0,0,15pt">
                <w:txbxContent>
                  <w:p w14:paraId="133C04EA" w14:textId="00952F0C"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r w:rsidR="007452E8" w:rsidRPr="002B29B2">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3DF480EF" w:rsidR="007452E8" w:rsidRPr="005521A0" w:rsidRDefault="007E4FF8" w:rsidP="007452E8">
          <w:pPr>
            <w:pStyle w:val="Footer"/>
          </w:pPr>
          <w:r w:rsidRPr="005521A0">
            <w:rPr>
              <w:noProof/>
            </w:rPr>
            <mc:AlternateContent>
              <mc:Choice Requires="wps">
                <w:drawing>
                  <wp:anchor distT="0" distB="0" distL="0" distR="0" simplePos="0" relativeHeight="251669504" behindDoc="0" locked="0" layoutInCell="1" allowOverlap="1" wp14:anchorId="17DC9217" wp14:editId="6D91AF89">
                    <wp:simplePos x="0" y="0"/>
                    <wp:positionH relativeFrom="page">
                      <wp:posOffset>2541270</wp:posOffset>
                    </wp:positionH>
                    <wp:positionV relativeFrom="page">
                      <wp:posOffset>137160</wp:posOffset>
                    </wp:positionV>
                    <wp:extent cx="622300" cy="391160"/>
                    <wp:effectExtent l="0" t="0" r="6350" b="0"/>
                    <wp:wrapNone/>
                    <wp:docPr id="841974005"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5169AE7" w14:textId="1F415A19"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DC9217" id="_x0000_t202" coordsize="21600,21600" o:spt="202" path="m,l,21600r21600,l21600,xe">
                    <v:stroke joinstyle="miter"/>
                    <v:path gradientshapeok="t" o:connecttype="rect"/>
                  </v:shapetype>
                  <v:shape id="Text Box 9" o:spid="_x0000_s1033" type="#_x0000_t202" alt="OFFICIAL" style="position:absolute;margin-left:200.1pt;margin-top:10.8pt;width:49pt;height:30.8pt;z-index:251669504;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" filled="f" stroked="f">
                    <v:textbox style="mso-fit-shape-to-text:t" inset="0,0,0,15pt">
                      <w:txbxContent>
                        <w:p w14:paraId="15169AE7" w14:textId="1F415A19"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r w:rsidR="007452E8" w:rsidRPr="005521A0">
            <w:t xml:space="preserve">AusPAR </w:t>
          </w:r>
          <w:r w:rsidR="00373B1A" w:rsidRPr="005521A0">
            <w:t>–</w:t>
          </w:r>
          <w:r w:rsidR="007452E8" w:rsidRPr="005521A0">
            <w:t xml:space="preserve"> </w:t>
          </w:r>
          <w:r w:rsidR="00022B92" w:rsidRPr="005521A0">
            <w:t>Briumvi</w:t>
          </w:r>
          <w:r w:rsidR="00373B1A" w:rsidRPr="005521A0">
            <w:t xml:space="preserve"> - ublituximab </w:t>
          </w:r>
          <w:r w:rsidR="008C754C" w:rsidRPr="005521A0">
            <w:t>-</w:t>
          </w:r>
          <w:r w:rsidR="007452E8" w:rsidRPr="005521A0">
            <w:t xml:space="preserve"> </w:t>
          </w:r>
          <w:proofErr w:type="spellStart"/>
          <w:r w:rsidR="00373B1A" w:rsidRPr="005521A0">
            <w:t>Accelagen</w:t>
          </w:r>
          <w:proofErr w:type="spellEnd"/>
          <w:r w:rsidR="00373B1A" w:rsidRPr="005521A0">
            <w:t xml:space="preserve"> Pty Ltd </w:t>
          </w:r>
          <w:r w:rsidR="007452E8" w:rsidRPr="005521A0">
            <w:t xml:space="preserve">- </w:t>
          </w:r>
          <w:r w:rsidR="00373B1A" w:rsidRPr="005521A0">
            <w:t>PM-2024-02503-1-1 – Type A</w:t>
          </w:r>
          <w:r w:rsidR="007452E8" w:rsidRPr="005521A0">
            <w:br/>
            <w:t>Date of Finalisation</w:t>
          </w:r>
          <w:r w:rsidR="005521A0" w:rsidRPr="005521A0">
            <w:t>: 27 March 2026</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5521A0">
                <w:t xml:space="preserve">Page </w:t>
              </w:r>
              <w:r w:rsidRPr="005521A0">
                <w:fldChar w:fldCharType="begin"/>
              </w:r>
              <w:r w:rsidRPr="005521A0">
                <w:instrText xml:space="preserve"> PAGE </w:instrText>
              </w:r>
              <w:r w:rsidRPr="005521A0">
                <w:fldChar w:fldCharType="separate"/>
              </w:r>
              <w:r w:rsidR="006D6B44" w:rsidRPr="005521A0">
                <w:rPr>
                  <w:noProof/>
                </w:rPr>
                <w:t>13</w:t>
              </w:r>
              <w:r w:rsidRPr="005521A0">
                <w:rPr>
                  <w:noProof/>
                </w:rPr>
                <w:fldChar w:fldCharType="end"/>
              </w:r>
              <w:r w:rsidRPr="005521A0">
                <w:t xml:space="preserve"> of </w:t>
              </w:r>
              <w:r w:rsidR="007F1E37" w:rsidRPr="005521A0">
                <w:fldChar w:fldCharType="begin"/>
              </w:r>
              <w:r w:rsidR="007F1E37" w:rsidRPr="005521A0">
                <w:instrText xml:space="preserve"> NUMPAGES  </w:instrText>
              </w:r>
              <w:r w:rsidR="007F1E37" w:rsidRPr="005521A0">
                <w:fldChar w:fldCharType="separate"/>
              </w:r>
              <w:r w:rsidR="006D6B44" w:rsidRPr="005521A0">
                <w:rPr>
                  <w:noProof/>
                </w:rPr>
                <w:t>17</w:t>
              </w:r>
              <w:r w:rsidR="007F1E37" w:rsidRPr="005521A0">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26045BC3" w:rsidR="007452E8" w:rsidRPr="008E3C43" w:rsidRDefault="007E4FF8" w:rsidP="007452E8">
    <w:pPr>
      <w:pStyle w:val="Footer"/>
    </w:pPr>
    <w:r>
      <w:rPr>
        <w:noProof/>
      </w:rPr>
      <mc:AlternateContent>
        <mc:Choice Requires="wps">
          <w:drawing>
            <wp:anchor distT="0" distB="0" distL="0" distR="0" simplePos="0" relativeHeight="251670528" behindDoc="0" locked="0" layoutInCell="1" allowOverlap="1" wp14:anchorId="104118EA" wp14:editId="6897F4AA">
              <wp:simplePos x="635" y="635"/>
              <wp:positionH relativeFrom="page">
                <wp:align>center</wp:align>
              </wp:positionH>
              <wp:positionV relativeFrom="page">
                <wp:align>bottom</wp:align>
              </wp:positionV>
              <wp:extent cx="622300" cy="391160"/>
              <wp:effectExtent l="0" t="0" r="6350" b="0"/>
              <wp:wrapNone/>
              <wp:docPr id="909700883"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724C2C46" w14:textId="6F4B6194"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4118EA" id="_x0000_t202" coordsize="21600,21600" o:spt="202" path="m,l,21600r21600,l21600,xe">
              <v:stroke joinstyle="miter"/>
              <v:path gradientshapeok="t" o:connecttype="rect"/>
            </v:shapetype>
            <v:shape id="Text Box 10" o:spid="_x0000_s1035" type="#_x0000_t202" alt="OFFICIAL" style="position:absolute;margin-left:0;margin-top:0;width:49pt;height:30.8pt;z-index:251670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QjDg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0rfjtOv4X6SEshnPj2Tq5aar0WPjwLJIJpWhJt&#10;eKJDG+grDmeLswbw59/8MZ9wpyhnPQmm4pYUzZn5bomPqK3RwNHYJqO4zT9HeOy+uweSYUEvwslk&#10;kheDGU2N0L2SnJexEYWEldSu4tvRvA8n5dJzkGq5TEkkIyfC2m6cjKUjXBHLl+FVoDsDHoipRxjV&#10;JMp3uJ9y403vlvtA6CdSIrQnIM+IkwQTV+fnEjX+9j9lXR/14hc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AkMMQjDgIAABwE&#10;AAAOAAAAAAAAAAAAAAAAAC4CAABkcnMvZTJvRG9jLnhtbFBLAQItABQABgAIAAAAIQCCUZTX2gAA&#10;AAMBAAAPAAAAAAAAAAAAAAAAAGgEAABkcnMvZG93bnJldi54bWxQSwUGAAAAAAQABADzAAAAbwUA&#10;AAAA&#10;" filled="f" stroked="f">
              <v:textbox style="mso-fit-shape-to-text:t" inset="0,0,0,15pt">
                <w:txbxContent>
                  <w:p w14:paraId="724C2C46" w14:textId="6F4B6194"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24F35D" w14:textId="77777777" w:rsidR="00D7083A" w:rsidRDefault="00D7083A" w:rsidP="00F02AEC">
      <w:pPr>
        <w:spacing w:after="0" w:line="240" w:lineRule="auto"/>
      </w:pPr>
      <w:r>
        <w:separator/>
      </w:r>
    </w:p>
  </w:footnote>
  <w:footnote w:type="continuationSeparator" w:id="0">
    <w:p w14:paraId="5EC31D67" w14:textId="77777777" w:rsidR="00D7083A" w:rsidRDefault="00D7083A" w:rsidP="00F02AEC">
      <w:pPr>
        <w:spacing w:after="0" w:line="240" w:lineRule="auto"/>
      </w:pPr>
      <w:r>
        <w:continuationSeparator/>
      </w:r>
    </w:p>
  </w:footnote>
  <w:footnote w:id="1">
    <w:p w14:paraId="68402A9B" w14:textId="42E6F8E0"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2">
    <w:p w14:paraId="6071422C" w14:textId="2CC928CC" w:rsidR="00DD2ADC" w:rsidRDefault="00DD2ADC" w:rsidP="00DD2ADC">
      <w:pPr>
        <w:pStyle w:val="FootnoteText"/>
      </w:pPr>
      <w:r>
        <w:rPr>
          <w:rStyle w:val="FootnoteReference"/>
        </w:rPr>
        <w:footnoteRef/>
      </w:r>
      <w:r>
        <w:t xml:space="preserve"> National MS Society. The National Multiple Sclerosis Society. 2020; </w:t>
      </w:r>
      <w:hyperlink r:id="rId1" w:history="1">
        <w:r w:rsidRPr="00CA4C08">
          <w:rPr>
            <w:rStyle w:val="Hyperlink"/>
          </w:rPr>
          <w:t>https://www.nationalmssociety.org</w:t>
        </w:r>
      </w:hyperlink>
      <w:r>
        <w:t xml:space="preserve"> </w:t>
      </w:r>
    </w:p>
  </w:footnote>
  <w:footnote w:id="3">
    <w:p w14:paraId="7D85AEC0" w14:textId="605D81B8" w:rsidR="008B59B3" w:rsidRDefault="008B59B3">
      <w:pPr>
        <w:pStyle w:val="FootnoteText"/>
      </w:pPr>
      <w:r>
        <w:rPr>
          <w:rStyle w:val="FootnoteReference"/>
        </w:rPr>
        <w:footnoteRef/>
      </w:r>
      <w:r>
        <w:t xml:space="preserve"> </w:t>
      </w:r>
      <w:r w:rsidRPr="008B59B3">
        <w:t xml:space="preserve">Lublin FD, Reingold SC, Cohen JA, Cutter GR, Sørensen PS, Thompson AJ, Wolinsky JS, Balcer LJ, Banwell B, </w:t>
      </w:r>
      <w:r w:rsidRPr="008B59B3">
        <w:t>Barkhof F, Bebo B Jr, Calabresi PA, Clanet M, Comi G, Fox RJ, Freedman MS, Goodman AD, Inglese M, Kappos L, Kieseier BC, Lincoln JA, Lubetzki C, Miller AE, Montalban X, O'Connor PW, Petkau J, Pozzilli C, Rudick RA, Sormani MP, Stüve O, Waubant E, Polman CH. Defining the clinical course of multiple sclerosis: the 2013 revisions. Neurology. 2014 Jul 15;83(3):278-86. doi: 10.1212/WNL.0000000000000560. Epub 2014 May 28. PMID: 24871874; PMCID: PMC4117366.</w:t>
      </w:r>
    </w:p>
  </w:footnote>
  <w:footnote w:id="4">
    <w:p w14:paraId="407BE166" w14:textId="34EE3823" w:rsidR="00352D74" w:rsidRDefault="00352D74" w:rsidP="00352D74">
      <w:pPr>
        <w:pStyle w:val="FootnoteText"/>
      </w:pPr>
      <w:r>
        <w:rPr>
          <w:rStyle w:val="FootnoteReference"/>
        </w:rPr>
        <w:footnoteRef/>
      </w:r>
      <w:r>
        <w:t xml:space="preserve"> Lublin FD, Coetzee T, Cohen JA, Marrie RA, Thompson AJ, on behalf of the International Advisory Committee on Clinical Trials in MS. The 2013 clinical course descriptors for multiple sclerosis. Neurology. 2020;94(24):1088</w:t>
      </w:r>
    </w:p>
  </w:footnote>
  <w:footnote w:id="5">
    <w:p w14:paraId="73E3B9BA" w14:textId="3240E954" w:rsidR="00A81CB5" w:rsidRDefault="00A81CB5" w:rsidP="00A81CB5">
      <w:pPr>
        <w:pStyle w:val="FootnoteText"/>
      </w:pPr>
      <w:r>
        <w:rPr>
          <w:rStyle w:val="FootnoteReference"/>
        </w:rPr>
        <w:footnoteRef/>
      </w:r>
      <w:r>
        <w:t xml:space="preserve"> Greenfield AL, Hauser SL. B-cell Therapy for Multiple Sclerosis: Entering an era. Ann Neurol.</w:t>
      </w:r>
      <w:r w:rsidR="00C31BA0">
        <w:t xml:space="preserve"> </w:t>
      </w:r>
      <w:r>
        <w:t>2018;83(1):13-26</w:t>
      </w:r>
    </w:p>
  </w:footnote>
  <w:footnote w:id="6">
    <w:p w14:paraId="32E3CCE0" w14:textId="49D6AEE2" w:rsidR="00C31BA0" w:rsidRDefault="00C31BA0" w:rsidP="00C31BA0">
      <w:pPr>
        <w:pStyle w:val="FootnoteText"/>
      </w:pPr>
      <w:r>
        <w:rPr>
          <w:rStyle w:val="FootnoteReference"/>
        </w:rPr>
        <w:footnoteRef/>
      </w:r>
      <w:r>
        <w:t xml:space="preserve"> Hauser SL, Cree BAC. Treatment of Multiple Sclerosis: A Review. Am J Med. 2020;133(12):1380-1390</w:t>
      </w:r>
    </w:p>
  </w:footnote>
  <w:footnote w:id="7">
    <w:p w14:paraId="384F6E6B" w14:textId="2F33048E" w:rsidR="00096AE2" w:rsidRPr="00A108CF" w:rsidRDefault="00096AE2" w:rsidP="00096AE2">
      <w:pPr>
        <w:pStyle w:val="FootnoteText"/>
        <w:rPr>
          <w:lang w:val="it-IT"/>
        </w:rPr>
      </w:pPr>
      <w:r>
        <w:rPr>
          <w:rStyle w:val="FootnoteReference"/>
        </w:rPr>
        <w:footnoteRef/>
      </w:r>
      <w:r>
        <w:t xml:space="preserve"> Hauser SL. The Charcot Lecture | beating MS: a story of B cells, with twists and turns. </w:t>
      </w:r>
      <w:r w:rsidRPr="00A108CF">
        <w:rPr>
          <w:lang w:val="it-IT"/>
        </w:rPr>
        <w:t>Multi Scler. 2015;21(1):8-21</w:t>
      </w:r>
    </w:p>
  </w:footnote>
  <w:footnote w:id="8">
    <w:p w14:paraId="484A45B2" w14:textId="45889A8E" w:rsidR="009518ED" w:rsidRDefault="009518ED" w:rsidP="009518ED">
      <w:pPr>
        <w:pStyle w:val="FootnoteText"/>
      </w:pPr>
      <w:r>
        <w:rPr>
          <w:rStyle w:val="FootnoteReference"/>
        </w:rPr>
        <w:footnoteRef/>
      </w:r>
      <w:r w:rsidRPr="009518ED">
        <w:rPr>
          <w:lang w:val="it-IT"/>
        </w:rPr>
        <w:t xml:space="preserve"> Graf JA-O, Mares J, Barnett M, et al. </w:t>
      </w:r>
      <w:r>
        <w:t xml:space="preserve">Targeting B Cells to Modify MS, NMOSD, and MOGAD: Part 1. Neurol </w:t>
      </w:r>
      <w:r>
        <w:t>Neuroimmunol Neuroinflamm. 2020;8(1</w:t>
      </w:r>
      <w:r>
        <w:t>):e918.</w:t>
      </w:r>
    </w:p>
  </w:footnote>
  <w:footnote w:id="9">
    <w:p w14:paraId="20B8D74F" w14:textId="4059465E" w:rsidR="006262E7" w:rsidRDefault="006262E7" w:rsidP="006262E7">
      <w:pPr>
        <w:pStyle w:val="FootnoteText"/>
      </w:pPr>
      <w:r>
        <w:rPr>
          <w:rStyle w:val="FootnoteReference"/>
        </w:rPr>
        <w:footnoteRef/>
      </w:r>
      <w:r>
        <w:t xml:space="preserve"> Teeling JL, Mackus </w:t>
      </w:r>
      <w:r>
        <w:t>Wj Fau - Wiegman LJJM, Wiegman Lj Fau - van den Brakel JHN, et al. The biological activity of human CD20 monoclonal antibodies is linked to unique epitopes on CD20. J Immunol. 2006;177(1):362-371.</w:t>
      </w:r>
    </w:p>
  </w:footnote>
  <w:footnote w:id="10">
    <w:p w14:paraId="33B4C279" w14:textId="716DA33A" w:rsidR="00A23B40" w:rsidRDefault="00A23B40" w:rsidP="00A739C1">
      <w:pPr>
        <w:pStyle w:val="FootnoteText"/>
      </w:pPr>
      <w:r>
        <w:rPr>
          <w:rStyle w:val="FootnoteReference"/>
        </w:rPr>
        <w:footnoteRef/>
      </w:r>
      <w:r>
        <w:t xml:space="preserve"> </w:t>
      </w:r>
      <w:r w:rsidR="00A739C1">
        <w:t xml:space="preserve">Klein C, </w:t>
      </w:r>
      <w:r w:rsidR="00A739C1">
        <w:t>Lammens A Fau - Schäfer W, Schäfer W Fau - Georges G, et al. Epitope interactions of monoclonal antibodies targeting CD20 and their relationship to functional properties. MAbs. 2013;5(1):22-33.</w:t>
      </w:r>
    </w:p>
  </w:footnote>
  <w:footnote w:id="11">
    <w:p w14:paraId="7B35939A" w14:textId="4BD95267" w:rsidR="00AA7F55" w:rsidRDefault="00AA7F55" w:rsidP="00AA7F55">
      <w:pPr>
        <w:pStyle w:val="FootnoteText"/>
      </w:pPr>
      <w:r>
        <w:rPr>
          <w:rStyle w:val="FootnoteReference"/>
        </w:rPr>
        <w:footnoteRef/>
      </w:r>
      <w:r>
        <w:t xml:space="preserve"> Bar-Or A, Calabresi Pa Fau - Arnold D, Arnold D Fau - Markowitz C, et al. Rituximab in relapsing-remitting multiple sclerosis: a 72-week, open-label, phase I trial. Ann Neurol. 2008;63(3):395-400.</w:t>
      </w:r>
    </w:p>
  </w:footnote>
  <w:footnote w:id="12">
    <w:p w14:paraId="4497F3BE" w14:textId="6E328449" w:rsidR="00C3608A" w:rsidRPr="00A108CF" w:rsidRDefault="00C3608A" w:rsidP="00C3608A">
      <w:pPr>
        <w:pStyle w:val="FootnoteText"/>
        <w:rPr>
          <w:lang w:val="it-IT"/>
        </w:rPr>
      </w:pPr>
      <w:r>
        <w:rPr>
          <w:rStyle w:val="FootnoteReference"/>
        </w:rPr>
        <w:footnoteRef/>
      </w:r>
      <w:r>
        <w:t xml:space="preserve"> Hauser SL, </w:t>
      </w:r>
      <w:r>
        <w:t xml:space="preserve">Waubant E Fau - Arnold DL, Arnold Dl Fau - Vollmer T, et al. B-cell depletion with rituximab in relapsing-remitting multiple sclerosis. </w:t>
      </w:r>
      <w:r w:rsidRPr="00A108CF">
        <w:rPr>
          <w:lang w:val="it-IT"/>
        </w:rPr>
        <w:t>N Engl J Med. 2008;358(7):676-688.</w:t>
      </w:r>
    </w:p>
  </w:footnote>
  <w:footnote w:id="13">
    <w:p w14:paraId="0DDC5E80" w14:textId="7F4DD98E" w:rsidR="00A6590A" w:rsidRDefault="00A6590A" w:rsidP="00A6590A">
      <w:pPr>
        <w:pStyle w:val="FootnoteText"/>
      </w:pPr>
      <w:r>
        <w:rPr>
          <w:rStyle w:val="FootnoteReference"/>
        </w:rPr>
        <w:footnoteRef/>
      </w:r>
      <w:r w:rsidRPr="00A6590A">
        <w:rPr>
          <w:lang w:val="it-IT"/>
        </w:rPr>
        <w:t xml:space="preserve"> Kappos L, Li D Fau - Calabresi PA, Calabresi Pa Fau - O'Connor P, et al. </w:t>
      </w:r>
      <w:r>
        <w:t>Ocrelizumab in relapsing-remitting multiple sclerosis: a phase 2, randomised, placebo-controlled, multicentre trial. Lancet (London, England). 2011;378(9805):1779-1787.</w:t>
      </w:r>
    </w:p>
  </w:footnote>
  <w:footnote w:id="14">
    <w:p w14:paraId="6C8FE83F" w14:textId="0A35A223" w:rsidR="000713E2" w:rsidRDefault="000713E2" w:rsidP="000713E2">
      <w:pPr>
        <w:pStyle w:val="FootnoteText"/>
      </w:pPr>
      <w:r>
        <w:rPr>
          <w:rStyle w:val="FootnoteReference"/>
        </w:rPr>
        <w:footnoteRef/>
      </w:r>
      <w:r>
        <w:t xml:space="preserve"> Hauser SL, Bar-Or A, Comi G, et al. Ocrelizumab versus Interferon Beta-1a in Relapsing Multiple Sclerosis. New England Journal of Medicine. 2017;376(3):221-234.</w:t>
      </w:r>
    </w:p>
  </w:footnote>
  <w:footnote w:id="15">
    <w:p w14:paraId="345801C4" w14:textId="0E17A9AD" w:rsidR="001D3BD2" w:rsidRPr="00A108CF" w:rsidRDefault="001D3BD2" w:rsidP="001317B7">
      <w:pPr>
        <w:pStyle w:val="FootnoteText"/>
        <w:rPr>
          <w:lang w:val="it-IT"/>
        </w:rPr>
      </w:pPr>
      <w:r>
        <w:rPr>
          <w:rStyle w:val="FootnoteReference"/>
        </w:rPr>
        <w:footnoteRef/>
      </w:r>
      <w:r w:rsidRPr="00A108CF">
        <w:t xml:space="preserve"> </w:t>
      </w:r>
      <w:r w:rsidR="001317B7" w:rsidRPr="00A108CF">
        <w:t xml:space="preserve">Le Garff-Tavernier M, </w:t>
      </w:r>
      <w:r w:rsidR="001317B7" w:rsidRPr="00A108CF">
        <w:t xml:space="preserve">Herbi L, de Romeuf C, et al. </w:t>
      </w:r>
      <w:r w:rsidR="001317B7">
        <w:t xml:space="preserve">Antibody-dependent cellular cytotoxicity of the optimized anti-CD20 monoclonal antibody ublituximab on chronic lymphocytic leukemia cells with the 17p deletion. </w:t>
      </w:r>
      <w:r w:rsidR="001317B7" w:rsidRPr="00A108CF">
        <w:rPr>
          <w:lang w:val="it-IT"/>
        </w:rPr>
        <w:t>Leukemia. 2014;28(1):230-233</w:t>
      </w:r>
    </w:p>
  </w:footnote>
  <w:footnote w:id="16">
    <w:p w14:paraId="2C8CA70C" w14:textId="05FC2DB8" w:rsidR="00DB162B" w:rsidRDefault="00DB162B" w:rsidP="00DB162B">
      <w:pPr>
        <w:pStyle w:val="FootnoteText"/>
      </w:pPr>
      <w:r>
        <w:rPr>
          <w:rStyle w:val="FootnoteReference"/>
        </w:rPr>
        <w:footnoteRef/>
      </w:r>
      <w:r w:rsidRPr="00DB162B">
        <w:rPr>
          <w:lang w:val="it-IT"/>
        </w:rPr>
        <w:t xml:space="preserve"> de Romeuf C, Dutertre CA, Le Garff-Tavernier M, et al. </w:t>
      </w:r>
      <w:r>
        <w:t xml:space="preserve">Chronic lymphocytic leukaemia cells are efficiently killed by an anti-CD20 monoclonal antibody selected for improved engagement of </w:t>
      </w:r>
      <w:r>
        <w:t>FcgammaRIIIA/CD16. Br J Haematol. 2008;140(6):635-643.</w:t>
      </w:r>
    </w:p>
  </w:footnote>
  <w:footnote w:id="17">
    <w:p w14:paraId="78977455" w14:textId="4CF7A08A" w:rsidR="006F72DE" w:rsidRDefault="006F72DE" w:rsidP="006F72DE">
      <w:pPr>
        <w:pStyle w:val="FootnoteText"/>
      </w:pPr>
      <w:r>
        <w:rPr>
          <w:rStyle w:val="FootnoteReference"/>
        </w:rPr>
        <w:footnoteRef/>
      </w:r>
      <w:r>
        <w:t xml:space="preserve"> Bellon A, </w:t>
      </w:r>
      <w:r>
        <w:t>Sadoun A, Grivel K, et al. Comparison of Cell Lysis Mediated by LFB-R603 with That Mediated by Ofatumumab Against Cells Expressing Low Levels of CD20. Blood. 2011;118(21):3913</w:t>
      </w:r>
    </w:p>
  </w:footnote>
  <w:footnote w:id="18">
    <w:p w14:paraId="7F14B6E3" w14:textId="355B3BA2" w:rsidR="00FB706C" w:rsidRDefault="00FB706C" w:rsidP="00FB706C">
      <w:pPr>
        <w:pStyle w:val="FootnoteText"/>
      </w:pPr>
      <w:r>
        <w:rPr>
          <w:rStyle w:val="FootnoteReference"/>
        </w:rPr>
        <w:footnoteRef/>
      </w:r>
      <w:r>
        <w:t xml:space="preserve"> Le Garff-Tavernier M, Decocq J Fau - de </w:t>
      </w:r>
      <w:r>
        <w:t>Romeuf C, de Romeuf C Fau - Parizot C, et al. Analysis of CD16+CD56dim NK cells from CLL patients: evidence supporting a therapeutic strategy with optimized anti-CD20 monoclonal antibodies. Leukemia.</w:t>
      </w:r>
    </w:p>
    <w:p w14:paraId="2498A39F" w14:textId="58B91A6D" w:rsidR="00FB706C" w:rsidRDefault="00FB706C" w:rsidP="00FB706C">
      <w:pPr>
        <w:pStyle w:val="FootnoteText"/>
      </w:pPr>
      <w:r>
        <w:t>2011;25(1):101-109.</w:t>
      </w:r>
    </w:p>
  </w:footnote>
  <w:footnote w:id="19">
    <w:p w14:paraId="029774C5" w14:textId="6090EFE6" w:rsidR="001518B9" w:rsidRDefault="001518B9">
      <w:pPr>
        <w:pStyle w:val="FootnoteText"/>
      </w:pPr>
      <w:r>
        <w:rPr>
          <w:rStyle w:val="FootnoteReference"/>
        </w:rPr>
        <w:footnoteRef/>
      </w:r>
      <w:r>
        <w:t xml:space="preserve"> </w:t>
      </w:r>
      <w:r w:rsidRPr="00677A1D">
        <w:t xml:space="preserve">International Conference on Harmonisation of Technical Requirements for Registration of Pharmaceuticals for Human Use. </w:t>
      </w:r>
      <w:hyperlink r:id="rId2" w:history="1">
        <w:r w:rsidRPr="00677A1D">
          <w:rPr>
            <w:rStyle w:val="Hyperlink"/>
          </w:rPr>
          <w:t xml:space="preserve"> ICH S6 (R1) Preclinical safety evaluation of biotechnology-derived pharmaceuticals - Scientific guideline</w:t>
        </w:r>
      </w:hyperlink>
      <w:r w:rsidRPr="00677A1D">
        <w:t>. 2011.</w:t>
      </w:r>
    </w:p>
  </w:footnote>
  <w:footnote w:id="20">
    <w:p w14:paraId="2CE58326" w14:textId="1F2591E7" w:rsidR="00731DC5" w:rsidRDefault="00731DC5">
      <w:pPr>
        <w:pStyle w:val="FootnoteText"/>
      </w:pPr>
      <w:r>
        <w:rPr>
          <w:rStyle w:val="FootnoteReference"/>
        </w:rPr>
        <w:footnoteRef/>
      </w:r>
      <w:r>
        <w:t xml:space="preserve"> </w:t>
      </w:r>
      <w:hyperlink r:id="rId3" w:history="1">
        <w:r w:rsidRPr="005E2268">
          <w:rPr>
            <w:rStyle w:val="Hyperlink"/>
          </w:rPr>
          <w:t>https://www.ema.europa.eu/en/documents/product-information/briumvi-epar-product-information_en.pdf</w:t>
        </w:r>
      </w:hyperlink>
      <w:r>
        <w:t xml:space="preserve"> </w:t>
      </w:r>
    </w:p>
  </w:footnote>
  <w:footnote w:id="21">
    <w:p w14:paraId="6A0D7F1D" w14:textId="6EE95F83" w:rsidR="009A46C7" w:rsidRDefault="009A46C7">
      <w:pPr>
        <w:pStyle w:val="FootnoteText"/>
      </w:pPr>
      <w:r>
        <w:rPr>
          <w:rStyle w:val="FootnoteReference"/>
        </w:rPr>
        <w:footnoteRef/>
      </w:r>
      <w:r>
        <w:t xml:space="preserve"> </w:t>
      </w:r>
      <w:r w:rsidRPr="009A46C7">
        <w:t>Polman C, Reingold S, Banwell B et al. Diagnostic Criteria for Multiple Sclerosis: 2010 Revisions to the McDonald Criteria. Ann Neurol. 2011;69(2):292-302. doi:10.1002/ana.22366</w:t>
      </w:r>
    </w:p>
  </w:footnote>
  <w:footnote w:id="22">
    <w:p w14:paraId="112A9332" w14:textId="6CC4D6E1" w:rsidR="005A7AE4" w:rsidRDefault="005A7AE4" w:rsidP="005A7AE4">
      <w:pPr>
        <w:pStyle w:val="FootnoteText"/>
      </w:pPr>
      <w:r>
        <w:rPr>
          <w:rStyle w:val="FootnoteReference"/>
        </w:rPr>
        <w:footnoteRef/>
      </w:r>
      <w:r>
        <w:t xml:space="preserve"> all participants in the </w:t>
      </w:r>
      <w:r w:rsidR="004D293E" w:rsidRPr="004D293E">
        <w:t>Per-Protocol</w:t>
      </w:r>
      <w:r w:rsidR="004D293E">
        <w:t xml:space="preserve"> </w:t>
      </w:r>
      <w:r>
        <w:t>Population who had baseline and post-baseline MRI efficacy assessments.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FFCB3" w14:textId="093B1D27" w:rsidR="007E4FF8" w:rsidRDefault="007E4FF8">
    <w:pPr>
      <w:pStyle w:val="Header"/>
    </w:pPr>
    <w:r>
      <w:rPr>
        <w:noProof/>
      </w:rPr>
      <mc:AlternateContent>
        <mc:Choice Requires="wps">
          <w:drawing>
            <wp:anchor distT="0" distB="0" distL="0" distR="0" simplePos="0" relativeHeight="251662336" behindDoc="0" locked="0" layoutInCell="1" allowOverlap="1" wp14:anchorId="3BDA164B" wp14:editId="743987F4">
              <wp:simplePos x="635" y="635"/>
              <wp:positionH relativeFrom="page">
                <wp:align>center</wp:align>
              </wp:positionH>
              <wp:positionV relativeFrom="page">
                <wp:align>top</wp:align>
              </wp:positionV>
              <wp:extent cx="622300" cy="391160"/>
              <wp:effectExtent l="0" t="0" r="6350" b="8890"/>
              <wp:wrapNone/>
              <wp:docPr id="78433167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A1E6F48" w14:textId="2CA00EAD"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DA164B" id="_x0000_t202" coordsize="21600,21600" o:spt="202" path="m,l,21600r21600,l21600,xe">
              <v:stroke joinstyle="miter"/>
              <v:path gradientshapeok="t" o:connecttype="rect"/>
            </v:shapetype>
            <v:shape id="Text Box 2" o:spid="_x0000_s1026" type="#_x0000_t202" alt="OFFICIAL" style="position:absolute;left:0;text-align:left;margin-left:0;margin-top:0;width:49pt;height:30.8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" filled="f" stroked="f">
              <v:textbox style="mso-fit-shape-to-text:t" inset="0,15pt,0,0">
                <w:txbxContent>
                  <w:p w14:paraId="6A1E6F48" w14:textId="2CA00EAD"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495EEAE9" w:rsidR="007452E8" w:rsidRPr="00CB0550" w:rsidRDefault="007E4FF8" w:rsidP="00CB0550">
    <w:pPr>
      <w:pStyle w:val="Header"/>
      <w:jc w:val="left"/>
    </w:pPr>
    <w:r>
      <w:rPr>
        <w:noProof/>
      </w:rPr>
      <mc:AlternateContent>
        <mc:Choice Requires="wps">
          <w:drawing>
            <wp:anchor distT="0" distB="0" distL="0" distR="0" simplePos="0" relativeHeight="251663360" behindDoc="0" locked="0" layoutInCell="1" allowOverlap="1" wp14:anchorId="5966BD6A" wp14:editId="01118435">
              <wp:simplePos x="635" y="635"/>
              <wp:positionH relativeFrom="page">
                <wp:align>center</wp:align>
              </wp:positionH>
              <wp:positionV relativeFrom="page">
                <wp:align>top</wp:align>
              </wp:positionV>
              <wp:extent cx="622300" cy="391160"/>
              <wp:effectExtent l="0" t="0" r="6350" b="8890"/>
              <wp:wrapNone/>
              <wp:docPr id="157789699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962137D" w14:textId="0292724A"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66BD6A" id="_x0000_t202" coordsize="21600,21600" o:spt="202" path="m,l,21600r21600,l21600,xe">
              <v:stroke joinstyle="miter"/>
              <v:path gradientshapeok="t" o:connecttype="rect"/>
            </v:shapetype>
            <v:shape id="Text Box 3" o:spid="_x0000_s1027" type="#_x0000_t202" alt="OFFICIAL" style="position:absolute;margin-left:0;margin-top:0;width:49pt;height:30.8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" filled="f" stroked="f">
              <v:textbox style="mso-fit-shape-to-text:t" inset="0,15pt,0,0">
                <w:txbxContent>
                  <w:p w14:paraId="3962137D" w14:textId="0292724A"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31E19A61" w:rsidR="007452E8" w:rsidRPr="002B29B2" w:rsidRDefault="007E4FF8" w:rsidP="007452E8">
          <w:pPr>
            <w:ind w:left="-57"/>
            <w:rPr>
              <w:noProof/>
            </w:rPr>
          </w:pPr>
          <w:r>
            <w:rPr>
              <w:noProof/>
            </w:rPr>
            <mc:AlternateContent>
              <mc:Choice Requires="wps">
                <w:drawing>
                  <wp:anchor distT="0" distB="0" distL="0" distR="0" simplePos="0" relativeHeight="251661312" behindDoc="0" locked="0" layoutInCell="1" allowOverlap="1" wp14:anchorId="36EC3BC1" wp14:editId="466B87D6">
                    <wp:simplePos x="635" y="635"/>
                    <wp:positionH relativeFrom="page">
                      <wp:align>center</wp:align>
                    </wp:positionH>
                    <wp:positionV relativeFrom="page">
                      <wp:align>top</wp:align>
                    </wp:positionV>
                    <wp:extent cx="622300" cy="391160"/>
                    <wp:effectExtent l="0" t="0" r="6350" b="8890"/>
                    <wp:wrapNone/>
                    <wp:docPr id="139457432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FFCA075" w14:textId="59A4754E"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EC3BC1" id="_x0000_t202" coordsize="21600,21600" o:spt="202" path="m,l,21600r21600,l21600,xe">
                    <v:stroke joinstyle="miter"/>
                    <v:path gradientshapeok="t" o:connecttype="rect"/>
                  </v:shapetype>
                  <v:shape id="Text Box 1" o:spid="_x0000_s1030" type="#_x0000_t202" alt="OFFICIAL" style="position:absolute;left:0;text-align:left;margin-left:0;margin-top:0;width:49pt;height:30.8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BKSAlqDQIAABwEAAAO&#10;AAAAAAAAAAAAAAAAAC4CAABkcnMvZTJvRG9jLnhtbFBLAQItABQABgAIAAAAIQBhokho2AAAAAMB&#10;AAAPAAAAAAAAAAAAAAAAAGcEAABkcnMvZG93bnJldi54bWxQSwUGAAAAAAQABADzAAAAbAUAAAAA&#10;" filled="f" stroked="f">
                    <v:textbox style="mso-fit-shape-to-text:t" inset="0,15pt,0,0">
                      <w:txbxContent>
                        <w:p w14:paraId="3FFCA075" w14:textId="59A4754E"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1596027861"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60288"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419FC1D7" w:rsidR="007452E8" w:rsidRDefault="007E4FF8" w:rsidP="007452E8">
    <w:pPr>
      <w:pStyle w:val="Header"/>
    </w:pPr>
    <w:r>
      <w:rPr>
        <w:noProof/>
      </w:rPr>
      <mc:AlternateContent>
        <mc:Choice Requires="wps">
          <w:drawing>
            <wp:anchor distT="0" distB="0" distL="0" distR="0" simplePos="0" relativeHeight="251664384" behindDoc="0" locked="0" layoutInCell="1" allowOverlap="1" wp14:anchorId="28DC3F9E" wp14:editId="3D6537B9">
              <wp:simplePos x="899770" y="365760"/>
              <wp:positionH relativeFrom="page">
                <wp:align>center</wp:align>
              </wp:positionH>
              <wp:positionV relativeFrom="page">
                <wp:align>top</wp:align>
              </wp:positionV>
              <wp:extent cx="622300" cy="391160"/>
              <wp:effectExtent l="0" t="0" r="6350" b="8890"/>
              <wp:wrapNone/>
              <wp:docPr id="1773556512"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74DB680" w14:textId="1B5F07C5"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DC3F9E" id="_x0000_t202" coordsize="21600,21600" o:spt="202" path="m,l,21600r21600,l21600,xe">
              <v:stroke joinstyle="miter"/>
              <v:path gradientshapeok="t" o:connecttype="rect"/>
            </v:shapetype>
            <v:shape id="Text Box 4" o:spid="_x0000_s1032" type="#_x0000_t202" alt="OFFICIAL" style="position:absolute;left:0;text-align:left;margin-left:0;margin-top:0;width:49pt;height:30.8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" filled="f" stroked="f">
              <v:textbox style="mso-fit-shape-to-text:t" inset="0,15pt,0,0">
                <w:txbxContent>
                  <w:p w14:paraId="174DB680" w14:textId="1B5F07C5"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r w:rsidR="007452E8" w:rsidRPr="000F5176">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766C0B9F" w:rsidR="007452E8" w:rsidRPr="00FE501F" w:rsidRDefault="007E4FF8" w:rsidP="007452E8">
    <w:pPr>
      <w:pStyle w:val="Headernoline"/>
    </w:pPr>
    <w:r>
      <w:rPr>
        <w:noProof/>
      </w:rPr>
      <mc:AlternateContent>
        <mc:Choice Requires="wps">
          <w:drawing>
            <wp:anchor distT="0" distB="0" distL="0" distR="0" simplePos="0" relativeHeight="251665408" behindDoc="0" locked="0" layoutInCell="1" allowOverlap="1" wp14:anchorId="2A06D344" wp14:editId="1647E18A">
              <wp:simplePos x="635" y="635"/>
              <wp:positionH relativeFrom="page">
                <wp:align>center</wp:align>
              </wp:positionH>
              <wp:positionV relativeFrom="page">
                <wp:align>top</wp:align>
              </wp:positionV>
              <wp:extent cx="622300" cy="391160"/>
              <wp:effectExtent l="0" t="0" r="6350" b="8890"/>
              <wp:wrapNone/>
              <wp:docPr id="487777180"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E2CFD20" w14:textId="4EF79907"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06D344" id="_x0000_t202" coordsize="21600,21600" o:spt="202" path="m,l,21600r21600,l21600,xe">
              <v:stroke joinstyle="miter"/>
              <v:path gradientshapeok="t" o:connecttype="rect"/>
            </v:shapetype>
            <v:shape id="Text Box 5" o:spid="_x0000_s1034" type="#_x0000_t202" alt="OFFICIAL" style="position:absolute;left:0;text-align:left;margin-left:0;margin-top:0;width:49pt;height:30.8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DXSCeqDQIAABwEAAAO&#10;AAAAAAAAAAAAAAAAAC4CAABkcnMvZTJvRG9jLnhtbFBLAQItABQABgAIAAAAIQBhokho2AAAAAMB&#10;AAAPAAAAAAAAAAAAAAAAAGcEAABkcnMvZG93bnJldi54bWxQSwUGAAAAAAQABADzAAAAbAUAAAAA&#10;" filled="f" stroked="f">
              <v:textbox style="mso-fit-shape-to-text:t" inset="0,15pt,0,0">
                <w:txbxContent>
                  <w:p w14:paraId="6E2CFD20" w14:textId="4EF79907"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2"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5"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6" w15:restartNumberingAfterBreak="0">
    <w:nsid w:val="253474DC"/>
    <w:multiLevelType w:val="hybridMultilevel"/>
    <w:tmpl w:val="DFCE8398"/>
    <w:lvl w:ilvl="0" w:tplc="DA267FB0">
      <w:numFmt w:val="bullet"/>
      <w:lvlText w:val=""/>
      <w:lvlJc w:val="left"/>
      <w:pPr>
        <w:ind w:left="539" w:hanging="229"/>
      </w:pPr>
      <w:rPr>
        <w:rFonts w:ascii="Symbol" w:eastAsia="Symbol" w:hAnsi="Symbol" w:cs="Symbol" w:hint="default"/>
        <w:b w:val="0"/>
        <w:bCs w:val="0"/>
        <w:i w:val="0"/>
        <w:iCs w:val="0"/>
        <w:spacing w:val="0"/>
        <w:w w:val="100"/>
        <w:sz w:val="22"/>
        <w:szCs w:val="22"/>
        <w:lang w:val="en-US" w:eastAsia="en-US" w:bidi="ar-SA"/>
      </w:rPr>
    </w:lvl>
    <w:lvl w:ilvl="1" w:tplc="22AED0F4">
      <w:numFmt w:val="bullet"/>
      <w:lvlText w:val="o"/>
      <w:lvlJc w:val="left"/>
      <w:pPr>
        <w:ind w:left="1610" w:hanging="361"/>
      </w:pPr>
      <w:rPr>
        <w:rFonts w:ascii="Courier New" w:eastAsia="Courier New" w:hAnsi="Courier New" w:cs="Courier New" w:hint="default"/>
        <w:b w:val="0"/>
        <w:bCs w:val="0"/>
        <w:i w:val="0"/>
        <w:iCs w:val="0"/>
        <w:spacing w:val="0"/>
        <w:w w:val="100"/>
        <w:sz w:val="22"/>
        <w:szCs w:val="22"/>
        <w:lang w:val="en-US" w:eastAsia="en-US" w:bidi="ar-SA"/>
      </w:rPr>
    </w:lvl>
    <w:lvl w:ilvl="2" w:tplc="B110577C">
      <w:numFmt w:val="bullet"/>
      <w:lvlText w:val="•"/>
      <w:lvlJc w:val="left"/>
      <w:pPr>
        <w:ind w:left="2526" w:hanging="361"/>
      </w:pPr>
      <w:rPr>
        <w:rFonts w:hint="default"/>
        <w:lang w:val="en-US" w:eastAsia="en-US" w:bidi="ar-SA"/>
      </w:rPr>
    </w:lvl>
    <w:lvl w:ilvl="3" w:tplc="BDE0E3BE">
      <w:numFmt w:val="bullet"/>
      <w:lvlText w:val="•"/>
      <w:lvlJc w:val="left"/>
      <w:pPr>
        <w:ind w:left="3433" w:hanging="361"/>
      </w:pPr>
      <w:rPr>
        <w:rFonts w:hint="default"/>
        <w:lang w:val="en-US" w:eastAsia="en-US" w:bidi="ar-SA"/>
      </w:rPr>
    </w:lvl>
    <w:lvl w:ilvl="4" w:tplc="B1A0B7E4">
      <w:numFmt w:val="bullet"/>
      <w:lvlText w:val="•"/>
      <w:lvlJc w:val="left"/>
      <w:pPr>
        <w:ind w:left="4340" w:hanging="361"/>
      </w:pPr>
      <w:rPr>
        <w:rFonts w:hint="default"/>
        <w:lang w:val="en-US" w:eastAsia="en-US" w:bidi="ar-SA"/>
      </w:rPr>
    </w:lvl>
    <w:lvl w:ilvl="5" w:tplc="5C209290">
      <w:numFmt w:val="bullet"/>
      <w:lvlText w:val="•"/>
      <w:lvlJc w:val="left"/>
      <w:pPr>
        <w:ind w:left="5247" w:hanging="361"/>
      </w:pPr>
      <w:rPr>
        <w:rFonts w:hint="default"/>
        <w:lang w:val="en-US" w:eastAsia="en-US" w:bidi="ar-SA"/>
      </w:rPr>
    </w:lvl>
    <w:lvl w:ilvl="6" w:tplc="11F2B358">
      <w:numFmt w:val="bullet"/>
      <w:lvlText w:val="•"/>
      <w:lvlJc w:val="left"/>
      <w:pPr>
        <w:ind w:left="6154" w:hanging="361"/>
      </w:pPr>
      <w:rPr>
        <w:rFonts w:hint="default"/>
        <w:lang w:val="en-US" w:eastAsia="en-US" w:bidi="ar-SA"/>
      </w:rPr>
    </w:lvl>
    <w:lvl w:ilvl="7" w:tplc="BB6C9F7C">
      <w:numFmt w:val="bullet"/>
      <w:lvlText w:val="•"/>
      <w:lvlJc w:val="left"/>
      <w:pPr>
        <w:ind w:left="7060" w:hanging="361"/>
      </w:pPr>
      <w:rPr>
        <w:rFonts w:hint="default"/>
        <w:lang w:val="en-US" w:eastAsia="en-US" w:bidi="ar-SA"/>
      </w:rPr>
    </w:lvl>
    <w:lvl w:ilvl="8" w:tplc="F12004AA">
      <w:numFmt w:val="bullet"/>
      <w:lvlText w:val="•"/>
      <w:lvlJc w:val="left"/>
      <w:pPr>
        <w:ind w:left="7967" w:hanging="361"/>
      </w:pPr>
      <w:rPr>
        <w:rFonts w:hint="default"/>
        <w:lang w:val="en-US" w:eastAsia="en-US" w:bidi="ar-SA"/>
      </w:rPr>
    </w:lvl>
  </w:abstractNum>
  <w:abstractNum w:abstractNumId="7" w15:restartNumberingAfterBreak="0">
    <w:nsid w:val="2AE72336"/>
    <w:multiLevelType w:val="multilevel"/>
    <w:tmpl w:val="22826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9"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0"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1"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3"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3"/>
  </w:num>
  <w:num w:numId="2" w16cid:durableId="1856573705">
    <w:abstractNumId w:val="0"/>
  </w:num>
  <w:num w:numId="3" w16cid:durableId="357703499">
    <w:abstractNumId w:val="2"/>
  </w:num>
  <w:num w:numId="4" w16cid:durableId="1869176708">
    <w:abstractNumId w:val="11"/>
  </w:num>
  <w:num w:numId="5" w16cid:durableId="1652950129">
    <w:abstractNumId w:val="5"/>
  </w:num>
  <w:num w:numId="6" w16cid:durableId="1053193207">
    <w:abstractNumId w:val="9"/>
  </w:num>
  <w:num w:numId="7" w16cid:durableId="201135927">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0"/>
  </w:num>
  <w:num w:numId="9" w16cid:durableId="173421270">
    <w:abstractNumId w:val="1"/>
  </w:num>
  <w:num w:numId="10" w16cid:durableId="2108043357">
    <w:abstractNumId w:val="4"/>
  </w:num>
  <w:num w:numId="11" w16cid:durableId="1725904230">
    <w:abstractNumId w:val="8"/>
  </w:num>
  <w:num w:numId="12" w16cid:durableId="141579354">
    <w:abstractNumId w:val="12"/>
  </w:num>
  <w:num w:numId="13" w16cid:durableId="283735081">
    <w:abstractNumId w:val="13"/>
  </w:num>
  <w:num w:numId="14" w16cid:durableId="876821266">
    <w:abstractNumId w:val="6"/>
  </w:num>
  <w:num w:numId="15" w16cid:durableId="10428284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982737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4431"/>
    <w:rsid w:val="00005062"/>
    <w:rsid w:val="00005DFC"/>
    <w:rsid w:val="00005EE8"/>
    <w:rsid w:val="0001064C"/>
    <w:rsid w:val="0001384A"/>
    <w:rsid w:val="00021C13"/>
    <w:rsid w:val="00022B92"/>
    <w:rsid w:val="00026171"/>
    <w:rsid w:val="00031308"/>
    <w:rsid w:val="00032A0F"/>
    <w:rsid w:val="00040D8D"/>
    <w:rsid w:val="00046423"/>
    <w:rsid w:val="000477F5"/>
    <w:rsid w:val="0005067C"/>
    <w:rsid w:val="0006104E"/>
    <w:rsid w:val="000640BD"/>
    <w:rsid w:val="00065839"/>
    <w:rsid w:val="00065FDF"/>
    <w:rsid w:val="0006693A"/>
    <w:rsid w:val="000713E2"/>
    <w:rsid w:val="00077844"/>
    <w:rsid w:val="000820DE"/>
    <w:rsid w:val="00083763"/>
    <w:rsid w:val="00086AF4"/>
    <w:rsid w:val="00090510"/>
    <w:rsid w:val="000917AE"/>
    <w:rsid w:val="00094B81"/>
    <w:rsid w:val="00095C6A"/>
    <w:rsid w:val="00096655"/>
    <w:rsid w:val="00096AE2"/>
    <w:rsid w:val="000975AA"/>
    <w:rsid w:val="000A38B6"/>
    <w:rsid w:val="000A72EE"/>
    <w:rsid w:val="000B6B15"/>
    <w:rsid w:val="000C25A7"/>
    <w:rsid w:val="000D1F12"/>
    <w:rsid w:val="000D57BC"/>
    <w:rsid w:val="000D5CF0"/>
    <w:rsid w:val="000D78EC"/>
    <w:rsid w:val="000D7934"/>
    <w:rsid w:val="000E2434"/>
    <w:rsid w:val="000E2597"/>
    <w:rsid w:val="000E504E"/>
    <w:rsid w:val="000E6746"/>
    <w:rsid w:val="000F4F8F"/>
    <w:rsid w:val="000F7B51"/>
    <w:rsid w:val="00101BEE"/>
    <w:rsid w:val="00101CE6"/>
    <w:rsid w:val="00101FB1"/>
    <w:rsid w:val="0010558A"/>
    <w:rsid w:val="001101FF"/>
    <w:rsid w:val="00111989"/>
    <w:rsid w:val="00113F9F"/>
    <w:rsid w:val="00114025"/>
    <w:rsid w:val="0012473C"/>
    <w:rsid w:val="00127A74"/>
    <w:rsid w:val="00127BC3"/>
    <w:rsid w:val="0013132F"/>
    <w:rsid w:val="001317B7"/>
    <w:rsid w:val="00131B1B"/>
    <w:rsid w:val="0013306D"/>
    <w:rsid w:val="0013528C"/>
    <w:rsid w:val="001412C3"/>
    <w:rsid w:val="001442A2"/>
    <w:rsid w:val="001468CA"/>
    <w:rsid w:val="001500A8"/>
    <w:rsid w:val="001518B9"/>
    <w:rsid w:val="00151D35"/>
    <w:rsid w:val="00153CDE"/>
    <w:rsid w:val="00155D85"/>
    <w:rsid w:val="001643FC"/>
    <w:rsid w:val="00165D28"/>
    <w:rsid w:val="00167373"/>
    <w:rsid w:val="0017005C"/>
    <w:rsid w:val="00175CD8"/>
    <w:rsid w:val="00176BDC"/>
    <w:rsid w:val="00182BD8"/>
    <w:rsid w:val="00190853"/>
    <w:rsid w:val="001933B3"/>
    <w:rsid w:val="001A0A42"/>
    <w:rsid w:val="001A71F7"/>
    <w:rsid w:val="001A76F9"/>
    <w:rsid w:val="001B06FF"/>
    <w:rsid w:val="001B1703"/>
    <w:rsid w:val="001C0B77"/>
    <w:rsid w:val="001C1692"/>
    <w:rsid w:val="001C1C2E"/>
    <w:rsid w:val="001C31A1"/>
    <w:rsid w:val="001C3FA2"/>
    <w:rsid w:val="001C5EE2"/>
    <w:rsid w:val="001D0077"/>
    <w:rsid w:val="001D3BD2"/>
    <w:rsid w:val="001D5310"/>
    <w:rsid w:val="001E407B"/>
    <w:rsid w:val="001E4648"/>
    <w:rsid w:val="001E4EAC"/>
    <w:rsid w:val="001E5BB1"/>
    <w:rsid w:val="001E7FC6"/>
    <w:rsid w:val="001F2502"/>
    <w:rsid w:val="001F44F1"/>
    <w:rsid w:val="001F70A5"/>
    <w:rsid w:val="0020235D"/>
    <w:rsid w:val="0020369B"/>
    <w:rsid w:val="00203CB9"/>
    <w:rsid w:val="002058CE"/>
    <w:rsid w:val="00207B4D"/>
    <w:rsid w:val="002104D3"/>
    <w:rsid w:val="00210F9B"/>
    <w:rsid w:val="002117B1"/>
    <w:rsid w:val="00217CCE"/>
    <w:rsid w:val="002203B1"/>
    <w:rsid w:val="0022378A"/>
    <w:rsid w:val="00226F39"/>
    <w:rsid w:val="002334AD"/>
    <w:rsid w:val="00241B60"/>
    <w:rsid w:val="00245451"/>
    <w:rsid w:val="00253351"/>
    <w:rsid w:val="00256BEB"/>
    <w:rsid w:val="0025785B"/>
    <w:rsid w:val="00257969"/>
    <w:rsid w:val="00265CD1"/>
    <w:rsid w:val="002661CD"/>
    <w:rsid w:val="0026745B"/>
    <w:rsid w:val="002700D8"/>
    <w:rsid w:val="0027721C"/>
    <w:rsid w:val="00280048"/>
    <w:rsid w:val="0028489E"/>
    <w:rsid w:val="002848DE"/>
    <w:rsid w:val="00287934"/>
    <w:rsid w:val="0028794E"/>
    <w:rsid w:val="00287BD8"/>
    <w:rsid w:val="002924A1"/>
    <w:rsid w:val="0029733B"/>
    <w:rsid w:val="002A1EE5"/>
    <w:rsid w:val="002A24D2"/>
    <w:rsid w:val="002A5841"/>
    <w:rsid w:val="002B1EDF"/>
    <w:rsid w:val="002B2061"/>
    <w:rsid w:val="002B33C3"/>
    <w:rsid w:val="002B65AE"/>
    <w:rsid w:val="002C0AE8"/>
    <w:rsid w:val="002C1232"/>
    <w:rsid w:val="002C1E44"/>
    <w:rsid w:val="002C5C92"/>
    <w:rsid w:val="002C5E29"/>
    <w:rsid w:val="002C74F2"/>
    <w:rsid w:val="002D0478"/>
    <w:rsid w:val="002D7127"/>
    <w:rsid w:val="002E507F"/>
    <w:rsid w:val="002F10C9"/>
    <w:rsid w:val="002F599E"/>
    <w:rsid w:val="003008D8"/>
    <w:rsid w:val="00301D9A"/>
    <w:rsid w:val="00303959"/>
    <w:rsid w:val="003048AF"/>
    <w:rsid w:val="00304943"/>
    <w:rsid w:val="00306E72"/>
    <w:rsid w:val="003125A6"/>
    <w:rsid w:val="00312AC3"/>
    <w:rsid w:val="003139E2"/>
    <w:rsid w:val="00314430"/>
    <w:rsid w:val="0031624A"/>
    <w:rsid w:val="003163BC"/>
    <w:rsid w:val="00316582"/>
    <w:rsid w:val="003212D9"/>
    <w:rsid w:val="0032351A"/>
    <w:rsid w:val="003248BC"/>
    <w:rsid w:val="00324B33"/>
    <w:rsid w:val="00324ECE"/>
    <w:rsid w:val="003257CC"/>
    <w:rsid w:val="00327488"/>
    <w:rsid w:val="0033413A"/>
    <w:rsid w:val="00336FE1"/>
    <w:rsid w:val="00337BD8"/>
    <w:rsid w:val="003408B5"/>
    <w:rsid w:val="00340DF0"/>
    <w:rsid w:val="00341E03"/>
    <w:rsid w:val="00342639"/>
    <w:rsid w:val="00342D56"/>
    <w:rsid w:val="00343580"/>
    <w:rsid w:val="003456E7"/>
    <w:rsid w:val="00346EC2"/>
    <w:rsid w:val="003477F9"/>
    <w:rsid w:val="00352C8B"/>
    <w:rsid w:val="00352D74"/>
    <w:rsid w:val="0035444D"/>
    <w:rsid w:val="00356D62"/>
    <w:rsid w:val="0036143B"/>
    <w:rsid w:val="00363EE3"/>
    <w:rsid w:val="003735F3"/>
    <w:rsid w:val="00373AC2"/>
    <w:rsid w:val="00373B1A"/>
    <w:rsid w:val="00373B6B"/>
    <w:rsid w:val="00373FB6"/>
    <w:rsid w:val="00374729"/>
    <w:rsid w:val="0037664E"/>
    <w:rsid w:val="00381322"/>
    <w:rsid w:val="00387298"/>
    <w:rsid w:val="00387984"/>
    <w:rsid w:val="00390CC9"/>
    <w:rsid w:val="00392C12"/>
    <w:rsid w:val="00395140"/>
    <w:rsid w:val="003A2422"/>
    <w:rsid w:val="003A4DA5"/>
    <w:rsid w:val="003A6871"/>
    <w:rsid w:val="003B149C"/>
    <w:rsid w:val="003B17EB"/>
    <w:rsid w:val="003C0FDB"/>
    <w:rsid w:val="003C1192"/>
    <w:rsid w:val="003C55E2"/>
    <w:rsid w:val="003C63D5"/>
    <w:rsid w:val="003C66D4"/>
    <w:rsid w:val="003C7AA8"/>
    <w:rsid w:val="003D1162"/>
    <w:rsid w:val="003D478B"/>
    <w:rsid w:val="003D71A1"/>
    <w:rsid w:val="0040182B"/>
    <w:rsid w:val="004117C8"/>
    <w:rsid w:val="0041688F"/>
    <w:rsid w:val="00420E8B"/>
    <w:rsid w:val="004214C8"/>
    <w:rsid w:val="0042376F"/>
    <w:rsid w:val="004246B8"/>
    <w:rsid w:val="004248F1"/>
    <w:rsid w:val="004274E8"/>
    <w:rsid w:val="00432A52"/>
    <w:rsid w:val="00432F98"/>
    <w:rsid w:val="00433318"/>
    <w:rsid w:val="00435E11"/>
    <w:rsid w:val="004411D9"/>
    <w:rsid w:val="00442A56"/>
    <w:rsid w:val="004444B0"/>
    <w:rsid w:val="0045060B"/>
    <w:rsid w:val="00450E70"/>
    <w:rsid w:val="00460ED1"/>
    <w:rsid w:val="004626FF"/>
    <w:rsid w:val="0046285C"/>
    <w:rsid w:val="00464987"/>
    <w:rsid w:val="00465E42"/>
    <w:rsid w:val="00466820"/>
    <w:rsid w:val="00470A52"/>
    <w:rsid w:val="00471BD5"/>
    <w:rsid w:val="00477C4E"/>
    <w:rsid w:val="00477F07"/>
    <w:rsid w:val="00481503"/>
    <w:rsid w:val="00481D12"/>
    <w:rsid w:val="00482D8E"/>
    <w:rsid w:val="00483C32"/>
    <w:rsid w:val="004854A6"/>
    <w:rsid w:val="00490872"/>
    <w:rsid w:val="00491A55"/>
    <w:rsid w:val="00494C3E"/>
    <w:rsid w:val="00497DF1"/>
    <w:rsid w:val="004A0690"/>
    <w:rsid w:val="004A20BC"/>
    <w:rsid w:val="004A318E"/>
    <w:rsid w:val="004A45D4"/>
    <w:rsid w:val="004A57E8"/>
    <w:rsid w:val="004B0854"/>
    <w:rsid w:val="004B2938"/>
    <w:rsid w:val="004B2DB8"/>
    <w:rsid w:val="004B3081"/>
    <w:rsid w:val="004B32F3"/>
    <w:rsid w:val="004B4A09"/>
    <w:rsid w:val="004B4F8A"/>
    <w:rsid w:val="004B51B0"/>
    <w:rsid w:val="004B526D"/>
    <w:rsid w:val="004C1DD9"/>
    <w:rsid w:val="004C41CE"/>
    <w:rsid w:val="004C631B"/>
    <w:rsid w:val="004D0933"/>
    <w:rsid w:val="004D293E"/>
    <w:rsid w:val="004D2F00"/>
    <w:rsid w:val="004D3144"/>
    <w:rsid w:val="004D31D8"/>
    <w:rsid w:val="004D35D1"/>
    <w:rsid w:val="004D4AD5"/>
    <w:rsid w:val="004D5388"/>
    <w:rsid w:val="004E14C3"/>
    <w:rsid w:val="004E7F16"/>
    <w:rsid w:val="004F18EC"/>
    <w:rsid w:val="00500D68"/>
    <w:rsid w:val="00504337"/>
    <w:rsid w:val="00511AA5"/>
    <w:rsid w:val="00513567"/>
    <w:rsid w:val="00516987"/>
    <w:rsid w:val="0052271B"/>
    <w:rsid w:val="00524467"/>
    <w:rsid w:val="00527376"/>
    <w:rsid w:val="0053377D"/>
    <w:rsid w:val="00535DFE"/>
    <w:rsid w:val="005373B5"/>
    <w:rsid w:val="00537AB7"/>
    <w:rsid w:val="00540CE5"/>
    <w:rsid w:val="005428A4"/>
    <w:rsid w:val="00544584"/>
    <w:rsid w:val="0054669B"/>
    <w:rsid w:val="005521A0"/>
    <w:rsid w:val="005542BC"/>
    <w:rsid w:val="00557684"/>
    <w:rsid w:val="00560EC1"/>
    <w:rsid w:val="005610D1"/>
    <w:rsid w:val="00562F42"/>
    <w:rsid w:val="00565739"/>
    <w:rsid w:val="005668DD"/>
    <w:rsid w:val="0056766D"/>
    <w:rsid w:val="00575215"/>
    <w:rsid w:val="00575BDC"/>
    <w:rsid w:val="005775D0"/>
    <w:rsid w:val="00581138"/>
    <w:rsid w:val="00583F2C"/>
    <w:rsid w:val="0058575E"/>
    <w:rsid w:val="0058783C"/>
    <w:rsid w:val="005911AE"/>
    <w:rsid w:val="005926E2"/>
    <w:rsid w:val="0059313A"/>
    <w:rsid w:val="00596FCC"/>
    <w:rsid w:val="0059738C"/>
    <w:rsid w:val="005A54EA"/>
    <w:rsid w:val="005A721E"/>
    <w:rsid w:val="005A7AE4"/>
    <w:rsid w:val="005B023F"/>
    <w:rsid w:val="005B02A2"/>
    <w:rsid w:val="005B1417"/>
    <w:rsid w:val="005B69CF"/>
    <w:rsid w:val="005B70C8"/>
    <w:rsid w:val="005B7DC8"/>
    <w:rsid w:val="005C3F07"/>
    <w:rsid w:val="005C47CE"/>
    <w:rsid w:val="005C4B46"/>
    <w:rsid w:val="005C5A9A"/>
    <w:rsid w:val="005C5DC5"/>
    <w:rsid w:val="005C62B5"/>
    <w:rsid w:val="005C71A7"/>
    <w:rsid w:val="005D0E1E"/>
    <w:rsid w:val="005D1DE2"/>
    <w:rsid w:val="005D2089"/>
    <w:rsid w:val="005D4762"/>
    <w:rsid w:val="005D7514"/>
    <w:rsid w:val="005E0FC6"/>
    <w:rsid w:val="005E1A7B"/>
    <w:rsid w:val="005E231F"/>
    <w:rsid w:val="005E45F5"/>
    <w:rsid w:val="005F6FAD"/>
    <w:rsid w:val="0060000A"/>
    <w:rsid w:val="00602D6E"/>
    <w:rsid w:val="00605C05"/>
    <w:rsid w:val="00611351"/>
    <w:rsid w:val="0061217D"/>
    <w:rsid w:val="006129AE"/>
    <w:rsid w:val="006175E8"/>
    <w:rsid w:val="006262E7"/>
    <w:rsid w:val="006277A1"/>
    <w:rsid w:val="00633A6C"/>
    <w:rsid w:val="00633BD7"/>
    <w:rsid w:val="00634580"/>
    <w:rsid w:val="00634884"/>
    <w:rsid w:val="006351D9"/>
    <w:rsid w:val="00637130"/>
    <w:rsid w:val="00637F0E"/>
    <w:rsid w:val="006412CD"/>
    <w:rsid w:val="006423F2"/>
    <w:rsid w:val="006428C5"/>
    <w:rsid w:val="00645AA7"/>
    <w:rsid w:val="00650234"/>
    <w:rsid w:val="0066044B"/>
    <w:rsid w:val="006630AA"/>
    <w:rsid w:val="00663544"/>
    <w:rsid w:val="00666539"/>
    <w:rsid w:val="00666911"/>
    <w:rsid w:val="0067167C"/>
    <w:rsid w:val="00672EB9"/>
    <w:rsid w:val="00675F81"/>
    <w:rsid w:val="00677A1D"/>
    <w:rsid w:val="0068143E"/>
    <w:rsid w:val="0068507D"/>
    <w:rsid w:val="00685BE9"/>
    <w:rsid w:val="00691A93"/>
    <w:rsid w:val="00691AF2"/>
    <w:rsid w:val="00691EA7"/>
    <w:rsid w:val="00692B80"/>
    <w:rsid w:val="00692CCD"/>
    <w:rsid w:val="00692D51"/>
    <w:rsid w:val="00694DD7"/>
    <w:rsid w:val="006955B1"/>
    <w:rsid w:val="0069636B"/>
    <w:rsid w:val="006A1762"/>
    <w:rsid w:val="006A19CE"/>
    <w:rsid w:val="006A1C46"/>
    <w:rsid w:val="006A1F0B"/>
    <w:rsid w:val="006A277A"/>
    <w:rsid w:val="006A5973"/>
    <w:rsid w:val="006A7028"/>
    <w:rsid w:val="006B030E"/>
    <w:rsid w:val="006B04F3"/>
    <w:rsid w:val="006B1D7F"/>
    <w:rsid w:val="006B41AE"/>
    <w:rsid w:val="006B5E64"/>
    <w:rsid w:val="006B7126"/>
    <w:rsid w:val="006C01B5"/>
    <w:rsid w:val="006C5743"/>
    <w:rsid w:val="006C6B86"/>
    <w:rsid w:val="006D1B32"/>
    <w:rsid w:val="006D2303"/>
    <w:rsid w:val="006D3294"/>
    <w:rsid w:val="006D4553"/>
    <w:rsid w:val="006D4A35"/>
    <w:rsid w:val="006D60CF"/>
    <w:rsid w:val="006D6B44"/>
    <w:rsid w:val="006E0F71"/>
    <w:rsid w:val="006E27FE"/>
    <w:rsid w:val="006F027B"/>
    <w:rsid w:val="006F53CC"/>
    <w:rsid w:val="006F72DE"/>
    <w:rsid w:val="006F7C38"/>
    <w:rsid w:val="00701110"/>
    <w:rsid w:val="00702E91"/>
    <w:rsid w:val="0070330F"/>
    <w:rsid w:val="00703624"/>
    <w:rsid w:val="007046ED"/>
    <w:rsid w:val="0070541F"/>
    <w:rsid w:val="007072A1"/>
    <w:rsid w:val="0071060C"/>
    <w:rsid w:val="00710BC5"/>
    <w:rsid w:val="007116D6"/>
    <w:rsid w:val="007121CA"/>
    <w:rsid w:val="007122E0"/>
    <w:rsid w:val="00712BF0"/>
    <w:rsid w:val="0072003B"/>
    <w:rsid w:val="00721059"/>
    <w:rsid w:val="007211E6"/>
    <w:rsid w:val="007220C4"/>
    <w:rsid w:val="00724B88"/>
    <w:rsid w:val="007305ED"/>
    <w:rsid w:val="007311B9"/>
    <w:rsid w:val="00731DC5"/>
    <w:rsid w:val="00732361"/>
    <w:rsid w:val="00734D06"/>
    <w:rsid w:val="007357B9"/>
    <w:rsid w:val="00737AE6"/>
    <w:rsid w:val="00741AB9"/>
    <w:rsid w:val="00742643"/>
    <w:rsid w:val="00742D03"/>
    <w:rsid w:val="00744216"/>
    <w:rsid w:val="007452E8"/>
    <w:rsid w:val="00746990"/>
    <w:rsid w:val="00747093"/>
    <w:rsid w:val="00747271"/>
    <w:rsid w:val="00750D70"/>
    <w:rsid w:val="00753A38"/>
    <w:rsid w:val="007542CF"/>
    <w:rsid w:val="007575D0"/>
    <w:rsid w:val="0076123F"/>
    <w:rsid w:val="00761C99"/>
    <w:rsid w:val="007662E0"/>
    <w:rsid w:val="0077576D"/>
    <w:rsid w:val="00776E9C"/>
    <w:rsid w:val="007816D8"/>
    <w:rsid w:val="00784150"/>
    <w:rsid w:val="0079211D"/>
    <w:rsid w:val="00793272"/>
    <w:rsid w:val="0079499A"/>
    <w:rsid w:val="00794B64"/>
    <w:rsid w:val="007967C3"/>
    <w:rsid w:val="007974E6"/>
    <w:rsid w:val="007A0A33"/>
    <w:rsid w:val="007A5E1A"/>
    <w:rsid w:val="007B04DE"/>
    <w:rsid w:val="007B0AE6"/>
    <w:rsid w:val="007B20F8"/>
    <w:rsid w:val="007B7BA4"/>
    <w:rsid w:val="007C0F0B"/>
    <w:rsid w:val="007C57BC"/>
    <w:rsid w:val="007D04CA"/>
    <w:rsid w:val="007D0A2B"/>
    <w:rsid w:val="007D12A1"/>
    <w:rsid w:val="007D40E5"/>
    <w:rsid w:val="007D4138"/>
    <w:rsid w:val="007D47E0"/>
    <w:rsid w:val="007D7A72"/>
    <w:rsid w:val="007E0810"/>
    <w:rsid w:val="007E2D77"/>
    <w:rsid w:val="007E4178"/>
    <w:rsid w:val="007E4FF8"/>
    <w:rsid w:val="007E6443"/>
    <w:rsid w:val="007F0A77"/>
    <w:rsid w:val="007F1E37"/>
    <w:rsid w:val="007F50D3"/>
    <w:rsid w:val="007F6B1F"/>
    <w:rsid w:val="008013F0"/>
    <w:rsid w:val="00803926"/>
    <w:rsid w:val="00804897"/>
    <w:rsid w:val="00810713"/>
    <w:rsid w:val="0081111B"/>
    <w:rsid w:val="008111D0"/>
    <w:rsid w:val="008126D9"/>
    <w:rsid w:val="00813E92"/>
    <w:rsid w:val="00816C5D"/>
    <w:rsid w:val="008329DB"/>
    <w:rsid w:val="00834F89"/>
    <w:rsid w:val="008361C5"/>
    <w:rsid w:val="0083628F"/>
    <w:rsid w:val="00837AB9"/>
    <w:rsid w:val="00846AB6"/>
    <w:rsid w:val="00850637"/>
    <w:rsid w:val="00854D98"/>
    <w:rsid w:val="0085751E"/>
    <w:rsid w:val="00860B29"/>
    <w:rsid w:val="008622E8"/>
    <w:rsid w:val="008645EE"/>
    <w:rsid w:val="00870144"/>
    <w:rsid w:val="0087072C"/>
    <w:rsid w:val="00871312"/>
    <w:rsid w:val="00872890"/>
    <w:rsid w:val="00873D7A"/>
    <w:rsid w:val="008766EA"/>
    <w:rsid w:val="00877CB3"/>
    <w:rsid w:val="008804CF"/>
    <w:rsid w:val="00881603"/>
    <w:rsid w:val="00882D58"/>
    <w:rsid w:val="00882F19"/>
    <w:rsid w:val="00882F49"/>
    <w:rsid w:val="00883D35"/>
    <w:rsid w:val="00884569"/>
    <w:rsid w:val="00887A51"/>
    <w:rsid w:val="0089038A"/>
    <w:rsid w:val="00890D9B"/>
    <w:rsid w:val="00891C6C"/>
    <w:rsid w:val="00893CCD"/>
    <w:rsid w:val="00895F0D"/>
    <w:rsid w:val="008964B3"/>
    <w:rsid w:val="00897CCC"/>
    <w:rsid w:val="008B1CB5"/>
    <w:rsid w:val="008B1D13"/>
    <w:rsid w:val="008B32C0"/>
    <w:rsid w:val="008B59B3"/>
    <w:rsid w:val="008B64FA"/>
    <w:rsid w:val="008B6E7A"/>
    <w:rsid w:val="008C2D69"/>
    <w:rsid w:val="008C4579"/>
    <w:rsid w:val="008C49C6"/>
    <w:rsid w:val="008C754C"/>
    <w:rsid w:val="008D56C9"/>
    <w:rsid w:val="008D56CA"/>
    <w:rsid w:val="008D6A54"/>
    <w:rsid w:val="008E2585"/>
    <w:rsid w:val="008E2D7A"/>
    <w:rsid w:val="008F3138"/>
    <w:rsid w:val="008F3215"/>
    <w:rsid w:val="008F4A62"/>
    <w:rsid w:val="008F6001"/>
    <w:rsid w:val="008F7256"/>
    <w:rsid w:val="00900F59"/>
    <w:rsid w:val="0090424C"/>
    <w:rsid w:val="0090605E"/>
    <w:rsid w:val="00906C74"/>
    <w:rsid w:val="009108CE"/>
    <w:rsid w:val="00915A9F"/>
    <w:rsid w:val="00924D9D"/>
    <w:rsid w:val="0092720E"/>
    <w:rsid w:val="00930D58"/>
    <w:rsid w:val="00931278"/>
    <w:rsid w:val="009334AC"/>
    <w:rsid w:val="00935158"/>
    <w:rsid w:val="00935AAA"/>
    <w:rsid w:val="0095031E"/>
    <w:rsid w:val="00950BEC"/>
    <w:rsid w:val="009518ED"/>
    <w:rsid w:val="00954297"/>
    <w:rsid w:val="00954CE9"/>
    <w:rsid w:val="00954DDE"/>
    <w:rsid w:val="00955699"/>
    <w:rsid w:val="0096023D"/>
    <w:rsid w:val="00960A56"/>
    <w:rsid w:val="00962948"/>
    <w:rsid w:val="00963D5D"/>
    <w:rsid w:val="00966EF1"/>
    <w:rsid w:val="00967223"/>
    <w:rsid w:val="00970FA0"/>
    <w:rsid w:val="009751F7"/>
    <w:rsid w:val="0098168B"/>
    <w:rsid w:val="0098350E"/>
    <w:rsid w:val="00990C12"/>
    <w:rsid w:val="0099404F"/>
    <w:rsid w:val="0099607F"/>
    <w:rsid w:val="00996FA5"/>
    <w:rsid w:val="009A1C0E"/>
    <w:rsid w:val="009A46C7"/>
    <w:rsid w:val="009B5662"/>
    <w:rsid w:val="009B72B1"/>
    <w:rsid w:val="009C2211"/>
    <w:rsid w:val="009C25AF"/>
    <w:rsid w:val="009C40E8"/>
    <w:rsid w:val="009C45C5"/>
    <w:rsid w:val="009C5400"/>
    <w:rsid w:val="009C5618"/>
    <w:rsid w:val="009D63B1"/>
    <w:rsid w:val="009E1CB0"/>
    <w:rsid w:val="009E5B0C"/>
    <w:rsid w:val="009E6858"/>
    <w:rsid w:val="009E6F8C"/>
    <w:rsid w:val="009F405F"/>
    <w:rsid w:val="00A01C56"/>
    <w:rsid w:val="00A108CF"/>
    <w:rsid w:val="00A154CC"/>
    <w:rsid w:val="00A23B40"/>
    <w:rsid w:val="00A3087C"/>
    <w:rsid w:val="00A32C50"/>
    <w:rsid w:val="00A34C2B"/>
    <w:rsid w:val="00A3559B"/>
    <w:rsid w:val="00A358E7"/>
    <w:rsid w:val="00A41EA8"/>
    <w:rsid w:val="00A4380B"/>
    <w:rsid w:val="00A43941"/>
    <w:rsid w:val="00A51A2D"/>
    <w:rsid w:val="00A542F3"/>
    <w:rsid w:val="00A554F0"/>
    <w:rsid w:val="00A5596B"/>
    <w:rsid w:val="00A61850"/>
    <w:rsid w:val="00A63C07"/>
    <w:rsid w:val="00A63D9B"/>
    <w:rsid w:val="00A6590A"/>
    <w:rsid w:val="00A704DC"/>
    <w:rsid w:val="00A739C1"/>
    <w:rsid w:val="00A76F57"/>
    <w:rsid w:val="00A8156D"/>
    <w:rsid w:val="00A81CB5"/>
    <w:rsid w:val="00A8445D"/>
    <w:rsid w:val="00A91A67"/>
    <w:rsid w:val="00A92CAD"/>
    <w:rsid w:val="00A93DC6"/>
    <w:rsid w:val="00A9411A"/>
    <w:rsid w:val="00A96871"/>
    <w:rsid w:val="00AA2194"/>
    <w:rsid w:val="00AA4A4B"/>
    <w:rsid w:val="00AA6682"/>
    <w:rsid w:val="00AA763D"/>
    <w:rsid w:val="00AA7F55"/>
    <w:rsid w:val="00AB0408"/>
    <w:rsid w:val="00AB0613"/>
    <w:rsid w:val="00AB3F3C"/>
    <w:rsid w:val="00AB7C5C"/>
    <w:rsid w:val="00AB7CBF"/>
    <w:rsid w:val="00AC52A6"/>
    <w:rsid w:val="00AD0111"/>
    <w:rsid w:val="00AD089E"/>
    <w:rsid w:val="00AD0B68"/>
    <w:rsid w:val="00AD2CAD"/>
    <w:rsid w:val="00AD40C3"/>
    <w:rsid w:val="00AD4C72"/>
    <w:rsid w:val="00AD5451"/>
    <w:rsid w:val="00AD54B3"/>
    <w:rsid w:val="00AD5CA2"/>
    <w:rsid w:val="00AD7B77"/>
    <w:rsid w:val="00AE1947"/>
    <w:rsid w:val="00AE1EB5"/>
    <w:rsid w:val="00AE6FD3"/>
    <w:rsid w:val="00AF1C8B"/>
    <w:rsid w:val="00AF299B"/>
    <w:rsid w:val="00AF7E43"/>
    <w:rsid w:val="00B02AE0"/>
    <w:rsid w:val="00B03F25"/>
    <w:rsid w:val="00B05326"/>
    <w:rsid w:val="00B12145"/>
    <w:rsid w:val="00B14545"/>
    <w:rsid w:val="00B14E60"/>
    <w:rsid w:val="00B17BA2"/>
    <w:rsid w:val="00B26DC3"/>
    <w:rsid w:val="00B30B9D"/>
    <w:rsid w:val="00B4574D"/>
    <w:rsid w:val="00B468E1"/>
    <w:rsid w:val="00B46BC0"/>
    <w:rsid w:val="00B46DFB"/>
    <w:rsid w:val="00B5141B"/>
    <w:rsid w:val="00B54BA4"/>
    <w:rsid w:val="00B55681"/>
    <w:rsid w:val="00B57AAD"/>
    <w:rsid w:val="00B626AC"/>
    <w:rsid w:val="00B6374E"/>
    <w:rsid w:val="00B72B16"/>
    <w:rsid w:val="00B73834"/>
    <w:rsid w:val="00B745E8"/>
    <w:rsid w:val="00B76F30"/>
    <w:rsid w:val="00B80408"/>
    <w:rsid w:val="00B81397"/>
    <w:rsid w:val="00B81A55"/>
    <w:rsid w:val="00B87D00"/>
    <w:rsid w:val="00B925DB"/>
    <w:rsid w:val="00B93C9C"/>
    <w:rsid w:val="00B93D61"/>
    <w:rsid w:val="00B95EBC"/>
    <w:rsid w:val="00B967FF"/>
    <w:rsid w:val="00B974B9"/>
    <w:rsid w:val="00BA3F6D"/>
    <w:rsid w:val="00BA4BE6"/>
    <w:rsid w:val="00BA4FC0"/>
    <w:rsid w:val="00BA61E0"/>
    <w:rsid w:val="00BA657C"/>
    <w:rsid w:val="00BA7F7D"/>
    <w:rsid w:val="00BB1C14"/>
    <w:rsid w:val="00BB6847"/>
    <w:rsid w:val="00BB6F0B"/>
    <w:rsid w:val="00BB7F8F"/>
    <w:rsid w:val="00BC2973"/>
    <w:rsid w:val="00BC4CB4"/>
    <w:rsid w:val="00BC716A"/>
    <w:rsid w:val="00BD07DF"/>
    <w:rsid w:val="00BD0F27"/>
    <w:rsid w:val="00BD26F4"/>
    <w:rsid w:val="00BD34F2"/>
    <w:rsid w:val="00BD5DBD"/>
    <w:rsid w:val="00BD5DF6"/>
    <w:rsid w:val="00BE0041"/>
    <w:rsid w:val="00BE640F"/>
    <w:rsid w:val="00BE6D2A"/>
    <w:rsid w:val="00BF2993"/>
    <w:rsid w:val="00BF3E06"/>
    <w:rsid w:val="00BF4638"/>
    <w:rsid w:val="00BF502D"/>
    <w:rsid w:val="00BF5130"/>
    <w:rsid w:val="00C00844"/>
    <w:rsid w:val="00C059D0"/>
    <w:rsid w:val="00C05B6A"/>
    <w:rsid w:val="00C07551"/>
    <w:rsid w:val="00C1109F"/>
    <w:rsid w:val="00C12D65"/>
    <w:rsid w:val="00C133AB"/>
    <w:rsid w:val="00C139AD"/>
    <w:rsid w:val="00C147F1"/>
    <w:rsid w:val="00C14E83"/>
    <w:rsid w:val="00C20B56"/>
    <w:rsid w:val="00C22214"/>
    <w:rsid w:val="00C26F72"/>
    <w:rsid w:val="00C306F8"/>
    <w:rsid w:val="00C309A7"/>
    <w:rsid w:val="00C319DE"/>
    <w:rsid w:val="00C31BA0"/>
    <w:rsid w:val="00C335AB"/>
    <w:rsid w:val="00C3608A"/>
    <w:rsid w:val="00C407AB"/>
    <w:rsid w:val="00C455EB"/>
    <w:rsid w:val="00C5236B"/>
    <w:rsid w:val="00C52B7B"/>
    <w:rsid w:val="00C53374"/>
    <w:rsid w:val="00C547CD"/>
    <w:rsid w:val="00C570FF"/>
    <w:rsid w:val="00C57CEA"/>
    <w:rsid w:val="00C60FEC"/>
    <w:rsid w:val="00C62B1C"/>
    <w:rsid w:val="00C6574E"/>
    <w:rsid w:val="00C663D1"/>
    <w:rsid w:val="00C70520"/>
    <w:rsid w:val="00C707FD"/>
    <w:rsid w:val="00C76DEB"/>
    <w:rsid w:val="00C811D8"/>
    <w:rsid w:val="00C816C6"/>
    <w:rsid w:val="00C863A7"/>
    <w:rsid w:val="00C865F0"/>
    <w:rsid w:val="00C912F4"/>
    <w:rsid w:val="00C9156F"/>
    <w:rsid w:val="00C955F3"/>
    <w:rsid w:val="00C9581A"/>
    <w:rsid w:val="00C97D29"/>
    <w:rsid w:val="00CA0EDC"/>
    <w:rsid w:val="00CB0550"/>
    <w:rsid w:val="00CB4A26"/>
    <w:rsid w:val="00CB5659"/>
    <w:rsid w:val="00CB6813"/>
    <w:rsid w:val="00CC64E0"/>
    <w:rsid w:val="00CD07CB"/>
    <w:rsid w:val="00CD2CA7"/>
    <w:rsid w:val="00CF3B94"/>
    <w:rsid w:val="00CF6A55"/>
    <w:rsid w:val="00CF6DC6"/>
    <w:rsid w:val="00CF6DCF"/>
    <w:rsid w:val="00D01DDB"/>
    <w:rsid w:val="00D023FC"/>
    <w:rsid w:val="00D078BE"/>
    <w:rsid w:val="00D13089"/>
    <w:rsid w:val="00D13F8A"/>
    <w:rsid w:val="00D16F60"/>
    <w:rsid w:val="00D2075D"/>
    <w:rsid w:val="00D22981"/>
    <w:rsid w:val="00D22F5A"/>
    <w:rsid w:val="00D3349B"/>
    <w:rsid w:val="00D424A8"/>
    <w:rsid w:val="00D4458C"/>
    <w:rsid w:val="00D45785"/>
    <w:rsid w:val="00D53496"/>
    <w:rsid w:val="00D6036F"/>
    <w:rsid w:val="00D62877"/>
    <w:rsid w:val="00D63760"/>
    <w:rsid w:val="00D6703F"/>
    <w:rsid w:val="00D7083A"/>
    <w:rsid w:val="00D7323B"/>
    <w:rsid w:val="00D734EB"/>
    <w:rsid w:val="00D82713"/>
    <w:rsid w:val="00D83D85"/>
    <w:rsid w:val="00D86F00"/>
    <w:rsid w:val="00D918D5"/>
    <w:rsid w:val="00D94C8E"/>
    <w:rsid w:val="00D95BEC"/>
    <w:rsid w:val="00DA4C19"/>
    <w:rsid w:val="00DB1372"/>
    <w:rsid w:val="00DB162B"/>
    <w:rsid w:val="00DB192C"/>
    <w:rsid w:val="00DB1CF3"/>
    <w:rsid w:val="00DB26D3"/>
    <w:rsid w:val="00DB5425"/>
    <w:rsid w:val="00DB72A6"/>
    <w:rsid w:val="00DC2C8E"/>
    <w:rsid w:val="00DC2CDF"/>
    <w:rsid w:val="00DC33AF"/>
    <w:rsid w:val="00DC63F6"/>
    <w:rsid w:val="00DC6611"/>
    <w:rsid w:val="00DD2ADC"/>
    <w:rsid w:val="00DD5AFB"/>
    <w:rsid w:val="00DE1344"/>
    <w:rsid w:val="00DF1CFD"/>
    <w:rsid w:val="00DF57A6"/>
    <w:rsid w:val="00DF5BFE"/>
    <w:rsid w:val="00E0523F"/>
    <w:rsid w:val="00E06D1E"/>
    <w:rsid w:val="00E23E50"/>
    <w:rsid w:val="00E26213"/>
    <w:rsid w:val="00E274DF"/>
    <w:rsid w:val="00E27F94"/>
    <w:rsid w:val="00E320E4"/>
    <w:rsid w:val="00E34D66"/>
    <w:rsid w:val="00E362C4"/>
    <w:rsid w:val="00E46CC2"/>
    <w:rsid w:val="00E47E0C"/>
    <w:rsid w:val="00E50B3A"/>
    <w:rsid w:val="00E51813"/>
    <w:rsid w:val="00E523B9"/>
    <w:rsid w:val="00E52C0B"/>
    <w:rsid w:val="00E53D3F"/>
    <w:rsid w:val="00E5579B"/>
    <w:rsid w:val="00E56A41"/>
    <w:rsid w:val="00E57FF4"/>
    <w:rsid w:val="00E679D1"/>
    <w:rsid w:val="00E67C1C"/>
    <w:rsid w:val="00E747B3"/>
    <w:rsid w:val="00E85209"/>
    <w:rsid w:val="00E9146D"/>
    <w:rsid w:val="00E91F11"/>
    <w:rsid w:val="00E9706D"/>
    <w:rsid w:val="00EA33C4"/>
    <w:rsid w:val="00EA3AF4"/>
    <w:rsid w:val="00EA3C8D"/>
    <w:rsid w:val="00EA4A6D"/>
    <w:rsid w:val="00ED11B9"/>
    <w:rsid w:val="00ED488D"/>
    <w:rsid w:val="00EE3F30"/>
    <w:rsid w:val="00EE4B01"/>
    <w:rsid w:val="00EE5F18"/>
    <w:rsid w:val="00EE7596"/>
    <w:rsid w:val="00EF0313"/>
    <w:rsid w:val="00EF3F0B"/>
    <w:rsid w:val="00EF3F6C"/>
    <w:rsid w:val="00EF5583"/>
    <w:rsid w:val="00F00F59"/>
    <w:rsid w:val="00F0289D"/>
    <w:rsid w:val="00F02AEC"/>
    <w:rsid w:val="00F04952"/>
    <w:rsid w:val="00F07572"/>
    <w:rsid w:val="00F14AD7"/>
    <w:rsid w:val="00F157FC"/>
    <w:rsid w:val="00F21092"/>
    <w:rsid w:val="00F242DF"/>
    <w:rsid w:val="00F30AF3"/>
    <w:rsid w:val="00F4017C"/>
    <w:rsid w:val="00F43CD1"/>
    <w:rsid w:val="00F45AE0"/>
    <w:rsid w:val="00F53462"/>
    <w:rsid w:val="00F53D46"/>
    <w:rsid w:val="00F60CF2"/>
    <w:rsid w:val="00F657B4"/>
    <w:rsid w:val="00F70B59"/>
    <w:rsid w:val="00F72725"/>
    <w:rsid w:val="00F7649F"/>
    <w:rsid w:val="00F8083B"/>
    <w:rsid w:val="00F82468"/>
    <w:rsid w:val="00F829B2"/>
    <w:rsid w:val="00F82D1B"/>
    <w:rsid w:val="00F8568E"/>
    <w:rsid w:val="00F865A7"/>
    <w:rsid w:val="00F9062D"/>
    <w:rsid w:val="00F9453B"/>
    <w:rsid w:val="00FA0754"/>
    <w:rsid w:val="00FA1BC9"/>
    <w:rsid w:val="00FA49C3"/>
    <w:rsid w:val="00FA5CEE"/>
    <w:rsid w:val="00FA6A57"/>
    <w:rsid w:val="00FB236E"/>
    <w:rsid w:val="00FB3F7B"/>
    <w:rsid w:val="00FB4C2A"/>
    <w:rsid w:val="00FB62AC"/>
    <w:rsid w:val="00FB706C"/>
    <w:rsid w:val="00FC2107"/>
    <w:rsid w:val="00FC48FE"/>
    <w:rsid w:val="00FC6F56"/>
    <w:rsid w:val="00FE087C"/>
    <w:rsid w:val="00FE22D9"/>
    <w:rsid w:val="00FE5CC6"/>
    <w:rsid w:val="00FE79A0"/>
    <w:rsid w:val="00FF0939"/>
    <w:rsid w:val="00FF58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Normal"/>
    <w:next w:val="Normal"/>
    <w:link w:val="Heading1Char"/>
    <w:uiPriority w:val="9"/>
    <w:qFormat/>
    <w:rsid w:val="00373B1A"/>
    <w:pPr>
      <w:keepNext/>
      <w:keepLines/>
      <w:spacing w:before="240" w:after="0"/>
      <w:outlineLvl w:val="0"/>
    </w:pPr>
    <w:rPr>
      <w:rFonts w:asciiTheme="majorHAnsi" w:eastAsiaTheme="majorEastAsia" w:hAnsiTheme="majorHAnsi" w:cstheme="majorBidi"/>
      <w:color w:val="81AEDC"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BB6F0B"/>
    <w:pPr>
      <w:keepNext/>
      <w:keepLines/>
      <w:spacing w:before="40" w:after="0"/>
      <w:outlineLvl w:val="6"/>
    </w:pPr>
    <w:rPr>
      <w:rFonts w:asciiTheme="majorHAnsi" w:eastAsiaTheme="majorEastAsia" w:hAnsiTheme="majorHAnsi" w:cstheme="majorBidi"/>
      <w:i/>
      <w:iCs/>
      <w:color w:val="3274B7" w:themeColor="accent1" w:themeShade="7F"/>
    </w:rPr>
  </w:style>
  <w:style w:type="paragraph" w:styleId="Heading8">
    <w:name w:val="heading 8"/>
    <w:basedOn w:val="Normal"/>
    <w:next w:val="Normal"/>
    <w:link w:val="Heading8Char"/>
    <w:uiPriority w:val="9"/>
    <w:unhideWhenUsed/>
    <w:qFormat/>
    <w:rsid w:val="00316582"/>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D83D85"/>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1Char">
    <w:name w:val="Heading 1 Char"/>
    <w:basedOn w:val="DefaultParagraphFont"/>
    <w:link w:val="Heading1"/>
    <w:uiPriority w:val="9"/>
    <w:rsid w:val="00373B1A"/>
    <w:rPr>
      <w:rFonts w:asciiTheme="majorHAnsi" w:eastAsiaTheme="majorEastAsia" w:hAnsiTheme="majorHAnsi" w:cstheme="majorBidi"/>
      <w:color w:val="81AEDC" w:themeColor="accent1" w:themeShade="BF"/>
      <w:sz w:val="32"/>
      <w:szCs w:val="32"/>
    </w:rPr>
  </w:style>
  <w:style w:type="paragraph" w:customStyle="1" w:styleId="TableParagraph">
    <w:name w:val="Table Paragraph"/>
    <w:basedOn w:val="Normal"/>
    <w:uiPriority w:val="1"/>
    <w:qFormat/>
    <w:rsid w:val="00E50B3A"/>
    <w:pPr>
      <w:widowControl w:val="0"/>
      <w:autoSpaceDE w:val="0"/>
      <w:autoSpaceDN w:val="0"/>
      <w:spacing w:after="0" w:line="240" w:lineRule="auto"/>
    </w:pPr>
    <w:rPr>
      <w:rFonts w:ascii="Times New Roman" w:eastAsia="Times New Roman" w:hAnsi="Times New Roman" w:cs="Times New Roman"/>
      <w:szCs w:val="22"/>
      <w:lang w:val="en-US"/>
    </w:rPr>
  </w:style>
  <w:style w:type="paragraph" w:styleId="BodyText">
    <w:name w:val="Body Text"/>
    <w:basedOn w:val="Normal"/>
    <w:link w:val="BodyTextChar"/>
    <w:uiPriority w:val="1"/>
    <w:qFormat/>
    <w:rsid w:val="00CA0EDC"/>
    <w:pPr>
      <w:widowControl w:val="0"/>
      <w:autoSpaceDE w:val="0"/>
      <w:autoSpaceDN w:val="0"/>
      <w:spacing w:after="0" w:line="240" w:lineRule="auto"/>
      <w:ind w:left="568"/>
      <w:jc w:val="both"/>
    </w:pPr>
    <w:rPr>
      <w:rFonts w:eastAsia="Cambria" w:cs="Cambria"/>
      <w:szCs w:val="22"/>
      <w:lang w:val="en-US"/>
    </w:rPr>
  </w:style>
  <w:style w:type="character" w:customStyle="1" w:styleId="BodyTextChar">
    <w:name w:val="Body Text Char"/>
    <w:basedOn w:val="DefaultParagraphFont"/>
    <w:link w:val="BodyText"/>
    <w:uiPriority w:val="1"/>
    <w:rsid w:val="00CA0EDC"/>
    <w:rPr>
      <w:rFonts w:ascii="Cambria" w:eastAsia="Cambria" w:hAnsi="Cambria" w:cs="Cambria"/>
      <w:sz w:val="22"/>
      <w:szCs w:val="22"/>
      <w:lang w:val="en-US"/>
    </w:rPr>
  </w:style>
  <w:style w:type="character" w:customStyle="1" w:styleId="Heading7Char">
    <w:name w:val="Heading 7 Char"/>
    <w:basedOn w:val="DefaultParagraphFont"/>
    <w:link w:val="Heading7"/>
    <w:uiPriority w:val="9"/>
    <w:rsid w:val="00BB6F0B"/>
    <w:rPr>
      <w:rFonts w:asciiTheme="majorHAnsi" w:eastAsiaTheme="majorEastAsia" w:hAnsiTheme="majorHAnsi" w:cstheme="majorBidi"/>
      <w:i/>
      <w:iCs/>
      <w:color w:val="3274B7" w:themeColor="accent1" w:themeShade="7F"/>
      <w:sz w:val="22"/>
    </w:rPr>
  </w:style>
  <w:style w:type="character" w:customStyle="1" w:styleId="Heading8Char">
    <w:name w:val="Heading 8 Char"/>
    <w:basedOn w:val="DefaultParagraphFont"/>
    <w:link w:val="Heading8"/>
    <w:uiPriority w:val="9"/>
    <w:rsid w:val="00316582"/>
    <w:rPr>
      <w:rFonts w:asciiTheme="majorHAnsi" w:eastAsiaTheme="majorEastAsia" w:hAnsiTheme="majorHAnsi" w:cstheme="majorBidi"/>
      <w:color w:val="272727" w:themeColor="text1" w:themeTint="D8"/>
      <w:sz w:val="21"/>
      <w:szCs w:val="21"/>
    </w:rPr>
  </w:style>
  <w:style w:type="paragraph" w:customStyle="1" w:styleId="Tabletext0">
    <w:name w:val="Table text"/>
    <w:basedOn w:val="Normal"/>
    <w:link w:val="TabletextChar"/>
    <w:qFormat/>
    <w:rsid w:val="00005EE8"/>
    <w:pPr>
      <w:spacing w:before="20" w:after="20" w:line="252" w:lineRule="auto"/>
    </w:pPr>
    <w:rPr>
      <w:rFonts w:eastAsia="Times New Roman" w:cs="Times New Roman"/>
      <w:snapToGrid w:val="0"/>
      <w:kern w:val="16"/>
      <w:sz w:val="20"/>
      <w:szCs w:val="24"/>
    </w:rPr>
  </w:style>
  <w:style w:type="character" w:customStyle="1" w:styleId="TabletextChar">
    <w:name w:val="Table text Char"/>
    <w:basedOn w:val="DefaultParagraphFont"/>
    <w:link w:val="Tabletext0"/>
    <w:rsid w:val="00005EE8"/>
    <w:rPr>
      <w:rFonts w:ascii="Cambria" w:eastAsia="Times New Roman" w:hAnsi="Cambria" w:cs="Times New Roman"/>
      <w:snapToGrid w:val="0"/>
      <w:kern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tga.gov.au/black-triangle-scheme" TargetMode="External"/><Relationship Id="rId26" Type="http://schemas.openxmlformats.org/officeDocument/2006/relationships/image" Target="media/image6.png"/><Relationship Id="rId21" Type="http://schemas.openxmlformats.org/officeDocument/2006/relationships/hyperlink" Target="https://www.tga.gov.au/comparable-overseas-regulators-cors-timeframes-and-milestones" TargetMode="Externa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tga.gov.au/resources/artg/453648" TargetMode="External"/><Relationship Id="rId25" Type="http://schemas.microsoft.com/office/2007/relationships/hdphoto" Target="media/hdphoto2.wdp"/><Relationship Id="rId33" Type="http://schemas.openxmlformats.org/officeDocument/2006/relationships/hyperlink" Target="https://www.tga.gov.au" TargetMode="External"/><Relationship Id="rId2" Type="http://schemas.openxmlformats.org/officeDocument/2006/relationships/numbering" Target="numbering.xml"/><Relationship Id="rId16" Type="http://schemas.openxmlformats.org/officeDocument/2006/relationships/hyperlink" Target="mailto:tga.copyright@tga.gov.au" TargetMode="External"/><Relationship Id="rId20" Type="http://schemas.openxmlformats.org/officeDocument/2006/relationships/hyperlink" Target="https://www.tga.gov.au/obstetric-drug-information-services" TargetMode="External"/><Relationship Id="rId29" Type="http://schemas.openxmlformats.org/officeDocument/2006/relationships/hyperlink" Target="https://www.ebs.tg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hyperlink" Target="mailto:info@tga.gov.au"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tga.gov.au/australian-public-assessment-report-auspar-guidance" TargetMode="External"/><Relationship Id="rId23" Type="http://schemas.microsoft.com/office/2007/relationships/hdphoto" Target="media/hdphoto1.wdp"/><Relationship Id="rId28" Type="http://schemas.openxmlformats.org/officeDocument/2006/relationships/hyperlink" Target="https://www.tga.gov.au/resources/resources/forms/certified-product-details-cpd-biological-prescription-medicines"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tga.gov.au/products/medicines/find-information-about-medicine/prescribing-medicines-pregnancy-database"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tga.gov.au/" TargetMode="External"/><Relationship Id="rId22" Type="http://schemas.openxmlformats.org/officeDocument/2006/relationships/image" Target="media/image4.png"/><Relationship Id="rId27" Type="http://schemas.openxmlformats.org/officeDocument/2006/relationships/hyperlink" Target="https://www.tga.gov.au/resources/guidance/submitting-certified-product-details-cpd-biological-prescription-medicines" TargetMode="External"/><Relationship Id="rId30" Type="http://schemas.openxmlformats.org/officeDocument/2006/relationships/header" Target="header4.xml"/><Relationship Id="rId35" Type="http://schemas.openxmlformats.org/officeDocument/2006/relationships/footer" Target="footer5.xml"/><Relationship Id="rId8"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ema.europa.eu/en/documents/product-information/briumvi-epar-product-information_en.pdf" TargetMode="External"/><Relationship Id="rId2" Type="http://schemas.openxmlformats.org/officeDocument/2006/relationships/hyperlink" Target="https://www.ema.europa.eu/en/ich-s6-r1-preclinical-safety-evaluation-biotechnology-derived-pharmaceuticals-scientific-guideline" TargetMode="External"/><Relationship Id="rId1" Type="http://schemas.openxmlformats.org/officeDocument/2006/relationships/hyperlink" Target="https://www.nationalmssociety.org"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able cell light blue">
      <a:dk1>
        <a:sysClr val="windowText" lastClr="000000"/>
      </a:dk1>
      <a:lt1>
        <a:sysClr val="window" lastClr="FFFFFF"/>
      </a:lt1>
      <a:dk2>
        <a:srgbClr val="44546A"/>
      </a:dk2>
      <a:lt2>
        <a:srgbClr val="E7E6E6"/>
      </a:lt2>
      <a:accent1>
        <a:srgbClr val="DEEAF6"/>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35</Pages>
  <Words>12125</Words>
  <Characters>70818</Characters>
  <Application>Microsoft Office Word</Application>
  <DocSecurity>0</DocSecurity>
  <Lines>1758</Lines>
  <Paragraphs>907</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Disability and Ageing</Company>
  <LinksUpToDate>false</LinksUpToDate>
  <CharactersWithSpaces>82065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Briumvi</dc:title>
  <dc:subject>Prescription medicines</dc:subject>
  <dc:creator>Therapeutic Goods Administration</dc:creator>
  <cp:keywords/>
  <dc:description/>
  <cp:lastModifiedBy>LACK, Janet</cp:lastModifiedBy>
  <cp:revision>5</cp:revision>
  <dcterms:created xsi:type="dcterms:W3CDTF">2026-04-08T23:23:00Z</dcterms:created>
  <dcterms:modified xsi:type="dcterms:W3CDTF">2026-04-09T00:10:00Z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531f83f9,2ebff39c,5e0ccc27,69b65320,1d12e39c</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1733f83e,69c2b6dd,39fef80f,322f80f5,3638ef13</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2026-01-08T03:49:00Z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813969f0-483d-4e03-912d-ee2c69b78162</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