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F636AED" w:rsidR="00F02AEC" w:rsidRPr="00215D48" w:rsidRDefault="00346EC2" w:rsidP="007452E8">
            <w:pPr>
              <w:pStyle w:val="Title"/>
            </w:pPr>
            <w:r w:rsidRPr="00346EC2">
              <w:t xml:space="preserve">Australian Public Assessment Report for </w:t>
            </w:r>
            <w:r w:rsidR="00492CB4" w:rsidRPr="00492CB4">
              <w:t>A</w:t>
            </w:r>
            <w:r w:rsidR="00D445FF">
              <w:t>lyftrek</w:t>
            </w:r>
          </w:p>
        </w:tc>
      </w:tr>
      <w:tr w:rsidR="00F02AEC" w:rsidRPr="00215D48" w14:paraId="318A40A3" w14:textId="77777777" w:rsidTr="00346EC2">
        <w:trPr>
          <w:trHeight w:val="995"/>
        </w:trPr>
        <w:tc>
          <w:tcPr>
            <w:tcW w:w="8720" w:type="dxa"/>
          </w:tcPr>
          <w:p w14:paraId="1AA7C701" w14:textId="44AB4A29" w:rsidR="00492CB4" w:rsidRPr="00215D48" w:rsidRDefault="00346EC2" w:rsidP="00D93C1D">
            <w:pPr>
              <w:pStyle w:val="Subtitle"/>
              <w:ind w:left="0"/>
            </w:pPr>
            <w:r w:rsidRPr="00346EC2">
              <w:t xml:space="preserve">Active ingredients: </w:t>
            </w:r>
            <w:r w:rsidR="00492CB4">
              <w:t>V</w:t>
            </w:r>
            <w:r w:rsidR="00492CB4" w:rsidRPr="00492CB4">
              <w:t>anzacaftor, tezacaftor, deutivacaftor</w:t>
            </w:r>
          </w:p>
        </w:tc>
      </w:tr>
      <w:tr w:rsidR="00346EC2" w:rsidRPr="00215D48" w14:paraId="362CCAE4" w14:textId="77777777" w:rsidTr="007452E8">
        <w:trPr>
          <w:trHeight w:val="1916"/>
        </w:trPr>
        <w:tc>
          <w:tcPr>
            <w:tcW w:w="8720" w:type="dxa"/>
          </w:tcPr>
          <w:p w14:paraId="709C45C0" w14:textId="442ED0C8" w:rsidR="00346EC2" w:rsidRPr="00215D48" w:rsidRDefault="00346EC2" w:rsidP="00D93C1D">
            <w:pPr>
              <w:pStyle w:val="Subtitle"/>
              <w:ind w:left="0"/>
              <w:jc w:val="both"/>
            </w:pPr>
            <w:r w:rsidRPr="00346EC2">
              <w:t>Sponsor:</w:t>
            </w:r>
            <w:r w:rsidR="00492CB4">
              <w:t xml:space="preserve"> </w:t>
            </w:r>
            <w:r w:rsidR="00492CB4" w:rsidRPr="00492CB4">
              <w:t>Vertex Pharmaceuticals Australia</w:t>
            </w:r>
            <w:r w:rsidR="0077741E">
              <w:t xml:space="preserve"> Pty Ltd</w:t>
            </w:r>
          </w:p>
        </w:tc>
      </w:tr>
      <w:tr w:rsidR="00F02AEC" w:rsidRPr="00215D48" w14:paraId="37F2AA1F" w14:textId="77777777" w:rsidTr="007452E8">
        <w:tc>
          <w:tcPr>
            <w:tcW w:w="8720" w:type="dxa"/>
          </w:tcPr>
          <w:p w14:paraId="1FDE8DCD" w14:textId="0E234980" w:rsidR="00F02AEC" w:rsidRPr="00215D48" w:rsidRDefault="00D631C7" w:rsidP="007452E8">
            <w:pPr>
              <w:pStyle w:val="Date"/>
            </w:pPr>
            <w:r>
              <w:t>April</w:t>
            </w:r>
            <w:r w:rsidR="00492CB4">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D394ADC" w:rsidR="00175CD8" w:rsidRPr="00346EC2" w:rsidRDefault="00F02AEC" w:rsidP="00346EC2">
      <w:pPr>
        <w:pStyle w:val="LegalCopy"/>
        <w:rPr>
          <w:rFonts w:cs="Arial"/>
        </w:rPr>
      </w:pPr>
      <w:r w:rsidRPr="00215D48">
        <w:rPr>
          <w:rFonts w:cs="Arial"/>
        </w:rPr>
        <w:t>© Commonwealth of Australia 20</w:t>
      </w:r>
      <w:r>
        <w:rPr>
          <w:rFonts w:cs="Arial"/>
        </w:rPr>
        <w:t>2</w:t>
      </w:r>
      <w:r w:rsidR="00057186">
        <w:rPr>
          <w:rFonts w:cs="Arial"/>
        </w:rPr>
        <w:t>6</w:t>
      </w:r>
      <w:r w:rsidR="00915283">
        <w:rPr>
          <w:rFonts w:cs="Arial"/>
        </w:rPr>
        <w:t>.</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C3CF800" w14:textId="60B84A96" w:rsidR="0062652C"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7661906" w:history="1">
            <w:r w:rsidR="0062652C" w:rsidRPr="00405D7B">
              <w:rPr>
                <w:rStyle w:val="Hyperlink"/>
                <w:noProof/>
              </w:rPr>
              <w:t>List of abbreviations</w:t>
            </w:r>
            <w:r w:rsidR="0062652C">
              <w:rPr>
                <w:noProof/>
                <w:webHidden/>
              </w:rPr>
              <w:tab/>
            </w:r>
            <w:r w:rsidR="0062652C">
              <w:rPr>
                <w:noProof/>
                <w:webHidden/>
              </w:rPr>
              <w:fldChar w:fldCharType="begin"/>
            </w:r>
            <w:r w:rsidR="0062652C">
              <w:rPr>
                <w:noProof/>
                <w:webHidden/>
              </w:rPr>
              <w:instrText xml:space="preserve"> PAGEREF _Toc227661906 \h </w:instrText>
            </w:r>
            <w:r w:rsidR="0062652C">
              <w:rPr>
                <w:noProof/>
                <w:webHidden/>
              </w:rPr>
            </w:r>
            <w:r w:rsidR="0062652C">
              <w:rPr>
                <w:noProof/>
                <w:webHidden/>
              </w:rPr>
              <w:fldChar w:fldCharType="separate"/>
            </w:r>
            <w:r w:rsidR="0062652C">
              <w:rPr>
                <w:noProof/>
                <w:webHidden/>
              </w:rPr>
              <w:t>4</w:t>
            </w:r>
            <w:r w:rsidR="0062652C">
              <w:rPr>
                <w:noProof/>
                <w:webHidden/>
              </w:rPr>
              <w:fldChar w:fldCharType="end"/>
            </w:r>
          </w:hyperlink>
        </w:p>
        <w:p w14:paraId="1A02C389" w14:textId="6D6FED61" w:rsidR="0062652C" w:rsidRDefault="0062652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661907" w:history="1">
            <w:r w:rsidRPr="00405D7B">
              <w:rPr>
                <w:rStyle w:val="Hyperlink"/>
                <w:noProof/>
              </w:rPr>
              <w:t>Product submission</w:t>
            </w:r>
            <w:r>
              <w:rPr>
                <w:noProof/>
                <w:webHidden/>
              </w:rPr>
              <w:tab/>
            </w:r>
            <w:r>
              <w:rPr>
                <w:noProof/>
                <w:webHidden/>
              </w:rPr>
              <w:fldChar w:fldCharType="begin"/>
            </w:r>
            <w:r>
              <w:rPr>
                <w:noProof/>
                <w:webHidden/>
              </w:rPr>
              <w:instrText xml:space="preserve"> PAGEREF _Toc227661907 \h </w:instrText>
            </w:r>
            <w:r>
              <w:rPr>
                <w:noProof/>
                <w:webHidden/>
              </w:rPr>
            </w:r>
            <w:r>
              <w:rPr>
                <w:noProof/>
                <w:webHidden/>
              </w:rPr>
              <w:fldChar w:fldCharType="separate"/>
            </w:r>
            <w:r>
              <w:rPr>
                <w:noProof/>
                <w:webHidden/>
              </w:rPr>
              <w:t>6</w:t>
            </w:r>
            <w:r>
              <w:rPr>
                <w:noProof/>
                <w:webHidden/>
              </w:rPr>
              <w:fldChar w:fldCharType="end"/>
            </w:r>
          </w:hyperlink>
        </w:p>
        <w:p w14:paraId="771426B3" w14:textId="6CE13446"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08" w:history="1">
            <w:r w:rsidRPr="00405D7B">
              <w:rPr>
                <w:rStyle w:val="Hyperlink"/>
                <w:noProof/>
                <w:lang w:eastAsia="en-AU"/>
              </w:rPr>
              <w:t>Submission details</w:t>
            </w:r>
            <w:r>
              <w:rPr>
                <w:noProof/>
                <w:webHidden/>
              </w:rPr>
              <w:tab/>
            </w:r>
            <w:r>
              <w:rPr>
                <w:noProof/>
                <w:webHidden/>
              </w:rPr>
              <w:fldChar w:fldCharType="begin"/>
            </w:r>
            <w:r>
              <w:rPr>
                <w:noProof/>
                <w:webHidden/>
              </w:rPr>
              <w:instrText xml:space="preserve"> PAGEREF _Toc227661908 \h </w:instrText>
            </w:r>
            <w:r>
              <w:rPr>
                <w:noProof/>
                <w:webHidden/>
              </w:rPr>
            </w:r>
            <w:r>
              <w:rPr>
                <w:noProof/>
                <w:webHidden/>
              </w:rPr>
              <w:fldChar w:fldCharType="separate"/>
            </w:r>
            <w:r>
              <w:rPr>
                <w:noProof/>
                <w:webHidden/>
              </w:rPr>
              <w:t>6</w:t>
            </w:r>
            <w:r>
              <w:rPr>
                <w:noProof/>
                <w:webHidden/>
              </w:rPr>
              <w:fldChar w:fldCharType="end"/>
            </w:r>
          </w:hyperlink>
        </w:p>
        <w:p w14:paraId="5B1D8940" w14:textId="7AB95DDF"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09" w:history="1">
            <w:r w:rsidRPr="00405D7B">
              <w:rPr>
                <w:rStyle w:val="Hyperlink"/>
                <w:noProof/>
              </w:rPr>
              <w:t>Product background</w:t>
            </w:r>
            <w:r>
              <w:rPr>
                <w:noProof/>
                <w:webHidden/>
              </w:rPr>
              <w:tab/>
            </w:r>
            <w:r>
              <w:rPr>
                <w:noProof/>
                <w:webHidden/>
              </w:rPr>
              <w:fldChar w:fldCharType="begin"/>
            </w:r>
            <w:r>
              <w:rPr>
                <w:noProof/>
                <w:webHidden/>
              </w:rPr>
              <w:instrText xml:space="preserve"> PAGEREF _Toc227661909 \h </w:instrText>
            </w:r>
            <w:r>
              <w:rPr>
                <w:noProof/>
                <w:webHidden/>
              </w:rPr>
            </w:r>
            <w:r>
              <w:rPr>
                <w:noProof/>
                <w:webHidden/>
              </w:rPr>
              <w:fldChar w:fldCharType="separate"/>
            </w:r>
            <w:r>
              <w:rPr>
                <w:noProof/>
                <w:webHidden/>
              </w:rPr>
              <w:t>7</w:t>
            </w:r>
            <w:r>
              <w:rPr>
                <w:noProof/>
                <w:webHidden/>
              </w:rPr>
              <w:fldChar w:fldCharType="end"/>
            </w:r>
          </w:hyperlink>
        </w:p>
        <w:p w14:paraId="17274F91" w14:textId="774910D3"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10" w:history="1">
            <w:r w:rsidRPr="00405D7B">
              <w:rPr>
                <w:rStyle w:val="Hyperlink"/>
                <w:noProof/>
              </w:rPr>
              <w:t>Disease or condition</w:t>
            </w:r>
            <w:r>
              <w:rPr>
                <w:noProof/>
                <w:webHidden/>
              </w:rPr>
              <w:tab/>
            </w:r>
            <w:r>
              <w:rPr>
                <w:noProof/>
                <w:webHidden/>
              </w:rPr>
              <w:fldChar w:fldCharType="begin"/>
            </w:r>
            <w:r>
              <w:rPr>
                <w:noProof/>
                <w:webHidden/>
              </w:rPr>
              <w:instrText xml:space="preserve"> PAGEREF _Toc227661910 \h </w:instrText>
            </w:r>
            <w:r>
              <w:rPr>
                <w:noProof/>
                <w:webHidden/>
              </w:rPr>
            </w:r>
            <w:r>
              <w:rPr>
                <w:noProof/>
                <w:webHidden/>
              </w:rPr>
              <w:fldChar w:fldCharType="separate"/>
            </w:r>
            <w:r>
              <w:rPr>
                <w:noProof/>
                <w:webHidden/>
              </w:rPr>
              <w:t>7</w:t>
            </w:r>
            <w:r>
              <w:rPr>
                <w:noProof/>
                <w:webHidden/>
              </w:rPr>
              <w:fldChar w:fldCharType="end"/>
            </w:r>
          </w:hyperlink>
        </w:p>
        <w:p w14:paraId="5A24360E" w14:textId="22554145"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11" w:history="1">
            <w:r w:rsidRPr="00405D7B">
              <w:rPr>
                <w:rStyle w:val="Hyperlink"/>
                <w:noProof/>
              </w:rPr>
              <w:t>Current treatment options</w:t>
            </w:r>
            <w:r>
              <w:rPr>
                <w:noProof/>
                <w:webHidden/>
              </w:rPr>
              <w:tab/>
            </w:r>
            <w:r>
              <w:rPr>
                <w:noProof/>
                <w:webHidden/>
              </w:rPr>
              <w:fldChar w:fldCharType="begin"/>
            </w:r>
            <w:r>
              <w:rPr>
                <w:noProof/>
                <w:webHidden/>
              </w:rPr>
              <w:instrText xml:space="preserve"> PAGEREF _Toc227661911 \h </w:instrText>
            </w:r>
            <w:r>
              <w:rPr>
                <w:noProof/>
                <w:webHidden/>
              </w:rPr>
            </w:r>
            <w:r>
              <w:rPr>
                <w:noProof/>
                <w:webHidden/>
              </w:rPr>
              <w:fldChar w:fldCharType="separate"/>
            </w:r>
            <w:r>
              <w:rPr>
                <w:noProof/>
                <w:webHidden/>
              </w:rPr>
              <w:t>11</w:t>
            </w:r>
            <w:r>
              <w:rPr>
                <w:noProof/>
                <w:webHidden/>
              </w:rPr>
              <w:fldChar w:fldCharType="end"/>
            </w:r>
          </w:hyperlink>
        </w:p>
        <w:p w14:paraId="3A3AA2C2" w14:textId="481C354A"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12" w:history="1">
            <w:r w:rsidRPr="00405D7B">
              <w:rPr>
                <w:rStyle w:val="Hyperlink"/>
                <w:noProof/>
              </w:rPr>
              <w:t>Clinical rationale</w:t>
            </w:r>
            <w:r>
              <w:rPr>
                <w:noProof/>
                <w:webHidden/>
              </w:rPr>
              <w:tab/>
            </w:r>
            <w:r>
              <w:rPr>
                <w:noProof/>
                <w:webHidden/>
              </w:rPr>
              <w:fldChar w:fldCharType="begin"/>
            </w:r>
            <w:r>
              <w:rPr>
                <w:noProof/>
                <w:webHidden/>
              </w:rPr>
              <w:instrText xml:space="preserve"> PAGEREF _Toc227661912 \h </w:instrText>
            </w:r>
            <w:r>
              <w:rPr>
                <w:noProof/>
                <w:webHidden/>
              </w:rPr>
            </w:r>
            <w:r>
              <w:rPr>
                <w:noProof/>
                <w:webHidden/>
              </w:rPr>
              <w:fldChar w:fldCharType="separate"/>
            </w:r>
            <w:r>
              <w:rPr>
                <w:noProof/>
                <w:webHidden/>
              </w:rPr>
              <w:t>12</w:t>
            </w:r>
            <w:r>
              <w:rPr>
                <w:noProof/>
                <w:webHidden/>
              </w:rPr>
              <w:fldChar w:fldCharType="end"/>
            </w:r>
          </w:hyperlink>
        </w:p>
        <w:p w14:paraId="7682C6FD" w14:textId="7E342731"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13" w:history="1">
            <w:r w:rsidRPr="00405D7B">
              <w:rPr>
                <w:rStyle w:val="Hyperlink"/>
                <w:noProof/>
              </w:rPr>
              <w:t>Regulatory status</w:t>
            </w:r>
            <w:r>
              <w:rPr>
                <w:noProof/>
                <w:webHidden/>
              </w:rPr>
              <w:tab/>
            </w:r>
            <w:r>
              <w:rPr>
                <w:noProof/>
                <w:webHidden/>
              </w:rPr>
              <w:fldChar w:fldCharType="begin"/>
            </w:r>
            <w:r>
              <w:rPr>
                <w:noProof/>
                <w:webHidden/>
              </w:rPr>
              <w:instrText xml:space="preserve"> PAGEREF _Toc227661913 \h </w:instrText>
            </w:r>
            <w:r>
              <w:rPr>
                <w:noProof/>
                <w:webHidden/>
              </w:rPr>
            </w:r>
            <w:r>
              <w:rPr>
                <w:noProof/>
                <w:webHidden/>
              </w:rPr>
              <w:fldChar w:fldCharType="separate"/>
            </w:r>
            <w:r>
              <w:rPr>
                <w:noProof/>
                <w:webHidden/>
              </w:rPr>
              <w:t>13</w:t>
            </w:r>
            <w:r>
              <w:rPr>
                <w:noProof/>
                <w:webHidden/>
              </w:rPr>
              <w:fldChar w:fldCharType="end"/>
            </w:r>
          </w:hyperlink>
        </w:p>
        <w:p w14:paraId="1218C1F0" w14:textId="28020651"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14" w:history="1">
            <w:r w:rsidRPr="00405D7B">
              <w:rPr>
                <w:rStyle w:val="Hyperlink"/>
                <w:noProof/>
              </w:rPr>
              <w:t>Australian regulatory status</w:t>
            </w:r>
            <w:r>
              <w:rPr>
                <w:noProof/>
                <w:webHidden/>
              </w:rPr>
              <w:tab/>
            </w:r>
            <w:r>
              <w:rPr>
                <w:noProof/>
                <w:webHidden/>
              </w:rPr>
              <w:fldChar w:fldCharType="begin"/>
            </w:r>
            <w:r>
              <w:rPr>
                <w:noProof/>
                <w:webHidden/>
              </w:rPr>
              <w:instrText xml:space="preserve"> PAGEREF _Toc227661914 \h </w:instrText>
            </w:r>
            <w:r>
              <w:rPr>
                <w:noProof/>
                <w:webHidden/>
              </w:rPr>
            </w:r>
            <w:r>
              <w:rPr>
                <w:noProof/>
                <w:webHidden/>
              </w:rPr>
              <w:fldChar w:fldCharType="separate"/>
            </w:r>
            <w:r>
              <w:rPr>
                <w:noProof/>
                <w:webHidden/>
              </w:rPr>
              <w:t>13</w:t>
            </w:r>
            <w:r>
              <w:rPr>
                <w:noProof/>
                <w:webHidden/>
              </w:rPr>
              <w:fldChar w:fldCharType="end"/>
            </w:r>
          </w:hyperlink>
        </w:p>
        <w:p w14:paraId="5AD4C890" w14:textId="09F74A4D"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15" w:history="1">
            <w:r w:rsidRPr="00405D7B">
              <w:rPr>
                <w:rStyle w:val="Hyperlink"/>
                <w:noProof/>
              </w:rPr>
              <w:t>International regulatory status</w:t>
            </w:r>
            <w:r>
              <w:rPr>
                <w:noProof/>
                <w:webHidden/>
              </w:rPr>
              <w:tab/>
            </w:r>
            <w:r>
              <w:rPr>
                <w:noProof/>
                <w:webHidden/>
              </w:rPr>
              <w:fldChar w:fldCharType="begin"/>
            </w:r>
            <w:r>
              <w:rPr>
                <w:noProof/>
                <w:webHidden/>
              </w:rPr>
              <w:instrText xml:space="preserve"> PAGEREF _Toc227661915 \h </w:instrText>
            </w:r>
            <w:r>
              <w:rPr>
                <w:noProof/>
                <w:webHidden/>
              </w:rPr>
            </w:r>
            <w:r>
              <w:rPr>
                <w:noProof/>
                <w:webHidden/>
              </w:rPr>
              <w:fldChar w:fldCharType="separate"/>
            </w:r>
            <w:r>
              <w:rPr>
                <w:noProof/>
                <w:webHidden/>
              </w:rPr>
              <w:t>13</w:t>
            </w:r>
            <w:r>
              <w:rPr>
                <w:noProof/>
                <w:webHidden/>
              </w:rPr>
              <w:fldChar w:fldCharType="end"/>
            </w:r>
          </w:hyperlink>
        </w:p>
        <w:p w14:paraId="301F14E1" w14:textId="291575CF" w:rsidR="0062652C" w:rsidRDefault="0062652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661916" w:history="1">
            <w:r w:rsidRPr="00405D7B">
              <w:rPr>
                <w:rStyle w:val="Hyperlink"/>
                <w:noProof/>
              </w:rPr>
              <w:t>Registration timeline</w:t>
            </w:r>
            <w:r>
              <w:rPr>
                <w:noProof/>
                <w:webHidden/>
              </w:rPr>
              <w:tab/>
            </w:r>
            <w:r>
              <w:rPr>
                <w:noProof/>
                <w:webHidden/>
              </w:rPr>
              <w:fldChar w:fldCharType="begin"/>
            </w:r>
            <w:r>
              <w:rPr>
                <w:noProof/>
                <w:webHidden/>
              </w:rPr>
              <w:instrText xml:space="preserve"> PAGEREF _Toc227661916 \h </w:instrText>
            </w:r>
            <w:r>
              <w:rPr>
                <w:noProof/>
                <w:webHidden/>
              </w:rPr>
            </w:r>
            <w:r>
              <w:rPr>
                <w:noProof/>
                <w:webHidden/>
              </w:rPr>
              <w:fldChar w:fldCharType="separate"/>
            </w:r>
            <w:r>
              <w:rPr>
                <w:noProof/>
                <w:webHidden/>
              </w:rPr>
              <w:t>15</w:t>
            </w:r>
            <w:r>
              <w:rPr>
                <w:noProof/>
                <w:webHidden/>
              </w:rPr>
              <w:fldChar w:fldCharType="end"/>
            </w:r>
          </w:hyperlink>
        </w:p>
        <w:p w14:paraId="3370CA0A" w14:textId="60833A9D" w:rsidR="0062652C" w:rsidRDefault="0062652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661917" w:history="1">
            <w:r w:rsidRPr="00405D7B">
              <w:rPr>
                <w:rStyle w:val="Hyperlink"/>
                <w:noProof/>
              </w:rPr>
              <w:t>Assessment overview</w:t>
            </w:r>
            <w:r>
              <w:rPr>
                <w:noProof/>
                <w:webHidden/>
              </w:rPr>
              <w:tab/>
            </w:r>
            <w:r>
              <w:rPr>
                <w:noProof/>
                <w:webHidden/>
              </w:rPr>
              <w:fldChar w:fldCharType="begin"/>
            </w:r>
            <w:r>
              <w:rPr>
                <w:noProof/>
                <w:webHidden/>
              </w:rPr>
              <w:instrText xml:space="preserve"> PAGEREF _Toc227661917 \h </w:instrText>
            </w:r>
            <w:r>
              <w:rPr>
                <w:noProof/>
                <w:webHidden/>
              </w:rPr>
            </w:r>
            <w:r>
              <w:rPr>
                <w:noProof/>
                <w:webHidden/>
              </w:rPr>
              <w:fldChar w:fldCharType="separate"/>
            </w:r>
            <w:r>
              <w:rPr>
                <w:noProof/>
                <w:webHidden/>
              </w:rPr>
              <w:t>16</w:t>
            </w:r>
            <w:r>
              <w:rPr>
                <w:noProof/>
                <w:webHidden/>
              </w:rPr>
              <w:fldChar w:fldCharType="end"/>
            </w:r>
          </w:hyperlink>
        </w:p>
        <w:p w14:paraId="0903B45B" w14:textId="50A75D32"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18" w:history="1">
            <w:r w:rsidRPr="00405D7B">
              <w:rPr>
                <w:rStyle w:val="Hyperlink"/>
                <w:noProof/>
              </w:rPr>
              <w:t>Quality evaluation summary</w:t>
            </w:r>
            <w:r>
              <w:rPr>
                <w:noProof/>
                <w:webHidden/>
              </w:rPr>
              <w:tab/>
            </w:r>
            <w:r>
              <w:rPr>
                <w:noProof/>
                <w:webHidden/>
              </w:rPr>
              <w:fldChar w:fldCharType="begin"/>
            </w:r>
            <w:r>
              <w:rPr>
                <w:noProof/>
                <w:webHidden/>
              </w:rPr>
              <w:instrText xml:space="preserve"> PAGEREF _Toc227661918 \h </w:instrText>
            </w:r>
            <w:r>
              <w:rPr>
                <w:noProof/>
                <w:webHidden/>
              </w:rPr>
            </w:r>
            <w:r>
              <w:rPr>
                <w:noProof/>
                <w:webHidden/>
              </w:rPr>
              <w:fldChar w:fldCharType="separate"/>
            </w:r>
            <w:r>
              <w:rPr>
                <w:noProof/>
                <w:webHidden/>
              </w:rPr>
              <w:t>16</w:t>
            </w:r>
            <w:r>
              <w:rPr>
                <w:noProof/>
                <w:webHidden/>
              </w:rPr>
              <w:fldChar w:fldCharType="end"/>
            </w:r>
          </w:hyperlink>
        </w:p>
        <w:p w14:paraId="6E2ACEEA" w14:textId="3DF66500"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19" w:history="1">
            <w:r w:rsidRPr="00405D7B">
              <w:rPr>
                <w:rStyle w:val="Hyperlink"/>
                <w:noProof/>
              </w:rPr>
              <w:t>Nonclinical evaluation summary</w:t>
            </w:r>
            <w:r>
              <w:rPr>
                <w:noProof/>
                <w:webHidden/>
              </w:rPr>
              <w:tab/>
            </w:r>
            <w:r>
              <w:rPr>
                <w:noProof/>
                <w:webHidden/>
              </w:rPr>
              <w:fldChar w:fldCharType="begin"/>
            </w:r>
            <w:r>
              <w:rPr>
                <w:noProof/>
                <w:webHidden/>
              </w:rPr>
              <w:instrText xml:space="preserve"> PAGEREF _Toc227661919 \h </w:instrText>
            </w:r>
            <w:r>
              <w:rPr>
                <w:noProof/>
                <w:webHidden/>
              </w:rPr>
            </w:r>
            <w:r>
              <w:rPr>
                <w:noProof/>
                <w:webHidden/>
              </w:rPr>
              <w:fldChar w:fldCharType="separate"/>
            </w:r>
            <w:r>
              <w:rPr>
                <w:noProof/>
                <w:webHidden/>
              </w:rPr>
              <w:t>17</w:t>
            </w:r>
            <w:r>
              <w:rPr>
                <w:noProof/>
                <w:webHidden/>
              </w:rPr>
              <w:fldChar w:fldCharType="end"/>
            </w:r>
          </w:hyperlink>
        </w:p>
        <w:p w14:paraId="7B50C843" w14:textId="3F2B81C3"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20" w:history="1">
            <w:r w:rsidRPr="00405D7B">
              <w:rPr>
                <w:rStyle w:val="Hyperlink"/>
                <w:noProof/>
              </w:rPr>
              <w:t>Clinical evaluation summary</w:t>
            </w:r>
            <w:r>
              <w:rPr>
                <w:noProof/>
                <w:webHidden/>
              </w:rPr>
              <w:tab/>
            </w:r>
            <w:r>
              <w:rPr>
                <w:noProof/>
                <w:webHidden/>
              </w:rPr>
              <w:fldChar w:fldCharType="begin"/>
            </w:r>
            <w:r>
              <w:rPr>
                <w:noProof/>
                <w:webHidden/>
              </w:rPr>
              <w:instrText xml:space="preserve"> PAGEREF _Toc227661920 \h </w:instrText>
            </w:r>
            <w:r>
              <w:rPr>
                <w:noProof/>
                <w:webHidden/>
              </w:rPr>
            </w:r>
            <w:r>
              <w:rPr>
                <w:noProof/>
                <w:webHidden/>
              </w:rPr>
              <w:fldChar w:fldCharType="separate"/>
            </w:r>
            <w:r>
              <w:rPr>
                <w:noProof/>
                <w:webHidden/>
              </w:rPr>
              <w:t>19</w:t>
            </w:r>
            <w:r>
              <w:rPr>
                <w:noProof/>
                <w:webHidden/>
              </w:rPr>
              <w:fldChar w:fldCharType="end"/>
            </w:r>
          </w:hyperlink>
        </w:p>
        <w:p w14:paraId="651FA9D9" w14:textId="2FF0A755"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1" w:history="1">
            <w:r w:rsidRPr="00405D7B">
              <w:rPr>
                <w:rStyle w:val="Hyperlink"/>
                <w:noProof/>
              </w:rPr>
              <w:t>Summary of clinical studies</w:t>
            </w:r>
            <w:r>
              <w:rPr>
                <w:noProof/>
                <w:webHidden/>
              </w:rPr>
              <w:tab/>
            </w:r>
            <w:r>
              <w:rPr>
                <w:noProof/>
                <w:webHidden/>
              </w:rPr>
              <w:fldChar w:fldCharType="begin"/>
            </w:r>
            <w:r>
              <w:rPr>
                <w:noProof/>
                <w:webHidden/>
              </w:rPr>
              <w:instrText xml:space="preserve"> PAGEREF _Toc227661921 \h </w:instrText>
            </w:r>
            <w:r>
              <w:rPr>
                <w:noProof/>
                <w:webHidden/>
              </w:rPr>
            </w:r>
            <w:r>
              <w:rPr>
                <w:noProof/>
                <w:webHidden/>
              </w:rPr>
              <w:fldChar w:fldCharType="separate"/>
            </w:r>
            <w:r>
              <w:rPr>
                <w:noProof/>
                <w:webHidden/>
              </w:rPr>
              <w:t>19</w:t>
            </w:r>
            <w:r>
              <w:rPr>
                <w:noProof/>
                <w:webHidden/>
              </w:rPr>
              <w:fldChar w:fldCharType="end"/>
            </w:r>
          </w:hyperlink>
        </w:p>
        <w:p w14:paraId="0AC3DF40" w14:textId="23950AF5"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2" w:history="1">
            <w:r w:rsidRPr="00405D7B">
              <w:rPr>
                <w:rStyle w:val="Hyperlink"/>
                <w:noProof/>
              </w:rPr>
              <w:t>Pharmacology</w:t>
            </w:r>
            <w:r>
              <w:rPr>
                <w:noProof/>
                <w:webHidden/>
              </w:rPr>
              <w:tab/>
            </w:r>
            <w:r>
              <w:rPr>
                <w:noProof/>
                <w:webHidden/>
              </w:rPr>
              <w:fldChar w:fldCharType="begin"/>
            </w:r>
            <w:r>
              <w:rPr>
                <w:noProof/>
                <w:webHidden/>
              </w:rPr>
              <w:instrText xml:space="preserve"> PAGEREF _Toc227661922 \h </w:instrText>
            </w:r>
            <w:r>
              <w:rPr>
                <w:noProof/>
                <w:webHidden/>
              </w:rPr>
            </w:r>
            <w:r>
              <w:rPr>
                <w:noProof/>
                <w:webHidden/>
              </w:rPr>
              <w:fldChar w:fldCharType="separate"/>
            </w:r>
            <w:r>
              <w:rPr>
                <w:noProof/>
                <w:webHidden/>
              </w:rPr>
              <w:t>19</w:t>
            </w:r>
            <w:r>
              <w:rPr>
                <w:noProof/>
                <w:webHidden/>
              </w:rPr>
              <w:fldChar w:fldCharType="end"/>
            </w:r>
          </w:hyperlink>
        </w:p>
        <w:p w14:paraId="17583F91" w14:textId="43ED118C"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3" w:history="1">
            <w:r w:rsidRPr="00405D7B">
              <w:rPr>
                <w:rStyle w:val="Hyperlink"/>
                <w:noProof/>
              </w:rPr>
              <w:t>Efficacy</w:t>
            </w:r>
            <w:r>
              <w:rPr>
                <w:noProof/>
                <w:webHidden/>
              </w:rPr>
              <w:tab/>
            </w:r>
            <w:r>
              <w:rPr>
                <w:noProof/>
                <w:webHidden/>
              </w:rPr>
              <w:fldChar w:fldCharType="begin"/>
            </w:r>
            <w:r>
              <w:rPr>
                <w:noProof/>
                <w:webHidden/>
              </w:rPr>
              <w:instrText xml:space="preserve"> PAGEREF _Toc227661923 \h </w:instrText>
            </w:r>
            <w:r>
              <w:rPr>
                <w:noProof/>
                <w:webHidden/>
              </w:rPr>
            </w:r>
            <w:r>
              <w:rPr>
                <w:noProof/>
                <w:webHidden/>
              </w:rPr>
              <w:fldChar w:fldCharType="separate"/>
            </w:r>
            <w:r>
              <w:rPr>
                <w:noProof/>
                <w:webHidden/>
              </w:rPr>
              <w:t>25</w:t>
            </w:r>
            <w:r>
              <w:rPr>
                <w:noProof/>
                <w:webHidden/>
              </w:rPr>
              <w:fldChar w:fldCharType="end"/>
            </w:r>
          </w:hyperlink>
        </w:p>
        <w:p w14:paraId="2F8B62B0" w14:textId="0814451F"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4" w:history="1">
            <w:r w:rsidRPr="00405D7B">
              <w:rPr>
                <w:rStyle w:val="Hyperlink"/>
                <w:noProof/>
                <w:lang w:eastAsia="ja-JP"/>
              </w:rPr>
              <w:t>Safety</w:t>
            </w:r>
            <w:r>
              <w:rPr>
                <w:noProof/>
                <w:webHidden/>
              </w:rPr>
              <w:tab/>
            </w:r>
            <w:r>
              <w:rPr>
                <w:noProof/>
                <w:webHidden/>
              </w:rPr>
              <w:fldChar w:fldCharType="begin"/>
            </w:r>
            <w:r>
              <w:rPr>
                <w:noProof/>
                <w:webHidden/>
              </w:rPr>
              <w:instrText xml:space="preserve"> PAGEREF _Toc227661924 \h </w:instrText>
            </w:r>
            <w:r>
              <w:rPr>
                <w:noProof/>
                <w:webHidden/>
              </w:rPr>
            </w:r>
            <w:r>
              <w:rPr>
                <w:noProof/>
                <w:webHidden/>
              </w:rPr>
              <w:fldChar w:fldCharType="separate"/>
            </w:r>
            <w:r>
              <w:rPr>
                <w:noProof/>
                <w:webHidden/>
              </w:rPr>
              <w:t>35</w:t>
            </w:r>
            <w:r>
              <w:rPr>
                <w:noProof/>
                <w:webHidden/>
              </w:rPr>
              <w:fldChar w:fldCharType="end"/>
            </w:r>
          </w:hyperlink>
        </w:p>
        <w:p w14:paraId="1155B895" w14:textId="4ED138C7"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25" w:history="1">
            <w:r w:rsidRPr="00405D7B">
              <w:rPr>
                <w:rStyle w:val="Hyperlink"/>
                <w:noProof/>
                <w:lang w:eastAsia="en-AU"/>
              </w:rPr>
              <w:t>Risk management plan</w:t>
            </w:r>
            <w:r>
              <w:rPr>
                <w:noProof/>
                <w:webHidden/>
              </w:rPr>
              <w:tab/>
            </w:r>
            <w:r>
              <w:rPr>
                <w:noProof/>
                <w:webHidden/>
              </w:rPr>
              <w:fldChar w:fldCharType="begin"/>
            </w:r>
            <w:r>
              <w:rPr>
                <w:noProof/>
                <w:webHidden/>
              </w:rPr>
              <w:instrText xml:space="preserve"> PAGEREF _Toc227661925 \h </w:instrText>
            </w:r>
            <w:r>
              <w:rPr>
                <w:noProof/>
                <w:webHidden/>
              </w:rPr>
            </w:r>
            <w:r>
              <w:rPr>
                <w:noProof/>
                <w:webHidden/>
              </w:rPr>
              <w:fldChar w:fldCharType="separate"/>
            </w:r>
            <w:r>
              <w:rPr>
                <w:noProof/>
                <w:webHidden/>
              </w:rPr>
              <w:t>40</w:t>
            </w:r>
            <w:r>
              <w:rPr>
                <w:noProof/>
                <w:webHidden/>
              </w:rPr>
              <w:fldChar w:fldCharType="end"/>
            </w:r>
          </w:hyperlink>
        </w:p>
        <w:p w14:paraId="2096D9EA" w14:textId="71160E3E"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26" w:history="1">
            <w:r w:rsidRPr="00405D7B">
              <w:rPr>
                <w:rStyle w:val="Hyperlink"/>
                <w:noProof/>
              </w:rPr>
              <w:t>Risk-benefit analysis</w:t>
            </w:r>
            <w:r>
              <w:rPr>
                <w:noProof/>
                <w:webHidden/>
              </w:rPr>
              <w:tab/>
            </w:r>
            <w:r>
              <w:rPr>
                <w:noProof/>
                <w:webHidden/>
              </w:rPr>
              <w:fldChar w:fldCharType="begin"/>
            </w:r>
            <w:r>
              <w:rPr>
                <w:noProof/>
                <w:webHidden/>
              </w:rPr>
              <w:instrText xml:space="preserve"> PAGEREF _Toc227661926 \h </w:instrText>
            </w:r>
            <w:r>
              <w:rPr>
                <w:noProof/>
                <w:webHidden/>
              </w:rPr>
            </w:r>
            <w:r>
              <w:rPr>
                <w:noProof/>
                <w:webHidden/>
              </w:rPr>
              <w:fldChar w:fldCharType="separate"/>
            </w:r>
            <w:r>
              <w:rPr>
                <w:noProof/>
                <w:webHidden/>
              </w:rPr>
              <w:t>41</w:t>
            </w:r>
            <w:r>
              <w:rPr>
                <w:noProof/>
                <w:webHidden/>
              </w:rPr>
              <w:fldChar w:fldCharType="end"/>
            </w:r>
          </w:hyperlink>
        </w:p>
        <w:p w14:paraId="563298CF" w14:textId="45381914"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7" w:history="1">
            <w:r w:rsidRPr="00405D7B">
              <w:rPr>
                <w:rStyle w:val="Hyperlink"/>
                <w:noProof/>
              </w:rPr>
              <w:t>Delegate’s considerations</w:t>
            </w:r>
            <w:r>
              <w:rPr>
                <w:noProof/>
                <w:webHidden/>
              </w:rPr>
              <w:tab/>
            </w:r>
            <w:r>
              <w:rPr>
                <w:noProof/>
                <w:webHidden/>
              </w:rPr>
              <w:fldChar w:fldCharType="begin"/>
            </w:r>
            <w:r>
              <w:rPr>
                <w:noProof/>
                <w:webHidden/>
              </w:rPr>
              <w:instrText xml:space="preserve"> PAGEREF _Toc227661927 \h </w:instrText>
            </w:r>
            <w:r>
              <w:rPr>
                <w:noProof/>
                <w:webHidden/>
              </w:rPr>
            </w:r>
            <w:r>
              <w:rPr>
                <w:noProof/>
                <w:webHidden/>
              </w:rPr>
              <w:fldChar w:fldCharType="separate"/>
            </w:r>
            <w:r>
              <w:rPr>
                <w:noProof/>
                <w:webHidden/>
              </w:rPr>
              <w:t>41</w:t>
            </w:r>
            <w:r>
              <w:rPr>
                <w:noProof/>
                <w:webHidden/>
              </w:rPr>
              <w:fldChar w:fldCharType="end"/>
            </w:r>
          </w:hyperlink>
        </w:p>
        <w:p w14:paraId="6E1D1CE1" w14:textId="3255ECD4" w:rsidR="0062652C" w:rsidRDefault="0062652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661928" w:history="1">
            <w:r w:rsidRPr="00405D7B">
              <w:rPr>
                <w:rStyle w:val="Hyperlink"/>
                <w:noProof/>
              </w:rPr>
              <w:t>Advisory Committee considerations</w:t>
            </w:r>
            <w:r>
              <w:rPr>
                <w:noProof/>
                <w:webHidden/>
              </w:rPr>
              <w:tab/>
            </w:r>
            <w:r>
              <w:rPr>
                <w:noProof/>
                <w:webHidden/>
              </w:rPr>
              <w:fldChar w:fldCharType="begin"/>
            </w:r>
            <w:r>
              <w:rPr>
                <w:noProof/>
                <w:webHidden/>
              </w:rPr>
              <w:instrText xml:space="preserve"> PAGEREF _Toc227661928 \h </w:instrText>
            </w:r>
            <w:r>
              <w:rPr>
                <w:noProof/>
                <w:webHidden/>
              </w:rPr>
            </w:r>
            <w:r>
              <w:rPr>
                <w:noProof/>
                <w:webHidden/>
              </w:rPr>
              <w:fldChar w:fldCharType="separate"/>
            </w:r>
            <w:r>
              <w:rPr>
                <w:noProof/>
                <w:webHidden/>
              </w:rPr>
              <w:t>44</w:t>
            </w:r>
            <w:r>
              <w:rPr>
                <w:noProof/>
                <w:webHidden/>
              </w:rPr>
              <w:fldChar w:fldCharType="end"/>
            </w:r>
          </w:hyperlink>
        </w:p>
        <w:p w14:paraId="6DE9E237" w14:textId="22C89263" w:rsidR="0062652C" w:rsidRDefault="0062652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661929" w:history="1">
            <w:r w:rsidRPr="00405D7B">
              <w:rPr>
                <w:rStyle w:val="Hyperlink"/>
                <w:noProof/>
              </w:rPr>
              <w:t>Assessment outcome</w:t>
            </w:r>
            <w:r>
              <w:rPr>
                <w:noProof/>
                <w:webHidden/>
              </w:rPr>
              <w:tab/>
            </w:r>
            <w:r>
              <w:rPr>
                <w:noProof/>
                <w:webHidden/>
              </w:rPr>
              <w:fldChar w:fldCharType="begin"/>
            </w:r>
            <w:r>
              <w:rPr>
                <w:noProof/>
                <w:webHidden/>
              </w:rPr>
              <w:instrText xml:space="preserve"> PAGEREF _Toc227661929 \h </w:instrText>
            </w:r>
            <w:r>
              <w:rPr>
                <w:noProof/>
                <w:webHidden/>
              </w:rPr>
            </w:r>
            <w:r>
              <w:rPr>
                <w:noProof/>
                <w:webHidden/>
              </w:rPr>
              <w:fldChar w:fldCharType="separate"/>
            </w:r>
            <w:r>
              <w:rPr>
                <w:noProof/>
                <w:webHidden/>
              </w:rPr>
              <w:t>45</w:t>
            </w:r>
            <w:r>
              <w:rPr>
                <w:noProof/>
                <w:webHidden/>
              </w:rPr>
              <w:fldChar w:fldCharType="end"/>
            </w:r>
          </w:hyperlink>
        </w:p>
        <w:p w14:paraId="40984933" w14:textId="5F50FE56"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30" w:history="1">
            <w:r w:rsidRPr="00405D7B">
              <w:rPr>
                <w:rStyle w:val="Hyperlink"/>
                <w:noProof/>
              </w:rPr>
              <w:t>Specific conditions of registration</w:t>
            </w:r>
            <w:r>
              <w:rPr>
                <w:noProof/>
                <w:webHidden/>
              </w:rPr>
              <w:tab/>
            </w:r>
            <w:r>
              <w:rPr>
                <w:noProof/>
                <w:webHidden/>
              </w:rPr>
              <w:fldChar w:fldCharType="begin"/>
            </w:r>
            <w:r>
              <w:rPr>
                <w:noProof/>
                <w:webHidden/>
              </w:rPr>
              <w:instrText xml:space="preserve"> PAGEREF _Toc227661930 \h </w:instrText>
            </w:r>
            <w:r>
              <w:rPr>
                <w:noProof/>
                <w:webHidden/>
              </w:rPr>
            </w:r>
            <w:r>
              <w:rPr>
                <w:noProof/>
                <w:webHidden/>
              </w:rPr>
              <w:fldChar w:fldCharType="separate"/>
            </w:r>
            <w:r>
              <w:rPr>
                <w:noProof/>
                <w:webHidden/>
              </w:rPr>
              <w:t>45</w:t>
            </w:r>
            <w:r>
              <w:rPr>
                <w:noProof/>
                <w:webHidden/>
              </w:rPr>
              <w:fldChar w:fldCharType="end"/>
            </w:r>
          </w:hyperlink>
        </w:p>
        <w:p w14:paraId="2D3CEEB0" w14:textId="6D1BA5B1" w:rsidR="0062652C" w:rsidRDefault="0062652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661931" w:history="1">
            <w:r w:rsidRPr="00405D7B">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_Toc227661931 \h </w:instrText>
            </w:r>
            <w:r>
              <w:rPr>
                <w:noProof/>
                <w:webHidden/>
              </w:rPr>
            </w:r>
            <w:r>
              <w:rPr>
                <w:noProof/>
                <w:webHidden/>
              </w:rPr>
              <w:fldChar w:fldCharType="separate"/>
            </w:r>
            <w:r>
              <w:rPr>
                <w:noProof/>
                <w:webHidden/>
              </w:rPr>
              <w:t>46</w:t>
            </w:r>
            <w:r>
              <w:rPr>
                <w:noProof/>
                <w:webHidden/>
              </w:rPr>
              <w:fldChar w:fldCharType="end"/>
            </w:r>
          </w:hyperlink>
        </w:p>
        <w:p w14:paraId="77659F2D" w14:textId="159DA284" w:rsidR="00F02AEC" w:rsidRPr="00215D48" w:rsidRDefault="00F02AEC" w:rsidP="007452E8">
          <w:r w:rsidRPr="00215D48">
            <w:fldChar w:fldCharType="end"/>
          </w:r>
        </w:p>
      </w:sdtContent>
    </w:sdt>
    <w:p w14:paraId="10032DF3" w14:textId="77777777" w:rsidR="000D7DBD" w:rsidRDefault="000D7DBD">
      <w:pPr>
        <w:rPr>
          <w:rFonts w:ascii="Arial" w:eastAsia="Times New Roman" w:hAnsi="Arial" w:cs="Times New Roman"/>
          <w:b/>
          <w:bCs/>
          <w:color w:val="001871"/>
          <w:sz w:val="38"/>
          <w:szCs w:val="38"/>
        </w:rPr>
      </w:pPr>
      <w:bookmarkStart w:id="0" w:name="_Toc98931917"/>
      <w:bookmarkStart w:id="1" w:name="_Toc103679287"/>
      <w:bookmarkStart w:id="2" w:name="_Toc323739589"/>
      <w:bookmarkStart w:id="3" w:name="_Toc356305216"/>
      <w:r>
        <w:br w:type="page"/>
      </w:r>
    </w:p>
    <w:p w14:paraId="1E73AB93" w14:textId="2F028DB5" w:rsidR="00324B33" w:rsidRDefault="00324B33" w:rsidP="00324B33">
      <w:pPr>
        <w:pStyle w:val="Heading2"/>
      </w:pPr>
      <w:bookmarkStart w:id="4" w:name="_Toc227661906"/>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25316B" w:rsidRPr="00D01DDB" w14:paraId="0F29FD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DD35FF" w14:textId="3963B7B4" w:rsidR="0025316B" w:rsidRPr="00D01DDB" w:rsidRDefault="0025316B" w:rsidP="00324B33">
            <w:pPr>
              <w:rPr>
                <w:szCs w:val="22"/>
              </w:rPr>
            </w:pPr>
            <w:r>
              <w:rPr>
                <w:szCs w:val="22"/>
              </w:rPr>
              <w:t>AEs</w:t>
            </w:r>
          </w:p>
        </w:tc>
        <w:tc>
          <w:tcPr>
            <w:tcW w:w="3800" w:type="pct"/>
          </w:tcPr>
          <w:p w14:paraId="036D3229" w14:textId="20B57F83" w:rsidR="0025316B" w:rsidRPr="00D01DDB" w:rsidRDefault="0025316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25316B">
              <w:rPr>
                <w:szCs w:val="22"/>
              </w:rPr>
              <w:t>dverse events</w:t>
            </w:r>
          </w:p>
        </w:tc>
      </w:tr>
      <w:tr w:rsidR="00C609BC" w:rsidRPr="00D01DDB" w14:paraId="6960F1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E1194A" w14:textId="35DDCC68" w:rsidR="00C609BC" w:rsidRDefault="00C609BC" w:rsidP="00324B33">
            <w:pPr>
              <w:rPr>
                <w:szCs w:val="22"/>
              </w:rPr>
            </w:pPr>
            <w:r>
              <w:rPr>
                <w:szCs w:val="22"/>
              </w:rPr>
              <w:t>AESI</w:t>
            </w:r>
          </w:p>
        </w:tc>
        <w:tc>
          <w:tcPr>
            <w:tcW w:w="3800" w:type="pct"/>
          </w:tcPr>
          <w:p w14:paraId="4C941E73" w14:textId="4130DD31" w:rsidR="00C609BC" w:rsidRDefault="00C609BC" w:rsidP="00C609BC">
            <w:pPr>
              <w:cnfStyle w:val="000000000000" w:firstRow="0" w:lastRow="0" w:firstColumn="0" w:lastColumn="0" w:oddVBand="0" w:evenVBand="0" w:oddHBand="0" w:evenHBand="0" w:firstRowFirstColumn="0" w:firstRowLastColumn="0" w:lastRowFirstColumn="0" w:lastRowLastColumn="0"/>
              <w:rPr>
                <w:szCs w:val="22"/>
              </w:rPr>
            </w:pPr>
            <w:r w:rsidRPr="00C609BC">
              <w:rPr>
                <w:szCs w:val="22"/>
              </w:rPr>
              <w:t>Adverse events of special interest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575F1A" w:rsidRPr="00D01DDB" w14:paraId="393F9C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CA721D" w14:textId="4481DCB4" w:rsidR="00575F1A" w:rsidRPr="00D01DDB" w:rsidRDefault="00575F1A" w:rsidP="00324B33">
            <w:pPr>
              <w:rPr>
                <w:szCs w:val="22"/>
              </w:rPr>
            </w:pPr>
            <w:r>
              <w:rPr>
                <w:szCs w:val="22"/>
              </w:rPr>
              <w:t>AUC</w:t>
            </w:r>
          </w:p>
        </w:tc>
        <w:tc>
          <w:tcPr>
            <w:tcW w:w="3800" w:type="pct"/>
          </w:tcPr>
          <w:p w14:paraId="7F88AC1C" w14:textId="4D7E3117" w:rsidR="00575F1A" w:rsidRPr="00D01DDB" w:rsidRDefault="006F2005" w:rsidP="00324B33">
            <w:pPr>
              <w:cnfStyle w:val="000000000000" w:firstRow="0" w:lastRow="0" w:firstColumn="0" w:lastColumn="0" w:oddVBand="0" w:evenVBand="0" w:oddHBand="0" w:evenHBand="0" w:firstRowFirstColumn="0" w:firstRowLastColumn="0" w:lastRowFirstColumn="0" w:lastRowLastColumn="0"/>
              <w:rPr>
                <w:szCs w:val="22"/>
              </w:rPr>
            </w:pPr>
            <w:r w:rsidRPr="006F2005">
              <w:rPr>
                <w:szCs w:val="22"/>
              </w:rPr>
              <w:t>Area under concentration curve</w:t>
            </w:r>
          </w:p>
        </w:tc>
      </w:tr>
      <w:tr w:rsidR="00EB3D9D" w:rsidRPr="00D01DDB" w14:paraId="372DFD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0E60E4" w14:textId="7A554CEE" w:rsidR="00EB3D9D" w:rsidRDefault="00EB3D9D" w:rsidP="00324B33">
            <w:pPr>
              <w:rPr>
                <w:szCs w:val="22"/>
              </w:rPr>
            </w:pPr>
            <w:r w:rsidRPr="00EB3D9D">
              <w:rPr>
                <w:szCs w:val="22"/>
              </w:rPr>
              <w:t>AUC</w:t>
            </w:r>
            <w:r w:rsidRPr="00EB3D9D">
              <w:rPr>
                <w:szCs w:val="22"/>
                <w:vertAlign w:val="subscript"/>
              </w:rPr>
              <w:t>0-24h</w:t>
            </w:r>
          </w:p>
        </w:tc>
        <w:tc>
          <w:tcPr>
            <w:tcW w:w="3800" w:type="pct"/>
          </w:tcPr>
          <w:p w14:paraId="58A7C499" w14:textId="4D387E15" w:rsidR="00EB3D9D" w:rsidRPr="006F2005" w:rsidRDefault="003F6193" w:rsidP="00324B33">
            <w:pPr>
              <w:cnfStyle w:val="000000000000" w:firstRow="0" w:lastRow="0" w:firstColumn="0" w:lastColumn="0" w:oddVBand="0" w:evenVBand="0" w:oddHBand="0" w:evenHBand="0" w:firstRowFirstColumn="0" w:firstRowLastColumn="0" w:lastRowFirstColumn="0" w:lastRowLastColumn="0"/>
              <w:rPr>
                <w:szCs w:val="22"/>
              </w:rPr>
            </w:pPr>
            <w:r w:rsidRPr="003F6193">
              <w:rPr>
                <w:szCs w:val="22"/>
              </w:rPr>
              <w:t>Area under the concentration time curve from time zero to 24 hours</w:t>
            </w:r>
          </w:p>
        </w:tc>
      </w:tr>
      <w:tr w:rsidR="002324C0" w:rsidRPr="00D01DDB" w14:paraId="6E49AD9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FB7BEC" w14:textId="4B7F5F0F" w:rsidR="002324C0" w:rsidRPr="00D01DDB" w:rsidRDefault="002324C0" w:rsidP="00324B33">
            <w:pPr>
              <w:rPr>
                <w:szCs w:val="22"/>
              </w:rPr>
            </w:pPr>
            <w:r>
              <w:rPr>
                <w:szCs w:val="22"/>
              </w:rPr>
              <w:t>BMI</w:t>
            </w:r>
          </w:p>
        </w:tc>
        <w:tc>
          <w:tcPr>
            <w:tcW w:w="3800" w:type="pct"/>
          </w:tcPr>
          <w:p w14:paraId="6ECDF555" w14:textId="60B8FA2C" w:rsidR="002324C0" w:rsidRPr="00D01DDB" w:rsidRDefault="002324C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2324C0">
              <w:rPr>
                <w:szCs w:val="22"/>
              </w:rPr>
              <w:t>ody mass index</w:t>
            </w:r>
          </w:p>
        </w:tc>
      </w:tr>
      <w:tr w:rsidR="009747FD" w:rsidRPr="00D01DDB" w14:paraId="6A8FBD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75BA79" w14:textId="2F2A2227" w:rsidR="009747FD" w:rsidRPr="00D01DDB" w:rsidRDefault="009747FD" w:rsidP="00324B33">
            <w:pPr>
              <w:rPr>
                <w:szCs w:val="22"/>
              </w:rPr>
            </w:pPr>
            <w:r>
              <w:rPr>
                <w:szCs w:val="22"/>
              </w:rPr>
              <w:t>CF</w:t>
            </w:r>
          </w:p>
        </w:tc>
        <w:tc>
          <w:tcPr>
            <w:tcW w:w="3800" w:type="pct"/>
          </w:tcPr>
          <w:p w14:paraId="397F7A9D" w14:textId="1F711465" w:rsidR="009747FD" w:rsidRPr="009747FD" w:rsidRDefault="009747F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6315AC">
              <w:rPr>
                <w:szCs w:val="22"/>
              </w:rPr>
              <w:t>ystic fibrosis</w:t>
            </w:r>
          </w:p>
        </w:tc>
      </w:tr>
      <w:tr w:rsidR="003908A1" w:rsidRPr="00D01DDB" w14:paraId="441A56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49280B" w14:textId="3BBDFCB6" w:rsidR="003908A1" w:rsidRDefault="003908A1" w:rsidP="00324B33">
            <w:pPr>
              <w:rPr>
                <w:szCs w:val="22"/>
              </w:rPr>
            </w:pPr>
            <w:r w:rsidRPr="003908A1">
              <w:rPr>
                <w:szCs w:val="22"/>
              </w:rPr>
              <w:t>CFQ-R</w:t>
            </w:r>
          </w:p>
        </w:tc>
        <w:tc>
          <w:tcPr>
            <w:tcW w:w="3800" w:type="pct"/>
          </w:tcPr>
          <w:p w14:paraId="2A922821" w14:textId="48ED8896" w:rsidR="003908A1" w:rsidRDefault="00A90CFC" w:rsidP="00324B33">
            <w:pPr>
              <w:cnfStyle w:val="000000000000" w:firstRow="0" w:lastRow="0" w:firstColumn="0" w:lastColumn="0" w:oddVBand="0" w:evenVBand="0" w:oddHBand="0" w:evenHBand="0" w:firstRowFirstColumn="0" w:firstRowLastColumn="0" w:lastRowFirstColumn="0" w:lastRowLastColumn="0"/>
              <w:rPr>
                <w:szCs w:val="22"/>
              </w:rPr>
            </w:pPr>
            <w:r w:rsidRPr="00A90CFC">
              <w:rPr>
                <w:szCs w:val="22"/>
              </w:rPr>
              <w:t>Cystic Fibrosis Questionnaire-Revised</w:t>
            </w:r>
          </w:p>
        </w:tc>
      </w:tr>
      <w:tr w:rsidR="00EE65AE" w:rsidRPr="00D01DDB" w14:paraId="0F5D89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2C4DC1" w14:textId="477BE2B1" w:rsidR="00EE65AE" w:rsidRDefault="00EE65AE" w:rsidP="00324B33">
            <w:pPr>
              <w:rPr>
                <w:szCs w:val="22"/>
              </w:rPr>
            </w:pPr>
            <w:r w:rsidRPr="00EE65AE">
              <w:rPr>
                <w:szCs w:val="22"/>
              </w:rPr>
              <w:t>CFRD</w:t>
            </w:r>
          </w:p>
        </w:tc>
        <w:tc>
          <w:tcPr>
            <w:tcW w:w="3800" w:type="pct"/>
          </w:tcPr>
          <w:p w14:paraId="15AFABC6" w14:textId="426F6B80" w:rsidR="00EE65AE" w:rsidRDefault="00EE65A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EE65AE">
              <w:rPr>
                <w:szCs w:val="22"/>
              </w:rPr>
              <w:t>ystic fibrosis related diabetes</w:t>
            </w:r>
          </w:p>
        </w:tc>
      </w:tr>
      <w:tr w:rsidR="009747FD" w:rsidRPr="00D01DDB" w14:paraId="1E8E98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FF88BB" w14:textId="5006AB31" w:rsidR="009747FD" w:rsidRPr="00D01DDB" w:rsidRDefault="003378BD" w:rsidP="00324B33">
            <w:pPr>
              <w:rPr>
                <w:szCs w:val="22"/>
              </w:rPr>
            </w:pPr>
            <w:r>
              <w:rPr>
                <w:szCs w:val="22"/>
              </w:rPr>
              <w:t>CFTR</w:t>
            </w:r>
          </w:p>
        </w:tc>
        <w:tc>
          <w:tcPr>
            <w:tcW w:w="3800" w:type="pct"/>
          </w:tcPr>
          <w:p w14:paraId="0D2D5124" w14:textId="4A5B3549" w:rsidR="009747FD" w:rsidRPr="003378BD" w:rsidRDefault="003378BD" w:rsidP="00324B33">
            <w:pPr>
              <w:cnfStyle w:val="000000000000" w:firstRow="0" w:lastRow="0" w:firstColumn="0" w:lastColumn="0" w:oddVBand="0" w:evenVBand="0" w:oddHBand="0" w:evenHBand="0" w:firstRowFirstColumn="0" w:firstRowLastColumn="0" w:lastRowFirstColumn="0" w:lastRowLastColumn="0"/>
              <w:rPr>
                <w:szCs w:val="22"/>
              </w:rPr>
            </w:pPr>
            <w:r w:rsidRPr="003378BD">
              <w:rPr>
                <w:szCs w:val="22"/>
              </w:rPr>
              <w:t>C</w:t>
            </w:r>
            <w:r w:rsidRPr="006315AC">
              <w:rPr>
                <w:szCs w:val="22"/>
              </w:rPr>
              <w:t>ystic fibrosis transmembrane conductance regulator</w:t>
            </w:r>
          </w:p>
        </w:tc>
      </w:tr>
      <w:tr w:rsidR="009747FD" w:rsidRPr="00D01DDB" w14:paraId="2DFC3C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D04AF0" w14:textId="0DB39A68" w:rsidR="009747FD" w:rsidRPr="00D01DDB" w:rsidRDefault="00A90CFC" w:rsidP="00324B33">
            <w:pPr>
              <w:rPr>
                <w:szCs w:val="22"/>
              </w:rPr>
            </w:pPr>
            <w:r>
              <w:rPr>
                <w:szCs w:val="22"/>
              </w:rPr>
              <w:t>CI</w:t>
            </w:r>
          </w:p>
        </w:tc>
        <w:tc>
          <w:tcPr>
            <w:tcW w:w="3800" w:type="pct"/>
          </w:tcPr>
          <w:p w14:paraId="2AD7A5B1" w14:textId="3723458F" w:rsidR="009747FD" w:rsidRPr="00D01DDB" w:rsidRDefault="00A90CFC" w:rsidP="00324B33">
            <w:pPr>
              <w:cnfStyle w:val="000000000000" w:firstRow="0" w:lastRow="0" w:firstColumn="0" w:lastColumn="0" w:oddVBand="0" w:evenVBand="0" w:oddHBand="0" w:evenHBand="0" w:firstRowFirstColumn="0" w:firstRowLastColumn="0" w:lastRowFirstColumn="0" w:lastRowLastColumn="0"/>
              <w:rPr>
                <w:szCs w:val="22"/>
              </w:rPr>
            </w:pPr>
            <w:r w:rsidRPr="00A90CFC">
              <w:rPr>
                <w:szCs w:val="22"/>
              </w:rPr>
              <w:t>Confidence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51585" w:rsidRPr="00D01DDB" w14:paraId="181B51A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BBAE28" w14:textId="5755554D" w:rsidR="00351585" w:rsidRPr="00D01DDB" w:rsidRDefault="00351585" w:rsidP="00324B33">
            <w:pPr>
              <w:rPr>
                <w:szCs w:val="22"/>
              </w:rPr>
            </w:pPr>
            <w:r>
              <w:rPr>
                <w:szCs w:val="22"/>
              </w:rPr>
              <w:t>CNS</w:t>
            </w:r>
          </w:p>
        </w:tc>
        <w:tc>
          <w:tcPr>
            <w:tcW w:w="3800" w:type="pct"/>
          </w:tcPr>
          <w:p w14:paraId="0C14E17E" w14:textId="1DA623FA" w:rsidR="00351585" w:rsidRPr="00D01DDB" w:rsidRDefault="0035158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Central Nervous System</w:t>
            </w:r>
          </w:p>
        </w:tc>
      </w:tr>
      <w:tr w:rsidR="00D05E3A" w:rsidRPr="00D01DDB" w14:paraId="009A60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FA920A" w14:textId="3D79EA96" w:rsidR="00D05E3A" w:rsidRPr="00D05E3A" w:rsidRDefault="00D05E3A" w:rsidP="00324B33">
            <w:pPr>
              <w:rPr>
                <w:szCs w:val="22"/>
              </w:rPr>
            </w:pPr>
            <w:r w:rsidRPr="00D05E3A">
              <w:rPr>
                <w:szCs w:val="22"/>
              </w:rPr>
              <w:t>D-IVA</w:t>
            </w:r>
          </w:p>
        </w:tc>
        <w:tc>
          <w:tcPr>
            <w:tcW w:w="3800" w:type="pct"/>
          </w:tcPr>
          <w:p w14:paraId="1AC131A6" w14:textId="033AA565" w:rsidR="00D05E3A" w:rsidRPr="00D01DDB" w:rsidRDefault="00D5229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D52290">
              <w:rPr>
                <w:szCs w:val="22"/>
              </w:rPr>
              <w:t>eutivacaftor</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C609BC" w:rsidRPr="00D01DDB" w14:paraId="7F1086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5D062B" w14:textId="427C0EF2" w:rsidR="00C609BC" w:rsidRPr="00D01DDB" w:rsidRDefault="00C609BC" w:rsidP="00324B33">
            <w:pPr>
              <w:rPr>
                <w:szCs w:val="22"/>
              </w:rPr>
            </w:pPr>
            <w:r>
              <w:rPr>
                <w:szCs w:val="22"/>
              </w:rPr>
              <w:t>ECG</w:t>
            </w:r>
          </w:p>
        </w:tc>
        <w:tc>
          <w:tcPr>
            <w:tcW w:w="3800" w:type="pct"/>
          </w:tcPr>
          <w:p w14:paraId="56C28260" w14:textId="31C7326D" w:rsidR="00C609BC" w:rsidRPr="00D01DDB" w:rsidRDefault="00C609B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Electrocardiogram</w:t>
            </w:r>
          </w:p>
        </w:tc>
      </w:tr>
      <w:tr w:rsidR="00A4336B" w:rsidRPr="00D01DDB" w14:paraId="1970CE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9AF355" w14:textId="271BFE47" w:rsidR="00A4336B" w:rsidRPr="00D01DDB" w:rsidRDefault="00A4336B" w:rsidP="00324B33">
            <w:pPr>
              <w:rPr>
                <w:szCs w:val="22"/>
              </w:rPr>
            </w:pPr>
            <w:r>
              <w:rPr>
                <w:szCs w:val="22"/>
              </w:rPr>
              <w:t>ELX</w:t>
            </w:r>
          </w:p>
        </w:tc>
        <w:tc>
          <w:tcPr>
            <w:tcW w:w="3800" w:type="pct"/>
          </w:tcPr>
          <w:p w14:paraId="0575F626" w14:textId="3F70D8E6" w:rsidR="00A4336B" w:rsidRPr="00D01DDB" w:rsidRDefault="00B14768" w:rsidP="00324B33">
            <w:pPr>
              <w:cnfStyle w:val="000000000000" w:firstRow="0" w:lastRow="0" w:firstColumn="0" w:lastColumn="0" w:oddVBand="0" w:evenVBand="0" w:oddHBand="0" w:evenHBand="0" w:firstRowFirstColumn="0" w:firstRowLastColumn="0" w:lastRowFirstColumn="0" w:lastRowLastColumn="0"/>
              <w:rPr>
                <w:szCs w:val="22"/>
              </w:rPr>
            </w:pPr>
            <w:r w:rsidRPr="00B14768">
              <w:rPr>
                <w:szCs w:val="22"/>
              </w:rPr>
              <w:t>Elexacaftor</w:t>
            </w:r>
          </w:p>
        </w:tc>
      </w:tr>
      <w:tr w:rsidR="004D229F" w:rsidRPr="00D01DDB" w14:paraId="207865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D9A6B1" w14:textId="5D6DDEE5" w:rsidR="004D229F" w:rsidRDefault="004D229F" w:rsidP="00324B33">
            <w:pPr>
              <w:rPr>
                <w:szCs w:val="22"/>
              </w:rPr>
            </w:pPr>
            <w:r>
              <w:rPr>
                <w:szCs w:val="22"/>
              </w:rPr>
              <w:t>EMA</w:t>
            </w:r>
          </w:p>
        </w:tc>
        <w:tc>
          <w:tcPr>
            <w:tcW w:w="3800" w:type="pct"/>
          </w:tcPr>
          <w:p w14:paraId="30DCC4D8" w14:textId="72700736" w:rsidR="004D229F" w:rsidRPr="00B14768" w:rsidRDefault="004D229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2E1DA4" w:rsidRPr="00D01DDB" w14:paraId="6B3385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2FE6E5" w14:textId="32885701" w:rsidR="002E1DA4" w:rsidRDefault="002E1DA4" w:rsidP="00324B33">
            <w:pPr>
              <w:rPr>
                <w:szCs w:val="22"/>
              </w:rPr>
            </w:pPr>
            <w:r w:rsidRPr="002E1DA4">
              <w:rPr>
                <w:szCs w:val="22"/>
                <w:lang w:val="en-NZ"/>
              </w:rPr>
              <w:t>E</w:t>
            </w:r>
            <w:r w:rsidRPr="002E1DA4">
              <w:rPr>
                <w:szCs w:val="22"/>
                <w:vertAlign w:val="subscript"/>
                <w:lang w:val="en-NZ"/>
              </w:rPr>
              <w:t>max</w:t>
            </w:r>
          </w:p>
        </w:tc>
        <w:tc>
          <w:tcPr>
            <w:tcW w:w="3800" w:type="pct"/>
          </w:tcPr>
          <w:p w14:paraId="0BB99FC8" w14:textId="56B03457" w:rsidR="002E1DA4" w:rsidRPr="00B14768" w:rsidRDefault="00700B63" w:rsidP="00324B33">
            <w:pPr>
              <w:cnfStyle w:val="000000000000" w:firstRow="0" w:lastRow="0" w:firstColumn="0" w:lastColumn="0" w:oddVBand="0" w:evenVBand="0" w:oddHBand="0" w:evenHBand="0" w:firstRowFirstColumn="0" w:firstRowLastColumn="0" w:lastRowFirstColumn="0" w:lastRowLastColumn="0"/>
              <w:rPr>
                <w:szCs w:val="22"/>
              </w:rPr>
            </w:pPr>
            <w:r w:rsidRPr="00700B63">
              <w:rPr>
                <w:szCs w:val="22"/>
              </w:rPr>
              <w:t>Maximum effect attributable to the drug</w:t>
            </w:r>
          </w:p>
        </w:tc>
      </w:tr>
      <w:tr w:rsidR="008A3D71" w:rsidRPr="00D01DDB" w14:paraId="2DED90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FF54AB" w14:textId="71B15334" w:rsidR="008A3D71" w:rsidRDefault="008A3D71" w:rsidP="00324B33">
            <w:pPr>
              <w:rPr>
                <w:szCs w:val="22"/>
              </w:rPr>
            </w:pPr>
            <w:r>
              <w:rPr>
                <w:szCs w:val="22"/>
              </w:rPr>
              <w:t>E-R</w:t>
            </w:r>
          </w:p>
        </w:tc>
        <w:tc>
          <w:tcPr>
            <w:tcW w:w="3800" w:type="pct"/>
          </w:tcPr>
          <w:p w14:paraId="185FCAA3" w14:textId="042B6D9D" w:rsidR="008A3D71" w:rsidRPr="00B14768" w:rsidRDefault="008A3D71" w:rsidP="00324B33">
            <w:pPr>
              <w:cnfStyle w:val="000000000000" w:firstRow="0" w:lastRow="0" w:firstColumn="0" w:lastColumn="0" w:oddVBand="0" w:evenVBand="0" w:oddHBand="0" w:evenHBand="0" w:firstRowFirstColumn="0" w:firstRowLastColumn="0" w:lastRowFirstColumn="0" w:lastRowLastColumn="0"/>
              <w:rPr>
                <w:szCs w:val="22"/>
              </w:rPr>
            </w:pPr>
            <w:r w:rsidRPr="008A3D71">
              <w:rPr>
                <w:szCs w:val="22"/>
              </w:rPr>
              <w:t>Exposure-response</w:t>
            </w:r>
          </w:p>
        </w:tc>
      </w:tr>
      <w:tr w:rsidR="00C72EAF" w:rsidRPr="00D01DDB" w14:paraId="4929CA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748ECF" w14:textId="01E461C7" w:rsidR="00C72EAF" w:rsidRDefault="00C72EAF" w:rsidP="00324B33">
            <w:pPr>
              <w:rPr>
                <w:szCs w:val="22"/>
              </w:rPr>
            </w:pPr>
            <w:r>
              <w:rPr>
                <w:szCs w:val="22"/>
              </w:rPr>
              <w:t>EU</w:t>
            </w:r>
          </w:p>
        </w:tc>
        <w:tc>
          <w:tcPr>
            <w:tcW w:w="3800" w:type="pct"/>
          </w:tcPr>
          <w:p w14:paraId="379779D6" w14:textId="51FDBC39" w:rsidR="00C72EAF" w:rsidRPr="008A3D71" w:rsidRDefault="00C72EA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7E48FC" w:rsidRPr="00D01DDB" w14:paraId="772C8D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C26B95" w14:textId="03C21F4E" w:rsidR="007E48FC" w:rsidRDefault="007E48FC" w:rsidP="00324B33">
            <w:pPr>
              <w:rPr>
                <w:szCs w:val="22"/>
              </w:rPr>
            </w:pPr>
            <w:r>
              <w:rPr>
                <w:szCs w:val="22"/>
              </w:rPr>
              <w:t>FAS</w:t>
            </w:r>
          </w:p>
        </w:tc>
        <w:tc>
          <w:tcPr>
            <w:tcW w:w="3800" w:type="pct"/>
          </w:tcPr>
          <w:p w14:paraId="4DA612D0" w14:textId="5571078E" w:rsidR="007E48FC" w:rsidRPr="008A3D71" w:rsidRDefault="007E48FC" w:rsidP="0078793D">
            <w:pPr>
              <w:cnfStyle w:val="000000000000" w:firstRow="0" w:lastRow="0" w:firstColumn="0" w:lastColumn="0" w:oddVBand="0" w:evenVBand="0" w:oddHBand="0" w:evenHBand="0" w:firstRowFirstColumn="0" w:firstRowLastColumn="0" w:lastRowFirstColumn="0" w:lastRowLastColumn="0"/>
              <w:rPr>
                <w:szCs w:val="22"/>
              </w:rPr>
            </w:pPr>
            <w:r>
              <w:rPr>
                <w:szCs w:val="22"/>
              </w:rPr>
              <w:t>Full analysis set</w:t>
            </w:r>
          </w:p>
        </w:tc>
      </w:tr>
      <w:tr w:rsidR="004D229F" w:rsidRPr="00D01DDB" w14:paraId="35BEDB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BEFB88" w14:textId="1A99ECA0" w:rsidR="004D229F" w:rsidRDefault="004D229F" w:rsidP="00324B33">
            <w:pPr>
              <w:rPr>
                <w:szCs w:val="22"/>
              </w:rPr>
            </w:pPr>
            <w:r>
              <w:rPr>
                <w:szCs w:val="22"/>
              </w:rPr>
              <w:t>FDA</w:t>
            </w:r>
          </w:p>
        </w:tc>
        <w:tc>
          <w:tcPr>
            <w:tcW w:w="3800" w:type="pct"/>
          </w:tcPr>
          <w:p w14:paraId="48C48212" w14:textId="59AC6942" w:rsidR="004D229F" w:rsidRPr="008A3D71" w:rsidRDefault="004D229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w:t>
            </w:r>
            <w:r w:rsidR="00837261">
              <w:rPr>
                <w:szCs w:val="22"/>
              </w:rPr>
              <w:t>d Drug Administration</w:t>
            </w:r>
          </w:p>
        </w:tc>
      </w:tr>
      <w:tr w:rsidR="009A0866" w:rsidRPr="00D01DDB" w14:paraId="125769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73BC03" w14:textId="113E4EFB" w:rsidR="009A0866" w:rsidRDefault="009A0866" w:rsidP="00324B33">
            <w:pPr>
              <w:rPr>
                <w:szCs w:val="22"/>
              </w:rPr>
            </w:pPr>
            <w:r>
              <w:rPr>
                <w:szCs w:val="22"/>
              </w:rPr>
              <w:t>FDC</w:t>
            </w:r>
          </w:p>
        </w:tc>
        <w:tc>
          <w:tcPr>
            <w:tcW w:w="3800" w:type="pct"/>
          </w:tcPr>
          <w:p w14:paraId="29007A0F" w14:textId="796F3E39" w:rsidR="009A0866" w:rsidRPr="00B14768" w:rsidRDefault="009A08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w:t>
            </w:r>
            <w:r w:rsidRPr="009A0866">
              <w:rPr>
                <w:szCs w:val="22"/>
              </w:rPr>
              <w:t>ixed dose combination</w:t>
            </w:r>
          </w:p>
        </w:tc>
      </w:tr>
      <w:tr w:rsidR="00251FC1" w:rsidRPr="00D01DDB" w14:paraId="78720B3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DCCC6F" w14:textId="32841358" w:rsidR="00251FC1" w:rsidRDefault="001836D7" w:rsidP="00324B33">
            <w:pPr>
              <w:rPr>
                <w:szCs w:val="22"/>
              </w:rPr>
            </w:pPr>
            <w:r w:rsidRPr="001836D7">
              <w:rPr>
                <w:szCs w:val="22"/>
              </w:rPr>
              <w:t>FEV</w:t>
            </w:r>
            <w:r w:rsidRPr="001836D7">
              <w:rPr>
                <w:szCs w:val="22"/>
                <w:vertAlign w:val="subscript"/>
              </w:rPr>
              <w:t>1</w:t>
            </w:r>
          </w:p>
        </w:tc>
        <w:tc>
          <w:tcPr>
            <w:tcW w:w="3800" w:type="pct"/>
          </w:tcPr>
          <w:p w14:paraId="459B78B1" w14:textId="56B21147" w:rsidR="00251FC1" w:rsidRDefault="001836D7" w:rsidP="00324B33">
            <w:pPr>
              <w:cnfStyle w:val="000000000000" w:firstRow="0" w:lastRow="0" w:firstColumn="0" w:lastColumn="0" w:oddVBand="0" w:evenVBand="0" w:oddHBand="0" w:evenHBand="0" w:firstRowFirstColumn="0" w:firstRowLastColumn="0" w:lastRowFirstColumn="0" w:lastRowLastColumn="0"/>
              <w:rPr>
                <w:szCs w:val="22"/>
              </w:rPr>
            </w:pPr>
            <w:r w:rsidRPr="001836D7">
              <w:rPr>
                <w:szCs w:val="22"/>
              </w:rPr>
              <w:t>Forced expiratory volume in one second</w:t>
            </w:r>
          </w:p>
        </w:tc>
      </w:tr>
      <w:tr w:rsidR="001F41F1" w:rsidRPr="00D01DDB" w14:paraId="26BAA7B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8A36AA" w14:textId="3B2825D3" w:rsidR="001F41F1" w:rsidRPr="001836D7" w:rsidRDefault="00952F4B" w:rsidP="0010058B">
            <w:pPr>
              <w:rPr>
                <w:szCs w:val="22"/>
              </w:rPr>
            </w:pPr>
            <w:r w:rsidRPr="00952F4B">
              <w:rPr>
                <w:szCs w:val="22"/>
              </w:rPr>
              <w:t>F/F</w:t>
            </w:r>
          </w:p>
        </w:tc>
        <w:tc>
          <w:tcPr>
            <w:tcW w:w="3800" w:type="pct"/>
          </w:tcPr>
          <w:p w14:paraId="69601962" w14:textId="06D94D20" w:rsidR="001F41F1" w:rsidRPr="001836D7" w:rsidRDefault="00952F4B" w:rsidP="0010058B">
            <w:pPr>
              <w:cnfStyle w:val="000000000000" w:firstRow="0" w:lastRow="0" w:firstColumn="0" w:lastColumn="0" w:oddVBand="0" w:evenVBand="0" w:oddHBand="0" w:evenHBand="0" w:firstRowFirstColumn="0" w:firstRowLastColumn="0" w:lastRowFirstColumn="0" w:lastRowLastColumn="0"/>
              <w:rPr>
                <w:szCs w:val="22"/>
              </w:rPr>
            </w:pPr>
            <w:r w:rsidRPr="00952F4B">
              <w:rPr>
                <w:szCs w:val="22"/>
              </w:rPr>
              <w:t>Homozygous for F508del</w:t>
            </w:r>
          </w:p>
        </w:tc>
      </w:tr>
      <w:tr w:rsidR="001F41F1" w:rsidRPr="00D01DDB" w14:paraId="638BA7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CACB0A" w14:textId="4300BC2A" w:rsidR="001F41F1" w:rsidRPr="001836D7" w:rsidRDefault="00952F4B" w:rsidP="0010058B">
            <w:pPr>
              <w:rPr>
                <w:szCs w:val="22"/>
              </w:rPr>
            </w:pPr>
            <w:r w:rsidRPr="00952F4B">
              <w:rPr>
                <w:szCs w:val="22"/>
              </w:rPr>
              <w:t>F/G</w:t>
            </w:r>
          </w:p>
        </w:tc>
        <w:tc>
          <w:tcPr>
            <w:tcW w:w="3800" w:type="pct"/>
          </w:tcPr>
          <w:p w14:paraId="73DC3FE2" w14:textId="4FCF12B9" w:rsidR="001F41F1" w:rsidRPr="001836D7" w:rsidRDefault="00952F4B" w:rsidP="00324B33">
            <w:pPr>
              <w:cnfStyle w:val="000000000000" w:firstRow="0" w:lastRow="0" w:firstColumn="0" w:lastColumn="0" w:oddVBand="0" w:evenVBand="0" w:oddHBand="0" w:evenHBand="0" w:firstRowFirstColumn="0" w:firstRowLastColumn="0" w:lastRowFirstColumn="0" w:lastRowLastColumn="0"/>
              <w:rPr>
                <w:szCs w:val="22"/>
              </w:rPr>
            </w:pPr>
            <w:r w:rsidRPr="00952F4B">
              <w:rPr>
                <w:szCs w:val="22"/>
              </w:rPr>
              <w:t>Heterozygous for F508del and a gating mutation</w:t>
            </w:r>
          </w:p>
        </w:tc>
      </w:tr>
      <w:tr w:rsidR="0010058B" w:rsidRPr="00D01DDB" w14:paraId="354BF2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180592" w14:textId="5A910DB5" w:rsidR="0010058B" w:rsidRPr="00952F4B" w:rsidRDefault="0010058B" w:rsidP="0010058B">
            <w:pPr>
              <w:rPr>
                <w:szCs w:val="22"/>
              </w:rPr>
            </w:pPr>
            <w:r w:rsidRPr="0010058B">
              <w:rPr>
                <w:szCs w:val="22"/>
              </w:rPr>
              <w:t>F/RF</w:t>
            </w:r>
          </w:p>
        </w:tc>
        <w:tc>
          <w:tcPr>
            <w:tcW w:w="3800" w:type="pct"/>
          </w:tcPr>
          <w:p w14:paraId="799A7373" w14:textId="6CA7A30D" w:rsidR="0010058B" w:rsidRPr="00952F4B" w:rsidRDefault="0010058B" w:rsidP="00324B33">
            <w:pPr>
              <w:cnfStyle w:val="000000000000" w:firstRow="0" w:lastRow="0" w:firstColumn="0" w:lastColumn="0" w:oddVBand="0" w:evenVBand="0" w:oddHBand="0" w:evenHBand="0" w:firstRowFirstColumn="0" w:firstRowLastColumn="0" w:lastRowFirstColumn="0" w:lastRowLastColumn="0"/>
              <w:rPr>
                <w:szCs w:val="22"/>
              </w:rPr>
            </w:pPr>
            <w:r w:rsidRPr="0010058B">
              <w:rPr>
                <w:szCs w:val="22"/>
              </w:rPr>
              <w:t>Heterozygous for F508del and a residual function mutation</w:t>
            </w:r>
          </w:p>
        </w:tc>
      </w:tr>
      <w:tr w:rsidR="00A41A3A" w:rsidRPr="00D01DDB" w14:paraId="63ADB4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C04CC1" w14:textId="345A0DE5" w:rsidR="00A41A3A" w:rsidRDefault="00A41A3A" w:rsidP="00324B33">
            <w:pPr>
              <w:rPr>
                <w:szCs w:val="22"/>
              </w:rPr>
            </w:pPr>
            <w:r>
              <w:rPr>
                <w:szCs w:val="22"/>
              </w:rPr>
              <w:t>FRT</w:t>
            </w:r>
          </w:p>
        </w:tc>
        <w:tc>
          <w:tcPr>
            <w:tcW w:w="3800" w:type="pct"/>
          </w:tcPr>
          <w:p w14:paraId="7B4D6878" w14:textId="320A1C8F" w:rsidR="00A41A3A" w:rsidRDefault="00A41A3A" w:rsidP="00324B33">
            <w:pPr>
              <w:cnfStyle w:val="000000000000" w:firstRow="0" w:lastRow="0" w:firstColumn="0" w:lastColumn="0" w:oddVBand="0" w:evenVBand="0" w:oddHBand="0" w:evenHBand="0" w:firstRowFirstColumn="0" w:firstRowLastColumn="0" w:lastRowFirstColumn="0" w:lastRowLastColumn="0"/>
              <w:rPr>
                <w:szCs w:val="22"/>
              </w:rPr>
            </w:pPr>
            <w:r w:rsidRPr="00A41A3A">
              <w:rPr>
                <w:szCs w:val="22"/>
              </w:rPr>
              <w:t xml:space="preserve">Fischer Rat Thyroid </w:t>
            </w:r>
          </w:p>
        </w:tc>
      </w:tr>
      <w:tr w:rsidR="00EE65AE" w:rsidRPr="00D01DDB" w14:paraId="7038DA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8848D" w14:textId="4216942D" w:rsidR="00EE65AE" w:rsidRDefault="00EE65AE" w:rsidP="00324B33">
            <w:pPr>
              <w:rPr>
                <w:szCs w:val="22"/>
              </w:rPr>
            </w:pPr>
            <w:r>
              <w:rPr>
                <w:szCs w:val="22"/>
              </w:rPr>
              <w:t>GI</w:t>
            </w:r>
          </w:p>
        </w:tc>
        <w:tc>
          <w:tcPr>
            <w:tcW w:w="3800" w:type="pct"/>
          </w:tcPr>
          <w:p w14:paraId="5621F821" w14:textId="5C5CC0D6" w:rsidR="00EE65AE" w:rsidRPr="00B14768" w:rsidRDefault="00EE65AE" w:rsidP="00324B33">
            <w:pPr>
              <w:cnfStyle w:val="000000000000" w:firstRow="0" w:lastRow="0" w:firstColumn="0" w:lastColumn="0" w:oddVBand="0" w:evenVBand="0" w:oddHBand="0" w:evenHBand="0" w:firstRowFirstColumn="0" w:firstRowLastColumn="0" w:lastRowFirstColumn="0" w:lastRowLastColumn="0"/>
              <w:rPr>
                <w:szCs w:val="22"/>
              </w:rPr>
            </w:pPr>
            <w:r w:rsidRPr="00EE65AE">
              <w:rPr>
                <w:szCs w:val="22"/>
              </w:rPr>
              <w:t>Gastrointestinal</w:t>
            </w:r>
          </w:p>
        </w:tc>
      </w:tr>
      <w:tr w:rsidR="00C85ABA" w:rsidRPr="00D01DDB" w14:paraId="24A5045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32B503" w14:textId="41769EB3" w:rsidR="00C85ABA" w:rsidRDefault="00C85ABA" w:rsidP="00324B33">
            <w:pPr>
              <w:rPr>
                <w:szCs w:val="22"/>
              </w:rPr>
            </w:pPr>
            <w:r>
              <w:rPr>
                <w:szCs w:val="22"/>
              </w:rPr>
              <w:lastRenderedPageBreak/>
              <w:t>HBE</w:t>
            </w:r>
          </w:p>
        </w:tc>
        <w:tc>
          <w:tcPr>
            <w:tcW w:w="3800" w:type="pct"/>
          </w:tcPr>
          <w:p w14:paraId="6A56F294" w14:textId="38E089C7" w:rsidR="00C85ABA" w:rsidRPr="00C85ABA" w:rsidRDefault="00C85AB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C85ABA">
              <w:rPr>
                <w:szCs w:val="22"/>
              </w:rPr>
              <w:t>uman bronchial epithelial</w:t>
            </w:r>
          </w:p>
        </w:tc>
      </w:tr>
      <w:tr w:rsidR="00AC5D9C" w:rsidRPr="00D01DDB" w14:paraId="73B1459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3D5F15" w14:textId="72C74EA0" w:rsidR="00AC5D9C" w:rsidRDefault="00AC5D9C" w:rsidP="00324B33">
            <w:pPr>
              <w:rPr>
                <w:szCs w:val="22"/>
              </w:rPr>
            </w:pPr>
            <w:r w:rsidRPr="00AC5D9C">
              <w:rPr>
                <w:szCs w:val="22"/>
              </w:rPr>
              <w:t>IQR</w:t>
            </w:r>
          </w:p>
        </w:tc>
        <w:tc>
          <w:tcPr>
            <w:tcW w:w="3800" w:type="pct"/>
          </w:tcPr>
          <w:p w14:paraId="40756BB1" w14:textId="0948AFF0" w:rsidR="00AC5D9C" w:rsidRDefault="00BA137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Interquartile range</w:t>
            </w:r>
          </w:p>
        </w:tc>
      </w:tr>
      <w:tr w:rsidR="00A4336B" w:rsidRPr="00D01DDB" w14:paraId="3F2053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74058C" w14:textId="3E318B3C" w:rsidR="00A4336B" w:rsidRPr="00D01DDB" w:rsidRDefault="00A4336B" w:rsidP="00324B33">
            <w:pPr>
              <w:rPr>
                <w:szCs w:val="22"/>
              </w:rPr>
            </w:pPr>
            <w:r>
              <w:rPr>
                <w:szCs w:val="22"/>
              </w:rPr>
              <w:t>IVA</w:t>
            </w:r>
          </w:p>
        </w:tc>
        <w:tc>
          <w:tcPr>
            <w:tcW w:w="3800" w:type="pct"/>
          </w:tcPr>
          <w:p w14:paraId="2605948B" w14:textId="53BE4A51" w:rsidR="00A4336B" w:rsidRPr="00D01DDB" w:rsidRDefault="00A63BF9" w:rsidP="00324B33">
            <w:pPr>
              <w:cnfStyle w:val="000000000000" w:firstRow="0" w:lastRow="0" w:firstColumn="0" w:lastColumn="0" w:oddVBand="0" w:evenVBand="0" w:oddHBand="0" w:evenHBand="0" w:firstRowFirstColumn="0" w:firstRowLastColumn="0" w:lastRowFirstColumn="0" w:lastRowLastColumn="0"/>
              <w:rPr>
                <w:szCs w:val="22"/>
              </w:rPr>
            </w:pPr>
            <w:r w:rsidRPr="00A63BF9">
              <w:rPr>
                <w:szCs w:val="22"/>
              </w:rPr>
              <w:t>Ivacaftor</w:t>
            </w:r>
          </w:p>
        </w:tc>
      </w:tr>
      <w:tr w:rsidR="009B4ED5" w:rsidRPr="00D01DDB" w14:paraId="2723CA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656FD4" w14:textId="25877B21" w:rsidR="009B4ED5" w:rsidRDefault="009B4ED5" w:rsidP="00324B33">
            <w:pPr>
              <w:rPr>
                <w:szCs w:val="22"/>
              </w:rPr>
            </w:pPr>
            <w:r>
              <w:rPr>
                <w:szCs w:val="22"/>
              </w:rPr>
              <w:t>LS</w:t>
            </w:r>
          </w:p>
        </w:tc>
        <w:tc>
          <w:tcPr>
            <w:tcW w:w="3800" w:type="pct"/>
          </w:tcPr>
          <w:p w14:paraId="4A7FE292" w14:textId="71B666EA" w:rsidR="009B4ED5" w:rsidRPr="00A63BF9" w:rsidRDefault="009B4ED5" w:rsidP="00324B33">
            <w:pPr>
              <w:cnfStyle w:val="000000000000" w:firstRow="0" w:lastRow="0" w:firstColumn="0" w:lastColumn="0" w:oddVBand="0" w:evenVBand="0" w:oddHBand="0" w:evenHBand="0" w:firstRowFirstColumn="0" w:firstRowLastColumn="0" w:lastRowFirstColumn="0" w:lastRowLastColumn="0"/>
              <w:rPr>
                <w:szCs w:val="22"/>
              </w:rPr>
            </w:pPr>
            <w:r w:rsidRPr="009B4ED5">
              <w:rPr>
                <w:szCs w:val="22"/>
              </w:rPr>
              <w:t>Least squares</w:t>
            </w:r>
          </w:p>
        </w:tc>
      </w:tr>
      <w:tr w:rsidR="00C342C6" w:rsidRPr="00D01DDB" w14:paraId="1525DF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DF40E3" w14:textId="7DDAF755" w:rsidR="00C342C6" w:rsidRDefault="00C342C6" w:rsidP="00324B33">
            <w:pPr>
              <w:rPr>
                <w:szCs w:val="22"/>
              </w:rPr>
            </w:pPr>
            <w:r>
              <w:rPr>
                <w:szCs w:val="22"/>
              </w:rPr>
              <w:t>MBW</w:t>
            </w:r>
          </w:p>
        </w:tc>
        <w:tc>
          <w:tcPr>
            <w:tcW w:w="3800" w:type="pct"/>
          </w:tcPr>
          <w:p w14:paraId="6FC935E7" w14:textId="72744D9A" w:rsidR="00C342C6" w:rsidRPr="009B4ED5" w:rsidRDefault="00C342C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C342C6">
              <w:rPr>
                <w:szCs w:val="22"/>
              </w:rPr>
              <w:t xml:space="preserve">ultiple breath washout </w:t>
            </w:r>
          </w:p>
        </w:tc>
      </w:tr>
      <w:tr w:rsidR="00A4336B" w:rsidRPr="00D01DDB" w14:paraId="489BBA8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5A2C47" w14:textId="6CD735FD" w:rsidR="00A4336B" w:rsidRPr="00D01DDB" w:rsidRDefault="00826846" w:rsidP="00324B33">
            <w:pPr>
              <w:rPr>
                <w:szCs w:val="22"/>
              </w:rPr>
            </w:pPr>
            <w:r>
              <w:rPr>
                <w:szCs w:val="22"/>
              </w:rPr>
              <w:t>PD</w:t>
            </w:r>
          </w:p>
        </w:tc>
        <w:tc>
          <w:tcPr>
            <w:tcW w:w="3800" w:type="pct"/>
          </w:tcPr>
          <w:p w14:paraId="0E615F8F" w14:textId="06E552A4" w:rsidR="00A4336B" w:rsidRPr="00D01DDB" w:rsidRDefault="007F3927" w:rsidP="00324B33">
            <w:pPr>
              <w:cnfStyle w:val="000000000000" w:firstRow="0" w:lastRow="0" w:firstColumn="0" w:lastColumn="0" w:oddVBand="0" w:evenVBand="0" w:oddHBand="0" w:evenHBand="0" w:firstRowFirstColumn="0" w:firstRowLastColumn="0" w:lastRowFirstColumn="0" w:lastRowLastColumn="0"/>
              <w:rPr>
                <w:szCs w:val="22"/>
              </w:rPr>
            </w:pPr>
            <w:r w:rsidRPr="007F3927">
              <w:rPr>
                <w:szCs w:val="22"/>
              </w:rPr>
              <w:t>Pharmacodynamic(s)</w:t>
            </w:r>
          </w:p>
        </w:tc>
      </w:tr>
      <w:tr w:rsidR="00AE3F9E" w:rsidRPr="00D01DDB" w14:paraId="175ED6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CBC3C6" w14:textId="672E5C97" w:rsidR="00AE3F9E" w:rsidRDefault="00AE3F9E" w:rsidP="00324B33">
            <w:pPr>
              <w:rPr>
                <w:szCs w:val="22"/>
              </w:rPr>
            </w:pPr>
            <w:proofErr w:type="spellStart"/>
            <w:r w:rsidRPr="00AE3F9E">
              <w:rPr>
                <w:szCs w:val="22"/>
              </w:rPr>
              <w:t>PEx</w:t>
            </w:r>
            <w:proofErr w:type="spellEnd"/>
          </w:p>
        </w:tc>
        <w:tc>
          <w:tcPr>
            <w:tcW w:w="3800" w:type="pct"/>
          </w:tcPr>
          <w:p w14:paraId="592263E3" w14:textId="7A59216D" w:rsidR="00AE3F9E" w:rsidRPr="007F3927" w:rsidRDefault="00AE3F9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AE3F9E">
              <w:rPr>
                <w:szCs w:val="22"/>
              </w:rPr>
              <w:t>ulmonary exacerbation</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826846" w:rsidRPr="00D01DDB" w14:paraId="11C336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938124" w14:textId="6DECE347" w:rsidR="00826846" w:rsidRPr="00D01DDB" w:rsidRDefault="00826846" w:rsidP="00324B33">
            <w:pPr>
              <w:rPr>
                <w:szCs w:val="22"/>
              </w:rPr>
            </w:pPr>
            <w:r>
              <w:rPr>
                <w:szCs w:val="22"/>
              </w:rPr>
              <w:t>PK</w:t>
            </w:r>
          </w:p>
        </w:tc>
        <w:tc>
          <w:tcPr>
            <w:tcW w:w="3800" w:type="pct"/>
          </w:tcPr>
          <w:p w14:paraId="66CE41E7" w14:textId="3748B132" w:rsidR="00826846" w:rsidRPr="00D01DDB" w:rsidRDefault="007F3927" w:rsidP="00324B33">
            <w:pPr>
              <w:cnfStyle w:val="000000000000" w:firstRow="0" w:lastRow="0" w:firstColumn="0" w:lastColumn="0" w:oddVBand="0" w:evenVBand="0" w:oddHBand="0" w:evenHBand="0" w:firstRowFirstColumn="0" w:firstRowLastColumn="0" w:lastRowFirstColumn="0" w:lastRowLastColumn="0"/>
              <w:rPr>
                <w:szCs w:val="22"/>
              </w:rPr>
            </w:pPr>
            <w:r w:rsidRPr="007F3927">
              <w:rPr>
                <w:szCs w:val="22"/>
              </w:rPr>
              <w:t>Pharmacokinetic(s)</w:t>
            </w:r>
          </w:p>
        </w:tc>
      </w:tr>
      <w:tr w:rsidR="003736E9" w:rsidRPr="00D01DDB" w14:paraId="459FF5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D67FB" w14:textId="12222C23" w:rsidR="003736E9" w:rsidRPr="00D01DDB" w:rsidRDefault="003736E9" w:rsidP="00324B33">
            <w:pPr>
              <w:rPr>
                <w:szCs w:val="22"/>
              </w:rPr>
            </w:pPr>
            <w:r>
              <w:rPr>
                <w:szCs w:val="22"/>
              </w:rPr>
              <w:t>PopPK</w:t>
            </w:r>
          </w:p>
        </w:tc>
        <w:tc>
          <w:tcPr>
            <w:tcW w:w="3800" w:type="pct"/>
          </w:tcPr>
          <w:p w14:paraId="3AAACDA5" w14:textId="28B3AB6A" w:rsidR="003736E9" w:rsidRPr="00D01DDB" w:rsidRDefault="003736E9" w:rsidP="00324B33">
            <w:pPr>
              <w:cnfStyle w:val="000000000000" w:firstRow="0" w:lastRow="0" w:firstColumn="0" w:lastColumn="0" w:oddVBand="0" w:evenVBand="0" w:oddHBand="0" w:evenHBand="0" w:firstRowFirstColumn="0" w:firstRowLastColumn="0" w:lastRowFirstColumn="0" w:lastRowLastColumn="0"/>
              <w:rPr>
                <w:szCs w:val="22"/>
              </w:rPr>
            </w:pPr>
            <w:r w:rsidRPr="003736E9">
              <w:rPr>
                <w:szCs w:val="22"/>
              </w:rPr>
              <w:t>Population pharmacokinetic(s)</w:t>
            </w:r>
          </w:p>
        </w:tc>
      </w:tr>
      <w:tr w:rsidR="00826846" w:rsidRPr="00D01DDB" w14:paraId="43A89E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A86E21" w14:textId="0893BE96" w:rsidR="00826846" w:rsidRPr="00D01DDB" w:rsidRDefault="008169DF" w:rsidP="00324B33">
            <w:pPr>
              <w:rPr>
                <w:szCs w:val="22"/>
              </w:rPr>
            </w:pPr>
            <w:r w:rsidRPr="008169DF">
              <w:rPr>
                <w:szCs w:val="22"/>
              </w:rPr>
              <w:t>ppFEV1</w:t>
            </w:r>
          </w:p>
        </w:tc>
        <w:tc>
          <w:tcPr>
            <w:tcW w:w="3800" w:type="pct"/>
          </w:tcPr>
          <w:p w14:paraId="7095F36D" w14:textId="674BBBDC" w:rsidR="00826846" w:rsidRPr="00D01DDB" w:rsidRDefault="00195E5E" w:rsidP="00324B33">
            <w:pPr>
              <w:cnfStyle w:val="000000000000" w:firstRow="0" w:lastRow="0" w:firstColumn="0" w:lastColumn="0" w:oddVBand="0" w:evenVBand="0" w:oddHBand="0" w:evenHBand="0" w:firstRowFirstColumn="0" w:firstRowLastColumn="0" w:lastRowFirstColumn="0" w:lastRowLastColumn="0"/>
              <w:rPr>
                <w:szCs w:val="22"/>
              </w:rPr>
            </w:pPr>
            <w:r w:rsidRPr="00195E5E">
              <w:rPr>
                <w:szCs w:val="22"/>
              </w:rPr>
              <w:t>Percent predicted forced expiratory volume in 1 second</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7579BC" w:rsidRPr="00D01DDB" w14:paraId="75D929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86AB9D" w14:textId="2729AAE9" w:rsidR="007579BC" w:rsidRPr="00D01DDB" w:rsidRDefault="007579BC" w:rsidP="00A704DC">
            <w:pPr>
              <w:rPr>
                <w:szCs w:val="22"/>
              </w:rPr>
            </w:pPr>
            <w:proofErr w:type="spellStart"/>
            <w:r w:rsidRPr="007579BC">
              <w:rPr>
                <w:szCs w:val="22"/>
              </w:rPr>
              <w:t>qd</w:t>
            </w:r>
            <w:proofErr w:type="spellEnd"/>
          </w:p>
        </w:tc>
        <w:tc>
          <w:tcPr>
            <w:tcW w:w="3800" w:type="pct"/>
          </w:tcPr>
          <w:p w14:paraId="1172A2B8" w14:textId="7188B7B6" w:rsidR="007579BC" w:rsidRPr="00D01DDB" w:rsidRDefault="00932AA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Once daily</w:t>
            </w:r>
          </w:p>
        </w:tc>
      </w:tr>
      <w:tr w:rsidR="00136465" w:rsidRPr="00D01DDB" w14:paraId="0AC650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0E7F4E" w14:textId="49FF78E9" w:rsidR="00136465" w:rsidRPr="007579BC" w:rsidRDefault="00136465" w:rsidP="00A704DC">
            <w:pPr>
              <w:rPr>
                <w:szCs w:val="22"/>
              </w:rPr>
            </w:pPr>
            <w:r>
              <w:rPr>
                <w:szCs w:val="22"/>
              </w:rPr>
              <w:t>QTc</w:t>
            </w:r>
          </w:p>
        </w:tc>
        <w:tc>
          <w:tcPr>
            <w:tcW w:w="3800" w:type="pct"/>
          </w:tcPr>
          <w:p w14:paraId="6C36BB8F" w14:textId="69E06B00" w:rsidR="00136465" w:rsidRDefault="00136465" w:rsidP="00A704DC">
            <w:pPr>
              <w:cnfStyle w:val="000000000000" w:firstRow="0" w:lastRow="0" w:firstColumn="0" w:lastColumn="0" w:oddVBand="0" w:evenVBand="0" w:oddHBand="0" w:evenHBand="0" w:firstRowFirstColumn="0" w:firstRowLastColumn="0" w:lastRowFirstColumn="0" w:lastRowLastColumn="0"/>
              <w:rPr>
                <w:szCs w:val="22"/>
              </w:rPr>
            </w:pPr>
            <w:r w:rsidRPr="00136465">
              <w:rPr>
                <w:szCs w:val="22"/>
              </w:rPr>
              <w:t>Corrected QT interval</w:t>
            </w:r>
          </w:p>
        </w:tc>
      </w:tr>
      <w:tr w:rsidR="000301A1" w:rsidRPr="00D01DDB" w14:paraId="4DE96E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3D11F" w14:textId="1F1B711E" w:rsidR="000301A1" w:rsidRPr="007579BC" w:rsidRDefault="000301A1" w:rsidP="00A704DC">
            <w:pPr>
              <w:rPr>
                <w:szCs w:val="22"/>
              </w:rPr>
            </w:pPr>
            <w:r w:rsidRPr="000301A1">
              <w:rPr>
                <w:szCs w:val="22"/>
              </w:rPr>
              <w:t>QTcF</w:t>
            </w:r>
            <w:r w:rsidRPr="000301A1">
              <w:rPr>
                <w:szCs w:val="22"/>
              </w:rPr>
              <w:tab/>
            </w:r>
          </w:p>
        </w:tc>
        <w:tc>
          <w:tcPr>
            <w:tcW w:w="3800" w:type="pct"/>
          </w:tcPr>
          <w:p w14:paraId="432A6ECC" w14:textId="7ACF46DD" w:rsidR="000301A1" w:rsidRDefault="000301A1" w:rsidP="00A704DC">
            <w:pPr>
              <w:cnfStyle w:val="000000000000" w:firstRow="0" w:lastRow="0" w:firstColumn="0" w:lastColumn="0" w:oddVBand="0" w:evenVBand="0" w:oddHBand="0" w:evenHBand="0" w:firstRowFirstColumn="0" w:firstRowLastColumn="0" w:lastRowFirstColumn="0" w:lastRowLastColumn="0"/>
              <w:rPr>
                <w:szCs w:val="22"/>
              </w:rPr>
            </w:pPr>
            <w:r w:rsidRPr="000301A1">
              <w:rPr>
                <w:szCs w:val="22"/>
              </w:rPr>
              <w:t>QT interval corrected using Fridericia’s formula</w:t>
            </w:r>
          </w:p>
        </w:tc>
      </w:tr>
      <w:tr w:rsidR="008E6DB9" w:rsidRPr="00D01DDB" w14:paraId="339FE8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C0B76F" w14:textId="26EB014D" w:rsidR="008E6DB9" w:rsidRPr="000301A1" w:rsidRDefault="008E6DB9" w:rsidP="00A704DC">
            <w:pPr>
              <w:rPr>
                <w:szCs w:val="22"/>
              </w:rPr>
            </w:pPr>
            <w:r>
              <w:rPr>
                <w:szCs w:val="22"/>
              </w:rPr>
              <w:t>RD</w:t>
            </w:r>
          </w:p>
        </w:tc>
        <w:tc>
          <w:tcPr>
            <w:tcW w:w="3800" w:type="pct"/>
          </w:tcPr>
          <w:p w14:paraId="1249C890" w14:textId="76AD7469" w:rsidR="008E6DB9" w:rsidRPr="000301A1" w:rsidRDefault="008E6DB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Respiratory domain</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25316B" w:rsidRPr="00D01DDB" w14:paraId="1F5AA6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234E17" w14:textId="6F0BC2CA" w:rsidR="0025316B" w:rsidRPr="00D01DDB" w:rsidRDefault="0025316B" w:rsidP="00A704DC">
            <w:pPr>
              <w:rPr>
                <w:szCs w:val="22"/>
              </w:rPr>
            </w:pPr>
            <w:r>
              <w:rPr>
                <w:szCs w:val="22"/>
              </w:rPr>
              <w:t>SAEs</w:t>
            </w:r>
          </w:p>
        </w:tc>
        <w:tc>
          <w:tcPr>
            <w:tcW w:w="3800" w:type="pct"/>
          </w:tcPr>
          <w:p w14:paraId="4C777F47" w14:textId="440B8AEF" w:rsidR="0025316B" w:rsidRPr="00D01DDB" w:rsidRDefault="0025316B"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25316B">
              <w:rPr>
                <w:szCs w:val="22"/>
              </w:rPr>
              <w:t>erious adverse events</w:t>
            </w:r>
          </w:p>
        </w:tc>
      </w:tr>
      <w:tr w:rsidR="00BB0D39" w:rsidRPr="00D01DDB" w14:paraId="444595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44E758" w14:textId="6A269177" w:rsidR="00BB0D39" w:rsidRPr="00D01DDB" w:rsidRDefault="00BB0D39" w:rsidP="00A704DC">
            <w:pPr>
              <w:rPr>
                <w:szCs w:val="22"/>
              </w:rPr>
            </w:pPr>
            <w:r>
              <w:rPr>
                <w:szCs w:val="22"/>
              </w:rPr>
              <w:t>SD</w:t>
            </w:r>
          </w:p>
        </w:tc>
        <w:tc>
          <w:tcPr>
            <w:tcW w:w="3800" w:type="pct"/>
          </w:tcPr>
          <w:p w14:paraId="166BE53A" w14:textId="41F4533F" w:rsidR="00BB0D39" w:rsidRPr="00D01DDB" w:rsidRDefault="00BB0D3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464DE2" w:rsidRPr="00D01DDB" w14:paraId="550022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75B7BF" w14:textId="24274306" w:rsidR="00464DE2" w:rsidRPr="00D01DDB" w:rsidRDefault="00206683" w:rsidP="00A704DC">
            <w:pPr>
              <w:rPr>
                <w:szCs w:val="22"/>
              </w:rPr>
            </w:pPr>
            <w:proofErr w:type="spellStart"/>
            <w:r>
              <w:rPr>
                <w:szCs w:val="22"/>
              </w:rPr>
              <w:t>SwCl</w:t>
            </w:r>
            <w:proofErr w:type="spellEnd"/>
          </w:p>
        </w:tc>
        <w:tc>
          <w:tcPr>
            <w:tcW w:w="3800" w:type="pct"/>
          </w:tcPr>
          <w:p w14:paraId="5D16F69F" w14:textId="6703A4A9" w:rsidR="00464DE2" w:rsidRPr="00D01DDB" w:rsidRDefault="00464DE2" w:rsidP="00206683">
            <w:pPr>
              <w:cnfStyle w:val="000000000000" w:firstRow="0" w:lastRow="0" w:firstColumn="0" w:lastColumn="0" w:oddVBand="0" w:evenVBand="0" w:oddHBand="0" w:evenHBand="0" w:firstRowFirstColumn="0" w:firstRowLastColumn="0" w:lastRowFirstColumn="0" w:lastRowLastColumn="0"/>
              <w:rPr>
                <w:szCs w:val="22"/>
              </w:rPr>
            </w:pPr>
            <w:r w:rsidRPr="00464DE2">
              <w:rPr>
                <w:szCs w:val="22"/>
              </w:rPr>
              <w:t>Sweat chloride</w:t>
            </w:r>
          </w:p>
        </w:tc>
      </w:tr>
      <w:tr w:rsidR="000D7DBD" w:rsidRPr="00D01DDB" w14:paraId="1D045A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053785" w14:textId="4B190E7F" w:rsidR="000D7DBD" w:rsidRDefault="000D7DBD" w:rsidP="00A704DC">
            <w:pPr>
              <w:rPr>
                <w:szCs w:val="22"/>
              </w:rPr>
            </w:pPr>
            <w:r w:rsidRPr="000D7DBD">
              <w:rPr>
                <w:szCs w:val="22"/>
              </w:rPr>
              <w:t>TEAEs</w:t>
            </w:r>
          </w:p>
        </w:tc>
        <w:tc>
          <w:tcPr>
            <w:tcW w:w="3800" w:type="pct"/>
          </w:tcPr>
          <w:p w14:paraId="6F2FEF83" w14:textId="2DAFAA45" w:rsidR="000D7DBD" w:rsidRPr="00464DE2" w:rsidRDefault="000D7DBD" w:rsidP="00206683">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effects</w:t>
            </w:r>
          </w:p>
        </w:tc>
      </w:tr>
      <w:tr w:rsidR="00206683" w:rsidRPr="00D01DDB" w14:paraId="495F08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172513" w14:textId="0F9B124B" w:rsidR="00206683" w:rsidRDefault="00206683" w:rsidP="00A704DC">
            <w:pPr>
              <w:rPr>
                <w:szCs w:val="22"/>
              </w:rPr>
            </w:pPr>
            <w:r>
              <w:rPr>
                <w:szCs w:val="22"/>
              </w:rPr>
              <w:t>TC</w:t>
            </w:r>
          </w:p>
        </w:tc>
        <w:tc>
          <w:tcPr>
            <w:tcW w:w="3800" w:type="pct"/>
          </w:tcPr>
          <w:p w14:paraId="1BF60D0A" w14:textId="5A956340" w:rsidR="00206683" w:rsidRPr="00464DE2" w:rsidRDefault="00206683" w:rsidP="00206683">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206683">
              <w:rPr>
                <w:szCs w:val="22"/>
              </w:rPr>
              <w:t>riple combination</w:t>
            </w:r>
          </w:p>
        </w:tc>
      </w:tr>
      <w:tr w:rsidR="00965E7E" w:rsidRPr="00D01DDB" w14:paraId="29CABD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A550CA" w14:textId="00163160" w:rsidR="00965E7E" w:rsidRPr="00965E7E" w:rsidRDefault="00965E7E" w:rsidP="00A704DC">
            <w:pPr>
              <w:rPr>
                <w:szCs w:val="22"/>
              </w:rPr>
            </w:pPr>
            <w:r w:rsidRPr="00965E7E">
              <w:rPr>
                <w:szCs w:val="22"/>
              </w:rPr>
              <w:t>TEZ</w:t>
            </w:r>
          </w:p>
        </w:tc>
        <w:tc>
          <w:tcPr>
            <w:tcW w:w="3800" w:type="pct"/>
          </w:tcPr>
          <w:p w14:paraId="731939C9" w14:textId="652BCB64" w:rsidR="00965E7E" w:rsidRPr="00D01DDB" w:rsidRDefault="00605D8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605D84">
              <w:rPr>
                <w:szCs w:val="22"/>
              </w:rPr>
              <w:t>ezacaftor</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3584E" w:rsidRPr="00D01DDB" w14:paraId="394AAB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3DF70" w14:textId="00B043C9" w:rsidR="0053584E" w:rsidRPr="00D01DDB" w:rsidRDefault="0053584E" w:rsidP="00A704DC">
            <w:pPr>
              <w:rPr>
                <w:szCs w:val="22"/>
              </w:rPr>
            </w:pPr>
            <w:proofErr w:type="spellStart"/>
            <w:r w:rsidRPr="0053584E">
              <w:rPr>
                <w:szCs w:val="22"/>
              </w:rPr>
              <w:t>T</w:t>
            </w:r>
            <w:r w:rsidRPr="0053584E">
              <w:rPr>
                <w:szCs w:val="22"/>
                <w:vertAlign w:val="subscript"/>
              </w:rPr>
              <w:t>max</w:t>
            </w:r>
            <w:proofErr w:type="spellEnd"/>
          </w:p>
        </w:tc>
        <w:tc>
          <w:tcPr>
            <w:tcW w:w="3800" w:type="pct"/>
          </w:tcPr>
          <w:p w14:paraId="2F3FAFDE" w14:textId="7750FF20" w:rsidR="0053584E" w:rsidRPr="00D01DDB" w:rsidRDefault="000400EC" w:rsidP="00A704DC">
            <w:pPr>
              <w:cnfStyle w:val="000000000000" w:firstRow="0" w:lastRow="0" w:firstColumn="0" w:lastColumn="0" w:oddVBand="0" w:evenVBand="0" w:oddHBand="0" w:evenHBand="0" w:firstRowFirstColumn="0" w:firstRowLastColumn="0" w:lastRowFirstColumn="0" w:lastRowLastColumn="0"/>
              <w:rPr>
                <w:szCs w:val="22"/>
              </w:rPr>
            </w:pPr>
            <w:r w:rsidRPr="000400EC">
              <w:rPr>
                <w:szCs w:val="22"/>
              </w:rPr>
              <w:t>Time after administration of a drug when the maximum plasma concentration is reached</w:t>
            </w:r>
          </w:p>
        </w:tc>
      </w:tr>
      <w:tr w:rsidR="000D5C29" w:rsidRPr="00D01DDB" w14:paraId="296FBB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C9297F" w14:textId="3E671F1D" w:rsidR="000D5C29" w:rsidRPr="0053584E" w:rsidRDefault="000D5C29" w:rsidP="00A704DC">
            <w:pPr>
              <w:rPr>
                <w:szCs w:val="22"/>
              </w:rPr>
            </w:pPr>
            <w:r w:rsidRPr="000D5C29">
              <w:rPr>
                <w:szCs w:val="22"/>
              </w:rPr>
              <w:t>V/F</w:t>
            </w:r>
          </w:p>
        </w:tc>
        <w:tc>
          <w:tcPr>
            <w:tcW w:w="3800" w:type="pct"/>
          </w:tcPr>
          <w:p w14:paraId="3E499F44" w14:textId="71E5C6A7" w:rsidR="000D5C29" w:rsidRPr="000400EC" w:rsidRDefault="00EE4EF5" w:rsidP="00A704DC">
            <w:pPr>
              <w:cnfStyle w:val="000000000000" w:firstRow="0" w:lastRow="0" w:firstColumn="0" w:lastColumn="0" w:oddVBand="0" w:evenVBand="0" w:oddHBand="0" w:evenHBand="0" w:firstRowFirstColumn="0" w:firstRowLastColumn="0" w:lastRowFirstColumn="0" w:lastRowLastColumn="0"/>
              <w:rPr>
                <w:szCs w:val="22"/>
              </w:rPr>
            </w:pPr>
            <w:r w:rsidRPr="00EE4EF5">
              <w:rPr>
                <w:szCs w:val="22"/>
              </w:rPr>
              <w:t>Apparent volume of distribution after oral dosing</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062CDCB6" w:rsidR="00A704DC" w:rsidRPr="00965E7E" w:rsidRDefault="00965E7E" w:rsidP="00A704DC">
            <w:pPr>
              <w:rPr>
                <w:szCs w:val="22"/>
              </w:rPr>
            </w:pPr>
            <w:r w:rsidRPr="00965E7E">
              <w:rPr>
                <w:szCs w:val="22"/>
              </w:rPr>
              <w:t>VNZ</w:t>
            </w:r>
          </w:p>
        </w:tc>
        <w:tc>
          <w:tcPr>
            <w:tcW w:w="3800" w:type="pct"/>
          </w:tcPr>
          <w:p w14:paraId="4458E485" w14:textId="5D73B4D3" w:rsidR="00A704DC" w:rsidRPr="00D01DDB" w:rsidRDefault="00BE0C60" w:rsidP="00A704DC">
            <w:pPr>
              <w:cnfStyle w:val="000000000000" w:firstRow="0" w:lastRow="0" w:firstColumn="0" w:lastColumn="0" w:oddVBand="0" w:evenVBand="0" w:oddHBand="0" w:evenHBand="0" w:firstRowFirstColumn="0" w:firstRowLastColumn="0" w:lastRowFirstColumn="0" w:lastRowLastColumn="0"/>
              <w:rPr>
                <w:szCs w:val="22"/>
              </w:rPr>
            </w:pPr>
            <w:r w:rsidRPr="00BE0C60">
              <w:rPr>
                <w:szCs w:val="22"/>
              </w:rPr>
              <w:t>Vanzacaftor</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27661907"/>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766190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42D15A9" w:rsidR="00324B33" w:rsidRPr="00BD5DBD" w:rsidRDefault="00324B33" w:rsidP="007452E8">
            <w:pPr>
              <w:rPr>
                <w:i/>
                <w:szCs w:val="22"/>
              </w:rPr>
            </w:pPr>
            <w:r w:rsidRPr="00BD5DBD">
              <w:rPr>
                <w:i/>
                <w:szCs w:val="22"/>
              </w:rPr>
              <w:t>Type of submission</w:t>
            </w:r>
            <w:r w:rsidR="00ED5300">
              <w:rPr>
                <w:i/>
                <w:szCs w:val="22"/>
              </w:rPr>
              <w:t>s</w:t>
            </w:r>
            <w:r w:rsidRPr="00BD5DBD">
              <w:rPr>
                <w:i/>
                <w:szCs w:val="22"/>
              </w:rPr>
              <w:t>:</w:t>
            </w:r>
          </w:p>
        </w:tc>
        <w:tc>
          <w:tcPr>
            <w:tcW w:w="3423" w:type="pct"/>
          </w:tcPr>
          <w:p w14:paraId="4F07C303" w14:textId="77B71BEB" w:rsidR="00324B33" w:rsidRPr="00BD5DBD" w:rsidRDefault="00324B33" w:rsidP="007452E8">
            <w:pPr>
              <w:rPr>
                <w:szCs w:val="22"/>
              </w:rPr>
            </w:pPr>
            <w:r w:rsidRPr="00BD5DBD">
              <w:rPr>
                <w:szCs w:val="22"/>
              </w:rPr>
              <w:t>New chemical entity</w:t>
            </w:r>
            <w:r w:rsidR="00951168">
              <w:rPr>
                <w:szCs w:val="22"/>
              </w:rPr>
              <w:t xml:space="preserve"> and </w:t>
            </w:r>
            <w:r w:rsidR="001A0346">
              <w:rPr>
                <w:szCs w:val="22"/>
              </w:rPr>
              <w:t>new fixed dose combination</w:t>
            </w:r>
          </w:p>
        </w:tc>
      </w:tr>
      <w:tr w:rsidR="00324B33" w:rsidRPr="00BD5DBD" w14:paraId="13482B61" w14:textId="77777777" w:rsidTr="00F865A7">
        <w:tc>
          <w:tcPr>
            <w:tcW w:w="1577" w:type="pct"/>
          </w:tcPr>
          <w:p w14:paraId="2C427FCF" w14:textId="2939C275" w:rsidR="00324B33" w:rsidRPr="00BD5DBD" w:rsidRDefault="00324B33" w:rsidP="007452E8">
            <w:pPr>
              <w:rPr>
                <w:i/>
                <w:szCs w:val="22"/>
              </w:rPr>
            </w:pPr>
            <w:r w:rsidRPr="00BD5DBD">
              <w:rPr>
                <w:i/>
                <w:szCs w:val="22"/>
              </w:rPr>
              <w:t>Product name:</w:t>
            </w:r>
          </w:p>
        </w:tc>
        <w:tc>
          <w:tcPr>
            <w:tcW w:w="3423" w:type="pct"/>
          </w:tcPr>
          <w:p w14:paraId="0E2DEF76" w14:textId="23271CD4" w:rsidR="00324B33" w:rsidRPr="00BD5DBD" w:rsidRDefault="00797F6B" w:rsidP="007452E8">
            <w:pPr>
              <w:rPr>
                <w:szCs w:val="22"/>
              </w:rPr>
            </w:pPr>
            <w:r>
              <w:rPr>
                <w:szCs w:val="22"/>
              </w:rPr>
              <w:t>Alyftrek</w:t>
            </w:r>
          </w:p>
        </w:tc>
      </w:tr>
      <w:tr w:rsidR="00324B33" w:rsidRPr="00BD5DBD" w14:paraId="01255B5B" w14:textId="77777777" w:rsidTr="00F865A7">
        <w:tc>
          <w:tcPr>
            <w:tcW w:w="1577" w:type="pct"/>
          </w:tcPr>
          <w:p w14:paraId="52B4F3D7" w14:textId="67055F96" w:rsidR="00324B33" w:rsidRPr="00BD5DBD" w:rsidRDefault="00324B33" w:rsidP="007452E8">
            <w:pPr>
              <w:rPr>
                <w:i/>
                <w:szCs w:val="22"/>
              </w:rPr>
            </w:pPr>
            <w:r w:rsidRPr="00BD5DBD">
              <w:rPr>
                <w:i/>
                <w:szCs w:val="22"/>
              </w:rPr>
              <w:t>Active ingredient</w:t>
            </w:r>
            <w:r w:rsidR="0084065F">
              <w:rPr>
                <w:i/>
                <w:szCs w:val="22"/>
              </w:rPr>
              <w:t>s</w:t>
            </w:r>
            <w:r w:rsidRPr="00BD5DBD">
              <w:rPr>
                <w:i/>
                <w:szCs w:val="22"/>
              </w:rPr>
              <w:t>:</w:t>
            </w:r>
          </w:p>
        </w:tc>
        <w:tc>
          <w:tcPr>
            <w:tcW w:w="3423" w:type="pct"/>
          </w:tcPr>
          <w:p w14:paraId="02FB6383" w14:textId="6C86194F" w:rsidR="00324B33" w:rsidRPr="00BD5DBD" w:rsidRDefault="0084065F" w:rsidP="007452E8">
            <w:pPr>
              <w:rPr>
                <w:szCs w:val="22"/>
              </w:rPr>
            </w:pPr>
            <w:r w:rsidRPr="0084065F">
              <w:rPr>
                <w:szCs w:val="22"/>
              </w:rPr>
              <w:t>Vanzacaftor</w:t>
            </w:r>
            <w:r w:rsidR="00A75348">
              <w:rPr>
                <w:szCs w:val="22"/>
              </w:rPr>
              <w:t xml:space="preserve"> (VNZ)</w:t>
            </w:r>
            <w:r w:rsidR="00BE7C87">
              <w:rPr>
                <w:szCs w:val="22"/>
              </w:rPr>
              <w:t xml:space="preserve">, </w:t>
            </w:r>
            <w:r w:rsidRPr="0084065F">
              <w:rPr>
                <w:szCs w:val="22"/>
              </w:rPr>
              <w:t>tezacaftor</w:t>
            </w:r>
            <w:r w:rsidR="00A75348">
              <w:rPr>
                <w:szCs w:val="22"/>
              </w:rPr>
              <w:t xml:space="preserve"> (TEZ)</w:t>
            </w:r>
            <w:r w:rsidR="00BE7C87">
              <w:rPr>
                <w:szCs w:val="22"/>
              </w:rPr>
              <w:t xml:space="preserve">, </w:t>
            </w:r>
            <w:r w:rsidRPr="0084065F">
              <w:rPr>
                <w:szCs w:val="22"/>
              </w:rPr>
              <w:t>deutivacaftor</w:t>
            </w:r>
            <w:r w:rsidR="00A75348">
              <w:rPr>
                <w:szCs w:val="22"/>
              </w:rPr>
              <w:t xml:space="preserve"> (</w:t>
            </w:r>
            <w:r w:rsidR="008C2090">
              <w:rPr>
                <w:szCs w:val="22"/>
              </w:rPr>
              <w:t>D-IVA).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430EA5D"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697D787" w:rsidR="00AE1947" w:rsidRPr="00BD5DBD" w:rsidRDefault="00B67B62" w:rsidP="00602658">
            <w:pPr>
              <w:rPr>
                <w:szCs w:val="22"/>
              </w:rPr>
            </w:pPr>
            <w:r>
              <w:rPr>
                <w:szCs w:val="22"/>
              </w:rPr>
              <w:t>14 November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D24676B" w:rsidR="00324B33" w:rsidRPr="00BD5DBD" w:rsidRDefault="00B67B62" w:rsidP="007452E8">
            <w:pPr>
              <w:rPr>
                <w:szCs w:val="22"/>
              </w:rPr>
            </w:pPr>
            <w:r>
              <w:rPr>
                <w:szCs w:val="22"/>
              </w:rPr>
              <w:t>18 November 2025</w:t>
            </w:r>
          </w:p>
        </w:tc>
      </w:tr>
      <w:tr w:rsidR="00324B33" w:rsidRPr="00BD5DBD" w14:paraId="547E08D7" w14:textId="77777777" w:rsidTr="00F865A7">
        <w:tc>
          <w:tcPr>
            <w:tcW w:w="1577" w:type="pct"/>
          </w:tcPr>
          <w:p w14:paraId="5030EF30" w14:textId="0CE545B9" w:rsidR="00324B33" w:rsidRPr="00BD5DBD" w:rsidRDefault="00324B33" w:rsidP="007452E8">
            <w:pPr>
              <w:rPr>
                <w:i/>
                <w:szCs w:val="22"/>
              </w:rPr>
            </w:pPr>
            <w:r w:rsidRPr="00BD5DBD">
              <w:rPr>
                <w:i/>
                <w:szCs w:val="22"/>
              </w:rPr>
              <w:t>ARTG numbers:</w:t>
            </w:r>
          </w:p>
        </w:tc>
        <w:tc>
          <w:tcPr>
            <w:tcW w:w="3423" w:type="pct"/>
          </w:tcPr>
          <w:p w14:paraId="0054E912" w14:textId="3418CCC2" w:rsidR="00324B33" w:rsidRPr="00BD5DBD" w:rsidRDefault="00875669" w:rsidP="007452E8">
            <w:pPr>
              <w:rPr>
                <w:szCs w:val="22"/>
              </w:rPr>
            </w:pPr>
            <w:r>
              <w:rPr>
                <w:szCs w:val="22"/>
              </w:rPr>
              <w:t>452345, 452346</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57024EF3" w:rsidR="00324B33" w:rsidRPr="00BD5DBD" w:rsidRDefault="00324B33" w:rsidP="007452E8">
            <w:pPr>
              <w:rPr>
                <w:szCs w:val="22"/>
              </w:rPr>
            </w:pPr>
            <w:r w:rsidRPr="008A5E34">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180E4AEC" w14:textId="77777777" w:rsidR="00324B33" w:rsidRDefault="00372C04" w:rsidP="00BB1443">
            <w:pPr>
              <w:spacing w:after="0"/>
              <w:rPr>
                <w:szCs w:val="22"/>
              </w:rPr>
            </w:pPr>
            <w:r>
              <w:rPr>
                <w:szCs w:val="22"/>
              </w:rPr>
              <w:t>Vertex Pharmaceuticals Australia Pty Ltd</w:t>
            </w:r>
          </w:p>
          <w:p w14:paraId="7B64E6B0" w14:textId="77777777" w:rsidR="009C6035" w:rsidRPr="009C6035" w:rsidRDefault="009C6035" w:rsidP="00BB1443">
            <w:pPr>
              <w:spacing w:after="0"/>
              <w:rPr>
                <w:szCs w:val="22"/>
              </w:rPr>
            </w:pPr>
            <w:r w:rsidRPr="009C6035">
              <w:rPr>
                <w:szCs w:val="22"/>
              </w:rPr>
              <w:t>Suite 3, Level 3</w:t>
            </w:r>
          </w:p>
          <w:p w14:paraId="68F2F136" w14:textId="77777777" w:rsidR="009C6035" w:rsidRPr="009C6035" w:rsidRDefault="009C6035" w:rsidP="00BB1443">
            <w:pPr>
              <w:spacing w:after="0"/>
              <w:rPr>
                <w:szCs w:val="22"/>
              </w:rPr>
            </w:pPr>
            <w:r w:rsidRPr="009C6035">
              <w:rPr>
                <w:szCs w:val="22"/>
              </w:rPr>
              <w:t>601 Pacific Highway</w:t>
            </w:r>
          </w:p>
          <w:p w14:paraId="4B1C8772" w14:textId="77777777" w:rsidR="009C6035" w:rsidRPr="009C6035" w:rsidRDefault="009C6035" w:rsidP="00BB1443">
            <w:pPr>
              <w:spacing w:after="0"/>
              <w:rPr>
                <w:szCs w:val="22"/>
              </w:rPr>
            </w:pPr>
            <w:r w:rsidRPr="009C6035">
              <w:rPr>
                <w:szCs w:val="22"/>
              </w:rPr>
              <w:t>St Leonards,</w:t>
            </w:r>
          </w:p>
          <w:p w14:paraId="208510A9" w14:textId="77777777" w:rsidR="009C6035" w:rsidRPr="009C6035" w:rsidRDefault="009C6035" w:rsidP="00BB1443">
            <w:pPr>
              <w:spacing w:after="0"/>
              <w:rPr>
                <w:szCs w:val="22"/>
              </w:rPr>
            </w:pPr>
            <w:r w:rsidRPr="009C6035">
              <w:rPr>
                <w:szCs w:val="22"/>
              </w:rPr>
              <w:t>NSW 2065</w:t>
            </w:r>
          </w:p>
          <w:p w14:paraId="68DD94B0" w14:textId="6C18D1E5" w:rsidR="00F74B47" w:rsidRPr="00BD5DBD" w:rsidRDefault="009C6035" w:rsidP="00F74B47">
            <w:pPr>
              <w:rPr>
                <w:szCs w:val="22"/>
              </w:rPr>
            </w:pPr>
            <w:r w:rsidRPr="009C6035">
              <w:rPr>
                <w:szCs w:val="22"/>
              </w:rPr>
              <w:t>Australia</w:t>
            </w:r>
          </w:p>
        </w:tc>
      </w:tr>
      <w:tr w:rsidR="00324B33" w:rsidRPr="00BD5DBD" w14:paraId="115243E6" w14:textId="77777777" w:rsidTr="00F865A7">
        <w:tc>
          <w:tcPr>
            <w:tcW w:w="1577" w:type="pct"/>
          </w:tcPr>
          <w:p w14:paraId="7634B062" w14:textId="4EF0AE31" w:rsidR="00324B33" w:rsidRPr="00BD5DBD" w:rsidRDefault="009444E5" w:rsidP="007452E8">
            <w:pPr>
              <w:rPr>
                <w:i/>
                <w:szCs w:val="22"/>
              </w:rPr>
            </w:pPr>
            <w:r w:rsidRPr="009444E5">
              <w:rPr>
                <w:i/>
                <w:szCs w:val="22"/>
              </w:rPr>
              <w:t>Dose forms:</w:t>
            </w:r>
          </w:p>
        </w:tc>
        <w:tc>
          <w:tcPr>
            <w:tcW w:w="3423" w:type="pct"/>
          </w:tcPr>
          <w:p w14:paraId="2CB9ABAC" w14:textId="421E57AC" w:rsidR="00250FCB" w:rsidRPr="00250FCB" w:rsidRDefault="00250FCB" w:rsidP="00250FCB">
            <w:pPr>
              <w:rPr>
                <w:szCs w:val="22"/>
                <w:lang w:val="en-US"/>
              </w:rPr>
            </w:pPr>
            <w:r w:rsidRPr="00250FCB">
              <w:rPr>
                <w:b/>
                <w:bCs/>
                <w:szCs w:val="22"/>
                <w:lang w:val="en-US"/>
              </w:rPr>
              <w:t xml:space="preserve">Alyftrek 10/50/125 </w:t>
            </w:r>
            <w:r w:rsidR="00A30D70">
              <w:rPr>
                <w:b/>
                <w:bCs/>
                <w:szCs w:val="22"/>
                <w:lang w:val="en-US"/>
              </w:rPr>
              <w:t xml:space="preserve">- </w:t>
            </w:r>
            <w:r w:rsidRPr="00250FCB">
              <w:rPr>
                <w:szCs w:val="22"/>
                <w:lang w:val="en-US"/>
              </w:rPr>
              <w:t>Each film</w:t>
            </w:r>
            <w:r w:rsidRPr="00250FCB">
              <w:rPr>
                <w:szCs w:val="22"/>
                <w:lang w:val="en-US"/>
              </w:rPr>
              <w:noBreakHyphen/>
              <w:t>coated tablet contains 10 mg of vanzacaftor (as calcium), 50 mg of tezacaftor and 125 mg of deutivacaftor as a fixed</w:t>
            </w:r>
            <w:r w:rsidRPr="00250FCB">
              <w:rPr>
                <w:szCs w:val="22"/>
                <w:lang w:val="en-US"/>
              </w:rPr>
              <w:noBreakHyphen/>
              <w:t>dose combination.</w:t>
            </w:r>
          </w:p>
          <w:p w14:paraId="5E5F83DB" w14:textId="44A68485" w:rsidR="00324B33" w:rsidRPr="00BD5DBD" w:rsidRDefault="00250FCB" w:rsidP="007C3DF9">
            <w:pPr>
              <w:rPr>
                <w:szCs w:val="22"/>
              </w:rPr>
            </w:pPr>
            <w:r w:rsidRPr="00250FCB">
              <w:rPr>
                <w:b/>
                <w:bCs/>
                <w:szCs w:val="22"/>
                <w:lang w:val="en-US"/>
              </w:rPr>
              <w:t>Alyftrek 4/20/50</w:t>
            </w:r>
            <w:r w:rsidR="00A30D70">
              <w:rPr>
                <w:b/>
                <w:bCs/>
                <w:szCs w:val="22"/>
                <w:lang w:val="en-US"/>
              </w:rPr>
              <w:t xml:space="preserve"> -</w:t>
            </w:r>
            <w:r w:rsidR="007C3DF9">
              <w:rPr>
                <w:b/>
                <w:bCs/>
                <w:szCs w:val="22"/>
                <w:lang w:val="en-US"/>
              </w:rPr>
              <w:t xml:space="preserve"> </w:t>
            </w:r>
            <w:r w:rsidRPr="00250FCB">
              <w:rPr>
                <w:szCs w:val="22"/>
                <w:lang w:val="en-US"/>
              </w:rPr>
              <w:t>Each film</w:t>
            </w:r>
            <w:r w:rsidRPr="00250FCB">
              <w:rPr>
                <w:szCs w:val="22"/>
                <w:lang w:val="en-US"/>
              </w:rPr>
              <w:noBreakHyphen/>
              <w:t>coated tablet contains 4 mg of vanzacaftor (as calcium), 20 mg of tezacaftor and 50 mg of deutivacaftor as a fixed</w:t>
            </w:r>
            <w:r w:rsidRPr="00250FCB">
              <w:rPr>
                <w:szCs w:val="22"/>
                <w:lang w:val="en-US"/>
              </w:rPr>
              <w:noBreakHyphen/>
              <w:t>dose combination.</w:t>
            </w:r>
          </w:p>
        </w:tc>
      </w:tr>
      <w:tr w:rsidR="00324B33" w:rsidRPr="00BD5DBD" w14:paraId="34B07BA6" w14:textId="77777777" w:rsidTr="00F865A7">
        <w:tc>
          <w:tcPr>
            <w:tcW w:w="1577" w:type="pct"/>
          </w:tcPr>
          <w:p w14:paraId="1C039224" w14:textId="1F8C78EF" w:rsidR="00324B33" w:rsidRPr="00BD5DBD" w:rsidRDefault="00324B33" w:rsidP="007452E8">
            <w:pPr>
              <w:rPr>
                <w:i/>
                <w:szCs w:val="22"/>
              </w:rPr>
            </w:pPr>
            <w:r w:rsidRPr="00BD5DBD">
              <w:rPr>
                <w:i/>
                <w:szCs w:val="22"/>
              </w:rPr>
              <w:t>Containers:</w:t>
            </w:r>
          </w:p>
        </w:tc>
        <w:tc>
          <w:tcPr>
            <w:tcW w:w="3423" w:type="pct"/>
          </w:tcPr>
          <w:p w14:paraId="500A42C6" w14:textId="35DAA16E" w:rsidR="00324B33" w:rsidRPr="00BD5DBD" w:rsidRDefault="007347A7" w:rsidP="007452E8">
            <w:pPr>
              <w:rPr>
                <w:szCs w:val="22"/>
              </w:rPr>
            </w:pPr>
            <w:r>
              <w:rPr>
                <w:szCs w:val="22"/>
              </w:rPr>
              <w:t>Blister packs</w:t>
            </w:r>
          </w:p>
        </w:tc>
      </w:tr>
      <w:tr w:rsidR="00324B33" w:rsidRPr="00BD5DBD" w14:paraId="176B6773" w14:textId="77777777" w:rsidTr="00F865A7">
        <w:tc>
          <w:tcPr>
            <w:tcW w:w="1577" w:type="pct"/>
          </w:tcPr>
          <w:p w14:paraId="71846159" w14:textId="795D459D" w:rsidR="00324B33" w:rsidRPr="00BD5DBD" w:rsidRDefault="00324B33" w:rsidP="007452E8">
            <w:pPr>
              <w:rPr>
                <w:i/>
                <w:szCs w:val="22"/>
              </w:rPr>
            </w:pPr>
            <w:r w:rsidRPr="00BD5DBD">
              <w:rPr>
                <w:i/>
                <w:szCs w:val="22"/>
              </w:rPr>
              <w:t>Pack sizes:</w:t>
            </w:r>
          </w:p>
        </w:tc>
        <w:tc>
          <w:tcPr>
            <w:tcW w:w="3423" w:type="pct"/>
          </w:tcPr>
          <w:p w14:paraId="7E978F8F" w14:textId="41BE5536" w:rsidR="00324B33" w:rsidRPr="00BD5DBD" w:rsidRDefault="00D12B33" w:rsidP="007452E8">
            <w:pPr>
              <w:rPr>
                <w:szCs w:val="22"/>
              </w:rPr>
            </w:pPr>
            <w:r>
              <w:rPr>
                <w:szCs w:val="22"/>
              </w:rPr>
              <w:t xml:space="preserve">Packs of </w:t>
            </w:r>
            <w:r w:rsidR="006F6690" w:rsidRPr="006F6690">
              <w:rPr>
                <w:szCs w:val="22"/>
              </w:rPr>
              <w:t>56</w:t>
            </w:r>
            <w:r w:rsidR="00BD7D6D">
              <w:rPr>
                <w:szCs w:val="22"/>
              </w:rPr>
              <w:t xml:space="preserve"> or 84 </w:t>
            </w:r>
            <w:r w:rsidR="006F6690" w:rsidRPr="006F6690">
              <w:rPr>
                <w:szCs w:val="22"/>
              </w:rPr>
              <w:t>film-coated tablets</w:t>
            </w:r>
          </w:p>
        </w:tc>
      </w:tr>
      <w:tr w:rsidR="00324B33" w:rsidRPr="00C506E7"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E44E807" w:rsidR="00324B33" w:rsidRPr="00C506E7" w:rsidRDefault="006315AC" w:rsidP="006315AC">
            <w:pPr>
              <w:rPr>
                <w:i/>
                <w:iCs/>
                <w:szCs w:val="22"/>
              </w:rPr>
            </w:pPr>
            <w:r w:rsidRPr="00C506E7">
              <w:rPr>
                <w:i/>
                <w:iCs/>
                <w:szCs w:val="22"/>
              </w:rPr>
              <w:t xml:space="preserve">Alyftrek is indicated for the treatment of those who meet the diagnostic criteria for </w:t>
            </w:r>
            <w:r w:rsidRPr="006315AC">
              <w:rPr>
                <w:i/>
                <w:iCs/>
                <w:szCs w:val="22"/>
              </w:rPr>
              <w:t>cystic fibrosis (CF) in people aged 6 years and older who have at least one mutation</w:t>
            </w:r>
            <w:r w:rsidRPr="00C506E7">
              <w:rPr>
                <w:i/>
                <w:iCs/>
                <w:szCs w:val="22"/>
              </w:rPr>
              <w:t xml:space="preserve"> </w:t>
            </w:r>
            <w:r w:rsidRPr="006315AC">
              <w:rPr>
                <w:i/>
                <w:iCs/>
                <w:szCs w:val="22"/>
              </w:rPr>
              <w:t>in the cystic fibrosis transmembrane conductance regulator (CFTR) gene that is</w:t>
            </w:r>
            <w:r w:rsidRPr="00C506E7">
              <w:rPr>
                <w:i/>
                <w:iCs/>
                <w:szCs w:val="22"/>
              </w:rPr>
              <w:t xml:space="preserve"> </w:t>
            </w:r>
            <w:r w:rsidRPr="006315AC">
              <w:rPr>
                <w:i/>
                <w:iCs/>
                <w:szCs w:val="22"/>
              </w:rPr>
              <w:t>responsive based on clinical or in vitro evidence (see section 5.1</w:t>
            </w:r>
            <w:r w:rsidRPr="00C506E7">
              <w:rPr>
                <w:i/>
                <w:iCs/>
                <w:szCs w:val="22"/>
              </w:rPr>
              <w:t xml:space="preserve"> </w:t>
            </w:r>
            <w:r w:rsidR="003E13BC" w:rsidRPr="00C506E7">
              <w:rPr>
                <w:i/>
                <w:iCs/>
                <w:szCs w:val="22"/>
              </w:rPr>
              <w:t>Pharmacodynamic Properties</w:t>
            </w:r>
            <w:r w:rsidRPr="00C506E7">
              <w:rPr>
                <w:i/>
                <w:iCs/>
                <w:szCs w:val="22"/>
              </w:rPr>
              <w:t>, Table 4).</w:t>
            </w:r>
          </w:p>
        </w:tc>
      </w:tr>
      <w:tr w:rsidR="00324B33" w:rsidRPr="00BD5DBD" w14:paraId="5AFDEED3" w14:textId="77777777" w:rsidTr="00F865A7">
        <w:tc>
          <w:tcPr>
            <w:tcW w:w="1577" w:type="pct"/>
          </w:tcPr>
          <w:p w14:paraId="03884BD1" w14:textId="7366CE6D" w:rsidR="00324B33" w:rsidRPr="00BD5DBD" w:rsidRDefault="00324B33" w:rsidP="007452E8">
            <w:pPr>
              <w:rPr>
                <w:i/>
                <w:szCs w:val="22"/>
              </w:rPr>
            </w:pPr>
            <w:r w:rsidRPr="00BD5DBD">
              <w:rPr>
                <w:i/>
                <w:szCs w:val="22"/>
              </w:rPr>
              <w:t>Route of administration:</w:t>
            </w:r>
          </w:p>
        </w:tc>
        <w:tc>
          <w:tcPr>
            <w:tcW w:w="3423" w:type="pct"/>
          </w:tcPr>
          <w:p w14:paraId="1ED1357E" w14:textId="542B5E7A" w:rsidR="00324B33" w:rsidRPr="00BD5DBD" w:rsidRDefault="00344716"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6B76DF0E" w:rsidR="00666911" w:rsidRDefault="007E1CE8" w:rsidP="007452E8">
            <w:pPr>
              <w:rPr>
                <w:szCs w:val="22"/>
                <w:lang w:val="en-US"/>
              </w:rPr>
            </w:pPr>
            <w:r w:rsidRPr="007E1CE8">
              <w:rPr>
                <w:szCs w:val="22"/>
                <w:lang w:val="en-US"/>
              </w:rPr>
              <w:t>Adults and paediatric patients aged 6 years and older</w:t>
            </w:r>
            <w:r w:rsidR="00AA48CD">
              <w:rPr>
                <w:szCs w:val="22"/>
                <w:lang w:val="en-US"/>
              </w:rPr>
              <w:t xml:space="preserve"> -</w:t>
            </w:r>
          </w:p>
          <w:p w14:paraId="50877936" w14:textId="738CC1F7" w:rsidR="00174CE8" w:rsidRDefault="00FB577C" w:rsidP="00AA48CD">
            <w:pPr>
              <w:rPr>
                <w:szCs w:val="22"/>
                <w:lang w:val="en-US"/>
              </w:rPr>
            </w:pPr>
            <w:r>
              <w:rPr>
                <w:szCs w:val="22"/>
                <w:lang w:val="en-US"/>
              </w:rPr>
              <w:t xml:space="preserve">Less than 40kg: </w:t>
            </w:r>
            <w:r w:rsidR="00805C57" w:rsidRPr="00805C57">
              <w:rPr>
                <w:szCs w:val="22"/>
                <w:lang w:val="en-US"/>
              </w:rPr>
              <w:t>Three tablets of vanzacaftor 4 mg/tezacaftor 20 mg/deutivacaftor 50 mg</w:t>
            </w:r>
            <w:r w:rsidR="00805C57">
              <w:rPr>
                <w:szCs w:val="22"/>
                <w:lang w:val="en-US"/>
              </w:rPr>
              <w:t xml:space="preserve"> </w:t>
            </w:r>
            <w:r w:rsidR="007864A2">
              <w:rPr>
                <w:szCs w:val="22"/>
                <w:lang w:val="en-US"/>
              </w:rPr>
              <w:t xml:space="preserve">once </w:t>
            </w:r>
            <w:r w:rsidR="00805C57">
              <w:rPr>
                <w:szCs w:val="22"/>
                <w:lang w:val="en-US"/>
              </w:rPr>
              <w:t>daily</w:t>
            </w:r>
          </w:p>
          <w:p w14:paraId="70D83E77" w14:textId="1B7A212F" w:rsidR="00805C57" w:rsidRDefault="00CD5855" w:rsidP="00AA48CD">
            <w:pPr>
              <w:rPr>
                <w:szCs w:val="22"/>
              </w:rPr>
            </w:pPr>
            <w:r>
              <w:rPr>
                <w:szCs w:val="22"/>
                <w:lang w:val="en-US"/>
              </w:rPr>
              <w:t xml:space="preserve">Equal to or over 40kg: </w:t>
            </w:r>
            <w:r w:rsidR="007864A2" w:rsidRPr="007864A2">
              <w:rPr>
                <w:bCs/>
                <w:szCs w:val="22"/>
                <w:lang w:val="en-US"/>
              </w:rPr>
              <w:t>Two tablets of vanzacaftor 10 mg/tezacaftor 50 mg/deutivacaftor 125 mg</w:t>
            </w:r>
            <w:r w:rsidR="00C8060B">
              <w:rPr>
                <w:bCs/>
                <w:szCs w:val="22"/>
                <w:lang w:val="en-US"/>
              </w:rPr>
              <w:t xml:space="preserve"> once daily. </w:t>
            </w:r>
          </w:p>
          <w:p w14:paraId="3D0B2D5C" w14:textId="3D47AF57" w:rsidR="00324B33" w:rsidRPr="00BD5DBD" w:rsidRDefault="00324B33" w:rsidP="007452E8">
            <w:pPr>
              <w:rPr>
                <w:szCs w:val="22"/>
              </w:rPr>
            </w:pPr>
            <w:r w:rsidRPr="00BD5DBD">
              <w:rPr>
                <w:szCs w:val="22"/>
              </w:rPr>
              <w:lastRenderedPageBreak/>
              <w:t xml:space="preserve">For further information regarding dosage, </w:t>
            </w:r>
            <w:r w:rsidR="006B7126">
              <w:rPr>
                <w:szCs w:val="22"/>
              </w:rPr>
              <w:t xml:space="preserve">such as dosage modifications to manage adverse reactions, </w:t>
            </w:r>
            <w:r w:rsidRPr="00BD5DBD">
              <w:rPr>
                <w:szCs w:val="22"/>
              </w:rPr>
              <w:t>refer to the Product Information</w:t>
            </w:r>
            <w:r w:rsidR="00A33302">
              <w:rPr>
                <w:szCs w:val="22"/>
              </w:rPr>
              <w:t xml:space="preserve"> (PI)</w:t>
            </w:r>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57179E95" w14:textId="77777777" w:rsidR="004B56FB" w:rsidRDefault="004B56FB" w:rsidP="004B56FB">
            <w:r w:rsidRPr="004B56FB">
              <w:rPr>
                <w:b/>
                <w:lang w:val="en-US"/>
              </w:rPr>
              <w:t>Category B3</w:t>
            </w:r>
            <w:r w:rsidRPr="004B56FB">
              <w:t xml:space="preserve"> </w:t>
            </w:r>
          </w:p>
          <w:p w14:paraId="3EAE0D4A" w14:textId="77777777" w:rsidR="008C468E" w:rsidRPr="008C468E" w:rsidRDefault="008C468E" w:rsidP="008C468E">
            <w:pPr>
              <w:rPr>
                <w:lang w:val="en-US"/>
              </w:rPr>
            </w:pPr>
            <w:r w:rsidRPr="008C468E">
              <w:rPr>
                <w:lang w:val="en-US"/>
              </w:rPr>
              <w:t>No adequate and well-controlled studies of Alyftrek in pregnant women have been conducted. Animal studies do not indicate direct or indirect harmful effects with respect to reproductive toxicity. Because animal reproduction studies are not always predictive of human response, Alyftrek should be used during pregnancy only if the potential benefits outweigh the potential risks. Vanzacaftor, tezacaftor, ivacaftor and/or their metabolites were shown to cross the placenta in laboratory animal species (rats and/or rabbits).</w:t>
            </w:r>
          </w:p>
          <w:p w14:paraId="76497789" w14:textId="402BAD4B" w:rsidR="0017005C" w:rsidRPr="00BD5DBD" w:rsidRDefault="0070330F" w:rsidP="004B56FB">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7661909"/>
      <w:r>
        <w:t>Product background</w:t>
      </w:r>
      <w:bookmarkEnd w:id="11"/>
      <w:bookmarkEnd w:id="12"/>
      <w:bookmarkEnd w:id="13"/>
      <w:bookmarkEnd w:id="14"/>
    </w:p>
    <w:p w14:paraId="59BF31D1" w14:textId="211B5EDD" w:rsidR="001500A8" w:rsidRPr="00065839" w:rsidRDefault="00324B33" w:rsidP="00C7649D">
      <w:r w:rsidRPr="00065839">
        <w:t>This AusPAR describes the submission by</w:t>
      </w:r>
      <w:r w:rsidR="0077741E" w:rsidRPr="0077741E">
        <w:t xml:space="preserve"> Vertex Pharmaceuticals Australia Pty Ltd</w:t>
      </w:r>
      <w:r w:rsidRPr="00065839">
        <w:t xml:space="preserve"> to register </w:t>
      </w:r>
      <w:r w:rsidR="00D02A78">
        <w:t>Alyftrek (</w:t>
      </w:r>
      <w:r w:rsidR="00C7649D">
        <w:t xml:space="preserve">vanzacaftor 4 mg/tezacaftor 20 mg/deutivacaftor 50 mg) </w:t>
      </w:r>
      <w:r w:rsidR="00DC72FB">
        <w:t>and</w:t>
      </w:r>
      <w:r w:rsidR="00C7649D">
        <w:t xml:space="preserve"> </w:t>
      </w:r>
      <w:r w:rsidR="00DC72FB">
        <w:t xml:space="preserve">Alyftrek </w:t>
      </w:r>
      <w:r w:rsidR="00C7649D">
        <w:t>(v</w:t>
      </w:r>
      <w:r w:rsidR="00C7649D" w:rsidRPr="00C7649D">
        <w:t>anzacaftor 10 mg/tezacaftor 50 mg/deutivacaftor 125 mg</w:t>
      </w:r>
      <w:r w:rsidR="00C7649D">
        <w:t>) film</w:t>
      </w:r>
      <w:r w:rsidR="00B63C4E">
        <w:t>-</w:t>
      </w:r>
      <w:r w:rsidR="00C7649D">
        <w:t xml:space="preserve">coated tablets </w:t>
      </w:r>
      <w:r w:rsidRPr="00065839">
        <w:t>for the following proposed indication:</w:t>
      </w:r>
      <w:r w:rsidR="00D63760" w:rsidRPr="00065839">
        <w:rPr>
          <w:vertAlign w:val="superscript"/>
        </w:rPr>
        <w:footnoteReference w:id="1"/>
      </w:r>
    </w:p>
    <w:p w14:paraId="1870361E" w14:textId="389AF92C" w:rsidR="00BA0357" w:rsidRDefault="00BA0357" w:rsidP="00BA0357">
      <w:pPr>
        <w:ind w:left="720"/>
        <w:rPr>
          <w:i/>
          <w:iCs/>
        </w:rPr>
      </w:pPr>
      <w:r w:rsidRPr="00BA0357">
        <w:rPr>
          <w:i/>
          <w:iCs/>
        </w:rPr>
        <w:t>VNZ/TEZ/D-IVA is indicated for the treatment of cystic fibrosis (CF) in people aged 6 years and older who have at least one F508del mutation or another responsive mutation in the cystic fibrosis transmembrane conductance regulator (CFTR) gene</w:t>
      </w:r>
      <w:r w:rsidR="00DC72FB">
        <w:rPr>
          <w:i/>
          <w:iCs/>
        </w:rPr>
        <w:t xml:space="preserve">. </w:t>
      </w:r>
    </w:p>
    <w:p w14:paraId="1E63A2AE" w14:textId="5FCD6C6F" w:rsidR="00CB6813" w:rsidRDefault="00005DFC" w:rsidP="00CB6813">
      <w:pPr>
        <w:pStyle w:val="Heading4"/>
      </w:pPr>
      <w:bookmarkStart w:id="15" w:name="_Toc227661910"/>
      <w:bookmarkStart w:id="16" w:name="_Toc314842485"/>
      <w:bookmarkStart w:id="17" w:name="_Toc247691504"/>
      <w:r>
        <w:t>D</w:t>
      </w:r>
      <w:r w:rsidR="00CB6813" w:rsidRPr="00C12D65">
        <w:t>isease</w:t>
      </w:r>
      <w:r w:rsidR="006428C5">
        <w:t xml:space="preserve"> or condition</w:t>
      </w:r>
      <w:bookmarkEnd w:id="15"/>
    </w:p>
    <w:p w14:paraId="694F57C2" w14:textId="73492B86" w:rsidR="00CA6671" w:rsidRPr="00CA6671" w:rsidRDefault="00CA6671" w:rsidP="00FC73C4">
      <w:pPr>
        <w:rPr>
          <w:b/>
          <w:bCs/>
        </w:rPr>
      </w:pPr>
      <w:r w:rsidRPr="00CA6671">
        <w:t>Cystic fibrosis (CF) is a life-limiting, autosomal recessive disorder caused by mutations in the </w:t>
      </w:r>
      <w:r w:rsidRPr="00CA6671">
        <w:rPr>
          <w:i/>
          <w:iCs/>
        </w:rPr>
        <w:t>CFTR</w:t>
      </w:r>
      <w:r w:rsidRPr="00CA6671">
        <w:t> (cystic fibrosis transmembrane conductance regulator) gene. These mutations impair the expression, function, or stability of the CFTR protein (Figure 1)</w:t>
      </w:r>
      <w:r w:rsidR="00E02083">
        <w:t xml:space="preserve"> - </w:t>
      </w:r>
      <w:r w:rsidRPr="00CA6671">
        <w:t>an ion channel responsible for regulating chloride and sodium transport across epithelial surfaces. The resulting ion transport dysfunction leads to thick, sticky secretions in multiple organs, including the lungs, pancreas, intestines, biliary tract, and reproductive system. Although CF affects multiple systems, progressive lung disease remains the leading cause of morbidity and mortality.</w:t>
      </w:r>
    </w:p>
    <w:p w14:paraId="23E6988D" w14:textId="77777777" w:rsidR="00CA6671" w:rsidRPr="00CA6671" w:rsidRDefault="00CA6671" w:rsidP="00FC73C4">
      <w:r w:rsidRPr="00CA6671">
        <w:t>Over 2,000 </w:t>
      </w:r>
      <w:r w:rsidRPr="00CA6671">
        <w:rPr>
          <w:i/>
          <w:iCs/>
        </w:rPr>
        <w:t>CFTR</w:t>
      </w:r>
      <w:r w:rsidRPr="00CA6671">
        <w:t> mutations have been identified since the gene’s discovery in 1989. However, not all are disease-causing. As of September 2024, the CFTR2 database lists 1,167 variants: 1,085 associated with CF, 55 of uncertain significance, and 27 considered non-pathogenic. CF is caused by pathogenic mutations on both </w:t>
      </w:r>
      <w:r w:rsidRPr="00CA6671">
        <w:rPr>
          <w:i/>
          <w:iCs/>
        </w:rPr>
        <w:t>CFTR</w:t>
      </w:r>
      <w:r w:rsidRPr="00CA6671">
        <w:t xml:space="preserve"> alleles. The severity of disease correlates with the </w:t>
      </w:r>
      <w:r w:rsidRPr="00CA6671">
        <w:lastRenderedPageBreak/>
        <w:t>degree of CFTR dysfunction. Mutations are classified into six functional classes (Figure 1) based on their molecular effects. Generally, classes I–III are associated with more severe disease, while classes IV–VI tend to result in milder phenotypes. Some mutations span multiple classes.</w:t>
      </w:r>
    </w:p>
    <w:p w14:paraId="57557B7A" w14:textId="2CA89B97" w:rsidR="00B6495F" w:rsidRPr="00E45111" w:rsidRDefault="00B6495F" w:rsidP="00E45111">
      <w:pPr>
        <w:pStyle w:val="FigureTitle"/>
      </w:pPr>
      <w:r w:rsidRPr="00E45111">
        <w:t>Figure 1</w:t>
      </w:r>
      <w:r w:rsidR="003D6E47">
        <w:t>.</w:t>
      </w:r>
      <w:r w:rsidRPr="00E45111">
        <w:t xml:space="preserve"> Classes of CFTR Mutations</w:t>
      </w:r>
      <w:r w:rsidR="003D6E47">
        <w:t>.</w:t>
      </w:r>
      <w:r w:rsidR="006411E7">
        <w:rPr>
          <w:rStyle w:val="FootnoteReference"/>
        </w:rPr>
        <w:footnoteReference w:id="2"/>
      </w:r>
      <w:r w:rsidRPr="00E45111">
        <w:t xml:space="preserve"> </w:t>
      </w:r>
    </w:p>
    <w:p w14:paraId="49E829CD" w14:textId="06DDFB95" w:rsidR="00DD5364" w:rsidRDefault="00DD5364" w:rsidP="00D93C1D">
      <w:r>
        <w:rPr>
          <w:noProof/>
        </w:rPr>
        <w:drawing>
          <wp:inline distT="0" distB="0" distL="0" distR="0" wp14:anchorId="21E4D8E0" wp14:editId="72C3EF8E">
            <wp:extent cx="5837555" cy="5238750"/>
            <wp:effectExtent l="0" t="0" r="0" b="0"/>
            <wp:docPr id="671108116" name="Picture 1" descr="Figure 1. Classes of CFTR Mutations from Elborn J. S. (2016). Cystic fibrosis. Lancet (London, England), 388(10059), 2519–25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08116" name="Picture 1" descr="Figure 1. Classes of CFTR Mutations from Elborn J. S. (2016). Cystic fibrosis. Lancet (London, England), 388(10059), 2519–253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9043" cy="5240085"/>
                    </a:xfrm>
                    <a:prstGeom prst="rect">
                      <a:avLst/>
                    </a:prstGeom>
                    <a:noFill/>
                  </pic:spPr>
                </pic:pic>
              </a:graphicData>
            </a:graphic>
          </wp:inline>
        </w:drawing>
      </w:r>
    </w:p>
    <w:p w14:paraId="76D9C565" w14:textId="291E2167" w:rsidR="007365E0" w:rsidRPr="00DA50C5" w:rsidRDefault="007365E0" w:rsidP="00D93C1D">
      <w:pPr>
        <w:pStyle w:val="FigureDescription"/>
      </w:pPr>
      <w:r w:rsidRPr="00DA50C5">
        <w:t>Mutations in the cystic fibrosis transmembrane conductance regulator (</w:t>
      </w:r>
      <w:r w:rsidRPr="00DA50C5">
        <w:rPr>
          <w:i/>
          <w:iCs/>
        </w:rPr>
        <w:t>CFTR</w:t>
      </w:r>
      <w:r w:rsidRPr="00DA50C5">
        <w:t xml:space="preserve">) gene can be divided into six classes. Class I mutations result in no protein production. Class II mutations (including the most prevalent, Phe508del) cause retention of a misfolded protein at the endoplasmic reticulum, and subsequent degradation in the proteasome. Class III mutations affect channel regulation, impairing channel opening (e.g., Gly551Asp). Class IV mutants show reduced conduction—i.e., decreased flow of ions (e.g., Arg117His). Class V mutations cause substantial reduction in mRNA or protein, or both, Class VI mutations cause substantial plasma membrane instability and include Phe508del when rescued by most correctors (rPhe508del). </w:t>
      </w:r>
    </w:p>
    <w:p w14:paraId="6E28412F" w14:textId="11CA0FA0" w:rsidR="00956594" w:rsidRPr="00956594" w:rsidRDefault="00AB5E59" w:rsidP="00956594">
      <w:r w:rsidRPr="00AB5E59">
        <w:t>The most common mutation, F508del, involves the deletion of three DNA bases encoding phenylalanine at position 508. Present in approximately 82% of European Caucasian CF patients, F508del severely disrupts CFTR protein folding and trafficking. As a result, little to no</w:t>
      </w:r>
      <w:r w:rsidR="00956594" w:rsidRPr="00956594">
        <w:t xml:space="preserve"> </w:t>
      </w:r>
      <w:r w:rsidR="00956594" w:rsidRPr="00956594">
        <w:lastRenderedPageBreak/>
        <w:t>functional protein reaches the cell surface, and the small amount that does has impaired channel activity—leading to near-complete loss of chloride transport.</w:t>
      </w:r>
      <w:r w:rsidR="00956594" w:rsidRPr="00956594">
        <w:rPr>
          <w:vertAlign w:val="superscript"/>
        </w:rPr>
        <w:footnoteReference w:id="3"/>
      </w:r>
      <w:r w:rsidR="00956594" w:rsidRPr="00956594">
        <w:rPr>
          <w:vertAlign w:val="superscript"/>
        </w:rPr>
        <w:t>,</w:t>
      </w:r>
      <w:r w:rsidR="00956594" w:rsidRPr="00956594">
        <w:rPr>
          <w:vertAlign w:val="superscript"/>
        </w:rPr>
        <w:footnoteReference w:id="4"/>
      </w:r>
    </w:p>
    <w:p w14:paraId="5AC382D1" w14:textId="77777777" w:rsidR="00AB5E59" w:rsidRPr="00AB5E59" w:rsidRDefault="00AB5E59" w:rsidP="00FC73C4">
      <w:r w:rsidRPr="00AB5E59">
        <w:t>In 2023, there were 3,798 people with CF registered with the Australian CF data registry, which is thought to represent &gt; 95% of Australia’s CF population. The median age is 21.7 years, and 52.5% were male. Of the 3798 people in the registry, 2,212 (58%) were adults (18+ years) and 1,586 (42%) were children/adolescents (0-17years). The number of new diagnoses of notified to the registry in 2023 was 68, including 53 (78%) people diagnosed at less than one year of age, 6 aged 1-17 years and 9 cases who were at least 18 years of age.</w:t>
      </w:r>
      <w:bookmarkStart w:id="18" w:name="_Ref224651987"/>
      <w:r w:rsidRPr="00AB5E59">
        <w:rPr>
          <w:vertAlign w:val="superscript"/>
        </w:rPr>
        <w:footnoteReference w:id="5"/>
      </w:r>
      <w:bookmarkEnd w:id="18"/>
      <w:r w:rsidRPr="00AB5E59">
        <w:t xml:space="preserve"> </w:t>
      </w:r>
    </w:p>
    <w:p w14:paraId="71CB3AC9" w14:textId="1ED590F6" w:rsidR="007F72ED" w:rsidRPr="00014E5A" w:rsidRDefault="007F72ED" w:rsidP="00FC73C4">
      <w:r>
        <w:t>T</w:t>
      </w:r>
      <w:r w:rsidRPr="00014E5A">
        <w:t xml:space="preserve">here is no cure for CF. Existing treatment for CF falls into two categories: </w:t>
      </w:r>
    </w:p>
    <w:p w14:paraId="1C9B380B" w14:textId="3DCE12B3" w:rsidR="007F72ED" w:rsidRPr="00014E5A" w:rsidRDefault="007F72ED" w:rsidP="00FC73C4">
      <w:pPr>
        <w:pStyle w:val="Numberbullet0"/>
      </w:pPr>
      <w:r w:rsidRPr="00014E5A">
        <w:t>Supportive therapies to manage CF symptoms, complications, and comorbidities (e.g., antibiotics, mucolytics, pancreatic enzyme replacement, nutritional supplements). These target the downstream consequences and symptoms of the disease.</w:t>
      </w:r>
    </w:p>
    <w:p w14:paraId="09C1BDC4" w14:textId="49AADD54" w:rsidR="007F72ED" w:rsidRPr="00014E5A" w:rsidRDefault="007F72ED" w:rsidP="00FC73C4">
      <w:pPr>
        <w:pStyle w:val="Numberbullet0"/>
      </w:pPr>
      <w:r w:rsidRPr="00014E5A">
        <w:t>CFTR modulators, which target the underlying cause of disease by improving the performance of the CFTR protein.</w:t>
      </w:r>
    </w:p>
    <w:p w14:paraId="6899AB6B" w14:textId="765944A5" w:rsidR="007F72ED" w:rsidRPr="00014E5A" w:rsidRDefault="007F72ED" w:rsidP="00FC73C4">
      <w:r w:rsidRPr="00014E5A">
        <w:t>The clinical effects usually present in infancy with respiratory illness but can present in the neonatal period with meconium ileus and in milder cases can present with chronic respiratory illness in later childhood or even in adults.</w:t>
      </w:r>
      <w:r w:rsidRPr="00014E5A">
        <w:rPr>
          <w:lang w:eastAsia="ja-JP"/>
        </w:rPr>
        <w:t xml:space="preserve">  </w:t>
      </w:r>
      <w:r w:rsidRPr="00014E5A">
        <w:t>The life expectancy of CF patients has substantially lengthened over the past few decades, due to early diagnosis and improvements in symptomatic therapeutic regimens. In Australia, the median age of death in 2023 was 40.6 years of age including those who had a lung transplant and 48.3 years of age for excluding those who had a lung transplant. The median age of death continues to increase. Quality of life remains impacted by the disease limited, as these individuals are subjected to considerable clinical, psychosocial and economic burdens.</w:t>
      </w:r>
      <w:r w:rsidR="001240C3" w:rsidRPr="001240C3">
        <w:rPr>
          <w:vertAlign w:val="superscript"/>
        </w:rPr>
        <w:fldChar w:fldCharType="begin"/>
      </w:r>
      <w:r w:rsidR="001240C3" w:rsidRPr="001240C3">
        <w:rPr>
          <w:vertAlign w:val="superscript"/>
        </w:rPr>
        <w:instrText xml:space="preserve"> NOTEREF _Ref224651987 \h </w:instrText>
      </w:r>
      <w:r w:rsidR="001240C3">
        <w:rPr>
          <w:vertAlign w:val="superscript"/>
        </w:rPr>
        <w:instrText xml:space="preserve"> \* MERGEFORMAT </w:instrText>
      </w:r>
      <w:r w:rsidR="001240C3" w:rsidRPr="001240C3">
        <w:rPr>
          <w:vertAlign w:val="superscript"/>
        </w:rPr>
      </w:r>
      <w:r w:rsidR="001240C3" w:rsidRPr="001240C3">
        <w:rPr>
          <w:vertAlign w:val="superscript"/>
        </w:rPr>
        <w:fldChar w:fldCharType="separate"/>
      </w:r>
      <w:r w:rsidR="001240C3" w:rsidRPr="001240C3">
        <w:rPr>
          <w:vertAlign w:val="superscript"/>
        </w:rPr>
        <w:t>5</w:t>
      </w:r>
      <w:r w:rsidR="001240C3" w:rsidRPr="001240C3">
        <w:rPr>
          <w:vertAlign w:val="superscript"/>
        </w:rPr>
        <w:fldChar w:fldCharType="end"/>
      </w:r>
      <w:r w:rsidRPr="00014E5A">
        <w:t xml:space="preserve"> </w:t>
      </w:r>
    </w:p>
    <w:p w14:paraId="6A520FF2" w14:textId="167C362B" w:rsidR="007F72ED" w:rsidRPr="00014E5A" w:rsidRDefault="007F72ED" w:rsidP="00FC73C4">
      <w:r w:rsidRPr="00014E5A">
        <w:t xml:space="preserve">Cystic fibrosis transmembrane conductance regulator (CFTR) modulators are a class of drugs that act by improving production, intracellular processing, and/or function of the defective CFTR protein. These orally bioavailable medicines target the underlying cause by restoring CFTR function and thereby modifying the course of disease in the lung and multiple other organs affected by CF. Although these drugs do not reverse the existing disease, they have been shown to provide substantial and durable clinical benefits in pulmonary and extra pulmonary </w:t>
      </w:r>
      <w:r w:rsidR="00ED19E3" w:rsidRPr="00ED19E3">
        <w:t>endpoints for CF patients ≥ 2 years of age with at least one copy of F508del.</w:t>
      </w:r>
      <w:bookmarkStart w:id="19" w:name="_Ref224654066"/>
      <w:r w:rsidR="00ED19E3" w:rsidRPr="00ED19E3">
        <w:rPr>
          <w:vertAlign w:val="superscript"/>
        </w:rPr>
        <w:footnoteReference w:id="6"/>
      </w:r>
      <w:bookmarkEnd w:id="19"/>
      <w:r w:rsidR="00ED19E3" w:rsidRPr="00ED19E3">
        <w:rPr>
          <w:vertAlign w:val="superscript"/>
        </w:rPr>
        <w:t>,</w:t>
      </w:r>
      <w:bookmarkStart w:id="20" w:name="_Ref224654132"/>
      <w:r w:rsidR="00ED19E3" w:rsidRPr="00ED19E3">
        <w:rPr>
          <w:vertAlign w:val="superscript"/>
        </w:rPr>
        <w:footnoteReference w:id="7"/>
      </w:r>
      <w:bookmarkEnd w:id="20"/>
      <w:r w:rsidR="00ED19E3" w:rsidRPr="00ED19E3">
        <w:rPr>
          <w:vertAlign w:val="superscript"/>
        </w:rPr>
        <w:t>,</w:t>
      </w:r>
      <w:bookmarkStart w:id="21" w:name="_Ref224654134"/>
      <w:r w:rsidR="00ED19E3" w:rsidRPr="00ED19E3">
        <w:rPr>
          <w:vertAlign w:val="superscript"/>
        </w:rPr>
        <w:footnoteReference w:id="8"/>
      </w:r>
      <w:bookmarkEnd w:id="21"/>
      <w:r w:rsidR="00ED19E3" w:rsidRPr="00ED19E3">
        <w:rPr>
          <w:vertAlign w:val="superscript"/>
        </w:rPr>
        <w:t>,</w:t>
      </w:r>
      <w:bookmarkStart w:id="22" w:name="_Ref224654572"/>
      <w:r w:rsidR="00ED19E3" w:rsidRPr="00ED19E3">
        <w:rPr>
          <w:vertAlign w:val="superscript"/>
        </w:rPr>
        <w:footnoteReference w:id="9"/>
      </w:r>
      <w:bookmarkEnd w:id="22"/>
      <w:r w:rsidR="00ED19E3" w:rsidRPr="00ED19E3">
        <w:t xml:space="preserve"> </w:t>
      </w:r>
      <w:r w:rsidRPr="00014E5A">
        <w:t xml:space="preserve">The ultimate </w:t>
      </w:r>
      <w:r w:rsidRPr="00014E5A">
        <w:lastRenderedPageBreak/>
        <w:t>goal of cystic fibrosis CFTR modulators is to reach normal CFTR function in people with CF, aiming to prevent disease progression.</w:t>
      </w:r>
    </w:p>
    <w:p w14:paraId="693A9C37" w14:textId="77777777" w:rsidR="007F72ED" w:rsidRPr="00014E5A" w:rsidRDefault="007F72ED" w:rsidP="00FC73C4">
      <w:r w:rsidRPr="00014E5A">
        <w:t>There are three main types of CFTR modulators:</w:t>
      </w:r>
    </w:p>
    <w:p w14:paraId="0887DA01" w14:textId="4D935A97" w:rsidR="007F72ED" w:rsidRPr="00014E5A" w:rsidRDefault="007F72ED" w:rsidP="00B53D12">
      <w:pPr>
        <w:pStyle w:val="ListBullet"/>
      </w:pPr>
      <w:r w:rsidRPr="00014E5A">
        <w:t xml:space="preserve">Potentiators are drugs that can improve the function of a defective CFTR protein that is expressed at the cell surface.  These drugs improve the conductance of chloride through the channel. </w:t>
      </w:r>
    </w:p>
    <w:p w14:paraId="5EC2FAAE" w14:textId="2F517224" w:rsidR="007F72ED" w:rsidRPr="00014E5A" w:rsidRDefault="007F72ED" w:rsidP="00B53D12">
      <w:pPr>
        <w:pStyle w:val="ListBullet"/>
      </w:pPr>
      <w:r w:rsidRPr="00014E5A">
        <w:t>Correctors help a defective CFTR protein to assume the correct shape so that if can avoid degradation within the cell and instead be transported to the surface membrane.</w:t>
      </w:r>
    </w:p>
    <w:p w14:paraId="7917C664" w14:textId="74772EDF" w:rsidR="007F72ED" w:rsidRPr="00014E5A" w:rsidRDefault="007F72ED" w:rsidP="00B53D12">
      <w:pPr>
        <w:pStyle w:val="ListBullet"/>
      </w:pPr>
      <w:r w:rsidRPr="00014E5A">
        <w:t>Amplifiers increase the production of CFTR protein by the cell.  These drugs are currently in development and are not marketed.</w:t>
      </w:r>
    </w:p>
    <w:p w14:paraId="2022DAB9" w14:textId="2460EB80" w:rsidR="007F72ED" w:rsidRPr="00014E5A" w:rsidRDefault="007F72ED" w:rsidP="00CE1609">
      <w:r w:rsidRPr="00014E5A">
        <w:t xml:space="preserve">Ivacaftor </w:t>
      </w:r>
      <w:r w:rsidR="003B480A">
        <w:t xml:space="preserve">(IVA) </w:t>
      </w:r>
      <w:r w:rsidRPr="00014E5A">
        <w:t>has efficacy for Class III &amp; IV mutations, by restoring function to defective CFTR proteins on the cell surface membrane (potentiate). Vanzacaftor</w:t>
      </w:r>
      <w:r w:rsidR="00A63BF9">
        <w:t xml:space="preserve"> (</w:t>
      </w:r>
      <w:r w:rsidR="003351B7">
        <w:t>VNZ</w:t>
      </w:r>
      <w:r w:rsidR="003351B7" w:rsidRPr="00130A86">
        <w:t>)</w:t>
      </w:r>
      <w:r w:rsidRPr="00130A86">
        <w:t xml:space="preserve">, </w:t>
      </w:r>
      <w:r w:rsidR="008D4B89" w:rsidRPr="00130A86">
        <w:t>l</w:t>
      </w:r>
      <w:r w:rsidRPr="00130A86">
        <w:t>umacaftor,</w:t>
      </w:r>
      <w:r w:rsidRPr="00014E5A">
        <w:t xml:space="preserve"> </w:t>
      </w:r>
      <w:r w:rsidR="008D4B89">
        <w:t>t</w:t>
      </w:r>
      <w:r w:rsidRPr="00014E5A">
        <w:t>ezacaftor</w:t>
      </w:r>
      <w:r w:rsidR="003351B7">
        <w:t xml:space="preserve"> (TEZ)</w:t>
      </w:r>
      <w:r w:rsidRPr="00014E5A">
        <w:t xml:space="preserve"> and E</w:t>
      </w:r>
      <w:r w:rsidR="00B00629">
        <w:t>l</w:t>
      </w:r>
      <w:r w:rsidRPr="00014E5A">
        <w:t xml:space="preserve">exacaftor </w:t>
      </w:r>
      <w:r w:rsidR="003351B7">
        <w:t xml:space="preserve">(ELX) </w:t>
      </w:r>
      <w:r w:rsidRPr="00014E5A">
        <w:t xml:space="preserve">are designed for Class II mutations, to restore function (correct) to abnormal CFTR proteins allowing them to be transported to the cell surface membrane where ivacaftor, in combination, is used to potentiate the effect. </w:t>
      </w:r>
    </w:p>
    <w:p w14:paraId="742DB05D" w14:textId="1F7C7642" w:rsidR="007F72ED" w:rsidRPr="005805BE" w:rsidRDefault="007F72ED" w:rsidP="00CE1609">
      <w:r w:rsidRPr="005805BE">
        <w:t>CFTR correctors and potentiators have distinct but complementary mechanisms of action. CFTR correctors work by increasing the quantity of CFTR delivered to the cell surface to enhance chloride transport. CFTR potentiators work by potentiating the channel open probability (channel gating activity) of CFTR at the cell surface to increase chloride transport.</w:t>
      </w:r>
      <w:r w:rsidR="00415AC5">
        <w:rPr>
          <w:rStyle w:val="FootnoteReference"/>
        </w:rPr>
        <w:footnoteReference w:id="10"/>
      </w:r>
      <w:r w:rsidRPr="005805BE">
        <w:t xml:space="preserve"> The broader spectrum of activity for ELX/TEZ/IVA when compared to TEZ/IVA or IVA is due to the ability of triple combination therapy to result in high levels of functional CFTR at the cell surface. Trikafta is comprised of two CFTR correctors, ELX and TEZ, and a CFTR potentiator, IVA. </w:t>
      </w:r>
    </w:p>
    <w:p w14:paraId="17D3D2BA" w14:textId="5F1E63DB" w:rsidR="007F72ED" w:rsidRPr="005805BE" w:rsidRDefault="007F72ED" w:rsidP="00CE1609">
      <w:r w:rsidRPr="005805BE">
        <w:t xml:space="preserve">In Australia </w:t>
      </w:r>
      <w:r w:rsidR="00BC161F">
        <w:t>(</w:t>
      </w:r>
      <w:r w:rsidRPr="005805BE">
        <w:t>2023</w:t>
      </w:r>
      <w:r w:rsidR="00BC161F">
        <w:t>)</w:t>
      </w:r>
      <w:r w:rsidRPr="005805BE">
        <w:t>, there were 46% of people with CF who were F508del homozygous, and 44% who were F508del heterozygous. The most common variant alleles other than F508del in 2023 were G551D (4.0%), R117H (2.0%) and G542X (1.6%) respectively, with 8.4% being unknown. Based on the approved indications and the CFTR mutations, a total of 3,680 of the 3798 (97%) people with CF in the Australian registry had known eligibility status for CFTR. Of these 26% of children/adolescents (Including all &lt; 1 year of age) and 7% of adults were ineligible.</w:t>
      </w:r>
      <w:r w:rsidR="00C540C4" w:rsidRPr="00C540C4">
        <w:rPr>
          <w:vertAlign w:val="superscript"/>
        </w:rPr>
        <w:fldChar w:fldCharType="begin"/>
      </w:r>
      <w:r w:rsidR="00C540C4" w:rsidRPr="00C540C4">
        <w:rPr>
          <w:vertAlign w:val="superscript"/>
        </w:rPr>
        <w:instrText xml:space="preserve"> NOTEREF _Ref224651987 \h </w:instrText>
      </w:r>
      <w:r w:rsidR="00C540C4">
        <w:rPr>
          <w:vertAlign w:val="superscript"/>
        </w:rPr>
        <w:instrText xml:space="preserve"> \* MERGEFORMAT </w:instrText>
      </w:r>
      <w:r w:rsidR="00C540C4" w:rsidRPr="00C540C4">
        <w:rPr>
          <w:vertAlign w:val="superscript"/>
        </w:rPr>
      </w:r>
      <w:r w:rsidR="00C540C4" w:rsidRPr="00C540C4">
        <w:rPr>
          <w:vertAlign w:val="superscript"/>
        </w:rPr>
        <w:fldChar w:fldCharType="separate"/>
      </w:r>
      <w:r w:rsidR="00C540C4" w:rsidRPr="00C540C4">
        <w:rPr>
          <w:vertAlign w:val="superscript"/>
        </w:rPr>
        <w:t>5</w:t>
      </w:r>
      <w:r w:rsidR="00C540C4" w:rsidRPr="00C540C4">
        <w:rPr>
          <w:vertAlign w:val="superscript"/>
        </w:rPr>
        <w:fldChar w:fldCharType="end"/>
      </w:r>
      <w:r w:rsidRPr="005805BE">
        <w:t xml:space="preserve"> </w:t>
      </w:r>
    </w:p>
    <w:p w14:paraId="3447F5A0" w14:textId="084385D4" w:rsidR="007F72ED" w:rsidRDefault="007F72ED" w:rsidP="00CE1609">
      <w:pPr>
        <w:rPr>
          <w:szCs w:val="22"/>
        </w:rPr>
      </w:pPr>
      <w:r w:rsidRPr="005805BE">
        <w:rPr>
          <w:szCs w:val="22"/>
        </w:rPr>
        <w:t>The efficacy of ELX/TEZ/IVA to treat CF in people aged ≥ 2 years age, with at least one copy of the F508del mutation has been established through multiple clinical studies, and data collected in the real-world setting.</w:t>
      </w:r>
      <w:r w:rsidR="000B221B" w:rsidRPr="009210C0">
        <w:rPr>
          <w:szCs w:val="22"/>
          <w:vertAlign w:val="superscript"/>
        </w:rPr>
        <w:fldChar w:fldCharType="begin"/>
      </w:r>
      <w:r w:rsidR="000B221B" w:rsidRPr="009210C0">
        <w:rPr>
          <w:szCs w:val="22"/>
          <w:vertAlign w:val="superscript"/>
        </w:rPr>
        <w:instrText xml:space="preserve"> NOTEREF _Ref224654066 \h </w:instrText>
      </w:r>
      <w:r w:rsidR="009210C0" w:rsidRPr="009210C0">
        <w:rPr>
          <w:szCs w:val="22"/>
          <w:vertAlign w:val="superscript"/>
        </w:rPr>
        <w:instrText xml:space="preserve"> \* MERGEFORMAT </w:instrText>
      </w:r>
      <w:r w:rsidR="000B221B" w:rsidRPr="009210C0">
        <w:rPr>
          <w:szCs w:val="22"/>
          <w:vertAlign w:val="superscript"/>
        </w:rPr>
      </w:r>
      <w:r w:rsidR="000B221B" w:rsidRPr="009210C0">
        <w:rPr>
          <w:szCs w:val="22"/>
          <w:vertAlign w:val="superscript"/>
        </w:rPr>
        <w:fldChar w:fldCharType="separate"/>
      </w:r>
      <w:r w:rsidR="000B221B" w:rsidRPr="009210C0">
        <w:rPr>
          <w:szCs w:val="22"/>
          <w:vertAlign w:val="superscript"/>
        </w:rPr>
        <w:t>6</w:t>
      </w:r>
      <w:r w:rsidR="000B221B" w:rsidRPr="009210C0">
        <w:rPr>
          <w:szCs w:val="22"/>
          <w:vertAlign w:val="superscript"/>
        </w:rPr>
        <w:fldChar w:fldCharType="end"/>
      </w:r>
      <w:r w:rsidR="000B221B">
        <w:rPr>
          <w:szCs w:val="22"/>
          <w:vertAlign w:val="superscript"/>
        </w:rPr>
        <w:t>,</w:t>
      </w:r>
      <w:r w:rsidR="0095480B">
        <w:rPr>
          <w:szCs w:val="22"/>
          <w:vertAlign w:val="superscript"/>
        </w:rPr>
        <w:fldChar w:fldCharType="begin"/>
      </w:r>
      <w:r w:rsidR="0095480B">
        <w:rPr>
          <w:szCs w:val="22"/>
          <w:vertAlign w:val="superscript"/>
        </w:rPr>
        <w:instrText xml:space="preserve"> NOTEREF _Ref224654132 \h </w:instrText>
      </w:r>
      <w:r w:rsidR="0095480B">
        <w:rPr>
          <w:szCs w:val="22"/>
          <w:vertAlign w:val="superscript"/>
        </w:rPr>
      </w:r>
      <w:r w:rsidR="0095480B">
        <w:rPr>
          <w:szCs w:val="22"/>
          <w:vertAlign w:val="superscript"/>
        </w:rPr>
        <w:fldChar w:fldCharType="separate"/>
      </w:r>
      <w:r w:rsidR="0095480B">
        <w:rPr>
          <w:szCs w:val="22"/>
          <w:vertAlign w:val="superscript"/>
        </w:rPr>
        <w:t>7</w:t>
      </w:r>
      <w:r w:rsidR="0095480B">
        <w:rPr>
          <w:szCs w:val="22"/>
          <w:vertAlign w:val="superscript"/>
        </w:rPr>
        <w:fldChar w:fldCharType="end"/>
      </w:r>
      <w:r w:rsidR="009210C0">
        <w:rPr>
          <w:szCs w:val="22"/>
          <w:vertAlign w:val="superscript"/>
        </w:rPr>
        <w:t>,</w:t>
      </w:r>
      <w:r w:rsidR="0095480B">
        <w:rPr>
          <w:szCs w:val="22"/>
          <w:vertAlign w:val="superscript"/>
        </w:rPr>
        <w:fldChar w:fldCharType="begin"/>
      </w:r>
      <w:r w:rsidR="0095480B">
        <w:rPr>
          <w:szCs w:val="22"/>
          <w:vertAlign w:val="superscript"/>
        </w:rPr>
        <w:instrText xml:space="preserve"> NOTEREF _Ref224654134 \h </w:instrText>
      </w:r>
      <w:r w:rsidR="0095480B">
        <w:rPr>
          <w:szCs w:val="22"/>
          <w:vertAlign w:val="superscript"/>
        </w:rPr>
      </w:r>
      <w:r w:rsidR="0095480B">
        <w:rPr>
          <w:szCs w:val="22"/>
          <w:vertAlign w:val="superscript"/>
        </w:rPr>
        <w:fldChar w:fldCharType="separate"/>
      </w:r>
      <w:r w:rsidR="0095480B">
        <w:rPr>
          <w:szCs w:val="22"/>
          <w:vertAlign w:val="superscript"/>
        </w:rPr>
        <w:t>8</w:t>
      </w:r>
      <w:r w:rsidR="0095480B">
        <w:rPr>
          <w:szCs w:val="22"/>
          <w:vertAlign w:val="superscript"/>
        </w:rPr>
        <w:fldChar w:fldCharType="end"/>
      </w:r>
      <w:r w:rsidR="009210C0">
        <w:rPr>
          <w:szCs w:val="22"/>
          <w:vertAlign w:val="superscript"/>
        </w:rPr>
        <w:t>,</w:t>
      </w:r>
      <w:r w:rsidR="00B41A6B">
        <w:rPr>
          <w:szCs w:val="22"/>
          <w:vertAlign w:val="superscript"/>
        </w:rPr>
        <w:fldChar w:fldCharType="begin"/>
      </w:r>
      <w:r w:rsidR="00B41A6B">
        <w:rPr>
          <w:szCs w:val="22"/>
          <w:vertAlign w:val="superscript"/>
        </w:rPr>
        <w:instrText xml:space="preserve"> NOTEREF _Ref224654572 \h </w:instrText>
      </w:r>
      <w:r w:rsidR="00B41A6B">
        <w:rPr>
          <w:szCs w:val="22"/>
          <w:vertAlign w:val="superscript"/>
        </w:rPr>
      </w:r>
      <w:r w:rsidR="00B41A6B">
        <w:rPr>
          <w:szCs w:val="22"/>
          <w:vertAlign w:val="superscript"/>
        </w:rPr>
        <w:fldChar w:fldCharType="separate"/>
      </w:r>
      <w:r w:rsidR="00B41A6B">
        <w:rPr>
          <w:szCs w:val="22"/>
          <w:vertAlign w:val="superscript"/>
        </w:rPr>
        <w:t>9</w:t>
      </w:r>
      <w:r w:rsidR="00B41A6B">
        <w:rPr>
          <w:szCs w:val="22"/>
          <w:vertAlign w:val="superscript"/>
        </w:rPr>
        <w:fldChar w:fldCharType="end"/>
      </w:r>
      <w:r w:rsidR="00D578B5">
        <w:rPr>
          <w:szCs w:val="22"/>
          <w:vertAlign w:val="superscript"/>
        </w:rPr>
        <w:t>,</w:t>
      </w:r>
      <w:r w:rsidR="0056112E">
        <w:rPr>
          <w:rStyle w:val="FootnoteReference"/>
          <w:szCs w:val="22"/>
        </w:rPr>
        <w:footnoteReference w:id="11"/>
      </w:r>
      <w:r w:rsidR="002041BB" w:rsidRPr="002041BB">
        <w:rPr>
          <w:szCs w:val="22"/>
          <w:vertAlign w:val="superscript"/>
        </w:rPr>
        <w:t>,</w:t>
      </w:r>
      <w:r w:rsidR="004A6C36">
        <w:rPr>
          <w:rStyle w:val="FootnoteReference"/>
          <w:szCs w:val="22"/>
        </w:rPr>
        <w:footnoteReference w:id="12"/>
      </w:r>
      <w:r w:rsidR="004A6C36" w:rsidRPr="004A6C36">
        <w:rPr>
          <w:szCs w:val="22"/>
          <w:vertAlign w:val="superscript"/>
        </w:rPr>
        <w:t>,</w:t>
      </w:r>
      <w:r w:rsidR="006E60B4">
        <w:rPr>
          <w:rStyle w:val="FootnoteReference"/>
          <w:szCs w:val="22"/>
        </w:rPr>
        <w:footnoteReference w:id="13"/>
      </w:r>
      <w:r w:rsidR="00D578B5">
        <w:rPr>
          <w:szCs w:val="22"/>
          <w:vertAlign w:val="superscript"/>
        </w:rPr>
        <w:t xml:space="preserve"> </w:t>
      </w:r>
      <w:r w:rsidRPr="005805BE">
        <w:rPr>
          <w:szCs w:val="22"/>
        </w:rPr>
        <w:t xml:space="preserve">Results have shown substantial improvements in lung </w:t>
      </w:r>
      <w:r w:rsidRPr="005805BE">
        <w:rPr>
          <w:szCs w:val="22"/>
        </w:rPr>
        <w:lastRenderedPageBreak/>
        <w:t xml:space="preserve">function, CFTR function, and nutritional status in this population, and was generally safe and well tolerated with a low rate of treatment discontinuation. More recently ELX/TEZ/IVA has also been shown to have effectiveness for a range of non F508del mutations who do not have 2 class 1 mutations. </w:t>
      </w:r>
    </w:p>
    <w:p w14:paraId="47A6BC9D" w14:textId="7D5706FB" w:rsidR="007F72ED" w:rsidRPr="00573F4C" w:rsidRDefault="007F72ED" w:rsidP="00CE1609">
      <w:r w:rsidRPr="00281751">
        <w:rPr>
          <w:lang w:eastAsia="en-AU"/>
        </w:rPr>
        <w:t xml:space="preserve">Sweat chloride levels correlate with CFTR function and clinical outcomes </w:t>
      </w:r>
      <w:r w:rsidR="00D80C31">
        <w:rPr>
          <w:lang w:eastAsia="en-AU"/>
        </w:rPr>
        <w:t xml:space="preserve">such as </w:t>
      </w:r>
      <w:r w:rsidRPr="00281751">
        <w:rPr>
          <w:lang w:eastAsia="en-AU"/>
        </w:rPr>
        <w:t>lung function, pancreatic health, nutrition, survival (Table 1)</w:t>
      </w:r>
      <w:r w:rsidR="00D80C31">
        <w:rPr>
          <w:lang w:eastAsia="en-AU"/>
        </w:rPr>
        <w:t>.</w:t>
      </w:r>
      <w:r w:rsidRPr="00281751">
        <w:rPr>
          <w:lang w:eastAsia="en-AU"/>
        </w:rPr>
        <w:t xml:space="preserve"> Genotype and CFTR dysfunction influence disease progression, noting there is wide variation of severity of CF even in those with the same mutations. </w:t>
      </w:r>
      <w:r w:rsidRPr="00281751">
        <w:t xml:space="preserve">The classic or typical form of CF is diagnosed if a patient demonstrates clinical disease in one or more organ systems and has elevated sweat chloride (≥60 mmol/L) and harbours 2 CF causing mutations. </w:t>
      </w:r>
    </w:p>
    <w:p w14:paraId="136876BD" w14:textId="199706C9" w:rsidR="0036528D" w:rsidRPr="0036528D" w:rsidRDefault="0036528D" w:rsidP="0036528D">
      <w:pPr>
        <w:pStyle w:val="TableTitle"/>
      </w:pPr>
      <w:r w:rsidRPr="0036528D">
        <w:t xml:space="preserve">Table </w:t>
      </w:r>
      <w:r w:rsidRPr="0036528D">
        <w:rPr>
          <w:i/>
          <w:iCs/>
        </w:rPr>
        <w:fldChar w:fldCharType="begin"/>
      </w:r>
      <w:r w:rsidRPr="0036528D">
        <w:instrText xml:space="preserve"> SEQ Table \* ARABIC \s  </w:instrText>
      </w:r>
      <w:r w:rsidRPr="0036528D">
        <w:rPr>
          <w:i/>
          <w:iCs/>
        </w:rPr>
        <w:fldChar w:fldCharType="separate"/>
      </w:r>
      <w:r w:rsidRPr="0036528D">
        <w:t>1</w:t>
      </w:r>
      <w:r w:rsidRPr="0036528D">
        <w:fldChar w:fldCharType="end"/>
      </w:r>
      <w:r w:rsidR="00F81C5C">
        <w:t>.</w:t>
      </w:r>
      <w:r w:rsidRPr="0036528D">
        <w:t xml:space="preserve"> CFTR Function Correlation with clinical manifestations of CF Disease</w:t>
      </w:r>
      <w:r w:rsidR="00E64DF8">
        <w:t>.</w:t>
      </w:r>
    </w:p>
    <w:p w14:paraId="5DBD1B9F" w14:textId="7C8E4BCD" w:rsidR="0073527E" w:rsidRPr="0073527E" w:rsidRDefault="00FD79AF" w:rsidP="00D93C1D">
      <w:pPr>
        <w:pStyle w:val="TableDescription"/>
      </w:pPr>
      <w:r>
        <w:rPr>
          <w:noProof/>
        </w:rPr>
        <w:drawing>
          <wp:inline distT="0" distB="0" distL="0" distR="0" wp14:anchorId="047A4003" wp14:editId="6649AA1B">
            <wp:extent cx="5730875" cy="2585085"/>
            <wp:effectExtent l="0" t="0" r="3175" b="5715"/>
            <wp:docPr id="1239363339" name="Picture 2" descr="Table 1. CFTR Function Correlation with clinical manifestations of C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3339" name="Picture 2" descr="Table 1. CFTR Function Correlation with clinical manifestations of CF Dise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585085"/>
                    </a:xfrm>
                    <a:prstGeom prst="rect">
                      <a:avLst/>
                    </a:prstGeom>
                    <a:noFill/>
                  </pic:spPr>
                </pic:pic>
              </a:graphicData>
            </a:graphic>
          </wp:inline>
        </w:drawing>
      </w:r>
      <w:r w:rsidR="0073527E" w:rsidRPr="0073527E">
        <w:t xml:space="preserve">BMI: body mass index; CF: cystic fibrosis; CFRD: cystic fibrosis related diabetes; GI: gastrointestinal; NR: not reported; </w:t>
      </w:r>
      <w:proofErr w:type="spellStart"/>
      <w:r w:rsidR="0073527E" w:rsidRPr="0073527E">
        <w:t>SwCl</w:t>
      </w:r>
      <w:proofErr w:type="spellEnd"/>
      <w:r w:rsidR="0073527E" w:rsidRPr="0073527E">
        <w:t>: sweat chloride</w:t>
      </w:r>
    </w:p>
    <w:p w14:paraId="255E083A" w14:textId="77777777" w:rsidR="00CB6813" w:rsidRDefault="00CB6813" w:rsidP="00CB6813">
      <w:pPr>
        <w:pStyle w:val="Heading4"/>
      </w:pPr>
      <w:bookmarkStart w:id="23" w:name="_Toc227661911"/>
      <w:r>
        <w:t>Current treatment options</w:t>
      </w:r>
      <w:bookmarkEnd w:id="23"/>
    </w:p>
    <w:p w14:paraId="6BAEBF90" w14:textId="7BA9E105" w:rsidR="00E6251C" w:rsidRPr="001204E4" w:rsidRDefault="00E6251C" w:rsidP="00E6251C">
      <w:pPr>
        <w:rPr>
          <w:lang w:eastAsia="ja-JP"/>
        </w:rPr>
      </w:pPr>
      <w:r w:rsidRPr="001204E4">
        <w:rPr>
          <w:lang w:eastAsia="ja-JP"/>
        </w:rPr>
        <w:t>Currently</w:t>
      </w:r>
      <w:r w:rsidR="00F844A9">
        <w:rPr>
          <w:lang w:eastAsia="ja-JP"/>
        </w:rPr>
        <w:t>,</w:t>
      </w:r>
      <w:r w:rsidRPr="001204E4">
        <w:rPr>
          <w:lang w:eastAsia="ja-JP"/>
        </w:rPr>
        <w:t xml:space="preserve"> there are four approved CFTR modulators available in Australi</w:t>
      </w:r>
      <w:r>
        <w:rPr>
          <w:lang w:eastAsia="ja-JP"/>
        </w:rPr>
        <w:t>a</w:t>
      </w:r>
      <w:r w:rsidR="00F844A9">
        <w:rPr>
          <w:lang w:eastAsia="ja-JP"/>
        </w:rPr>
        <w:t xml:space="preserve"> </w:t>
      </w:r>
      <w:r w:rsidR="00F844A9" w:rsidRPr="00F844A9">
        <w:rPr>
          <w:lang w:eastAsia="ja-JP"/>
        </w:rPr>
        <w:t>(Table 2)</w:t>
      </w:r>
      <w:r>
        <w:rPr>
          <w:lang w:eastAsia="ja-JP"/>
        </w:rPr>
        <w:t xml:space="preserve">. </w:t>
      </w:r>
    </w:p>
    <w:p w14:paraId="6C099D80" w14:textId="1BF5A9EB" w:rsidR="00D51024" w:rsidRPr="00D51024" w:rsidRDefault="00D51024" w:rsidP="00686DC2">
      <w:pPr>
        <w:pStyle w:val="TableTitle"/>
        <w:rPr>
          <w:lang w:val="en-US"/>
        </w:rPr>
      </w:pPr>
      <w:r w:rsidRPr="00D51024">
        <w:t>Table 2</w:t>
      </w:r>
      <w:r w:rsidR="00946647">
        <w:t>.</w:t>
      </w:r>
      <w:r w:rsidRPr="00D51024">
        <w:t xml:space="preserve"> </w:t>
      </w:r>
      <w:r w:rsidRPr="00D51024">
        <w:rPr>
          <w:lang w:val="en-US"/>
        </w:rPr>
        <w:t>CFTR modulators currently approved in Australia</w:t>
      </w:r>
      <w:r w:rsidR="00946647">
        <w:rPr>
          <w:lang w:val="en-US"/>
        </w:rPr>
        <w:t>.</w:t>
      </w:r>
    </w:p>
    <w:tbl>
      <w:tblPr>
        <w:tblStyle w:val="TableTGAblue2023"/>
        <w:tblW w:w="9209" w:type="dxa"/>
        <w:tblLayout w:type="fixed"/>
        <w:tblLook w:val="04A0" w:firstRow="1" w:lastRow="0" w:firstColumn="1" w:lastColumn="0" w:noHBand="0" w:noVBand="1"/>
      </w:tblPr>
      <w:tblGrid>
        <w:gridCol w:w="1555"/>
        <w:gridCol w:w="2126"/>
        <w:gridCol w:w="5528"/>
      </w:tblGrid>
      <w:tr w:rsidR="00686DC2" w:rsidRPr="00686DC2" w14:paraId="6436BC83" w14:textId="77777777" w:rsidTr="00C50E0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tcPr>
          <w:p w14:paraId="12A9E621" w14:textId="77777777" w:rsidR="00686DC2" w:rsidRPr="00686DC2" w:rsidRDefault="00686DC2" w:rsidP="00686DC2">
            <w:pPr>
              <w:spacing w:before="0" w:line="259" w:lineRule="auto"/>
              <w:rPr>
                <w:rFonts w:eastAsiaTheme="minorHAnsi" w:cstheme="minorBidi"/>
                <w:bCs/>
                <w:szCs w:val="20"/>
                <w:lang w:val="en-US"/>
              </w:rPr>
            </w:pPr>
          </w:p>
        </w:tc>
        <w:tc>
          <w:tcPr>
            <w:tcW w:w="2126" w:type="dxa"/>
          </w:tcPr>
          <w:p w14:paraId="1AEE3770" w14:textId="77777777" w:rsidR="00686DC2" w:rsidRPr="00686DC2" w:rsidRDefault="00686DC2" w:rsidP="00686DC2">
            <w:pPr>
              <w:spacing w:before="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Cs/>
                <w:szCs w:val="20"/>
                <w:lang w:val="en-US"/>
              </w:rPr>
            </w:pPr>
            <w:r w:rsidRPr="00686DC2">
              <w:rPr>
                <w:rFonts w:eastAsiaTheme="minorHAnsi" w:cstheme="minorBidi"/>
                <w:bCs/>
                <w:szCs w:val="20"/>
                <w:lang w:val="en-US"/>
              </w:rPr>
              <w:t>Mechanism of action</w:t>
            </w:r>
          </w:p>
        </w:tc>
        <w:tc>
          <w:tcPr>
            <w:tcW w:w="5528" w:type="dxa"/>
          </w:tcPr>
          <w:p w14:paraId="3FD1870C" w14:textId="77777777" w:rsidR="00686DC2" w:rsidRPr="00686DC2" w:rsidRDefault="00686DC2" w:rsidP="00686DC2">
            <w:pPr>
              <w:spacing w:before="0" w:line="259" w:lineRule="auto"/>
              <w:cnfStyle w:val="100000000000" w:firstRow="1" w:lastRow="0" w:firstColumn="0" w:lastColumn="0" w:oddVBand="0" w:evenVBand="0" w:oddHBand="0" w:evenHBand="0" w:firstRowFirstColumn="0" w:firstRowLastColumn="0" w:lastRowFirstColumn="0" w:lastRowLastColumn="0"/>
              <w:rPr>
                <w:rFonts w:eastAsiaTheme="minorHAnsi" w:cstheme="minorBidi"/>
                <w:bCs/>
                <w:szCs w:val="20"/>
                <w:lang w:val="en-US"/>
              </w:rPr>
            </w:pPr>
            <w:r w:rsidRPr="00686DC2">
              <w:rPr>
                <w:rFonts w:eastAsiaTheme="minorHAnsi" w:cstheme="minorBidi"/>
                <w:bCs/>
                <w:szCs w:val="20"/>
                <w:lang w:val="en-US"/>
              </w:rPr>
              <w:t>Approved indication</w:t>
            </w:r>
          </w:p>
        </w:tc>
      </w:tr>
      <w:tr w:rsidR="00686DC2" w:rsidRPr="00686DC2" w14:paraId="31E01D8D" w14:textId="77777777" w:rsidTr="00C50E07">
        <w:tc>
          <w:tcPr>
            <w:cnfStyle w:val="001000000000" w:firstRow="0" w:lastRow="0" w:firstColumn="1" w:lastColumn="0" w:oddVBand="0" w:evenVBand="0" w:oddHBand="0" w:evenHBand="0" w:firstRowFirstColumn="0" w:firstRowLastColumn="0" w:lastRowFirstColumn="0" w:lastRowLastColumn="0"/>
            <w:tcW w:w="1555" w:type="dxa"/>
          </w:tcPr>
          <w:p w14:paraId="28D61409" w14:textId="77777777" w:rsidR="00E145B6" w:rsidRDefault="00686DC2" w:rsidP="002B3DFF">
            <w:pPr>
              <w:spacing w:before="0" w:line="259" w:lineRule="auto"/>
              <w:rPr>
                <w:rFonts w:eastAsiaTheme="minorHAnsi" w:cstheme="minorBidi"/>
                <w:szCs w:val="20"/>
              </w:rPr>
            </w:pPr>
            <w:r w:rsidRPr="00686DC2">
              <w:rPr>
                <w:rFonts w:eastAsiaTheme="minorHAnsi" w:cstheme="minorBidi"/>
                <w:szCs w:val="20"/>
              </w:rPr>
              <w:t>Trikafta</w:t>
            </w:r>
          </w:p>
          <w:p w14:paraId="22EACFAC" w14:textId="4521480E" w:rsidR="00686DC2" w:rsidRPr="00686DC2" w:rsidRDefault="00686DC2" w:rsidP="002B3DFF">
            <w:pPr>
              <w:spacing w:before="0" w:line="259" w:lineRule="auto"/>
              <w:rPr>
                <w:rFonts w:eastAsiaTheme="minorHAnsi" w:cstheme="minorBidi"/>
                <w:szCs w:val="20"/>
              </w:rPr>
            </w:pPr>
            <w:r w:rsidRPr="00686DC2">
              <w:rPr>
                <w:rFonts w:eastAsiaTheme="minorHAnsi" w:cstheme="minorBidi"/>
                <w:szCs w:val="20"/>
              </w:rPr>
              <w:t>(</w:t>
            </w:r>
            <w:proofErr w:type="spellStart"/>
            <w:r w:rsidRPr="00686DC2">
              <w:rPr>
                <w:rFonts w:eastAsiaTheme="minorHAnsi" w:cstheme="minorBidi"/>
                <w:szCs w:val="20"/>
              </w:rPr>
              <w:t>elexacaftor</w:t>
            </w:r>
            <w:proofErr w:type="spellEnd"/>
            <w:r w:rsidRPr="00686DC2">
              <w:rPr>
                <w:rFonts w:eastAsiaTheme="minorHAnsi" w:cstheme="minorBidi"/>
                <w:szCs w:val="20"/>
              </w:rPr>
              <w:t>/tezacaftor/</w:t>
            </w:r>
            <w:r w:rsidR="002B3DFF">
              <w:rPr>
                <w:rFonts w:eastAsiaTheme="minorHAnsi" w:cstheme="minorBidi"/>
                <w:szCs w:val="20"/>
              </w:rPr>
              <w:t xml:space="preserve"> </w:t>
            </w:r>
            <w:r w:rsidRPr="00686DC2">
              <w:rPr>
                <w:rFonts w:eastAsiaTheme="minorHAnsi" w:cstheme="minorBidi"/>
                <w:szCs w:val="20"/>
              </w:rPr>
              <w:t>ivacaftor)</w:t>
            </w:r>
          </w:p>
          <w:p w14:paraId="252DCA69" w14:textId="77777777" w:rsidR="00686DC2" w:rsidRPr="00686DC2" w:rsidRDefault="00686DC2" w:rsidP="00686DC2">
            <w:pPr>
              <w:spacing w:before="0" w:line="259" w:lineRule="auto"/>
              <w:rPr>
                <w:rFonts w:eastAsiaTheme="minorHAnsi" w:cstheme="minorBidi"/>
                <w:b/>
                <w:bCs/>
                <w:szCs w:val="20"/>
              </w:rPr>
            </w:pPr>
          </w:p>
        </w:tc>
        <w:tc>
          <w:tcPr>
            <w:tcW w:w="2126" w:type="dxa"/>
          </w:tcPr>
          <w:p w14:paraId="68BAD836" w14:textId="77777777" w:rsidR="00686DC2" w:rsidRPr="00686DC2" w:rsidRDefault="00686DC2" w:rsidP="00686DC2">
            <w:pPr>
              <w:spacing w:before="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lang w:val="en-US"/>
              </w:rPr>
            </w:pPr>
            <w:r w:rsidRPr="00686DC2">
              <w:rPr>
                <w:rFonts w:eastAsiaTheme="minorHAnsi" w:cstheme="minorBidi"/>
                <w:szCs w:val="20"/>
                <w:lang w:val="en-US"/>
              </w:rPr>
              <w:t>Combined action of CFTR correctors and potentiator</w:t>
            </w:r>
          </w:p>
        </w:tc>
        <w:tc>
          <w:tcPr>
            <w:tcW w:w="5528" w:type="dxa"/>
          </w:tcPr>
          <w:p w14:paraId="661AEC17" w14:textId="54EE99C0" w:rsidR="00686DC2" w:rsidRPr="00686DC2" w:rsidRDefault="00686DC2" w:rsidP="005C2D24">
            <w:p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i/>
                <w:iCs/>
                <w:szCs w:val="20"/>
              </w:rPr>
            </w:pPr>
            <w:r w:rsidRPr="00686DC2">
              <w:rPr>
                <w:rFonts w:eastAsiaTheme="minorHAnsi" w:cstheme="minorBidi"/>
                <w:szCs w:val="20"/>
              </w:rPr>
              <w:t>T</w:t>
            </w:r>
            <w:r w:rsidR="00E145B6">
              <w:rPr>
                <w:rFonts w:eastAsiaTheme="minorHAnsi" w:cstheme="minorBidi"/>
                <w:szCs w:val="20"/>
              </w:rPr>
              <w:t>rikafta</w:t>
            </w:r>
            <w:r w:rsidRPr="00686DC2">
              <w:rPr>
                <w:rFonts w:eastAsiaTheme="minorHAnsi" w:cstheme="minorBidi"/>
                <w:szCs w:val="20"/>
              </w:rPr>
              <w:t xml:space="preserve"> is indicated for the treatment of those who meet the diagnostic criteria of cystic fibrosis (CF) in patients aged 2 years and older who have at least one mutation in the cystic fibrosis transmembrane conductance regulator (CFTR) gene that is responsive based on clinical or in vitro evidence.</w:t>
            </w:r>
          </w:p>
        </w:tc>
      </w:tr>
      <w:tr w:rsidR="00686DC2" w:rsidRPr="00686DC2" w14:paraId="4C8D7954" w14:textId="77777777" w:rsidTr="00C50E07">
        <w:tc>
          <w:tcPr>
            <w:cnfStyle w:val="001000000000" w:firstRow="0" w:lastRow="0" w:firstColumn="1" w:lastColumn="0" w:oddVBand="0" w:evenVBand="0" w:oddHBand="0" w:evenHBand="0" w:firstRowFirstColumn="0" w:firstRowLastColumn="0" w:lastRowFirstColumn="0" w:lastRowLastColumn="0"/>
            <w:tcW w:w="1555" w:type="dxa"/>
          </w:tcPr>
          <w:p w14:paraId="7DDA72F9" w14:textId="37CB53AB" w:rsidR="00686DC2" w:rsidRPr="00686DC2" w:rsidRDefault="00686DC2" w:rsidP="00686DC2">
            <w:pPr>
              <w:spacing w:before="0" w:line="259" w:lineRule="auto"/>
              <w:rPr>
                <w:rFonts w:eastAsiaTheme="minorHAnsi" w:cstheme="minorBidi"/>
                <w:szCs w:val="20"/>
              </w:rPr>
            </w:pPr>
            <w:proofErr w:type="spellStart"/>
            <w:r w:rsidRPr="00686DC2">
              <w:rPr>
                <w:rFonts w:eastAsiaTheme="minorHAnsi" w:cstheme="minorBidi"/>
                <w:szCs w:val="20"/>
              </w:rPr>
              <w:t>Orkambi</w:t>
            </w:r>
            <w:proofErr w:type="spellEnd"/>
            <w:r w:rsidRPr="00686DC2">
              <w:rPr>
                <w:rFonts w:eastAsiaTheme="minorHAnsi" w:cstheme="minorBidi"/>
                <w:szCs w:val="20"/>
              </w:rPr>
              <w:t xml:space="preserve"> </w:t>
            </w:r>
          </w:p>
          <w:p w14:paraId="1B1FBE84" w14:textId="6374757B" w:rsidR="00686DC2" w:rsidRPr="00686DC2" w:rsidRDefault="00686DC2" w:rsidP="002B3DFF">
            <w:pPr>
              <w:spacing w:before="0" w:line="259" w:lineRule="auto"/>
              <w:rPr>
                <w:rFonts w:eastAsiaTheme="minorHAnsi" w:cstheme="minorBidi"/>
                <w:b/>
                <w:bCs/>
                <w:szCs w:val="20"/>
                <w:lang w:val="en-US"/>
              </w:rPr>
            </w:pPr>
            <w:r w:rsidRPr="00686DC2">
              <w:rPr>
                <w:rFonts w:eastAsiaTheme="minorHAnsi" w:cstheme="minorBidi"/>
                <w:szCs w:val="20"/>
              </w:rPr>
              <w:t>(lumacaftor/ivacaftor)</w:t>
            </w:r>
          </w:p>
        </w:tc>
        <w:tc>
          <w:tcPr>
            <w:tcW w:w="2126" w:type="dxa"/>
          </w:tcPr>
          <w:p w14:paraId="2BDCA16D" w14:textId="77777777" w:rsidR="00686DC2" w:rsidRPr="00686DC2" w:rsidRDefault="00686DC2" w:rsidP="00686DC2">
            <w:pPr>
              <w:spacing w:before="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lang w:val="en-US"/>
              </w:rPr>
            </w:pPr>
            <w:r w:rsidRPr="00686DC2">
              <w:rPr>
                <w:rFonts w:eastAsiaTheme="minorHAnsi" w:cstheme="minorBidi"/>
                <w:szCs w:val="20"/>
                <w:lang w:val="en-US"/>
              </w:rPr>
              <w:t>Combined action of CFTR corrector and potentiator</w:t>
            </w:r>
          </w:p>
        </w:tc>
        <w:tc>
          <w:tcPr>
            <w:tcW w:w="5528" w:type="dxa"/>
          </w:tcPr>
          <w:p w14:paraId="3809018E" w14:textId="15BFA48E" w:rsidR="00686DC2" w:rsidRPr="00686DC2" w:rsidRDefault="00686DC2" w:rsidP="002B3DFF">
            <w:p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i/>
                <w:iCs/>
                <w:szCs w:val="20"/>
                <w:lang w:val="en-US"/>
              </w:rPr>
            </w:pPr>
            <w:proofErr w:type="spellStart"/>
            <w:r w:rsidRPr="00686DC2">
              <w:rPr>
                <w:rFonts w:eastAsiaTheme="minorHAnsi" w:cstheme="minorBidi"/>
                <w:szCs w:val="20"/>
              </w:rPr>
              <w:t>O</w:t>
            </w:r>
            <w:r w:rsidR="00E145B6">
              <w:rPr>
                <w:rFonts w:eastAsiaTheme="minorHAnsi" w:cstheme="minorBidi"/>
                <w:szCs w:val="20"/>
              </w:rPr>
              <w:t>rkambi</w:t>
            </w:r>
            <w:proofErr w:type="spellEnd"/>
            <w:r w:rsidRPr="00686DC2">
              <w:rPr>
                <w:rFonts w:eastAsiaTheme="minorHAnsi" w:cstheme="minorBidi"/>
                <w:szCs w:val="20"/>
              </w:rPr>
              <w:t xml:space="preserve"> is indicated for the treatment of cystic fibrosis (CF) in patients aged 1 year and older who are homozygous for the F508del mutation in the CFTR gene.</w:t>
            </w:r>
          </w:p>
        </w:tc>
      </w:tr>
      <w:tr w:rsidR="00686DC2" w:rsidRPr="00686DC2" w14:paraId="06E54094" w14:textId="77777777" w:rsidTr="00C50E07">
        <w:tc>
          <w:tcPr>
            <w:cnfStyle w:val="001000000000" w:firstRow="0" w:lastRow="0" w:firstColumn="1" w:lastColumn="0" w:oddVBand="0" w:evenVBand="0" w:oddHBand="0" w:evenHBand="0" w:firstRowFirstColumn="0" w:firstRowLastColumn="0" w:lastRowFirstColumn="0" w:lastRowLastColumn="0"/>
            <w:tcW w:w="1555" w:type="dxa"/>
          </w:tcPr>
          <w:p w14:paraId="6A747610" w14:textId="0E559C05" w:rsidR="00686DC2" w:rsidRPr="00686DC2" w:rsidRDefault="00686DC2" w:rsidP="00686DC2">
            <w:pPr>
              <w:spacing w:before="0" w:line="259" w:lineRule="auto"/>
              <w:rPr>
                <w:rFonts w:eastAsiaTheme="minorHAnsi" w:cstheme="minorBidi"/>
                <w:szCs w:val="20"/>
              </w:rPr>
            </w:pPr>
            <w:proofErr w:type="spellStart"/>
            <w:r w:rsidRPr="00686DC2">
              <w:rPr>
                <w:rFonts w:eastAsiaTheme="minorHAnsi" w:cstheme="minorBidi"/>
                <w:szCs w:val="20"/>
              </w:rPr>
              <w:lastRenderedPageBreak/>
              <w:t>Symdeko</w:t>
            </w:r>
            <w:proofErr w:type="spellEnd"/>
            <w:r w:rsidRPr="00686DC2">
              <w:rPr>
                <w:rFonts w:eastAsiaTheme="minorHAnsi" w:cstheme="minorBidi"/>
                <w:szCs w:val="20"/>
              </w:rPr>
              <w:t xml:space="preserve"> </w:t>
            </w:r>
          </w:p>
          <w:p w14:paraId="4F478DF1" w14:textId="47D3C776" w:rsidR="00686DC2" w:rsidRPr="00686DC2" w:rsidRDefault="00686DC2" w:rsidP="00D93C1D">
            <w:pPr>
              <w:spacing w:before="0" w:line="259" w:lineRule="auto"/>
              <w:rPr>
                <w:rFonts w:eastAsiaTheme="minorHAnsi" w:cstheme="minorBidi"/>
                <w:b/>
                <w:bCs/>
                <w:szCs w:val="20"/>
                <w:lang w:val="en-US"/>
              </w:rPr>
            </w:pPr>
            <w:r w:rsidRPr="00686DC2">
              <w:rPr>
                <w:rFonts w:eastAsiaTheme="minorHAnsi" w:cstheme="minorBidi"/>
                <w:szCs w:val="20"/>
              </w:rPr>
              <w:t>(tezacaftor/</w:t>
            </w:r>
            <w:r w:rsidR="002B3DFF">
              <w:rPr>
                <w:rFonts w:eastAsiaTheme="minorHAnsi" w:cstheme="minorBidi"/>
                <w:szCs w:val="20"/>
              </w:rPr>
              <w:t xml:space="preserve"> </w:t>
            </w:r>
            <w:r w:rsidRPr="00686DC2">
              <w:rPr>
                <w:rFonts w:eastAsiaTheme="minorHAnsi" w:cstheme="minorBidi"/>
                <w:szCs w:val="20"/>
              </w:rPr>
              <w:t>ivacaftor)</w:t>
            </w:r>
          </w:p>
        </w:tc>
        <w:tc>
          <w:tcPr>
            <w:tcW w:w="2126" w:type="dxa"/>
          </w:tcPr>
          <w:p w14:paraId="071D2B99" w14:textId="77777777" w:rsidR="00686DC2" w:rsidRPr="00686DC2" w:rsidRDefault="00686DC2" w:rsidP="00686DC2">
            <w:pPr>
              <w:spacing w:before="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lang w:val="en-US"/>
              </w:rPr>
            </w:pPr>
            <w:r w:rsidRPr="00686DC2">
              <w:rPr>
                <w:rFonts w:eastAsiaTheme="minorHAnsi" w:cstheme="minorBidi"/>
                <w:szCs w:val="20"/>
                <w:lang w:val="en-US"/>
              </w:rPr>
              <w:t>Combined action of CFTR corrector and potentiator</w:t>
            </w:r>
          </w:p>
        </w:tc>
        <w:tc>
          <w:tcPr>
            <w:tcW w:w="5528" w:type="dxa"/>
          </w:tcPr>
          <w:p w14:paraId="757AE662" w14:textId="5F079B62" w:rsidR="00686DC2" w:rsidRPr="00686DC2" w:rsidRDefault="00686DC2" w:rsidP="002B3DFF">
            <w:p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i/>
                <w:iCs/>
                <w:szCs w:val="20"/>
                <w:lang w:val="en-US"/>
              </w:rPr>
            </w:pPr>
            <w:proofErr w:type="spellStart"/>
            <w:r w:rsidRPr="00686DC2">
              <w:rPr>
                <w:rFonts w:eastAsiaTheme="minorHAnsi" w:cstheme="minorBidi"/>
                <w:szCs w:val="20"/>
              </w:rPr>
              <w:t>S</w:t>
            </w:r>
            <w:r w:rsidR="00E145B6">
              <w:rPr>
                <w:rFonts w:eastAsiaTheme="minorHAnsi" w:cstheme="minorBidi"/>
                <w:szCs w:val="20"/>
              </w:rPr>
              <w:t>ym</w:t>
            </w:r>
            <w:r w:rsidR="008D7018">
              <w:rPr>
                <w:rFonts w:eastAsiaTheme="minorHAnsi" w:cstheme="minorBidi"/>
                <w:szCs w:val="20"/>
              </w:rPr>
              <w:t>deko</w:t>
            </w:r>
            <w:proofErr w:type="spellEnd"/>
            <w:r w:rsidRPr="00686DC2">
              <w:rPr>
                <w:rFonts w:eastAsiaTheme="minorHAnsi" w:cstheme="minorBidi"/>
                <w:szCs w:val="20"/>
              </w:rPr>
              <w:t xml:space="preserve"> is indicated for the treatment of patients with cystic fibrosis (CF) aged 6 years and older who are homozygous for the F508del mutation or who have at least one mutation in the cystic fibrosis transmembrane conductance regulator (CFTR) gene that is responsive to tezacaftor/ivacaftor based on in vitro data and/or clinical evidence (</w:t>
            </w:r>
            <w:r w:rsidRPr="00686DC2">
              <w:rPr>
                <w:rFonts w:eastAsiaTheme="minorHAnsi" w:cstheme="minorBidi"/>
                <w:szCs w:val="20"/>
                <w:lang w:val="en-US"/>
              </w:rPr>
              <w:t>Refer to Table 1: list of responsive mutations.)</w:t>
            </w:r>
          </w:p>
        </w:tc>
      </w:tr>
      <w:tr w:rsidR="00686DC2" w:rsidRPr="00686DC2" w14:paraId="6714CF75" w14:textId="77777777" w:rsidTr="00C50E07">
        <w:tc>
          <w:tcPr>
            <w:cnfStyle w:val="001000000000" w:firstRow="0" w:lastRow="0" w:firstColumn="1" w:lastColumn="0" w:oddVBand="0" w:evenVBand="0" w:oddHBand="0" w:evenHBand="0" w:firstRowFirstColumn="0" w:firstRowLastColumn="0" w:lastRowFirstColumn="0" w:lastRowLastColumn="0"/>
            <w:tcW w:w="1555" w:type="dxa"/>
          </w:tcPr>
          <w:p w14:paraId="23EB34BA" w14:textId="054F1794" w:rsidR="00686DC2" w:rsidRPr="00686DC2" w:rsidRDefault="00686DC2" w:rsidP="00686DC2">
            <w:pPr>
              <w:spacing w:before="0" w:line="259" w:lineRule="auto"/>
              <w:rPr>
                <w:rFonts w:eastAsiaTheme="minorHAnsi" w:cstheme="minorBidi"/>
                <w:szCs w:val="20"/>
              </w:rPr>
            </w:pPr>
            <w:r w:rsidRPr="00686DC2">
              <w:rPr>
                <w:rFonts w:eastAsiaTheme="minorHAnsi" w:cstheme="minorBidi"/>
                <w:szCs w:val="20"/>
              </w:rPr>
              <w:t xml:space="preserve">Kalydeco </w:t>
            </w:r>
          </w:p>
          <w:p w14:paraId="23C1F821" w14:textId="2297D5F5" w:rsidR="00686DC2" w:rsidRPr="00686DC2" w:rsidRDefault="00686DC2" w:rsidP="00D93C1D">
            <w:pPr>
              <w:spacing w:before="0" w:line="259" w:lineRule="auto"/>
              <w:rPr>
                <w:rFonts w:eastAsiaTheme="minorHAnsi" w:cstheme="minorBidi"/>
                <w:szCs w:val="20"/>
              </w:rPr>
            </w:pPr>
            <w:r w:rsidRPr="00686DC2">
              <w:rPr>
                <w:rFonts w:eastAsiaTheme="minorHAnsi" w:cstheme="minorBidi"/>
                <w:szCs w:val="20"/>
              </w:rPr>
              <w:t>(ivacaftor)</w:t>
            </w:r>
          </w:p>
        </w:tc>
        <w:tc>
          <w:tcPr>
            <w:tcW w:w="2126" w:type="dxa"/>
          </w:tcPr>
          <w:p w14:paraId="6358C687" w14:textId="77777777" w:rsidR="00686DC2" w:rsidRPr="00686DC2" w:rsidRDefault="00686DC2" w:rsidP="00686DC2">
            <w:pPr>
              <w:spacing w:before="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szCs w:val="20"/>
                <w:lang w:val="en-US"/>
              </w:rPr>
            </w:pPr>
            <w:r w:rsidRPr="00686DC2">
              <w:rPr>
                <w:rFonts w:eastAsiaTheme="minorHAnsi" w:cstheme="minorBidi"/>
                <w:szCs w:val="20"/>
                <w:lang w:val="en-US"/>
              </w:rPr>
              <w:t>CFTR potentiator</w:t>
            </w:r>
          </w:p>
        </w:tc>
        <w:tc>
          <w:tcPr>
            <w:tcW w:w="5528" w:type="dxa"/>
          </w:tcPr>
          <w:p w14:paraId="28733714" w14:textId="5D1FB5AA" w:rsidR="00686DC2" w:rsidRPr="00686DC2" w:rsidRDefault="00686DC2" w:rsidP="002B3DFF">
            <w:p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HAnsi" w:cstheme="minorBidi"/>
                <w:i/>
                <w:iCs/>
                <w:szCs w:val="20"/>
              </w:rPr>
            </w:pPr>
            <w:r w:rsidRPr="00686DC2">
              <w:rPr>
                <w:rFonts w:eastAsiaTheme="minorHAnsi" w:cstheme="minorBidi"/>
                <w:szCs w:val="20"/>
              </w:rPr>
              <w:t>K</w:t>
            </w:r>
            <w:r w:rsidR="008D7018">
              <w:rPr>
                <w:rFonts w:eastAsiaTheme="minorHAnsi" w:cstheme="minorBidi"/>
                <w:szCs w:val="20"/>
              </w:rPr>
              <w:t>alydeco</w:t>
            </w:r>
            <w:r w:rsidRPr="00686DC2">
              <w:rPr>
                <w:rFonts w:eastAsiaTheme="minorHAnsi" w:cstheme="minorBidi"/>
                <w:szCs w:val="20"/>
              </w:rPr>
              <w:t xml:space="preserve"> is indicated for the treatment of cystic fibrosis (CF) in patients aged 1 month and older who have at least one mutation in the CFTR gene that is responsive to ivacaftor potentiation based on clinical and/or in vitro assay data (Refer Table 6: list of responsive mutations) </w:t>
            </w:r>
          </w:p>
        </w:tc>
      </w:tr>
    </w:tbl>
    <w:p w14:paraId="583E6B66" w14:textId="77777777" w:rsidR="008D7018" w:rsidRDefault="008D7018" w:rsidP="00C50E07"/>
    <w:p w14:paraId="57015948" w14:textId="55FB6E46" w:rsidR="00C50E07" w:rsidRDefault="00C50E07" w:rsidP="00C50E07">
      <w:r w:rsidRPr="00C50E07">
        <w:t>Other than CFTR modulators, the main existing treatment options for CF comprise drugs or physiotherapy for the co-morbidities of CF.  Existing non-CFTR treatments for CF include therapies that manage the symptoms, complications, and comorbidities of the disease (e.g., antibiotics, mucolytics, pancreatic enzyme replacement therapy). Organ transplantation is used when required.</w:t>
      </w:r>
    </w:p>
    <w:p w14:paraId="37C47E09" w14:textId="14D3762D" w:rsidR="00CB6813" w:rsidRDefault="00CB6813" w:rsidP="00CB6813">
      <w:pPr>
        <w:pStyle w:val="Heading4"/>
      </w:pPr>
      <w:bookmarkStart w:id="24" w:name="_Toc227661912"/>
      <w:r>
        <w:t>C</w:t>
      </w:r>
      <w:r w:rsidRPr="00DE1344">
        <w:t>linical rational</w:t>
      </w:r>
      <w:r w:rsidR="0025785B">
        <w:t>e</w:t>
      </w:r>
      <w:bookmarkEnd w:id="24"/>
    </w:p>
    <w:p w14:paraId="6EB93575" w14:textId="4B1123E4" w:rsidR="000E006F" w:rsidRDefault="005A3B29" w:rsidP="005A3B29">
      <w:pPr>
        <w:rPr>
          <w:lang w:val="en-NZ"/>
        </w:rPr>
      </w:pPr>
      <w:r w:rsidRPr="005A3B29">
        <w:rPr>
          <w:lang w:val="en-NZ"/>
        </w:rPr>
        <w:t xml:space="preserve">Despite the availability of </w:t>
      </w:r>
      <w:proofErr w:type="spellStart"/>
      <w:r w:rsidR="009A5C15">
        <w:t>e</w:t>
      </w:r>
      <w:r w:rsidR="005348E4" w:rsidRPr="005348E4">
        <w:t>lexacaftor</w:t>
      </w:r>
      <w:proofErr w:type="spellEnd"/>
      <w:r w:rsidR="00EA151E">
        <w:rPr>
          <w:lang w:val="en-NZ"/>
        </w:rPr>
        <w:t>/</w:t>
      </w:r>
      <w:r w:rsidR="005348E4">
        <w:rPr>
          <w:lang w:val="en-NZ"/>
        </w:rPr>
        <w:t xml:space="preserve"> </w:t>
      </w:r>
      <w:r w:rsidR="009A5C15">
        <w:t>t</w:t>
      </w:r>
      <w:r w:rsidR="007A058D" w:rsidRPr="007A058D">
        <w:t>ezacaftor</w:t>
      </w:r>
      <w:r w:rsidR="00EA151E">
        <w:rPr>
          <w:lang w:val="en-NZ"/>
        </w:rPr>
        <w:t>/</w:t>
      </w:r>
      <w:r w:rsidR="002121BB">
        <w:rPr>
          <w:lang w:val="en-NZ"/>
        </w:rPr>
        <w:t xml:space="preserve"> </w:t>
      </w:r>
      <w:r w:rsidR="009A5C15">
        <w:t>i</w:t>
      </w:r>
      <w:r w:rsidR="002121BB" w:rsidRPr="002121BB">
        <w:t>vacaftor</w:t>
      </w:r>
      <w:r w:rsidRPr="005A3B29">
        <w:rPr>
          <w:lang w:val="en-NZ"/>
        </w:rPr>
        <w:t>, there remains an unmet need for even more highly</w:t>
      </w:r>
      <w:r w:rsidRPr="005A3B29">
        <w:t xml:space="preserve"> </w:t>
      </w:r>
      <w:r w:rsidRPr="005A3B29">
        <w:rPr>
          <w:lang w:val="en-NZ"/>
        </w:rPr>
        <w:t xml:space="preserve">effective CFTR modulators for people with CF. Treatment with </w:t>
      </w:r>
      <w:proofErr w:type="spellStart"/>
      <w:r w:rsidR="009A5C15">
        <w:t>e</w:t>
      </w:r>
      <w:r w:rsidR="000E006F" w:rsidRPr="000E006F">
        <w:t>lexacaftor</w:t>
      </w:r>
      <w:proofErr w:type="spellEnd"/>
      <w:r w:rsidR="009A5C15">
        <w:rPr>
          <w:lang w:val="en-NZ"/>
        </w:rPr>
        <w:t>/</w:t>
      </w:r>
      <w:r w:rsidR="000E006F" w:rsidRPr="000E006F">
        <w:rPr>
          <w:lang w:val="en-NZ"/>
        </w:rPr>
        <w:t xml:space="preserve"> </w:t>
      </w:r>
      <w:r w:rsidR="009A5C15">
        <w:t>t</w:t>
      </w:r>
      <w:r w:rsidR="000E006F" w:rsidRPr="000E006F">
        <w:t>ezacaftor</w:t>
      </w:r>
      <w:r w:rsidR="009A5C15">
        <w:rPr>
          <w:lang w:val="en-NZ"/>
        </w:rPr>
        <w:t xml:space="preserve">/ </w:t>
      </w:r>
      <w:r w:rsidR="00B67303">
        <w:t>i</w:t>
      </w:r>
      <w:r w:rsidR="000E006F" w:rsidRPr="000E006F">
        <w:t>vacaftor</w:t>
      </w:r>
      <w:r w:rsidR="000E006F" w:rsidRPr="000E006F">
        <w:rPr>
          <w:lang w:val="en-NZ"/>
        </w:rPr>
        <w:t xml:space="preserve"> </w:t>
      </w:r>
      <w:r w:rsidR="000E006F">
        <w:rPr>
          <w:lang w:val="en-NZ"/>
        </w:rPr>
        <w:t>imp</w:t>
      </w:r>
      <w:r w:rsidRPr="005A3B29">
        <w:rPr>
          <w:lang w:val="en-NZ"/>
        </w:rPr>
        <w:t>roves CFTR</w:t>
      </w:r>
      <w:r w:rsidRPr="005A3B29">
        <w:t xml:space="preserve"> </w:t>
      </w:r>
      <w:r w:rsidRPr="005A3B29">
        <w:rPr>
          <w:lang w:val="en-NZ"/>
        </w:rPr>
        <w:t>function, but leaves a substantial subset of the total eligible population above the clinically</w:t>
      </w:r>
      <w:r w:rsidRPr="005A3B29">
        <w:t xml:space="preserve"> </w:t>
      </w:r>
      <w:r w:rsidRPr="005A3B29">
        <w:rPr>
          <w:lang w:val="en-NZ"/>
        </w:rPr>
        <w:t xml:space="preserve">meaningful </w:t>
      </w:r>
      <w:r w:rsidR="00973DDE">
        <w:t>sweat chloride</w:t>
      </w:r>
      <w:r w:rsidR="00973DDE" w:rsidRPr="005A3B29">
        <w:rPr>
          <w:lang w:val="en-NZ"/>
        </w:rPr>
        <w:t xml:space="preserve"> </w:t>
      </w:r>
      <w:r w:rsidR="00973DDE">
        <w:rPr>
          <w:lang w:val="en-NZ"/>
        </w:rPr>
        <w:t>(</w:t>
      </w:r>
      <w:proofErr w:type="spellStart"/>
      <w:r w:rsidRPr="005A3B29">
        <w:rPr>
          <w:lang w:val="en-NZ"/>
        </w:rPr>
        <w:t>SwCl</w:t>
      </w:r>
      <w:proofErr w:type="spellEnd"/>
      <w:r w:rsidR="00973DDE">
        <w:rPr>
          <w:lang w:val="en-NZ"/>
        </w:rPr>
        <w:t>)</w:t>
      </w:r>
      <w:r w:rsidRPr="005A3B29">
        <w:rPr>
          <w:lang w:val="en-NZ"/>
        </w:rPr>
        <w:t xml:space="preserve"> thresholds of &lt;60 mmol/L and &lt;30 mmol/L. As demonstrated by natural</w:t>
      </w:r>
      <w:r w:rsidRPr="005A3B29">
        <w:t xml:space="preserve"> </w:t>
      </w:r>
      <w:r w:rsidRPr="005A3B29">
        <w:rPr>
          <w:lang w:val="en-NZ"/>
        </w:rPr>
        <w:t>history and pooled clinical study data with CFTR modulators, there is clinical benefit in bringing</w:t>
      </w:r>
      <w:r w:rsidRPr="005A3B29">
        <w:t xml:space="preserve"> </w:t>
      </w:r>
      <w:r w:rsidRPr="005A3B29">
        <w:rPr>
          <w:lang w:val="en-NZ"/>
        </w:rPr>
        <w:t xml:space="preserve">people with CF below these </w:t>
      </w:r>
      <w:proofErr w:type="spellStart"/>
      <w:r w:rsidRPr="005A3B29">
        <w:rPr>
          <w:lang w:val="en-NZ"/>
        </w:rPr>
        <w:t>SwCl</w:t>
      </w:r>
      <w:proofErr w:type="spellEnd"/>
      <w:r w:rsidRPr="005A3B29">
        <w:rPr>
          <w:lang w:val="en-NZ"/>
        </w:rPr>
        <w:t xml:space="preserve"> thresholds. </w:t>
      </w:r>
    </w:p>
    <w:p w14:paraId="44F7C05A" w14:textId="413F99BE" w:rsidR="005A3B29" w:rsidRPr="005A3B29" w:rsidRDefault="005A3B29" w:rsidP="005A3B29">
      <w:pPr>
        <w:rPr>
          <w:lang w:val="en-NZ"/>
        </w:rPr>
      </w:pPr>
      <w:r w:rsidRPr="005A3B29">
        <w:rPr>
          <w:lang w:val="en-NZ"/>
        </w:rPr>
        <w:t>The goal of the next-generation,</w:t>
      </w:r>
      <w:r w:rsidRPr="005A3B29">
        <w:t xml:space="preserve"> </w:t>
      </w:r>
      <w:r w:rsidRPr="005A3B29">
        <w:rPr>
          <w:lang w:val="en-NZ"/>
        </w:rPr>
        <w:t xml:space="preserve">highly effective CFTR modulator </w:t>
      </w:r>
      <w:r w:rsidR="00EA151E">
        <w:rPr>
          <w:lang w:val="en-NZ"/>
        </w:rPr>
        <w:t>v</w:t>
      </w:r>
      <w:r w:rsidRPr="005A3B29">
        <w:rPr>
          <w:lang w:val="en-NZ"/>
        </w:rPr>
        <w:t>anzacaftor/</w:t>
      </w:r>
      <w:r w:rsidR="00EA151E">
        <w:rPr>
          <w:lang w:val="en-NZ"/>
        </w:rPr>
        <w:t xml:space="preserve"> </w:t>
      </w:r>
      <w:r w:rsidRPr="005A3B29">
        <w:rPr>
          <w:lang w:val="en-NZ"/>
        </w:rPr>
        <w:t>tezacaftor/</w:t>
      </w:r>
      <w:r w:rsidR="00EA151E">
        <w:rPr>
          <w:lang w:val="en-NZ"/>
        </w:rPr>
        <w:t xml:space="preserve"> </w:t>
      </w:r>
      <w:r w:rsidRPr="005A3B29">
        <w:rPr>
          <w:lang w:val="en-NZ"/>
        </w:rPr>
        <w:t>deutivacaftor (VNZ/TEZ/D-IVA) is to</w:t>
      </w:r>
      <w:r w:rsidRPr="005A3B29">
        <w:t xml:space="preserve"> </w:t>
      </w:r>
      <w:r w:rsidRPr="005A3B29">
        <w:rPr>
          <w:lang w:val="en-NZ"/>
        </w:rPr>
        <w:t xml:space="preserve">get more people with CF to </w:t>
      </w:r>
      <w:proofErr w:type="spellStart"/>
      <w:r w:rsidRPr="005A3B29">
        <w:rPr>
          <w:lang w:val="en-NZ"/>
        </w:rPr>
        <w:t>SwCl</w:t>
      </w:r>
      <w:proofErr w:type="spellEnd"/>
      <w:r w:rsidRPr="005A3B29">
        <w:rPr>
          <w:lang w:val="en-NZ"/>
        </w:rPr>
        <w:t xml:space="preserve"> levels &lt;60 mmol/L, which is below the CF diagnostic</w:t>
      </w:r>
      <w:r w:rsidRPr="005A3B29">
        <w:t xml:space="preserve"> </w:t>
      </w:r>
      <w:r w:rsidRPr="005A3B29">
        <w:rPr>
          <w:lang w:val="en-NZ"/>
        </w:rPr>
        <w:t>threshold, and &lt;30 mmol/L, which is consistent with normal/carrier levels and is associated with</w:t>
      </w:r>
      <w:r w:rsidRPr="005A3B29">
        <w:t xml:space="preserve"> </w:t>
      </w:r>
      <w:r w:rsidRPr="005A3B29">
        <w:rPr>
          <w:lang w:val="en-NZ"/>
        </w:rPr>
        <w:t>no disease. Restoration of CFTR function to normal/carrier levels in people with</w:t>
      </w:r>
      <w:r w:rsidRPr="005A3B29">
        <w:t xml:space="preserve"> </w:t>
      </w:r>
      <w:r w:rsidRPr="005A3B29">
        <w:rPr>
          <w:lang w:val="en-NZ"/>
        </w:rPr>
        <w:t>CF at an early age has the potential to restore normal physiology consistent with people who do</w:t>
      </w:r>
      <w:r w:rsidRPr="005A3B29">
        <w:t xml:space="preserve"> </w:t>
      </w:r>
      <w:r w:rsidRPr="005A3B29">
        <w:rPr>
          <w:lang w:val="en-NZ"/>
        </w:rPr>
        <w:t xml:space="preserve">not have </w:t>
      </w:r>
      <w:r w:rsidR="00434B8E" w:rsidRPr="005A3B29">
        <w:rPr>
          <w:lang w:val="en-NZ"/>
        </w:rPr>
        <w:t>CF and</w:t>
      </w:r>
      <w:r w:rsidRPr="005A3B29">
        <w:rPr>
          <w:lang w:val="en-NZ"/>
        </w:rPr>
        <w:t xml:space="preserve"> prevent the development and/or progression of manifestations of CF, including</w:t>
      </w:r>
      <w:r w:rsidRPr="005A3B29">
        <w:t xml:space="preserve"> </w:t>
      </w:r>
      <w:r w:rsidRPr="005A3B29">
        <w:rPr>
          <w:lang w:val="en-NZ"/>
        </w:rPr>
        <w:t>progressive lung function and decline.</w:t>
      </w:r>
    </w:p>
    <w:p w14:paraId="6F9B0A65" w14:textId="255860A0" w:rsidR="005A3B29" w:rsidRPr="005A3B29" w:rsidRDefault="005A3B29" w:rsidP="005A3B29">
      <w:pPr>
        <w:rPr>
          <w:lang w:val="en-NZ"/>
        </w:rPr>
      </w:pPr>
      <w:r w:rsidRPr="005A3B29">
        <w:rPr>
          <w:lang w:val="en-NZ"/>
        </w:rPr>
        <w:t>Additionally, there are people with CF whose genotypes are not indicated for currently approved</w:t>
      </w:r>
      <w:r w:rsidRPr="005A3B29">
        <w:t xml:space="preserve"> </w:t>
      </w:r>
      <w:r w:rsidRPr="005A3B29">
        <w:rPr>
          <w:lang w:val="en-NZ"/>
        </w:rPr>
        <w:t>CFTR modulator treatment, as available CFTR modulators have not demonstrated in vitro</w:t>
      </w:r>
      <w:r w:rsidRPr="005A3B29">
        <w:t xml:space="preserve"> </w:t>
      </w:r>
      <w:r w:rsidRPr="005A3B29">
        <w:rPr>
          <w:lang w:val="en-NZ"/>
        </w:rPr>
        <w:t>responsiveness for these mutations or clinical efficacy. This latter population would receive</w:t>
      </w:r>
      <w:r w:rsidRPr="005A3B29">
        <w:t xml:space="preserve"> </w:t>
      </w:r>
      <w:r w:rsidRPr="005A3B29">
        <w:rPr>
          <w:lang w:val="en-NZ"/>
        </w:rPr>
        <w:t>significant clinical benefit from CFTR modulator treatment as they currently rely on</w:t>
      </w:r>
      <w:r w:rsidR="00804066">
        <w:rPr>
          <w:lang w:val="en-NZ"/>
        </w:rPr>
        <w:t xml:space="preserve"> </w:t>
      </w:r>
      <w:r w:rsidRPr="005A3B29">
        <w:rPr>
          <w:lang w:val="en-NZ"/>
        </w:rPr>
        <w:t>symptomatic therapies that do not address the underlying cause of CF.</w:t>
      </w:r>
    </w:p>
    <w:p w14:paraId="29EAAC65" w14:textId="1A3ED51C" w:rsidR="005A3B29" w:rsidRPr="005A3B29" w:rsidRDefault="005A3B29" w:rsidP="005A3B29">
      <w:r w:rsidRPr="005A3B29">
        <w:rPr>
          <w:lang w:val="en-NZ"/>
        </w:rPr>
        <w:t>Lastly, there are approximately 6,000 people with CF who have discontinued ELX/TEZ/IVA for</w:t>
      </w:r>
      <w:r w:rsidRPr="005A3B29">
        <w:t xml:space="preserve"> </w:t>
      </w:r>
      <w:r w:rsidRPr="005A3B29">
        <w:rPr>
          <w:lang w:val="en-NZ"/>
        </w:rPr>
        <w:t>a variety of reasons and require another highly effective treatment option. Therefore, there is a</w:t>
      </w:r>
      <w:r w:rsidRPr="005A3B29">
        <w:t xml:space="preserve"> </w:t>
      </w:r>
      <w:r w:rsidRPr="005A3B29">
        <w:rPr>
          <w:lang w:val="en-NZ"/>
        </w:rPr>
        <w:t>need for additional highly effective CFTR modulator treatments that are indicated for the</w:t>
      </w:r>
      <w:r w:rsidRPr="005A3B29">
        <w:t xml:space="preserve"> </w:t>
      </w:r>
      <w:r w:rsidRPr="005A3B29">
        <w:rPr>
          <w:lang w:val="en-NZ"/>
        </w:rPr>
        <w:t>broadest range of CFTR genotypes and further restore CFTR function towards normal/carrier</w:t>
      </w:r>
      <w:r w:rsidRPr="005A3B29">
        <w:t xml:space="preserve"> </w:t>
      </w:r>
      <w:r w:rsidRPr="005A3B29">
        <w:rPr>
          <w:lang w:val="en-NZ"/>
        </w:rPr>
        <w:t>levels.</w:t>
      </w:r>
    </w:p>
    <w:p w14:paraId="02488B7F" w14:textId="37C1A0B3" w:rsidR="00614853" w:rsidRDefault="00614853" w:rsidP="00614853">
      <w:pPr>
        <w:rPr>
          <w:lang w:val="en-US"/>
        </w:rPr>
      </w:pPr>
      <w:r w:rsidRPr="00614853">
        <w:rPr>
          <w:lang w:val="en-US"/>
        </w:rPr>
        <w:lastRenderedPageBreak/>
        <w:t xml:space="preserve">Vanzacaftor and tezacaftor are CFTR correctors that bind to different sites on the CFTR protein and have an additive effect in facilitating the cellular processing and trafficking of select mutant forms of CFTR (including F508del-CFTR) to increase the amount of CFTR protein delivered to the cell surface compared to either molecule alone. Deutivacaftor </w:t>
      </w:r>
      <w:r w:rsidRPr="00614853">
        <w:rPr>
          <w:lang w:val="en-GB"/>
        </w:rPr>
        <w:t>potentiates the channel open probability (or gating) of the CFTR protein at the cell surface.</w:t>
      </w:r>
      <w:r w:rsidR="00ED2032">
        <w:rPr>
          <w:lang w:val="en-GB"/>
        </w:rPr>
        <w:t xml:space="preserve"> </w:t>
      </w:r>
      <w:r w:rsidRPr="00614853">
        <w:rPr>
          <w:lang w:val="en-US"/>
        </w:rPr>
        <w:t>The combined effect of vanzacaftor, tezacaftor and deutivacaftor is increased quantity and function of CFTR at the cell surface, resulting in increased CFTR activity as measured both by CFTR mediated chloride transport in vitro and by sweat chloride in people with CF.</w:t>
      </w:r>
    </w:p>
    <w:p w14:paraId="17E89FDF" w14:textId="77777777" w:rsidR="001D3E50" w:rsidRPr="005F7DEE" w:rsidRDefault="001D3E50" w:rsidP="005F7DEE">
      <w:r w:rsidRPr="005F7DEE">
        <w:t xml:space="preserve">The sponsor states that </w:t>
      </w:r>
      <w:r w:rsidR="005F7DEE" w:rsidRPr="005F7DEE">
        <w:t xml:space="preserve">- </w:t>
      </w:r>
      <w:r w:rsidRPr="005F7DEE">
        <w:t xml:space="preserve">the triple combination (TC) of vanzacaftor/tezacaftor/deutivacaftor (VNZ/TEZ/D-IVA) is a next-generation, once daily, highly effective CFTR modulator regimen that delivers greater restoration of CFTR function than </w:t>
      </w:r>
      <w:proofErr w:type="spellStart"/>
      <w:r w:rsidRPr="005F7DEE">
        <w:t>elexacaftor</w:t>
      </w:r>
      <w:proofErr w:type="spellEnd"/>
      <w:r w:rsidRPr="005F7DEE">
        <w:t>/tezacaftor/ivacaftor (ELX/TEZ/IVA), the current standard of care for people with CF.</w:t>
      </w:r>
      <w:r w:rsidR="005F7DEE" w:rsidRPr="005F7DEE">
        <w:t xml:space="preserve"> </w:t>
      </w:r>
      <w:r w:rsidRPr="005F7DEE">
        <w:t xml:space="preserve">VNZ/TEZ/D-IVA also provides a medicine for people with CFTR mutations for which ELX/TEZ/IVA did not show activity and thus is not indicated, and for the  people with </w:t>
      </w:r>
      <w:r w:rsidR="005F7DEE" w:rsidRPr="005F7DEE">
        <w:t>CF</w:t>
      </w:r>
      <w:r w:rsidRPr="005F7DEE">
        <w:t xml:space="preserve"> who have discontinued ELX/TEZ/IVA.</w:t>
      </w:r>
    </w:p>
    <w:p w14:paraId="0D615854" w14:textId="77777777" w:rsidR="00324B33" w:rsidRPr="003F31A2" w:rsidRDefault="00324B33" w:rsidP="00D93C1D">
      <w:pPr>
        <w:pStyle w:val="Heading2"/>
      </w:pPr>
      <w:bookmarkStart w:id="25" w:name="_Toc103679291"/>
      <w:bookmarkStart w:id="26" w:name="_Toc227661913"/>
      <w:r>
        <w:t>Regulatory status</w:t>
      </w:r>
      <w:bookmarkEnd w:id="16"/>
      <w:bookmarkEnd w:id="17"/>
      <w:bookmarkEnd w:id="25"/>
      <w:bookmarkEnd w:id="26"/>
    </w:p>
    <w:p w14:paraId="72C889D6" w14:textId="7E200950" w:rsidR="0017005C" w:rsidRPr="00BD5DBD" w:rsidRDefault="0017005C" w:rsidP="00D93C1D">
      <w:pPr>
        <w:pStyle w:val="Heading3"/>
      </w:pPr>
      <w:bookmarkStart w:id="27" w:name="_Toc227661914"/>
      <w:r w:rsidRPr="00BD5DBD">
        <w:t>Australian regulatory</w:t>
      </w:r>
      <w:r>
        <w:t xml:space="preserve"> sta</w:t>
      </w:r>
      <w:r w:rsidR="0025785B">
        <w:t>t</w:t>
      </w:r>
      <w:r>
        <w:t>us</w:t>
      </w:r>
      <w:bookmarkEnd w:id="27"/>
    </w:p>
    <w:p w14:paraId="6A8633FA" w14:textId="784DE803"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218617AB" w14:textId="076CE0EF" w:rsidR="00914A9A" w:rsidRPr="00914A9A" w:rsidRDefault="00914A9A" w:rsidP="00914A9A">
      <w:pPr>
        <w:rPr>
          <w:szCs w:val="22"/>
          <w:lang w:val="en-NZ"/>
        </w:rPr>
      </w:pPr>
      <w:r w:rsidRPr="00914A9A">
        <w:rPr>
          <w:szCs w:val="22"/>
        </w:rPr>
        <w:t>This is the initial application for vanzacaftor and deutivacaftor.</w:t>
      </w:r>
      <w:r w:rsidR="0090637E">
        <w:rPr>
          <w:szCs w:val="22"/>
        </w:rPr>
        <w:t xml:space="preserve"> </w:t>
      </w:r>
      <w:r w:rsidRPr="00914A9A">
        <w:rPr>
          <w:szCs w:val="22"/>
        </w:rPr>
        <w:t xml:space="preserve">Tezacaftor has previously been approved by the TGA as a component of </w:t>
      </w:r>
      <w:proofErr w:type="spellStart"/>
      <w:r w:rsidRPr="00914A9A">
        <w:rPr>
          <w:szCs w:val="22"/>
          <w:lang w:val="en-NZ"/>
        </w:rPr>
        <w:t>S</w:t>
      </w:r>
      <w:r w:rsidR="004F58C0">
        <w:rPr>
          <w:szCs w:val="22"/>
          <w:lang w:val="en-NZ"/>
        </w:rPr>
        <w:t>ymdeko</w:t>
      </w:r>
      <w:proofErr w:type="spellEnd"/>
      <w:r w:rsidRPr="00914A9A">
        <w:rPr>
          <w:szCs w:val="22"/>
          <w:lang w:val="en-NZ"/>
        </w:rPr>
        <w:t xml:space="preserve"> (tezacaftor/ivacaftor),</w:t>
      </w:r>
      <w:bookmarkStart w:id="28" w:name="_Ref224735026"/>
      <w:r w:rsidR="00A22F87">
        <w:rPr>
          <w:rStyle w:val="FootnoteReference"/>
          <w:szCs w:val="22"/>
          <w:lang w:val="en-NZ"/>
        </w:rPr>
        <w:footnoteReference w:id="14"/>
      </w:r>
      <w:bookmarkEnd w:id="28"/>
      <w:r w:rsidR="00905D20" w:rsidRPr="00905D20">
        <w:rPr>
          <w:szCs w:val="22"/>
          <w:vertAlign w:val="superscript"/>
          <w:lang w:val="en-NZ"/>
        </w:rPr>
        <w:t>,</w:t>
      </w:r>
      <w:bookmarkStart w:id="29" w:name="_Ref224735028"/>
      <w:r w:rsidR="00DE111A">
        <w:rPr>
          <w:rStyle w:val="FootnoteReference"/>
          <w:szCs w:val="22"/>
          <w:lang w:val="en-NZ"/>
        </w:rPr>
        <w:footnoteReference w:id="15"/>
      </w:r>
      <w:bookmarkEnd w:id="29"/>
      <w:r w:rsidR="00905D20">
        <w:rPr>
          <w:szCs w:val="22"/>
          <w:lang w:val="en-NZ"/>
        </w:rPr>
        <w:t xml:space="preserve"> </w:t>
      </w:r>
      <w:r w:rsidRPr="00914A9A">
        <w:rPr>
          <w:szCs w:val="22"/>
          <w:lang w:val="en-NZ"/>
        </w:rPr>
        <w:t xml:space="preserve">and </w:t>
      </w:r>
      <w:proofErr w:type="spellStart"/>
      <w:r w:rsidRPr="00914A9A">
        <w:rPr>
          <w:szCs w:val="22"/>
          <w:lang w:val="en-NZ"/>
        </w:rPr>
        <w:t>T</w:t>
      </w:r>
      <w:r w:rsidR="00905D20">
        <w:rPr>
          <w:szCs w:val="22"/>
          <w:lang w:val="en-NZ"/>
        </w:rPr>
        <w:t>rikafta</w:t>
      </w:r>
      <w:proofErr w:type="spellEnd"/>
      <w:r w:rsidR="00905D20">
        <w:rPr>
          <w:szCs w:val="22"/>
          <w:lang w:val="en-NZ"/>
        </w:rPr>
        <w:t xml:space="preserve"> </w:t>
      </w:r>
      <w:r w:rsidRPr="00914A9A">
        <w:rPr>
          <w:szCs w:val="22"/>
          <w:lang w:val="en-NZ"/>
        </w:rPr>
        <w:t>(</w:t>
      </w:r>
      <w:proofErr w:type="spellStart"/>
      <w:r w:rsidRPr="00914A9A">
        <w:rPr>
          <w:szCs w:val="22"/>
          <w:lang w:val="en-NZ"/>
        </w:rPr>
        <w:t>elexacaftor</w:t>
      </w:r>
      <w:proofErr w:type="spellEnd"/>
      <w:r w:rsidRPr="00914A9A">
        <w:rPr>
          <w:szCs w:val="22"/>
          <w:lang w:val="en-NZ"/>
        </w:rPr>
        <w:t>, tezacaftor and ivacaftor)</w:t>
      </w:r>
      <w:r w:rsidR="00905D20">
        <w:rPr>
          <w:szCs w:val="22"/>
          <w:lang w:val="en-NZ"/>
        </w:rPr>
        <w:t>.</w:t>
      </w:r>
      <w:r w:rsidR="002569D0">
        <w:rPr>
          <w:rStyle w:val="FootnoteReference"/>
          <w:szCs w:val="22"/>
          <w:lang w:val="en-NZ"/>
        </w:rPr>
        <w:footnoteReference w:id="16"/>
      </w:r>
      <w:r w:rsidR="00905D20">
        <w:rPr>
          <w:szCs w:val="22"/>
          <w:lang w:val="en-NZ"/>
        </w:rPr>
        <w:t xml:space="preserve"> </w:t>
      </w:r>
    </w:p>
    <w:p w14:paraId="3046C0A8" w14:textId="77341D9A" w:rsidR="00914A9A" w:rsidRPr="00914A9A" w:rsidRDefault="00914A9A" w:rsidP="00914A9A">
      <w:pPr>
        <w:rPr>
          <w:szCs w:val="22"/>
        </w:rPr>
      </w:pPr>
      <w:r w:rsidRPr="00914A9A">
        <w:rPr>
          <w:szCs w:val="22"/>
          <w:lang w:val="en-NZ"/>
        </w:rPr>
        <w:t xml:space="preserve">Deutivacaftor is chemically similar to ivacaftor, the difference being the substitution of nine hydrogen atoms with deuterium atoms.  Ivacaftor was approved by the TGA </w:t>
      </w:r>
      <w:r w:rsidR="00B0573E">
        <w:rPr>
          <w:szCs w:val="22"/>
          <w:lang w:val="en-NZ"/>
        </w:rPr>
        <w:t>in 2013</w:t>
      </w:r>
      <w:r w:rsidRPr="00914A9A">
        <w:rPr>
          <w:szCs w:val="22"/>
          <w:lang w:val="en-NZ"/>
        </w:rPr>
        <w:t>.</w:t>
      </w:r>
      <w:r w:rsidR="00B0573E">
        <w:rPr>
          <w:rStyle w:val="FootnoteReference"/>
          <w:szCs w:val="22"/>
          <w:lang w:val="en-NZ"/>
        </w:rPr>
        <w:footnoteReference w:id="17"/>
      </w:r>
    </w:p>
    <w:p w14:paraId="2559B617" w14:textId="77777777" w:rsidR="00914A9A" w:rsidRPr="00914A9A" w:rsidRDefault="00914A9A" w:rsidP="00914A9A">
      <w:pPr>
        <w:rPr>
          <w:szCs w:val="22"/>
        </w:rPr>
      </w:pPr>
      <w:r w:rsidRPr="00914A9A">
        <w:rPr>
          <w:szCs w:val="22"/>
        </w:rPr>
        <w:t>The justification for a fixed dose combination product was accepted by the TGA on 2</w:t>
      </w:r>
      <w:r w:rsidRPr="00914A9A">
        <w:rPr>
          <w:szCs w:val="22"/>
          <w:vertAlign w:val="superscript"/>
        </w:rPr>
        <w:t>nd</w:t>
      </w:r>
      <w:r w:rsidRPr="00914A9A">
        <w:rPr>
          <w:szCs w:val="22"/>
        </w:rPr>
        <w:t xml:space="preserve"> May 2024.</w:t>
      </w:r>
    </w:p>
    <w:p w14:paraId="546C1031" w14:textId="4EF98FA1" w:rsidR="0017005C" w:rsidRDefault="00131B1B" w:rsidP="00D93C1D">
      <w:pPr>
        <w:pStyle w:val="Heading3"/>
      </w:pPr>
      <w:bookmarkStart w:id="30" w:name="_Toc227661915"/>
      <w:r>
        <w:t xml:space="preserve">International </w:t>
      </w:r>
      <w:r w:rsidR="0017005C" w:rsidRPr="00BD5DBD">
        <w:t>regulatory</w:t>
      </w:r>
      <w:r w:rsidR="0017005C">
        <w:t xml:space="preserve"> status</w:t>
      </w:r>
      <w:bookmarkEnd w:id="30"/>
    </w:p>
    <w:p w14:paraId="7FDF4A0B" w14:textId="3E26E919"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 xml:space="preserve">The following table </w:t>
      </w:r>
      <w:r w:rsidR="00B17309">
        <w:rPr>
          <w:szCs w:val="22"/>
        </w:rPr>
        <w:t xml:space="preserve">(Table 3) </w:t>
      </w:r>
      <w:r w:rsidRPr="00BD5DBD">
        <w:rPr>
          <w:szCs w:val="22"/>
        </w:rPr>
        <w:t>summarises these submissions and provides the indications where approved.</w:t>
      </w:r>
      <w:r>
        <w:rPr>
          <w:szCs w:val="22"/>
        </w:rPr>
        <w:t xml:space="preserve"> </w:t>
      </w:r>
    </w:p>
    <w:p w14:paraId="19B9E0AC" w14:textId="764CCE26" w:rsidR="00324B33" w:rsidRDefault="00324B33" w:rsidP="00324B33">
      <w:pPr>
        <w:pStyle w:val="TableTitle"/>
      </w:pPr>
      <w:bookmarkStart w:id="31" w:name="_Ref99705479"/>
      <w:r>
        <w:lastRenderedPageBreak/>
        <w:t xml:space="preserve">Table </w:t>
      </w:r>
      <w:bookmarkEnd w:id="31"/>
      <w:r w:rsidR="00BD0A73">
        <w:t>3.</w:t>
      </w:r>
      <w:r>
        <w:t xml:space="preserve"> International regulatory status</w:t>
      </w:r>
      <w:r w:rsidR="00BD0A73">
        <w:t>.</w:t>
      </w:r>
    </w:p>
    <w:tbl>
      <w:tblPr>
        <w:tblStyle w:val="TableTGAblue2023"/>
        <w:tblW w:w="5000" w:type="pct"/>
        <w:tblLook w:val="04A0" w:firstRow="1" w:lastRow="0" w:firstColumn="1" w:lastColumn="0" w:noHBand="0" w:noVBand="1"/>
      </w:tblPr>
      <w:tblGrid>
        <w:gridCol w:w="1555"/>
        <w:gridCol w:w="1720"/>
        <w:gridCol w:w="1683"/>
        <w:gridCol w:w="4102"/>
      </w:tblGrid>
      <w:tr w:rsidR="00164CFB" w:rsidRPr="00D01DDB" w14:paraId="405E5D78" w14:textId="16839333" w:rsidTr="00E8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185B099B" w14:textId="7A4C0E6C" w:rsidR="00324B33" w:rsidRPr="00D01DDB" w:rsidRDefault="00324B33" w:rsidP="00D93C1D">
            <w:r w:rsidRPr="00D01DDB">
              <w:t>Region</w:t>
            </w:r>
          </w:p>
        </w:tc>
        <w:tc>
          <w:tcPr>
            <w:tcW w:w="949" w:type="pct"/>
          </w:tcPr>
          <w:p w14:paraId="778C35C7" w14:textId="52D23C85" w:rsidR="00324B33" w:rsidRPr="00D01DDB" w:rsidRDefault="00324B33" w:rsidP="00D93C1D">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929" w:type="pct"/>
          </w:tcPr>
          <w:p w14:paraId="58F81584" w14:textId="66689ABF" w:rsidR="00324B33" w:rsidRPr="00D01DDB" w:rsidRDefault="00324B33" w:rsidP="00D93C1D">
            <w:pPr>
              <w:cnfStyle w:val="100000000000" w:firstRow="1" w:lastRow="0" w:firstColumn="0" w:lastColumn="0" w:oddVBand="0" w:evenVBand="0" w:oddHBand="0" w:evenHBand="0" w:firstRowFirstColumn="0" w:firstRowLastColumn="0" w:lastRowFirstColumn="0" w:lastRowLastColumn="0"/>
            </w:pPr>
            <w:r w:rsidRPr="00D01DDB">
              <w:t>Status</w:t>
            </w:r>
          </w:p>
        </w:tc>
        <w:tc>
          <w:tcPr>
            <w:tcW w:w="2264" w:type="pct"/>
          </w:tcPr>
          <w:p w14:paraId="50B2D435" w14:textId="560588D2" w:rsidR="00324B33" w:rsidRPr="00D01DDB" w:rsidRDefault="00324B33" w:rsidP="00D93C1D">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164CFB" w:rsidRPr="00D01DDB" w14:paraId="38D24E86" w14:textId="77777777" w:rsidTr="00E86FB9">
        <w:tc>
          <w:tcPr>
            <w:cnfStyle w:val="001000000000" w:firstRow="0" w:lastRow="0" w:firstColumn="1" w:lastColumn="0" w:oddVBand="0" w:evenVBand="0" w:oddHBand="0" w:evenHBand="0" w:firstRowFirstColumn="0" w:firstRowLastColumn="0" w:lastRowFirstColumn="0" w:lastRowLastColumn="0"/>
            <w:tcW w:w="858" w:type="pct"/>
          </w:tcPr>
          <w:p w14:paraId="4C540DE5" w14:textId="208A0406" w:rsidR="00324B33" w:rsidRPr="00D01DDB" w:rsidRDefault="0099048F" w:rsidP="00D93C1D">
            <w:r>
              <w:t>United States of America (</w:t>
            </w:r>
            <w:r w:rsidR="00CF5EFA">
              <w:t>USA</w:t>
            </w:r>
            <w:r>
              <w:t>)</w:t>
            </w:r>
          </w:p>
        </w:tc>
        <w:tc>
          <w:tcPr>
            <w:tcW w:w="949" w:type="pct"/>
          </w:tcPr>
          <w:p w14:paraId="4FA5DDA9" w14:textId="036F22FA" w:rsidR="00324B33" w:rsidRPr="00D01DDB" w:rsidRDefault="00CF5EFA" w:rsidP="00D93C1D">
            <w:pPr>
              <w:cnfStyle w:val="000000000000" w:firstRow="0" w:lastRow="0" w:firstColumn="0" w:lastColumn="0" w:oddVBand="0" w:evenVBand="0" w:oddHBand="0" w:evenHBand="0" w:firstRowFirstColumn="0" w:firstRowLastColumn="0" w:lastRowFirstColumn="0" w:lastRowLastColumn="0"/>
            </w:pPr>
            <w:r w:rsidRPr="00CF5EFA">
              <w:t>02 May 2024</w:t>
            </w:r>
          </w:p>
        </w:tc>
        <w:tc>
          <w:tcPr>
            <w:tcW w:w="929" w:type="pct"/>
          </w:tcPr>
          <w:p w14:paraId="54F2E821" w14:textId="77777777" w:rsidR="00324B33" w:rsidRDefault="00371748" w:rsidP="00D93C1D">
            <w:pPr>
              <w:cnfStyle w:val="000000000000" w:firstRow="0" w:lastRow="0" w:firstColumn="0" w:lastColumn="0" w:oddVBand="0" w:evenVBand="0" w:oddHBand="0" w:evenHBand="0" w:firstRowFirstColumn="0" w:firstRowLastColumn="0" w:lastRowFirstColumn="0" w:lastRowLastColumn="0"/>
            </w:pPr>
            <w:r>
              <w:t>Approved</w:t>
            </w:r>
          </w:p>
          <w:p w14:paraId="29358393" w14:textId="34F37B9F" w:rsidR="00371748" w:rsidRPr="00D01DDB" w:rsidRDefault="00371748" w:rsidP="00D93C1D">
            <w:pPr>
              <w:cnfStyle w:val="000000000000" w:firstRow="0" w:lastRow="0" w:firstColumn="0" w:lastColumn="0" w:oddVBand="0" w:evenVBand="0" w:oddHBand="0" w:evenHBand="0" w:firstRowFirstColumn="0" w:firstRowLastColumn="0" w:lastRowFirstColumn="0" w:lastRowLastColumn="0"/>
            </w:pPr>
            <w:r w:rsidRPr="00371748">
              <w:t>20 December 2024</w:t>
            </w:r>
          </w:p>
        </w:tc>
        <w:tc>
          <w:tcPr>
            <w:tcW w:w="2264" w:type="pct"/>
          </w:tcPr>
          <w:p w14:paraId="05055674" w14:textId="26D531AD" w:rsidR="00324B33" w:rsidRPr="00D01DDB" w:rsidRDefault="00371748" w:rsidP="00D93C1D">
            <w:pPr>
              <w:cnfStyle w:val="000000000000" w:firstRow="0" w:lastRow="0" w:firstColumn="0" w:lastColumn="0" w:oddVBand="0" w:evenVBand="0" w:oddHBand="0" w:evenHBand="0" w:firstRowFirstColumn="0" w:firstRowLastColumn="0" w:lastRowFirstColumn="0" w:lastRowLastColumn="0"/>
            </w:pPr>
            <w:r w:rsidRPr="00371748">
              <w:t>A</w:t>
            </w:r>
            <w:r w:rsidR="00B12719">
              <w:t>lyftrek</w:t>
            </w:r>
            <w:r w:rsidRPr="00371748">
              <w:t xml:space="preserve"> is a combination of deutivacaftor, a</w:t>
            </w:r>
            <w:r>
              <w:t xml:space="preserve"> </w:t>
            </w:r>
            <w:r w:rsidRPr="00371748">
              <w:t>CFTR potentiator, tezacaftor, and vanzacaftor</w:t>
            </w:r>
            <w:r>
              <w:t xml:space="preserve"> </w:t>
            </w:r>
            <w:r w:rsidRPr="00371748">
              <w:t>indicated for the treatment of cystic fibrosis (CF)</w:t>
            </w:r>
            <w:r>
              <w:t xml:space="preserve"> </w:t>
            </w:r>
            <w:r w:rsidRPr="00371748">
              <w:t>in patients aged 6 years and older who have at</w:t>
            </w:r>
            <w:r>
              <w:t xml:space="preserve"> </w:t>
            </w:r>
            <w:r w:rsidRPr="00371748">
              <w:t>least one F508del mutation or another responsive</w:t>
            </w:r>
            <w:r>
              <w:t xml:space="preserve"> </w:t>
            </w:r>
            <w:r w:rsidRPr="00371748">
              <w:t>mutation in the CFTR gene.</w:t>
            </w:r>
          </w:p>
        </w:tc>
      </w:tr>
      <w:tr w:rsidR="00164CFB" w:rsidRPr="00D01DDB" w14:paraId="18B6E2AA" w14:textId="7783D66F" w:rsidTr="00E86FB9">
        <w:tc>
          <w:tcPr>
            <w:cnfStyle w:val="001000000000" w:firstRow="0" w:lastRow="0" w:firstColumn="1" w:lastColumn="0" w:oddVBand="0" w:evenVBand="0" w:oddHBand="0" w:evenHBand="0" w:firstRowFirstColumn="0" w:firstRowLastColumn="0" w:lastRowFirstColumn="0" w:lastRowLastColumn="0"/>
            <w:tcW w:w="858" w:type="pct"/>
          </w:tcPr>
          <w:p w14:paraId="7F348960" w14:textId="54C69842" w:rsidR="00324B33" w:rsidRPr="00D01DDB" w:rsidRDefault="0099048F" w:rsidP="00D93C1D">
            <w:r>
              <w:t>European Union (EU)</w:t>
            </w:r>
          </w:p>
        </w:tc>
        <w:tc>
          <w:tcPr>
            <w:tcW w:w="949" w:type="pct"/>
          </w:tcPr>
          <w:p w14:paraId="1D871E57" w14:textId="1EE667A2" w:rsidR="00324B33" w:rsidRPr="00D01DDB" w:rsidRDefault="00137F16" w:rsidP="00D93C1D">
            <w:pPr>
              <w:cnfStyle w:val="000000000000" w:firstRow="0" w:lastRow="0" w:firstColumn="0" w:lastColumn="0" w:oddVBand="0" w:evenVBand="0" w:oddHBand="0" w:evenHBand="0" w:firstRowFirstColumn="0" w:firstRowLastColumn="0" w:lastRowFirstColumn="0" w:lastRowLastColumn="0"/>
            </w:pPr>
            <w:r w:rsidRPr="00137F16">
              <w:t>29 April 2024</w:t>
            </w:r>
          </w:p>
        </w:tc>
        <w:tc>
          <w:tcPr>
            <w:tcW w:w="929" w:type="pct"/>
          </w:tcPr>
          <w:p w14:paraId="2771AB22" w14:textId="77777777" w:rsidR="00137F16" w:rsidRDefault="00137F16" w:rsidP="00D93C1D">
            <w:pPr>
              <w:cnfStyle w:val="000000000000" w:firstRow="0" w:lastRow="0" w:firstColumn="0" w:lastColumn="0" w:oddVBand="0" w:evenVBand="0" w:oddHBand="0" w:evenHBand="0" w:firstRowFirstColumn="0" w:firstRowLastColumn="0" w:lastRowFirstColumn="0" w:lastRowLastColumn="0"/>
            </w:pPr>
            <w:r>
              <w:t xml:space="preserve">Approved </w:t>
            </w:r>
          </w:p>
          <w:p w14:paraId="63A3A9D3" w14:textId="1405393E" w:rsidR="00324B33" w:rsidRPr="00D01DDB" w:rsidRDefault="00137F16" w:rsidP="00D93C1D">
            <w:pPr>
              <w:cnfStyle w:val="000000000000" w:firstRow="0" w:lastRow="0" w:firstColumn="0" w:lastColumn="0" w:oddVBand="0" w:evenVBand="0" w:oddHBand="0" w:evenHBand="0" w:firstRowFirstColumn="0" w:firstRowLastColumn="0" w:lastRowFirstColumn="0" w:lastRowLastColumn="0"/>
            </w:pPr>
            <w:r w:rsidRPr="00137F16">
              <w:t>30 June 2025</w:t>
            </w:r>
          </w:p>
        </w:tc>
        <w:tc>
          <w:tcPr>
            <w:tcW w:w="2264" w:type="pct"/>
          </w:tcPr>
          <w:p w14:paraId="17C650B8" w14:textId="59AB2A35" w:rsidR="00324B33" w:rsidRPr="00D01DDB" w:rsidRDefault="00B12719" w:rsidP="00D93C1D">
            <w:pPr>
              <w:cnfStyle w:val="000000000000" w:firstRow="0" w:lastRow="0" w:firstColumn="0" w:lastColumn="0" w:oddVBand="0" w:evenVBand="0" w:oddHBand="0" w:evenHBand="0" w:firstRowFirstColumn="0" w:firstRowLastColumn="0" w:lastRowFirstColumn="0" w:lastRowLastColumn="0"/>
            </w:pPr>
            <w:r w:rsidRPr="00B12719">
              <w:t>Vanzacaftor/tezacaftor/deutivacaftor triple</w:t>
            </w:r>
            <w:r>
              <w:t xml:space="preserve"> </w:t>
            </w:r>
            <w:r w:rsidRPr="00B12719">
              <w:t>combination therapy is indicated for the treatment</w:t>
            </w:r>
            <w:r>
              <w:t xml:space="preserve"> </w:t>
            </w:r>
            <w:r w:rsidRPr="00B12719">
              <w:t>of cystic fibrosis (CF) in people aged 6 years and</w:t>
            </w:r>
            <w:r>
              <w:t xml:space="preserve"> </w:t>
            </w:r>
            <w:r w:rsidRPr="00B12719">
              <w:t>older who have at least 1 non-class I mutation in</w:t>
            </w:r>
            <w:r>
              <w:t xml:space="preserve"> </w:t>
            </w:r>
            <w:r w:rsidRPr="00B12719">
              <w:t xml:space="preserve">the </w:t>
            </w:r>
            <w:r w:rsidRPr="00B12719">
              <w:rPr>
                <w:i/>
                <w:iCs/>
              </w:rPr>
              <w:t xml:space="preserve">CFTR </w:t>
            </w:r>
            <w:r w:rsidRPr="00B12719">
              <w:t>gene.</w:t>
            </w:r>
          </w:p>
        </w:tc>
      </w:tr>
      <w:tr w:rsidR="00164CFB" w:rsidRPr="00D01DDB" w14:paraId="1392CFE4" w14:textId="77777777" w:rsidTr="00E86FB9">
        <w:tc>
          <w:tcPr>
            <w:cnfStyle w:val="001000000000" w:firstRow="0" w:lastRow="0" w:firstColumn="1" w:lastColumn="0" w:oddVBand="0" w:evenVBand="0" w:oddHBand="0" w:evenHBand="0" w:firstRowFirstColumn="0" w:firstRowLastColumn="0" w:lastRowFirstColumn="0" w:lastRowLastColumn="0"/>
            <w:tcW w:w="858" w:type="pct"/>
          </w:tcPr>
          <w:p w14:paraId="7C430D27" w14:textId="46529C0A" w:rsidR="0099048F" w:rsidRPr="00D01DDB" w:rsidRDefault="00B12719" w:rsidP="00D93C1D">
            <w:r>
              <w:t>Canada</w:t>
            </w:r>
          </w:p>
        </w:tc>
        <w:tc>
          <w:tcPr>
            <w:tcW w:w="949" w:type="pct"/>
          </w:tcPr>
          <w:p w14:paraId="335C8FB9" w14:textId="0A6C810E" w:rsidR="0099048F" w:rsidRPr="00D01DDB" w:rsidRDefault="00B902A8" w:rsidP="00D93C1D">
            <w:pPr>
              <w:cnfStyle w:val="000000000000" w:firstRow="0" w:lastRow="0" w:firstColumn="0" w:lastColumn="0" w:oddVBand="0" w:evenVBand="0" w:oddHBand="0" w:evenHBand="0" w:firstRowFirstColumn="0" w:firstRowLastColumn="0" w:lastRowFirstColumn="0" w:lastRowLastColumn="0"/>
            </w:pPr>
            <w:r w:rsidRPr="00B902A8">
              <w:t>26 June 2024</w:t>
            </w:r>
          </w:p>
        </w:tc>
        <w:tc>
          <w:tcPr>
            <w:tcW w:w="929" w:type="pct"/>
          </w:tcPr>
          <w:p w14:paraId="6D00CEBA" w14:textId="77777777" w:rsidR="0099048F" w:rsidRDefault="00B902A8" w:rsidP="00D93C1D">
            <w:pPr>
              <w:cnfStyle w:val="000000000000" w:firstRow="0" w:lastRow="0" w:firstColumn="0" w:lastColumn="0" w:oddVBand="0" w:evenVBand="0" w:oddHBand="0" w:evenHBand="0" w:firstRowFirstColumn="0" w:firstRowLastColumn="0" w:lastRowFirstColumn="0" w:lastRowLastColumn="0"/>
            </w:pPr>
            <w:r>
              <w:t>Approved</w:t>
            </w:r>
          </w:p>
          <w:p w14:paraId="01027E1C" w14:textId="674B9BE7" w:rsidR="00B902A8" w:rsidRPr="00D01DDB" w:rsidRDefault="00B902A8" w:rsidP="00D93C1D">
            <w:pPr>
              <w:cnfStyle w:val="000000000000" w:firstRow="0" w:lastRow="0" w:firstColumn="0" w:lastColumn="0" w:oddVBand="0" w:evenVBand="0" w:oddHBand="0" w:evenHBand="0" w:firstRowFirstColumn="0" w:firstRowLastColumn="0" w:lastRowFirstColumn="0" w:lastRowLastColumn="0"/>
            </w:pPr>
            <w:r w:rsidRPr="00B902A8">
              <w:t>21 July 2025</w:t>
            </w:r>
          </w:p>
        </w:tc>
        <w:tc>
          <w:tcPr>
            <w:tcW w:w="2264" w:type="pct"/>
          </w:tcPr>
          <w:p w14:paraId="57AC99BD" w14:textId="417CB66D" w:rsidR="0099048F" w:rsidRPr="00D01DDB" w:rsidRDefault="003F34EC" w:rsidP="00D93C1D">
            <w:pPr>
              <w:cnfStyle w:val="000000000000" w:firstRow="0" w:lastRow="0" w:firstColumn="0" w:lastColumn="0" w:oddVBand="0" w:evenVBand="0" w:oddHBand="0" w:evenHBand="0" w:firstRowFirstColumn="0" w:firstRowLastColumn="0" w:lastRowFirstColumn="0" w:lastRowLastColumn="0"/>
            </w:pPr>
            <w:r w:rsidRPr="003F34EC">
              <w:t>Vanzacaftor/tezacaftor/deutivacaftor triple</w:t>
            </w:r>
            <w:r>
              <w:t xml:space="preserve"> </w:t>
            </w:r>
            <w:r w:rsidRPr="003F34EC">
              <w:t>combination therapy is indicated for the treatment</w:t>
            </w:r>
            <w:r>
              <w:t xml:space="preserve"> </w:t>
            </w:r>
            <w:r w:rsidRPr="003F34EC">
              <w:t>of cystic fibrosis (CF) in people aged 6 years and</w:t>
            </w:r>
            <w:r>
              <w:t xml:space="preserve"> </w:t>
            </w:r>
            <w:r w:rsidRPr="003F34EC">
              <w:t>older who have at least one F508del mutation or</w:t>
            </w:r>
            <w:r>
              <w:t xml:space="preserve"> </w:t>
            </w:r>
            <w:r w:rsidRPr="003F34EC">
              <w:t>another responsive mutation in the cystic fibrosis</w:t>
            </w:r>
            <w:r>
              <w:t xml:space="preserve"> </w:t>
            </w:r>
            <w:r w:rsidRPr="003F34EC">
              <w:t>transmembrane conductance regulator (CFTR)</w:t>
            </w:r>
            <w:r>
              <w:t xml:space="preserve"> </w:t>
            </w:r>
            <w:r w:rsidRPr="003F34EC">
              <w:t>gene</w:t>
            </w:r>
            <w:r>
              <w:t>.</w:t>
            </w:r>
          </w:p>
        </w:tc>
      </w:tr>
      <w:tr w:rsidR="00164CFB" w:rsidRPr="00D01DDB" w14:paraId="192237CD" w14:textId="77777777" w:rsidTr="00E86FB9">
        <w:tc>
          <w:tcPr>
            <w:cnfStyle w:val="001000000000" w:firstRow="0" w:lastRow="0" w:firstColumn="1" w:lastColumn="0" w:oddVBand="0" w:evenVBand="0" w:oddHBand="0" w:evenHBand="0" w:firstRowFirstColumn="0" w:firstRowLastColumn="0" w:lastRowFirstColumn="0" w:lastRowLastColumn="0"/>
            <w:tcW w:w="858" w:type="pct"/>
          </w:tcPr>
          <w:p w14:paraId="2BF47594" w14:textId="17005D2F" w:rsidR="00FA7C2E" w:rsidRPr="00FA7C2E" w:rsidRDefault="00FA7C2E" w:rsidP="00D93C1D">
            <w:r w:rsidRPr="00FA7C2E">
              <w:t>U</w:t>
            </w:r>
            <w:r w:rsidR="00164CFB">
              <w:t xml:space="preserve">nited </w:t>
            </w:r>
          </w:p>
          <w:p w14:paraId="44725812" w14:textId="7A273522" w:rsidR="0099048F" w:rsidRPr="00D01DDB" w:rsidRDefault="00FA7C2E" w:rsidP="00D93C1D">
            <w:r w:rsidRPr="00FA7C2E">
              <w:t>K</w:t>
            </w:r>
            <w:r w:rsidR="00164CFB">
              <w:t>ingdom</w:t>
            </w:r>
            <w:r>
              <w:t xml:space="preserve"> (UK)</w:t>
            </w:r>
          </w:p>
        </w:tc>
        <w:tc>
          <w:tcPr>
            <w:tcW w:w="949" w:type="pct"/>
          </w:tcPr>
          <w:p w14:paraId="71A99589" w14:textId="618EF7C6" w:rsidR="0099048F" w:rsidRPr="00D01DDB" w:rsidRDefault="00573F9F" w:rsidP="00D93C1D">
            <w:pPr>
              <w:cnfStyle w:val="000000000000" w:firstRow="0" w:lastRow="0" w:firstColumn="0" w:lastColumn="0" w:oddVBand="0" w:evenVBand="0" w:oddHBand="0" w:evenHBand="0" w:firstRowFirstColumn="0" w:firstRowLastColumn="0" w:lastRowFirstColumn="0" w:lastRowLastColumn="0"/>
            </w:pPr>
            <w:r w:rsidRPr="00573F9F">
              <w:t>19 May 2024</w:t>
            </w:r>
          </w:p>
        </w:tc>
        <w:tc>
          <w:tcPr>
            <w:tcW w:w="929" w:type="pct"/>
          </w:tcPr>
          <w:p w14:paraId="3170E05F" w14:textId="77777777" w:rsidR="0099048F" w:rsidRDefault="00573F9F" w:rsidP="00D93C1D">
            <w:pPr>
              <w:cnfStyle w:val="000000000000" w:firstRow="0" w:lastRow="0" w:firstColumn="0" w:lastColumn="0" w:oddVBand="0" w:evenVBand="0" w:oddHBand="0" w:evenHBand="0" w:firstRowFirstColumn="0" w:firstRowLastColumn="0" w:lastRowFirstColumn="0" w:lastRowLastColumn="0"/>
            </w:pPr>
            <w:r>
              <w:t xml:space="preserve">Approved </w:t>
            </w:r>
          </w:p>
          <w:p w14:paraId="11DA914C" w14:textId="3DB14956" w:rsidR="00573F9F" w:rsidRPr="00D01DDB" w:rsidRDefault="00573F9F" w:rsidP="00D93C1D">
            <w:pPr>
              <w:cnfStyle w:val="000000000000" w:firstRow="0" w:lastRow="0" w:firstColumn="0" w:lastColumn="0" w:oddVBand="0" w:evenVBand="0" w:oddHBand="0" w:evenHBand="0" w:firstRowFirstColumn="0" w:firstRowLastColumn="0" w:lastRowFirstColumn="0" w:lastRowLastColumn="0"/>
            </w:pPr>
            <w:r w:rsidRPr="00573F9F">
              <w:t>07 March 2025</w:t>
            </w:r>
          </w:p>
        </w:tc>
        <w:tc>
          <w:tcPr>
            <w:tcW w:w="2264" w:type="pct"/>
          </w:tcPr>
          <w:p w14:paraId="0904D313" w14:textId="26142357" w:rsidR="0099048F" w:rsidRPr="00D01DDB" w:rsidRDefault="008031B4" w:rsidP="00D93C1D">
            <w:pPr>
              <w:cnfStyle w:val="000000000000" w:firstRow="0" w:lastRow="0" w:firstColumn="0" w:lastColumn="0" w:oddVBand="0" w:evenVBand="0" w:oddHBand="0" w:evenHBand="0" w:firstRowFirstColumn="0" w:firstRowLastColumn="0" w:lastRowFirstColumn="0" w:lastRowLastColumn="0"/>
            </w:pPr>
            <w:r w:rsidRPr="008031B4">
              <w:t>Alyftrek is indicated for the treatment of cystic</w:t>
            </w:r>
            <w:r>
              <w:t xml:space="preserve"> </w:t>
            </w:r>
            <w:r w:rsidRPr="008031B4">
              <w:t>fibrosis (CF) in people aged 6 years and older</w:t>
            </w:r>
            <w:r>
              <w:t xml:space="preserve"> </w:t>
            </w:r>
            <w:r w:rsidRPr="008031B4">
              <w:t>who have at least one F508del mutation or another</w:t>
            </w:r>
            <w:r>
              <w:t xml:space="preserve"> </w:t>
            </w:r>
            <w:r w:rsidRPr="008031B4">
              <w:t>responsive mutation in the cystic fibrosis</w:t>
            </w:r>
            <w:r>
              <w:t xml:space="preserve"> </w:t>
            </w:r>
            <w:r w:rsidRPr="008031B4">
              <w:t>transmembrane conductance regulator (CFTR)</w:t>
            </w:r>
            <w:r>
              <w:t xml:space="preserve"> </w:t>
            </w:r>
            <w:r w:rsidRPr="008031B4">
              <w:t>gene.</w:t>
            </w:r>
          </w:p>
        </w:tc>
      </w:tr>
      <w:tr w:rsidR="00164CFB" w:rsidRPr="00D01DDB" w14:paraId="608807F1" w14:textId="77777777" w:rsidTr="00E86FB9">
        <w:tc>
          <w:tcPr>
            <w:cnfStyle w:val="001000000000" w:firstRow="0" w:lastRow="0" w:firstColumn="1" w:lastColumn="0" w:oddVBand="0" w:evenVBand="0" w:oddHBand="0" w:evenHBand="0" w:firstRowFirstColumn="0" w:firstRowLastColumn="0" w:lastRowFirstColumn="0" w:lastRowLastColumn="0"/>
            <w:tcW w:w="858" w:type="pct"/>
          </w:tcPr>
          <w:p w14:paraId="3C7F396B" w14:textId="05AC7742" w:rsidR="0099048F" w:rsidRPr="00D01DDB" w:rsidRDefault="00FA7C2E" w:rsidP="00D93C1D">
            <w:r w:rsidRPr="00FA7C2E">
              <w:t>S</w:t>
            </w:r>
            <w:r w:rsidR="00164CFB">
              <w:t>witzerland</w:t>
            </w:r>
          </w:p>
        </w:tc>
        <w:tc>
          <w:tcPr>
            <w:tcW w:w="949" w:type="pct"/>
          </w:tcPr>
          <w:p w14:paraId="77CA8E1E" w14:textId="5718C963" w:rsidR="0099048F" w:rsidRPr="00D01DDB" w:rsidRDefault="00573F9F" w:rsidP="00D93C1D">
            <w:pPr>
              <w:cnfStyle w:val="000000000000" w:firstRow="0" w:lastRow="0" w:firstColumn="0" w:lastColumn="0" w:oddVBand="0" w:evenVBand="0" w:oddHBand="0" w:evenHBand="0" w:firstRowFirstColumn="0" w:firstRowLastColumn="0" w:lastRowFirstColumn="0" w:lastRowLastColumn="0"/>
            </w:pPr>
            <w:r w:rsidRPr="00573F9F">
              <w:t>28 June 2024</w:t>
            </w:r>
          </w:p>
        </w:tc>
        <w:tc>
          <w:tcPr>
            <w:tcW w:w="929" w:type="pct"/>
          </w:tcPr>
          <w:p w14:paraId="62480F4F" w14:textId="77777777" w:rsidR="0099048F" w:rsidRDefault="00D70960" w:rsidP="00D93C1D">
            <w:pPr>
              <w:cnfStyle w:val="000000000000" w:firstRow="0" w:lastRow="0" w:firstColumn="0" w:lastColumn="0" w:oddVBand="0" w:evenVBand="0" w:oddHBand="0" w:evenHBand="0" w:firstRowFirstColumn="0" w:firstRowLastColumn="0" w:lastRowFirstColumn="0" w:lastRowLastColumn="0"/>
            </w:pPr>
            <w:r>
              <w:t>Under consideration</w:t>
            </w:r>
          </w:p>
          <w:p w14:paraId="30BB0358" w14:textId="73E4E5C8" w:rsidR="00D70960" w:rsidRPr="00D01DDB" w:rsidRDefault="00D70960" w:rsidP="00D93C1D">
            <w:pPr>
              <w:cnfStyle w:val="000000000000" w:firstRow="0" w:lastRow="0" w:firstColumn="0" w:lastColumn="0" w:oddVBand="0" w:evenVBand="0" w:oddHBand="0" w:evenHBand="0" w:firstRowFirstColumn="0" w:firstRowLastColumn="0" w:lastRowFirstColumn="0" w:lastRowLastColumn="0"/>
            </w:pPr>
            <w:r w:rsidRPr="00D70960">
              <w:t>Expected November</w:t>
            </w:r>
            <w:r w:rsidR="00701F9A">
              <w:t xml:space="preserve"> </w:t>
            </w:r>
            <w:r w:rsidRPr="00D70960">
              <w:t>2025</w:t>
            </w:r>
          </w:p>
        </w:tc>
        <w:tc>
          <w:tcPr>
            <w:tcW w:w="2264" w:type="pct"/>
          </w:tcPr>
          <w:p w14:paraId="117C16EC" w14:textId="1558FD5F" w:rsidR="0099048F" w:rsidRPr="00D01DDB" w:rsidRDefault="00D54676" w:rsidP="00D93C1D">
            <w:pPr>
              <w:cnfStyle w:val="000000000000" w:firstRow="0" w:lastRow="0" w:firstColumn="0" w:lastColumn="0" w:oddVBand="0" w:evenVBand="0" w:oddHBand="0" w:evenHBand="0" w:firstRowFirstColumn="0" w:firstRowLastColumn="0" w:lastRowFirstColumn="0" w:lastRowLastColumn="0"/>
            </w:pPr>
            <w:r w:rsidRPr="00D54676">
              <w:t xml:space="preserve">Alyftrek is indicated for the </w:t>
            </w:r>
            <w:r>
              <w:t>t</w:t>
            </w:r>
            <w:r w:rsidRPr="00D54676">
              <w:t>reatment of cystic</w:t>
            </w:r>
            <w:r>
              <w:t xml:space="preserve"> </w:t>
            </w:r>
            <w:r w:rsidRPr="00D54676">
              <w:t>fibrosis (CF) in people aged 6 years and older</w:t>
            </w:r>
            <w:r>
              <w:t xml:space="preserve"> </w:t>
            </w:r>
            <w:r w:rsidRPr="00D54676">
              <w:t>who have at least one F508del mutation in the</w:t>
            </w:r>
            <w:r>
              <w:t xml:space="preserve"> </w:t>
            </w:r>
            <w:r w:rsidRPr="00D54676">
              <w:t>cystic fibrosis transmembrane conductance</w:t>
            </w:r>
            <w:r w:rsidRPr="00D54676">
              <w:rPr>
                <w:rFonts w:ascii="TimesNewRomanPSMT" w:hAnsi="TimesNewRomanPSMT" w:cs="TimesNewRomanPSMT"/>
              </w:rPr>
              <w:t xml:space="preserve"> </w:t>
            </w:r>
            <w:r w:rsidRPr="00D54676">
              <w:t>regulator (CFTR) gene or a mutation in the CFTR</w:t>
            </w:r>
            <w:r>
              <w:t xml:space="preserve"> </w:t>
            </w:r>
            <w:r w:rsidRPr="00D54676">
              <w:t>gene, for which clinical and/or in vitro data</w:t>
            </w:r>
            <w:r>
              <w:t xml:space="preserve"> </w:t>
            </w:r>
            <w:r w:rsidRPr="00D54676">
              <w:t xml:space="preserve">demonstrate a response, or a </w:t>
            </w:r>
            <w:r>
              <w:t>r</w:t>
            </w:r>
            <w:r w:rsidRPr="00D54676">
              <w:t>esponse is expected</w:t>
            </w:r>
            <w:r>
              <w:t xml:space="preserve"> </w:t>
            </w:r>
            <w:r w:rsidRPr="00D54676">
              <w:t>based on extrapolation</w:t>
            </w:r>
            <w:r>
              <w:t>.</w:t>
            </w:r>
          </w:p>
        </w:tc>
      </w:tr>
      <w:tr w:rsidR="00164CFB" w:rsidRPr="00D01DDB" w14:paraId="40BF3080" w14:textId="77777777" w:rsidTr="00E86FB9">
        <w:tc>
          <w:tcPr>
            <w:cnfStyle w:val="001000000000" w:firstRow="0" w:lastRow="0" w:firstColumn="1" w:lastColumn="0" w:oddVBand="0" w:evenVBand="0" w:oddHBand="0" w:evenHBand="0" w:firstRowFirstColumn="0" w:firstRowLastColumn="0" w:lastRowFirstColumn="0" w:lastRowLastColumn="0"/>
            <w:tcW w:w="858" w:type="pct"/>
          </w:tcPr>
          <w:p w14:paraId="3F39F684" w14:textId="4850187B" w:rsidR="0099048F" w:rsidRPr="00D01DDB" w:rsidRDefault="00FA7C2E" w:rsidP="00D93C1D">
            <w:r w:rsidRPr="00FA7C2E">
              <w:lastRenderedPageBreak/>
              <w:t>N</w:t>
            </w:r>
            <w:r w:rsidR="00164CFB">
              <w:t>ew Zealand</w:t>
            </w:r>
          </w:p>
        </w:tc>
        <w:tc>
          <w:tcPr>
            <w:tcW w:w="949" w:type="pct"/>
          </w:tcPr>
          <w:p w14:paraId="2DB2F335" w14:textId="6374AFEB" w:rsidR="0099048F" w:rsidRPr="00D01DDB" w:rsidRDefault="00701F9A" w:rsidP="00D93C1D">
            <w:pPr>
              <w:cnfStyle w:val="000000000000" w:firstRow="0" w:lastRow="0" w:firstColumn="0" w:lastColumn="0" w:oddVBand="0" w:evenVBand="0" w:oddHBand="0" w:evenHBand="0" w:firstRowFirstColumn="0" w:firstRowLastColumn="0" w:lastRowFirstColumn="0" w:lastRowLastColumn="0"/>
            </w:pPr>
            <w:r w:rsidRPr="00701F9A">
              <w:t>31 July 2024</w:t>
            </w:r>
          </w:p>
        </w:tc>
        <w:tc>
          <w:tcPr>
            <w:tcW w:w="929" w:type="pct"/>
          </w:tcPr>
          <w:p w14:paraId="354BFD6C" w14:textId="77777777" w:rsidR="00701F9A" w:rsidRPr="00701F9A" w:rsidRDefault="00701F9A" w:rsidP="00D93C1D">
            <w:pPr>
              <w:cnfStyle w:val="000000000000" w:firstRow="0" w:lastRow="0" w:firstColumn="0" w:lastColumn="0" w:oddVBand="0" w:evenVBand="0" w:oddHBand="0" w:evenHBand="0" w:firstRowFirstColumn="0" w:firstRowLastColumn="0" w:lastRowFirstColumn="0" w:lastRowLastColumn="0"/>
            </w:pPr>
            <w:r w:rsidRPr="00701F9A">
              <w:t>Under consideration</w:t>
            </w:r>
          </w:p>
          <w:p w14:paraId="4528F625" w14:textId="12B1B4FF" w:rsidR="0099048F" w:rsidRPr="00D01DDB" w:rsidRDefault="008031B4" w:rsidP="00D93C1D">
            <w:pPr>
              <w:cnfStyle w:val="000000000000" w:firstRow="0" w:lastRow="0" w:firstColumn="0" w:lastColumn="0" w:oddVBand="0" w:evenVBand="0" w:oddHBand="0" w:evenHBand="0" w:firstRowFirstColumn="0" w:firstRowLastColumn="0" w:lastRowFirstColumn="0" w:lastRowLastColumn="0"/>
            </w:pPr>
            <w:r w:rsidRPr="008031B4">
              <w:t>Expected Q4 2025</w:t>
            </w:r>
          </w:p>
        </w:tc>
        <w:tc>
          <w:tcPr>
            <w:tcW w:w="2264" w:type="pct"/>
          </w:tcPr>
          <w:p w14:paraId="4F77C4A1" w14:textId="39505CF1" w:rsidR="0099048F" w:rsidRPr="00D01DDB" w:rsidRDefault="00515EC2" w:rsidP="00D93C1D">
            <w:pPr>
              <w:cnfStyle w:val="000000000000" w:firstRow="0" w:lastRow="0" w:firstColumn="0" w:lastColumn="0" w:oddVBand="0" w:evenVBand="0" w:oddHBand="0" w:evenHBand="0" w:firstRowFirstColumn="0" w:firstRowLastColumn="0" w:lastRowFirstColumn="0" w:lastRowLastColumn="0"/>
            </w:pPr>
            <w:r w:rsidRPr="00515EC2">
              <w:t>Vanzacaftor/tezacaftor/deutivacaftor triple</w:t>
            </w:r>
            <w:r>
              <w:t xml:space="preserve"> </w:t>
            </w:r>
            <w:r w:rsidRPr="00515EC2">
              <w:t>combination therapy is indicated for the treatment</w:t>
            </w:r>
            <w:r>
              <w:t xml:space="preserve"> </w:t>
            </w:r>
            <w:r w:rsidRPr="00515EC2">
              <w:t>of cystic fibrosis (CF) in people aged 6 years and</w:t>
            </w:r>
            <w:r>
              <w:t xml:space="preserve"> </w:t>
            </w:r>
            <w:r w:rsidRPr="00515EC2">
              <w:t>older who have at least one F508del mutation or</w:t>
            </w:r>
            <w:r>
              <w:t xml:space="preserve"> </w:t>
            </w:r>
            <w:r w:rsidRPr="00515EC2">
              <w:t>another responsive mutation in the cystic fibrosis</w:t>
            </w:r>
            <w:r>
              <w:t xml:space="preserve"> </w:t>
            </w:r>
            <w:r w:rsidRPr="00515EC2">
              <w:t>transmembrane conductance regulator (CFTR)</w:t>
            </w:r>
            <w:r>
              <w:t xml:space="preserve"> </w:t>
            </w:r>
            <w:r w:rsidRPr="00515EC2">
              <w:t>gene</w:t>
            </w:r>
            <w:r>
              <w:t>.</w:t>
            </w:r>
          </w:p>
        </w:tc>
      </w:tr>
    </w:tbl>
    <w:p w14:paraId="6D92589C" w14:textId="09786CEF" w:rsidR="00324B33" w:rsidRDefault="00324B33" w:rsidP="00324B33">
      <w:pPr>
        <w:pStyle w:val="Heading2"/>
      </w:pPr>
      <w:bookmarkStart w:id="32" w:name="_Toc504480011"/>
      <w:bookmarkStart w:id="33" w:name="_Toc103679293"/>
      <w:bookmarkStart w:id="34" w:name="_Toc227661916"/>
      <w:r>
        <w:t>Registration timeline</w:t>
      </w:r>
      <w:bookmarkEnd w:id="32"/>
      <w:bookmarkEnd w:id="33"/>
      <w:bookmarkEnd w:id="34"/>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5B779104" w14:textId="6782FF9D"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0" w:history="1">
        <w:r w:rsidR="00804897">
          <w:rPr>
            <w:rStyle w:val="Hyperlink"/>
          </w:rPr>
          <w:t>orphan drug designation</w:t>
        </w:r>
      </w:hyperlink>
      <w:r w:rsidR="00804897">
        <w:t>.</w:t>
      </w:r>
    </w:p>
    <w:p w14:paraId="5263E729" w14:textId="3DA6C4F5" w:rsidR="005B02A2" w:rsidRPr="003C1192" w:rsidRDefault="00324B33" w:rsidP="003C0C7B">
      <w:pPr>
        <w:pStyle w:val="TableTitle"/>
        <w:rPr>
          <w:iCs/>
        </w:rPr>
      </w:pPr>
      <w:r w:rsidRPr="002C1232">
        <w:t xml:space="preserve">Table </w:t>
      </w:r>
      <w:r w:rsidR="00B25A63">
        <w:t>4.</w:t>
      </w:r>
      <w:r w:rsidRPr="002C1232">
        <w:t xml:space="preserve"> Timeline for Submission PM-202</w:t>
      </w:r>
      <w:r w:rsidR="00C571B3">
        <w:t>4-02396-1-5</w:t>
      </w:r>
    </w:p>
    <w:tbl>
      <w:tblPr>
        <w:tblStyle w:val="TableTGAblue2023"/>
        <w:tblW w:w="9067" w:type="dxa"/>
        <w:tblLook w:val="04A0" w:firstRow="1" w:lastRow="0" w:firstColumn="1" w:lastColumn="0" w:noHBand="0" w:noVBand="1"/>
      </w:tblPr>
      <w:tblGrid>
        <w:gridCol w:w="6516"/>
        <w:gridCol w:w="2551"/>
      </w:tblGrid>
      <w:tr w:rsidR="00324B33" w:rsidRPr="00D01DDB" w14:paraId="6C59BE9C" w14:textId="77777777" w:rsidTr="00D93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1106CC1E" w14:textId="56269E33" w:rsidR="00324B33" w:rsidRPr="00E679D1" w:rsidRDefault="00324B33" w:rsidP="00E679D1">
            <w:r w:rsidRPr="00E679D1">
              <w:t>Designation (Orphan)</w:t>
            </w:r>
          </w:p>
        </w:tc>
        <w:tc>
          <w:tcPr>
            <w:tcW w:w="2551" w:type="dxa"/>
          </w:tcPr>
          <w:p w14:paraId="4CD143CF" w14:textId="5CD75FC3" w:rsidR="00324B33" w:rsidRPr="00D01DDB" w:rsidRDefault="00712540" w:rsidP="00324B33">
            <w:pPr>
              <w:cnfStyle w:val="000000000000" w:firstRow="0" w:lastRow="0" w:firstColumn="0" w:lastColumn="0" w:oddVBand="0" w:evenVBand="0" w:oddHBand="0" w:evenHBand="0" w:firstRowFirstColumn="0" w:firstRowLastColumn="0" w:lastRowFirstColumn="0" w:lastRowLastColumn="0"/>
              <w:rPr>
                <w:szCs w:val="22"/>
              </w:rPr>
            </w:pPr>
            <w:r w:rsidRPr="00712540">
              <w:rPr>
                <w:szCs w:val="22"/>
              </w:rPr>
              <w:t>28 May 2024</w:t>
            </w:r>
          </w:p>
        </w:tc>
      </w:tr>
      <w:tr w:rsidR="00324B33" w:rsidRPr="00D01DDB" w14:paraId="23610C53"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432B7E87" w:rsidR="00324B33" w:rsidRPr="00D01DDB" w:rsidRDefault="008B55E6" w:rsidP="00324B33">
            <w:pPr>
              <w:cnfStyle w:val="000000000000" w:firstRow="0" w:lastRow="0" w:firstColumn="0" w:lastColumn="0" w:oddVBand="0" w:evenVBand="0" w:oddHBand="0" w:evenHBand="0" w:firstRowFirstColumn="0" w:firstRowLastColumn="0" w:lastRowFirstColumn="0" w:lastRowLastColumn="0"/>
              <w:rPr>
                <w:szCs w:val="22"/>
              </w:rPr>
            </w:pPr>
            <w:r w:rsidRPr="008B55E6">
              <w:rPr>
                <w:szCs w:val="22"/>
              </w:rPr>
              <w:t>2 September 2024</w:t>
            </w:r>
          </w:p>
        </w:tc>
      </w:tr>
      <w:tr w:rsidR="00803926" w:rsidRPr="00D01DDB" w14:paraId="16D13F79"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551" w:type="dxa"/>
          </w:tcPr>
          <w:p w14:paraId="2E0BD403" w14:textId="19A6B9FA" w:rsidR="00803926" w:rsidRPr="00D01DDB" w:rsidRDefault="008B55E6" w:rsidP="00324B33">
            <w:pPr>
              <w:cnfStyle w:val="000000000000" w:firstRow="0" w:lastRow="0" w:firstColumn="0" w:lastColumn="0" w:oddVBand="0" w:evenVBand="0" w:oddHBand="0" w:evenHBand="0" w:firstRowFirstColumn="0" w:firstRowLastColumn="0" w:lastRowFirstColumn="0" w:lastRowLastColumn="0"/>
              <w:rPr>
                <w:szCs w:val="22"/>
              </w:rPr>
            </w:pPr>
            <w:r w:rsidRPr="008B55E6">
              <w:rPr>
                <w:szCs w:val="22"/>
              </w:rPr>
              <w:t>11 September 2025</w:t>
            </w:r>
          </w:p>
        </w:tc>
      </w:tr>
      <w:tr w:rsidR="00324B33" w:rsidRPr="00D01DDB" w14:paraId="5754F7AC"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789DE187" w14:textId="438F4A68" w:rsidR="00324B33" w:rsidRPr="00E679D1" w:rsidRDefault="00324B33" w:rsidP="00E679D1">
            <w:r w:rsidRPr="00E679D1">
              <w:t xml:space="preserve">Advisory </w:t>
            </w:r>
            <w:r w:rsidR="00F8568E">
              <w:t>c</w:t>
            </w:r>
            <w:r w:rsidRPr="00E679D1">
              <w:t>ommittee meeting</w:t>
            </w:r>
          </w:p>
        </w:tc>
        <w:tc>
          <w:tcPr>
            <w:tcW w:w="2551" w:type="dxa"/>
          </w:tcPr>
          <w:p w14:paraId="5BE1EDE7" w14:textId="23C638B5" w:rsidR="00324B33" w:rsidRPr="00D01DDB" w:rsidRDefault="008B55E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October 2025</w:t>
            </w:r>
          </w:p>
        </w:tc>
      </w:tr>
      <w:tr w:rsidR="00324B33" w:rsidRPr="00D01DDB" w14:paraId="6E5D32FE"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E679D1">
            <w:r w:rsidRPr="00E679D1">
              <w:t>Registration decision (Outcome)</w:t>
            </w:r>
          </w:p>
        </w:tc>
        <w:tc>
          <w:tcPr>
            <w:tcW w:w="2551" w:type="dxa"/>
          </w:tcPr>
          <w:p w14:paraId="62987ABD" w14:textId="28DC64DE" w:rsidR="00324B33" w:rsidRPr="00D01DDB" w:rsidRDefault="007F4B0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2025</w:t>
            </w:r>
          </w:p>
        </w:tc>
      </w:tr>
      <w:tr w:rsidR="00324B33" w:rsidRPr="00D01DDB" w14:paraId="6DDCDDA4"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192FD19D" w14:textId="3A0D1BCD"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551" w:type="dxa"/>
          </w:tcPr>
          <w:p w14:paraId="5A8923FD" w14:textId="0E55C38B" w:rsidR="00324B33" w:rsidRPr="00D01DDB" w:rsidRDefault="007F4B0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November 2025</w:t>
            </w:r>
          </w:p>
        </w:tc>
      </w:tr>
      <w:tr w:rsidR="00324B33" w:rsidRPr="00D01DDB" w14:paraId="56D922E2" w14:textId="77777777" w:rsidTr="00D93C1D">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5960851C" w:rsidR="00324B33" w:rsidRPr="00D01DDB" w:rsidRDefault="0082421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212</w:t>
            </w:r>
          </w:p>
        </w:tc>
      </w:tr>
    </w:tbl>
    <w:p w14:paraId="34E07584" w14:textId="7E08E073" w:rsidR="00C22214" w:rsidRDefault="00433318" w:rsidP="00C22214">
      <w:pPr>
        <w:pStyle w:val="TableDescription"/>
      </w:pPr>
      <w:r>
        <w:t>*</w:t>
      </w:r>
      <w:r w:rsidRPr="00BF3774">
        <w:t xml:space="preserve">Statutory </w:t>
      </w:r>
      <w:r>
        <w:t>timeframe for standard submissions is 255 working days</w:t>
      </w:r>
    </w:p>
    <w:p w14:paraId="220925F1" w14:textId="02F39E97" w:rsidR="00C22214" w:rsidRPr="00792A32" w:rsidRDefault="00083763" w:rsidP="00C22214">
      <w:pPr>
        <w:pStyle w:val="Heading2"/>
      </w:pPr>
      <w:bookmarkStart w:id="35" w:name="_Toc227661917"/>
      <w:bookmarkStart w:id="36" w:name="_Toc196046504"/>
      <w:bookmarkStart w:id="37" w:name="_Toc247691527"/>
      <w:bookmarkStart w:id="38" w:name="_Toc314842510"/>
      <w:bookmarkStart w:id="39" w:name="_Toc103679294"/>
      <w:r>
        <w:t xml:space="preserve">Assessment </w:t>
      </w:r>
      <w:r w:rsidR="00C22214" w:rsidRPr="00006FAB">
        <w:t>overview</w:t>
      </w:r>
      <w:bookmarkEnd w:id="35"/>
      <w:r w:rsidR="00C22214" w:rsidRPr="00006FAB">
        <w:t xml:space="preserve"> </w:t>
      </w:r>
      <w:bookmarkEnd w:id="36"/>
      <w:bookmarkEnd w:id="37"/>
      <w:bookmarkEnd w:id="38"/>
      <w:bookmarkEnd w:id="39"/>
    </w:p>
    <w:p w14:paraId="540151FC" w14:textId="77777777" w:rsidR="00C22214" w:rsidRPr="00BD5DBD" w:rsidRDefault="00C22214" w:rsidP="00BD5DBD">
      <w:pPr>
        <w:rPr>
          <w:szCs w:val="22"/>
        </w:rPr>
      </w:pPr>
      <w:bookmarkStart w:id="40" w:name="_Toc247691528"/>
      <w:bookmarkStart w:id="41" w:name="_Toc314842511"/>
      <w:r w:rsidRPr="00BD5DBD">
        <w:rPr>
          <w:szCs w:val="22"/>
        </w:rPr>
        <w:t>A summary of the TGA’s assessment for this submission is provided below.</w:t>
      </w:r>
    </w:p>
    <w:p w14:paraId="37F5A1C0" w14:textId="79B57B57" w:rsidR="00C22214" w:rsidRDefault="00095C6A" w:rsidP="00C22214">
      <w:pPr>
        <w:pStyle w:val="Heading3"/>
      </w:pPr>
      <w:bookmarkStart w:id="42" w:name="_Toc103679295"/>
      <w:bookmarkStart w:id="43" w:name="_Toc227661918"/>
      <w:r>
        <w:t>Q</w:t>
      </w:r>
      <w:r w:rsidR="0070351C">
        <w:t>u</w:t>
      </w:r>
      <w:r w:rsidR="00C22214">
        <w:t>ality</w:t>
      </w:r>
      <w:bookmarkEnd w:id="40"/>
      <w:bookmarkEnd w:id="41"/>
      <w:bookmarkEnd w:id="42"/>
      <w:r w:rsidR="007E6443">
        <w:t xml:space="preserve"> evaluation</w:t>
      </w:r>
      <w:r>
        <w:t xml:space="preserve"> summary</w:t>
      </w:r>
      <w:bookmarkEnd w:id="43"/>
    </w:p>
    <w:p w14:paraId="24F6A016" w14:textId="048F5F77" w:rsidR="00057093" w:rsidRPr="00057093" w:rsidRDefault="002502A0" w:rsidP="00057093">
      <w:r w:rsidRPr="002502A0">
        <w:t>The vanzacaftor drug substance is manufactured by a chemical synthetic process. The in-process controls and process parameters are considered sufficient to manufacture vanzacaftor of appropriate quality.</w:t>
      </w:r>
      <w:r w:rsidR="000D3E21" w:rsidRPr="000D3E21">
        <w:rPr>
          <w:rFonts w:eastAsia="Times New Roman" w:cs="Times New Roman"/>
          <w:b/>
          <w:bCs/>
          <w:snapToGrid w:val="0"/>
          <w:kern w:val="16"/>
          <w:szCs w:val="24"/>
        </w:rPr>
        <w:t xml:space="preserve"> </w:t>
      </w:r>
      <w:r w:rsidR="000D3E21" w:rsidRPr="000D3E21">
        <w:t>The drug substance is a crystalline powder, obtained as the hydrate Form D. It is practically insoluble in aqueous media and slightly soluble in polar organic media. It is considered as a BCS Class II substance (based on the solubility across the physiological pH range and the maximum daily dose).</w:t>
      </w:r>
      <w:r w:rsidR="009C79D3">
        <w:t xml:space="preserve"> </w:t>
      </w:r>
      <w:r w:rsidR="00057093" w:rsidRPr="00057093">
        <w:t>The proposed specification adequately controls the identity, potency, purity and chemical and physical properties of the drug substance relevant to the dose form</w:t>
      </w:r>
      <w:r w:rsidR="00231E5A">
        <w:t>.</w:t>
      </w:r>
      <w:r w:rsidR="00057093" w:rsidRPr="00057093">
        <w:t xml:space="preserve"> </w:t>
      </w:r>
    </w:p>
    <w:p w14:paraId="405508BB" w14:textId="05218E5F" w:rsidR="00D33DC7" w:rsidRDefault="00D33DC7" w:rsidP="00D33DC7">
      <w:r w:rsidRPr="00D33DC7">
        <w:lastRenderedPageBreak/>
        <w:t>The manufacture and quality control of tezacaftor is consistent with that approved by the TGA in Vertex’s other tezacaftor-containing product S</w:t>
      </w:r>
      <w:r w:rsidR="00D57388">
        <w:t>ymdeko</w:t>
      </w:r>
      <w:r w:rsidR="004F6271">
        <w:t>.</w:t>
      </w:r>
      <w:r w:rsidR="004F6271" w:rsidRPr="004F6271">
        <w:rPr>
          <w:vertAlign w:val="superscript"/>
        </w:rPr>
        <w:fldChar w:fldCharType="begin"/>
      </w:r>
      <w:r w:rsidR="004F6271" w:rsidRPr="004F6271">
        <w:rPr>
          <w:vertAlign w:val="superscript"/>
        </w:rPr>
        <w:instrText xml:space="preserve"> NOTEREF _Ref224735026 \h </w:instrText>
      </w:r>
      <w:r w:rsidR="004F6271">
        <w:rPr>
          <w:vertAlign w:val="superscript"/>
        </w:rPr>
        <w:instrText xml:space="preserve"> \* MERGEFORMAT </w:instrText>
      </w:r>
      <w:r w:rsidR="004F6271" w:rsidRPr="004F6271">
        <w:rPr>
          <w:vertAlign w:val="superscript"/>
        </w:rPr>
      </w:r>
      <w:r w:rsidR="004F6271" w:rsidRPr="004F6271">
        <w:rPr>
          <w:vertAlign w:val="superscript"/>
        </w:rPr>
        <w:fldChar w:fldCharType="separate"/>
      </w:r>
      <w:r w:rsidR="004F6271" w:rsidRPr="004F6271">
        <w:rPr>
          <w:vertAlign w:val="superscript"/>
        </w:rPr>
        <w:t>14</w:t>
      </w:r>
      <w:r w:rsidR="004F6271" w:rsidRPr="004F6271">
        <w:rPr>
          <w:vertAlign w:val="superscript"/>
        </w:rPr>
        <w:fldChar w:fldCharType="end"/>
      </w:r>
      <w:r w:rsidR="004F6271" w:rsidRPr="004F6271">
        <w:rPr>
          <w:vertAlign w:val="superscript"/>
        </w:rPr>
        <w:t>,</w:t>
      </w:r>
      <w:r w:rsidR="004F6271" w:rsidRPr="004F6271">
        <w:rPr>
          <w:vertAlign w:val="superscript"/>
        </w:rPr>
        <w:fldChar w:fldCharType="begin"/>
      </w:r>
      <w:r w:rsidR="004F6271" w:rsidRPr="004F6271">
        <w:rPr>
          <w:vertAlign w:val="superscript"/>
        </w:rPr>
        <w:instrText xml:space="preserve"> NOTEREF _Ref224735028 \h </w:instrText>
      </w:r>
      <w:r w:rsidR="004F6271">
        <w:rPr>
          <w:vertAlign w:val="superscript"/>
        </w:rPr>
        <w:instrText xml:space="preserve"> \* MERGEFORMAT </w:instrText>
      </w:r>
      <w:r w:rsidR="004F6271" w:rsidRPr="004F6271">
        <w:rPr>
          <w:vertAlign w:val="superscript"/>
        </w:rPr>
      </w:r>
      <w:r w:rsidR="004F6271" w:rsidRPr="004F6271">
        <w:rPr>
          <w:vertAlign w:val="superscript"/>
        </w:rPr>
        <w:fldChar w:fldCharType="separate"/>
      </w:r>
      <w:r w:rsidR="004F6271" w:rsidRPr="004F6271">
        <w:rPr>
          <w:vertAlign w:val="superscript"/>
        </w:rPr>
        <w:t>15</w:t>
      </w:r>
      <w:r w:rsidR="004F6271" w:rsidRPr="004F6271">
        <w:rPr>
          <w:vertAlign w:val="superscript"/>
        </w:rPr>
        <w:fldChar w:fldCharType="end"/>
      </w:r>
      <w:r w:rsidRPr="00D33DC7">
        <w:t xml:space="preserve"> As such, it was not subject to further detailed evaluation in related to this submission.</w:t>
      </w:r>
    </w:p>
    <w:p w14:paraId="085657D2" w14:textId="1D0E0077" w:rsidR="00B45145" w:rsidRPr="00B45145" w:rsidRDefault="008B4BC8" w:rsidP="00B45145">
      <w:r w:rsidRPr="002203BE">
        <w:t>Deutivacaftor is</w:t>
      </w:r>
      <w:r w:rsidRPr="008B4BC8">
        <w:t xml:space="preserve"> manufactured by a synthetic chemical process.</w:t>
      </w:r>
      <w:r w:rsidR="00C038D3" w:rsidRPr="00C038D3">
        <w:rPr>
          <w:rFonts w:eastAsia="Times New Roman" w:cs="Times New Roman"/>
          <w:b/>
          <w:bCs/>
          <w:snapToGrid w:val="0"/>
          <w:kern w:val="16"/>
          <w:szCs w:val="24"/>
        </w:rPr>
        <w:t xml:space="preserve"> </w:t>
      </w:r>
      <w:r w:rsidR="00C038D3" w:rsidRPr="00C038D3">
        <w:t>Deutivacaftor is analogous to the previously approved active substance ivacaftor, differing only in deuteration of three methyl groups, and as such the manufacturing process was modelled on that of ivacaftor.</w:t>
      </w:r>
      <w:r w:rsidR="00B45145" w:rsidRPr="00B45145">
        <w:rPr>
          <w:rFonts w:eastAsia="Times New Roman" w:cs="Times New Roman"/>
          <w:b/>
          <w:bCs/>
          <w:snapToGrid w:val="0"/>
          <w:kern w:val="16"/>
          <w:szCs w:val="24"/>
        </w:rPr>
        <w:t xml:space="preserve"> </w:t>
      </w:r>
      <w:r w:rsidR="00B45145" w:rsidRPr="00B45145">
        <w:t xml:space="preserve">The proposed specification adequately controls the identity, potency, purity and chemical and physical properties of the drug substance relevant to the dose form. </w:t>
      </w:r>
      <w:r w:rsidR="007B5CA3" w:rsidRPr="007B5CA3">
        <w:t>The synthetic impurities are controlled to either ICH Q3A or where higher were adequately qualified.</w:t>
      </w:r>
    </w:p>
    <w:p w14:paraId="75DDECD6" w14:textId="1EB0DD36" w:rsidR="007104C1" w:rsidRPr="007104C1" w:rsidRDefault="007104C1" w:rsidP="009A0866">
      <w:r w:rsidRPr="007104C1">
        <w:t xml:space="preserve">The </w:t>
      </w:r>
      <w:r w:rsidR="005A0EA9">
        <w:t>proposed drug product (</w:t>
      </w:r>
      <w:r w:rsidRPr="007104C1">
        <w:t>FDC tablets</w:t>
      </w:r>
      <w:r w:rsidR="005A0EA9">
        <w:t>)</w:t>
      </w:r>
      <w:r w:rsidRPr="007104C1">
        <w:t xml:space="preserve"> come in two strengths:</w:t>
      </w:r>
    </w:p>
    <w:p w14:paraId="21936E75" w14:textId="7C7D1952" w:rsidR="007104C1" w:rsidRPr="007104C1" w:rsidRDefault="007104C1" w:rsidP="00451FF0">
      <w:pPr>
        <w:pStyle w:val="ListBullet"/>
      </w:pPr>
      <w:r w:rsidRPr="0003640E">
        <w:rPr>
          <w:b/>
          <w:bCs/>
        </w:rPr>
        <w:t xml:space="preserve">4/20/50 </w:t>
      </w:r>
      <w:r w:rsidRPr="007104C1">
        <w:t>strength is purple, 7.35 mm diameter round-shaped tablet debossed with ‘V4’</w:t>
      </w:r>
      <w:r w:rsidR="0003640E">
        <w:t xml:space="preserve"> </w:t>
      </w:r>
      <w:r w:rsidRPr="007104C1">
        <w:t>on one side and plain on the other.</w:t>
      </w:r>
    </w:p>
    <w:p w14:paraId="3DF7A188" w14:textId="70AC259C" w:rsidR="007104C1" w:rsidRPr="007104C1" w:rsidRDefault="007104C1" w:rsidP="00E326D6">
      <w:pPr>
        <w:pStyle w:val="ListBullet"/>
      </w:pPr>
      <w:r w:rsidRPr="0003640E">
        <w:rPr>
          <w:b/>
          <w:bCs/>
        </w:rPr>
        <w:t xml:space="preserve">10/50/125 </w:t>
      </w:r>
      <w:r w:rsidRPr="007104C1">
        <w:t>strength is purple, 15 mm × 7 mm capsule-shaped tablet debossed with</w:t>
      </w:r>
      <w:r w:rsidR="0003640E">
        <w:t xml:space="preserve"> </w:t>
      </w:r>
      <w:r w:rsidRPr="007104C1">
        <w:t>‘V10’ on one side and plain on the other.</w:t>
      </w:r>
    </w:p>
    <w:p w14:paraId="70FDC670" w14:textId="77777777" w:rsidR="00742B93" w:rsidRPr="00742B93" w:rsidRDefault="007104C1" w:rsidP="00742B93">
      <w:r w:rsidRPr="007104C1">
        <w:t xml:space="preserve">The proposed presentations are </w:t>
      </w:r>
      <w:proofErr w:type="spellStart"/>
      <w:r w:rsidR="00742B93" w:rsidRPr="00742B93">
        <w:t>Aclar</w:t>
      </w:r>
      <w:proofErr w:type="spellEnd"/>
      <w:r w:rsidR="00742B93" w:rsidRPr="00742B93">
        <w:t>/PVC/Al blister packs in sizes of 84 (4/20/50 mg) or 56 (10/50/125 mg) tablets, sufficient for 28 days of treatment.</w:t>
      </w:r>
    </w:p>
    <w:p w14:paraId="78A0A3A8" w14:textId="77777777" w:rsidR="00381965" w:rsidRDefault="007104C1" w:rsidP="0003640E">
      <w:r w:rsidRPr="007104C1">
        <w:t xml:space="preserve">Dosing is depending on the weight of the patient: </w:t>
      </w:r>
    </w:p>
    <w:p w14:paraId="6FD4D620" w14:textId="26420C90" w:rsidR="00381965" w:rsidRDefault="007104C1" w:rsidP="00381965">
      <w:pPr>
        <w:pStyle w:val="ListBullet"/>
      </w:pPr>
      <w:r w:rsidRPr="007104C1">
        <w:t xml:space="preserve">Patients weighing </w:t>
      </w:r>
      <w:r w:rsidR="0003640E">
        <w:t>less than</w:t>
      </w:r>
      <w:r w:rsidR="00560A23">
        <w:t xml:space="preserve"> </w:t>
      </w:r>
      <w:r w:rsidRPr="007104C1">
        <w:t>40 kg take three 4/20/50</w:t>
      </w:r>
      <w:r w:rsidR="0003640E">
        <w:t xml:space="preserve"> </w:t>
      </w:r>
      <w:r w:rsidRPr="007104C1">
        <w:t>tablets once daily</w:t>
      </w:r>
      <w:r w:rsidR="00A52355">
        <w:t>,</w:t>
      </w:r>
    </w:p>
    <w:p w14:paraId="5881323F" w14:textId="60227A7C" w:rsidR="007104C1" w:rsidRPr="007104C1" w:rsidRDefault="007104C1" w:rsidP="001764E1">
      <w:pPr>
        <w:pStyle w:val="ListBullet"/>
      </w:pPr>
      <w:r w:rsidRPr="007104C1">
        <w:t xml:space="preserve">Patients weighing </w:t>
      </w:r>
      <w:r w:rsidR="00560A23">
        <w:t xml:space="preserve">equal to or greater than </w:t>
      </w:r>
      <w:r w:rsidRPr="007104C1">
        <w:t>40 kg take two 10/50/125 tablets once daily. Maximum</w:t>
      </w:r>
      <w:r w:rsidR="00560A23">
        <w:t xml:space="preserve"> </w:t>
      </w:r>
      <w:r w:rsidRPr="007104C1">
        <w:t>daily doses, based on the dosing for patients weighing ≥40 kg, are: 20 mg (vanzacaftor); 100 mg</w:t>
      </w:r>
      <w:r w:rsidR="00560A23">
        <w:t xml:space="preserve"> </w:t>
      </w:r>
      <w:r w:rsidRPr="007104C1">
        <w:t>(tezacaftor); 250 mg (deutivacaftor).</w:t>
      </w:r>
    </w:p>
    <w:p w14:paraId="3DFE351D" w14:textId="2CFCD38C" w:rsidR="007104C1" w:rsidRDefault="007104C1" w:rsidP="0003640E">
      <w:r w:rsidRPr="007104C1">
        <w:t>Tablets should be swallowed whole and taken with fat-containing food. Examples of meals or</w:t>
      </w:r>
      <w:r w:rsidR="00560A23">
        <w:t xml:space="preserve"> </w:t>
      </w:r>
      <w:r w:rsidRPr="007104C1">
        <w:t>snacks that contain fat are those prepared with butter or oils or those containing eggs, peanut</w:t>
      </w:r>
      <w:r w:rsidR="00560A23">
        <w:t xml:space="preserve"> </w:t>
      </w:r>
      <w:r w:rsidRPr="007104C1">
        <w:t>butter, cheeses, nuts, whole milk, or meats. Food or drink containing grapefruit should be</w:t>
      </w:r>
      <w:r w:rsidR="00560A23">
        <w:t xml:space="preserve"> </w:t>
      </w:r>
      <w:r w:rsidRPr="007104C1">
        <w:t>avoided.</w:t>
      </w:r>
    </w:p>
    <w:p w14:paraId="1B95D7F8" w14:textId="7099805E" w:rsidR="00F83534" w:rsidRPr="007104C1" w:rsidRDefault="00F83534" w:rsidP="0003640E">
      <w:r w:rsidRPr="00F83534">
        <w:rPr>
          <w:lang w:val="en-US"/>
        </w:rPr>
        <w:t>In Australia,</w:t>
      </w:r>
      <w:r w:rsidR="00D747EB" w:rsidRPr="00D747EB">
        <w:rPr>
          <w:rFonts w:eastAsia="Times New Roman" w:cs="Times New Roman"/>
          <w:b/>
          <w:bCs/>
          <w:snapToGrid w:val="0"/>
          <w:kern w:val="16"/>
          <w:szCs w:val="24"/>
        </w:rPr>
        <w:t xml:space="preserve"> </w:t>
      </w:r>
      <w:r w:rsidR="00D747EB">
        <w:t>a</w:t>
      </w:r>
      <w:r w:rsidR="00D747EB" w:rsidRPr="00D747EB">
        <w:t xml:space="preserve"> shelf life of 24 months when stored below 30 ᵒC is supported.</w:t>
      </w:r>
      <w:r w:rsidR="00285BC8">
        <w:t xml:space="preserve"> </w:t>
      </w:r>
      <w:r w:rsidRPr="00F83534">
        <w:rPr>
          <w:lang w:val="en-US"/>
        </w:rPr>
        <w:t>The expiry date can be found on the packaging.</w:t>
      </w:r>
    </w:p>
    <w:p w14:paraId="5CE395A2" w14:textId="31F98BE2" w:rsidR="009A0866" w:rsidRPr="009A0866" w:rsidRDefault="009A0866" w:rsidP="009A0866">
      <w:r w:rsidRPr="009A0866">
        <w:t xml:space="preserve">The evaluator has stated the following: </w:t>
      </w:r>
      <w:r w:rsidR="009124D5">
        <w:t>‘</w:t>
      </w:r>
      <w:r w:rsidRPr="009A0866">
        <w:t xml:space="preserve">Approval is </w:t>
      </w:r>
      <w:sdt>
        <w:sdtPr>
          <w:alias w:val="Approval"/>
          <w:tag w:val="Approval"/>
          <w:id w:val="484980185"/>
          <w:placeholder>
            <w:docPart w:val="256999C5B71642DEBC542CBA3C19FCFB"/>
          </w:placeholder>
          <w:dropDownList>
            <w:listItem w:displayText="recommended" w:value="recommended"/>
            <w:listItem w:displayText="not recommended " w:value="not recommended "/>
            <w:listItem w:displayText="Choose an item" w:value="Choose an item"/>
          </w:dropDownList>
        </w:sdtPr>
        <w:sdtEndPr/>
        <w:sdtContent>
          <w:r w:rsidRPr="009A0866">
            <w:t>recommended</w:t>
          </w:r>
        </w:sdtContent>
      </w:sdt>
      <w:r w:rsidRPr="009A0866">
        <w:t xml:space="preserve"> for registration of the proposed product</w:t>
      </w:r>
      <w:r w:rsidRPr="009A0866">
        <w:rPr>
          <w:b/>
        </w:rPr>
        <w:t xml:space="preserve"> </w:t>
      </w:r>
      <w:r w:rsidRPr="009A0866">
        <w:t>from a pharmaceutical chemistry perspective</w:t>
      </w:r>
      <w:r w:rsidR="009124D5">
        <w:t>’</w:t>
      </w:r>
      <w:r w:rsidRPr="009A0866">
        <w:t xml:space="preserve">. </w:t>
      </w:r>
    </w:p>
    <w:p w14:paraId="2BE90AAE" w14:textId="35796FD3" w:rsidR="00C22214" w:rsidRDefault="00C22214" w:rsidP="00C22214">
      <w:pPr>
        <w:pStyle w:val="Heading3"/>
      </w:pPr>
      <w:bookmarkStart w:id="44" w:name="_Toc314842512"/>
      <w:bookmarkStart w:id="45" w:name="_Toc103679296"/>
      <w:bookmarkStart w:id="46" w:name="_Toc227661919"/>
      <w:r>
        <w:t>Nonclinical</w:t>
      </w:r>
      <w:bookmarkEnd w:id="44"/>
      <w:bookmarkEnd w:id="45"/>
      <w:r w:rsidR="007E6443">
        <w:t xml:space="preserve"> evaluation</w:t>
      </w:r>
      <w:r w:rsidR="00095C6A">
        <w:t xml:space="preserve"> summary</w:t>
      </w:r>
      <w:bookmarkEnd w:id="46"/>
    </w:p>
    <w:p w14:paraId="4337B01D" w14:textId="05093DE9" w:rsidR="00327EDB" w:rsidRPr="00B919DA" w:rsidRDefault="003B0030" w:rsidP="00327EDB">
      <w:pPr>
        <w:rPr>
          <w:kern w:val="2"/>
        </w:rPr>
      </w:pPr>
      <w:r>
        <w:rPr>
          <w:kern w:val="2"/>
        </w:rPr>
        <w:t xml:space="preserve">Nonclinical </w:t>
      </w:r>
      <w:r w:rsidR="00C90B46">
        <w:rPr>
          <w:kern w:val="2"/>
        </w:rPr>
        <w:t>evaluation</w:t>
      </w:r>
      <w:r w:rsidR="00327EDB" w:rsidRPr="00B919DA">
        <w:rPr>
          <w:kern w:val="2"/>
        </w:rPr>
        <w:t xml:space="preserve"> contained studies with single-agent vanzacaftor, single-agent deutivacaftor and vanzacaftor, tezacaftor and deutivacaftor in combination. As well, previously evaluated data for tezacaftor in combination with </w:t>
      </w:r>
      <w:r w:rsidR="00327EDB" w:rsidRPr="00B919DA">
        <w:t xml:space="preserve">ivacaftor and </w:t>
      </w:r>
      <w:proofErr w:type="spellStart"/>
      <w:r w:rsidR="00327EDB" w:rsidRPr="00B919DA">
        <w:t>elexacaftor</w:t>
      </w:r>
      <w:proofErr w:type="spellEnd"/>
      <w:r w:rsidR="00327EDB" w:rsidRPr="00B919DA">
        <w:t>,</w:t>
      </w:r>
      <w:r w:rsidR="00327EDB" w:rsidRPr="00B919DA">
        <w:rPr>
          <w:kern w:val="2"/>
        </w:rPr>
        <w:t xml:space="preserve"> and ivacaftor as single agent (for comparison with deutivacaftor metabolism, exposure and safety) were also provided.</w:t>
      </w:r>
    </w:p>
    <w:p w14:paraId="4A6C16FC" w14:textId="77777777" w:rsidR="00327EDB" w:rsidRPr="00B919DA" w:rsidRDefault="00327EDB" w:rsidP="00327EDB">
      <w:pPr>
        <w:rPr>
          <w:kern w:val="2"/>
        </w:rPr>
      </w:pPr>
      <w:r w:rsidRPr="00B919DA">
        <w:rPr>
          <w:kern w:val="2"/>
        </w:rPr>
        <w:t>Vanzacaftor is a next-</w:t>
      </w:r>
      <w:r w:rsidRPr="00C90B46">
        <w:rPr>
          <w:kern w:val="2"/>
        </w:rPr>
        <w:t xml:space="preserve">generation </w:t>
      </w:r>
      <w:r w:rsidRPr="00C90B46">
        <w:t>CFTR corrector (increasing</w:t>
      </w:r>
      <w:r w:rsidRPr="00B919DA">
        <w:t xml:space="preserve"> the amount of CFTR delivered to the </w:t>
      </w:r>
      <w:r w:rsidRPr="002778B9">
        <w:t>cell surface</w:t>
      </w:r>
      <w:r w:rsidRPr="00B919DA">
        <w:t xml:space="preserve">). Deutivacaftor, a deuterated </w:t>
      </w:r>
      <w:proofErr w:type="spellStart"/>
      <w:r w:rsidRPr="00B919DA">
        <w:t>isotopolog</w:t>
      </w:r>
      <w:proofErr w:type="spellEnd"/>
      <w:r w:rsidRPr="00B919DA">
        <w:t xml:space="preserve"> of ivacaftor, is a CFTR </w:t>
      </w:r>
      <w:r w:rsidRPr="002778B9">
        <w:t>potentiator</w:t>
      </w:r>
      <w:r w:rsidRPr="00B919DA">
        <w:t xml:space="preserve"> (increasing chloride channel </w:t>
      </w:r>
      <w:r w:rsidRPr="002778B9">
        <w:t>open probability) with</w:t>
      </w:r>
      <w:r w:rsidRPr="00B919DA">
        <w:t xml:space="preserve"> a reduced rate of clearance and longer half-life than ivacaftor. Tezacaftor is an earlier generation CFTR corrector. Vanzacaftor, tezacaftor, and deutivacaftor bind to distinct sites on the CFTR protein, located away from the site of the protein defect caused by F508del or other responsive CFTR gene mutations. Vanzacaftor binds to the same site on CFTR as </w:t>
      </w:r>
      <w:proofErr w:type="spellStart"/>
      <w:r w:rsidRPr="00B919DA">
        <w:t>elexacaftor</w:t>
      </w:r>
      <w:proofErr w:type="spellEnd"/>
      <w:r w:rsidRPr="00B919DA">
        <w:t>.</w:t>
      </w:r>
    </w:p>
    <w:p w14:paraId="2FBAA235" w14:textId="77777777" w:rsidR="00327EDB" w:rsidRPr="00B919DA" w:rsidRDefault="00327EDB" w:rsidP="00327EDB">
      <w:pPr>
        <w:rPr>
          <w:kern w:val="2"/>
        </w:rPr>
      </w:pPr>
      <w:r w:rsidRPr="00B919DA">
        <w:rPr>
          <w:i/>
          <w:iCs/>
          <w:kern w:val="2"/>
        </w:rPr>
        <w:lastRenderedPageBreak/>
        <w:t>In vitro</w:t>
      </w:r>
      <w:r w:rsidRPr="00B919DA">
        <w:rPr>
          <w:kern w:val="2"/>
        </w:rPr>
        <w:t xml:space="preserve"> studies showed that vanzacaftor</w:t>
      </w:r>
      <w:r w:rsidRPr="00B919DA">
        <w:t xml:space="preserve"> in combination with tezacaftor and deutivacaftor improved CFTR processing and trafficking in human bronchial epithelial (HBE) cells derived from CF donors homozygous for common CF-causing CFTR mutation </w:t>
      </w:r>
      <w:r w:rsidRPr="00B919DA">
        <w:rPr>
          <w:i/>
          <w:iCs/>
        </w:rPr>
        <w:t>F508del</w:t>
      </w:r>
      <w:r w:rsidRPr="00B919DA">
        <w:t xml:space="preserve"> or heterozygous for </w:t>
      </w:r>
      <w:r w:rsidRPr="00B919DA">
        <w:rPr>
          <w:i/>
          <w:iCs/>
        </w:rPr>
        <w:t>F508del</w:t>
      </w:r>
      <w:r w:rsidRPr="00B919DA">
        <w:t xml:space="preserve"> and a minimal function (MF) CFTR mutation (e.g. </w:t>
      </w:r>
      <w:r w:rsidRPr="00B919DA">
        <w:rPr>
          <w:i/>
          <w:iCs/>
        </w:rPr>
        <w:t>G542X</w:t>
      </w:r>
      <w:r w:rsidRPr="00B919DA">
        <w:t xml:space="preserve">, </w:t>
      </w:r>
      <w:r w:rsidRPr="00B919DA">
        <w:rPr>
          <w:i/>
          <w:iCs/>
        </w:rPr>
        <w:t>3905insT</w:t>
      </w:r>
      <w:r w:rsidRPr="00B919DA">
        <w:t xml:space="preserve"> and </w:t>
      </w:r>
      <w:r w:rsidRPr="00B919DA">
        <w:rPr>
          <w:i/>
          <w:iCs/>
        </w:rPr>
        <w:t>1898+1G&gt;A</w:t>
      </w:r>
      <w:r w:rsidRPr="00B919DA">
        <w:t xml:space="preserve">). The triple combination increased </w:t>
      </w:r>
      <w:r w:rsidRPr="00B919DA">
        <w:rPr>
          <w:i/>
          <w:iCs/>
        </w:rPr>
        <w:t>F508del</w:t>
      </w:r>
      <w:r w:rsidRPr="00B919DA">
        <w:t>-CFTR-mediated chloride</w:t>
      </w:r>
      <w:r w:rsidRPr="00B919DA">
        <w:rPr>
          <w:vertAlign w:val="superscript"/>
        </w:rPr>
        <w:t>-</w:t>
      </w:r>
      <w:r w:rsidRPr="00B919DA">
        <w:t xml:space="preserve"> transport in HBE cells to a greater extent than dual agent or single agent treatment. Deutivacaftor and ivacaftor exhibited similar potency and efficacy for CFTR potentiator activity (i.e. chloride current conductance) in HBE cells.</w:t>
      </w:r>
    </w:p>
    <w:p w14:paraId="25ED8ADF" w14:textId="25346308" w:rsidR="00327EDB" w:rsidRPr="00B919DA" w:rsidRDefault="00327EDB" w:rsidP="00327EDB">
      <w:pPr>
        <w:rPr>
          <w:kern w:val="2"/>
        </w:rPr>
      </w:pPr>
      <w:r w:rsidRPr="00B919DA">
        <w:rPr>
          <w:kern w:val="2"/>
        </w:rPr>
        <w:t xml:space="preserve">Pharmacological profiling of CFTR mutants for responsiveness to the triple combination was also conducted </w:t>
      </w:r>
      <w:r w:rsidRPr="00B919DA">
        <w:rPr>
          <w:i/>
          <w:iCs/>
          <w:kern w:val="2"/>
        </w:rPr>
        <w:t>in vitro</w:t>
      </w:r>
      <w:r w:rsidRPr="00B919DA">
        <w:rPr>
          <w:kern w:val="2"/>
        </w:rPr>
        <w:t xml:space="preserve"> using the Fischer Rat Thyroid (FRT) epithelial cell expression system. A set of 475 CF-causing CFTR mutations were screened for triple combination changes in CFTR processing and trafficking (as cell surface expression of CFTR protein) and function (as chloride transport above baseline that is ≥10% of normal wild-type CFTR activity). Of the 475 CFTR mutants, 420 (plus </w:t>
      </w:r>
      <w:r w:rsidRPr="00B919DA">
        <w:rPr>
          <w:i/>
          <w:iCs/>
          <w:kern w:val="2"/>
        </w:rPr>
        <w:t>F508del</w:t>
      </w:r>
      <w:r w:rsidRPr="00B919DA">
        <w:rPr>
          <w:kern w:val="2"/>
        </w:rPr>
        <w:t xml:space="preserve">) were found to be responsive to treatment with vanzacaftor, tezacaftor and deutivacaftor. A large subset of these responsive mutants was also shown to be responsive to the </w:t>
      </w:r>
      <w:proofErr w:type="spellStart"/>
      <w:r w:rsidR="00F844A9">
        <w:rPr>
          <w:kern w:val="2"/>
        </w:rPr>
        <w:t>Trikafta</w:t>
      </w:r>
      <w:proofErr w:type="spellEnd"/>
      <w:r w:rsidRPr="00B919DA">
        <w:rPr>
          <w:kern w:val="2"/>
        </w:rPr>
        <w:t xml:space="preserve"> combination of </w:t>
      </w:r>
      <w:proofErr w:type="spellStart"/>
      <w:r w:rsidRPr="00B919DA">
        <w:rPr>
          <w:kern w:val="2"/>
        </w:rPr>
        <w:t>elexacaftor</w:t>
      </w:r>
      <w:proofErr w:type="spellEnd"/>
      <w:r w:rsidRPr="00B919DA">
        <w:rPr>
          <w:kern w:val="2"/>
        </w:rPr>
        <w:t xml:space="preserve">, tezacaftor and deutivacaftor (374 CFTR mutants of the 421 responsive to vanzacaftor, tezacaftor and deutivacaftor), indicating overlapping pharmacological activity. A total of 54 CFTR mutations were identified as not responsive to vanzacaftor, tezacaftor and deutivacaftor. </w:t>
      </w:r>
    </w:p>
    <w:p w14:paraId="24F548A8" w14:textId="77777777" w:rsidR="00327EDB" w:rsidRPr="00B919DA" w:rsidRDefault="00327EDB" w:rsidP="00327EDB">
      <w:pPr>
        <w:rPr>
          <w:kern w:val="2"/>
        </w:rPr>
      </w:pPr>
      <w:r w:rsidRPr="00B919DA">
        <w:rPr>
          <w:kern w:val="2"/>
        </w:rPr>
        <w:t xml:space="preserve">There are some limitations to the FRT assays (namely the qualitative nature of the assay; variability of testing conditions and imprecise clarity on their clinical relevance; exclusion of mutants that cannot be expressed in these cells such as splice variants, or those with large deletions/ truncations of the </w:t>
      </w:r>
      <w:r w:rsidRPr="00B919DA">
        <w:rPr>
          <w:i/>
          <w:iCs/>
          <w:kern w:val="2"/>
        </w:rPr>
        <w:t>CFTR</w:t>
      </w:r>
      <w:r w:rsidRPr="00B919DA">
        <w:rPr>
          <w:kern w:val="2"/>
        </w:rPr>
        <w:t xml:space="preserve"> gene sequence; arbitrary threshold criterion for responsiveness). This suggests that the assay is more useful as an initial screening tool for identifying candidate CFTR variants likely to be clinically responsive. </w:t>
      </w:r>
    </w:p>
    <w:p w14:paraId="70F11EFC" w14:textId="77777777" w:rsidR="00327EDB" w:rsidRPr="00B919DA" w:rsidRDefault="00327EDB" w:rsidP="00327EDB">
      <w:pPr>
        <w:rPr>
          <w:kern w:val="2"/>
        </w:rPr>
      </w:pPr>
      <w:r w:rsidRPr="00B919DA">
        <w:rPr>
          <w:kern w:val="2"/>
        </w:rPr>
        <w:t xml:space="preserve">Overall, primary pharmacology data sufficiently demonstrate pharmacological activity </w:t>
      </w:r>
      <w:r w:rsidRPr="00B919DA">
        <w:t>of vanzacaftor, tezacaftor and deutivacaftor</w:t>
      </w:r>
      <w:r w:rsidRPr="00B919DA">
        <w:rPr>
          <w:kern w:val="2"/>
        </w:rPr>
        <w:t xml:space="preserve"> for the intended target/s and </w:t>
      </w:r>
      <w:r w:rsidRPr="00B919DA">
        <w:t>are supportive of the proposed use.</w:t>
      </w:r>
    </w:p>
    <w:p w14:paraId="6D3E8E19" w14:textId="77777777" w:rsidR="00327EDB" w:rsidRPr="00B919DA" w:rsidRDefault="00327EDB" w:rsidP="00327EDB">
      <w:r w:rsidRPr="00B919DA">
        <w:t>No notable off-target interactions were observed between vanzacaftor or deutivacaftor and a panel of various ion channels, receptors and transporters at clinically relevant concentrations. Safety pharmacology studies covering the CNS, cardiovascular and respiratory systems did not indicate any likely acute effects on CNS, cardiovascular or respiratory function in patients.</w:t>
      </w:r>
    </w:p>
    <w:p w14:paraId="13DE4C4C" w14:textId="77777777" w:rsidR="00327EDB" w:rsidRPr="00B919DA" w:rsidRDefault="00327EDB" w:rsidP="00327EDB">
      <w:pPr>
        <w:rPr>
          <w:kern w:val="2"/>
        </w:rPr>
      </w:pPr>
      <w:r w:rsidRPr="00B919DA">
        <w:rPr>
          <w:kern w:val="2"/>
        </w:rPr>
        <w:t xml:space="preserve">The pharmacokinetic profiles of vanzacaftor and deutivacaftor in the key laboratory animal species used in the nonclinical program (rats and dogs) was sufficiently similar to allow them to serve as appropriate models for the assessment of their toxicity in humans. Vanzacaftor and deutivacaftor both exhibited slow oral absorption, low to moderate oral bioavailability, very long plasma half-life (~11-20h; </w:t>
      </w:r>
      <w:r w:rsidRPr="00B919DA">
        <w:rPr>
          <w:i/>
          <w:iCs/>
          <w:kern w:val="2"/>
        </w:rPr>
        <w:t>cf</w:t>
      </w:r>
      <w:r w:rsidRPr="00B919DA">
        <w:rPr>
          <w:kern w:val="2"/>
        </w:rPr>
        <w:t xml:space="preserve">. human plasma half-life of 93h for vanzacaftor and 19h for deutivacaftor), very high plasma protein binding (&gt;99%), metabolism chiefly by CYP3A4/5, and excretion predominantly via the faeces. Tissue distribution of </w:t>
      </w:r>
      <w:r w:rsidRPr="00B919DA">
        <w:rPr>
          <w:kern w:val="2"/>
          <w:vertAlign w:val="superscript"/>
        </w:rPr>
        <w:t>14</w:t>
      </w:r>
      <w:r w:rsidRPr="00B919DA">
        <w:rPr>
          <w:kern w:val="2"/>
        </w:rPr>
        <w:t>C</w:t>
      </w:r>
      <w:r w:rsidRPr="00B919DA">
        <w:rPr>
          <w:kern w:val="2"/>
        </w:rPr>
        <w:noBreakHyphen/>
        <w:t xml:space="preserve">vanzacaftor- and </w:t>
      </w:r>
      <w:r w:rsidRPr="00B919DA">
        <w:rPr>
          <w:kern w:val="2"/>
          <w:vertAlign w:val="superscript"/>
        </w:rPr>
        <w:t>14</w:t>
      </w:r>
      <w:r w:rsidRPr="00B919DA">
        <w:rPr>
          <w:kern w:val="2"/>
        </w:rPr>
        <w:t>C</w:t>
      </w:r>
      <w:r w:rsidRPr="00B919DA">
        <w:rPr>
          <w:kern w:val="2"/>
        </w:rPr>
        <w:noBreakHyphen/>
        <w:t>deutivacaftor-derived radioactivity was rapid and wide in rats, with only limited penetration of the blood-brain barrier and no melanin binding evident.</w:t>
      </w:r>
    </w:p>
    <w:p w14:paraId="5221B2C9" w14:textId="0503E45C" w:rsidR="00327EDB" w:rsidRPr="00B919DA" w:rsidRDefault="00327EDB" w:rsidP="00327EDB">
      <w:pPr>
        <w:rPr>
          <w:kern w:val="2"/>
          <w:szCs w:val="22"/>
        </w:rPr>
      </w:pPr>
      <w:r w:rsidRPr="00B919DA">
        <w:rPr>
          <w:i/>
          <w:kern w:val="2"/>
        </w:rPr>
        <w:t>In vitro</w:t>
      </w:r>
      <w:r w:rsidRPr="00B919DA">
        <w:rPr>
          <w:kern w:val="2"/>
        </w:rPr>
        <w:t xml:space="preserve"> studies indicated no relevant inhibition of systemic CYPs or </w:t>
      </w:r>
      <w:r w:rsidRPr="00B919DA">
        <w:rPr>
          <w:rFonts w:eastAsia="Cambria"/>
        </w:rPr>
        <w:t>P</w:t>
      </w:r>
      <w:r w:rsidRPr="00B919DA">
        <w:rPr>
          <w:rFonts w:eastAsia="Cambria"/>
        </w:rPr>
        <w:noBreakHyphen/>
        <w:t>glycoprotein (P-</w:t>
      </w:r>
      <w:proofErr w:type="spellStart"/>
      <w:r w:rsidRPr="00B919DA">
        <w:rPr>
          <w:rFonts w:eastAsia="Cambria"/>
        </w:rPr>
        <w:t>gp</w:t>
      </w:r>
      <w:proofErr w:type="spellEnd"/>
      <w:r w:rsidRPr="00B919DA">
        <w:rPr>
          <w:rFonts w:eastAsia="Cambria"/>
        </w:rPr>
        <w:t>)</w:t>
      </w:r>
      <w:r w:rsidRPr="00B919DA">
        <w:rPr>
          <w:kern w:val="2"/>
        </w:rPr>
        <w:t xml:space="preserve"> by </w:t>
      </w:r>
      <w:proofErr w:type="spellStart"/>
      <w:r w:rsidRPr="00B919DA">
        <w:rPr>
          <w:kern w:val="2"/>
        </w:rPr>
        <w:t>vanzacaftor</w:t>
      </w:r>
      <w:proofErr w:type="spellEnd"/>
      <w:r w:rsidRPr="00B919DA">
        <w:rPr>
          <w:kern w:val="2"/>
        </w:rPr>
        <w:t xml:space="preserve"> or deutivacaftor. </w:t>
      </w:r>
      <w:r w:rsidRPr="00B919DA">
        <w:rPr>
          <w:rFonts w:eastAsia="TimesNewRomanPSMT"/>
          <w:szCs w:val="22"/>
        </w:rPr>
        <w:t xml:space="preserve">As all three drug actives in </w:t>
      </w:r>
      <w:r w:rsidR="00BB220E">
        <w:rPr>
          <w:rFonts w:eastAsia="TimesNewRomanPSMT"/>
          <w:szCs w:val="22"/>
        </w:rPr>
        <w:t>Alyftrek</w:t>
      </w:r>
      <w:r w:rsidRPr="00B919DA">
        <w:rPr>
          <w:rFonts w:eastAsia="TimesNewRomanPSMT"/>
          <w:szCs w:val="22"/>
        </w:rPr>
        <w:t xml:space="preserve"> are substrate of CYP 3A4, systemic exposures may be affected by strong 3A4 inducers and inhibitors. Vanzacaftor inhibited BCRP</w:t>
      </w:r>
      <w:r w:rsidRPr="00B919DA">
        <w:rPr>
          <w:kern w:val="2"/>
        </w:rPr>
        <w:t xml:space="preserve"> </w:t>
      </w:r>
      <w:r w:rsidRPr="00B919DA">
        <w:rPr>
          <w:i/>
          <w:iCs/>
          <w:kern w:val="2"/>
        </w:rPr>
        <w:t>in vitro</w:t>
      </w:r>
      <w:r w:rsidRPr="00B919DA">
        <w:rPr>
          <w:kern w:val="2"/>
        </w:rPr>
        <w:t xml:space="preserve"> at clinically relevant concentrations. Deutivacaftor and M1-deutivacaftor weakly inhibited CYPs 2C8, 2C9 and 3A4/5 </w:t>
      </w:r>
      <w:r w:rsidRPr="00B919DA">
        <w:rPr>
          <w:i/>
          <w:iCs/>
          <w:kern w:val="2"/>
        </w:rPr>
        <w:t>in vitro</w:t>
      </w:r>
      <w:r w:rsidRPr="00B919DA">
        <w:rPr>
          <w:kern w:val="2"/>
        </w:rPr>
        <w:t xml:space="preserve">. Both are also </w:t>
      </w:r>
      <w:r w:rsidRPr="00B919DA">
        <w:rPr>
          <w:kern w:val="2"/>
          <w:szCs w:val="22"/>
        </w:rPr>
        <w:t>substrates of P-</w:t>
      </w:r>
      <w:proofErr w:type="spellStart"/>
      <w:r w:rsidRPr="00B919DA">
        <w:rPr>
          <w:kern w:val="2"/>
          <w:szCs w:val="22"/>
        </w:rPr>
        <w:t>gp</w:t>
      </w:r>
      <w:proofErr w:type="spellEnd"/>
      <w:r w:rsidRPr="00B919DA">
        <w:rPr>
          <w:kern w:val="2"/>
          <w:szCs w:val="22"/>
        </w:rPr>
        <w:t xml:space="preserve"> and BCRP</w:t>
      </w:r>
      <w:r w:rsidRPr="00B919DA">
        <w:rPr>
          <w:kern w:val="2"/>
        </w:rPr>
        <w:t xml:space="preserve"> and may potentially </w:t>
      </w:r>
      <w:r w:rsidRPr="00B919DA">
        <w:rPr>
          <w:kern w:val="2"/>
          <w:szCs w:val="22"/>
        </w:rPr>
        <w:t xml:space="preserve">inhibit </w:t>
      </w:r>
      <w:r w:rsidRPr="00B919DA">
        <w:rPr>
          <w:szCs w:val="22"/>
        </w:rPr>
        <w:t xml:space="preserve">BCRP </w:t>
      </w:r>
      <w:r w:rsidRPr="00B919DA">
        <w:rPr>
          <w:kern w:val="2"/>
          <w:szCs w:val="22"/>
        </w:rPr>
        <w:t>at clinically relevant concentrations.</w:t>
      </w:r>
      <w:r w:rsidRPr="00B919DA">
        <w:rPr>
          <w:szCs w:val="22"/>
          <w:u w:val="single"/>
          <w:shd w:val="clear" w:color="auto" w:fill="FFFFCC"/>
        </w:rPr>
        <w:t xml:space="preserve"> </w:t>
      </w:r>
    </w:p>
    <w:p w14:paraId="05D1BF97" w14:textId="5D5D07B7" w:rsidR="00327EDB" w:rsidRPr="00B919DA" w:rsidRDefault="00327EDB" w:rsidP="00327EDB">
      <w:pPr>
        <w:rPr>
          <w:kern w:val="2"/>
          <w:szCs w:val="22"/>
        </w:rPr>
      </w:pPr>
      <w:r w:rsidRPr="00B919DA">
        <w:rPr>
          <w:kern w:val="2"/>
          <w:szCs w:val="22"/>
        </w:rPr>
        <w:lastRenderedPageBreak/>
        <w:t>A low to moderate order of acute oral toxicity was evident for vanzacaftor in mice, rats and dogs and deutivacaftor in rats and dogs.</w:t>
      </w:r>
      <w:r w:rsidR="00E0119B">
        <w:rPr>
          <w:kern w:val="2"/>
          <w:szCs w:val="22"/>
        </w:rPr>
        <w:t xml:space="preserve"> </w:t>
      </w:r>
      <w:r w:rsidRPr="00B919DA">
        <w:rPr>
          <w:kern w:val="2"/>
          <w:szCs w:val="22"/>
        </w:rPr>
        <w:t xml:space="preserve">Pivotal repeat-dose toxicity studies with vanzacaftor were conducted by the oral route in rats (6 months duration) and dogs (9 months). </w:t>
      </w:r>
      <w:r w:rsidRPr="00B919DA">
        <w:rPr>
          <w:szCs w:val="22"/>
        </w:rPr>
        <w:t xml:space="preserve">No target organs for toxicity were identified for vanzacaftor. At high relative exposures of vanzacaftor (and only in rats), body weight loss, haematological changes and clinical chemistry changes associated with liver damage, and microscopic changes in the stomach, liver, kidney, spleen and thymus, were observed </w:t>
      </w:r>
    </w:p>
    <w:p w14:paraId="5AAFAA4B" w14:textId="77777777" w:rsidR="00327EDB" w:rsidRPr="00B919DA" w:rsidRDefault="00327EDB" w:rsidP="00327EDB">
      <w:pPr>
        <w:rPr>
          <w:kern w:val="2"/>
          <w:szCs w:val="22"/>
        </w:rPr>
      </w:pPr>
      <w:r w:rsidRPr="00B919DA">
        <w:rPr>
          <w:kern w:val="2"/>
          <w:szCs w:val="22"/>
        </w:rPr>
        <w:t>Pivotal repeat-dose toxicity studies with deutivacaftor were conducted by the oral route in rats (up to 13 weeks duration) and dogs (4 weeks). The major target organs for toxicity by deutivacaftor identified were the l</w:t>
      </w:r>
      <w:r w:rsidRPr="00B919DA">
        <w:rPr>
          <w:szCs w:val="22"/>
        </w:rPr>
        <w:t>iver, gastrointestinal tract, lung, heart and kidney (</w:t>
      </w:r>
      <w:proofErr w:type="gramStart"/>
      <w:r w:rsidRPr="00B919DA">
        <w:rPr>
          <w:szCs w:val="22"/>
        </w:rPr>
        <w:t>similar to</w:t>
      </w:r>
      <w:proofErr w:type="gramEnd"/>
      <w:r w:rsidRPr="00B919DA">
        <w:rPr>
          <w:szCs w:val="22"/>
        </w:rPr>
        <w:t xml:space="preserve"> those observed with ivacaftor). Since deutivacaftor was not evaluated in young animals, the possibility of development of cataracts in young patients (observed with ivacaftor) cannot be ruled out. Toxicity findings in rat studies </w:t>
      </w:r>
      <w:r w:rsidRPr="00B919DA">
        <w:rPr>
          <w:rFonts w:eastAsia="TimesNewRoman"/>
          <w:szCs w:val="22"/>
        </w:rPr>
        <w:t xml:space="preserve">with </w:t>
      </w:r>
      <w:r w:rsidRPr="00B919DA">
        <w:rPr>
          <w:rFonts w:eastAsia="TimesNewRoman"/>
          <w:color w:val="000000"/>
          <w:szCs w:val="22"/>
        </w:rPr>
        <w:t>de</w:t>
      </w:r>
      <w:r w:rsidRPr="00B919DA">
        <w:rPr>
          <w:rFonts w:eastAsia="TimesNewRoman"/>
          <w:szCs w:val="22"/>
        </w:rPr>
        <w:t xml:space="preserve">utivacaftor were </w:t>
      </w:r>
      <w:proofErr w:type="gramStart"/>
      <w:r w:rsidRPr="00B919DA">
        <w:rPr>
          <w:rFonts w:eastAsia="TimesNewRoman"/>
          <w:szCs w:val="22"/>
        </w:rPr>
        <w:t>similar to</w:t>
      </w:r>
      <w:proofErr w:type="gramEnd"/>
      <w:r w:rsidRPr="00B919DA">
        <w:rPr>
          <w:rFonts w:eastAsia="TimesNewRoman"/>
          <w:szCs w:val="22"/>
        </w:rPr>
        <w:t xml:space="preserve"> those observed previously with ivacaftor, suggesting a comparable toxicity profile. </w:t>
      </w:r>
    </w:p>
    <w:p w14:paraId="2024E00E" w14:textId="77777777" w:rsidR="00327EDB" w:rsidRPr="00B919DA" w:rsidRDefault="00327EDB" w:rsidP="00327EDB">
      <w:pPr>
        <w:rPr>
          <w:kern w:val="2"/>
        </w:rPr>
      </w:pPr>
      <w:r w:rsidRPr="00B919DA">
        <w:rPr>
          <w:kern w:val="2"/>
          <w:szCs w:val="22"/>
        </w:rPr>
        <w:t xml:space="preserve">Combination toxicity studies in rats with vanzacaftor, tezacaftor and ivacaftor (3 months duration), in which moderate systemic </w:t>
      </w:r>
      <w:r w:rsidRPr="00B919DA">
        <w:rPr>
          <w:szCs w:val="22"/>
        </w:rPr>
        <w:t xml:space="preserve">exposures (AUC) to vanzacaftor were achieved, </w:t>
      </w:r>
      <w:r w:rsidRPr="00B919DA">
        <w:rPr>
          <w:kern w:val="2"/>
          <w:szCs w:val="22"/>
        </w:rPr>
        <w:t xml:space="preserve">revealed no novel toxicity </w:t>
      </w:r>
      <w:r w:rsidRPr="00B919DA">
        <w:rPr>
          <w:i/>
          <w:kern w:val="2"/>
          <w:szCs w:val="22"/>
        </w:rPr>
        <w:t>cf</w:t>
      </w:r>
      <w:r w:rsidRPr="00B919DA">
        <w:rPr>
          <w:kern w:val="2"/>
          <w:szCs w:val="22"/>
        </w:rPr>
        <w:t>. that for the individual components. Effects observed in this study w</w:t>
      </w:r>
      <w:r w:rsidRPr="00B919DA">
        <w:rPr>
          <w:szCs w:val="22"/>
        </w:rPr>
        <w:t xml:space="preserve">ere limited to decreases in triglyceride concentrations and changes in urine parameters. Previously reported effects of tezacaftor and ivacaftor were not seen in rats (dilated lacteals in the villi tips </w:t>
      </w:r>
      <w:r w:rsidRPr="00B919DA">
        <w:rPr>
          <w:kern w:val="2"/>
          <w:szCs w:val="22"/>
        </w:rPr>
        <w:t>in the small</w:t>
      </w:r>
      <w:r w:rsidRPr="00B919DA">
        <w:rPr>
          <w:kern w:val="2"/>
        </w:rPr>
        <w:t xml:space="preserve"> intestine)</w:t>
      </w:r>
      <w:r w:rsidRPr="00B919DA">
        <w:t xml:space="preserve">. </w:t>
      </w:r>
      <w:r w:rsidRPr="00B919DA">
        <w:rPr>
          <w:kern w:val="2"/>
        </w:rPr>
        <w:t>The studies demonstrated adequate safety.</w:t>
      </w:r>
    </w:p>
    <w:p w14:paraId="41B446A3" w14:textId="77777777" w:rsidR="00327EDB" w:rsidRPr="00B919DA" w:rsidRDefault="00327EDB" w:rsidP="00327EDB">
      <w:pPr>
        <w:rPr>
          <w:kern w:val="2"/>
        </w:rPr>
      </w:pPr>
      <w:r w:rsidRPr="00B919DA">
        <w:rPr>
          <w:kern w:val="2"/>
        </w:rPr>
        <w:t>Vanzacaftor was not genotoxic in the standard battery of tests, and not carcinogenic in a 6</w:t>
      </w:r>
      <w:r w:rsidRPr="00B919DA">
        <w:rPr>
          <w:kern w:val="2"/>
        </w:rPr>
        <w:noBreakHyphen/>
        <w:t>month study in transgenic mice. A 2-year carcinogenicity study with vanzacaftor in rats is currently underway, which should be submitted to the TGA once finalised and available.</w:t>
      </w:r>
    </w:p>
    <w:p w14:paraId="3C06B4FB" w14:textId="77777777" w:rsidR="00327EDB" w:rsidRPr="00B919DA" w:rsidRDefault="00327EDB" w:rsidP="00327EDB">
      <w:pPr>
        <w:rPr>
          <w:kern w:val="2"/>
        </w:rPr>
      </w:pPr>
      <w:r w:rsidRPr="00B919DA">
        <w:rPr>
          <w:kern w:val="2"/>
        </w:rPr>
        <w:t xml:space="preserve">Fertility indices were unaffected by vanzacaftor in male and female rats, and vanzacaftor was not teratogenic in either the rat or the rabbit. </w:t>
      </w:r>
      <w:r w:rsidRPr="00B919DA">
        <w:t>Decreases in gravid uterine weight and intrauterine survival, as well as small increases in the incidence of visceral malformations and skeletal variations</w:t>
      </w:r>
      <w:r w:rsidRPr="00B919DA">
        <w:rPr>
          <w:kern w:val="2"/>
        </w:rPr>
        <w:t xml:space="preserve"> were observed with vanzacaftor at the highest dose level tested in rabbits, but this </w:t>
      </w:r>
      <w:proofErr w:type="gramStart"/>
      <w:r w:rsidRPr="00B919DA">
        <w:rPr>
          <w:kern w:val="2"/>
        </w:rPr>
        <w:t>is considered to be</w:t>
      </w:r>
      <w:proofErr w:type="gramEnd"/>
      <w:r w:rsidRPr="00B919DA">
        <w:rPr>
          <w:kern w:val="2"/>
        </w:rPr>
        <w:t xml:space="preserve"> secondary to </w:t>
      </w:r>
      <w:proofErr w:type="spellStart"/>
      <w:r w:rsidRPr="00B919DA">
        <w:rPr>
          <w:kern w:val="2"/>
        </w:rPr>
        <w:t>maternotoxicity</w:t>
      </w:r>
      <w:proofErr w:type="spellEnd"/>
      <w:r w:rsidRPr="00B919DA">
        <w:rPr>
          <w:kern w:val="2"/>
        </w:rPr>
        <w:t xml:space="preserve"> rather than to represent direct reproductive toxicity by vanzacaftor. Animal findings for vanzacaftor, and previously for tezacaftor and ivacaftor, supports Pregnancy Category B3 as proposed by the sponsor.</w:t>
      </w:r>
    </w:p>
    <w:p w14:paraId="6859CBE3" w14:textId="77777777" w:rsidR="00327EDB" w:rsidRPr="00B919DA" w:rsidRDefault="00327EDB" w:rsidP="00327EDB">
      <w:pPr>
        <w:rPr>
          <w:kern w:val="2"/>
        </w:rPr>
      </w:pPr>
      <w:r w:rsidRPr="00B919DA">
        <w:rPr>
          <w:kern w:val="2"/>
        </w:rPr>
        <w:t xml:space="preserve">The impurity specification </w:t>
      </w:r>
      <w:proofErr w:type="gramStart"/>
      <w:r w:rsidRPr="00B919DA">
        <w:rPr>
          <w:kern w:val="2"/>
        </w:rPr>
        <w:t>is considered to be</w:t>
      </w:r>
      <w:proofErr w:type="gramEnd"/>
      <w:r w:rsidRPr="00B919DA">
        <w:rPr>
          <w:kern w:val="2"/>
        </w:rPr>
        <w:t xml:space="preserve"> toxicologically acceptable.</w:t>
      </w:r>
    </w:p>
    <w:p w14:paraId="57EFA0F9" w14:textId="6BEEF2A3" w:rsidR="00327EDB" w:rsidRPr="003B295A" w:rsidRDefault="00327EDB" w:rsidP="00327EDB">
      <w:pPr>
        <w:rPr>
          <w:kern w:val="2"/>
        </w:rPr>
      </w:pPr>
      <w:r w:rsidRPr="00B919DA">
        <w:rPr>
          <w:kern w:val="2"/>
        </w:rPr>
        <w:t>The non</w:t>
      </w:r>
      <w:r>
        <w:rPr>
          <w:kern w:val="2"/>
        </w:rPr>
        <w:t>-</w:t>
      </w:r>
      <w:r w:rsidRPr="00B919DA">
        <w:rPr>
          <w:kern w:val="2"/>
        </w:rPr>
        <w:t>c</w:t>
      </w:r>
      <w:r>
        <w:rPr>
          <w:kern w:val="2"/>
        </w:rPr>
        <w:t>l</w:t>
      </w:r>
      <w:r w:rsidRPr="00B919DA">
        <w:rPr>
          <w:kern w:val="2"/>
        </w:rPr>
        <w:t xml:space="preserve">inical </w:t>
      </w:r>
      <w:r w:rsidRPr="00821F89">
        <w:t xml:space="preserve">evaluator stated, </w:t>
      </w:r>
      <w:r w:rsidR="003B295A" w:rsidRPr="00821F89">
        <w:t>‘</w:t>
      </w:r>
      <w:r w:rsidRPr="00821F89">
        <w:t>There are no nonclinical objections to the registration of</w:t>
      </w:r>
      <w:r w:rsidR="00821F89" w:rsidRPr="00821F89">
        <w:t xml:space="preserve"> Alyftrek</w:t>
      </w:r>
      <w:r w:rsidRPr="00821F89">
        <w:t xml:space="preserve"> for the proposed indication</w:t>
      </w:r>
      <w:r w:rsidR="003B295A" w:rsidRPr="00821F89">
        <w:t>’</w:t>
      </w:r>
      <w:r w:rsidRPr="003B295A">
        <w:rPr>
          <w:kern w:val="2"/>
        </w:rPr>
        <w:t>.</w:t>
      </w:r>
    </w:p>
    <w:p w14:paraId="35B580A5" w14:textId="40B226DC" w:rsidR="00C22214" w:rsidRDefault="00C22214" w:rsidP="008804CF">
      <w:pPr>
        <w:pStyle w:val="Heading3"/>
      </w:pPr>
      <w:bookmarkStart w:id="47" w:name="_Toc247691530"/>
      <w:bookmarkStart w:id="48" w:name="_Toc314842513"/>
      <w:bookmarkStart w:id="49" w:name="_Toc103679297"/>
      <w:bookmarkStart w:id="50" w:name="_Toc227661920"/>
      <w:r>
        <w:t>Clinical</w:t>
      </w:r>
      <w:bookmarkEnd w:id="47"/>
      <w:bookmarkEnd w:id="48"/>
      <w:bookmarkEnd w:id="49"/>
      <w:r w:rsidR="00095C6A">
        <w:t xml:space="preserve"> evaluation summary</w:t>
      </w:r>
      <w:bookmarkEnd w:id="50"/>
    </w:p>
    <w:p w14:paraId="32B0DEDA" w14:textId="77777777" w:rsidR="00C22214" w:rsidRPr="00433318" w:rsidRDefault="00C22214" w:rsidP="00433318">
      <w:pPr>
        <w:pStyle w:val="Heading4"/>
      </w:pPr>
      <w:bookmarkStart w:id="51" w:name="_Toc98931928"/>
      <w:bookmarkStart w:id="52" w:name="_Toc227661921"/>
      <w:r>
        <w:t>Summary of clinical studies</w:t>
      </w:r>
      <w:bookmarkEnd w:id="51"/>
      <w:bookmarkEnd w:id="52"/>
    </w:p>
    <w:p w14:paraId="21F81D4E" w14:textId="77777777" w:rsidR="00F8448A" w:rsidRPr="00F8448A" w:rsidRDefault="00F8448A" w:rsidP="00F8448A">
      <w:r w:rsidRPr="00F8448A">
        <w:t>The vanzacaftor/tezacaftor/deutivacaftor (VNZ/TEZ/D-IVA) clinical development program comprises 18 studies conducted in healthy volunteers and individuals with cystic fibrosis (CF) and includes:</w:t>
      </w:r>
    </w:p>
    <w:p w14:paraId="46890CCE" w14:textId="77777777" w:rsidR="00F8448A" w:rsidRPr="00BF3DDD" w:rsidRDefault="00F8448A" w:rsidP="00F8448A">
      <w:pPr>
        <w:pStyle w:val="ListBullet"/>
      </w:pPr>
      <w:r w:rsidRPr="00BF3DDD">
        <w:t>11 Phase 1 studies evaluating safety, tolerability, and pharmacokinetics,</w:t>
      </w:r>
    </w:p>
    <w:p w14:paraId="12BD2204" w14:textId="77777777" w:rsidR="00F8448A" w:rsidRPr="00BF3DDD" w:rsidRDefault="00F8448A" w:rsidP="00F8448A">
      <w:pPr>
        <w:pStyle w:val="ListBullet"/>
      </w:pPr>
      <w:r w:rsidRPr="00BF3DDD">
        <w:t>2 Phase 2 studies assessing preliminary efficacy and dose-ranging, and</w:t>
      </w:r>
    </w:p>
    <w:p w14:paraId="7CCEAB7F" w14:textId="77777777" w:rsidR="00F8448A" w:rsidRPr="00F8448A" w:rsidRDefault="00F8448A" w:rsidP="00F8448A">
      <w:pPr>
        <w:pStyle w:val="ListBullet"/>
      </w:pPr>
      <w:r w:rsidRPr="00BF3DDD">
        <w:t>5 Phase 3 studies designed</w:t>
      </w:r>
      <w:r w:rsidRPr="00F8448A">
        <w:t xml:space="preserve"> to confirm efficacy and safety in broader CF populations.</w:t>
      </w:r>
    </w:p>
    <w:p w14:paraId="1F96223F" w14:textId="66C703F1" w:rsidR="00F8448A" w:rsidRPr="00F8448A" w:rsidRDefault="00F8448A" w:rsidP="00F8448A">
      <w:pPr>
        <w:rPr>
          <w:iCs/>
        </w:rPr>
      </w:pPr>
      <w:r w:rsidRPr="00F8448A">
        <w:rPr>
          <w:iCs/>
        </w:rPr>
        <w:lastRenderedPageBreak/>
        <w:t>Pop</w:t>
      </w:r>
      <w:r w:rsidR="00452EE4">
        <w:rPr>
          <w:iCs/>
        </w:rPr>
        <w:t>ulation P</w:t>
      </w:r>
      <w:r w:rsidR="00331595">
        <w:rPr>
          <w:iCs/>
        </w:rPr>
        <w:t>harmacokinetics (Pop</w:t>
      </w:r>
      <w:r w:rsidRPr="00F8448A">
        <w:rPr>
          <w:iCs/>
        </w:rPr>
        <w:t>PK</w:t>
      </w:r>
      <w:r w:rsidR="00331595">
        <w:rPr>
          <w:iCs/>
        </w:rPr>
        <w:t>)</w:t>
      </w:r>
      <w:r w:rsidRPr="00F8448A">
        <w:rPr>
          <w:iCs/>
        </w:rPr>
        <w:t xml:space="preserve"> and </w:t>
      </w:r>
      <w:r w:rsidR="006802B8" w:rsidRPr="006802B8">
        <w:rPr>
          <w:iCs/>
        </w:rPr>
        <w:t>Pharmacokinetic</w:t>
      </w:r>
      <w:r w:rsidR="006802B8">
        <w:rPr>
          <w:iCs/>
        </w:rPr>
        <w:t xml:space="preserve">/ </w:t>
      </w:r>
      <w:r w:rsidR="00A80B56" w:rsidRPr="00A80B56">
        <w:rPr>
          <w:iCs/>
        </w:rPr>
        <w:t xml:space="preserve">Pharmacodynamic </w:t>
      </w:r>
      <w:r w:rsidR="00A80B56">
        <w:rPr>
          <w:iCs/>
        </w:rPr>
        <w:t>(</w:t>
      </w:r>
      <w:r w:rsidRPr="00F8448A">
        <w:rPr>
          <w:iCs/>
        </w:rPr>
        <w:t>PKPD</w:t>
      </w:r>
      <w:r w:rsidR="00A80B56">
        <w:rPr>
          <w:iCs/>
        </w:rPr>
        <w:t>)</w:t>
      </w:r>
      <w:r w:rsidRPr="00F8448A">
        <w:rPr>
          <w:iCs/>
        </w:rPr>
        <w:t xml:space="preserve"> studies were also included: the key analyses were S388 and T299.</w:t>
      </w:r>
    </w:p>
    <w:p w14:paraId="5DAC8F25" w14:textId="77777777" w:rsidR="00F8448A" w:rsidRPr="00F8448A" w:rsidRDefault="00F8448A" w:rsidP="00F8448A">
      <w:r w:rsidRPr="00F8448A">
        <w:t>The Phase 3 program includes two randomized, double-blind, active-controlled trials comparing VNZ/TEZ/D-IVA to the current standard of care (ELX/TEZ/IVA) over 52 weeks. These studies enrolled individuals aged ≥12 years with at least one F508del mutation or another mutation responsive to triple combination (TC) therapy, as defined by responsiveness to ELX/TEZ/IVA. Additionally, a 24-week open-label study was conducted in children aged 6 to 11 years to evaluate pharmacokinetics (PK), safety, tolerability, and efficacy. There are 2 further phase 3 studies that are ongoing.</w:t>
      </w:r>
    </w:p>
    <w:p w14:paraId="5323150B" w14:textId="77777777" w:rsidR="00D34409" w:rsidRPr="00D34409" w:rsidRDefault="00D34409" w:rsidP="00D34409">
      <w:pPr>
        <w:pStyle w:val="Heading4"/>
      </w:pPr>
      <w:bookmarkStart w:id="53" w:name="_Toc227661922"/>
      <w:r w:rsidRPr="00D34409">
        <w:t>Pharmacology</w:t>
      </w:r>
      <w:bookmarkEnd w:id="53"/>
    </w:p>
    <w:p w14:paraId="03EB1E97" w14:textId="2AF6D13C" w:rsidR="00D34409" w:rsidRPr="00D34409" w:rsidRDefault="00D34409" w:rsidP="00D34409">
      <w:r w:rsidRPr="00D34409">
        <w:t>The molecular mechanisms of CFTR modulators have been well characterized. Vanzacaftor and tezacaftor bind to distinct sites on the CFTR protein, exerting additive effects that enhance the cellular processing and trafficking of select mutant CFTR forms, including F508del-CFTR. (</w:t>
      </w:r>
      <w:r w:rsidR="0033118D">
        <w:t>F</w:t>
      </w:r>
      <w:r w:rsidRPr="00D34409">
        <w:t>igure 2) This results in increased delivery of functional CFTR protein to the cell surface. Deutivacaftor potentiates the channel open probability (gating) of the CFTR protein at the cell surface</w:t>
      </w:r>
      <w:r w:rsidR="00160CCA">
        <w:t>.</w:t>
      </w:r>
      <w:r w:rsidRPr="00D34409">
        <w:t xml:space="preserve"> All </w:t>
      </w:r>
      <w:r w:rsidR="00160CCA">
        <w:t>t</w:t>
      </w:r>
      <w:r w:rsidRPr="00D34409">
        <w:t>hree modulators bind to regions of the CFTR protein that are distinct from the F508del mutation site.</w:t>
      </w:r>
    </w:p>
    <w:p w14:paraId="6E01474B" w14:textId="77777777" w:rsidR="00D34409" w:rsidRPr="00D34409" w:rsidRDefault="00D34409" w:rsidP="00D34409">
      <w:r w:rsidRPr="00D34409">
        <w:t>The combined allosteric effects of vanzacaftor, tezacaftor, and deutivacaftor lead to increased quantity and enhanced function of CFTR at the epithelial cell surface. This is reflected in improved CFTR-mediated chloride transport, the key biomarker of therapeutic efficacy in CFTR modulator therapy.</w:t>
      </w:r>
    </w:p>
    <w:p w14:paraId="4218EA2D" w14:textId="77777777" w:rsidR="00D34409" w:rsidRPr="00D34409" w:rsidRDefault="00D34409" w:rsidP="00D34409">
      <w:r w:rsidRPr="00D34409">
        <w:t>The clinical pharmacology of VNZ/TEZ/D-IVA was characterized using a combination of nonclinical and clinical studies evaluating VNZ and D-IVA monotherapy and the triple combinations of VNZ, TEZ, IVA, and/or D-IVA in healthy subjects and/or CF subjects. These data were further supported by prior nonclinical and clinical pharmacology experience with TEZ and IVA from previous development programs for IVA, TEZ/IVA, and ELX/TEZ/IVA.</w:t>
      </w:r>
    </w:p>
    <w:p w14:paraId="670A9797" w14:textId="1DC4A5A0" w:rsidR="0008374C" w:rsidRPr="0008374C" w:rsidRDefault="0008374C" w:rsidP="0008374C">
      <w:pPr>
        <w:pStyle w:val="FigureTitle"/>
      </w:pPr>
      <w:r w:rsidRPr="0008374C">
        <w:t>Figure 2</w:t>
      </w:r>
      <w:r w:rsidR="00F11BDB">
        <w:t>.</w:t>
      </w:r>
      <w:r w:rsidRPr="0008374C">
        <w:t xml:space="preserve"> Allosteric Effect of CFTR Modulators</w:t>
      </w:r>
      <w:r w:rsidR="0093596C">
        <w:t>.</w:t>
      </w:r>
    </w:p>
    <w:p w14:paraId="5C807E93" w14:textId="2A597E70" w:rsidR="00F8448A" w:rsidRDefault="00EC5A52" w:rsidP="00D93C1D">
      <w:r>
        <w:rPr>
          <w:noProof/>
        </w:rPr>
        <w:drawing>
          <wp:inline distT="0" distB="0" distL="0" distR="0" wp14:anchorId="46545F4F" wp14:editId="291DAB63">
            <wp:extent cx="3337327" cy="3155950"/>
            <wp:effectExtent l="0" t="0" r="0" b="6350"/>
            <wp:docPr id="1550679630" name="Picture 3" descr="Figure 2. Allosteric Effect of CFTR Mod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79630" name="Picture 3" descr="Figure 2. Allosteric Effect of CFTR Modulators."/>
                    <pic:cNvPicPr/>
                  </pic:nvPicPr>
                  <pic:blipFill>
                    <a:blip r:embed="rId21">
                      <a:extLst>
                        <a:ext uri="{28A0092B-C50C-407E-A947-70E740481C1C}">
                          <a14:useLocalDpi xmlns:a14="http://schemas.microsoft.com/office/drawing/2010/main" val="0"/>
                        </a:ext>
                      </a:extLst>
                    </a:blip>
                    <a:stretch>
                      <a:fillRect/>
                    </a:stretch>
                  </pic:blipFill>
                  <pic:spPr>
                    <a:xfrm>
                      <a:off x="0" y="0"/>
                      <a:ext cx="3344571" cy="3162800"/>
                    </a:xfrm>
                    <a:prstGeom prst="rect">
                      <a:avLst/>
                    </a:prstGeom>
                  </pic:spPr>
                </pic:pic>
              </a:graphicData>
            </a:graphic>
          </wp:inline>
        </w:drawing>
      </w:r>
    </w:p>
    <w:p w14:paraId="3C5716C8" w14:textId="77777777" w:rsidR="000C0EC8" w:rsidRPr="000C0EC8" w:rsidRDefault="000C0EC8" w:rsidP="000C0EC8">
      <w:pPr>
        <w:pStyle w:val="Heading5"/>
        <w:rPr>
          <w:rFonts w:eastAsia="Cambria"/>
        </w:rPr>
      </w:pPr>
      <w:r w:rsidRPr="000C0EC8">
        <w:rPr>
          <w:rFonts w:eastAsia="Cambria"/>
        </w:rPr>
        <w:lastRenderedPageBreak/>
        <w:t xml:space="preserve">Pharmacokinetics (PK) </w:t>
      </w:r>
    </w:p>
    <w:p w14:paraId="082BE610" w14:textId="68EECC12" w:rsidR="00FA56BA" w:rsidRPr="00FA56BA" w:rsidRDefault="00FA56BA" w:rsidP="00FA56BA">
      <w:pPr>
        <w:pStyle w:val="TableTitle"/>
      </w:pPr>
      <w:r w:rsidRPr="00FA56BA">
        <w:t xml:space="preserve">Table </w:t>
      </w:r>
      <w:r w:rsidR="00C81D20">
        <w:t>5</w:t>
      </w:r>
      <w:r w:rsidRPr="00FA56BA">
        <w:t>. Submitted pharmacokinetic studies</w:t>
      </w:r>
    </w:p>
    <w:tbl>
      <w:tblPr>
        <w:tblStyle w:val="TableTGAblue"/>
        <w:tblW w:w="9062" w:type="dxa"/>
        <w:tblLayout w:type="fixed"/>
        <w:tblLook w:val="04A0" w:firstRow="1" w:lastRow="0" w:firstColumn="1" w:lastColumn="0" w:noHBand="0" w:noVBand="1"/>
      </w:tblPr>
      <w:tblGrid>
        <w:gridCol w:w="2825"/>
        <w:gridCol w:w="3119"/>
        <w:gridCol w:w="2410"/>
        <w:gridCol w:w="708"/>
      </w:tblGrid>
      <w:tr w:rsidR="005108E2" w:rsidRPr="008709E6" w14:paraId="4E8D7766" w14:textId="77777777" w:rsidTr="00DE2B5F">
        <w:trPr>
          <w:cnfStyle w:val="100000000000" w:firstRow="1" w:lastRow="0" w:firstColumn="0" w:lastColumn="0" w:oddVBand="0" w:evenVBand="0" w:oddHBand="0" w:evenHBand="0" w:firstRowFirstColumn="0" w:firstRowLastColumn="0" w:lastRowFirstColumn="0" w:lastRowLastColumn="0"/>
          <w:trHeight w:val="170"/>
        </w:trPr>
        <w:tc>
          <w:tcPr>
            <w:tcW w:w="2825" w:type="dxa"/>
          </w:tcPr>
          <w:p w14:paraId="4B510B3B" w14:textId="77777777" w:rsidR="005108E2" w:rsidRPr="008709E6" w:rsidRDefault="005108E2" w:rsidP="00D93C1D">
            <w:pPr>
              <w:rPr>
                <w:b w:val="0"/>
              </w:rPr>
            </w:pPr>
            <w:r w:rsidRPr="008709E6">
              <w:t>PK topic</w:t>
            </w:r>
          </w:p>
        </w:tc>
        <w:tc>
          <w:tcPr>
            <w:tcW w:w="3119" w:type="dxa"/>
          </w:tcPr>
          <w:p w14:paraId="7F28A27B" w14:textId="77777777" w:rsidR="005108E2" w:rsidRPr="008709E6" w:rsidRDefault="005108E2" w:rsidP="00D93C1D">
            <w:pPr>
              <w:rPr>
                <w:b w:val="0"/>
              </w:rPr>
            </w:pPr>
            <w:r w:rsidRPr="008709E6">
              <w:t>Subtopic</w:t>
            </w:r>
          </w:p>
        </w:tc>
        <w:tc>
          <w:tcPr>
            <w:tcW w:w="2410" w:type="dxa"/>
          </w:tcPr>
          <w:p w14:paraId="54EE56E6" w14:textId="77777777" w:rsidR="005108E2" w:rsidRPr="008709E6" w:rsidRDefault="005108E2" w:rsidP="00D93C1D">
            <w:pPr>
              <w:rPr>
                <w:b w:val="0"/>
              </w:rPr>
            </w:pPr>
            <w:r w:rsidRPr="008709E6">
              <w:t>Study ID</w:t>
            </w:r>
          </w:p>
        </w:tc>
        <w:tc>
          <w:tcPr>
            <w:tcW w:w="708" w:type="dxa"/>
          </w:tcPr>
          <w:p w14:paraId="5688861A" w14:textId="77777777" w:rsidR="005108E2" w:rsidRPr="008709E6" w:rsidRDefault="005108E2" w:rsidP="00D93C1D">
            <w:pPr>
              <w:rPr>
                <w:b w:val="0"/>
              </w:rPr>
            </w:pPr>
            <w:r w:rsidRPr="008709E6">
              <w:t>*</w:t>
            </w:r>
          </w:p>
        </w:tc>
      </w:tr>
      <w:tr w:rsidR="005108E2" w:rsidRPr="008709E6" w14:paraId="711705F4" w14:textId="77777777" w:rsidTr="00DE2B5F">
        <w:trPr>
          <w:trHeight w:val="170"/>
        </w:trPr>
        <w:tc>
          <w:tcPr>
            <w:tcW w:w="2825" w:type="dxa"/>
            <w:vMerge w:val="restart"/>
          </w:tcPr>
          <w:p w14:paraId="242A69BC" w14:textId="77777777" w:rsidR="005108E2" w:rsidRPr="008709E6" w:rsidRDefault="005108E2" w:rsidP="00D93C1D">
            <w:r w:rsidRPr="008709E6">
              <w:t>PK in healthy adults</w:t>
            </w:r>
          </w:p>
        </w:tc>
        <w:tc>
          <w:tcPr>
            <w:tcW w:w="3119" w:type="dxa"/>
          </w:tcPr>
          <w:p w14:paraId="0A27176F" w14:textId="77777777" w:rsidR="005108E2" w:rsidRPr="008709E6" w:rsidRDefault="005108E2" w:rsidP="00D93C1D">
            <w:r w:rsidRPr="008709E6">
              <w:t>General PK</w:t>
            </w:r>
            <w:r w:rsidRPr="008709E6">
              <w:tab/>
              <w:t>- Single dose</w:t>
            </w:r>
          </w:p>
        </w:tc>
        <w:tc>
          <w:tcPr>
            <w:tcW w:w="2410" w:type="dxa"/>
          </w:tcPr>
          <w:p w14:paraId="18BAB167" w14:textId="77777777" w:rsidR="005108E2" w:rsidRPr="008709E6" w:rsidRDefault="005108E2" w:rsidP="00D93C1D">
            <w:r w:rsidRPr="008709E6">
              <w:rPr>
                <w:lang w:eastAsia="ja-JP"/>
              </w:rPr>
              <w:t>Study VX16-770-018</w:t>
            </w:r>
          </w:p>
        </w:tc>
        <w:tc>
          <w:tcPr>
            <w:tcW w:w="708" w:type="dxa"/>
          </w:tcPr>
          <w:p w14:paraId="4D34791C" w14:textId="77777777" w:rsidR="005108E2" w:rsidRPr="008709E6" w:rsidRDefault="005108E2" w:rsidP="00D93C1D">
            <w:r w:rsidRPr="008709E6">
              <w:t>*</w:t>
            </w:r>
          </w:p>
        </w:tc>
      </w:tr>
      <w:tr w:rsidR="005108E2" w:rsidRPr="008709E6" w14:paraId="11CD589C" w14:textId="77777777" w:rsidTr="00DE2B5F">
        <w:trPr>
          <w:trHeight w:val="170"/>
        </w:trPr>
        <w:tc>
          <w:tcPr>
            <w:tcW w:w="2825" w:type="dxa"/>
            <w:vMerge/>
          </w:tcPr>
          <w:p w14:paraId="1B4C593B" w14:textId="77777777" w:rsidR="005108E2" w:rsidRPr="008709E6" w:rsidRDefault="005108E2" w:rsidP="00D93C1D"/>
        </w:tc>
        <w:tc>
          <w:tcPr>
            <w:tcW w:w="3119" w:type="dxa"/>
          </w:tcPr>
          <w:p w14:paraId="5B07DC03" w14:textId="77777777" w:rsidR="005108E2" w:rsidRPr="008709E6" w:rsidRDefault="005108E2" w:rsidP="00D93C1D">
            <w:r w:rsidRPr="008709E6">
              <w:tab/>
              <w:t>- Multi-dose</w:t>
            </w:r>
          </w:p>
        </w:tc>
        <w:tc>
          <w:tcPr>
            <w:tcW w:w="2410" w:type="dxa"/>
          </w:tcPr>
          <w:p w14:paraId="5790460A" w14:textId="77777777" w:rsidR="005108E2" w:rsidRPr="008709E6" w:rsidRDefault="005108E2" w:rsidP="00D93C1D">
            <w:r w:rsidRPr="008709E6">
              <w:rPr>
                <w:lang w:eastAsia="ja-JP"/>
              </w:rPr>
              <w:t>Study VX17-121-001</w:t>
            </w:r>
          </w:p>
        </w:tc>
        <w:tc>
          <w:tcPr>
            <w:tcW w:w="708" w:type="dxa"/>
          </w:tcPr>
          <w:p w14:paraId="54DBDD80" w14:textId="77777777" w:rsidR="005108E2" w:rsidRPr="008709E6" w:rsidRDefault="005108E2" w:rsidP="00D93C1D">
            <w:r w:rsidRPr="008709E6">
              <w:t>*</w:t>
            </w:r>
          </w:p>
        </w:tc>
      </w:tr>
      <w:tr w:rsidR="005108E2" w:rsidRPr="008709E6" w14:paraId="6F0D8078" w14:textId="77777777" w:rsidTr="00DE2B5F">
        <w:trPr>
          <w:trHeight w:val="170"/>
        </w:trPr>
        <w:tc>
          <w:tcPr>
            <w:tcW w:w="2825" w:type="dxa"/>
            <w:vMerge/>
          </w:tcPr>
          <w:p w14:paraId="0DCD1BBC" w14:textId="77777777" w:rsidR="005108E2" w:rsidRPr="008709E6" w:rsidRDefault="005108E2" w:rsidP="00D93C1D"/>
        </w:tc>
        <w:tc>
          <w:tcPr>
            <w:tcW w:w="3119" w:type="dxa"/>
          </w:tcPr>
          <w:p w14:paraId="10ADC494" w14:textId="77777777" w:rsidR="005108E2" w:rsidRPr="008709E6" w:rsidRDefault="005108E2" w:rsidP="00D93C1D"/>
        </w:tc>
        <w:tc>
          <w:tcPr>
            <w:tcW w:w="2410" w:type="dxa"/>
          </w:tcPr>
          <w:p w14:paraId="755B2DF7" w14:textId="77777777" w:rsidR="005108E2" w:rsidRPr="008709E6" w:rsidRDefault="005108E2" w:rsidP="00D93C1D">
            <w:pPr>
              <w:rPr>
                <w:lang w:eastAsia="ja-JP"/>
              </w:rPr>
            </w:pPr>
            <w:r w:rsidRPr="008709E6">
              <w:rPr>
                <w:lang w:eastAsia="ja-JP"/>
              </w:rPr>
              <w:t>Study VX22-121-013</w:t>
            </w:r>
          </w:p>
        </w:tc>
        <w:tc>
          <w:tcPr>
            <w:tcW w:w="708" w:type="dxa"/>
          </w:tcPr>
          <w:p w14:paraId="45FF5285" w14:textId="77777777" w:rsidR="005108E2" w:rsidRPr="008709E6" w:rsidRDefault="005108E2" w:rsidP="00D93C1D">
            <w:r w:rsidRPr="008709E6">
              <w:t>*</w:t>
            </w:r>
          </w:p>
        </w:tc>
      </w:tr>
      <w:tr w:rsidR="005108E2" w:rsidRPr="008709E6" w14:paraId="5A0B0069" w14:textId="77777777" w:rsidTr="00DE2B5F">
        <w:trPr>
          <w:trHeight w:val="170"/>
        </w:trPr>
        <w:tc>
          <w:tcPr>
            <w:tcW w:w="2825" w:type="dxa"/>
            <w:vMerge/>
          </w:tcPr>
          <w:p w14:paraId="740678B9" w14:textId="77777777" w:rsidR="005108E2" w:rsidRPr="008709E6" w:rsidRDefault="005108E2" w:rsidP="00D93C1D"/>
        </w:tc>
        <w:tc>
          <w:tcPr>
            <w:tcW w:w="3119" w:type="dxa"/>
          </w:tcPr>
          <w:p w14:paraId="3752383C" w14:textId="77777777" w:rsidR="005108E2" w:rsidRPr="008709E6" w:rsidRDefault="005108E2" w:rsidP="00D93C1D">
            <w:r w:rsidRPr="008709E6">
              <w:tab/>
              <w:t>- Mass balance</w:t>
            </w:r>
          </w:p>
        </w:tc>
        <w:tc>
          <w:tcPr>
            <w:tcW w:w="2410" w:type="dxa"/>
          </w:tcPr>
          <w:p w14:paraId="68442658" w14:textId="77777777" w:rsidR="005108E2" w:rsidRPr="008709E6" w:rsidRDefault="005108E2" w:rsidP="00D93C1D">
            <w:pPr>
              <w:rPr>
                <w:lang w:eastAsia="ja-JP"/>
              </w:rPr>
            </w:pPr>
            <w:r w:rsidRPr="008709E6">
              <w:rPr>
                <w:lang w:eastAsia="ja-JP"/>
              </w:rPr>
              <w:t>Study VX20-121-004</w:t>
            </w:r>
          </w:p>
        </w:tc>
        <w:tc>
          <w:tcPr>
            <w:tcW w:w="708" w:type="dxa"/>
          </w:tcPr>
          <w:p w14:paraId="197FE1ED" w14:textId="77777777" w:rsidR="005108E2" w:rsidRPr="008709E6" w:rsidRDefault="005108E2" w:rsidP="00D93C1D">
            <w:r w:rsidRPr="008709E6">
              <w:t>*</w:t>
            </w:r>
          </w:p>
        </w:tc>
      </w:tr>
      <w:tr w:rsidR="005108E2" w:rsidRPr="008709E6" w14:paraId="716A0A33" w14:textId="77777777" w:rsidTr="00DE2B5F">
        <w:trPr>
          <w:trHeight w:val="170"/>
        </w:trPr>
        <w:tc>
          <w:tcPr>
            <w:tcW w:w="2825" w:type="dxa"/>
            <w:vMerge/>
          </w:tcPr>
          <w:p w14:paraId="731BA8A3" w14:textId="77777777" w:rsidR="005108E2" w:rsidRPr="008709E6" w:rsidRDefault="005108E2" w:rsidP="00D93C1D"/>
        </w:tc>
        <w:tc>
          <w:tcPr>
            <w:tcW w:w="3119" w:type="dxa"/>
          </w:tcPr>
          <w:p w14:paraId="07217605" w14:textId="77777777" w:rsidR="005108E2" w:rsidRPr="008709E6" w:rsidRDefault="005108E2" w:rsidP="00D93C1D">
            <w:r w:rsidRPr="008709E6">
              <w:t>- D-IVA PK</w:t>
            </w:r>
          </w:p>
        </w:tc>
        <w:tc>
          <w:tcPr>
            <w:tcW w:w="2410" w:type="dxa"/>
          </w:tcPr>
          <w:p w14:paraId="29B95A96" w14:textId="77777777" w:rsidR="005108E2" w:rsidRPr="008709E6" w:rsidRDefault="005108E2" w:rsidP="00D93C1D">
            <w:pPr>
              <w:rPr>
                <w:lang w:eastAsia="ja-JP"/>
              </w:rPr>
            </w:pPr>
            <w:r w:rsidRPr="008709E6">
              <w:rPr>
                <w:lang w:eastAsia="ja-JP"/>
              </w:rPr>
              <w:t xml:space="preserve">Study VX18-561-001 </w:t>
            </w:r>
          </w:p>
        </w:tc>
        <w:tc>
          <w:tcPr>
            <w:tcW w:w="708" w:type="dxa"/>
          </w:tcPr>
          <w:p w14:paraId="46D4EBE2" w14:textId="77777777" w:rsidR="005108E2" w:rsidRPr="008709E6" w:rsidRDefault="005108E2" w:rsidP="00D93C1D">
            <w:r w:rsidRPr="008709E6">
              <w:t>*</w:t>
            </w:r>
          </w:p>
        </w:tc>
      </w:tr>
      <w:tr w:rsidR="005108E2" w:rsidRPr="008709E6" w14:paraId="7A51C018" w14:textId="77777777" w:rsidTr="00DE2B5F">
        <w:trPr>
          <w:trHeight w:val="170"/>
        </w:trPr>
        <w:tc>
          <w:tcPr>
            <w:tcW w:w="2825" w:type="dxa"/>
            <w:vMerge/>
          </w:tcPr>
          <w:p w14:paraId="0C164336" w14:textId="77777777" w:rsidR="005108E2" w:rsidRPr="008709E6" w:rsidRDefault="005108E2" w:rsidP="00D93C1D"/>
        </w:tc>
        <w:tc>
          <w:tcPr>
            <w:tcW w:w="3119" w:type="dxa"/>
          </w:tcPr>
          <w:p w14:paraId="4D1D2BAF" w14:textId="77777777" w:rsidR="005108E2" w:rsidRPr="008709E6" w:rsidRDefault="005108E2" w:rsidP="00D93C1D">
            <w:r w:rsidRPr="008709E6">
              <w:t>Bioequivalence †</w:t>
            </w:r>
            <w:r w:rsidRPr="008709E6">
              <w:tab/>
              <w:t>- Single dose</w:t>
            </w:r>
          </w:p>
        </w:tc>
        <w:tc>
          <w:tcPr>
            <w:tcW w:w="2410" w:type="dxa"/>
          </w:tcPr>
          <w:p w14:paraId="7321B3D6" w14:textId="77777777" w:rsidR="005108E2" w:rsidRPr="008709E6" w:rsidRDefault="005108E2" w:rsidP="00D93C1D">
            <w:r w:rsidRPr="008709E6">
              <w:t xml:space="preserve">Study VX22-121-009 </w:t>
            </w:r>
          </w:p>
        </w:tc>
        <w:tc>
          <w:tcPr>
            <w:tcW w:w="708" w:type="dxa"/>
          </w:tcPr>
          <w:p w14:paraId="6EFCFBB8" w14:textId="77777777" w:rsidR="005108E2" w:rsidRPr="008709E6" w:rsidRDefault="005108E2" w:rsidP="00D93C1D">
            <w:r w:rsidRPr="008709E6">
              <w:t>*</w:t>
            </w:r>
          </w:p>
        </w:tc>
      </w:tr>
      <w:tr w:rsidR="005108E2" w:rsidRPr="008709E6" w14:paraId="453FC61E" w14:textId="77777777" w:rsidTr="00DE2B5F">
        <w:trPr>
          <w:trHeight w:val="170"/>
        </w:trPr>
        <w:tc>
          <w:tcPr>
            <w:tcW w:w="2825" w:type="dxa"/>
            <w:vMerge/>
          </w:tcPr>
          <w:p w14:paraId="2D435B78" w14:textId="77777777" w:rsidR="005108E2" w:rsidRPr="008709E6" w:rsidRDefault="005108E2" w:rsidP="00D93C1D"/>
        </w:tc>
        <w:tc>
          <w:tcPr>
            <w:tcW w:w="3119" w:type="dxa"/>
          </w:tcPr>
          <w:p w14:paraId="0C18E316" w14:textId="77777777" w:rsidR="005108E2" w:rsidRPr="008709E6" w:rsidRDefault="005108E2" w:rsidP="00D93C1D"/>
        </w:tc>
        <w:tc>
          <w:tcPr>
            <w:tcW w:w="2410" w:type="dxa"/>
          </w:tcPr>
          <w:p w14:paraId="31CC8A53" w14:textId="77777777" w:rsidR="005108E2" w:rsidRPr="008709E6" w:rsidRDefault="005108E2" w:rsidP="00D93C1D">
            <w:r w:rsidRPr="008709E6">
              <w:t>Study VX19-121-003</w:t>
            </w:r>
          </w:p>
        </w:tc>
        <w:tc>
          <w:tcPr>
            <w:tcW w:w="708" w:type="dxa"/>
          </w:tcPr>
          <w:p w14:paraId="0EE368FF" w14:textId="77777777" w:rsidR="005108E2" w:rsidRPr="008709E6" w:rsidRDefault="005108E2" w:rsidP="00D93C1D">
            <w:r w:rsidRPr="008709E6">
              <w:t>*</w:t>
            </w:r>
          </w:p>
        </w:tc>
      </w:tr>
      <w:tr w:rsidR="005108E2" w:rsidRPr="008709E6" w14:paraId="2F7EEDE0" w14:textId="77777777" w:rsidTr="00DE2B5F">
        <w:trPr>
          <w:trHeight w:val="170"/>
        </w:trPr>
        <w:tc>
          <w:tcPr>
            <w:tcW w:w="2825" w:type="dxa"/>
            <w:vMerge/>
          </w:tcPr>
          <w:p w14:paraId="3AA051AD" w14:textId="77777777" w:rsidR="005108E2" w:rsidRPr="008709E6" w:rsidRDefault="005108E2" w:rsidP="00D93C1D"/>
        </w:tc>
        <w:tc>
          <w:tcPr>
            <w:tcW w:w="3119" w:type="dxa"/>
          </w:tcPr>
          <w:p w14:paraId="336A3F74" w14:textId="77777777" w:rsidR="005108E2" w:rsidRPr="008709E6" w:rsidRDefault="005108E2" w:rsidP="00D93C1D"/>
        </w:tc>
        <w:tc>
          <w:tcPr>
            <w:tcW w:w="2410" w:type="dxa"/>
          </w:tcPr>
          <w:p w14:paraId="0E11044F" w14:textId="77777777" w:rsidR="005108E2" w:rsidRPr="008709E6" w:rsidRDefault="005108E2" w:rsidP="00D93C1D">
            <w:r w:rsidRPr="008709E6">
              <w:t>Study VX-21-121-005</w:t>
            </w:r>
          </w:p>
        </w:tc>
        <w:tc>
          <w:tcPr>
            <w:tcW w:w="708" w:type="dxa"/>
          </w:tcPr>
          <w:p w14:paraId="3DDF02E5" w14:textId="77777777" w:rsidR="005108E2" w:rsidRPr="008709E6" w:rsidRDefault="005108E2" w:rsidP="00D93C1D">
            <w:r w:rsidRPr="008709E6">
              <w:t>*</w:t>
            </w:r>
          </w:p>
        </w:tc>
      </w:tr>
      <w:tr w:rsidR="005108E2" w:rsidRPr="008709E6" w14:paraId="189AB460" w14:textId="77777777" w:rsidTr="00DE2B5F">
        <w:trPr>
          <w:trHeight w:val="170"/>
        </w:trPr>
        <w:tc>
          <w:tcPr>
            <w:tcW w:w="2825" w:type="dxa"/>
            <w:vMerge/>
          </w:tcPr>
          <w:p w14:paraId="33786652" w14:textId="77777777" w:rsidR="005108E2" w:rsidRPr="008709E6" w:rsidRDefault="005108E2" w:rsidP="00D93C1D"/>
        </w:tc>
        <w:tc>
          <w:tcPr>
            <w:tcW w:w="3119" w:type="dxa"/>
          </w:tcPr>
          <w:p w14:paraId="2CFA1741" w14:textId="77777777" w:rsidR="005108E2" w:rsidRPr="008709E6" w:rsidRDefault="005108E2" w:rsidP="00D93C1D">
            <w:r w:rsidRPr="008709E6">
              <w:t>Food effect</w:t>
            </w:r>
          </w:p>
        </w:tc>
        <w:tc>
          <w:tcPr>
            <w:tcW w:w="2410" w:type="dxa"/>
          </w:tcPr>
          <w:p w14:paraId="115AECB0" w14:textId="77777777" w:rsidR="005108E2" w:rsidRPr="008709E6" w:rsidRDefault="005108E2" w:rsidP="00D93C1D">
            <w:r w:rsidRPr="008709E6">
              <w:t>Study VX-21-121-005</w:t>
            </w:r>
          </w:p>
        </w:tc>
        <w:tc>
          <w:tcPr>
            <w:tcW w:w="708" w:type="dxa"/>
          </w:tcPr>
          <w:p w14:paraId="6836C7C5" w14:textId="77777777" w:rsidR="005108E2" w:rsidRPr="008709E6" w:rsidRDefault="005108E2" w:rsidP="00D93C1D">
            <w:r w:rsidRPr="008709E6">
              <w:t>*</w:t>
            </w:r>
          </w:p>
        </w:tc>
      </w:tr>
      <w:tr w:rsidR="005108E2" w:rsidRPr="008709E6" w14:paraId="14F35224" w14:textId="77777777" w:rsidTr="00DE2B5F">
        <w:trPr>
          <w:trHeight w:val="170"/>
        </w:trPr>
        <w:tc>
          <w:tcPr>
            <w:tcW w:w="2825" w:type="dxa"/>
          </w:tcPr>
          <w:p w14:paraId="02067842" w14:textId="77777777" w:rsidR="005108E2" w:rsidRPr="008709E6" w:rsidRDefault="005108E2" w:rsidP="00D93C1D">
            <w:r w:rsidRPr="008709E6">
              <w:t>PK in special populations</w:t>
            </w:r>
          </w:p>
        </w:tc>
        <w:tc>
          <w:tcPr>
            <w:tcW w:w="3119" w:type="dxa"/>
          </w:tcPr>
          <w:p w14:paraId="4D4023FD" w14:textId="77777777" w:rsidR="005108E2" w:rsidRPr="008709E6" w:rsidRDefault="005108E2" w:rsidP="00D93C1D">
            <w:r w:rsidRPr="008709E6">
              <w:t>Hepatic impairment</w:t>
            </w:r>
          </w:p>
        </w:tc>
        <w:tc>
          <w:tcPr>
            <w:tcW w:w="2410" w:type="dxa"/>
          </w:tcPr>
          <w:p w14:paraId="30B17A9A" w14:textId="77777777" w:rsidR="005108E2" w:rsidRPr="008709E6" w:rsidRDefault="005108E2" w:rsidP="00D93C1D">
            <w:r w:rsidRPr="008709E6">
              <w:rPr>
                <w:lang w:eastAsia="ja-JP"/>
              </w:rPr>
              <w:t xml:space="preserve">Study VX21-121-008 </w:t>
            </w:r>
          </w:p>
        </w:tc>
        <w:tc>
          <w:tcPr>
            <w:tcW w:w="708" w:type="dxa"/>
          </w:tcPr>
          <w:p w14:paraId="23B940AF" w14:textId="77777777" w:rsidR="005108E2" w:rsidRPr="008709E6" w:rsidRDefault="005108E2" w:rsidP="00D93C1D">
            <w:r w:rsidRPr="008709E6">
              <w:t>*</w:t>
            </w:r>
          </w:p>
        </w:tc>
      </w:tr>
      <w:tr w:rsidR="005108E2" w:rsidRPr="008709E6" w14:paraId="412394BA" w14:textId="77777777" w:rsidTr="00DE2B5F">
        <w:trPr>
          <w:trHeight w:val="170"/>
        </w:trPr>
        <w:tc>
          <w:tcPr>
            <w:tcW w:w="2825" w:type="dxa"/>
            <w:vMerge w:val="restart"/>
          </w:tcPr>
          <w:p w14:paraId="55A2FD61" w14:textId="77777777" w:rsidR="005108E2" w:rsidRPr="008709E6" w:rsidRDefault="005108E2" w:rsidP="00D93C1D">
            <w:r w:rsidRPr="008709E6">
              <w:t>PK interactions</w:t>
            </w:r>
          </w:p>
        </w:tc>
        <w:tc>
          <w:tcPr>
            <w:tcW w:w="3119" w:type="dxa"/>
          </w:tcPr>
          <w:p w14:paraId="68DF44F5" w14:textId="77777777" w:rsidR="005108E2" w:rsidRPr="008709E6" w:rsidRDefault="005108E2" w:rsidP="00D93C1D">
            <w:r w:rsidRPr="008709E6">
              <w:t>VNZ, TEZ and D-IVA</w:t>
            </w:r>
          </w:p>
        </w:tc>
        <w:tc>
          <w:tcPr>
            <w:tcW w:w="2410" w:type="dxa"/>
          </w:tcPr>
          <w:p w14:paraId="58655939" w14:textId="77777777" w:rsidR="005108E2" w:rsidRPr="008709E6" w:rsidRDefault="005108E2" w:rsidP="00D93C1D">
            <w:r w:rsidRPr="008709E6">
              <w:rPr>
                <w:lang w:eastAsia="ja-JP"/>
              </w:rPr>
              <w:t>Study VX21-121-006</w:t>
            </w:r>
          </w:p>
        </w:tc>
        <w:tc>
          <w:tcPr>
            <w:tcW w:w="708" w:type="dxa"/>
          </w:tcPr>
          <w:p w14:paraId="431CC0F7" w14:textId="77777777" w:rsidR="005108E2" w:rsidRPr="008709E6" w:rsidRDefault="005108E2" w:rsidP="00D93C1D">
            <w:r w:rsidRPr="008709E6">
              <w:t>*</w:t>
            </w:r>
          </w:p>
        </w:tc>
      </w:tr>
      <w:tr w:rsidR="005108E2" w:rsidRPr="008709E6" w14:paraId="1F253636" w14:textId="77777777" w:rsidTr="00DE2B5F">
        <w:trPr>
          <w:trHeight w:val="170"/>
        </w:trPr>
        <w:tc>
          <w:tcPr>
            <w:tcW w:w="2825" w:type="dxa"/>
            <w:vMerge/>
          </w:tcPr>
          <w:p w14:paraId="0D0D8AFA" w14:textId="77777777" w:rsidR="005108E2" w:rsidRPr="008709E6" w:rsidRDefault="005108E2" w:rsidP="00D93C1D"/>
        </w:tc>
        <w:tc>
          <w:tcPr>
            <w:tcW w:w="3119" w:type="dxa"/>
          </w:tcPr>
          <w:p w14:paraId="5B993F68" w14:textId="77777777" w:rsidR="005108E2" w:rsidRPr="008709E6" w:rsidRDefault="005108E2" w:rsidP="00D93C1D">
            <w:r w:rsidRPr="008709E6">
              <w:t>Itraconazole</w:t>
            </w:r>
          </w:p>
        </w:tc>
        <w:tc>
          <w:tcPr>
            <w:tcW w:w="2410" w:type="dxa"/>
          </w:tcPr>
          <w:p w14:paraId="21226787" w14:textId="77777777" w:rsidR="005108E2" w:rsidRPr="008709E6" w:rsidRDefault="005108E2" w:rsidP="00D93C1D">
            <w:r w:rsidRPr="008709E6">
              <w:t xml:space="preserve">Study VX21-121-007 </w:t>
            </w:r>
          </w:p>
        </w:tc>
        <w:tc>
          <w:tcPr>
            <w:tcW w:w="708" w:type="dxa"/>
          </w:tcPr>
          <w:p w14:paraId="3FEA6B5A" w14:textId="77777777" w:rsidR="005108E2" w:rsidRPr="008709E6" w:rsidRDefault="005108E2" w:rsidP="00D93C1D">
            <w:r w:rsidRPr="008709E6">
              <w:t>*</w:t>
            </w:r>
          </w:p>
        </w:tc>
      </w:tr>
      <w:tr w:rsidR="005108E2" w:rsidRPr="008709E6" w14:paraId="1A624EC7" w14:textId="77777777" w:rsidTr="00DE2B5F">
        <w:trPr>
          <w:trHeight w:val="170"/>
        </w:trPr>
        <w:tc>
          <w:tcPr>
            <w:tcW w:w="2825" w:type="dxa"/>
          </w:tcPr>
          <w:p w14:paraId="719D7946" w14:textId="77777777" w:rsidR="005108E2" w:rsidRPr="008709E6" w:rsidRDefault="005108E2" w:rsidP="00D93C1D">
            <w:r w:rsidRPr="008709E6">
              <w:t>Population PK analyses</w:t>
            </w:r>
          </w:p>
        </w:tc>
        <w:tc>
          <w:tcPr>
            <w:tcW w:w="3119" w:type="dxa"/>
          </w:tcPr>
          <w:p w14:paraId="41427375" w14:textId="77777777" w:rsidR="005108E2" w:rsidRPr="008709E6" w:rsidRDefault="005108E2" w:rsidP="00D93C1D">
            <w:r w:rsidRPr="008709E6">
              <w:t>Target population</w:t>
            </w:r>
          </w:p>
        </w:tc>
        <w:tc>
          <w:tcPr>
            <w:tcW w:w="2410" w:type="dxa"/>
          </w:tcPr>
          <w:p w14:paraId="2D542141" w14:textId="77777777" w:rsidR="005108E2" w:rsidRPr="008709E6" w:rsidRDefault="005108E2" w:rsidP="00D93C1D">
            <w:r w:rsidRPr="008709E6">
              <w:t>PopPK analysis S388</w:t>
            </w:r>
          </w:p>
        </w:tc>
        <w:tc>
          <w:tcPr>
            <w:tcW w:w="708" w:type="dxa"/>
          </w:tcPr>
          <w:p w14:paraId="0F8C749C" w14:textId="77777777" w:rsidR="005108E2" w:rsidRPr="008709E6" w:rsidRDefault="005108E2" w:rsidP="00D93C1D">
            <w:r w:rsidRPr="008709E6">
              <w:t>§</w:t>
            </w:r>
          </w:p>
        </w:tc>
      </w:tr>
    </w:tbl>
    <w:p w14:paraId="4BE93E8D" w14:textId="77777777" w:rsidR="001E1552" w:rsidRPr="001E1552" w:rsidRDefault="001E1552" w:rsidP="001E1552">
      <w:pPr>
        <w:pStyle w:val="TableDescription"/>
      </w:pPr>
      <w:r w:rsidRPr="001E1552">
        <w:t>* Indicates the primary PK aim of the study, † Bioequivalence of different formulations, § Subjects who would be eligible to receive the drug if approved for the proposed indication.</w:t>
      </w:r>
    </w:p>
    <w:p w14:paraId="29B7951C" w14:textId="6664BFDF" w:rsidR="00E7403B" w:rsidRPr="00D93C1D" w:rsidRDefault="00D93C1D" w:rsidP="00321260">
      <w:pPr>
        <w:rPr>
          <w:b/>
          <w:bCs/>
        </w:rPr>
      </w:pPr>
      <w:r>
        <w:rPr>
          <w:b/>
          <w:bCs/>
        </w:rPr>
        <w:t>S</w:t>
      </w:r>
      <w:r w:rsidRPr="00D93C1D">
        <w:rPr>
          <w:b/>
          <w:bCs/>
        </w:rPr>
        <w:t>ites and mechanism of absorption</w:t>
      </w:r>
    </w:p>
    <w:p w14:paraId="02E01F9A" w14:textId="2BB90D7E" w:rsidR="00E7403B" w:rsidRPr="006F359C" w:rsidRDefault="00E7403B" w:rsidP="00CC7285">
      <w:r w:rsidRPr="006F359C">
        <w:t>Vanzacaftor (VNZ), tezacaftor (TEZ), and deutivacaftor (D-IVA) are administered orally as a fixed-dose combination tablet.</w:t>
      </w:r>
    </w:p>
    <w:p w14:paraId="221410CE" w14:textId="29B7F911" w:rsidR="00E7403B" w:rsidRPr="00D001F5" w:rsidRDefault="00E7403B" w:rsidP="00CC7285">
      <w:r w:rsidRPr="006F359C">
        <w:t>VNZ is absorbed slowly, with a median time to maximum plasma concentration (</w:t>
      </w:r>
      <w:proofErr w:type="spellStart"/>
      <w:r w:rsidRPr="006F359C">
        <w:t>T</w:t>
      </w:r>
      <w:r w:rsidRPr="00377A4E">
        <w:rPr>
          <w:vertAlign w:val="subscript"/>
        </w:rPr>
        <w:t>max</w:t>
      </w:r>
      <w:proofErr w:type="spellEnd"/>
      <w:r w:rsidRPr="006F359C">
        <w:t>) of 7.8 hours (range: 3.7–11.9 hours).</w:t>
      </w:r>
      <w:r w:rsidR="00377A4E">
        <w:t xml:space="preserve"> </w:t>
      </w:r>
      <w:r w:rsidRPr="006F359C">
        <w:t xml:space="preserve">TEZ and D-IVA are absorbed more rapidly, with median </w:t>
      </w:r>
      <w:proofErr w:type="spellStart"/>
      <w:r w:rsidRPr="006F359C">
        <w:t>T</w:t>
      </w:r>
      <w:r w:rsidRPr="00377A4E">
        <w:rPr>
          <w:vertAlign w:val="subscript"/>
        </w:rPr>
        <w:t>max</w:t>
      </w:r>
      <w:proofErr w:type="spellEnd"/>
      <w:r w:rsidRPr="006F359C">
        <w:t xml:space="preserve"> values of 1.6 hours (range: 1.4–1.7 hours) and 3.7 hours (range: 2.7–11.4 hours), respectively.</w:t>
      </w:r>
    </w:p>
    <w:p w14:paraId="76540443" w14:textId="6B3ED3B5" w:rsidR="00E7403B" w:rsidRPr="00D001F5" w:rsidRDefault="00E7403B" w:rsidP="00CC7285">
      <w:r w:rsidRPr="00D001F5">
        <w:t xml:space="preserve">In Study VX-21-121-005 </w:t>
      </w:r>
      <w:r w:rsidRPr="00D001F5">
        <w:rPr>
          <w:lang w:eastAsia="ja-JP"/>
        </w:rPr>
        <w:t>exposure to VNZ and D-IVA were significantly increased in the fed state, whilst for TEZ exposure was similar in the fasted and fed states. With a high fat meal VNZ exposure was increased by six-fold and D-IVA exposure increased by five-fold</w:t>
      </w:r>
      <w:r>
        <w:rPr>
          <w:lang w:eastAsia="ja-JP"/>
        </w:rPr>
        <w:t>.</w:t>
      </w:r>
      <w:r w:rsidRPr="00D001F5">
        <w:rPr>
          <w:lang w:eastAsia="ja-JP"/>
        </w:rPr>
        <w:t xml:space="preserve"> With a </w:t>
      </w:r>
      <w:r w:rsidR="006F2005" w:rsidRPr="00D001F5">
        <w:rPr>
          <w:lang w:eastAsia="ja-JP"/>
        </w:rPr>
        <w:t>low-fat</w:t>
      </w:r>
      <w:r w:rsidRPr="00D001F5">
        <w:rPr>
          <w:lang w:eastAsia="ja-JP"/>
        </w:rPr>
        <w:t xml:space="preserve"> meal VNZ and D-IVA exposure were each increased by four-fold.</w:t>
      </w:r>
    </w:p>
    <w:p w14:paraId="103472DB" w14:textId="77777777" w:rsidR="00E7403B" w:rsidRPr="00D93C1D" w:rsidRDefault="00E7403B" w:rsidP="00CC7285">
      <w:pPr>
        <w:rPr>
          <w:b/>
          <w:bCs/>
        </w:rPr>
      </w:pPr>
      <w:r w:rsidRPr="00D93C1D">
        <w:rPr>
          <w:b/>
          <w:bCs/>
        </w:rPr>
        <w:t>Bioavailability</w:t>
      </w:r>
    </w:p>
    <w:p w14:paraId="4727006B" w14:textId="56FD1674" w:rsidR="00E7403B" w:rsidRPr="006F359C" w:rsidRDefault="00E7403B" w:rsidP="00CC7285">
      <w:r w:rsidRPr="006F359C">
        <w:t xml:space="preserve">Absolute bioavailability data were not provided. </w:t>
      </w:r>
      <w:r w:rsidRPr="009B1E3B">
        <w:t xml:space="preserve">The sponsor stated that </w:t>
      </w:r>
      <w:r w:rsidR="00C92827">
        <w:t>‘</w:t>
      </w:r>
      <w:r w:rsidRPr="006F359C">
        <w:t>low aqueous solubility of VNZ, TEZ, and D-IVA precludes the development of an intravenous formulation, making absolute bioavailability testing unfeasible</w:t>
      </w:r>
      <w:r w:rsidR="00C92827">
        <w:t>’</w:t>
      </w:r>
      <w:r w:rsidRPr="006F359C">
        <w:t>.</w:t>
      </w:r>
    </w:p>
    <w:p w14:paraId="3E47DFF0" w14:textId="77777777" w:rsidR="00E7403B" w:rsidRPr="006F359C" w:rsidRDefault="00E7403B" w:rsidP="00CC7285">
      <w:r w:rsidRPr="006F359C">
        <w:t>In Study VX17-121-001 at the 10 mg dose level, exposure was comparable between tablet and suspension formulations</w:t>
      </w:r>
      <w:r w:rsidRPr="00302FB8">
        <w:t>.</w:t>
      </w:r>
    </w:p>
    <w:p w14:paraId="6666D692" w14:textId="77777777" w:rsidR="00E7403B" w:rsidRPr="006F359C" w:rsidRDefault="00E7403B" w:rsidP="00CC7285">
      <w:r w:rsidRPr="006F359C">
        <w:t>Comparison of the FDC tablet with separate tablets showed</w:t>
      </w:r>
      <w:r w:rsidRPr="00302FB8">
        <w:t xml:space="preserve"> (</w:t>
      </w:r>
      <w:r w:rsidRPr="006F359C">
        <w:t>Study VX19-121-003</w:t>
      </w:r>
      <w:r w:rsidRPr="00302FB8">
        <w:t>)</w:t>
      </w:r>
      <w:r w:rsidRPr="006F359C">
        <w:t>:</w:t>
      </w:r>
    </w:p>
    <w:p w14:paraId="12429DD2" w14:textId="77777777" w:rsidR="00E7403B" w:rsidRPr="00302FB8" w:rsidRDefault="00E7403B" w:rsidP="00EF71D2">
      <w:pPr>
        <w:pStyle w:val="ListBullet"/>
      </w:pPr>
      <w:r w:rsidRPr="00302FB8">
        <w:lastRenderedPageBreak/>
        <w:t>VNZ: Exposure was approximately 50–55% lower with the FDC tablet.</w:t>
      </w:r>
    </w:p>
    <w:p w14:paraId="20AD41A8" w14:textId="77777777" w:rsidR="00E7403B" w:rsidRPr="00302FB8" w:rsidRDefault="00E7403B" w:rsidP="00EF71D2">
      <w:pPr>
        <w:pStyle w:val="ListBullet"/>
      </w:pPr>
      <w:r w:rsidRPr="00302FB8">
        <w:t>TEZ: Exposure was similar between formulations.</w:t>
      </w:r>
    </w:p>
    <w:p w14:paraId="31BC7EA2" w14:textId="77777777" w:rsidR="00E7403B" w:rsidRPr="00302FB8" w:rsidRDefault="00E7403B" w:rsidP="00EF71D2">
      <w:pPr>
        <w:pStyle w:val="ListBullet"/>
      </w:pPr>
      <w:r w:rsidRPr="00302FB8">
        <w:t>D-IVA: Exposure was also similar.</w:t>
      </w:r>
    </w:p>
    <w:p w14:paraId="2752D3F6" w14:textId="77777777" w:rsidR="00E7403B" w:rsidRPr="00302FB8" w:rsidRDefault="00E7403B" w:rsidP="00CC7285">
      <w:pPr>
        <w:rPr>
          <w:lang w:eastAsia="ja-JP"/>
        </w:rPr>
      </w:pPr>
      <w:r w:rsidRPr="00302FB8">
        <w:t xml:space="preserve">In </w:t>
      </w:r>
      <w:r w:rsidRPr="006F359C">
        <w:t>Study VX21-121-005</w:t>
      </w:r>
      <w:r w:rsidRPr="00302FB8">
        <w:t>, e</w:t>
      </w:r>
      <w:r w:rsidRPr="00302FB8">
        <w:rPr>
          <w:lang w:eastAsia="ja-JP"/>
        </w:rPr>
        <w:t>xposure and PK parameters were similar for VNZ at a 20 mg dose in the FDC and 10 mg dose in separate tablets. TEZ and D-IVA were similar at the same dose level.</w:t>
      </w:r>
    </w:p>
    <w:p w14:paraId="2F9A464E" w14:textId="77777777" w:rsidR="00E7403B" w:rsidRPr="00302FB8" w:rsidRDefault="00E7403B" w:rsidP="00CC7285">
      <w:r w:rsidRPr="00302FB8">
        <w:t xml:space="preserve">In </w:t>
      </w:r>
      <w:r w:rsidRPr="006F359C">
        <w:t>Study VX22-121-009</w:t>
      </w:r>
      <w:r w:rsidRPr="00302FB8">
        <w:t>,</w:t>
      </w:r>
      <w:r w:rsidRPr="006F359C">
        <w:t xml:space="preserve"> </w:t>
      </w:r>
      <w:r w:rsidRPr="00302FB8">
        <w:t>all three active ingredients were bioequivalent for the two tablet sizes.</w:t>
      </w:r>
    </w:p>
    <w:p w14:paraId="4C87F22E" w14:textId="77777777" w:rsidR="00E7403B" w:rsidRDefault="00E7403B" w:rsidP="00CC7285">
      <w:r w:rsidRPr="00302FB8">
        <w:t xml:space="preserve">In study </w:t>
      </w:r>
      <w:r w:rsidRPr="006F359C">
        <w:t>VX17-121-00</w:t>
      </w:r>
      <w:r w:rsidRPr="00302FB8">
        <w:t xml:space="preserve"> when administered as single and multiple doses as a monotherapy, and in combination with TEZ/IVA, VX-121 exposure was approximately dose proportional. </w:t>
      </w:r>
    </w:p>
    <w:p w14:paraId="1662B25E" w14:textId="2BA985DA" w:rsidR="00E7403B" w:rsidRPr="00D93C1D" w:rsidRDefault="00E7403B" w:rsidP="00CC7285">
      <w:pPr>
        <w:rPr>
          <w:b/>
          <w:bCs/>
        </w:rPr>
      </w:pPr>
      <w:r w:rsidRPr="00D93C1D">
        <w:rPr>
          <w:b/>
          <w:bCs/>
        </w:rPr>
        <w:t>Distribution</w:t>
      </w:r>
    </w:p>
    <w:p w14:paraId="636189F3" w14:textId="77777777" w:rsidR="00E7403B" w:rsidRPr="00CB4E4D" w:rsidRDefault="00E7403B" w:rsidP="00CC7285">
      <w:r w:rsidRPr="00CB4E4D">
        <w:t>In vitro studies showed protein binding of VNZ, TEZ, D-IVA, and their major metabolites was high for VNZ (&gt;99%), TEZ (approximately 99%), and D-IVA (&gt;99%) in human plasma.</w:t>
      </w:r>
    </w:p>
    <w:p w14:paraId="2FF62C42" w14:textId="77777777" w:rsidR="00E7403B" w:rsidRPr="00CB4E4D" w:rsidRDefault="00E7403B" w:rsidP="00CC7285">
      <w:r w:rsidRPr="00CB4E4D">
        <w:t>After oral administration of vanzacaftor/tezacaftor/deutivacaftor, the mean (SD) apparent volume of distribution of vanzacaftor, tezacaftor and deutivacaftor was 90.4 L (31.3), 123 L (43.2) and 157 L (47.3), respectively.</w:t>
      </w:r>
    </w:p>
    <w:p w14:paraId="120CB8EB" w14:textId="77777777" w:rsidR="00E7403B" w:rsidRPr="00CB4E4D" w:rsidRDefault="00E7403B" w:rsidP="00CC7285">
      <w:r w:rsidRPr="00CB4E4D">
        <w:rPr>
          <w:lang w:eastAsia="ja-JP"/>
        </w:rPr>
        <w:t xml:space="preserve">The values of V/F for VNZ, TEZ and D-IVA </w:t>
      </w:r>
      <w:r>
        <w:rPr>
          <w:lang w:eastAsia="ja-JP"/>
        </w:rPr>
        <w:t>(apparent volumes of distribution after oral dosing) do</w:t>
      </w:r>
      <w:r w:rsidRPr="00CB4E4D">
        <w:rPr>
          <w:lang w:eastAsia="ja-JP"/>
        </w:rPr>
        <w:t xml:space="preserve"> not indicate preferential distribution to the tissues.</w:t>
      </w:r>
    </w:p>
    <w:p w14:paraId="0D1EDA27" w14:textId="2A11F038" w:rsidR="00E7403B" w:rsidRPr="00D93C1D" w:rsidRDefault="00E7403B" w:rsidP="00CC7285">
      <w:pPr>
        <w:rPr>
          <w:rFonts w:eastAsia="Times New Roman"/>
          <w:b/>
          <w:bCs/>
          <w:spacing w:val="-4"/>
          <w:lang w:eastAsia="en-AU"/>
        </w:rPr>
      </w:pPr>
      <w:r w:rsidRPr="00D93C1D">
        <w:rPr>
          <w:rFonts w:eastAsia="Times New Roman"/>
          <w:b/>
          <w:bCs/>
          <w:spacing w:val="-4"/>
          <w:lang w:eastAsia="en-AU"/>
        </w:rPr>
        <w:t>Metabolism</w:t>
      </w:r>
    </w:p>
    <w:p w14:paraId="73A3C848" w14:textId="77777777" w:rsidR="00E7403B" w:rsidRPr="009C0BBF" w:rsidRDefault="00E7403B" w:rsidP="00CC7285">
      <w:r w:rsidRPr="009C0BBF">
        <w:t>VNZ, TEZ, and D-IVA are extensively metabolized in humans, primarily by CYP3A4/5.</w:t>
      </w:r>
    </w:p>
    <w:p w14:paraId="6D47623F" w14:textId="77777777" w:rsidR="00E7403B" w:rsidRPr="009C0BBF" w:rsidRDefault="00E7403B" w:rsidP="00CC7285">
      <w:pPr>
        <w:rPr>
          <w:szCs w:val="22"/>
        </w:rPr>
      </w:pPr>
      <w:r w:rsidRPr="009C0BBF">
        <w:rPr>
          <w:szCs w:val="22"/>
        </w:rPr>
        <w:t>VNZ has no major circulating metabolite.</w:t>
      </w:r>
    </w:p>
    <w:p w14:paraId="669100E6" w14:textId="77777777" w:rsidR="00E7403B" w:rsidRPr="009C0BBF" w:rsidRDefault="00E7403B" w:rsidP="00CC7285">
      <w:pPr>
        <w:rPr>
          <w:szCs w:val="22"/>
        </w:rPr>
      </w:pPr>
      <w:r w:rsidRPr="009C0BBF">
        <w:rPr>
          <w:szCs w:val="22"/>
        </w:rPr>
        <w:t>M1-TEZ has similar potency to that of TEZ and is considered pharmacologically active.</w:t>
      </w:r>
    </w:p>
    <w:p w14:paraId="63DC54B0" w14:textId="77777777" w:rsidR="00E7403B" w:rsidRPr="009C0BBF" w:rsidRDefault="00E7403B" w:rsidP="00CC7285">
      <w:pPr>
        <w:rPr>
          <w:szCs w:val="22"/>
        </w:rPr>
      </w:pPr>
      <w:r w:rsidRPr="009C0BBF">
        <w:rPr>
          <w:szCs w:val="22"/>
        </w:rPr>
        <w:t>M2-TEZ is much less pharmacologically active than TEZ or M1-TEZ, and M5-TEZ is not considered pharmacologically active.</w:t>
      </w:r>
    </w:p>
    <w:p w14:paraId="16A9DBAD" w14:textId="77777777" w:rsidR="00E7403B" w:rsidRPr="009C0BBF" w:rsidRDefault="00E7403B" w:rsidP="00CC7285">
      <w:pPr>
        <w:rPr>
          <w:szCs w:val="22"/>
        </w:rPr>
      </w:pPr>
      <w:r w:rsidRPr="009C0BBF">
        <w:rPr>
          <w:szCs w:val="22"/>
        </w:rPr>
        <w:t>D-IVA and IVA have qualitatively similar metabolic pathways. M1-D-IVA has approximately one-fifth the potency of D-IVA and is considered pharmacologically active. M6-D-IVA is the other major metabolite of D-IVA and is not considered pharmacologically active.</w:t>
      </w:r>
    </w:p>
    <w:p w14:paraId="4C6E837E" w14:textId="0A5FC87A" w:rsidR="00E7403B" w:rsidRPr="00D93C1D" w:rsidRDefault="00E7403B" w:rsidP="00CC7285">
      <w:pPr>
        <w:rPr>
          <w:b/>
          <w:bCs/>
          <w:lang w:eastAsia="ja-JP"/>
        </w:rPr>
      </w:pPr>
      <w:r w:rsidRPr="00D93C1D">
        <w:rPr>
          <w:rFonts w:eastAsia="Times New Roman"/>
          <w:b/>
          <w:bCs/>
          <w:color w:val="424242"/>
          <w:spacing w:val="-4"/>
          <w:lang w:eastAsia="en-AU"/>
        </w:rPr>
        <w:t>Excretion</w:t>
      </w:r>
    </w:p>
    <w:p w14:paraId="46B76964" w14:textId="77777777" w:rsidR="00E7403B" w:rsidRPr="006E0DBB" w:rsidRDefault="00E7403B" w:rsidP="00CC7285">
      <w:r w:rsidRPr="006E0DBB">
        <w:t xml:space="preserve">VNZ was mainly cleared by metabolism in humans. After a single oral dose of 20 mg (200 </w:t>
      </w:r>
      <w:proofErr w:type="spellStart"/>
      <w:r w:rsidRPr="006E0DBB">
        <w:t>μCi</w:t>
      </w:r>
      <w:proofErr w:type="spellEnd"/>
      <w:r w:rsidRPr="006E0DBB">
        <w:t xml:space="preserve">) 14C-VNZ in healthy male subjects, </w:t>
      </w:r>
      <w:proofErr w:type="gramStart"/>
      <w:r w:rsidRPr="006E0DBB">
        <w:t>the majority of</w:t>
      </w:r>
      <w:proofErr w:type="gramEnd"/>
      <w:r w:rsidRPr="006E0DBB">
        <w:t xml:space="preserve"> radioactivity was recovered in f</w:t>
      </w:r>
      <w:r>
        <w:t>a</w:t>
      </w:r>
      <w:r w:rsidRPr="006E0DBB">
        <w:t>eces (91.6%) with minimal renal excretion.</w:t>
      </w:r>
    </w:p>
    <w:p w14:paraId="0552FB65" w14:textId="77777777" w:rsidR="00E7403B" w:rsidRPr="006E0DBB" w:rsidRDefault="00E7403B" w:rsidP="00CC7285">
      <w:r w:rsidRPr="006E0DBB">
        <w:t xml:space="preserve">Following oral administration of 14C-tezacaftor alone, </w:t>
      </w:r>
      <w:proofErr w:type="gramStart"/>
      <w:r w:rsidRPr="006E0DBB">
        <w:t>the majority of</w:t>
      </w:r>
      <w:proofErr w:type="gramEnd"/>
      <w:r w:rsidRPr="006E0DBB">
        <w:t xml:space="preserve"> the dose (72%) was excreted in the faeces (unchanged or as the M2-tezacaftor) and about 14% was recovered in urine.</w:t>
      </w:r>
    </w:p>
    <w:p w14:paraId="5B8311E7" w14:textId="349AEF56" w:rsidR="00E7403B" w:rsidRPr="006E0DBB" w:rsidRDefault="00E7403B" w:rsidP="00CC7285">
      <w:r w:rsidRPr="006E0DBB">
        <w:t>Pre</w:t>
      </w:r>
      <w:r w:rsidR="003D2975">
        <w:t>-</w:t>
      </w:r>
      <w:r w:rsidRPr="006E0DBB">
        <w:t>clinical data indicate that the majority of 14C-deutivacaftor and 14C-ivacaftor are excreted in the faeces. The excretion of</w:t>
      </w:r>
      <w:r>
        <w:t xml:space="preserve"> </w:t>
      </w:r>
      <w:r w:rsidRPr="006E0DBB">
        <w:t xml:space="preserve">deutivacaftor in humans is expected to be </w:t>
      </w:r>
      <w:proofErr w:type="gramStart"/>
      <w:r w:rsidRPr="006E0DBB">
        <w:t>similar to</w:t>
      </w:r>
      <w:proofErr w:type="gramEnd"/>
      <w:r w:rsidRPr="006E0DBB">
        <w:t xml:space="preserve"> that of ivacaftor, based on similar structure and nonclinical data. After oral administration of 14C-ivacaftor alone, the majority of ivacaftor (87.8%) was eliminated in</w:t>
      </w:r>
      <w:r>
        <w:t xml:space="preserve"> </w:t>
      </w:r>
      <w:r w:rsidRPr="006E0DBB">
        <w:t>faeces after metabolic conversion. There was minimal</w:t>
      </w:r>
      <w:r>
        <w:t xml:space="preserve"> </w:t>
      </w:r>
      <w:r w:rsidRPr="006E0DBB">
        <w:t>elimination of ivacaftor and its metabolites in</w:t>
      </w:r>
      <w:r>
        <w:t xml:space="preserve"> </w:t>
      </w:r>
      <w:r w:rsidRPr="006E0DBB">
        <w:t>urine.</w:t>
      </w:r>
    </w:p>
    <w:p w14:paraId="4E52BE4F" w14:textId="77777777" w:rsidR="00E7403B" w:rsidRPr="00FA396B" w:rsidRDefault="00E7403B" w:rsidP="00CC7285">
      <w:r w:rsidRPr="00FA396B">
        <w:t xml:space="preserve">Based on </w:t>
      </w:r>
      <w:proofErr w:type="spellStart"/>
      <w:r w:rsidRPr="00FA396B">
        <w:t>popPK</w:t>
      </w:r>
      <w:proofErr w:type="spellEnd"/>
      <w:r w:rsidRPr="00FA396B">
        <w:t xml:space="preserve"> analyses, the shortest effective half-life based on CF subjects from Phase 3 Studies 102 and 103 for the VNZ, TEZ, and D-IVA was 19.2 hours, which supports </w:t>
      </w:r>
      <w:r>
        <w:t>once daily</w:t>
      </w:r>
      <w:r w:rsidRPr="00FA396B">
        <w:t xml:space="preserve"> dosing of VNZ/TEZ/D-IVA.</w:t>
      </w:r>
    </w:p>
    <w:p w14:paraId="575BAC0C" w14:textId="574F1A07" w:rsidR="00E7403B" w:rsidRPr="00D93C1D" w:rsidRDefault="00E7403B" w:rsidP="00CC7285">
      <w:pPr>
        <w:rPr>
          <w:rFonts w:eastAsia="Arial,Bold"/>
          <w:b/>
          <w:bCs/>
        </w:rPr>
      </w:pPr>
      <w:r w:rsidRPr="00D93C1D">
        <w:rPr>
          <w:rFonts w:eastAsia="Arial,Bold"/>
          <w:b/>
          <w:bCs/>
        </w:rPr>
        <w:t xml:space="preserve">Effect of </w:t>
      </w:r>
      <w:r w:rsidR="00D93C1D" w:rsidRPr="00D93C1D">
        <w:rPr>
          <w:rFonts w:eastAsia="Arial,Bold"/>
          <w:b/>
          <w:bCs/>
        </w:rPr>
        <w:t>intrinsic factors on pharmacokinetics</w:t>
      </w:r>
    </w:p>
    <w:p w14:paraId="72E42FE8" w14:textId="77777777" w:rsidR="00E7403B" w:rsidRDefault="00E7403B" w:rsidP="00CC7285">
      <w:r w:rsidRPr="0091524B">
        <w:lastRenderedPageBreak/>
        <w:t>Body weight was determined to be the only intrinsic factor that had a clinically meaningful impact on the exposure of VNZ, TEZ, D-IVA, and their metabolites for people with CF weighing &lt;40 kg With the proposed dosing regimen including a lower dose for people with CF &lt;40 kg, exposures of VNZ, TEZ, M1-TEZ, and D-IVA in paediatric (6</w:t>
      </w:r>
      <w:r>
        <w:t>-</w:t>
      </w:r>
      <w:r w:rsidRPr="0091524B">
        <w:t>11 years of age) and adolescent (12</w:t>
      </w:r>
      <w:r>
        <w:t>-</w:t>
      </w:r>
      <w:r w:rsidRPr="0091524B">
        <w:t>17 years of age) subjects are generally within the range of exposures seen in subjects ≥18 years of age.</w:t>
      </w:r>
    </w:p>
    <w:p w14:paraId="370ED889" w14:textId="77777777" w:rsidR="00E7403B" w:rsidRPr="00A014BD" w:rsidRDefault="00E7403B" w:rsidP="00CC7285">
      <w:pPr>
        <w:rPr>
          <w:lang w:eastAsia="ja-JP"/>
        </w:rPr>
      </w:pPr>
      <w:r w:rsidRPr="001F3AF9">
        <w:t xml:space="preserve">The majority of VNZ is excreted from the body in </w:t>
      </w:r>
      <w:r w:rsidRPr="008F2819">
        <w:t>faeces</w:t>
      </w:r>
      <w:r w:rsidRPr="001F3AF9">
        <w:t xml:space="preserve"> after oral administration and is primarily</w:t>
      </w:r>
      <w:r w:rsidRPr="008F2819">
        <w:t xml:space="preserve"> </w:t>
      </w:r>
      <w:r w:rsidRPr="001F3AF9">
        <w:t>metabolized by CYP3A4/5. Thus, hepatic metabolism is expected to be an important route of</w:t>
      </w:r>
      <w:r w:rsidRPr="008F2819">
        <w:t xml:space="preserve"> elimination for VNZ. In study </w:t>
      </w:r>
      <w:r w:rsidRPr="008F2819">
        <w:rPr>
          <w:lang w:eastAsia="ja-JP"/>
        </w:rPr>
        <w:t xml:space="preserve">VX21-121-008 clearance of VNZ was increased in subjects with moderate hepatic impairment compared to healthy subjects. </w:t>
      </w:r>
      <w:r w:rsidRPr="008F2819">
        <w:t>There was no significant impact of moderate hepatic impairment on TEZ exposures.</w:t>
      </w:r>
      <w:r w:rsidRPr="008F2819">
        <w:rPr>
          <w:lang w:eastAsia="ja-JP"/>
        </w:rPr>
        <w:t xml:space="preserve"> Clearance of D-IVA was increased in subjects with moderate </w:t>
      </w:r>
      <w:r w:rsidRPr="00A014BD">
        <w:rPr>
          <w:lang w:eastAsia="ja-JP"/>
        </w:rPr>
        <w:t>hepatic impairment compared to healthy subjects.</w:t>
      </w:r>
    </w:p>
    <w:p w14:paraId="4F95BFFC" w14:textId="77777777" w:rsidR="00E7403B" w:rsidRDefault="00E7403B" w:rsidP="00CC7285">
      <w:r w:rsidRPr="00A014BD">
        <w:t xml:space="preserve">VNZ, TEZ, and D-IVA PK were similar in subjects with mild and moderate renal impairment relative to those with normal renal function. </w:t>
      </w:r>
    </w:p>
    <w:p w14:paraId="3EF2F393" w14:textId="5D0EA5EE" w:rsidR="00E7403B" w:rsidRPr="00D93C1D" w:rsidRDefault="00E7403B" w:rsidP="00CC7285">
      <w:pPr>
        <w:rPr>
          <w:b/>
          <w:bCs/>
        </w:rPr>
      </w:pPr>
      <w:r w:rsidRPr="00D93C1D">
        <w:rPr>
          <w:b/>
          <w:bCs/>
        </w:rPr>
        <w:t xml:space="preserve">Extrinsic </w:t>
      </w:r>
      <w:r w:rsidR="00D93C1D" w:rsidRPr="00D93C1D">
        <w:rPr>
          <w:b/>
          <w:bCs/>
        </w:rPr>
        <w:t>f</w:t>
      </w:r>
      <w:r w:rsidRPr="00D93C1D">
        <w:rPr>
          <w:b/>
          <w:bCs/>
        </w:rPr>
        <w:t>actors</w:t>
      </w:r>
    </w:p>
    <w:p w14:paraId="09771DC1" w14:textId="77777777" w:rsidR="00E7403B" w:rsidRPr="00B34BDB" w:rsidRDefault="00E7403B" w:rsidP="00CC7285">
      <w:r w:rsidRPr="00B34BDB">
        <w:t>VNZ, TEZ, and D-IVA are all extensively metabolized by CYP3A. Therefore, VNZ, TEZ, and D-IVA exposures are expected to be reduced by concomitant CYP3A inducers and increased by concomitant CYP3A inhibitors.</w:t>
      </w:r>
    </w:p>
    <w:p w14:paraId="39BD364D" w14:textId="77777777" w:rsidR="00E7403B" w:rsidRPr="00B34BDB" w:rsidRDefault="00E7403B" w:rsidP="00CC7285">
      <w:r w:rsidRPr="00B34BDB">
        <w:t>VNZ/TEZ/D-IVA is not expected to impact the efficacy or safety of hormonal contraceptives</w:t>
      </w:r>
    </w:p>
    <w:p w14:paraId="2AD902DD" w14:textId="1F7F51B8" w:rsidR="00E7403B" w:rsidRDefault="00E7403B" w:rsidP="00CC7285">
      <w:r w:rsidRPr="009938E6">
        <w:t>Co</w:t>
      </w:r>
      <w:r w:rsidR="00570356">
        <w:t>-</w:t>
      </w:r>
      <w:r w:rsidRPr="009938E6">
        <w:t>administration</w:t>
      </w:r>
      <w:r w:rsidRPr="00B34BDB">
        <w:t xml:space="preserve"> </w:t>
      </w:r>
      <w:r w:rsidRPr="009938E6">
        <w:t>of VNZ/TEZ/D-IVA may increase systemic exposure of medicinal products that are substrates of</w:t>
      </w:r>
      <w:r w:rsidRPr="00B34BDB">
        <w:t xml:space="preserve"> P-</w:t>
      </w:r>
      <w:proofErr w:type="spellStart"/>
      <w:r w:rsidRPr="00B34BDB">
        <w:t>gp</w:t>
      </w:r>
      <w:proofErr w:type="spellEnd"/>
      <w:r w:rsidRPr="00B34BDB">
        <w:t>, (e.g. Digoxin) which may increase or prolong their therapeutic effect and adverse reactions.</w:t>
      </w:r>
    </w:p>
    <w:p w14:paraId="624F986C" w14:textId="2B758197" w:rsidR="00E7403B" w:rsidRPr="00D93C1D" w:rsidRDefault="00E7403B" w:rsidP="00CC7285">
      <w:pPr>
        <w:rPr>
          <w:b/>
          <w:bCs/>
        </w:rPr>
      </w:pPr>
      <w:r w:rsidRPr="00D93C1D">
        <w:rPr>
          <w:b/>
          <w:bCs/>
        </w:rPr>
        <w:t xml:space="preserve">PK </w:t>
      </w:r>
      <w:r w:rsidR="00D93C1D">
        <w:rPr>
          <w:b/>
          <w:bCs/>
        </w:rPr>
        <w:t>i</w:t>
      </w:r>
      <w:r w:rsidRPr="00D93C1D">
        <w:rPr>
          <w:b/>
          <w:bCs/>
        </w:rPr>
        <w:t xml:space="preserve">nteractions </w:t>
      </w:r>
      <w:r w:rsidR="00D93C1D">
        <w:rPr>
          <w:b/>
          <w:bCs/>
        </w:rPr>
        <w:t>b</w:t>
      </w:r>
      <w:r w:rsidRPr="00D93C1D">
        <w:rPr>
          <w:b/>
          <w:bCs/>
        </w:rPr>
        <w:t>etween VNZ, TEZ, and D-IVA</w:t>
      </w:r>
    </w:p>
    <w:p w14:paraId="229753A8" w14:textId="77777777" w:rsidR="00E7403B" w:rsidRPr="00B34BDB" w:rsidRDefault="00E7403B" w:rsidP="00CC7285">
      <w:r w:rsidRPr="004B6914">
        <w:t>Following multiple doses of VNZ, TEZ, and D-IVA administered in TC, exposures of VNZ,</w:t>
      </w:r>
      <w:r>
        <w:t xml:space="preserve"> </w:t>
      </w:r>
      <w:r w:rsidRPr="004B6914">
        <w:t>TEZ, D-IVA and their respective metabolites were all increased compared to administration of</w:t>
      </w:r>
      <w:r>
        <w:t xml:space="preserve"> </w:t>
      </w:r>
      <w:r w:rsidRPr="004B6914">
        <w:t>multiple doses of VNZ, TEZ and D-IVA as monotherapy but not to a clinically meaningful</w:t>
      </w:r>
      <w:r>
        <w:t xml:space="preserve"> </w:t>
      </w:r>
      <w:r w:rsidRPr="004B6914">
        <w:t>extent.</w:t>
      </w:r>
    </w:p>
    <w:p w14:paraId="22712781" w14:textId="036F2C3F" w:rsidR="00E7403B" w:rsidRPr="00D93C1D" w:rsidRDefault="00E7403B" w:rsidP="00CC7285">
      <w:pPr>
        <w:rPr>
          <w:b/>
          <w:bCs/>
          <w:i/>
          <w:iCs/>
          <w:szCs w:val="22"/>
        </w:rPr>
      </w:pPr>
      <w:r w:rsidRPr="00D93C1D">
        <w:rPr>
          <w:b/>
          <w:bCs/>
          <w:iCs/>
          <w:szCs w:val="22"/>
        </w:rPr>
        <w:t xml:space="preserve">Population PK data: </w:t>
      </w:r>
      <w:proofErr w:type="spellStart"/>
      <w:r w:rsidRPr="00D93C1D">
        <w:rPr>
          <w:b/>
          <w:bCs/>
          <w:iCs/>
          <w:szCs w:val="22"/>
        </w:rPr>
        <w:t>PopPK</w:t>
      </w:r>
      <w:proofErr w:type="spellEnd"/>
      <w:r w:rsidRPr="00D93C1D">
        <w:rPr>
          <w:b/>
          <w:bCs/>
          <w:iCs/>
          <w:szCs w:val="22"/>
        </w:rPr>
        <w:t xml:space="preserve"> analysis S388 </w:t>
      </w:r>
    </w:p>
    <w:p w14:paraId="6A0540AD" w14:textId="77777777" w:rsidR="00E7403B" w:rsidRPr="00DE43FC" w:rsidRDefault="00E7403B" w:rsidP="00B576DE">
      <w:pPr>
        <w:rPr>
          <w:rFonts w:ascii="TimesNewRoman" w:hAnsi="TimesNewRoman" w:cs="TimesNewRoman"/>
          <w:sz w:val="24"/>
          <w:szCs w:val="24"/>
        </w:rPr>
      </w:pPr>
      <w:r>
        <w:rPr>
          <w:lang w:eastAsia="ja-JP"/>
        </w:rPr>
        <w:t>This</w:t>
      </w:r>
      <w:r w:rsidRPr="00C23C96">
        <w:rPr>
          <w:lang w:eastAsia="ja-JP"/>
        </w:rPr>
        <w:t xml:space="preserve"> was a population PK analysis of VNZ and D-IVA to support dose selection for patients aged 6 years through 11 years with cystic fibrosis receiving VNZ/ TEZ/ D-IVA in combination therapy.</w:t>
      </w:r>
      <w:r>
        <w:rPr>
          <w:rFonts w:ascii="TimesNewRoman" w:hAnsi="TimesNewRoman" w:cs="TimesNewRoman"/>
          <w:sz w:val="24"/>
          <w:szCs w:val="24"/>
        </w:rPr>
        <w:t xml:space="preserve"> </w:t>
      </w:r>
    </w:p>
    <w:p w14:paraId="668F0B41" w14:textId="77777777" w:rsidR="00E7403B" w:rsidRPr="00C23C96" w:rsidRDefault="00E7403B" w:rsidP="00B576DE">
      <w:r w:rsidRPr="00C23C96">
        <w:t>Objectives of this analysis were:</w:t>
      </w:r>
    </w:p>
    <w:p w14:paraId="18AFB7B9" w14:textId="20833209" w:rsidR="00E7403B" w:rsidRPr="00C23C96" w:rsidRDefault="002E1DA4" w:rsidP="00EB3D9D">
      <w:pPr>
        <w:pStyle w:val="ListBullet"/>
      </w:pPr>
      <w:r>
        <w:t>t</w:t>
      </w:r>
      <w:r w:rsidR="00E7403B" w:rsidRPr="00C23C96">
        <w:t>o characterize the PK disposition of VNZ and D-IVA in subjects 6 years and older using population methodology</w:t>
      </w:r>
      <w:r w:rsidR="00EB3D9D">
        <w:t>,</w:t>
      </w:r>
    </w:p>
    <w:p w14:paraId="2827F865" w14:textId="5740A802" w:rsidR="00E7403B" w:rsidRPr="00C23C96" w:rsidRDefault="00E7403B" w:rsidP="00EB3D9D">
      <w:pPr>
        <w:pStyle w:val="ListBullet"/>
      </w:pPr>
      <w:r w:rsidRPr="00C23C96">
        <w:t>to quantify the source of variability</w:t>
      </w:r>
      <w:r w:rsidR="00EB3D9D">
        <w:t>,</w:t>
      </w:r>
    </w:p>
    <w:p w14:paraId="2070F969" w14:textId="12BA9D17" w:rsidR="00E7403B" w:rsidRPr="00C23C96" w:rsidRDefault="00E7403B" w:rsidP="00EB3D9D">
      <w:pPr>
        <w:pStyle w:val="ListBullet"/>
      </w:pPr>
      <w:r w:rsidRPr="00C23C96">
        <w:t>to simulate the prospective VNZ/TEZ/D-IVA dosing regimen for CF subjects 6 to 11 years of age</w:t>
      </w:r>
      <w:r w:rsidR="00EB3D9D">
        <w:t>,</w:t>
      </w:r>
    </w:p>
    <w:p w14:paraId="291CE5E5" w14:textId="2A37669A" w:rsidR="00E7403B" w:rsidRPr="00C23C96" w:rsidRDefault="00E7403B" w:rsidP="00EB3D9D">
      <w:pPr>
        <w:pStyle w:val="ListBullet"/>
      </w:pPr>
      <w:r w:rsidRPr="00C23C96">
        <w:t>to summarize predicted area under the curve (AUC) from the time of dosing (0 h) to 24h post dose (AUC</w:t>
      </w:r>
      <w:r w:rsidRPr="00EB3D9D">
        <w:rPr>
          <w:vertAlign w:val="subscript"/>
        </w:rPr>
        <w:t>0-24h</w:t>
      </w:r>
      <w:r w:rsidRPr="00C23C96">
        <w:t>) exposures for VNZ and D-IVA</w:t>
      </w:r>
      <w:r w:rsidR="003F6193">
        <w:t>,</w:t>
      </w:r>
    </w:p>
    <w:p w14:paraId="54AC573C" w14:textId="54FDD0CB" w:rsidR="00E7403B" w:rsidRPr="00C23C96" w:rsidRDefault="00E7403B" w:rsidP="003F6193">
      <w:pPr>
        <w:pStyle w:val="ListBullet"/>
      </w:pPr>
      <w:r w:rsidRPr="00C23C96">
        <w:t>to simulate exposures of VNZ and D-IVA for different dosing regimens to inform dosing and/or weight bounds for subjects 6 through 11 years of age in Part B1 of Study VX21-121-105.</w:t>
      </w:r>
    </w:p>
    <w:p w14:paraId="729B78DA" w14:textId="77777777" w:rsidR="00E7403B" w:rsidRDefault="00E7403B" w:rsidP="00B576DE">
      <w:pPr>
        <w:rPr>
          <w:lang w:val="en-NZ" w:eastAsia="ja-JP"/>
        </w:rPr>
      </w:pPr>
      <w:r w:rsidRPr="00636675">
        <w:rPr>
          <w:lang w:val="en-NZ" w:eastAsia="ja-JP"/>
        </w:rPr>
        <w:t xml:space="preserve">Model predicted exposures were simulated for the ≥6 to &lt;12 years age group using the proposed dosing for VNZ and D-IVA.  </w:t>
      </w:r>
      <w:r w:rsidRPr="00636675">
        <w:t xml:space="preserve">PopPK analyses identified weight as the key covariate having a clinically meaningful impact on VNZ, TEZ, and D-IVA disposition and informed dose selection for </w:t>
      </w:r>
      <w:r w:rsidRPr="00636675">
        <w:lastRenderedPageBreak/>
        <w:t>the 6- through 11-year-old paediatric population.</w:t>
      </w:r>
      <w:r>
        <w:t xml:space="preserve"> </w:t>
      </w:r>
      <w:r w:rsidRPr="00636675">
        <w:rPr>
          <w:lang w:val="en-NZ" w:eastAsia="ja-JP"/>
        </w:rPr>
        <w:t>Exposure</w:t>
      </w:r>
      <w:r w:rsidRPr="00C23C96">
        <w:rPr>
          <w:lang w:val="en-NZ" w:eastAsia="ja-JP"/>
        </w:rPr>
        <w:t xml:space="preserve"> at different dose levels was simulated over the expected weight bands. 50% or 60% of the adult dose provided the optimal exposures for VNZ and for D-IVA</w:t>
      </w:r>
      <w:r>
        <w:rPr>
          <w:lang w:val="en-NZ" w:eastAsia="ja-JP"/>
        </w:rPr>
        <w:t xml:space="preserve">. </w:t>
      </w:r>
    </w:p>
    <w:p w14:paraId="51783E27" w14:textId="77777777" w:rsidR="00E7403B" w:rsidRDefault="00E7403B" w:rsidP="00B576DE">
      <w:pPr>
        <w:rPr>
          <w:lang w:val="en-NZ" w:eastAsia="ja-JP"/>
        </w:rPr>
      </w:pPr>
      <w:r>
        <w:rPr>
          <w:lang w:val="en-NZ" w:eastAsia="ja-JP"/>
        </w:rPr>
        <w:t>Thus, the following are the recommended does:</w:t>
      </w:r>
    </w:p>
    <w:p w14:paraId="0CF53ADC" w14:textId="77777777" w:rsidR="00E7403B" w:rsidRPr="00E93902" w:rsidRDefault="00E7403B" w:rsidP="009D4A49">
      <w:pPr>
        <w:pStyle w:val="ListBullet"/>
      </w:pPr>
      <w:r w:rsidRPr="00E93902">
        <w:t xml:space="preserve">People with CF ≥6 years of age weighing ≥40 kg: VNZ 20 mg </w:t>
      </w:r>
      <w:proofErr w:type="spellStart"/>
      <w:r w:rsidRPr="00E93902">
        <w:t>qd</w:t>
      </w:r>
      <w:proofErr w:type="spellEnd"/>
      <w:r w:rsidRPr="00E93902">
        <w:t xml:space="preserve">/TEZ 100 mg </w:t>
      </w:r>
      <w:proofErr w:type="spellStart"/>
      <w:r w:rsidRPr="00E93902">
        <w:t>qd</w:t>
      </w:r>
      <w:proofErr w:type="spellEnd"/>
      <w:r w:rsidRPr="00E93902">
        <w:t xml:space="preserve">/D-IVA 250 mg </w:t>
      </w:r>
      <w:proofErr w:type="spellStart"/>
      <w:r w:rsidRPr="00E93902">
        <w:t>qd</w:t>
      </w:r>
      <w:proofErr w:type="spellEnd"/>
    </w:p>
    <w:p w14:paraId="36DFB17C" w14:textId="77777777" w:rsidR="00E7403B" w:rsidRPr="00860D6C" w:rsidRDefault="00E7403B" w:rsidP="009D4A49">
      <w:pPr>
        <w:pStyle w:val="ListBullet"/>
      </w:pPr>
      <w:r w:rsidRPr="00E93902">
        <w:t xml:space="preserve">People with CF ≥6 years of age weighing &lt;40 kg: VNZ 12 mg </w:t>
      </w:r>
      <w:proofErr w:type="spellStart"/>
      <w:r w:rsidRPr="00E93902">
        <w:t>qd</w:t>
      </w:r>
      <w:proofErr w:type="spellEnd"/>
      <w:r w:rsidRPr="00E93902">
        <w:t xml:space="preserve">/TEZ 60 mg </w:t>
      </w:r>
      <w:proofErr w:type="spellStart"/>
      <w:r w:rsidRPr="00E93902">
        <w:t>qd</w:t>
      </w:r>
      <w:proofErr w:type="spellEnd"/>
      <w:r w:rsidRPr="00E93902">
        <w:t xml:space="preserve">/D-IVA 150 mg </w:t>
      </w:r>
      <w:proofErr w:type="spellStart"/>
      <w:r w:rsidRPr="00E93902">
        <w:t>qd</w:t>
      </w:r>
      <w:proofErr w:type="spellEnd"/>
    </w:p>
    <w:p w14:paraId="3EA8B84A" w14:textId="77777777" w:rsidR="00E7403B" w:rsidRPr="00E7403B" w:rsidRDefault="00E7403B" w:rsidP="00E7403B">
      <w:pPr>
        <w:pStyle w:val="Heading5"/>
      </w:pPr>
      <w:r w:rsidRPr="00E7403B">
        <w:t xml:space="preserve">Pharmacodynamics (PD) </w:t>
      </w:r>
    </w:p>
    <w:p w14:paraId="69B2CB58" w14:textId="692937C3" w:rsidR="00E7403B" w:rsidRPr="00ED0286" w:rsidRDefault="00464DE2" w:rsidP="00B576DE">
      <w:pPr>
        <w:rPr>
          <w:sz w:val="24"/>
          <w:szCs w:val="24"/>
        </w:rPr>
      </w:pPr>
      <w:r w:rsidRPr="00464DE2">
        <w:t>Sweat chloride</w:t>
      </w:r>
      <w:r w:rsidR="00516D9F" w:rsidRPr="00516D9F">
        <w:t xml:space="preserve"> </w:t>
      </w:r>
      <w:r w:rsidR="00516D9F">
        <w:t>(</w:t>
      </w:r>
      <w:proofErr w:type="spellStart"/>
      <w:r w:rsidR="00E7403B" w:rsidRPr="00C742AB">
        <w:t>SwCl</w:t>
      </w:r>
      <w:proofErr w:type="spellEnd"/>
      <w:r w:rsidR="00516D9F">
        <w:t>)</w:t>
      </w:r>
      <w:r w:rsidR="00E7403B" w:rsidRPr="00C742AB">
        <w:t xml:space="preserve"> is a clinically meaningful and sensitive endpoint that provides a direct, clinical measure of the extent of CFTR function, which is the fundamental underlying cause of abnormal physiology and clinical outcomes of CF.</w:t>
      </w:r>
      <w:r w:rsidR="00E7403B" w:rsidRPr="00C742AB">
        <w:rPr>
          <w:color w:val="000000"/>
        </w:rPr>
        <w:t xml:space="preserve"> Sweat chloride is the most proximal measurement of CFTR function. Lower concentrations of sweat chloride are associated with reduced mortality and improved clinical outcomes, including a reduced rate of lung function decline, lower rates of lung transplantations, and better nutritional and growth parameters</w:t>
      </w:r>
      <w:r w:rsidR="00E7403B" w:rsidRPr="00ED0286">
        <w:rPr>
          <w:color w:val="000000"/>
          <w:sz w:val="24"/>
          <w:szCs w:val="24"/>
        </w:rPr>
        <w:t>.</w:t>
      </w:r>
      <w:r w:rsidR="00F36418">
        <w:rPr>
          <w:rStyle w:val="FootnoteReference"/>
          <w:color w:val="000000"/>
          <w:sz w:val="24"/>
          <w:szCs w:val="24"/>
        </w:rPr>
        <w:footnoteReference w:id="18"/>
      </w:r>
      <w:r w:rsidR="00D6492F" w:rsidRPr="00D6492F">
        <w:rPr>
          <w:color w:val="000000"/>
          <w:sz w:val="24"/>
          <w:szCs w:val="24"/>
          <w:vertAlign w:val="superscript"/>
        </w:rPr>
        <w:t>,</w:t>
      </w:r>
      <w:r w:rsidR="00D6492F">
        <w:rPr>
          <w:rStyle w:val="FootnoteReference"/>
          <w:color w:val="000000"/>
          <w:sz w:val="24"/>
          <w:szCs w:val="24"/>
        </w:rPr>
        <w:footnoteReference w:id="19"/>
      </w:r>
      <w:r w:rsidR="00E7403B" w:rsidRPr="00ED0286">
        <w:rPr>
          <w:rStyle w:val="A6"/>
          <w:rFonts w:ascii="Calibri" w:hAnsi="Calibri" w:cs="Calibri"/>
          <w:sz w:val="24"/>
          <w:szCs w:val="24"/>
        </w:rPr>
        <w:t xml:space="preserve"> </w:t>
      </w:r>
    </w:p>
    <w:p w14:paraId="28B37211" w14:textId="130C5966" w:rsidR="00F1745F" w:rsidRPr="00F1745F" w:rsidRDefault="00F1745F" w:rsidP="00516D9F">
      <w:pPr>
        <w:pStyle w:val="TableTitle"/>
      </w:pPr>
      <w:bookmarkStart w:id="54" w:name="_Toc453839421"/>
      <w:r w:rsidRPr="00F1745F">
        <w:t xml:space="preserve">Table </w:t>
      </w:r>
      <w:r w:rsidR="00745824">
        <w:t>6</w:t>
      </w:r>
      <w:r w:rsidRPr="00F1745F">
        <w:t>. Submitted pharmacodynamic studies.</w:t>
      </w:r>
      <w:bookmarkEnd w:id="54"/>
    </w:p>
    <w:tbl>
      <w:tblPr>
        <w:tblStyle w:val="TableTGAblue"/>
        <w:tblW w:w="8921" w:type="dxa"/>
        <w:tblLayout w:type="fixed"/>
        <w:tblLook w:val="04A0" w:firstRow="1" w:lastRow="0" w:firstColumn="1" w:lastColumn="0" w:noHBand="0" w:noVBand="1"/>
      </w:tblPr>
      <w:tblGrid>
        <w:gridCol w:w="3109"/>
        <w:gridCol w:w="2788"/>
        <w:gridCol w:w="3024"/>
      </w:tblGrid>
      <w:tr w:rsidR="002562D9" w:rsidRPr="00240313" w14:paraId="4DD8BB83" w14:textId="77777777" w:rsidTr="00D6492F">
        <w:trPr>
          <w:cnfStyle w:val="100000000000" w:firstRow="1" w:lastRow="0" w:firstColumn="0" w:lastColumn="0" w:oddVBand="0" w:evenVBand="0" w:oddHBand="0" w:evenHBand="0" w:firstRowFirstColumn="0" w:firstRowLastColumn="0" w:lastRowFirstColumn="0" w:lastRowLastColumn="0"/>
          <w:trHeight w:val="217"/>
        </w:trPr>
        <w:tc>
          <w:tcPr>
            <w:tcW w:w="3109" w:type="dxa"/>
          </w:tcPr>
          <w:p w14:paraId="1376FC6E" w14:textId="77777777" w:rsidR="002562D9" w:rsidRPr="004347D0" w:rsidRDefault="002562D9" w:rsidP="00D93C1D">
            <w:r w:rsidRPr="004347D0">
              <w:t>PD topic</w:t>
            </w:r>
          </w:p>
        </w:tc>
        <w:tc>
          <w:tcPr>
            <w:tcW w:w="2788" w:type="dxa"/>
          </w:tcPr>
          <w:p w14:paraId="56BED450" w14:textId="77777777" w:rsidR="002562D9" w:rsidRPr="004347D0" w:rsidRDefault="002562D9" w:rsidP="00D93C1D">
            <w:r w:rsidRPr="004347D0">
              <w:t>Subtopic</w:t>
            </w:r>
          </w:p>
        </w:tc>
        <w:tc>
          <w:tcPr>
            <w:tcW w:w="3024" w:type="dxa"/>
          </w:tcPr>
          <w:p w14:paraId="71E3DE6C" w14:textId="77777777" w:rsidR="002562D9" w:rsidRPr="004347D0" w:rsidRDefault="002562D9" w:rsidP="00D93C1D">
            <w:r w:rsidRPr="004347D0">
              <w:t>Study ID</w:t>
            </w:r>
          </w:p>
        </w:tc>
      </w:tr>
      <w:tr w:rsidR="002562D9" w:rsidRPr="00A11EE8" w14:paraId="6023D9BD" w14:textId="77777777" w:rsidTr="00D6492F">
        <w:trPr>
          <w:trHeight w:val="162"/>
        </w:trPr>
        <w:tc>
          <w:tcPr>
            <w:tcW w:w="3109" w:type="dxa"/>
            <w:vMerge w:val="restart"/>
          </w:tcPr>
          <w:p w14:paraId="0E9E682F" w14:textId="77777777" w:rsidR="002562D9" w:rsidRPr="004347D0" w:rsidRDefault="002562D9" w:rsidP="00D93C1D">
            <w:r w:rsidRPr="004347D0">
              <w:t>Primary Pharmacology</w:t>
            </w:r>
          </w:p>
        </w:tc>
        <w:tc>
          <w:tcPr>
            <w:tcW w:w="2788" w:type="dxa"/>
          </w:tcPr>
          <w:p w14:paraId="6E0F9383" w14:textId="77777777" w:rsidR="002562D9" w:rsidRPr="004347D0" w:rsidRDefault="002562D9" w:rsidP="00D93C1D">
            <w:r w:rsidRPr="004347D0">
              <w:t>Effect on FEV1</w:t>
            </w:r>
          </w:p>
        </w:tc>
        <w:tc>
          <w:tcPr>
            <w:tcW w:w="3024" w:type="dxa"/>
          </w:tcPr>
          <w:p w14:paraId="669AEA85" w14:textId="77777777" w:rsidR="002562D9" w:rsidRPr="004347D0" w:rsidRDefault="002562D9" w:rsidP="00D93C1D">
            <w:r w:rsidRPr="004347D0">
              <w:t>Study VX17-121-001</w:t>
            </w:r>
          </w:p>
        </w:tc>
      </w:tr>
      <w:tr w:rsidR="002562D9" w:rsidRPr="00A11EE8" w14:paraId="7F916E1A" w14:textId="77777777" w:rsidTr="00D6492F">
        <w:trPr>
          <w:trHeight w:val="162"/>
        </w:trPr>
        <w:tc>
          <w:tcPr>
            <w:tcW w:w="3109" w:type="dxa"/>
            <w:vMerge/>
          </w:tcPr>
          <w:p w14:paraId="5A65174D" w14:textId="77777777" w:rsidR="002562D9" w:rsidRPr="004347D0" w:rsidRDefault="002562D9" w:rsidP="00D93C1D"/>
        </w:tc>
        <w:tc>
          <w:tcPr>
            <w:tcW w:w="2788" w:type="dxa"/>
          </w:tcPr>
          <w:p w14:paraId="733BD789" w14:textId="77777777" w:rsidR="002562D9" w:rsidRPr="004347D0" w:rsidRDefault="002562D9" w:rsidP="00D93C1D">
            <w:r w:rsidRPr="004347D0">
              <w:tab/>
              <w:t xml:space="preserve"> </w:t>
            </w:r>
          </w:p>
        </w:tc>
        <w:tc>
          <w:tcPr>
            <w:tcW w:w="3024" w:type="dxa"/>
          </w:tcPr>
          <w:p w14:paraId="59C8988E" w14:textId="77777777" w:rsidR="002562D9" w:rsidRPr="004347D0" w:rsidRDefault="002562D9" w:rsidP="00D93C1D">
            <w:r w:rsidRPr="004347D0">
              <w:t>Study VX18-121-001</w:t>
            </w:r>
          </w:p>
        </w:tc>
      </w:tr>
      <w:tr w:rsidR="002562D9" w:rsidRPr="00A11EE8" w14:paraId="5F0E314F" w14:textId="77777777" w:rsidTr="00D6492F">
        <w:trPr>
          <w:trHeight w:val="162"/>
        </w:trPr>
        <w:tc>
          <w:tcPr>
            <w:tcW w:w="3109" w:type="dxa"/>
            <w:vMerge/>
          </w:tcPr>
          <w:p w14:paraId="0939D894" w14:textId="77777777" w:rsidR="002562D9" w:rsidRPr="004347D0" w:rsidRDefault="002562D9" w:rsidP="00D93C1D"/>
        </w:tc>
        <w:tc>
          <w:tcPr>
            <w:tcW w:w="2788" w:type="dxa"/>
          </w:tcPr>
          <w:p w14:paraId="0B36666F" w14:textId="77777777" w:rsidR="002562D9" w:rsidRPr="004347D0" w:rsidRDefault="002562D9" w:rsidP="00D93C1D">
            <w:r w:rsidRPr="004347D0">
              <w:t xml:space="preserve">Effect on </w:t>
            </w:r>
            <w:proofErr w:type="spellStart"/>
            <w:r w:rsidRPr="004347D0">
              <w:t>SwCl</w:t>
            </w:r>
            <w:proofErr w:type="spellEnd"/>
          </w:p>
        </w:tc>
        <w:tc>
          <w:tcPr>
            <w:tcW w:w="3024" w:type="dxa"/>
          </w:tcPr>
          <w:p w14:paraId="41045A6F" w14:textId="77777777" w:rsidR="002562D9" w:rsidRPr="004347D0" w:rsidRDefault="002562D9" w:rsidP="00D93C1D">
            <w:r w:rsidRPr="004347D0">
              <w:t>Study VX18-121-101</w:t>
            </w:r>
          </w:p>
        </w:tc>
      </w:tr>
      <w:tr w:rsidR="002562D9" w:rsidRPr="00A11EE8" w14:paraId="501E3A7C" w14:textId="77777777" w:rsidTr="00D6492F">
        <w:trPr>
          <w:trHeight w:val="162"/>
        </w:trPr>
        <w:tc>
          <w:tcPr>
            <w:tcW w:w="3109" w:type="dxa"/>
          </w:tcPr>
          <w:p w14:paraId="3E868D80" w14:textId="77777777" w:rsidR="002562D9" w:rsidRPr="004347D0" w:rsidRDefault="002562D9" w:rsidP="00D93C1D">
            <w:r w:rsidRPr="004347D0">
              <w:t>Secondary Pharmacology</w:t>
            </w:r>
          </w:p>
        </w:tc>
        <w:tc>
          <w:tcPr>
            <w:tcW w:w="2788" w:type="dxa"/>
          </w:tcPr>
          <w:p w14:paraId="4AEF2D42" w14:textId="77777777" w:rsidR="002562D9" w:rsidRPr="004347D0" w:rsidRDefault="002562D9" w:rsidP="00D93C1D">
            <w:r w:rsidRPr="004347D0">
              <w:t>Effect on QTcF</w:t>
            </w:r>
          </w:p>
        </w:tc>
        <w:tc>
          <w:tcPr>
            <w:tcW w:w="3024" w:type="dxa"/>
          </w:tcPr>
          <w:p w14:paraId="54A81AF0" w14:textId="77777777" w:rsidR="002562D9" w:rsidRPr="004347D0" w:rsidRDefault="002562D9" w:rsidP="00D93C1D">
            <w:r w:rsidRPr="004347D0">
              <w:t>Study VX22-121-013</w:t>
            </w:r>
          </w:p>
        </w:tc>
      </w:tr>
      <w:tr w:rsidR="002562D9" w:rsidRPr="00A11EE8" w14:paraId="4EC0F059" w14:textId="77777777" w:rsidTr="00D6492F">
        <w:trPr>
          <w:trHeight w:val="529"/>
        </w:trPr>
        <w:tc>
          <w:tcPr>
            <w:tcW w:w="3109" w:type="dxa"/>
          </w:tcPr>
          <w:p w14:paraId="32B683F6" w14:textId="77777777" w:rsidR="002562D9" w:rsidRPr="004347D0" w:rsidRDefault="002562D9" w:rsidP="00D93C1D">
            <w:r w:rsidRPr="004347D0">
              <w:t>Population PD and PK-PD analyses</w:t>
            </w:r>
          </w:p>
        </w:tc>
        <w:tc>
          <w:tcPr>
            <w:tcW w:w="2788" w:type="dxa"/>
          </w:tcPr>
          <w:p w14:paraId="1EF130D6" w14:textId="77777777" w:rsidR="002562D9" w:rsidRPr="004347D0" w:rsidRDefault="002562D9" w:rsidP="00D93C1D">
            <w:r w:rsidRPr="004347D0">
              <w:t>Target population</w:t>
            </w:r>
          </w:p>
        </w:tc>
        <w:tc>
          <w:tcPr>
            <w:tcW w:w="3024" w:type="dxa"/>
          </w:tcPr>
          <w:p w14:paraId="25EB4BA0" w14:textId="77777777" w:rsidR="002562D9" w:rsidRPr="004347D0" w:rsidRDefault="002562D9" w:rsidP="00D93C1D">
            <w:r w:rsidRPr="004347D0">
              <w:t>ER Study T299</w:t>
            </w:r>
          </w:p>
        </w:tc>
      </w:tr>
    </w:tbl>
    <w:p w14:paraId="7277CBB5" w14:textId="77777777" w:rsidR="00CA1C48" w:rsidRDefault="00CA1C48" w:rsidP="00CA1C48"/>
    <w:p w14:paraId="12797164" w14:textId="5F80FD06" w:rsidR="00CA1C48" w:rsidRPr="00D93C1D" w:rsidRDefault="00CA1C48" w:rsidP="00CA1C48">
      <w:pPr>
        <w:rPr>
          <w:b/>
          <w:bCs/>
        </w:rPr>
      </w:pPr>
      <w:r w:rsidRPr="00D93C1D">
        <w:rPr>
          <w:b/>
          <w:bCs/>
        </w:rPr>
        <w:t>Primary pharmacology</w:t>
      </w:r>
    </w:p>
    <w:p w14:paraId="57FFB16A" w14:textId="5F72DD4F" w:rsidR="00CA1C48" w:rsidRPr="00B94004" w:rsidRDefault="00CA1C48" w:rsidP="00E2242E">
      <w:r w:rsidRPr="00B94004">
        <w:t>In Study VX17-121-001, for VNZ, in Part D in subjects with CF, the change (95% CI) in ppFEV</w:t>
      </w:r>
      <w:r w:rsidRPr="00B94004">
        <w:rPr>
          <w:vertAlign w:val="subscript"/>
        </w:rPr>
        <w:t>1</w:t>
      </w:r>
      <w:r w:rsidRPr="00B94004">
        <w:t xml:space="preserve"> was 8.3 (2.8 to 13.8) % in the active treatment group and -2.0 (-12.9 to 8.9) % in the placebo</w:t>
      </w:r>
      <w:r w:rsidR="00195E5E">
        <w:t>.</w:t>
      </w:r>
    </w:p>
    <w:p w14:paraId="0746102B" w14:textId="023D27B7" w:rsidR="00CA1C48" w:rsidRPr="00B94004" w:rsidRDefault="00CA1C48" w:rsidP="00E2242E">
      <w:r w:rsidRPr="00B94004">
        <w:t>In Study VX18-121-101 Part 1</w:t>
      </w:r>
      <w:r w:rsidR="00195E5E">
        <w:t>,</w:t>
      </w:r>
      <w:r w:rsidRPr="00B94004">
        <w:t xml:space="preserve"> which examined the doses for VNZ of 5 mg, 10 mg and 20 mg in combination with TEZ 100 mg and D-IVA 150 mg once daily, the absolute change in ppFEV</w:t>
      </w:r>
      <w:r w:rsidR="009B4ED5" w:rsidRPr="00B94004">
        <w:t>1 plateaued</w:t>
      </w:r>
      <w:r w:rsidRPr="00B94004">
        <w:t xml:space="preserve"> at the VNZ 10 mg dose level. The LS mean difference from placebo (95% CI) change from baseline in ppFEV1 was 2.7 (-5.9 to 11.3) % for VNZ 5 mg, 12.3 (4.9 to 19.6) % for VNZ 10 mg and 7.8 (0.4 to 15.2) % for VNZ 20 mg. </w:t>
      </w:r>
    </w:p>
    <w:p w14:paraId="25E7013D" w14:textId="77777777" w:rsidR="00CA1C48" w:rsidRPr="00B94004" w:rsidRDefault="00CA1C48" w:rsidP="009B4ED5">
      <w:r w:rsidRPr="00B94004">
        <w:t>There was also a significant improvement in sweat chloride (</w:t>
      </w:r>
      <w:proofErr w:type="spellStart"/>
      <w:r w:rsidRPr="00B94004">
        <w:t>SwCL</w:t>
      </w:r>
      <w:proofErr w:type="spellEnd"/>
      <w:r w:rsidRPr="00B94004">
        <w:t xml:space="preserve">) for all the VNZ dose levels, with the greatest improvement at the 20 mg dose level.  The LS mean difference from placebo (95% CI) change from baseline in </w:t>
      </w:r>
      <w:proofErr w:type="spellStart"/>
      <w:r w:rsidRPr="00B94004">
        <w:t>SwCL</w:t>
      </w:r>
      <w:proofErr w:type="spellEnd"/>
      <w:r w:rsidRPr="00B94004">
        <w:t xml:space="preserve"> was -45.1 (-58.1 to -32.2) mmol/L for VNZ 5 mg, -48.1 (59.2 to -37.0) mmol/L for VNZ 10 mg and -51.8 (-63.2 to -40.1) mmol/L for VNZ 20 mg.  </w:t>
      </w:r>
    </w:p>
    <w:p w14:paraId="2A273CCE" w14:textId="77777777" w:rsidR="00CA1C48" w:rsidRPr="00B94004" w:rsidRDefault="00CA1C48" w:rsidP="00E2242E">
      <w:r w:rsidRPr="00B94004">
        <w:t>The benefits in both these measures were apparent by Day 15 of treatment.</w:t>
      </w:r>
    </w:p>
    <w:p w14:paraId="3E5474CA" w14:textId="77777777" w:rsidR="00CA1C48" w:rsidRPr="00D93C1D" w:rsidRDefault="00CA1C48" w:rsidP="00E2242E">
      <w:pPr>
        <w:rPr>
          <w:b/>
          <w:bCs/>
        </w:rPr>
      </w:pPr>
      <w:r w:rsidRPr="00D93C1D">
        <w:rPr>
          <w:b/>
          <w:bCs/>
        </w:rPr>
        <w:t>Secondary pharmacology</w:t>
      </w:r>
    </w:p>
    <w:p w14:paraId="49114DF0" w14:textId="77777777" w:rsidR="00CA1C48" w:rsidRPr="00B94004" w:rsidRDefault="00CA1C48" w:rsidP="00E2242E">
      <w:r w:rsidRPr="00B94004">
        <w:lastRenderedPageBreak/>
        <w:t>In study VX22-121-013, a lack of QTc effect in healthy subjects was demonstrated at exposures corresponding up to 6-fold over those observed with the VNZ maximum recommended dose, and doses up to 3 times over the TEZ and D-IVA maximum recommended doses.</w:t>
      </w:r>
      <w:bookmarkStart w:id="55" w:name="_Toc272414645"/>
      <w:bookmarkStart w:id="56" w:name="_Toc290888493"/>
      <w:bookmarkStart w:id="57" w:name="_Toc416353690"/>
      <w:bookmarkStart w:id="58" w:name="_Toc421005257"/>
      <w:bookmarkStart w:id="59" w:name="_Toc432079139"/>
      <w:bookmarkStart w:id="60" w:name="_Toc432080712"/>
    </w:p>
    <w:p w14:paraId="50DF8FFE" w14:textId="77777777" w:rsidR="00CA1C48" w:rsidRPr="00D93C1D" w:rsidRDefault="00CA1C48" w:rsidP="00E2242E">
      <w:pPr>
        <w:rPr>
          <w:b/>
          <w:bCs/>
        </w:rPr>
      </w:pPr>
      <w:r w:rsidRPr="00D93C1D">
        <w:rPr>
          <w:rFonts w:eastAsia="MS Mincho"/>
          <w:b/>
          <w:bCs/>
          <w:szCs w:val="21"/>
          <w:lang w:eastAsia="ja-JP"/>
        </w:rPr>
        <w:t>Relationship between drug concentration and pharmacodynamic effects</w:t>
      </w:r>
      <w:bookmarkEnd w:id="55"/>
      <w:bookmarkEnd w:id="56"/>
      <w:bookmarkEnd w:id="57"/>
      <w:bookmarkEnd w:id="58"/>
      <w:bookmarkEnd w:id="59"/>
      <w:bookmarkEnd w:id="60"/>
    </w:p>
    <w:p w14:paraId="2BA3E0B6" w14:textId="28ABB255" w:rsidR="00CA1C48" w:rsidRPr="004D5687" w:rsidRDefault="00CA1C48" w:rsidP="00E2242E">
      <w:pPr>
        <w:rPr>
          <w:color w:val="000000"/>
        </w:rPr>
      </w:pPr>
      <w:r w:rsidRPr="00B94004">
        <w:rPr>
          <w:lang w:eastAsia="ja-JP"/>
        </w:rPr>
        <w:t xml:space="preserve">The exposure-response </w:t>
      </w:r>
      <w:r w:rsidR="00E0119B">
        <w:rPr>
          <w:lang w:eastAsia="ja-JP"/>
        </w:rPr>
        <w:t>(</w:t>
      </w:r>
      <w:r w:rsidR="00E0119B" w:rsidRPr="00E0119B">
        <w:rPr>
          <w:lang w:eastAsia="ja-JP"/>
        </w:rPr>
        <w:t>E-R</w:t>
      </w:r>
      <w:r w:rsidR="00E0119B">
        <w:rPr>
          <w:lang w:eastAsia="ja-JP"/>
        </w:rPr>
        <w:t xml:space="preserve">) </w:t>
      </w:r>
      <w:r w:rsidRPr="00B94004">
        <w:rPr>
          <w:lang w:eastAsia="ja-JP"/>
        </w:rPr>
        <w:t>relationship was explored in E</w:t>
      </w:r>
      <w:r>
        <w:rPr>
          <w:lang w:eastAsia="ja-JP"/>
        </w:rPr>
        <w:t>-</w:t>
      </w:r>
      <w:r w:rsidRPr="00B94004">
        <w:rPr>
          <w:lang w:eastAsia="ja-JP"/>
        </w:rPr>
        <w:t>R analysis T299</w:t>
      </w:r>
      <w:r w:rsidRPr="00B94004">
        <w:t>.</w:t>
      </w:r>
      <w:r w:rsidR="00E0119B">
        <w:t xml:space="preserve"> </w:t>
      </w:r>
      <w:r w:rsidRPr="00B56DAF">
        <w:rPr>
          <w:color w:val="000000"/>
        </w:rPr>
        <w:t>The Phase 3 D-IVA E-R analyses were performed in the</w:t>
      </w:r>
      <w:r w:rsidRPr="00B94004">
        <w:rPr>
          <w:color w:val="000000"/>
        </w:rPr>
        <w:t xml:space="preserve"> </w:t>
      </w:r>
      <w:r w:rsidRPr="00B56DAF">
        <w:rPr>
          <w:color w:val="000000"/>
        </w:rPr>
        <w:t>context of the TC and therefore incorporated the impact of any PK interactions between VNZ,</w:t>
      </w:r>
      <w:r w:rsidRPr="00B94004">
        <w:rPr>
          <w:color w:val="000000"/>
        </w:rPr>
        <w:t xml:space="preserve"> TEZ, and D-IVA.</w:t>
      </w:r>
      <w:r>
        <w:rPr>
          <w:color w:val="000000"/>
        </w:rPr>
        <w:t xml:space="preserve"> </w:t>
      </w:r>
      <w:r w:rsidRPr="004D5687">
        <w:rPr>
          <w:color w:val="000000"/>
        </w:rPr>
        <w:t>The objectives were</w:t>
      </w:r>
      <w:r>
        <w:rPr>
          <w:color w:val="000000"/>
        </w:rPr>
        <w:t xml:space="preserve"> to</w:t>
      </w:r>
      <w:r w:rsidRPr="004D5687">
        <w:rPr>
          <w:color w:val="000000"/>
        </w:rPr>
        <w:t xml:space="preserve">: </w:t>
      </w:r>
    </w:p>
    <w:p w14:paraId="48F06D00" w14:textId="387BF217" w:rsidR="00CA1C48" w:rsidRPr="004D5687" w:rsidRDefault="002E1DA4" w:rsidP="002E1DA4">
      <w:pPr>
        <w:pStyle w:val="ListBullet"/>
        <w:rPr>
          <w:lang w:val="en-NZ"/>
        </w:rPr>
      </w:pPr>
      <w:r>
        <w:rPr>
          <w:lang w:val="en-NZ"/>
        </w:rPr>
        <w:t>c</w:t>
      </w:r>
      <w:r w:rsidR="00CA1C48" w:rsidRPr="004D5687">
        <w:rPr>
          <w:lang w:val="en-NZ"/>
        </w:rPr>
        <w:t xml:space="preserve">haracterize the PKPD relationship of VNZ for the longitudinal pharmacodynamic endpoint </w:t>
      </w:r>
      <w:proofErr w:type="spellStart"/>
      <w:r w:rsidR="00CA1C48" w:rsidRPr="004D5687">
        <w:rPr>
          <w:lang w:val="en-NZ"/>
        </w:rPr>
        <w:t>SwCl</w:t>
      </w:r>
      <w:proofErr w:type="spellEnd"/>
      <w:r>
        <w:rPr>
          <w:lang w:val="en-NZ"/>
        </w:rPr>
        <w:t>,</w:t>
      </w:r>
    </w:p>
    <w:p w14:paraId="4A926C65" w14:textId="43D5B2C0" w:rsidR="00CA1C48" w:rsidRPr="004D5687" w:rsidRDefault="002E1DA4" w:rsidP="002E1DA4">
      <w:pPr>
        <w:pStyle w:val="ListBullet"/>
        <w:rPr>
          <w:lang w:val="en-NZ"/>
        </w:rPr>
      </w:pPr>
      <w:r>
        <w:rPr>
          <w:lang w:val="en-NZ"/>
        </w:rPr>
        <w:t>c</w:t>
      </w:r>
      <w:r w:rsidR="00CA1C48" w:rsidRPr="004D5687">
        <w:rPr>
          <w:lang w:val="en-NZ"/>
        </w:rPr>
        <w:t>haracterize the PKPD relationship of VNZ for the longitudinal clinical endpoint ppFEV1</w:t>
      </w:r>
      <w:r>
        <w:rPr>
          <w:lang w:val="en-NZ"/>
        </w:rPr>
        <w:t>,</w:t>
      </w:r>
    </w:p>
    <w:p w14:paraId="6E553EE6" w14:textId="08D3435A" w:rsidR="00CA1C48" w:rsidRPr="004D5687" w:rsidRDefault="002E1DA4" w:rsidP="002E1DA4">
      <w:pPr>
        <w:pStyle w:val="ListBullet"/>
        <w:rPr>
          <w:lang w:val="en-NZ"/>
        </w:rPr>
      </w:pPr>
      <w:r>
        <w:rPr>
          <w:lang w:val="en-NZ"/>
        </w:rPr>
        <w:t>s</w:t>
      </w:r>
      <w:r w:rsidR="00CA1C48" w:rsidRPr="004D5687">
        <w:rPr>
          <w:lang w:val="en-NZ"/>
        </w:rPr>
        <w:t>imulate the dose-response relationship for VNZ in support of Phase 3 dose justification</w:t>
      </w:r>
      <w:r>
        <w:rPr>
          <w:lang w:val="en-NZ"/>
        </w:rPr>
        <w:t>,</w:t>
      </w:r>
    </w:p>
    <w:p w14:paraId="575AE016" w14:textId="3388043A" w:rsidR="00CA1C48" w:rsidRPr="004D5687" w:rsidRDefault="002E1DA4" w:rsidP="002E1DA4">
      <w:pPr>
        <w:pStyle w:val="ListBullet"/>
        <w:rPr>
          <w:lang w:val="en-NZ"/>
        </w:rPr>
      </w:pPr>
      <w:r>
        <w:rPr>
          <w:lang w:val="en-NZ"/>
        </w:rPr>
        <w:t>e</w:t>
      </w:r>
      <w:r w:rsidR="00CA1C48" w:rsidRPr="004D5687">
        <w:rPr>
          <w:lang w:val="en-NZ"/>
        </w:rPr>
        <w:t>valuate the clinical impact and clinical significance level of covariates included in the VNZ population PK</w:t>
      </w:r>
      <w:r w:rsidR="00CA1C48" w:rsidRPr="004D5687">
        <w:t xml:space="preserve"> </w:t>
      </w:r>
      <w:r w:rsidR="00CA1C48" w:rsidRPr="004D5687">
        <w:rPr>
          <w:lang w:val="en-NZ"/>
        </w:rPr>
        <w:t>model, using the PKPD model</w:t>
      </w:r>
      <w:r>
        <w:rPr>
          <w:lang w:val="en-NZ"/>
        </w:rPr>
        <w:t>,</w:t>
      </w:r>
    </w:p>
    <w:p w14:paraId="5453806F" w14:textId="40023A6B" w:rsidR="00CA1C48" w:rsidRPr="004D5687" w:rsidRDefault="00700B63" w:rsidP="002E1DA4">
      <w:pPr>
        <w:pStyle w:val="ListBullet"/>
      </w:pPr>
      <w:r>
        <w:rPr>
          <w:lang w:val="en-NZ"/>
        </w:rPr>
        <w:t>e</w:t>
      </w:r>
      <w:r w:rsidR="00CA1C48" w:rsidRPr="004D5687">
        <w:rPr>
          <w:lang w:val="en-NZ"/>
        </w:rPr>
        <w:t>valuate graphically the impact of steady-state exposures of TEZ and D-IVA on VNZ E</w:t>
      </w:r>
      <w:r w:rsidR="00CA1C48" w:rsidRPr="004D5687">
        <w:rPr>
          <w:vertAlign w:val="subscript"/>
          <w:lang w:val="en-NZ"/>
        </w:rPr>
        <w:t>max</w:t>
      </w:r>
      <w:r w:rsidR="002E1DA4" w:rsidRPr="002E1DA4">
        <w:rPr>
          <w:lang w:val="en-NZ"/>
        </w:rPr>
        <w:t>.</w:t>
      </w:r>
    </w:p>
    <w:p w14:paraId="2273175D" w14:textId="77777777" w:rsidR="00CA1C48" w:rsidRPr="002E1DA4" w:rsidRDefault="00CA1C48" w:rsidP="00E2242E">
      <w:pPr>
        <w:rPr>
          <w:b/>
          <w:bCs/>
        </w:rPr>
      </w:pPr>
      <w:r w:rsidRPr="002E1DA4">
        <w:rPr>
          <w:b/>
          <w:bCs/>
        </w:rPr>
        <w:t>Results:</w:t>
      </w:r>
    </w:p>
    <w:p w14:paraId="345419FC" w14:textId="30880160" w:rsidR="00CA1C48" w:rsidRPr="004D5687" w:rsidRDefault="00CA1C48" w:rsidP="000A1352">
      <w:pPr>
        <w:pStyle w:val="ListBullet"/>
      </w:pPr>
      <w:r w:rsidRPr="004D5687">
        <w:t>The E</w:t>
      </w:r>
      <w:r w:rsidR="00700B63">
        <w:t>-</w:t>
      </w:r>
      <w:r w:rsidRPr="004D5687">
        <w:t xml:space="preserve">R relationships for ppFEV1 and </w:t>
      </w:r>
      <w:proofErr w:type="spellStart"/>
      <w:r w:rsidRPr="004D5687">
        <w:t>SwCl</w:t>
      </w:r>
      <w:proofErr w:type="spellEnd"/>
      <w:r w:rsidRPr="004D5687">
        <w:t xml:space="preserve"> in the studied genotypes were well described by the PKPD models.</w:t>
      </w:r>
    </w:p>
    <w:p w14:paraId="1975B22A" w14:textId="0D027851" w:rsidR="00CA1C48" w:rsidRPr="004D5687" w:rsidRDefault="00CA1C48" w:rsidP="000911E7">
      <w:pPr>
        <w:pStyle w:val="ListBullet"/>
      </w:pPr>
      <w:r w:rsidRPr="004D5687">
        <w:t>The vanzacaftor exposures from the Phase 3 studies were on the plateau region of the E</w:t>
      </w:r>
      <w:r w:rsidR="000F42D1">
        <w:t>-</w:t>
      </w:r>
      <w:r w:rsidRPr="004D5687">
        <w:t xml:space="preserve">R relationship for ppFEV1 and </w:t>
      </w:r>
      <w:proofErr w:type="spellStart"/>
      <w:r w:rsidRPr="004D5687">
        <w:t>SwCl</w:t>
      </w:r>
      <w:proofErr w:type="spellEnd"/>
      <w:r w:rsidRPr="004D5687">
        <w:t xml:space="preserve"> change from ELX</w:t>
      </w:r>
      <w:r w:rsidRPr="004D5687">
        <w:rPr>
          <w:rFonts w:eastAsia="MathDesign-UT-Regular-T1-10"/>
        </w:rPr>
        <w:t>/</w:t>
      </w:r>
      <w:r w:rsidRPr="004D5687">
        <w:t>TEZ</w:t>
      </w:r>
      <w:r w:rsidRPr="004D5687">
        <w:rPr>
          <w:rFonts w:eastAsia="MathDesign-UT-Regular-T1-10"/>
        </w:rPr>
        <w:t>/</w:t>
      </w:r>
      <w:r w:rsidRPr="004D5687">
        <w:t>IVA baseline.</w:t>
      </w:r>
    </w:p>
    <w:p w14:paraId="5340B206" w14:textId="77777777" w:rsidR="00CA1C48" w:rsidRPr="004D5687" w:rsidRDefault="00CA1C48" w:rsidP="000911E7">
      <w:pPr>
        <w:pStyle w:val="ListBullet"/>
      </w:pPr>
      <w:r w:rsidRPr="004D5687">
        <w:t>Vanzacaftor doses of 5, 10, and 20 mg daily administered with TEZ</w:t>
      </w:r>
      <w:r w:rsidRPr="004D5687">
        <w:rPr>
          <w:rFonts w:eastAsia="MathDesign-UT-Regular-T1-10"/>
        </w:rPr>
        <w:t>/</w:t>
      </w:r>
      <w:r w:rsidRPr="004D5687">
        <w:t>D-IVA were associated with no additional increase in ppFEV1 beyond the increases achieved with ELX</w:t>
      </w:r>
      <w:r w:rsidRPr="004D5687">
        <w:rPr>
          <w:rFonts w:eastAsia="MathDesign-UT-Regular-T1-10"/>
        </w:rPr>
        <w:t>/</w:t>
      </w:r>
      <w:r w:rsidRPr="004D5687">
        <w:t>TEZ</w:t>
      </w:r>
      <w:r w:rsidRPr="004D5687">
        <w:rPr>
          <w:rFonts w:eastAsia="MathDesign-UT-Regular-T1-10"/>
        </w:rPr>
        <w:t>/</w:t>
      </w:r>
      <w:r w:rsidRPr="004D5687">
        <w:t>IVA treatment during the run-in period.</w:t>
      </w:r>
    </w:p>
    <w:p w14:paraId="73FA75EE" w14:textId="3780E310" w:rsidR="00CA1C48" w:rsidRPr="004D5687" w:rsidRDefault="00CA1C48" w:rsidP="000911E7">
      <w:pPr>
        <w:pStyle w:val="ListBullet"/>
      </w:pPr>
      <w:r w:rsidRPr="004D5687">
        <w:t>The vanzacaftor 20</w:t>
      </w:r>
      <w:r w:rsidR="000F42D1">
        <w:t xml:space="preserve"> </w:t>
      </w:r>
      <w:r w:rsidRPr="004D5687">
        <w:t>mg</w:t>
      </w:r>
      <w:r w:rsidR="000F42D1">
        <w:t xml:space="preserve"> </w:t>
      </w:r>
      <w:r w:rsidRPr="004D5687">
        <w:t>dose administered in combination with TEZ</w:t>
      </w:r>
      <w:r w:rsidRPr="004D5687">
        <w:rPr>
          <w:rFonts w:eastAsia="MathDesign-UT-Regular-T1-10"/>
        </w:rPr>
        <w:t>/</w:t>
      </w:r>
      <w:r w:rsidRPr="004D5687">
        <w:t>D-IVA was associated with a reduction of up to 7.11 mmol</w:t>
      </w:r>
      <w:r w:rsidRPr="004D5687">
        <w:rPr>
          <w:rFonts w:eastAsia="MathDesign-UT-Regular-T1-10"/>
        </w:rPr>
        <w:t>/</w:t>
      </w:r>
      <w:r w:rsidRPr="004D5687">
        <w:t xml:space="preserve">L in </w:t>
      </w:r>
      <w:proofErr w:type="spellStart"/>
      <w:r w:rsidRPr="004D5687">
        <w:t>SwCl</w:t>
      </w:r>
      <w:proofErr w:type="spellEnd"/>
      <w:r w:rsidRPr="004D5687">
        <w:t xml:space="preserve"> beyond the reduction achieved by ELX</w:t>
      </w:r>
      <w:r w:rsidRPr="004D5687">
        <w:rPr>
          <w:rFonts w:eastAsia="MathDesign-UT-Regular-T1-10"/>
        </w:rPr>
        <w:t>/</w:t>
      </w:r>
      <w:r w:rsidRPr="004D5687">
        <w:t>TEZ</w:t>
      </w:r>
      <w:r w:rsidRPr="004D5687">
        <w:rPr>
          <w:rFonts w:eastAsia="MathDesign-UT-Regular-T1-10"/>
        </w:rPr>
        <w:t>/</w:t>
      </w:r>
      <w:r w:rsidRPr="004D5687">
        <w:t>IVA, with the magnitude of the reduction depending on the genotype.</w:t>
      </w:r>
    </w:p>
    <w:p w14:paraId="6A8B1EEC" w14:textId="77777777" w:rsidR="00CA1C48" w:rsidRPr="004D5687" w:rsidRDefault="00CA1C48" w:rsidP="000911E7">
      <w:pPr>
        <w:pStyle w:val="ListBullet"/>
      </w:pPr>
      <w:r w:rsidRPr="004D5687">
        <w:t xml:space="preserve">The </w:t>
      </w:r>
      <w:proofErr w:type="spellStart"/>
      <w:r w:rsidRPr="004D5687">
        <w:t>SwCl</w:t>
      </w:r>
      <w:proofErr w:type="spellEnd"/>
      <w:r w:rsidRPr="004D5687">
        <w:t xml:space="preserve"> change from ELX</w:t>
      </w:r>
      <w:r w:rsidRPr="004D5687">
        <w:rPr>
          <w:rFonts w:eastAsia="MathDesign-UT-Regular-T1-10"/>
        </w:rPr>
        <w:t>/</w:t>
      </w:r>
      <w:r w:rsidRPr="004D5687">
        <w:t>TEZ</w:t>
      </w:r>
      <w:r w:rsidRPr="004D5687">
        <w:rPr>
          <w:rFonts w:eastAsia="MathDesign-UT-Regular-T1-10"/>
        </w:rPr>
        <w:t>/</w:t>
      </w:r>
      <w:r w:rsidRPr="004D5687">
        <w:t>IVA baseline for 20 mg vanzacaftor administered with TEZ</w:t>
      </w:r>
      <w:r w:rsidRPr="004D5687">
        <w:rPr>
          <w:rFonts w:eastAsia="MathDesign-UT-Regular-T1-10"/>
        </w:rPr>
        <w:t>/</w:t>
      </w:r>
      <w:r w:rsidRPr="004D5687">
        <w:t>D-IVA was near maximal.</w:t>
      </w:r>
    </w:p>
    <w:p w14:paraId="762E407D" w14:textId="77777777" w:rsidR="00CA1C48" w:rsidRPr="004D5687" w:rsidRDefault="00CA1C48" w:rsidP="000911E7">
      <w:pPr>
        <w:pStyle w:val="ListBullet"/>
      </w:pPr>
      <w:r w:rsidRPr="004D5687">
        <w:t xml:space="preserve">The Emax for the </w:t>
      </w:r>
      <w:proofErr w:type="spellStart"/>
      <w:r w:rsidRPr="004D5687">
        <w:t>SwCl</w:t>
      </w:r>
      <w:proofErr w:type="spellEnd"/>
      <w:r w:rsidRPr="004D5687">
        <w:t xml:space="preserve"> response trended towards larger response with higher D-IVA</w:t>
      </w:r>
      <w:r>
        <w:t xml:space="preserve"> </w:t>
      </w:r>
      <w:r w:rsidRPr="004D5687">
        <w:t>exposures.</w:t>
      </w:r>
    </w:p>
    <w:p w14:paraId="676CE5CE" w14:textId="77777777" w:rsidR="00CA1C48" w:rsidRPr="00C54372" w:rsidRDefault="00CA1C48" w:rsidP="00700B63">
      <w:r w:rsidRPr="00C54372">
        <w:rPr>
          <w:lang w:eastAsia="ja-JP"/>
        </w:rPr>
        <w:t>The</w:t>
      </w:r>
      <w:r w:rsidRPr="00C54372">
        <w:t xml:space="preserve"> E-R relationships for ppFEV1 and </w:t>
      </w:r>
      <w:proofErr w:type="spellStart"/>
      <w:r w:rsidRPr="00C54372">
        <w:t>SwCl</w:t>
      </w:r>
      <w:proofErr w:type="spellEnd"/>
      <w:r w:rsidRPr="00C54372">
        <w:t xml:space="preserve"> in the studied genotypes were well described by the PK/PD models and consistent with Phase 2 results. </w:t>
      </w:r>
    </w:p>
    <w:p w14:paraId="57B90D57" w14:textId="77777777" w:rsidR="00CA1C48" w:rsidRDefault="00CA1C48" w:rsidP="00700B63">
      <w:pPr>
        <w:rPr>
          <w:lang w:eastAsia="ja-JP"/>
        </w:rPr>
      </w:pPr>
      <w:r w:rsidRPr="00C54372">
        <w:rPr>
          <w:lang w:eastAsia="ja-JP"/>
        </w:rPr>
        <w:t>The pharmacodynamic studies have demonstrated a dose-effect relationship and support the proposed dosing for VNZ/ TEZ/ D-IVA</w:t>
      </w:r>
      <w:r>
        <w:rPr>
          <w:lang w:eastAsia="ja-JP"/>
        </w:rPr>
        <w:t>.</w:t>
      </w:r>
    </w:p>
    <w:p w14:paraId="7141A5F5" w14:textId="4839FE69" w:rsidR="00CA1C48" w:rsidRDefault="00CA1C48" w:rsidP="000C03A1">
      <w:pPr>
        <w:pStyle w:val="Heading4"/>
      </w:pPr>
      <w:bookmarkStart w:id="61" w:name="_Toc227661923"/>
      <w:r w:rsidRPr="00860D6C">
        <w:t>Efficacy</w:t>
      </w:r>
      <w:bookmarkEnd w:id="61"/>
    </w:p>
    <w:p w14:paraId="7E88A2A8" w14:textId="77777777" w:rsidR="00CA1C48" w:rsidRPr="000C1FAE" w:rsidRDefault="00CA1C48" w:rsidP="00C03926">
      <w:pPr>
        <w:pStyle w:val="Heading5"/>
        <w:rPr>
          <w:rFonts w:eastAsia="Verdana"/>
        </w:rPr>
      </w:pPr>
      <w:r w:rsidRPr="000C1FAE">
        <w:rPr>
          <w:rFonts w:eastAsia="Verdana"/>
        </w:rPr>
        <w:t xml:space="preserve">Pivotal trial design </w:t>
      </w:r>
    </w:p>
    <w:p w14:paraId="5AD51492" w14:textId="77777777" w:rsidR="00CA1C48" w:rsidRPr="00C81C1A" w:rsidRDefault="00CA1C48" w:rsidP="00700B63">
      <w:r>
        <w:t>T</w:t>
      </w:r>
      <w:r w:rsidRPr="00C81C1A">
        <w:rPr>
          <w:lang w:val="en-US"/>
        </w:rPr>
        <w:t xml:space="preserve">he initial studies to establish the efficacy of the currently approved modulators were placebo-controlled studies. Placebo-controlled trials might no longer be ethical as modulator therapy has become the standard of care in many countries. New treatment can be investigated on top of another modulator, but additional improvements in lung function, as measured by FEV1, might not be possible due to the </w:t>
      </w:r>
      <w:r w:rsidRPr="00C81C1A">
        <w:t>ceiling effects of both irreversible lung damage and achieving the physiological maximum lung function</w:t>
      </w:r>
    </w:p>
    <w:p w14:paraId="3B830386" w14:textId="77777777" w:rsidR="00CA1C48" w:rsidRPr="00C11A60" w:rsidRDefault="00CA1C48" w:rsidP="00700B63">
      <w:pPr>
        <w:rPr>
          <w:lang w:val="en-US"/>
        </w:rPr>
      </w:pPr>
      <w:r>
        <w:lastRenderedPageBreak/>
        <w:t>T</w:t>
      </w:r>
      <w:r w:rsidRPr="00C81C1A">
        <w:rPr>
          <w:lang w:val="en-US"/>
        </w:rPr>
        <w:t>he currently conducted pivotal trials used a non-inferiority design by showing an effect on the FEV1 using ELX/TEZ/IVA as comparator. Sweat chloride (</w:t>
      </w:r>
      <w:proofErr w:type="spellStart"/>
      <w:r w:rsidRPr="00C81C1A">
        <w:rPr>
          <w:lang w:val="en-US"/>
        </w:rPr>
        <w:t>SwCl</w:t>
      </w:r>
      <w:proofErr w:type="spellEnd"/>
      <w:r w:rsidRPr="00C81C1A">
        <w:rPr>
          <w:lang w:val="en-US"/>
        </w:rPr>
        <w:t>) level was included as key secondary endpoint</w:t>
      </w:r>
      <w:r>
        <w:rPr>
          <w:lang w:val="en-US"/>
        </w:rPr>
        <w:t>.</w:t>
      </w:r>
    </w:p>
    <w:p w14:paraId="2C2B0765" w14:textId="1C56AA4B" w:rsidR="00CA1C48" w:rsidRDefault="00CA1C48" w:rsidP="00700B63">
      <w:pPr>
        <w:rPr>
          <w:lang w:eastAsia="ja-JP"/>
        </w:rPr>
      </w:pPr>
      <w:r w:rsidRPr="00A23663">
        <w:rPr>
          <w:lang w:eastAsia="ja-JP"/>
        </w:rPr>
        <w:t xml:space="preserve">The evaluable efficacy data were provided in two pivotal studies </w:t>
      </w:r>
      <w:r>
        <w:rPr>
          <w:lang w:eastAsia="ja-JP"/>
        </w:rPr>
        <w:t>(</w:t>
      </w:r>
      <w:r w:rsidRPr="00A23663">
        <w:rPr>
          <w:lang w:eastAsia="ja-JP"/>
        </w:rPr>
        <w:t>VX20-121-102</w:t>
      </w:r>
      <w:r>
        <w:rPr>
          <w:lang w:eastAsia="ja-JP"/>
        </w:rPr>
        <w:t xml:space="preserve">, </w:t>
      </w:r>
      <w:r w:rsidRPr="00860D6C">
        <w:rPr>
          <w:lang w:eastAsia="ja-JP"/>
        </w:rPr>
        <w:t>VX20-121-103</w:t>
      </w:r>
      <w:r>
        <w:rPr>
          <w:lang w:eastAsia="ja-JP"/>
        </w:rPr>
        <w:t xml:space="preserve"> </w:t>
      </w:r>
      <w:r w:rsidRPr="005C49AD">
        <w:rPr>
          <w:lang w:eastAsia="ja-JP"/>
        </w:rPr>
        <w:t>and three other efficacy studies</w:t>
      </w:r>
      <w:r w:rsidR="00C03926">
        <w:rPr>
          <w:lang w:eastAsia="ja-JP"/>
        </w:rPr>
        <w:t xml:space="preserve"> </w:t>
      </w:r>
      <w:r>
        <w:rPr>
          <w:lang w:eastAsia="ja-JP"/>
        </w:rPr>
        <w:t>(</w:t>
      </w:r>
      <w:r w:rsidRPr="005C49AD">
        <w:rPr>
          <w:lang w:eastAsia="ja-JP"/>
        </w:rPr>
        <w:t>VX18-121-101</w:t>
      </w:r>
      <w:r>
        <w:rPr>
          <w:lang w:eastAsia="ja-JP"/>
        </w:rPr>
        <w:t xml:space="preserve">, </w:t>
      </w:r>
      <w:r w:rsidRPr="00425552">
        <w:rPr>
          <w:lang w:eastAsia="ja-JP"/>
        </w:rPr>
        <w:t>VX18-561-101</w:t>
      </w:r>
      <w:r>
        <w:rPr>
          <w:lang w:eastAsia="ja-JP"/>
        </w:rPr>
        <w:t>,</w:t>
      </w:r>
      <w:r w:rsidRPr="00425552">
        <w:rPr>
          <w:lang w:eastAsia="ja-JP"/>
        </w:rPr>
        <w:t xml:space="preserve"> VX21-121-105</w:t>
      </w:r>
      <w:r>
        <w:rPr>
          <w:lang w:eastAsia="ja-JP"/>
        </w:rPr>
        <w:t>)</w:t>
      </w:r>
    </w:p>
    <w:p w14:paraId="09C76DC2" w14:textId="43CFC8FA" w:rsidR="00CA1C48" w:rsidRDefault="00CA1C48" w:rsidP="004B0304">
      <w:pPr>
        <w:pStyle w:val="Heading6"/>
      </w:pPr>
      <w:r w:rsidRPr="00BB2073">
        <w:t xml:space="preserve">Studies VX20-121–102 (Study 102) and VX20-121-103 (Study 103) </w:t>
      </w:r>
    </w:p>
    <w:p w14:paraId="6A671444" w14:textId="16F651E5" w:rsidR="00CA1C48" w:rsidRPr="0046548C" w:rsidRDefault="00CA1C48" w:rsidP="00700B63">
      <w:pPr>
        <w:rPr>
          <w:b/>
          <w:bCs/>
          <w:sz w:val="26"/>
          <w:szCs w:val="26"/>
        </w:rPr>
      </w:pPr>
      <w:r w:rsidRPr="00BB2073">
        <w:rPr>
          <w:color w:val="000000"/>
        </w:rPr>
        <w:t>Study 102 and 103 were multicentre, randomised, active-controlled, phase 3 trials,</w:t>
      </w:r>
      <w:r w:rsidRPr="00BB2073">
        <w:t xml:space="preserve"> evaluating the efficacy and safety of VNZ/TEZ/D-IVA in CF subjects ≥12 years of age.</w:t>
      </w:r>
      <w:r>
        <w:t xml:space="preserve"> The active control was ELX/TEZ/IVA given this is the standard of care for people with CF and ≥1 ELX/TEZ/IVA responsive mutation.</w:t>
      </w:r>
    </w:p>
    <w:p w14:paraId="0F815B82" w14:textId="02B0842E" w:rsidR="00CA1C48" w:rsidRDefault="00CA1C48" w:rsidP="00700B63">
      <w:pPr>
        <w:rPr>
          <w:lang w:eastAsia="ja-JP"/>
        </w:rPr>
      </w:pPr>
      <w:r w:rsidRPr="00BB2073">
        <w:rPr>
          <w:lang w:eastAsia="ja-JP"/>
        </w:rPr>
        <w:t xml:space="preserve">Study 102 enrolled individuals with cystic fibrosis and a </w:t>
      </w:r>
      <w:r w:rsidRPr="00BB2073">
        <w:t>F/MF genotype</w:t>
      </w:r>
      <w:r w:rsidRPr="00BB2073">
        <w:rPr>
          <w:lang w:eastAsia="ja-JP"/>
        </w:rPr>
        <w:t xml:space="preserve"> [heterozygous for F508del and a minimal function mutation (F/MF). Study 103 enrolled individuals with cystic fibrosis with F508del-F508de</w:t>
      </w:r>
      <w:r>
        <w:rPr>
          <w:lang w:eastAsia="ja-JP"/>
        </w:rPr>
        <w:t>l</w:t>
      </w:r>
      <w:r w:rsidRPr="00BB2073">
        <w:rPr>
          <w:lang w:eastAsia="ja-JP"/>
        </w:rPr>
        <w:t xml:space="preserve"> (F/F), F508del-residual function (F/RF), F508del-gating, (F/G) or </w:t>
      </w:r>
      <w:proofErr w:type="spellStart"/>
      <w:r w:rsidRPr="00BB2073">
        <w:rPr>
          <w:lang w:eastAsia="ja-JP"/>
        </w:rPr>
        <w:t>elexacaftor</w:t>
      </w:r>
      <w:proofErr w:type="spellEnd"/>
      <w:r w:rsidRPr="00BB2073">
        <w:rPr>
          <w:lang w:eastAsia="ja-JP"/>
        </w:rPr>
        <w:t xml:space="preserve">–tezacaftor– ivacaftor-responsive-non-F508del (TCR/non-F) genotypes. </w:t>
      </w:r>
      <w:r>
        <w:rPr>
          <w:lang w:eastAsia="ja-JP"/>
        </w:rPr>
        <w:t xml:space="preserve"> Study design was otherwise identical.</w:t>
      </w:r>
    </w:p>
    <w:p w14:paraId="70A045CB" w14:textId="48CB7ED9" w:rsidR="00CA1C48" w:rsidRPr="005C1D58" w:rsidRDefault="00CA1C48" w:rsidP="00700B63">
      <w:pPr>
        <w:rPr>
          <w:b/>
          <w:bCs/>
          <w:lang w:eastAsia="ja-JP"/>
        </w:rPr>
      </w:pPr>
      <w:r w:rsidRPr="005C1D58">
        <w:rPr>
          <w:b/>
          <w:bCs/>
          <w:lang w:eastAsia="ja-JP"/>
        </w:rPr>
        <w:t xml:space="preserve">Study design </w:t>
      </w:r>
    </w:p>
    <w:p w14:paraId="4FA26618" w14:textId="77777777" w:rsidR="00CA1C48" w:rsidRPr="002B70D8" w:rsidRDefault="00CA1C48" w:rsidP="00700B63">
      <w:pPr>
        <w:rPr>
          <w:lang w:eastAsia="ja-JP"/>
        </w:rPr>
      </w:pPr>
      <w:r w:rsidRPr="002B70D8">
        <w:rPr>
          <w:lang w:eastAsia="ja-JP"/>
        </w:rPr>
        <w:t xml:space="preserve">Participants were ≥12 years of age with a confirmed diagnosis of cystic fibrosis with eligible genotypes and stable </w:t>
      </w:r>
      <w:r>
        <w:rPr>
          <w:lang w:eastAsia="ja-JP"/>
        </w:rPr>
        <w:t>disease</w:t>
      </w:r>
      <w:r w:rsidRPr="002B70D8">
        <w:rPr>
          <w:lang w:eastAsia="ja-JP"/>
        </w:rPr>
        <w:t xml:space="preserve">. FEV1 % predicted at screening </w:t>
      </w:r>
      <w:r>
        <w:rPr>
          <w:lang w:eastAsia="ja-JP"/>
        </w:rPr>
        <w:t>was</w:t>
      </w:r>
      <w:r w:rsidRPr="002B70D8">
        <w:rPr>
          <w:lang w:eastAsia="ja-JP"/>
        </w:rPr>
        <w:t xml:space="preserve"> 40–80% for those not </w:t>
      </w:r>
      <w:r>
        <w:rPr>
          <w:lang w:eastAsia="ja-JP"/>
        </w:rPr>
        <w:t>on</w:t>
      </w:r>
      <w:r w:rsidRPr="002B70D8">
        <w:rPr>
          <w:lang w:eastAsia="ja-JP"/>
        </w:rPr>
        <w:t xml:space="preserve"> </w:t>
      </w:r>
      <w:proofErr w:type="spellStart"/>
      <w:r w:rsidRPr="002B70D8">
        <w:rPr>
          <w:lang w:eastAsia="ja-JP"/>
        </w:rPr>
        <w:t>elexacaftor</w:t>
      </w:r>
      <w:proofErr w:type="spellEnd"/>
      <w:r w:rsidRPr="002B70D8">
        <w:rPr>
          <w:lang w:eastAsia="ja-JP"/>
        </w:rPr>
        <w:t xml:space="preserve">–tezacaftor–ivacaftor, or 40–90% for those who were receiving </w:t>
      </w:r>
      <w:proofErr w:type="spellStart"/>
      <w:r w:rsidRPr="002B70D8">
        <w:rPr>
          <w:lang w:eastAsia="ja-JP"/>
        </w:rPr>
        <w:t>elexacaftor</w:t>
      </w:r>
      <w:proofErr w:type="spellEnd"/>
      <w:r w:rsidRPr="002B70D8">
        <w:rPr>
          <w:lang w:eastAsia="ja-JP"/>
        </w:rPr>
        <w:t>–tezacaftor–ivacaftor.</w:t>
      </w:r>
      <w:r>
        <w:rPr>
          <w:lang w:eastAsia="ja-JP"/>
        </w:rPr>
        <w:t xml:space="preserve"> The FEV 1 criteria aimed to enrol subjects with mild to moderate lung disease.</w:t>
      </w:r>
    </w:p>
    <w:p w14:paraId="24338F8C" w14:textId="3D91FFCC" w:rsidR="00CA1C48" w:rsidRPr="00573A06" w:rsidRDefault="00CA1C48" w:rsidP="00700B63">
      <w:pPr>
        <w:rPr>
          <w:lang w:eastAsia="ja-JP"/>
        </w:rPr>
      </w:pPr>
      <w:r>
        <w:rPr>
          <w:color w:val="000000"/>
        </w:rPr>
        <w:t xml:space="preserve">There was a </w:t>
      </w:r>
      <w:r w:rsidRPr="002B70D8">
        <w:rPr>
          <w:color w:val="000000"/>
        </w:rPr>
        <w:t xml:space="preserve">4-week run-in period, </w:t>
      </w:r>
      <w:r>
        <w:rPr>
          <w:color w:val="000000"/>
        </w:rPr>
        <w:t xml:space="preserve">during which time, </w:t>
      </w:r>
      <w:r w:rsidRPr="002B70D8">
        <w:rPr>
          <w:color w:val="000000"/>
        </w:rPr>
        <w:t xml:space="preserve">all participants received </w:t>
      </w:r>
      <w:proofErr w:type="spellStart"/>
      <w:r w:rsidRPr="002B70D8">
        <w:rPr>
          <w:color w:val="000000"/>
        </w:rPr>
        <w:t>elexacaftor</w:t>
      </w:r>
      <w:proofErr w:type="spellEnd"/>
      <w:r w:rsidRPr="002B70D8">
        <w:rPr>
          <w:color w:val="000000"/>
        </w:rPr>
        <w:t xml:space="preserve"> 200 mg once daily, tezacaftor 100 mg once daily, and ivacaftor 150 mg once every 12 h as two fixed-dose combination tablets in the morning and one ivacaftor tablet in the evening. </w:t>
      </w:r>
      <w:r w:rsidRPr="002B70D8">
        <w:rPr>
          <w:lang w:eastAsia="ja-JP"/>
        </w:rPr>
        <w:t xml:space="preserve">Participants were then randomly assigned (1:1) to vanzacaftor–tezacaftor– deutivacaftor </w:t>
      </w:r>
      <w:r>
        <w:rPr>
          <w:lang w:eastAsia="ja-JP"/>
        </w:rPr>
        <w:t xml:space="preserve">(20mg, `99mg, 250mg once daily) </w:t>
      </w:r>
      <w:r w:rsidRPr="002B70D8">
        <w:rPr>
          <w:lang w:eastAsia="ja-JP"/>
        </w:rPr>
        <w:t xml:space="preserve">or </w:t>
      </w:r>
      <w:r>
        <w:rPr>
          <w:lang w:eastAsia="ja-JP"/>
        </w:rPr>
        <w:t xml:space="preserve">continue </w:t>
      </w:r>
      <w:proofErr w:type="spellStart"/>
      <w:r w:rsidRPr="002B70D8">
        <w:rPr>
          <w:lang w:eastAsia="ja-JP"/>
        </w:rPr>
        <w:t>elexacaftor</w:t>
      </w:r>
      <w:proofErr w:type="spellEnd"/>
      <w:r w:rsidRPr="002B70D8">
        <w:rPr>
          <w:lang w:eastAsia="ja-JP"/>
        </w:rPr>
        <w:t xml:space="preserve">–tezacaftor–ivacaftor for  52-week treatment period, after which participants </w:t>
      </w:r>
      <w:r>
        <w:rPr>
          <w:lang w:eastAsia="ja-JP"/>
        </w:rPr>
        <w:t>could</w:t>
      </w:r>
      <w:r w:rsidRPr="002B70D8">
        <w:rPr>
          <w:lang w:eastAsia="ja-JP"/>
        </w:rPr>
        <w:t xml:space="preserve"> participate in an open-label extension study in which all participants received open-label vanzacaftor–tezacaftor–deutivacaftor, regardless of randomly assigned treatment (Figure </w:t>
      </w:r>
      <w:r>
        <w:rPr>
          <w:lang w:eastAsia="ja-JP"/>
        </w:rPr>
        <w:t>3</w:t>
      </w:r>
      <w:r w:rsidRPr="002B70D8">
        <w:rPr>
          <w:lang w:eastAsia="ja-JP"/>
        </w:rPr>
        <w:t>)</w:t>
      </w:r>
      <w:r w:rsidR="00E0119B">
        <w:rPr>
          <w:lang w:eastAsia="ja-JP"/>
        </w:rPr>
        <w:t>.</w:t>
      </w:r>
    </w:p>
    <w:p w14:paraId="06C44C55" w14:textId="6A66BE3F" w:rsidR="00B933D6" w:rsidRPr="00A23663" w:rsidRDefault="00B933D6" w:rsidP="0044175A">
      <w:pPr>
        <w:pStyle w:val="FigureTitle"/>
        <w:rPr>
          <w:lang w:eastAsia="ja-JP"/>
        </w:rPr>
      </w:pPr>
      <w:r>
        <w:rPr>
          <w:lang w:eastAsia="ja-JP"/>
        </w:rPr>
        <w:t>Figure 3</w:t>
      </w:r>
      <w:r w:rsidR="008E6DB9">
        <w:rPr>
          <w:lang w:eastAsia="ja-JP"/>
        </w:rPr>
        <w:t>.</w:t>
      </w:r>
      <w:r>
        <w:rPr>
          <w:lang w:eastAsia="ja-JP"/>
        </w:rPr>
        <w:t xml:space="preserve"> </w:t>
      </w:r>
      <w:r w:rsidRPr="00A62E6B">
        <w:rPr>
          <w:lang w:eastAsia="ja-JP"/>
        </w:rPr>
        <w:t>Phase 3 Study Design</w:t>
      </w:r>
      <w:r>
        <w:rPr>
          <w:lang w:eastAsia="ja-JP"/>
        </w:rPr>
        <w:t>: Studies 102 and 103</w:t>
      </w:r>
      <w:r w:rsidR="00EC07FF">
        <w:rPr>
          <w:lang w:eastAsia="ja-JP"/>
        </w:rPr>
        <w:t>.</w:t>
      </w:r>
    </w:p>
    <w:p w14:paraId="26584CF2" w14:textId="16B12417" w:rsidR="00F8448A" w:rsidRDefault="005217E8" w:rsidP="00B576DE">
      <w:r w:rsidRPr="00A62E6B">
        <w:rPr>
          <w:rFonts w:ascii="TimesNewRoman" w:hAnsi="TimesNewRoman" w:cs="TimesNewRoman"/>
          <w:noProof/>
          <w:sz w:val="24"/>
          <w:szCs w:val="24"/>
        </w:rPr>
        <w:drawing>
          <wp:inline distT="0" distB="0" distL="0" distR="0" wp14:anchorId="24C23D0E" wp14:editId="6C7F7D55">
            <wp:extent cx="5920624" cy="1562100"/>
            <wp:effectExtent l="0" t="0" r="4445" b="0"/>
            <wp:docPr id="192332611" name="Picture 1" descr="Figure 3. Phase 3 Study Design: Studies 102 an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2611" name="Picture 1" descr="Figure 3. Phase 3 Study Design: Studies 102 and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331" cy="1567036"/>
                    </a:xfrm>
                    <a:prstGeom prst="rect">
                      <a:avLst/>
                    </a:prstGeom>
                    <a:noFill/>
                    <a:ln>
                      <a:noFill/>
                    </a:ln>
                  </pic:spPr>
                </pic:pic>
              </a:graphicData>
            </a:graphic>
          </wp:inline>
        </w:drawing>
      </w:r>
    </w:p>
    <w:p w14:paraId="540046D4" w14:textId="29AA18B2" w:rsidR="0016534C" w:rsidRDefault="0016534C" w:rsidP="00D93C1D">
      <w:pPr>
        <w:pStyle w:val="FigureDescription"/>
      </w:pPr>
      <w:r w:rsidRPr="002B70D8">
        <w:t xml:space="preserve">D-IVA: deutivacaftor; ELX: </w:t>
      </w:r>
      <w:proofErr w:type="spellStart"/>
      <w:r w:rsidRPr="002B70D8">
        <w:t>elexacaftor</w:t>
      </w:r>
      <w:proofErr w:type="spellEnd"/>
      <w:r w:rsidRPr="002B70D8">
        <w:t>; IVA: ivacaftor; TEZ: tezacaftor; VNZ: vanzacaftor</w:t>
      </w:r>
    </w:p>
    <w:p w14:paraId="3A9E8973" w14:textId="77777777" w:rsidR="003F1D4F" w:rsidRPr="007240D7" w:rsidRDefault="003F1D4F" w:rsidP="0044175A">
      <w:r w:rsidRPr="007240D7">
        <w:t xml:space="preserve">Randomisation was stratified on the basis of age (at screening: &lt;18 years </w:t>
      </w:r>
      <w:r w:rsidRPr="007240D7">
        <w:rPr>
          <w:i/>
          <w:iCs/>
        </w:rPr>
        <w:t xml:space="preserve">vs </w:t>
      </w:r>
      <w:r w:rsidRPr="007240D7">
        <w:t>≥18 years), FEV</w:t>
      </w:r>
      <w:r w:rsidRPr="007240D7">
        <w:rPr>
          <w:rStyle w:val="A5"/>
          <w:rFonts w:ascii="Calibri" w:hAnsi="Calibri" w:cs="Calibri"/>
          <w:szCs w:val="22"/>
        </w:rPr>
        <w:t xml:space="preserve">1 </w:t>
      </w:r>
      <w:r w:rsidRPr="007240D7">
        <w:t xml:space="preserve">% predicted (on day –14: &lt;70 percentage points </w:t>
      </w:r>
      <w:r w:rsidRPr="007240D7">
        <w:rPr>
          <w:i/>
          <w:iCs/>
        </w:rPr>
        <w:t xml:space="preserve">vs </w:t>
      </w:r>
      <w:r w:rsidRPr="007240D7">
        <w:t xml:space="preserve">≥70 percentage points), sweat chloride concentration (on day –14: &lt;30 mmol/L </w:t>
      </w:r>
      <w:r w:rsidRPr="007240D7">
        <w:rPr>
          <w:i/>
          <w:iCs/>
        </w:rPr>
        <w:t xml:space="preserve">vs </w:t>
      </w:r>
      <w:r w:rsidRPr="007240D7">
        <w:t xml:space="preserve">≥30 mmol/L), previous CFTR modulator use (yes </w:t>
      </w:r>
      <w:r w:rsidRPr="007240D7">
        <w:rPr>
          <w:i/>
          <w:iCs/>
        </w:rPr>
        <w:t xml:space="preserve">vs </w:t>
      </w:r>
      <w:r w:rsidRPr="007240D7">
        <w:t>no), and, additionally for Trial VX20-121-103, by genotype group (</w:t>
      </w:r>
      <w:r w:rsidRPr="007240D7">
        <w:rPr>
          <w:i/>
          <w:iCs/>
        </w:rPr>
        <w:t>F508del-F508del vs F508del</w:t>
      </w:r>
      <w:r w:rsidRPr="007240D7">
        <w:t xml:space="preserve">-residual function </w:t>
      </w:r>
      <w:r w:rsidRPr="007240D7">
        <w:rPr>
          <w:i/>
          <w:iCs/>
        </w:rPr>
        <w:t>vs F508del</w:t>
      </w:r>
      <w:r w:rsidRPr="007240D7">
        <w:t xml:space="preserve">-gating </w:t>
      </w:r>
      <w:r w:rsidRPr="007240D7">
        <w:rPr>
          <w:i/>
          <w:iCs/>
        </w:rPr>
        <w:t xml:space="preserve">vs </w:t>
      </w:r>
      <w:proofErr w:type="spellStart"/>
      <w:r w:rsidRPr="007240D7">
        <w:t>elexacaftor</w:t>
      </w:r>
      <w:proofErr w:type="spellEnd"/>
      <w:r w:rsidRPr="007240D7">
        <w:t>–tezacaftor–ivacaftor-responsive-non-</w:t>
      </w:r>
      <w:r w:rsidRPr="007240D7">
        <w:rPr>
          <w:i/>
          <w:iCs/>
        </w:rPr>
        <w:t xml:space="preserve">F508del </w:t>
      </w:r>
      <w:r w:rsidRPr="007240D7">
        <w:t>genotypes).</w:t>
      </w:r>
    </w:p>
    <w:p w14:paraId="6F0BD8AA" w14:textId="4657CB27" w:rsidR="003F1D4F" w:rsidRDefault="003F1D4F" w:rsidP="0044175A">
      <w:r w:rsidRPr="00C742AB">
        <w:rPr>
          <w:lang w:eastAsia="ja-JP"/>
        </w:rPr>
        <w:lastRenderedPageBreak/>
        <w:t xml:space="preserve">The primary and key secondary efficacy endpoints were identical for study 102 and 103 and are shown in Table </w:t>
      </w:r>
      <w:r w:rsidR="0011108B">
        <w:rPr>
          <w:lang w:eastAsia="ja-JP"/>
        </w:rPr>
        <w:t>7</w:t>
      </w:r>
      <w:r w:rsidRPr="00C742AB">
        <w:rPr>
          <w:lang w:eastAsia="ja-JP"/>
        </w:rPr>
        <w:t>.</w:t>
      </w:r>
      <w:r w:rsidRPr="00C742AB">
        <w:t xml:space="preserve"> </w:t>
      </w:r>
      <w:r w:rsidRPr="0099619B">
        <w:t>The primary efficacy variable is the absolute change from baseline in ppFEV1 through Week 24</w:t>
      </w:r>
      <w:r>
        <w:t xml:space="preserve"> </w:t>
      </w:r>
      <w:r w:rsidRPr="0099619B">
        <w:t>(estimated by averaging Weeks 16 and 24)</w:t>
      </w:r>
      <w:r>
        <w:t>.</w:t>
      </w:r>
    </w:p>
    <w:p w14:paraId="3483F46F" w14:textId="77777777" w:rsidR="003F1D4F" w:rsidRPr="00C742AB" w:rsidRDefault="003F1D4F" w:rsidP="0044175A">
      <w:r w:rsidRPr="00C801AC">
        <w:rPr>
          <w:lang w:eastAsia="ja-JP"/>
        </w:rPr>
        <w:t>The study was designed as a non-inferiority study with the criterion for non-inferiority being a -3% difference in the absolute change in ppFEV1 through Week 24, innovator-reference.</w:t>
      </w:r>
      <w:r w:rsidRPr="00C801AC">
        <w:t xml:space="preserve"> The non</w:t>
      </w:r>
      <w:r>
        <w:t xml:space="preserve"> </w:t>
      </w:r>
      <w:r w:rsidRPr="00C801AC">
        <w:t>inferiority margin of -3.0 percentage points was selected</w:t>
      </w:r>
      <w:r>
        <w:t xml:space="preserve"> </w:t>
      </w:r>
      <w:r w:rsidRPr="00C801AC">
        <w:t>based on FDA and EMA guidance</w:t>
      </w:r>
      <w:r>
        <w:t>.</w:t>
      </w:r>
    </w:p>
    <w:p w14:paraId="454517C5" w14:textId="77777777" w:rsidR="003F1D4F" w:rsidRPr="00C742AB" w:rsidRDefault="003F1D4F" w:rsidP="0044175A">
      <w:pPr>
        <w:rPr>
          <w:lang w:eastAsia="ja-JP"/>
        </w:rPr>
      </w:pPr>
      <w:r w:rsidRPr="007240D7">
        <w:rPr>
          <w:lang w:eastAsia="ja-JP"/>
        </w:rPr>
        <w:t xml:space="preserve">Hypothesis tests were performed using a mixed effects model for repeated measures (MMRM).  </w:t>
      </w:r>
      <w:r w:rsidRPr="007240D7">
        <w:rPr>
          <w:lang w:val="en-NZ" w:eastAsia="ja-JP"/>
        </w:rPr>
        <w:t xml:space="preserve">The model included fixed categorical effects for treatment, visit, age at screening, and treatment-by-visit interaction, with baseline ppFEV1 and baseline </w:t>
      </w:r>
      <w:proofErr w:type="spellStart"/>
      <w:r w:rsidRPr="007240D7">
        <w:rPr>
          <w:lang w:val="en-NZ" w:eastAsia="ja-JP"/>
        </w:rPr>
        <w:t>SwCl</w:t>
      </w:r>
      <w:proofErr w:type="spellEnd"/>
      <w:r w:rsidRPr="007240D7">
        <w:rPr>
          <w:lang w:val="en-NZ" w:eastAsia="ja-JP"/>
        </w:rPr>
        <w:t xml:space="preserve"> as continuous covariates.  The models were estimated using restricted maximum likelihood.</w:t>
      </w:r>
      <w:r>
        <w:rPr>
          <w:lang w:eastAsia="ja-JP"/>
        </w:rPr>
        <w:t xml:space="preserve"> </w:t>
      </w:r>
      <w:r w:rsidRPr="007240D7">
        <w:t xml:space="preserve">Multiplicity was addressed by a </w:t>
      </w:r>
      <w:r w:rsidRPr="007240D7">
        <w:rPr>
          <w:lang w:val="en-NZ" w:eastAsia="ja-JP"/>
        </w:rPr>
        <w:t>hierarchical testing procedure to control the overall type I error at an alpha of</w:t>
      </w:r>
      <w:r w:rsidRPr="007240D7">
        <w:t xml:space="preserve"> </w:t>
      </w:r>
      <w:r w:rsidRPr="007240D7">
        <w:rPr>
          <w:lang w:val="en-NZ" w:eastAsia="ja-JP"/>
        </w:rPr>
        <w:t>0.05.</w:t>
      </w:r>
    </w:p>
    <w:p w14:paraId="06ADCB6B" w14:textId="77777777" w:rsidR="003F1D4F" w:rsidRPr="00C742AB" w:rsidRDefault="003F1D4F" w:rsidP="0044175A">
      <w:r w:rsidRPr="00C742AB">
        <w:t xml:space="preserve">Key secondary endpoints were tested for superiority in the following hierarchical testing order: absolute change from baseline through week 24 in </w:t>
      </w:r>
      <w:proofErr w:type="spellStart"/>
      <w:r>
        <w:t>SwCl</w:t>
      </w:r>
      <w:proofErr w:type="spellEnd"/>
      <w:r w:rsidRPr="00C742AB">
        <w:t xml:space="preserve">, proportion of participants with </w:t>
      </w:r>
      <w:proofErr w:type="spellStart"/>
      <w:r>
        <w:t>SwCl</w:t>
      </w:r>
      <w:proofErr w:type="spellEnd"/>
      <w:r w:rsidRPr="00C742AB">
        <w:t xml:space="preserve"> below 60 mmol/L (pooled from both trials), and proportion of participants with </w:t>
      </w:r>
      <w:proofErr w:type="spellStart"/>
      <w:r>
        <w:t>SwCl</w:t>
      </w:r>
      <w:proofErr w:type="spellEnd"/>
      <w:r w:rsidRPr="00C742AB">
        <w:t xml:space="preserve"> below 30 mmol/L (pooled trials) through week 24. Other secondary endpoints were not included in the multiplicity-controlled testing hierarchy.</w:t>
      </w:r>
    </w:p>
    <w:p w14:paraId="54617C18" w14:textId="356DA9CA" w:rsidR="003F1D4F" w:rsidRDefault="003F1D4F" w:rsidP="00763566">
      <w:pPr>
        <w:pStyle w:val="TableTitle"/>
      </w:pPr>
      <w:r w:rsidRPr="002B70D8">
        <w:rPr>
          <w:lang w:eastAsia="ja-JP"/>
        </w:rPr>
        <w:t xml:space="preserve">Table </w:t>
      </w:r>
      <w:r w:rsidR="0011108B">
        <w:rPr>
          <w:lang w:eastAsia="ja-JP"/>
        </w:rPr>
        <w:t>7</w:t>
      </w:r>
      <w:r w:rsidR="008E6DB9">
        <w:rPr>
          <w:lang w:eastAsia="ja-JP"/>
        </w:rPr>
        <w:t>.</w:t>
      </w:r>
      <w:r w:rsidRPr="002B70D8">
        <w:rPr>
          <w:lang w:eastAsia="ja-JP"/>
        </w:rPr>
        <w:t xml:space="preserve"> </w:t>
      </w:r>
      <w:r w:rsidRPr="002B70D8">
        <w:t>Studies 102 and 103: Efficacy Endpoints</w:t>
      </w:r>
      <w:r w:rsidR="00EC07FF">
        <w:t>.</w:t>
      </w:r>
    </w:p>
    <w:tbl>
      <w:tblPr>
        <w:tblStyle w:val="TableTGAblue2023"/>
        <w:tblW w:w="9351" w:type="dxa"/>
        <w:tblLook w:val="04A0" w:firstRow="1" w:lastRow="0" w:firstColumn="1" w:lastColumn="0" w:noHBand="0" w:noVBand="1"/>
      </w:tblPr>
      <w:tblGrid>
        <w:gridCol w:w="2830"/>
        <w:gridCol w:w="6521"/>
      </w:tblGrid>
      <w:tr w:rsidR="003F1D4F" w14:paraId="1BC84E5E" w14:textId="77777777" w:rsidTr="00D93C1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0" w:type="dxa"/>
          </w:tcPr>
          <w:p w14:paraId="3AE295B6" w14:textId="77777777" w:rsidR="003F1D4F" w:rsidRPr="007240D7" w:rsidRDefault="003F1D4F" w:rsidP="00D93C1D">
            <w:pPr>
              <w:rPr>
                <w:bCs/>
                <w:lang w:eastAsia="ja-JP"/>
              </w:rPr>
            </w:pPr>
            <w:r w:rsidRPr="007240D7">
              <w:t xml:space="preserve">Primary endpoint </w:t>
            </w:r>
          </w:p>
        </w:tc>
        <w:tc>
          <w:tcPr>
            <w:tcW w:w="6521" w:type="dxa"/>
          </w:tcPr>
          <w:p w14:paraId="21963DA9" w14:textId="77777777" w:rsidR="003F1D4F" w:rsidRPr="007240D7" w:rsidRDefault="003F1D4F" w:rsidP="00D93C1D">
            <w:pPr>
              <w:cnfStyle w:val="100000000000" w:firstRow="1" w:lastRow="0" w:firstColumn="0" w:lastColumn="0" w:oddVBand="0" w:evenVBand="0" w:oddHBand="0" w:evenHBand="0" w:firstRowFirstColumn="0" w:firstRowLastColumn="0" w:lastRowFirstColumn="0" w:lastRowLastColumn="0"/>
              <w:rPr>
                <w:bCs/>
                <w:lang w:eastAsia="ja-JP"/>
              </w:rPr>
            </w:pPr>
            <w:r w:rsidRPr="007240D7">
              <w:t>Absolute change from baseline in ppFEV1 through Week 24</w:t>
            </w:r>
          </w:p>
        </w:tc>
      </w:tr>
      <w:tr w:rsidR="003F1D4F" w14:paraId="5BFE6986" w14:textId="77777777" w:rsidTr="00D93C1D">
        <w:tc>
          <w:tcPr>
            <w:cnfStyle w:val="001000000000" w:firstRow="0" w:lastRow="0" w:firstColumn="1" w:lastColumn="0" w:oddVBand="0" w:evenVBand="0" w:oddHBand="0" w:evenHBand="0" w:firstRowFirstColumn="0" w:firstRowLastColumn="0" w:lastRowFirstColumn="0" w:lastRowLastColumn="0"/>
            <w:tcW w:w="2830" w:type="dxa"/>
          </w:tcPr>
          <w:p w14:paraId="6E733B0C" w14:textId="77777777" w:rsidR="003F1D4F" w:rsidRPr="007240D7" w:rsidRDefault="003F1D4F" w:rsidP="00D93C1D">
            <w:r w:rsidRPr="007240D7">
              <w:t>Key secondary endpoints</w:t>
            </w:r>
          </w:p>
        </w:tc>
        <w:tc>
          <w:tcPr>
            <w:tcW w:w="6521" w:type="dxa"/>
          </w:tcPr>
          <w:p w14:paraId="55AD1F76"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Absolute change from baseline in </w:t>
            </w:r>
            <w:proofErr w:type="spellStart"/>
            <w:r w:rsidRPr="007240D7">
              <w:t>SwCl</w:t>
            </w:r>
            <w:proofErr w:type="spellEnd"/>
            <w:r w:rsidRPr="007240D7">
              <w:t xml:space="preserve"> through Week 24</w:t>
            </w:r>
          </w:p>
          <w:p w14:paraId="6D9CE57B"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Proportion of subjects with </w:t>
            </w:r>
            <w:proofErr w:type="spellStart"/>
            <w:r w:rsidRPr="007240D7">
              <w:t>SwCl</w:t>
            </w:r>
            <w:proofErr w:type="spellEnd"/>
            <w:r w:rsidRPr="007240D7">
              <w:t xml:space="preserve"> &lt;60 mmol/L through Week 24 (pooled with data from Studies 102 and 103)</w:t>
            </w:r>
          </w:p>
          <w:p w14:paraId="371C83F0"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Proportion of subjects with </w:t>
            </w:r>
            <w:proofErr w:type="spellStart"/>
            <w:r w:rsidRPr="007240D7">
              <w:t>SwCl</w:t>
            </w:r>
            <w:proofErr w:type="spellEnd"/>
            <w:r w:rsidRPr="007240D7">
              <w:t xml:space="preserve"> &lt;30 mmol/L through Week 24 (pooled with data from Studies 102 and 103)</w:t>
            </w:r>
          </w:p>
        </w:tc>
      </w:tr>
      <w:tr w:rsidR="003F1D4F" w14:paraId="5B811A70" w14:textId="77777777" w:rsidTr="00D93C1D">
        <w:tc>
          <w:tcPr>
            <w:cnfStyle w:val="001000000000" w:firstRow="0" w:lastRow="0" w:firstColumn="1" w:lastColumn="0" w:oddVBand="0" w:evenVBand="0" w:oddHBand="0" w:evenHBand="0" w:firstRowFirstColumn="0" w:firstRowLastColumn="0" w:lastRowFirstColumn="0" w:lastRowLastColumn="0"/>
            <w:tcW w:w="2830" w:type="dxa"/>
          </w:tcPr>
          <w:p w14:paraId="4A2323A1" w14:textId="77777777" w:rsidR="003F1D4F" w:rsidRPr="007240D7" w:rsidRDefault="003F1D4F" w:rsidP="00D93C1D">
            <w:r w:rsidRPr="007240D7">
              <w:t>Other secondary endpoints</w:t>
            </w:r>
          </w:p>
        </w:tc>
        <w:tc>
          <w:tcPr>
            <w:tcW w:w="6521" w:type="dxa"/>
          </w:tcPr>
          <w:p w14:paraId="411AAB2F"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Number of </w:t>
            </w:r>
            <w:proofErr w:type="spellStart"/>
            <w:r w:rsidRPr="007240D7">
              <w:t>PEx</w:t>
            </w:r>
            <w:proofErr w:type="spellEnd"/>
            <w:r w:rsidRPr="007240D7">
              <w:t xml:space="preserve"> through Week 52</w:t>
            </w:r>
          </w:p>
          <w:p w14:paraId="3725FFCB"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Absolute change from baseline in CFQ-R RD score through Week 24</w:t>
            </w:r>
          </w:p>
          <w:p w14:paraId="47D2E0CB"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Absolute change from baseline in ppFEV1 through Week 52</w:t>
            </w:r>
          </w:p>
          <w:p w14:paraId="0006A19E"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Absolute change from baseline in </w:t>
            </w:r>
            <w:proofErr w:type="spellStart"/>
            <w:r w:rsidRPr="007240D7">
              <w:t>SwCl</w:t>
            </w:r>
            <w:proofErr w:type="spellEnd"/>
            <w:r w:rsidRPr="007240D7">
              <w:t xml:space="preserve"> through Week 52</w:t>
            </w:r>
          </w:p>
          <w:p w14:paraId="1972E405"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pPr>
            <w:r w:rsidRPr="007240D7">
              <w:t xml:space="preserve">Proportion of subjects with </w:t>
            </w:r>
            <w:proofErr w:type="spellStart"/>
            <w:r w:rsidRPr="007240D7">
              <w:t>SwCl</w:t>
            </w:r>
            <w:proofErr w:type="spellEnd"/>
            <w:r w:rsidRPr="007240D7">
              <w:t xml:space="preserve"> &lt;60 mmol/L through Week 24</w:t>
            </w:r>
          </w:p>
          <w:p w14:paraId="67A26171" w14:textId="77777777" w:rsidR="003F1D4F" w:rsidRPr="007240D7" w:rsidRDefault="003F1D4F" w:rsidP="00D93C1D">
            <w:pPr>
              <w:cnfStyle w:val="000000000000" w:firstRow="0" w:lastRow="0" w:firstColumn="0" w:lastColumn="0" w:oddVBand="0" w:evenVBand="0" w:oddHBand="0" w:evenHBand="0" w:firstRowFirstColumn="0" w:firstRowLastColumn="0" w:lastRowFirstColumn="0" w:lastRowLastColumn="0"/>
              <w:rPr>
                <w:b/>
                <w:bCs/>
              </w:rPr>
            </w:pPr>
            <w:r w:rsidRPr="007240D7">
              <w:t xml:space="preserve">Proportion of subjects with </w:t>
            </w:r>
            <w:proofErr w:type="spellStart"/>
            <w:r w:rsidRPr="007240D7">
              <w:t>SwCl</w:t>
            </w:r>
            <w:proofErr w:type="spellEnd"/>
            <w:r w:rsidRPr="007240D7">
              <w:t xml:space="preserve"> &lt;30 mmol/L through Week 24</w:t>
            </w:r>
          </w:p>
        </w:tc>
      </w:tr>
    </w:tbl>
    <w:p w14:paraId="02E02205" w14:textId="77777777" w:rsidR="003F1D4F" w:rsidRPr="00424C10" w:rsidRDefault="003F1D4F" w:rsidP="00D93C1D">
      <w:pPr>
        <w:pStyle w:val="TableDescription"/>
        <w:rPr>
          <w:lang w:eastAsia="ja-JP"/>
        </w:rPr>
      </w:pPr>
      <w:r w:rsidRPr="007240D7">
        <w:rPr>
          <w:lang w:eastAsia="ja-JP"/>
        </w:rPr>
        <w:t xml:space="preserve">CFQ-R: Cystic Fibrosis Questionnaire-Revised; </w:t>
      </w:r>
      <w:proofErr w:type="spellStart"/>
      <w:r w:rsidRPr="007240D7">
        <w:rPr>
          <w:lang w:eastAsia="ja-JP"/>
        </w:rPr>
        <w:t>PEx</w:t>
      </w:r>
      <w:proofErr w:type="spellEnd"/>
      <w:r w:rsidRPr="007240D7">
        <w:rPr>
          <w:lang w:eastAsia="ja-JP"/>
        </w:rPr>
        <w:t>: pulmonary exacerbation; ppFEV1: percent predicted forced expiratory volume in 1</w:t>
      </w:r>
      <w:r>
        <w:rPr>
          <w:lang w:eastAsia="ja-JP"/>
        </w:rPr>
        <w:t xml:space="preserve"> </w:t>
      </w:r>
      <w:r w:rsidRPr="007240D7">
        <w:rPr>
          <w:lang w:eastAsia="ja-JP"/>
        </w:rPr>
        <w:t xml:space="preserve">second; RD: respiratory domain; </w:t>
      </w:r>
      <w:proofErr w:type="spellStart"/>
      <w:r w:rsidRPr="007240D7">
        <w:rPr>
          <w:lang w:eastAsia="ja-JP"/>
        </w:rPr>
        <w:t>SwCl</w:t>
      </w:r>
      <w:proofErr w:type="spellEnd"/>
      <w:r w:rsidRPr="007240D7">
        <w:rPr>
          <w:lang w:eastAsia="ja-JP"/>
        </w:rPr>
        <w:t>: sweat chloride</w:t>
      </w:r>
    </w:p>
    <w:p w14:paraId="6B85B96F" w14:textId="77777777" w:rsidR="003F1D4F" w:rsidRPr="005C1D58" w:rsidRDefault="003F1D4F" w:rsidP="007272F1">
      <w:pPr>
        <w:rPr>
          <w:b/>
          <w:bCs/>
          <w:lang w:val="en-NZ" w:eastAsia="ja-JP"/>
        </w:rPr>
      </w:pPr>
      <w:r w:rsidRPr="005C1D58">
        <w:rPr>
          <w:b/>
          <w:bCs/>
          <w:lang w:val="en-NZ" w:eastAsia="ja-JP"/>
        </w:rPr>
        <w:t>Results</w:t>
      </w:r>
    </w:p>
    <w:p w14:paraId="0427CA32" w14:textId="77777777" w:rsidR="003F1D4F" w:rsidRPr="00212187" w:rsidRDefault="003F1D4F" w:rsidP="007272F1">
      <w:pPr>
        <w:rPr>
          <w:color w:val="000000"/>
        </w:rPr>
      </w:pPr>
      <w:r w:rsidRPr="00212187">
        <w:rPr>
          <w:lang w:val="en-NZ" w:eastAsia="ja-JP"/>
        </w:rPr>
        <w:t xml:space="preserve">In Study </w:t>
      </w:r>
      <w:r w:rsidRPr="00212187">
        <w:rPr>
          <w:lang w:eastAsia="ja-JP"/>
        </w:rPr>
        <w:t xml:space="preserve">102, 488 individuals were screened, of whom 435 entered the 4-week run-in period and subsequently 37 discontinued the run-in period and were excluded from analysis. Hence, 398 participants were randomly assigned to either </w:t>
      </w:r>
      <w:proofErr w:type="spellStart"/>
      <w:r w:rsidRPr="00212187">
        <w:rPr>
          <w:lang w:eastAsia="ja-JP"/>
        </w:rPr>
        <w:t>elexacaftor</w:t>
      </w:r>
      <w:proofErr w:type="spellEnd"/>
      <w:r w:rsidRPr="00212187">
        <w:rPr>
          <w:lang w:eastAsia="ja-JP"/>
        </w:rPr>
        <w:t xml:space="preserve">–tezacaftor–ivacaftor (n=202) or </w:t>
      </w:r>
      <w:proofErr w:type="spellStart"/>
      <w:r w:rsidRPr="00212187">
        <w:rPr>
          <w:lang w:eastAsia="ja-JP"/>
        </w:rPr>
        <w:t>vanzacaftor</w:t>
      </w:r>
      <w:proofErr w:type="spellEnd"/>
      <w:r w:rsidRPr="00212187">
        <w:rPr>
          <w:lang w:eastAsia="ja-JP"/>
        </w:rPr>
        <w:t xml:space="preserve">–tezacaftor–deutivacaftor (n=196), received at least one dose of study drug, and had the intended </w:t>
      </w:r>
      <w:r w:rsidRPr="00212187">
        <w:rPr>
          <w:i/>
          <w:iCs/>
          <w:lang w:eastAsia="ja-JP"/>
        </w:rPr>
        <w:t>CTFR</w:t>
      </w:r>
      <w:r w:rsidRPr="00212187">
        <w:rPr>
          <w:color w:val="000000"/>
        </w:rPr>
        <w:t xml:space="preserve"> genotype (full analysis set). </w:t>
      </w:r>
      <w:r>
        <w:rPr>
          <w:color w:val="000000"/>
        </w:rPr>
        <w:t>Of these 92% in both groups completed treatment.</w:t>
      </w:r>
    </w:p>
    <w:p w14:paraId="058495BE" w14:textId="77777777" w:rsidR="003F1D4F" w:rsidRPr="005C575A" w:rsidRDefault="003F1D4F" w:rsidP="007272F1">
      <w:pPr>
        <w:rPr>
          <w:color w:val="000000"/>
        </w:rPr>
      </w:pPr>
      <w:r w:rsidRPr="00212187">
        <w:rPr>
          <w:color w:val="000000"/>
        </w:rPr>
        <w:t>In study</w:t>
      </w:r>
      <w:r>
        <w:rPr>
          <w:color w:val="000000"/>
        </w:rPr>
        <w:t xml:space="preserve"> </w:t>
      </w:r>
      <w:r w:rsidRPr="00212187">
        <w:rPr>
          <w:lang w:eastAsia="ja-JP"/>
        </w:rPr>
        <w:t xml:space="preserve">103, 699 individuals were screened, of whom 597 entered the 4-week run-in period, and subsequently 24 discontinued the run-in period and were excluded from analysis. Hence, 573 participants were randomly assigned to either </w:t>
      </w:r>
      <w:proofErr w:type="spellStart"/>
      <w:r w:rsidRPr="00212187">
        <w:rPr>
          <w:lang w:eastAsia="ja-JP"/>
        </w:rPr>
        <w:t>elexacaftor</w:t>
      </w:r>
      <w:proofErr w:type="spellEnd"/>
      <w:r w:rsidRPr="00212187">
        <w:rPr>
          <w:lang w:eastAsia="ja-JP"/>
        </w:rPr>
        <w:t xml:space="preserve">–tezacaftor–ivacaftor (n=289) or </w:t>
      </w:r>
      <w:proofErr w:type="spellStart"/>
      <w:r w:rsidRPr="00212187">
        <w:rPr>
          <w:lang w:eastAsia="ja-JP"/>
        </w:rPr>
        <w:t>vanzacaftor</w:t>
      </w:r>
      <w:proofErr w:type="spellEnd"/>
      <w:r w:rsidRPr="00212187">
        <w:rPr>
          <w:lang w:eastAsia="ja-JP"/>
        </w:rPr>
        <w:t xml:space="preserve">–tezacaftor–deutivacaftor (n=284), received at least one dose of study drug, and had </w:t>
      </w:r>
      <w:r w:rsidRPr="00212187">
        <w:rPr>
          <w:lang w:eastAsia="ja-JP"/>
        </w:rPr>
        <w:lastRenderedPageBreak/>
        <w:t xml:space="preserve">the intended </w:t>
      </w:r>
      <w:r w:rsidRPr="00212187">
        <w:rPr>
          <w:i/>
          <w:iCs/>
          <w:lang w:eastAsia="ja-JP"/>
        </w:rPr>
        <w:t xml:space="preserve">CTFR </w:t>
      </w:r>
      <w:r w:rsidRPr="00212187">
        <w:rPr>
          <w:lang w:eastAsia="ja-JP"/>
        </w:rPr>
        <w:t>genotypes (full analysis set).</w:t>
      </w:r>
      <w:r>
        <w:rPr>
          <w:lang w:eastAsia="ja-JP"/>
        </w:rPr>
        <w:t xml:space="preserve"> Of these 94.5% in the ELX/TEZ/IVA group and 91.2% in the VNZ/TEZ/D-IVA group completed treatment.</w:t>
      </w:r>
    </w:p>
    <w:p w14:paraId="4A7148A1" w14:textId="3C498012" w:rsidR="003F1D4F" w:rsidRPr="009C4B21" w:rsidRDefault="003F1D4F" w:rsidP="007272F1">
      <w:pPr>
        <w:rPr>
          <w:b/>
          <w:bCs/>
        </w:rPr>
      </w:pPr>
      <w:r w:rsidRPr="009C4B21">
        <w:rPr>
          <w:b/>
          <w:bCs/>
        </w:rPr>
        <w:t>Subject Demographics and Baseline Characteristics, Studies 102 and 103</w:t>
      </w:r>
    </w:p>
    <w:p w14:paraId="76FC2193" w14:textId="67088993" w:rsidR="003F1D4F" w:rsidRPr="00AC5D9C" w:rsidRDefault="00AD082C" w:rsidP="007272F1">
      <w:pPr>
        <w:rPr>
          <w:lang w:eastAsia="ja-JP"/>
        </w:rPr>
      </w:pPr>
      <w:r>
        <w:rPr>
          <w:color w:val="000000"/>
        </w:rPr>
        <w:t xml:space="preserve">Baseline demographic and </w:t>
      </w:r>
      <w:r w:rsidR="00CF4B55">
        <w:rPr>
          <w:color w:val="000000"/>
        </w:rPr>
        <w:t xml:space="preserve">baseline </w:t>
      </w:r>
      <w:r>
        <w:rPr>
          <w:color w:val="000000"/>
        </w:rPr>
        <w:t xml:space="preserve">characteristics </w:t>
      </w:r>
      <w:r w:rsidR="00FB6599">
        <w:rPr>
          <w:color w:val="000000"/>
        </w:rPr>
        <w:t>for Studies 102 and 103</w:t>
      </w:r>
      <w:r w:rsidR="00CE6B47">
        <w:rPr>
          <w:color w:val="000000"/>
        </w:rPr>
        <w:t xml:space="preserve"> </w:t>
      </w:r>
      <w:r w:rsidR="00A126F0">
        <w:rPr>
          <w:color w:val="000000"/>
        </w:rPr>
        <w:t xml:space="preserve">are outlined in Table 8. </w:t>
      </w:r>
      <w:r w:rsidR="00FB6599">
        <w:rPr>
          <w:lang w:eastAsia="ja-JP"/>
        </w:rPr>
        <w:t>In both studies</w:t>
      </w:r>
      <w:r w:rsidR="00CE6B47">
        <w:rPr>
          <w:lang w:eastAsia="ja-JP"/>
        </w:rPr>
        <w:t>, there</w:t>
      </w:r>
      <w:r w:rsidR="003F1D4F" w:rsidRPr="00395253">
        <w:rPr>
          <w:lang w:eastAsia="ja-JP"/>
        </w:rPr>
        <w:t xml:space="preserve"> was</w:t>
      </w:r>
      <w:r w:rsidR="00FB6599">
        <w:rPr>
          <w:lang w:eastAsia="ja-JP"/>
        </w:rPr>
        <w:t xml:space="preserve"> less than</w:t>
      </w:r>
      <w:r w:rsidR="003F1D4F" w:rsidRPr="00395253">
        <w:rPr>
          <w:lang w:eastAsia="ja-JP"/>
        </w:rPr>
        <w:t xml:space="preserve"> 15% </w:t>
      </w:r>
      <w:r w:rsidR="00E20BD6">
        <w:rPr>
          <w:lang w:eastAsia="ja-JP"/>
        </w:rPr>
        <w:t xml:space="preserve">of </w:t>
      </w:r>
      <w:r w:rsidR="00774582">
        <w:rPr>
          <w:lang w:eastAsia="ja-JP"/>
        </w:rPr>
        <w:t>subjects</w:t>
      </w:r>
      <w:r w:rsidR="00E20BD6">
        <w:rPr>
          <w:lang w:eastAsia="ja-JP"/>
        </w:rPr>
        <w:t xml:space="preserve"> </w:t>
      </w:r>
      <w:r w:rsidR="003F1D4F" w:rsidRPr="00395253">
        <w:rPr>
          <w:lang w:eastAsia="ja-JP"/>
        </w:rPr>
        <w:t>aged</w:t>
      </w:r>
      <w:r w:rsidR="009A1669">
        <w:rPr>
          <w:color w:val="000000" w:themeColor="text1"/>
        </w:rPr>
        <w:t xml:space="preserve"> </w:t>
      </w:r>
      <w:r w:rsidR="003F1D4F" w:rsidRPr="00395253">
        <w:rPr>
          <w:color w:val="000000" w:themeColor="text1"/>
        </w:rPr>
        <w:t>12</w:t>
      </w:r>
      <w:r w:rsidR="00CE6B47">
        <w:rPr>
          <w:color w:val="000000" w:themeColor="text1"/>
        </w:rPr>
        <w:t xml:space="preserve"> year</w:t>
      </w:r>
      <w:r w:rsidR="00E20BD6">
        <w:rPr>
          <w:color w:val="000000" w:themeColor="text1"/>
        </w:rPr>
        <w:t>s</w:t>
      </w:r>
      <w:r w:rsidR="009A1669">
        <w:rPr>
          <w:color w:val="000000" w:themeColor="text1"/>
        </w:rPr>
        <w:t xml:space="preserve">, </w:t>
      </w:r>
      <w:r w:rsidR="00E20BD6">
        <w:rPr>
          <w:color w:val="000000" w:themeColor="text1"/>
        </w:rPr>
        <w:t xml:space="preserve">and </w:t>
      </w:r>
      <w:r w:rsidR="009A1669">
        <w:rPr>
          <w:color w:val="000000" w:themeColor="text1"/>
        </w:rPr>
        <w:t xml:space="preserve">up to </w:t>
      </w:r>
      <w:r w:rsidR="003F1D4F" w:rsidRPr="00395253">
        <w:rPr>
          <w:color w:val="000000" w:themeColor="text1"/>
        </w:rPr>
        <w:t xml:space="preserve">18 years of age at screening and only 2 subjects aged </w:t>
      </w:r>
      <w:r w:rsidR="00180DB8">
        <w:rPr>
          <w:color w:val="000000" w:themeColor="text1"/>
        </w:rPr>
        <w:t>over</w:t>
      </w:r>
      <w:r w:rsidR="003F1D4F" w:rsidRPr="00395253">
        <w:rPr>
          <w:color w:val="000000" w:themeColor="text1"/>
        </w:rPr>
        <w:t xml:space="preserve"> 65 years </w:t>
      </w:r>
      <w:r w:rsidR="00AC5D9C" w:rsidRPr="00AC5D9C">
        <w:rPr>
          <w:lang w:eastAsia="ja-JP"/>
        </w:rPr>
        <w:t xml:space="preserve">(Table </w:t>
      </w:r>
      <w:r w:rsidR="00646C58">
        <w:rPr>
          <w:lang w:eastAsia="ja-JP"/>
        </w:rPr>
        <w:t>8</w:t>
      </w:r>
      <w:r w:rsidR="00AC5D9C" w:rsidRPr="00AC5D9C">
        <w:rPr>
          <w:lang w:eastAsia="ja-JP"/>
        </w:rPr>
        <w:t>)</w:t>
      </w:r>
      <w:r w:rsidR="00915283">
        <w:rPr>
          <w:lang w:eastAsia="ja-JP"/>
        </w:rPr>
        <w:t>.</w:t>
      </w:r>
    </w:p>
    <w:p w14:paraId="41A1037B" w14:textId="445FCFCD" w:rsidR="003F1D4F" w:rsidRPr="00B229D6" w:rsidRDefault="003F1D4F" w:rsidP="007272F1">
      <w:pPr>
        <w:rPr>
          <w:color w:val="000000"/>
        </w:rPr>
      </w:pPr>
      <w:r w:rsidRPr="00B229D6">
        <w:rPr>
          <w:lang w:eastAsia="ja-JP"/>
        </w:rPr>
        <w:t xml:space="preserve">The median FEV1% predicted was similar across groups and the two studies, at approximately 67%. Almost half of all subjects </w:t>
      </w:r>
      <w:r w:rsidRPr="00B229D6">
        <w:rPr>
          <w:color w:val="000000" w:themeColor="text1"/>
        </w:rPr>
        <w:t xml:space="preserve">had ppFEV1 ≥70%.  </w:t>
      </w:r>
      <w:r w:rsidRPr="00B229D6">
        <w:rPr>
          <w:lang w:eastAsia="ja-JP"/>
        </w:rPr>
        <w:t xml:space="preserve">Median sweat </w:t>
      </w:r>
      <w:r w:rsidRPr="00B229D6">
        <w:rPr>
          <w:color w:val="000000"/>
        </w:rPr>
        <w:t>chloride concentrations were reduced in both studies, with lower concentrations in study 103 (~ 10 mmol/L) compared to study 102, (42.8 mmol/L vs 53.9 mmol/L) and about a quarter of subjects in study 103 having sweat chloride concentration &lt; 30 mmol/L compared to 9% in study 102. The BMI was 22-23 kg/m</w:t>
      </w:r>
      <w:r w:rsidRPr="00B229D6">
        <w:rPr>
          <w:color w:val="000000"/>
          <w:vertAlign w:val="superscript"/>
        </w:rPr>
        <w:t>2</w:t>
      </w:r>
      <w:r w:rsidR="007556CD">
        <w:rPr>
          <w:color w:val="000000"/>
          <w:vertAlign w:val="superscript"/>
        </w:rPr>
        <w:t xml:space="preserve"> </w:t>
      </w:r>
      <w:r w:rsidRPr="00B229D6">
        <w:rPr>
          <w:color w:val="000000"/>
        </w:rPr>
        <w:t>across the groups</w:t>
      </w:r>
      <w:r w:rsidR="00B56255">
        <w:rPr>
          <w:color w:val="000000"/>
        </w:rPr>
        <w:t xml:space="preserve"> </w:t>
      </w:r>
      <w:r w:rsidR="00AC5D9C" w:rsidRPr="00AC5D9C">
        <w:rPr>
          <w:color w:val="000000"/>
        </w:rPr>
        <w:t xml:space="preserve">(Table </w:t>
      </w:r>
      <w:r w:rsidR="00646C58">
        <w:rPr>
          <w:color w:val="000000"/>
        </w:rPr>
        <w:t>8</w:t>
      </w:r>
      <w:r w:rsidR="00AC5D9C" w:rsidRPr="00AC5D9C">
        <w:rPr>
          <w:color w:val="000000"/>
        </w:rPr>
        <w:t>)</w:t>
      </w:r>
      <w:r w:rsidRPr="00B229D6">
        <w:rPr>
          <w:color w:val="000000"/>
        </w:rPr>
        <w:t xml:space="preserve">. All (study 102) or most (study 103) had a least one </w:t>
      </w:r>
      <w:r w:rsidRPr="00B229D6">
        <w:rPr>
          <w:color w:val="000000" w:themeColor="text1"/>
        </w:rPr>
        <w:t xml:space="preserve">F508del mutation. </w:t>
      </w:r>
      <w:r w:rsidRPr="00B229D6">
        <w:t>Only 42 subjects (7.3%) had a TCR/non-F genotype.</w:t>
      </w:r>
      <w:r>
        <w:t xml:space="preserve"> </w:t>
      </w:r>
      <w:r w:rsidRPr="00B229D6">
        <w:rPr>
          <w:color w:val="000000"/>
        </w:rPr>
        <w:t xml:space="preserve">Across both trials, most subjects had received prior CFTR treatment with 734 (76%) of 971 participants having previously received commercial </w:t>
      </w:r>
      <w:proofErr w:type="spellStart"/>
      <w:r w:rsidRPr="00B229D6">
        <w:rPr>
          <w:color w:val="000000"/>
        </w:rPr>
        <w:t>elexacaftor</w:t>
      </w:r>
      <w:proofErr w:type="spellEnd"/>
      <w:r w:rsidRPr="00B229D6">
        <w:rPr>
          <w:color w:val="000000"/>
        </w:rPr>
        <w:t xml:space="preserve">–tezacaftor– ivacaftor, with lower frequency in study 103 </w:t>
      </w:r>
      <w:r>
        <w:rPr>
          <w:color w:val="000000"/>
        </w:rPr>
        <w:t xml:space="preserve">(67.8%) </w:t>
      </w:r>
      <w:r w:rsidRPr="00B229D6">
        <w:rPr>
          <w:color w:val="000000"/>
        </w:rPr>
        <w:t>compared to study 102</w:t>
      </w:r>
      <w:r>
        <w:rPr>
          <w:color w:val="000000"/>
        </w:rPr>
        <w:t xml:space="preserve"> (86.7%)</w:t>
      </w:r>
      <w:r w:rsidRPr="00B229D6">
        <w:rPr>
          <w:color w:val="000000"/>
        </w:rPr>
        <w:t xml:space="preserve">. </w:t>
      </w:r>
    </w:p>
    <w:p w14:paraId="590F61EB" w14:textId="77777777" w:rsidR="003F1D4F" w:rsidRPr="00BF2749" w:rsidRDefault="003F1D4F" w:rsidP="007272F1">
      <w:pPr>
        <w:rPr>
          <w:lang w:val="en-NZ" w:eastAsia="ja-JP"/>
        </w:rPr>
      </w:pPr>
      <w:r w:rsidRPr="008A5765">
        <w:rPr>
          <w:lang w:eastAsia="ja-JP"/>
        </w:rPr>
        <w:t>Treatment groups in both trials were well matched at baseline</w:t>
      </w:r>
      <w:r>
        <w:rPr>
          <w:lang w:eastAsia="ja-JP"/>
        </w:rPr>
        <w:t xml:space="preserve">. </w:t>
      </w:r>
      <w:r w:rsidRPr="008A5765">
        <w:rPr>
          <w:lang w:eastAsia="ja-JP"/>
        </w:rPr>
        <w:t>After trial completion, 336 (84%) participants from Trial VX20-121-102 and 486 (85%) participants in Trial VX20-121-103 enrolled in an open-label study evaluating long-term treatment with vanzacaftor–tezacaftor–deutivacaftor.</w:t>
      </w:r>
    </w:p>
    <w:p w14:paraId="27EFBE3E" w14:textId="4C778D50" w:rsidR="0097540F" w:rsidRDefault="0097540F" w:rsidP="0099423C">
      <w:pPr>
        <w:pStyle w:val="TableTitle"/>
      </w:pPr>
      <w:r w:rsidRPr="00854F43">
        <w:t xml:space="preserve">Table </w:t>
      </w:r>
      <w:r w:rsidR="00646C58">
        <w:t>8</w:t>
      </w:r>
      <w:r w:rsidR="003779D0">
        <w:t>.</w:t>
      </w:r>
      <w:r w:rsidRPr="00854F43">
        <w:t xml:space="preserve"> Baseline demographic and clinical characteristics, full analysis set</w:t>
      </w:r>
      <w:r w:rsidR="003779D0">
        <w:t>.</w:t>
      </w:r>
      <w:r>
        <w:t xml:space="preserve"> </w:t>
      </w:r>
    </w:p>
    <w:tbl>
      <w:tblPr>
        <w:tblStyle w:val="TableGridLight"/>
        <w:tblW w:w="9060" w:type="dxa"/>
        <w:tblLook w:val="04A0" w:firstRow="1" w:lastRow="0" w:firstColumn="1" w:lastColumn="0" w:noHBand="0" w:noVBand="1"/>
      </w:tblPr>
      <w:tblGrid>
        <w:gridCol w:w="2728"/>
        <w:gridCol w:w="1567"/>
        <w:gridCol w:w="1599"/>
        <w:gridCol w:w="1567"/>
        <w:gridCol w:w="53"/>
        <w:gridCol w:w="1546"/>
      </w:tblGrid>
      <w:tr w:rsidR="0062154B" w:rsidRPr="00E20B6B" w14:paraId="1A537F0E" w14:textId="77777777" w:rsidTr="00D93C1D">
        <w:trPr>
          <w:trHeight w:val="170"/>
          <w:tblHeader/>
        </w:trPr>
        <w:tc>
          <w:tcPr>
            <w:tcW w:w="2970" w:type="dxa"/>
            <w:vMerge w:val="restart"/>
            <w:hideMark/>
          </w:tcPr>
          <w:p w14:paraId="6989D880" w14:textId="6A5A5719" w:rsidR="0062154B" w:rsidRPr="00E20B6B" w:rsidRDefault="0062154B" w:rsidP="00D93C1D">
            <w:pPr>
              <w:rPr>
                <w:lang w:val="en-US" w:eastAsia="nl-NL"/>
              </w:rPr>
            </w:pPr>
            <w:r w:rsidRPr="00E20B6B">
              <w:rPr>
                <w:lang w:val="en-US" w:eastAsia="nl-NL"/>
              </w:rPr>
              <w:t> </w:t>
            </w:r>
          </w:p>
          <w:p w14:paraId="684389DA" w14:textId="77777777" w:rsidR="0062154B" w:rsidRPr="00E20B6B" w:rsidRDefault="0062154B" w:rsidP="00D93C1D">
            <w:pPr>
              <w:rPr>
                <w:lang w:val="nl-NL" w:eastAsia="nl-NL"/>
              </w:rPr>
            </w:pPr>
            <w:r w:rsidRPr="00E20B6B">
              <w:rPr>
                <w:lang w:eastAsia="nl-NL"/>
              </w:rPr>
              <w:t>Characteristic</w:t>
            </w:r>
            <w:r w:rsidRPr="00E20B6B">
              <w:rPr>
                <w:lang w:val="nl-NL" w:eastAsia="nl-NL"/>
              </w:rPr>
              <w:t> </w:t>
            </w:r>
          </w:p>
        </w:tc>
        <w:tc>
          <w:tcPr>
            <w:tcW w:w="3045" w:type="dxa"/>
            <w:gridSpan w:val="2"/>
            <w:hideMark/>
          </w:tcPr>
          <w:p w14:paraId="020C6ADB" w14:textId="77777777" w:rsidR="0062154B" w:rsidRPr="00D93C1D" w:rsidRDefault="0062154B" w:rsidP="00D93C1D">
            <w:pPr>
              <w:rPr>
                <w:b/>
                <w:bCs/>
                <w:lang w:val="nl-NL" w:eastAsia="nl-NL"/>
              </w:rPr>
            </w:pPr>
            <w:r w:rsidRPr="00D93C1D">
              <w:rPr>
                <w:b/>
                <w:bCs/>
                <w:lang w:eastAsia="nl-NL"/>
              </w:rPr>
              <w:t>Study 102</w:t>
            </w:r>
            <w:r w:rsidRPr="00D93C1D">
              <w:rPr>
                <w:b/>
                <w:bCs/>
                <w:lang w:val="nl-NL" w:eastAsia="nl-NL"/>
              </w:rPr>
              <w:t> </w:t>
            </w:r>
          </w:p>
        </w:tc>
        <w:tc>
          <w:tcPr>
            <w:tcW w:w="3045" w:type="dxa"/>
            <w:gridSpan w:val="3"/>
            <w:hideMark/>
          </w:tcPr>
          <w:p w14:paraId="316C144C" w14:textId="77777777" w:rsidR="0062154B" w:rsidRPr="00D93C1D" w:rsidRDefault="0062154B" w:rsidP="00D93C1D">
            <w:pPr>
              <w:rPr>
                <w:b/>
                <w:bCs/>
                <w:lang w:val="nl-NL" w:eastAsia="nl-NL"/>
              </w:rPr>
            </w:pPr>
            <w:r w:rsidRPr="00D93C1D">
              <w:rPr>
                <w:b/>
                <w:bCs/>
                <w:lang w:eastAsia="nl-NL"/>
              </w:rPr>
              <w:t>Study 103</w:t>
            </w:r>
            <w:r w:rsidRPr="00D93C1D">
              <w:rPr>
                <w:b/>
                <w:bCs/>
                <w:lang w:val="nl-NL" w:eastAsia="nl-NL"/>
              </w:rPr>
              <w:t> </w:t>
            </w:r>
          </w:p>
        </w:tc>
      </w:tr>
      <w:tr w:rsidR="0062154B" w:rsidRPr="00E20B6B" w14:paraId="371163BD" w14:textId="77777777" w:rsidTr="00D93C1D">
        <w:trPr>
          <w:trHeight w:val="300"/>
          <w:tblHeader/>
        </w:trPr>
        <w:tc>
          <w:tcPr>
            <w:tcW w:w="0" w:type="auto"/>
            <w:vMerge/>
            <w:hideMark/>
          </w:tcPr>
          <w:p w14:paraId="103E0598" w14:textId="77777777" w:rsidR="0062154B" w:rsidRPr="00E20B6B" w:rsidRDefault="0062154B" w:rsidP="00D93C1D">
            <w:pPr>
              <w:rPr>
                <w:lang w:val="nl-NL" w:eastAsia="nl-NL"/>
              </w:rPr>
            </w:pPr>
          </w:p>
        </w:tc>
        <w:tc>
          <w:tcPr>
            <w:tcW w:w="1410" w:type="dxa"/>
            <w:hideMark/>
          </w:tcPr>
          <w:p w14:paraId="366952F7" w14:textId="77777777" w:rsidR="0062154B" w:rsidRPr="00E20B6B" w:rsidRDefault="0062154B" w:rsidP="00D93C1D">
            <w:pPr>
              <w:rPr>
                <w:lang w:val="nl-NL" w:eastAsia="nl-NL"/>
              </w:rPr>
            </w:pPr>
            <w:r w:rsidRPr="00E20B6B">
              <w:rPr>
                <w:lang w:eastAsia="nl-NL"/>
              </w:rPr>
              <w:t>ELX/TEZ/IVA</w:t>
            </w:r>
            <w:r w:rsidRPr="00E20B6B">
              <w:rPr>
                <w:lang w:val="nl-NL" w:eastAsia="nl-NL"/>
              </w:rPr>
              <w:t> </w:t>
            </w:r>
          </w:p>
          <w:p w14:paraId="01A090CC" w14:textId="77777777" w:rsidR="0062154B" w:rsidRPr="00E20B6B" w:rsidRDefault="0062154B" w:rsidP="00D93C1D">
            <w:pPr>
              <w:rPr>
                <w:lang w:val="nl-NL" w:eastAsia="nl-NL"/>
              </w:rPr>
            </w:pPr>
            <w:r w:rsidRPr="00E20B6B">
              <w:rPr>
                <w:lang w:eastAsia="nl-NL"/>
              </w:rPr>
              <w:t>N = 202</w:t>
            </w:r>
            <w:r w:rsidRPr="00E20B6B">
              <w:rPr>
                <w:lang w:val="nl-NL" w:eastAsia="nl-NL"/>
              </w:rPr>
              <w:t> </w:t>
            </w:r>
          </w:p>
        </w:tc>
        <w:tc>
          <w:tcPr>
            <w:tcW w:w="1635" w:type="dxa"/>
            <w:hideMark/>
          </w:tcPr>
          <w:p w14:paraId="07DF8508" w14:textId="77777777" w:rsidR="0062154B" w:rsidRPr="00E20B6B" w:rsidRDefault="0062154B" w:rsidP="00D93C1D">
            <w:pPr>
              <w:rPr>
                <w:lang w:val="pt-PT" w:eastAsia="nl-NL"/>
              </w:rPr>
            </w:pPr>
            <w:r w:rsidRPr="00E20B6B">
              <w:rPr>
                <w:lang w:val="pt-PT" w:eastAsia="nl-NL"/>
              </w:rPr>
              <w:t>VNZ/TEZ/D-IVA </w:t>
            </w:r>
          </w:p>
          <w:p w14:paraId="24FF29C0" w14:textId="77777777" w:rsidR="0062154B" w:rsidRPr="00E20B6B" w:rsidRDefault="0062154B" w:rsidP="00D93C1D">
            <w:pPr>
              <w:rPr>
                <w:lang w:val="pt-PT" w:eastAsia="nl-NL"/>
              </w:rPr>
            </w:pPr>
            <w:r w:rsidRPr="00E20B6B">
              <w:rPr>
                <w:lang w:val="pt-PT" w:eastAsia="nl-NL"/>
              </w:rPr>
              <w:t>N = 196 </w:t>
            </w:r>
          </w:p>
        </w:tc>
        <w:tc>
          <w:tcPr>
            <w:tcW w:w="1410" w:type="dxa"/>
            <w:hideMark/>
          </w:tcPr>
          <w:p w14:paraId="6BF15F4F" w14:textId="77777777" w:rsidR="0062154B" w:rsidRPr="00E20B6B" w:rsidRDefault="0062154B" w:rsidP="00D93C1D">
            <w:pPr>
              <w:rPr>
                <w:lang w:val="nl-NL" w:eastAsia="nl-NL"/>
              </w:rPr>
            </w:pPr>
            <w:r w:rsidRPr="00E20B6B">
              <w:rPr>
                <w:lang w:eastAsia="nl-NL"/>
              </w:rPr>
              <w:t>ELX/TEZ/IVA</w:t>
            </w:r>
            <w:r w:rsidRPr="00E20B6B">
              <w:rPr>
                <w:lang w:val="nl-NL" w:eastAsia="nl-NL"/>
              </w:rPr>
              <w:t> </w:t>
            </w:r>
          </w:p>
          <w:p w14:paraId="25E256DE" w14:textId="77777777" w:rsidR="0062154B" w:rsidRPr="00E20B6B" w:rsidRDefault="0062154B" w:rsidP="00D93C1D">
            <w:pPr>
              <w:rPr>
                <w:lang w:val="nl-NL" w:eastAsia="nl-NL"/>
              </w:rPr>
            </w:pPr>
            <w:r w:rsidRPr="00E20B6B">
              <w:rPr>
                <w:lang w:eastAsia="nl-NL"/>
              </w:rPr>
              <w:t>N = 289</w:t>
            </w:r>
            <w:r w:rsidRPr="00E20B6B">
              <w:rPr>
                <w:lang w:val="nl-NL" w:eastAsia="nl-NL"/>
              </w:rPr>
              <w:t> </w:t>
            </w:r>
          </w:p>
        </w:tc>
        <w:tc>
          <w:tcPr>
            <w:tcW w:w="1635" w:type="dxa"/>
            <w:gridSpan w:val="2"/>
            <w:hideMark/>
          </w:tcPr>
          <w:p w14:paraId="772B59F0" w14:textId="77777777" w:rsidR="0062154B" w:rsidRPr="00E20B6B" w:rsidRDefault="0062154B" w:rsidP="00D93C1D">
            <w:pPr>
              <w:rPr>
                <w:lang w:val="pt-PT" w:eastAsia="nl-NL"/>
              </w:rPr>
            </w:pPr>
            <w:r w:rsidRPr="00E20B6B">
              <w:rPr>
                <w:lang w:val="pt-PT" w:eastAsia="nl-NL"/>
              </w:rPr>
              <w:t>VNZ/TEZ/D-IVA </w:t>
            </w:r>
          </w:p>
          <w:p w14:paraId="55263D7A" w14:textId="77777777" w:rsidR="0062154B" w:rsidRPr="00E20B6B" w:rsidRDefault="0062154B" w:rsidP="00D93C1D">
            <w:pPr>
              <w:rPr>
                <w:lang w:val="pt-PT" w:eastAsia="nl-NL"/>
              </w:rPr>
            </w:pPr>
            <w:r w:rsidRPr="00E20B6B">
              <w:rPr>
                <w:lang w:val="pt-PT" w:eastAsia="nl-NL"/>
              </w:rPr>
              <w:t>N = 284 </w:t>
            </w:r>
          </w:p>
        </w:tc>
      </w:tr>
      <w:tr w:rsidR="0062154B" w:rsidRPr="00E20B6B" w14:paraId="5C5382ED" w14:textId="77777777" w:rsidTr="00D93C1D">
        <w:trPr>
          <w:trHeight w:val="766"/>
        </w:trPr>
        <w:tc>
          <w:tcPr>
            <w:tcW w:w="2970" w:type="dxa"/>
            <w:hideMark/>
          </w:tcPr>
          <w:p w14:paraId="312C0B26" w14:textId="77777777" w:rsidR="0062154B" w:rsidRPr="00E20B6B" w:rsidRDefault="0062154B" w:rsidP="00D93C1D">
            <w:pPr>
              <w:rPr>
                <w:lang w:val="en-US" w:eastAsia="nl-NL"/>
              </w:rPr>
            </w:pPr>
            <w:r w:rsidRPr="00E20B6B">
              <w:rPr>
                <w:lang w:eastAsia="nl-NL"/>
              </w:rPr>
              <w:t>Age at Day 1 (years)</w:t>
            </w:r>
            <w:r w:rsidRPr="00E20B6B">
              <w:rPr>
                <w:lang w:val="en-US" w:eastAsia="nl-NL"/>
              </w:rPr>
              <w:t> </w:t>
            </w:r>
          </w:p>
          <w:p w14:paraId="01B48135" w14:textId="77777777" w:rsidR="0062154B" w:rsidRPr="00E20B6B" w:rsidRDefault="0062154B" w:rsidP="00D93C1D">
            <w:pPr>
              <w:rPr>
                <w:lang w:val="en-US" w:eastAsia="nl-NL"/>
              </w:rPr>
            </w:pPr>
            <w:r w:rsidRPr="00E20B6B">
              <w:rPr>
                <w:lang w:eastAsia="nl-NL"/>
              </w:rPr>
              <w:t>n</w:t>
            </w:r>
            <w:r w:rsidRPr="00E20B6B">
              <w:rPr>
                <w:lang w:val="en-US" w:eastAsia="nl-NL"/>
              </w:rPr>
              <w:t> </w:t>
            </w:r>
          </w:p>
          <w:p w14:paraId="4D747644" w14:textId="2E5B28BC" w:rsidR="0062154B" w:rsidRPr="00E20B6B" w:rsidRDefault="0062154B" w:rsidP="00D93C1D">
            <w:pPr>
              <w:rPr>
                <w:lang w:val="nl-NL" w:eastAsia="nl-NL"/>
              </w:rPr>
            </w:pPr>
            <w:r w:rsidRPr="00E20B6B">
              <w:rPr>
                <w:lang w:eastAsia="nl-NL"/>
              </w:rPr>
              <w:t>Mean (SD)</w:t>
            </w:r>
            <w:r w:rsidRPr="00E20B6B">
              <w:rPr>
                <w:lang w:val="en-US" w:eastAsia="nl-NL"/>
              </w:rPr>
              <w:t> </w:t>
            </w:r>
          </w:p>
        </w:tc>
        <w:tc>
          <w:tcPr>
            <w:tcW w:w="1410" w:type="dxa"/>
            <w:hideMark/>
          </w:tcPr>
          <w:p w14:paraId="07E9FE33" w14:textId="77777777" w:rsidR="0062154B" w:rsidRPr="00E20B6B" w:rsidRDefault="0062154B" w:rsidP="00D93C1D">
            <w:pPr>
              <w:rPr>
                <w:lang w:val="nl-NL" w:eastAsia="nl-NL"/>
              </w:rPr>
            </w:pPr>
            <w:r w:rsidRPr="00E20B6B">
              <w:rPr>
                <w:lang w:val="nl-NL" w:eastAsia="nl-NL"/>
              </w:rPr>
              <w:t> </w:t>
            </w:r>
          </w:p>
          <w:p w14:paraId="36C9A8CB" w14:textId="77777777" w:rsidR="0062154B" w:rsidRPr="00E20B6B" w:rsidRDefault="0062154B" w:rsidP="00D93C1D">
            <w:pPr>
              <w:rPr>
                <w:lang w:val="nl-NL" w:eastAsia="nl-NL"/>
              </w:rPr>
            </w:pPr>
            <w:r w:rsidRPr="00E20B6B">
              <w:rPr>
                <w:lang w:eastAsia="nl-NL"/>
              </w:rPr>
              <w:t>202</w:t>
            </w:r>
            <w:r w:rsidRPr="00E20B6B">
              <w:rPr>
                <w:lang w:val="nl-NL" w:eastAsia="nl-NL"/>
              </w:rPr>
              <w:t> </w:t>
            </w:r>
          </w:p>
          <w:p w14:paraId="0D4E36E5" w14:textId="789F85A6" w:rsidR="0062154B" w:rsidRPr="00E20B6B" w:rsidRDefault="0062154B" w:rsidP="00D93C1D">
            <w:pPr>
              <w:rPr>
                <w:lang w:val="nl-NL" w:eastAsia="nl-NL"/>
              </w:rPr>
            </w:pPr>
            <w:r w:rsidRPr="001C6620">
              <w:rPr>
                <w:lang w:eastAsia="nl-NL"/>
              </w:rPr>
              <w:t>30.9 (11.4)</w:t>
            </w:r>
            <w:r w:rsidRPr="001C6620">
              <w:rPr>
                <w:lang w:val="nl-NL" w:eastAsia="nl-NL"/>
              </w:rPr>
              <w:t> </w:t>
            </w:r>
          </w:p>
        </w:tc>
        <w:tc>
          <w:tcPr>
            <w:tcW w:w="1635" w:type="dxa"/>
            <w:hideMark/>
          </w:tcPr>
          <w:p w14:paraId="0C9CB986" w14:textId="77777777" w:rsidR="0062154B" w:rsidRPr="00E20B6B" w:rsidRDefault="0062154B" w:rsidP="00D93C1D">
            <w:pPr>
              <w:rPr>
                <w:lang w:val="nl-NL" w:eastAsia="nl-NL"/>
              </w:rPr>
            </w:pPr>
            <w:r w:rsidRPr="00E20B6B">
              <w:rPr>
                <w:lang w:val="nl-NL" w:eastAsia="nl-NL"/>
              </w:rPr>
              <w:t> </w:t>
            </w:r>
          </w:p>
          <w:p w14:paraId="73860459" w14:textId="77777777" w:rsidR="0062154B" w:rsidRPr="00E20B6B" w:rsidRDefault="0062154B" w:rsidP="00D93C1D">
            <w:pPr>
              <w:rPr>
                <w:lang w:val="nl-NL" w:eastAsia="nl-NL"/>
              </w:rPr>
            </w:pPr>
            <w:r w:rsidRPr="00E20B6B">
              <w:rPr>
                <w:lang w:eastAsia="nl-NL"/>
              </w:rPr>
              <w:t>196</w:t>
            </w:r>
            <w:r w:rsidRPr="00E20B6B">
              <w:rPr>
                <w:lang w:val="nl-NL" w:eastAsia="nl-NL"/>
              </w:rPr>
              <w:t> </w:t>
            </w:r>
          </w:p>
          <w:p w14:paraId="0A2E40AB" w14:textId="0F4DC1E6" w:rsidR="0062154B" w:rsidRPr="00E20B6B" w:rsidRDefault="0062154B" w:rsidP="00D93C1D">
            <w:pPr>
              <w:rPr>
                <w:lang w:val="nl-NL" w:eastAsia="nl-NL"/>
              </w:rPr>
            </w:pPr>
            <w:r w:rsidRPr="001C6620">
              <w:rPr>
                <w:lang w:eastAsia="nl-NL"/>
              </w:rPr>
              <w:t>30.8 (10.5)</w:t>
            </w:r>
            <w:r w:rsidRPr="001C6620">
              <w:rPr>
                <w:lang w:val="nl-NL" w:eastAsia="nl-NL"/>
              </w:rPr>
              <w:t> </w:t>
            </w:r>
          </w:p>
        </w:tc>
        <w:tc>
          <w:tcPr>
            <w:tcW w:w="1410" w:type="dxa"/>
            <w:hideMark/>
          </w:tcPr>
          <w:p w14:paraId="2B738B82" w14:textId="77777777" w:rsidR="0062154B" w:rsidRPr="00E20B6B" w:rsidRDefault="0062154B" w:rsidP="00D93C1D">
            <w:pPr>
              <w:rPr>
                <w:lang w:val="nl-NL" w:eastAsia="nl-NL"/>
              </w:rPr>
            </w:pPr>
            <w:r w:rsidRPr="00E20B6B">
              <w:rPr>
                <w:lang w:val="nl-NL" w:eastAsia="nl-NL"/>
              </w:rPr>
              <w:t> </w:t>
            </w:r>
          </w:p>
          <w:p w14:paraId="0ABBB43A" w14:textId="77777777" w:rsidR="0062154B" w:rsidRPr="00E20B6B" w:rsidRDefault="0062154B" w:rsidP="00D93C1D">
            <w:pPr>
              <w:rPr>
                <w:lang w:val="nl-NL" w:eastAsia="nl-NL"/>
              </w:rPr>
            </w:pPr>
            <w:r w:rsidRPr="00E20B6B">
              <w:rPr>
                <w:lang w:eastAsia="nl-NL"/>
              </w:rPr>
              <w:t>289</w:t>
            </w:r>
            <w:r w:rsidRPr="00E20B6B">
              <w:rPr>
                <w:lang w:val="nl-NL" w:eastAsia="nl-NL"/>
              </w:rPr>
              <w:t> </w:t>
            </w:r>
          </w:p>
          <w:p w14:paraId="65D781C1" w14:textId="4E371398" w:rsidR="0062154B" w:rsidRPr="00E20B6B" w:rsidRDefault="0062154B" w:rsidP="00D93C1D">
            <w:pPr>
              <w:rPr>
                <w:lang w:val="nl-NL" w:eastAsia="nl-NL"/>
              </w:rPr>
            </w:pPr>
            <w:r w:rsidRPr="001C6620">
              <w:rPr>
                <w:lang w:eastAsia="nl-NL"/>
              </w:rPr>
              <w:t>34.0 (12.4)</w:t>
            </w:r>
          </w:p>
        </w:tc>
        <w:tc>
          <w:tcPr>
            <w:tcW w:w="1635" w:type="dxa"/>
            <w:gridSpan w:val="2"/>
            <w:hideMark/>
          </w:tcPr>
          <w:p w14:paraId="1799BBC2" w14:textId="77777777" w:rsidR="0062154B" w:rsidRPr="00E20B6B" w:rsidRDefault="0062154B" w:rsidP="00D93C1D">
            <w:pPr>
              <w:rPr>
                <w:lang w:val="nl-NL" w:eastAsia="nl-NL"/>
              </w:rPr>
            </w:pPr>
            <w:r w:rsidRPr="00E20B6B">
              <w:rPr>
                <w:lang w:val="nl-NL" w:eastAsia="nl-NL"/>
              </w:rPr>
              <w:t> </w:t>
            </w:r>
          </w:p>
          <w:p w14:paraId="7FC4B181" w14:textId="77777777" w:rsidR="0062154B" w:rsidRPr="00E20B6B" w:rsidRDefault="0062154B" w:rsidP="00D93C1D">
            <w:pPr>
              <w:rPr>
                <w:lang w:val="nl-NL" w:eastAsia="nl-NL"/>
              </w:rPr>
            </w:pPr>
            <w:r w:rsidRPr="00E20B6B">
              <w:rPr>
                <w:lang w:eastAsia="nl-NL"/>
              </w:rPr>
              <w:t>284</w:t>
            </w:r>
            <w:r w:rsidRPr="00E20B6B">
              <w:rPr>
                <w:lang w:val="nl-NL" w:eastAsia="nl-NL"/>
              </w:rPr>
              <w:t> </w:t>
            </w:r>
          </w:p>
          <w:p w14:paraId="7FC8FB09" w14:textId="333A2FE3" w:rsidR="0062154B" w:rsidRPr="00E20B6B" w:rsidRDefault="0062154B" w:rsidP="00D93C1D">
            <w:pPr>
              <w:rPr>
                <w:lang w:val="nl-NL" w:eastAsia="nl-NL"/>
              </w:rPr>
            </w:pPr>
            <w:r w:rsidRPr="001C6620">
              <w:rPr>
                <w:lang w:eastAsia="nl-NL"/>
              </w:rPr>
              <w:t>33.3 (12.6)</w:t>
            </w:r>
            <w:r w:rsidRPr="001C6620">
              <w:rPr>
                <w:lang w:val="nl-NL" w:eastAsia="nl-NL"/>
              </w:rPr>
              <w:t> </w:t>
            </w:r>
          </w:p>
        </w:tc>
      </w:tr>
      <w:tr w:rsidR="0062154B" w:rsidRPr="00E20B6B" w14:paraId="2F640DD5" w14:textId="77777777" w:rsidTr="00D93C1D">
        <w:trPr>
          <w:trHeight w:val="300"/>
        </w:trPr>
        <w:tc>
          <w:tcPr>
            <w:tcW w:w="2970" w:type="dxa"/>
            <w:hideMark/>
          </w:tcPr>
          <w:p w14:paraId="0AD2A547" w14:textId="77777777" w:rsidR="0062154B" w:rsidRPr="00E20B6B" w:rsidRDefault="0062154B" w:rsidP="00D93C1D">
            <w:pPr>
              <w:rPr>
                <w:lang w:val="en-US" w:eastAsia="nl-NL"/>
              </w:rPr>
            </w:pPr>
            <w:r w:rsidRPr="00E20B6B">
              <w:rPr>
                <w:lang w:eastAsia="nl-NL"/>
              </w:rPr>
              <w:t>Age at Screening Visit, n (%)</w:t>
            </w:r>
            <w:r w:rsidRPr="00E20B6B">
              <w:rPr>
                <w:lang w:val="en-US" w:eastAsia="nl-NL"/>
              </w:rPr>
              <w:t> </w:t>
            </w:r>
          </w:p>
          <w:p w14:paraId="4E1B4CD7" w14:textId="77777777" w:rsidR="0062154B" w:rsidRPr="00E20B6B" w:rsidRDefault="0062154B" w:rsidP="00D93C1D">
            <w:pPr>
              <w:rPr>
                <w:lang w:val="nl-NL" w:eastAsia="nl-NL"/>
              </w:rPr>
            </w:pPr>
            <w:r w:rsidRPr="00E20B6B">
              <w:rPr>
                <w:lang w:eastAsia="nl-NL"/>
              </w:rPr>
              <w:t>≥12 to &lt;18 years</w:t>
            </w:r>
            <w:r w:rsidRPr="00E20B6B">
              <w:rPr>
                <w:lang w:val="nl-NL" w:eastAsia="nl-NL"/>
              </w:rPr>
              <w:t> </w:t>
            </w:r>
          </w:p>
          <w:p w14:paraId="085FA8DA" w14:textId="77777777" w:rsidR="0062154B" w:rsidRPr="00E20B6B" w:rsidRDefault="0062154B" w:rsidP="00D93C1D">
            <w:pPr>
              <w:rPr>
                <w:lang w:val="nl-NL" w:eastAsia="nl-NL"/>
              </w:rPr>
            </w:pPr>
            <w:r w:rsidRPr="00E20B6B">
              <w:rPr>
                <w:lang w:eastAsia="nl-NL"/>
              </w:rPr>
              <w:t>≥18 years</w:t>
            </w:r>
            <w:r w:rsidRPr="00E20B6B">
              <w:rPr>
                <w:lang w:val="nl-NL" w:eastAsia="nl-NL"/>
              </w:rPr>
              <w:t> </w:t>
            </w:r>
          </w:p>
        </w:tc>
        <w:tc>
          <w:tcPr>
            <w:tcW w:w="1410" w:type="dxa"/>
            <w:hideMark/>
          </w:tcPr>
          <w:p w14:paraId="58DD7761" w14:textId="77777777" w:rsidR="0062154B" w:rsidRPr="00E20B6B" w:rsidRDefault="0062154B" w:rsidP="00D93C1D">
            <w:pPr>
              <w:rPr>
                <w:lang w:val="nl-NL" w:eastAsia="nl-NL"/>
              </w:rPr>
            </w:pPr>
            <w:r w:rsidRPr="00E20B6B">
              <w:rPr>
                <w:lang w:val="nl-NL" w:eastAsia="nl-NL"/>
              </w:rPr>
              <w:t> </w:t>
            </w:r>
          </w:p>
          <w:p w14:paraId="4339A951" w14:textId="77777777" w:rsidR="0062154B" w:rsidRPr="00E20B6B" w:rsidRDefault="0062154B" w:rsidP="00D93C1D">
            <w:pPr>
              <w:rPr>
                <w:lang w:val="nl-NL" w:eastAsia="nl-NL"/>
              </w:rPr>
            </w:pPr>
            <w:r w:rsidRPr="00E20B6B">
              <w:rPr>
                <w:lang w:val="nl-NL" w:eastAsia="nl-NL"/>
              </w:rPr>
              <w:t> </w:t>
            </w:r>
            <w:r w:rsidRPr="00E20B6B">
              <w:rPr>
                <w:lang w:eastAsia="nl-NL"/>
              </w:rPr>
              <w:t>31 (15.3)</w:t>
            </w:r>
            <w:r w:rsidRPr="00E20B6B">
              <w:rPr>
                <w:lang w:val="nl-NL" w:eastAsia="nl-NL"/>
              </w:rPr>
              <w:t> </w:t>
            </w:r>
          </w:p>
          <w:p w14:paraId="1621638B" w14:textId="77777777" w:rsidR="0062154B" w:rsidRPr="00E20B6B" w:rsidRDefault="0062154B" w:rsidP="00D93C1D">
            <w:pPr>
              <w:rPr>
                <w:lang w:val="nl-NL" w:eastAsia="nl-NL"/>
              </w:rPr>
            </w:pPr>
            <w:r w:rsidRPr="00E20B6B">
              <w:rPr>
                <w:lang w:eastAsia="nl-NL"/>
              </w:rPr>
              <w:t>171 (84.7)</w:t>
            </w:r>
            <w:r w:rsidRPr="00E20B6B">
              <w:rPr>
                <w:lang w:val="nl-NL" w:eastAsia="nl-NL"/>
              </w:rPr>
              <w:t> </w:t>
            </w:r>
          </w:p>
        </w:tc>
        <w:tc>
          <w:tcPr>
            <w:tcW w:w="1635" w:type="dxa"/>
            <w:hideMark/>
          </w:tcPr>
          <w:p w14:paraId="19F47A2E" w14:textId="77777777" w:rsidR="0062154B" w:rsidRPr="00E20B6B" w:rsidRDefault="0062154B" w:rsidP="00D93C1D">
            <w:pPr>
              <w:rPr>
                <w:lang w:val="nl-NL" w:eastAsia="nl-NL"/>
              </w:rPr>
            </w:pPr>
            <w:r w:rsidRPr="00E20B6B">
              <w:rPr>
                <w:lang w:val="nl-NL" w:eastAsia="nl-NL"/>
              </w:rPr>
              <w:t> </w:t>
            </w:r>
          </w:p>
          <w:p w14:paraId="52FFF068" w14:textId="77777777" w:rsidR="0062154B" w:rsidRPr="00E20B6B" w:rsidRDefault="0062154B" w:rsidP="00D93C1D">
            <w:pPr>
              <w:rPr>
                <w:lang w:val="nl-NL" w:eastAsia="nl-NL"/>
              </w:rPr>
            </w:pPr>
            <w:r w:rsidRPr="00E20B6B">
              <w:rPr>
                <w:lang w:val="nl-NL" w:eastAsia="nl-NL"/>
              </w:rPr>
              <w:t> </w:t>
            </w:r>
            <w:r w:rsidRPr="00E20B6B">
              <w:rPr>
                <w:lang w:eastAsia="nl-NL"/>
              </w:rPr>
              <w:t>26 (13.3)</w:t>
            </w:r>
            <w:r w:rsidRPr="00E20B6B">
              <w:rPr>
                <w:lang w:val="nl-NL" w:eastAsia="nl-NL"/>
              </w:rPr>
              <w:t> </w:t>
            </w:r>
          </w:p>
          <w:p w14:paraId="3FB69A60" w14:textId="77777777" w:rsidR="0062154B" w:rsidRPr="00E20B6B" w:rsidRDefault="0062154B" w:rsidP="00D93C1D">
            <w:pPr>
              <w:rPr>
                <w:lang w:val="nl-NL" w:eastAsia="nl-NL"/>
              </w:rPr>
            </w:pPr>
            <w:r w:rsidRPr="00E20B6B">
              <w:rPr>
                <w:lang w:eastAsia="nl-NL"/>
              </w:rPr>
              <w:t>170 (86.7)</w:t>
            </w:r>
            <w:r w:rsidRPr="00E20B6B">
              <w:rPr>
                <w:lang w:val="nl-NL" w:eastAsia="nl-NL"/>
              </w:rPr>
              <w:t> </w:t>
            </w:r>
          </w:p>
        </w:tc>
        <w:tc>
          <w:tcPr>
            <w:tcW w:w="1410" w:type="dxa"/>
            <w:hideMark/>
          </w:tcPr>
          <w:p w14:paraId="5B4D317C" w14:textId="77777777" w:rsidR="0062154B" w:rsidRPr="00E20B6B" w:rsidRDefault="0062154B" w:rsidP="00D93C1D">
            <w:pPr>
              <w:rPr>
                <w:lang w:val="nl-NL" w:eastAsia="nl-NL"/>
              </w:rPr>
            </w:pPr>
            <w:r w:rsidRPr="00E20B6B">
              <w:rPr>
                <w:lang w:val="nl-NL" w:eastAsia="nl-NL"/>
              </w:rPr>
              <w:t>  </w:t>
            </w:r>
          </w:p>
          <w:p w14:paraId="3B704F5E" w14:textId="77777777" w:rsidR="0062154B" w:rsidRPr="00E20B6B" w:rsidRDefault="0062154B" w:rsidP="00D93C1D">
            <w:pPr>
              <w:rPr>
                <w:lang w:val="nl-NL" w:eastAsia="nl-NL"/>
              </w:rPr>
            </w:pPr>
            <w:r w:rsidRPr="00E20B6B">
              <w:rPr>
                <w:lang w:eastAsia="nl-NL"/>
              </w:rPr>
              <w:t>38 (13.1)</w:t>
            </w:r>
            <w:r w:rsidRPr="00E20B6B">
              <w:rPr>
                <w:lang w:val="nl-NL" w:eastAsia="nl-NL"/>
              </w:rPr>
              <w:t> </w:t>
            </w:r>
          </w:p>
          <w:p w14:paraId="5EA1A383" w14:textId="77777777" w:rsidR="0062154B" w:rsidRPr="00E20B6B" w:rsidRDefault="0062154B" w:rsidP="00D93C1D">
            <w:pPr>
              <w:rPr>
                <w:lang w:val="nl-NL" w:eastAsia="nl-NL"/>
              </w:rPr>
            </w:pPr>
            <w:r w:rsidRPr="00E20B6B">
              <w:rPr>
                <w:lang w:eastAsia="nl-NL"/>
              </w:rPr>
              <w:t>251 (86.9)</w:t>
            </w:r>
            <w:r w:rsidRPr="00E20B6B">
              <w:rPr>
                <w:lang w:val="nl-NL" w:eastAsia="nl-NL"/>
              </w:rPr>
              <w:t> </w:t>
            </w:r>
          </w:p>
        </w:tc>
        <w:tc>
          <w:tcPr>
            <w:tcW w:w="1635" w:type="dxa"/>
            <w:gridSpan w:val="2"/>
            <w:hideMark/>
          </w:tcPr>
          <w:p w14:paraId="7A0AB4AC" w14:textId="77777777" w:rsidR="0062154B" w:rsidRPr="00E20B6B" w:rsidRDefault="0062154B" w:rsidP="00D93C1D">
            <w:pPr>
              <w:rPr>
                <w:lang w:val="nl-NL" w:eastAsia="nl-NL"/>
              </w:rPr>
            </w:pPr>
            <w:r w:rsidRPr="00E20B6B">
              <w:rPr>
                <w:lang w:val="nl-NL" w:eastAsia="nl-NL"/>
              </w:rPr>
              <w:t>  </w:t>
            </w:r>
          </w:p>
          <w:p w14:paraId="07C233C2" w14:textId="77777777" w:rsidR="0062154B" w:rsidRPr="00E20B6B" w:rsidRDefault="0062154B" w:rsidP="00D93C1D">
            <w:pPr>
              <w:rPr>
                <w:lang w:val="nl-NL" w:eastAsia="nl-NL"/>
              </w:rPr>
            </w:pPr>
            <w:r w:rsidRPr="00E20B6B">
              <w:rPr>
                <w:lang w:eastAsia="nl-NL"/>
              </w:rPr>
              <w:t>41 (14.4)</w:t>
            </w:r>
            <w:r w:rsidRPr="00E20B6B">
              <w:rPr>
                <w:lang w:val="nl-NL" w:eastAsia="nl-NL"/>
              </w:rPr>
              <w:t> </w:t>
            </w:r>
          </w:p>
          <w:p w14:paraId="404843F6" w14:textId="77777777" w:rsidR="0062154B" w:rsidRPr="00E20B6B" w:rsidRDefault="0062154B" w:rsidP="00D93C1D">
            <w:pPr>
              <w:rPr>
                <w:lang w:val="nl-NL" w:eastAsia="nl-NL"/>
              </w:rPr>
            </w:pPr>
            <w:r w:rsidRPr="00E20B6B">
              <w:rPr>
                <w:lang w:eastAsia="nl-NL"/>
              </w:rPr>
              <w:t>243 (85.6)</w:t>
            </w:r>
            <w:r w:rsidRPr="00E20B6B">
              <w:rPr>
                <w:lang w:val="nl-NL" w:eastAsia="nl-NL"/>
              </w:rPr>
              <w:t> </w:t>
            </w:r>
          </w:p>
        </w:tc>
      </w:tr>
      <w:tr w:rsidR="0062154B" w:rsidRPr="00913ABA" w14:paraId="0039D8F8" w14:textId="77777777" w:rsidTr="00D93C1D">
        <w:trPr>
          <w:trHeight w:val="300"/>
        </w:trPr>
        <w:tc>
          <w:tcPr>
            <w:tcW w:w="2970" w:type="dxa"/>
            <w:hideMark/>
          </w:tcPr>
          <w:p w14:paraId="3265F370" w14:textId="77777777" w:rsidR="0062154B" w:rsidRPr="00913ABA" w:rsidRDefault="0062154B" w:rsidP="00D93C1D">
            <w:pPr>
              <w:rPr>
                <w:lang w:val="en-US" w:eastAsia="nl-NL"/>
              </w:rPr>
            </w:pPr>
            <w:r w:rsidRPr="00913ABA">
              <w:rPr>
                <w:lang w:val="en-US" w:eastAsia="nl-NL"/>
              </w:rPr>
              <w:t>Genotype group, n (%) </w:t>
            </w:r>
          </w:p>
          <w:p w14:paraId="0C38CE8E" w14:textId="77777777" w:rsidR="0062154B" w:rsidRPr="00913ABA" w:rsidRDefault="0062154B" w:rsidP="00D93C1D">
            <w:pPr>
              <w:rPr>
                <w:lang w:val="en-US" w:eastAsia="nl-NL"/>
              </w:rPr>
            </w:pPr>
            <w:r w:rsidRPr="00913ABA">
              <w:rPr>
                <w:lang w:val="en-US" w:eastAsia="nl-NL"/>
              </w:rPr>
              <w:t>F/MF </w:t>
            </w:r>
          </w:p>
          <w:p w14:paraId="7A58E045" w14:textId="77777777" w:rsidR="0062154B" w:rsidRPr="00913ABA" w:rsidRDefault="0062154B" w:rsidP="00D93C1D">
            <w:pPr>
              <w:rPr>
                <w:lang w:val="en-US" w:eastAsia="nl-NL"/>
              </w:rPr>
            </w:pPr>
            <w:r w:rsidRPr="00913ABA">
              <w:rPr>
                <w:lang w:val="en-US" w:eastAsia="nl-NL"/>
              </w:rPr>
              <w:t>F/F </w:t>
            </w:r>
          </w:p>
          <w:p w14:paraId="3EA0AA3B" w14:textId="77777777" w:rsidR="0062154B" w:rsidRPr="00913ABA" w:rsidRDefault="0062154B" w:rsidP="00D93C1D">
            <w:pPr>
              <w:rPr>
                <w:lang w:val="it-IT" w:eastAsia="nl-NL"/>
              </w:rPr>
            </w:pPr>
            <w:r w:rsidRPr="00913ABA">
              <w:rPr>
                <w:lang w:val="it-IT" w:eastAsia="nl-NL"/>
              </w:rPr>
              <w:t>F/G </w:t>
            </w:r>
          </w:p>
          <w:p w14:paraId="34AF7A51" w14:textId="77777777" w:rsidR="0062154B" w:rsidRPr="00913ABA" w:rsidRDefault="0062154B" w:rsidP="00D93C1D">
            <w:pPr>
              <w:rPr>
                <w:lang w:val="it-IT" w:eastAsia="nl-NL"/>
              </w:rPr>
            </w:pPr>
            <w:r w:rsidRPr="00913ABA">
              <w:rPr>
                <w:lang w:val="it-IT" w:eastAsia="nl-NL"/>
              </w:rPr>
              <w:t>F/RF </w:t>
            </w:r>
          </w:p>
          <w:p w14:paraId="4AF449F2" w14:textId="77777777" w:rsidR="0062154B" w:rsidRPr="00913ABA" w:rsidRDefault="0062154B" w:rsidP="00D93C1D">
            <w:pPr>
              <w:rPr>
                <w:lang w:val="it-IT" w:eastAsia="nl-NL"/>
              </w:rPr>
            </w:pPr>
            <w:r w:rsidRPr="00913ABA">
              <w:rPr>
                <w:lang w:val="it-IT" w:eastAsia="nl-NL"/>
              </w:rPr>
              <w:t>TCR/non-F </w:t>
            </w:r>
          </w:p>
        </w:tc>
        <w:tc>
          <w:tcPr>
            <w:tcW w:w="1410" w:type="dxa"/>
            <w:hideMark/>
          </w:tcPr>
          <w:p w14:paraId="18C59E8F" w14:textId="77777777" w:rsidR="0062154B" w:rsidRPr="00913ABA" w:rsidRDefault="0062154B" w:rsidP="00D93C1D">
            <w:pPr>
              <w:rPr>
                <w:lang w:val="it-IT" w:eastAsia="nl-NL"/>
              </w:rPr>
            </w:pPr>
            <w:r w:rsidRPr="00913ABA">
              <w:rPr>
                <w:lang w:val="it-IT" w:eastAsia="nl-NL"/>
              </w:rPr>
              <w:t> </w:t>
            </w:r>
          </w:p>
          <w:p w14:paraId="70609F06" w14:textId="77777777" w:rsidR="0062154B" w:rsidRPr="00913ABA" w:rsidRDefault="0062154B" w:rsidP="00D93C1D">
            <w:pPr>
              <w:rPr>
                <w:lang w:val="nl-NL" w:eastAsia="nl-NL"/>
              </w:rPr>
            </w:pPr>
            <w:r w:rsidRPr="00913ABA">
              <w:rPr>
                <w:lang w:eastAsia="nl-NL"/>
              </w:rPr>
              <w:t>202 (100)</w:t>
            </w:r>
            <w:r w:rsidRPr="00913ABA">
              <w:rPr>
                <w:lang w:val="nl-NL" w:eastAsia="nl-NL"/>
              </w:rPr>
              <w:t> </w:t>
            </w:r>
          </w:p>
          <w:p w14:paraId="45C1A988" w14:textId="77777777" w:rsidR="0062154B" w:rsidRPr="00913ABA" w:rsidRDefault="0062154B" w:rsidP="00D93C1D">
            <w:pPr>
              <w:rPr>
                <w:lang w:val="nl-NL" w:eastAsia="nl-NL"/>
              </w:rPr>
            </w:pPr>
            <w:r w:rsidRPr="00913ABA">
              <w:rPr>
                <w:lang w:eastAsia="nl-NL"/>
              </w:rPr>
              <w:t>0</w:t>
            </w:r>
            <w:r w:rsidRPr="00913ABA">
              <w:rPr>
                <w:lang w:val="nl-NL" w:eastAsia="nl-NL"/>
              </w:rPr>
              <w:t> </w:t>
            </w:r>
          </w:p>
          <w:p w14:paraId="3191A617" w14:textId="77777777" w:rsidR="0062154B" w:rsidRPr="00913ABA" w:rsidRDefault="0062154B" w:rsidP="00D93C1D">
            <w:pPr>
              <w:rPr>
                <w:lang w:val="nl-NL" w:eastAsia="nl-NL"/>
              </w:rPr>
            </w:pPr>
            <w:r w:rsidRPr="00913ABA">
              <w:rPr>
                <w:lang w:eastAsia="nl-NL"/>
              </w:rPr>
              <w:t>0</w:t>
            </w:r>
            <w:r w:rsidRPr="00913ABA">
              <w:rPr>
                <w:lang w:val="nl-NL" w:eastAsia="nl-NL"/>
              </w:rPr>
              <w:t> </w:t>
            </w:r>
          </w:p>
          <w:p w14:paraId="3B9D9879" w14:textId="77777777" w:rsidR="0062154B" w:rsidRPr="00913ABA" w:rsidRDefault="0062154B" w:rsidP="00D93C1D">
            <w:pPr>
              <w:rPr>
                <w:lang w:val="nl-NL" w:eastAsia="nl-NL"/>
              </w:rPr>
            </w:pPr>
            <w:r w:rsidRPr="00913ABA">
              <w:rPr>
                <w:lang w:eastAsia="nl-NL"/>
              </w:rPr>
              <w:t>0</w:t>
            </w:r>
            <w:r w:rsidRPr="00913ABA">
              <w:rPr>
                <w:lang w:val="nl-NL" w:eastAsia="nl-NL"/>
              </w:rPr>
              <w:t> </w:t>
            </w:r>
          </w:p>
          <w:p w14:paraId="27EF24D0" w14:textId="77777777" w:rsidR="0062154B" w:rsidRPr="00913ABA" w:rsidRDefault="0062154B" w:rsidP="00D93C1D">
            <w:pPr>
              <w:rPr>
                <w:lang w:val="nl-NL" w:eastAsia="nl-NL"/>
              </w:rPr>
            </w:pPr>
            <w:r w:rsidRPr="00913ABA">
              <w:rPr>
                <w:lang w:eastAsia="nl-NL"/>
              </w:rPr>
              <w:t>0</w:t>
            </w:r>
            <w:r w:rsidRPr="00913ABA">
              <w:rPr>
                <w:lang w:val="nl-NL" w:eastAsia="nl-NL"/>
              </w:rPr>
              <w:t> </w:t>
            </w:r>
          </w:p>
        </w:tc>
        <w:tc>
          <w:tcPr>
            <w:tcW w:w="1635" w:type="dxa"/>
            <w:hideMark/>
          </w:tcPr>
          <w:p w14:paraId="1C6404A6" w14:textId="77777777" w:rsidR="0062154B" w:rsidRPr="00913ABA" w:rsidRDefault="0062154B" w:rsidP="00D93C1D">
            <w:pPr>
              <w:rPr>
                <w:lang w:val="nl-NL" w:eastAsia="nl-NL"/>
              </w:rPr>
            </w:pPr>
            <w:r w:rsidRPr="00913ABA">
              <w:rPr>
                <w:lang w:val="nl-NL" w:eastAsia="nl-NL"/>
              </w:rPr>
              <w:t> </w:t>
            </w:r>
          </w:p>
          <w:p w14:paraId="441319EA" w14:textId="77777777" w:rsidR="0062154B" w:rsidRPr="00913ABA" w:rsidRDefault="0062154B" w:rsidP="00D93C1D">
            <w:pPr>
              <w:rPr>
                <w:lang w:val="nl-NL" w:eastAsia="nl-NL"/>
              </w:rPr>
            </w:pPr>
            <w:r w:rsidRPr="00913ABA">
              <w:rPr>
                <w:lang w:eastAsia="nl-NL"/>
              </w:rPr>
              <w:t>196 (100)</w:t>
            </w:r>
            <w:r w:rsidRPr="00913ABA">
              <w:rPr>
                <w:lang w:val="nl-NL" w:eastAsia="nl-NL"/>
              </w:rPr>
              <w:t> </w:t>
            </w:r>
          </w:p>
          <w:p w14:paraId="2BD5F608" w14:textId="77777777" w:rsidR="0062154B" w:rsidRPr="00913ABA" w:rsidRDefault="0062154B" w:rsidP="00D93C1D">
            <w:pPr>
              <w:rPr>
                <w:lang w:val="nl-NL" w:eastAsia="nl-NL"/>
              </w:rPr>
            </w:pPr>
            <w:r w:rsidRPr="00913ABA">
              <w:rPr>
                <w:lang w:eastAsia="nl-NL"/>
              </w:rPr>
              <w:t>0</w:t>
            </w:r>
            <w:r w:rsidRPr="00913ABA">
              <w:rPr>
                <w:lang w:val="nl-NL" w:eastAsia="nl-NL"/>
              </w:rPr>
              <w:t> </w:t>
            </w:r>
          </w:p>
          <w:p w14:paraId="4A4C6A72" w14:textId="77777777" w:rsidR="0062154B" w:rsidRPr="00913ABA" w:rsidRDefault="0062154B" w:rsidP="00D93C1D">
            <w:pPr>
              <w:rPr>
                <w:lang w:val="nl-NL" w:eastAsia="nl-NL"/>
              </w:rPr>
            </w:pPr>
            <w:r w:rsidRPr="00913ABA">
              <w:rPr>
                <w:lang w:eastAsia="nl-NL"/>
              </w:rPr>
              <w:t>0</w:t>
            </w:r>
            <w:r w:rsidRPr="00913ABA">
              <w:rPr>
                <w:lang w:val="nl-NL" w:eastAsia="nl-NL"/>
              </w:rPr>
              <w:t> </w:t>
            </w:r>
          </w:p>
          <w:p w14:paraId="709C7393" w14:textId="77777777" w:rsidR="0062154B" w:rsidRPr="00913ABA" w:rsidRDefault="0062154B" w:rsidP="00D93C1D">
            <w:pPr>
              <w:rPr>
                <w:lang w:val="nl-NL" w:eastAsia="nl-NL"/>
              </w:rPr>
            </w:pPr>
            <w:r w:rsidRPr="00913ABA">
              <w:rPr>
                <w:lang w:eastAsia="nl-NL"/>
              </w:rPr>
              <w:t>0</w:t>
            </w:r>
            <w:r w:rsidRPr="00913ABA">
              <w:rPr>
                <w:lang w:val="nl-NL" w:eastAsia="nl-NL"/>
              </w:rPr>
              <w:t> </w:t>
            </w:r>
          </w:p>
          <w:p w14:paraId="3D0AB847" w14:textId="77777777" w:rsidR="0062154B" w:rsidRPr="00913ABA" w:rsidRDefault="0062154B" w:rsidP="00D93C1D">
            <w:pPr>
              <w:rPr>
                <w:lang w:val="nl-NL" w:eastAsia="nl-NL"/>
              </w:rPr>
            </w:pPr>
            <w:r w:rsidRPr="00913ABA">
              <w:rPr>
                <w:lang w:eastAsia="nl-NL"/>
              </w:rPr>
              <w:t>0</w:t>
            </w:r>
            <w:r w:rsidRPr="00913ABA">
              <w:rPr>
                <w:lang w:val="nl-NL" w:eastAsia="nl-NL"/>
              </w:rPr>
              <w:t> </w:t>
            </w:r>
          </w:p>
        </w:tc>
        <w:tc>
          <w:tcPr>
            <w:tcW w:w="1470" w:type="dxa"/>
            <w:gridSpan w:val="2"/>
            <w:hideMark/>
          </w:tcPr>
          <w:p w14:paraId="5F4C4898" w14:textId="77777777" w:rsidR="0062154B" w:rsidRPr="00913ABA" w:rsidRDefault="0062154B" w:rsidP="00D93C1D">
            <w:pPr>
              <w:rPr>
                <w:lang w:val="nl-NL" w:eastAsia="nl-NL"/>
              </w:rPr>
            </w:pPr>
            <w:r w:rsidRPr="00913ABA">
              <w:rPr>
                <w:lang w:val="nl-NL" w:eastAsia="nl-NL"/>
              </w:rPr>
              <w:t> </w:t>
            </w:r>
          </w:p>
          <w:p w14:paraId="0C89D008" w14:textId="77777777" w:rsidR="0062154B" w:rsidRPr="00913ABA" w:rsidRDefault="0062154B" w:rsidP="00D93C1D">
            <w:pPr>
              <w:rPr>
                <w:lang w:val="nl-NL" w:eastAsia="nl-NL"/>
              </w:rPr>
            </w:pPr>
            <w:r w:rsidRPr="00913ABA">
              <w:rPr>
                <w:lang w:eastAsia="nl-NL"/>
              </w:rPr>
              <w:t>0</w:t>
            </w:r>
            <w:r w:rsidRPr="00913ABA">
              <w:rPr>
                <w:lang w:val="nl-NL" w:eastAsia="nl-NL"/>
              </w:rPr>
              <w:t> </w:t>
            </w:r>
          </w:p>
          <w:p w14:paraId="1DFE6A19" w14:textId="77777777" w:rsidR="0062154B" w:rsidRPr="00913ABA" w:rsidRDefault="0062154B" w:rsidP="00D93C1D">
            <w:pPr>
              <w:rPr>
                <w:lang w:val="nl-NL" w:eastAsia="nl-NL"/>
              </w:rPr>
            </w:pPr>
            <w:r w:rsidRPr="00913ABA">
              <w:rPr>
                <w:lang w:eastAsia="nl-NL"/>
              </w:rPr>
              <w:t>224 (77.5)</w:t>
            </w:r>
            <w:r w:rsidRPr="00913ABA">
              <w:rPr>
                <w:lang w:val="nl-NL" w:eastAsia="nl-NL"/>
              </w:rPr>
              <w:t> </w:t>
            </w:r>
          </w:p>
          <w:p w14:paraId="4438F47C" w14:textId="77777777" w:rsidR="0062154B" w:rsidRPr="00913ABA" w:rsidRDefault="0062154B" w:rsidP="00D93C1D">
            <w:pPr>
              <w:rPr>
                <w:lang w:val="nl-NL" w:eastAsia="nl-NL"/>
              </w:rPr>
            </w:pPr>
            <w:r w:rsidRPr="00913ABA">
              <w:rPr>
                <w:lang w:eastAsia="nl-NL"/>
              </w:rPr>
              <w:t>20 (6.9)</w:t>
            </w:r>
            <w:r w:rsidRPr="00913ABA">
              <w:rPr>
                <w:lang w:val="nl-NL" w:eastAsia="nl-NL"/>
              </w:rPr>
              <w:t> </w:t>
            </w:r>
          </w:p>
          <w:p w14:paraId="580803C0" w14:textId="77777777" w:rsidR="0062154B" w:rsidRPr="00913ABA" w:rsidRDefault="0062154B" w:rsidP="00D93C1D">
            <w:pPr>
              <w:rPr>
                <w:lang w:val="nl-NL" w:eastAsia="nl-NL"/>
              </w:rPr>
            </w:pPr>
            <w:r w:rsidRPr="00913ABA">
              <w:rPr>
                <w:lang w:eastAsia="nl-NL"/>
              </w:rPr>
              <w:t>23 (8.0)</w:t>
            </w:r>
            <w:r w:rsidRPr="00913ABA">
              <w:rPr>
                <w:lang w:val="nl-NL" w:eastAsia="nl-NL"/>
              </w:rPr>
              <w:t> </w:t>
            </w:r>
          </w:p>
          <w:p w14:paraId="4684BA43" w14:textId="77777777" w:rsidR="0062154B" w:rsidRPr="00913ABA" w:rsidRDefault="0062154B" w:rsidP="00D93C1D">
            <w:pPr>
              <w:rPr>
                <w:lang w:val="nl-NL" w:eastAsia="nl-NL"/>
              </w:rPr>
            </w:pPr>
            <w:r w:rsidRPr="00913ABA">
              <w:rPr>
                <w:lang w:eastAsia="nl-NL"/>
              </w:rPr>
              <w:t>22 (7.6)</w:t>
            </w:r>
            <w:r w:rsidRPr="00913ABA">
              <w:rPr>
                <w:lang w:val="nl-NL" w:eastAsia="nl-NL"/>
              </w:rPr>
              <w:t> </w:t>
            </w:r>
          </w:p>
        </w:tc>
        <w:tc>
          <w:tcPr>
            <w:tcW w:w="1575" w:type="dxa"/>
            <w:hideMark/>
          </w:tcPr>
          <w:p w14:paraId="6CEA6A30" w14:textId="77777777" w:rsidR="0062154B" w:rsidRPr="00913ABA" w:rsidRDefault="0062154B" w:rsidP="00D93C1D">
            <w:pPr>
              <w:rPr>
                <w:lang w:val="nl-NL" w:eastAsia="nl-NL"/>
              </w:rPr>
            </w:pPr>
            <w:r w:rsidRPr="00913ABA">
              <w:rPr>
                <w:lang w:val="nl-NL" w:eastAsia="nl-NL"/>
              </w:rPr>
              <w:t> </w:t>
            </w:r>
          </w:p>
          <w:p w14:paraId="77F8A912" w14:textId="77777777" w:rsidR="0062154B" w:rsidRPr="00913ABA" w:rsidRDefault="0062154B" w:rsidP="00D93C1D">
            <w:pPr>
              <w:rPr>
                <w:lang w:val="nl-NL" w:eastAsia="nl-NL"/>
              </w:rPr>
            </w:pPr>
            <w:r w:rsidRPr="00913ABA">
              <w:rPr>
                <w:lang w:eastAsia="nl-NL"/>
              </w:rPr>
              <w:t>0</w:t>
            </w:r>
            <w:r w:rsidRPr="00913ABA">
              <w:rPr>
                <w:lang w:val="nl-NL" w:eastAsia="nl-NL"/>
              </w:rPr>
              <w:t> </w:t>
            </w:r>
          </w:p>
          <w:p w14:paraId="197B1EA3" w14:textId="77777777" w:rsidR="0062154B" w:rsidRPr="00913ABA" w:rsidRDefault="0062154B" w:rsidP="00D93C1D">
            <w:pPr>
              <w:rPr>
                <w:lang w:val="nl-NL" w:eastAsia="nl-NL"/>
              </w:rPr>
            </w:pPr>
            <w:r w:rsidRPr="00913ABA">
              <w:rPr>
                <w:lang w:eastAsia="nl-NL"/>
              </w:rPr>
              <w:t>222 (78.2)</w:t>
            </w:r>
            <w:r w:rsidRPr="00913ABA">
              <w:rPr>
                <w:lang w:val="nl-NL" w:eastAsia="nl-NL"/>
              </w:rPr>
              <w:t> </w:t>
            </w:r>
          </w:p>
          <w:p w14:paraId="235319E0" w14:textId="77777777" w:rsidR="0062154B" w:rsidRPr="00913ABA" w:rsidRDefault="0062154B" w:rsidP="00D93C1D">
            <w:pPr>
              <w:rPr>
                <w:lang w:val="nl-NL" w:eastAsia="nl-NL"/>
              </w:rPr>
            </w:pPr>
            <w:r w:rsidRPr="00913ABA">
              <w:rPr>
                <w:lang w:eastAsia="nl-NL"/>
              </w:rPr>
              <w:t>19 (6.7)</w:t>
            </w:r>
            <w:r w:rsidRPr="00913ABA">
              <w:rPr>
                <w:lang w:val="nl-NL" w:eastAsia="nl-NL"/>
              </w:rPr>
              <w:t> </w:t>
            </w:r>
          </w:p>
          <w:p w14:paraId="461464DD" w14:textId="77777777" w:rsidR="0062154B" w:rsidRPr="00913ABA" w:rsidRDefault="0062154B" w:rsidP="00D93C1D">
            <w:pPr>
              <w:rPr>
                <w:lang w:val="nl-NL" w:eastAsia="nl-NL"/>
              </w:rPr>
            </w:pPr>
            <w:r w:rsidRPr="00913ABA">
              <w:rPr>
                <w:lang w:eastAsia="nl-NL"/>
              </w:rPr>
              <w:t>23 (8.1)</w:t>
            </w:r>
            <w:r w:rsidRPr="00913ABA">
              <w:rPr>
                <w:lang w:val="nl-NL" w:eastAsia="nl-NL"/>
              </w:rPr>
              <w:t> </w:t>
            </w:r>
          </w:p>
          <w:p w14:paraId="176E5EDC" w14:textId="77777777" w:rsidR="0062154B" w:rsidRPr="00913ABA" w:rsidRDefault="0062154B" w:rsidP="00D93C1D">
            <w:pPr>
              <w:rPr>
                <w:lang w:val="nl-NL" w:eastAsia="nl-NL"/>
              </w:rPr>
            </w:pPr>
            <w:r w:rsidRPr="00913ABA">
              <w:rPr>
                <w:lang w:eastAsia="nl-NL"/>
              </w:rPr>
              <w:t>20 (7.0)</w:t>
            </w:r>
            <w:r w:rsidRPr="00913ABA">
              <w:rPr>
                <w:lang w:val="nl-NL" w:eastAsia="nl-NL"/>
              </w:rPr>
              <w:t> </w:t>
            </w:r>
          </w:p>
        </w:tc>
      </w:tr>
      <w:tr w:rsidR="0062154B" w:rsidRPr="00913ABA" w14:paraId="265CA43F" w14:textId="77777777" w:rsidTr="00D93C1D">
        <w:trPr>
          <w:trHeight w:val="300"/>
        </w:trPr>
        <w:tc>
          <w:tcPr>
            <w:tcW w:w="2970" w:type="dxa"/>
            <w:hideMark/>
          </w:tcPr>
          <w:p w14:paraId="46455AAA" w14:textId="77777777" w:rsidR="0062154B" w:rsidRPr="00913ABA" w:rsidRDefault="0062154B" w:rsidP="00D93C1D">
            <w:pPr>
              <w:rPr>
                <w:lang w:val="nl-NL" w:eastAsia="nl-NL"/>
              </w:rPr>
            </w:pPr>
            <w:r w:rsidRPr="00913ABA">
              <w:rPr>
                <w:lang w:eastAsia="nl-NL"/>
              </w:rPr>
              <w:t>Weight (kg)</w:t>
            </w:r>
            <w:r w:rsidRPr="00913ABA">
              <w:rPr>
                <w:lang w:val="nl-NL" w:eastAsia="nl-NL"/>
              </w:rPr>
              <w:t> </w:t>
            </w:r>
          </w:p>
          <w:p w14:paraId="6DB40AEA" w14:textId="77777777" w:rsidR="0062154B" w:rsidRPr="00913ABA" w:rsidRDefault="0062154B" w:rsidP="00D93C1D">
            <w:pPr>
              <w:rPr>
                <w:lang w:val="nl-NL" w:eastAsia="nl-NL"/>
              </w:rPr>
            </w:pPr>
            <w:r w:rsidRPr="00913ABA">
              <w:rPr>
                <w:lang w:eastAsia="nl-NL"/>
              </w:rPr>
              <w:t>Mean (SD)</w:t>
            </w:r>
            <w:r w:rsidRPr="00913ABA">
              <w:rPr>
                <w:lang w:val="nl-NL" w:eastAsia="nl-NL"/>
              </w:rPr>
              <w:t> </w:t>
            </w:r>
          </w:p>
        </w:tc>
        <w:tc>
          <w:tcPr>
            <w:tcW w:w="1410" w:type="dxa"/>
            <w:hideMark/>
          </w:tcPr>
          <w:p w14:paraId="2F13B576" w14:textId="77777777" w:rsidR="0062154B" w:rsidRPr="00913ABA" w:rsidRDefault="0062154B" w:rsidP="00D93C1D">
            <w:pPr>
              <w:rPr>
                <w:lang w:val="nl-NL" w:eastAsia="nl-NL"/>
              </w:rPr>
            </w:pPr>
            <w:r w:rsidRPr="00913ABA">
              <w:rPr>
                <w:lang w:val="nl-NL" w:eastAsia="nl-NL"/>
              </w:rPr>
              <w:t> </w:t>
            </w:r>
          </w:p>
          <w:p w14:paraId="22252C7C" w14:textId="77777777" w:rsidR="0062154B" w:rsidRPr="00913ABA" w:rsidRDefault="0062154B" w:rsidP="00D93C1D">
            <w:pPr>
              <w:rPr>
                <w:lang w:val="nl-NL" w:eastAsia="nl-NL"/>
              </w:rPr>
            </w:pPr>
            <w:r w:rsidRPr="00913ABA">
              <w:rPr>
                <w:lang w:eastAsia="nl-NL"/>
              </w:rPr>
              <w:t>64.54 (13.75)</w:t>
            </w:r>
            <w:r w:rsidRPr="00913ABA">
              <w:rPr>
                <w:lang w:val="nl-NL" w:eastAsia="nl-NL"/>
              </w:rPr>
              <w:t> </w:t>
            </w:r>
          </w:p>
        </w:tc>
        <w:tc>
          <w:tcPr>
            <w:tcW w:w="1635" w:type="dxa"/>
            <w:hideMark/>
          </w:tcPr>
          <w:p w14:paraId="072868DE" w14:textId="77777777" w:rsidR="0062154B" w:rsidRPr="00913ABA" w:rsidRDefault="0062154B" w:rsidP="00D93C1D">
            <w:pPr>
              <w:rPr>
                <w:lang w:val="nl-NL" w:eastAsia="nl-NL"/>
              </w:rPr>
            </w:pPr>
            <w:r w:rsidRPr="00913ABA">
              <w:rPr>
                <w:lang w:val="nl-NL" w:eastAsia="nl-NL"/>
              </w:rPr>
              <w:t> </w:t>
            </w:r>
          </w:p>
          <w:p w14:paraId="344BBBA1" w14:textId="77777777" w:rsidR="0062154B" w:rsidRPr="00913ABA" w:rsidRDefault="0062154B" w:rsidP="00D93C1D">
            <w:pPr>
              <w:rPr>
                <w:lang w:val="nl-NL" w:eastAsia="nl-NL"/>
              </w:rPr>
            </w:pPr>
            <w:r w:rsidRPr="00913ABA">
              <w:rPr>
                <w:lang w:eastAsia="nl-NL"/>
              </w:rPr>
              <w:t>65.08 (13.32)</w:t>
            </w:r>
            <w:r w:rsidRPr="00913ABA">
              <w:rPr>
                <w:lang w:val="nl-NL" w:eastAsia="nl-NL"/>
              </w:rPr>
              <w:t> </w:t>
            </w:r>
          </w:p>
        </w:tc>
        <w:tc>
          <w:tcPr>
            <w:tcW w:w="1470" w:type="dxa"/>
            <w:gridSpan w:val="2"/>
            <w:hideMark/>
          </w:tcPr>
          <w:p w14:paraId="5869E50E" w14:textId="77777777" w:rsidR="0062154B" w:rsidRPr="00913ABA" w:rsidRDefault="0062154B" w:rsidP="00D93C1D">
            <w:pPr>
              <w:rPr>
                <w:lang w:val="nl-NL" w:eastAsia="nl-NL"/>
              </w:rPr>
            </w:pPr>
            <w:r w:rsidRPr="00913ABA">
              <w:rPr>
                <w:lang w:val="nl-NL" w:eastAsia="nl-NL"/>
              </w:rPr>
              <w:t> </w:t>
            </w:r>
          </w:p>
          <w:p w14:paraId="7185348E" w14:textId="77777777" w:rsidR="0062154B" w:rsidRPr="00913ABA" w:rsidRDefault="0062154B" w:rsidP="00D93C1D">
            <w:pPr>
              <w:rPr>
                <w:lang w:val="nl-NL" w:eastAsia="nl-NL"/>
              </w:rPr>
            </w:pPr>
            <w:r w:rsidRPr="00913ABA">
              <w:rPr>
                <w:lang w:eastAsia="nl-NL"/>
              </w:rPr>
              <w:t>65.05 (13.35)</w:t>
            </w:r>
            <w:r w:rsidRPr="00913ABA">
              <w:rPr>
                <w:lang w:val="nl-NL" w:eastAsia="nl-NL"/>
              </w:rPr>
              <w:t> </w:t>
            </w:r>
          </w:p>
        </w:tc>
        <w:tc>
          <w:tcPr>
            <w:tcW w:w="1575" w:type="dxa"/>
            <w:hideMark/>
          </w:tcPr>
          <w:p w14:paraId="1E3E3010" w14:textId="77777777" w:rsidR="0062154B" w:rsidRPr="00913ABA" w:rsidRDefault="0062154B" w:rsidP="00D93C1D">
            <w:pPr>
              <w:rPr>
                <w:lang w:val="nl-NL" w:eastAsia="nl-NL"/>
              </w:rPr>
            </w:pPr>
            <w:r w:rsidRPr="00913ABA">
              <w:rPr>
                <w:lang w:val="nl-NL" w:eastAsia="nl-NL"/>
              </w:rPr>
              <w:t> </w:t>
            </w:r>
          </w:p>
          <w:p w14:paraId="52C68EAF" w14:textId="77777777" w:rsidR="0062154B" w:rsidRPr="00913ABA" w:rsidRDefault="0062154B" w:rsidP="00D93C1D">
            <w:pPr>
              <w:rPr>
                <w:lang w:val="nl-NL" w:eastAsia="nl-NL"/>
              </w:rPr>
            </w:pPr>
            <w:r w:rsidRPr="00913ABA">
              <w:rPr>
                <w:lang w:eastAsia="nl-NL"/>
              </w:rPr>
              <w:t>66.58 (13.98)</w:t>
            </w:r>
            <w:r w:rsidRPr="00913ABA">
              <w:rPr>
                <w:lang w:val="nl-NL" w:eastAsia="nl-NL"/>
              </w:rPr>
              <w:t> </w:t>
            </w:r>
          </w:p>
        </w:tc>
      </w:tr>
      <w:tr w:rsidR="0062154B" w:rsidRPr="00913ABA" w14:paraId="20D762C8" w14:textId="77777777" w:rsidTr="00D93C1D">
        <w:trPr>
          <w:trHeight w:val="300"/>
        </w:trPr>
        <w:tc>
          <w:tcPr>
            <w:tcW w:w="2970" w:type="dxa"/>
            <w:hideMark/>
          </w:tcPr>
          <w:p w14:paraId="4B15C21A" w14:textId="77777777" w:rsidR="0062154B" w:rsidRPr="00913ABA" w:rsidRDefault="0062154B" w:rsidP="00D93C1D">
            <w:pPr>
              <w:rPr>
                <w:lang w:val="en-US" w:eastAsia="nl-NL"/>
              </w:rPr>
            </w:pPr>
            <w:r w:rsidRPr="00913ABA">
              <w:rPr>
                <w:lang w:eastAsia="nl-NL"/>
              </w:rPr>
              <w:t>BMI (kg/m2)</w:t>
            </w:r>
            <w:r w:rsidRPr="00913ABA">
              <w:rPr>
                <w:lang w:val="en-US" w:eastAsia="nl-NL"/>
              </w:rPr>
              <w:t> </w:t>
            </w:r>
          </w:p>
          <w:p w14:paraId="1CC448A6" w14:textId="77777777" w:rsidR="0062154B" w:rsidRPr="00913ABA" w:rsidRDefault="0062154B" w:rsidP="00D93C1D">
            <w:pPr>
              <w:rPr>
                <w:lang w:val="en-US" w:eastAsia="nl-NL"/>
              </w:rPr>
            </w:pPr>
            <w:r w:rsidRPr="00913ABA">
              <w:rPr>
                <w:lang w:eastAsia="nl-NL"/>
              </w:rPr>
              <w:t>Mean (SD)</w:t>
            </w:r>
            <w:r w:rsidRPr="00913ABA">
              <w:rPr>
                <w:lang w:val="en-US" w:eastAsia="nl-NL"/>
              </w:rPr>
              <w:t> </w:t>
            </w:r>
          </w:p>
        </w:tc>
        <w:tc>
          <w:tcPr>
            <w:tcW w:w="1410" w:type="dxa"/>
            <w:hideMark/>
          </w:tcPr>
          <w:p w14:paraId="3123BCAE" w14:textId="77777777" w:rsidR="0062154B" w:rsidRPr="00913ABA" w:rsidRDefault="0062154B" w:rsidP="00D93C1D">
            <w:pPr>
              <w:rPr>
                <w:lang w:val="en-US" w:eastAsia="nl-NL"/>
              </w:rPr>
            </w:pPr>
            <w:r w:rsidRPr="00913ABA">
              <w:rPr>
                <w:lang w:val="en-US" w:eastAsia="nl-NL"/>
              </w:rPr>
              <w:t> </w:t>
            </w:r>
          </w:p>
          <w:p w14:paraId="430A37C7" w14:textId="77777777" w:rsidR="0062154B" w:rsidRPr="00913ABA" w:rsidRDefault="0062154B" w:rsidP="00D93C1D">
            <w:pPr>
              <w:rPr>
                <w:lang w:val="nl-NL" w:eastAsia="nl-NL"/>
              </w:rPr>
            </w:pPr>
            <w:r w:rsidRPr="00913ABA">
              <w:rPr>
                <w:lang w:eastAsia="nl-NL"/>
              </w:rPr>
              <w:t>23.03 (3.85)</w:t>
            </w:r>
            <w:r w:rsidRPr="00913ABA">
              <w:rPr>
                <w:lang w:val="nl-NL" w:eastAsia="nl-NL"/>
              </w:rPr>
              <w:t> </w:t>
            </w:r>
          </w:p>
        </w:tc>
        <w:tc>
          <w:tcPr>
            <w:tcW w:w="1635" w:type="dxa"/>
            <w:hideMark/>
          </w:tcPr>
          <w:p w14:paraId="7A0A9B97" w14:textId="77777777" w:rsidR="0062154B" w:rsidRPr="00913ABA" w:rsidRDefault="0062154B" w:rsidP="00D93C1D">
            <w:pPr>
              <w:rPr>
                <w:lang w:val="nl-NL" w:eastAsia="nl-NL"/>
              </w:rPr>
            </w:pPr>
            <w:r w:rsidRPr="00913ABA">
              <w:rPr>
                <w:lang w:val="nl-NL" w:eastAsia="nl-NL"/>
              </w:rPr>
              <w:t> </w:t>
            </w:r>
          </w:p>
          <w:p w14:paraId="03FFE8F2" w14:textId="77777777" w:rsidR="0062154B" w:rsidRPr="00913ABA" w:rsidRDefault="0062154B" w:rsidP="00D93C1D">
            <w:pPr>
              <w:rPr>
                <w:lang w:val="nl-NL" w:eastAsia="nl-NL"/>
              </w:rPr>
            </w:pPr>
            <w:r w:rsidRPr="00913ABA">
              <w:rPr>
                <w:lang w:eastAsia="nl-NL"/>
              </w:rPr>
              <w:t>22.71 (3.40)</w:t>
            </w:r>
            <w:r w:rsidRPr="00913ABA">
              <w:rPr>
                <w:lang w:val="nl-NL" w:eastAsia="nl-NL"/>
              </w:rPr>
              <w:t> </w:t>
            </w:r>
          </w:p>
        </w:tc>
        <w:tc>
          <w:tcPr>
            <w:tcW w:w="1470" w:type="dxa"/>
            <w:gridSpan w:val="2"/>
            <w:hideMark/>
          </w:tcPr>
          <w:p w14:paraId="0B982D69" w14:textId="77777777" w:rsidR="0062154B" w:rsidRPr="00913ABA" w:rsidRDefault="0062154B" w:rsidP="00D93C1D">
            <w:pPr>
              <w:rPr>
                <w:lang w:val="nl-NL" w:eastAsia="nl-NL"/>
              </w:rPr>
            </w:pPr>
            <w:r w:rsidRPr="00913ABA">
              <w:rPr>
                <w:lang w:val="nl-NL" w:eastAsia="nl-NL"/>
              </w:rPr>
              <w:t> </w:t>
            </w:r>
          </w:p>
          <w:p w14:paraId="6812D009" w14:textId="77777777" w:rsidR="0062154B" w:rsidRPr="00913ABA" w:rsidRDefault="0062154B" w:rsidP="00D93C1D">
            <w:pPr>
              <w:rPr>
                <w:lang w:val="nl-NL" w:eastAsia="nl-NL"/>
              </w:rPr>
            </w:pPr>
            <w:r w:rsidRPr="00913ABA">
              <w:rPr>
                <w:lang w:eastAsia="nl-NL"/>
              </w:rPr>
              <w:t>22.92 (3.27)</w:t>
            </w:r>
            <w:r w:rsidRPr="00913ABA">
              <w:rPr>
                <w:lang w:val="nl-NL" w:eastAsia="nl-NL"/>
              </w:rPr>
              <w:t> </w:t>
            </w:r>
          </w:p>
        </w:tc>
        <w:tc>
          <w:tcPr>
            <w:tcW w:w="1575" w:type="dxa"/>
            <w:hideMark/>
          </w:tcPr>
          <w:p w14:paraId="34C3E0A2" w14:textId="77777777" w:rsidR="0062154B" w:rsidRPr="00913ABA" w:rsidRDefault="0062154B" w:rsidP="00D93C1D">
            <w:pPr>
              <w:rPr>
                <w:lang w:val="nl-NL" w:eastAsia="nl-NL"/>
              </w:rPr>
            </w:pPr>
            <w:r w:rsidRPr="00913ABA">
              <w:rPr>
                <w:lang w:val="nl-NL" w:eastAsia="nl-NL"/>
              </w:rPr>
              <w:t> </w:t>
            </w:r>
          </w:p>
          <w:p w14:paraId="598D67E3" w14:textId="77777777" w:rsidR="0062154B" w:rsidRPr="00913ABA" w:rsidRDefault="0062154B" w:rsidP="00D93C1D">
            <w:pPr>
              <w:rPr>
                <w:lang w:val="nl-NL" w:eastAsia="nl-NL"/>
              </w:rPr>
            </w:pPr>
            <w:r w:rsidRPr="00913ABA">
              <w:rPr>
                <w:lang w:eastAsia="nl-NL"/>
              </w:rPr>
              <w:t>23.27 (4.02)</w:t>
            </w:r>
            <w:r w:rsidRPr="00913ABA">
              <w:rPr>
                <w:lang w:val="nl-NL" w:eastAsia="nl-NL"/>
              </w:rPr>
              <w:t> </w:t>
            </w:r>
          </w:p>
        </w:tc>
      </w:tr>
      <w:tr w:rsidR="0062154B" w:rsidRPr="00913ABA" w14:paraId="2D5D0557" w14:textId="77777777" w:rsidTr="00D93C1D">
        <w:trPr>
          <w:trHeight w:val="300"/>
        </w:trPr>
        <w:tc>
          <w:tcPr>
            <w:tcW w:w="2970" w:type="dxa"/>
            <w:hideMark/>
          </w:tcPr>
          <w:p w14:paraId="01F55B0B" w14:textId="77777777" w:rsidR="0062154B" w:rsidRPr="00913ABA" w:rsidRDefault="0062154B" w:rsidP="00D93C1D">
            <w:pPr>
              <w:rPr>
                <w:lang w:val="en-US" w:eastAsia="nl-NL"/>
              </w:rPr>
            </w:pPr>
            <w:r w:rsidRPr="00913ABA">
              <w:rPr>
                <w:lang w:eastAsia="nl-NL"/>
              </w:rPr>
              <w:t>ppFEV1 category at Day -14</w:t>
            </w:r>
            <w:r w:rsidRPr="00913ABA">
              <w:rPr>
                <w:vertAlign w:val="superscript"/>
                <w:lang w:eastAsia="nl-NL"/>
              </w:rPr>
              <w:t>a</w:t>
            </w:r>
            <w:r w:rsidRPr="00913ABA">
              <w:rPr>
                <w:lang w:eastAsia="nl-NL"/>
              </w:rPr>
              <w:t>, n (%)</w:t>
            </w:r>
            <w:r w:rsidRPr="00913ABA">
              <w:rPr>
                <w:lang w:val="en-US" w:eastAsia="nl-NL"/>
              </w:rPr>
              <w:t> </w:t>
            </w:r>
          </w:p>
          <w:p w14:paraId="3CB253F1" w14:textId="77777777" w:rsidR="0062154B" w:rsidRPr="00913ABA" w:rsidRDefault="0062154B" w:rsidP="00D93C1D">
            <w:pPr>
              <w:rPr>
                <w:lang w:val="nl-NL" w:eastAsia="nl-NL"/>
              </w:rPr>
            </w:pPr>
            <w:r w:rsidRPr="00913ABA">
              <w:rPr>
                <w:lang w:eastAsia="nl-NL"/>
              </w:rPr>
              <w:t>&lt;70 percentage points</w:t>
            </w:r>
            <w:r w:rsidRPr="00913ABA">
              <w:rPr>
                <w:lang w:val="nl-NL" w:eastAsia="nl-NL"/>
              </w:rPr>
              <w:t> </w:t>
            </w:r>
          </w:p>
          <w:p w14:paraId="204B1F12" w14:textId="77777777" w:rsidR="0062154B" w:rsidRPr="00913ABA" w:rsidRDefault="0062154B" w:rsidP="00D93C1D">
            <w:pPr>
              <w:rPr>
                <w:lang w:val="nl-NL" w:eastAsia="nl-NL"/>
              </w:rPr>
            </w:pPr>
            <w:r w:rsidRPr="00913ABA">
              <w:rPr>
                <w:lang w:eastAsia="nl-NL"/>
              </w:rPr>
              <w:t>≥70 percentage points</w:t>
            </w:r>
            <w:r w:rsidRPr="00913ABA">
              <w:rPr>
                <w:lang w:val="nl-NL" w:eastAsia="nl-NL"/>
              </w:rPr>
              <w:t> </w:t>
            </w:r>
          </w:p>
        </w:tc>
        <w:tc>
          <w:tcPr>
            <w:tcW w:w="1410" w:type="dxa"/>
            <w:hideMark/>
          </w:tcPr>
          <w:p w14:paraId="7CF3A9D6" w14:textId="77777777" w:rsidR="0062154B" w:rsidRPr="00913ABA" w:rsidRDefault="0062154B" w:rsidP="00D93C1D">
            <w:pPr>
              <w:rPr>
                <w:lang w:val="nl-NL" w:eastAsia="nl-NL"/>
              </w:rPr>
            </w:pPr>
            <w:r w:rsidRPr="00913ABA">
              <w:rPr>
                <w:lang w:val="nl-NL" w:eastAsia="nl-NL"/>
              </w:rPr>
              <w:t> </w:t>
            </w:r>
          </w:p>
          <w:p w14:paraId="2AC76EB4" w14:textId="77777777" w:rsidR="0062154B" w:rsidRPr="00913ABA" w:rsidRDefault="0062154B" w:rsidP="00D93C1D">
            <w:pPr>
              <w:rPr>
                <w:lang w:val="nl-NL" w:eastAsia="nl-NL"/>
              </w:rPr>
            </w:pPr>
            <w:r w:rsidRPr="00913ABA">
              <w:rPr>
                <w:lang w:val="nl-NL" w:eastAsia="nl-NL"/>
              </w:rPr>
              <w:t> </w:t>
            </w:r>
            <w:r w:rsidRPr="00913ABA">
              <w:rPr>
                <w:lang w:eastAsia="nl-NL"/>
              </w:rPr>
              <w:t>106 (52.5)</w:t>
            </w:r>
            <w:r w:rsidRPr="00913ABA">
              <w:rPr>
                <w:lang w:val="nl-NL" w:eastAsia="nl-NL"/>
              </w:rPr>
              <w:t> </w:t>
            </w:r>
          </w:p>
          <w:p w14:paraId="3FEEC1E3" w14:textId="77777777" w:rsidR="0062154B" w:rsidRPr="00913ABA" w:rsidRDefault="0062154B" w:rsidP="00D93C1D">
            <w:pPr>
              <w:rPr>
                <w:lang w:val="nl-NL" w:eastAsia="nl-NL"/>
              </w:rPr>
            </w:pPr>
            <w:r w:rsidRPr="00913ABA">
              <w:rPr>
                <w:lang w:eastAsia="nl-NL"/>
              </w:rPr>
              <w:t>96 (47.5)</w:t>
            </w:r>
            <w:r w:rsidRPr="00913ABA">
              <w:rPr>
                <w:lang w:val="nl-NL" w:eastAsia="nl-NL"/>
              </w:rPr>
              <w:t> </w:t>
            </w:r>
          </w:p>
        </w:tc>
        <w:tc>
          <w:tcPr>
            <w:tcW w:w="1635" w:type="dxa"/>
            <w:hideMark/>
          </w:tcPr>
          <w:p w14:paraId="4590FAC8" w14:textId="77777777" w:rsidR="0062154B" w:rsidRPr="00913ABA" w:rsidRDefault="0062154B" w:rsidP="00D93C1D">
            <w:pPr>
              <w:rPr>
                <w:lang w:val="nl-NL" w:eastAsia="nl-NL"/>
              </w:rPr>
            </w:pPr>
            <w:r w:rsidRPr="00913ABA">
              <w:rPr>
                <w:lang w:val="nl-NL" w:eastAsia="nl-NL"/>
              </w:rPr>
              <w:t> </w:t>
            </w:r>
          </w:p>
          <w:p w14:paraId="65F191E9" w14:textId="77777777" w:rsidR="0062154B" w:rsidRPr="00913ABA" w:rsidRDefault="0062154B" w:rsidP="00D93C1D">
            <w:pPr>
              <w:rPr>
                <w:lang w:val="nl-NL" w:eastAsia="nl-NL"/>
              </w:rPr>
            </w:pPr>
            <w:r w:rsidRPr="00913ABA">
              <w:rPr>
                <w:lang w:val="nl-NL" w:eastAsia="nl-NL"/>
              </w:rPr>
              <w:t> </w:t>
            </w:r>
            <w:r w:rsidRPr="00913ABA">
              <w:rPr>
                <w:lang w:eastAsia="nl-NL"/>
              </w:rPr>
              <w:t>105 (53.6)</w:t>
            </w:r>
            <w:r w:rsidRPr="00913ABA">
              <w:rPr>
                <w:lang w:val="nl-NL" w:eastAsia="nl-NL"/>
              </w:rPr>
              <w:t> </w:t>
            </w:r>
          </w:p>
          <w:p w14:paraId="7F778DE1" w14:textId="77777777" w:rsidR="0062154B" w:rsidRPr="00913ABA" w:rsidRDefault="0062154B" w:rsidP="00D93C1D">
            <w:pPr>
              <w:rPr>
                <w:lang w:val="nl-NL" w:eastAsia="nl-NL"/>
              </w:rPr>
            </w:pPr>
            <w:r w:rsidRPr="00913ABA">
              <w:rPr>
                <w:lang w:eastAsia="nl-NL"/>
              </w:rPr>
              <w:t>91 (46.4)</w:t>
            </w:r>
            <w:r w:rsidRPr="00913ABA">
              <w:rPr>
                <w:lang w:val="nl-NL" w:eastAsia="nl-NL"/>
              </w:rPr>
              <w:t> </w:t>
            </w:r>
          </w:p>
        </w:tc>
        <w:tc>
          <w:tcPr>
            <w:tcW w:w="1470" w:type="dxa"/>
            <w:gridSpan w:val="2"/>
            <w:hideMark/>
          </w:tcPr>
          <w:p w14:paraId="288AE2B5" w14:textId="77777777" w:rsidR="0062154B" w:rsidRPr="00913ABA" w:rsidRDefault="0062154B" w:rsidP="00D93C1D">
            <w:pPr>
              <w:rPr>
                <w:lang w:val="nl-NL" w:eastAsia="nl-NL"/>
              </w:rPr>
            </w:pPr>
            <w:r w:rsidRPr="00913ABA">
              <w:rPr>
                <w:lang w:val="nl-NL" w:eastAsia="nl-NL"/>
              </w:rPr>
              <w:t> </w:t>
            </w:r>
          </w:p>
          <w:p w14:paraId="7327F7DE" w14:textId="77777777" w:rsidR="0062154B" w:rsidRPr="00913ABA" w:rsidRDefault="0062154B" w:rsidP="00D93C1D">
            <w:pPr>
              <w:rPr>
                <w:lang w:val="nl-NL" w:eastAsia="nl-NL"/>
              </w:rPr>
            </w:pPr>
            <w:r w:rsidRPr="00913ABA">
              <w:rPr>
                <w:lang w:val="nl-NL" w:eastAsia="nl-NL"/>
              </w:rPr>
              <w:t> </w:t>
            </w:r>
            <w:r w:rsidRPr="00913ABA">
              <w:rPr>
                <w:lang w:eastAsia="nl-NL"/>
              </w:rPr>
              <w:t>166 (57.4)</w:t>
            </w:r>
            <w:r w:rsidRPr="00913ABA">
              <w:rPr>
                <w:lang w:val="nl-NL" w:eastAsia="nl-NL"/>
              </w:rPr>
              <w:t> </w:t>
            </w:r>
          </w:p>
          <w:p w14:paraId="5F5CEFBD" w14:textId="77777777" w:rsidR="0062154B" w:rsidRPr="00913ABA" w:rsidRDefault="0062154B" w:rsidP="00D93C1D">
            <w:pPr>
              <w:rPr>
                <w:lang w:val="nl-NL" w:eastAsia="nl-NL"/>
              </w:rPr>
            </w:pPr>
            <w:r w:rsidRPr="00913ABA">
              <w:rPr>
                <w:lang w:eastAsia="nl-NL"/>
              </w:rPr>
              <w:t>123 (42.6)</w:t>
            </w:r>
            <w:r w:rsidRPr="00913ABA">
              <w:rPr>
                <w:lang w:val="nl-NL" w:eastAsia="nl-NL"/>
              </w:rPr>
              <w:t> </w:t>
            </w:r>
          </w:p>
        </w:tc>
        <w:tc>
          <w:tcPr>
            <w:tcW w:w="1575" w:type="dxa"/>
            <w:hideMark/>
          </w:tcPr>
          <w:p w14:paraId="0B661BAD" w14:textId="77777777" w:rsidR="0062154B" w:rsidRPr="00913ABA" w:rsidRDefault="0062154B" w:rsidP="00D93C1D">
            <w:pPr>
              <w:rPr>
                <w:lang w:val="nl-NL" w:eastAsia="nl-NL"/>
              </w:rPr>
            </w:pPr>
            <w:r w:rsidRPr="00913ABA">
              <w:rPr>
                <w:lang w:val="nl-NL" w:eastAsia="nl-NL"/>
              </w:rPr>
              <w:t> </w:t>
            </w:r>
          </w:p>
          <w:p w14:paraId="6740728B" w14:textId="77777777" w:rsidR="0062154B" w:rsidRPr="00913ABA" w:rsidRDefault="0062154B" w:rsidP="00D93C1D">
            <w:pPr>
              <w:rPr>
                <w:lang w:val="nl-NL" w:eastAsia="nl-NL"/>
              </w:rPr>
            </w:pPr>
            <w:r w:rsidRPr="00913ABA">
              <w:rPr>
                <w:lang w:val="nl-NL" w:eastAsia="nl-NL"/>
              </w:rPr>
              <w:t> </w:t>
            </w:r>
            <w:r w:rsidRPr="00913ABA">
              <w:rPr>
                <w:lang w:eastAsia="nl-NL"/>
              </w:rPr>
              <w:t>161 (56.7)</w:t>
            </w:r>
            <w:r w:rsidRPr="00913ABA">
              <w:rPr>
                <w:lang w:val="nl-NL" w:eastAsia="nl-NL"/>
              </w:rPr>
              <w:t> </w:t>
            </w:r>
          </w:p>
          <w:p w14:paraId="2E772F44" w14:textId="77777777" w:rsidR="0062154B" w:rsidRPr="00913ABA" w:rsidRDefault="0062154B" w:rsidP="00D93C1D">
            <w:pPr>
              <w:rPr>
                <w:lang w:val="nl-NL" w:eastAsia="nl-NL"/>
              </w:rPr>
            </w:pPr>
            <w:r w:rsidRPr="00913ABA">
              <w:rPr>
                <w:lang w:eastAsia="nl-NL"/>
              </w:rPr>
              <w:t>123 (43.3)</w:t>
            </w:r>
            <w:r w:rsidRPr="00913ABA">
              <w:rPr>
                <w:lang w:val="nl-NL" w:eastAsia="nl-NL"/>
              </w:rPr>
              <w:t> </w:t>
            </w:r>
          </w:p>
        </w:tc>
      </w:tr>
      <w:tr w:rsidR="0062154B" w:rsidRPr="00913ABA" w14:paraId="66605FF6" w14:textId="77777777" w:rsidTr="00D93C1D">
        <w:trPr>
          <w:trHeight w:val="300"/>
        </w:trPr>
        <w:tc>
          <w:tcPr>
            <w:tcW w:w="2970" w:type="dxa"/>
            <w:hideMark/>
          </w:tcPr>
          <w:p w14:paraId="64A2B8F0" w14:textId="77777777" w:rsidR="0062154B" w:rsidRPr="00913ABA" w:rsidRDefault="0062154B" w:rsidP="00D93C1D">
            <w:pPr>
              <w:rPr>
                <w:lang w:val="en-US" w:eastAsia="nl-NL"/>
              </w:rPr>
            </w:pPr>
            <w:r w:rsidRPr="00913ABA">
              <w:rPr>
                <w:lang w:eastAsia="nl-NL"/>
              </w:rPr>
              <w:t>ppFEV1 (%) at baseline, n (%)</w:t>
            </w:r>
            <w:r w:rsidRPr="00913ABA">
              <w:rPr>
                <w:lang w:val="en-US" w:eastAsia="nl-NL"/>
              </w:rPr>
              <w:t> </w:t>
            </w:r>
          </w:p>
          <w:p w14:paraId="519DC353" w14:textId="77777777" w:rsidR="0062154B" w:rsidRPr="00913ABA" w:rsidRDefault="0062154B" w:rsidP="00D93C1D">
            <w:pPr>
              <w:rPr>
                <w:lang w:val="en-US" w:eastAsia="nl-NL"/>
              </w:rPr>
            </w:pPr>
            <w:r w:rsidRPr="00913ABA">
              <w:rPr>
                <w:lang w:eastAsia="nl-NL"/>
              </w:rPr>
              <w:t>Mean (SD)</w:t>
            </w:r>
            <w:r w:rsidRPr="00913ABA">
              <w:rPr>
                <w:lang w:val="en-US" w:eastAsia="nl-NL"/>
              </w:rPr>
              <w:t> </w:t>
            </w:r>
          </w:p>
        </w:tc>
        <w:tc>
          <w:tcPr>
            <w:tcW w:w="1410" w:type="dxa"/>
            <w:hideMark/>
          </w:tcPr>
          <w:p w14:paraId="2C5B35D3" w14:textId="77777777" w:rsidR="0062154B" w:rsidRPr="00913ABA" w:rsidRDefault="0062154B" w:rsidP="00D93C1D">
            <w:pPr>
              <w:rPr>
                <w:lang w:val="en-US" w:eastAsia="nl-NL"/>
              </w:rPr>
            </w:pPr>
            <w:r w:rsidRPr="00913ABA">
              <w:rPr>
                <w:lang w:val="en-US" w:eastAsia="nl-NL"/>
              </w:rPr>
              <w:t> </w:t>
            </w:r>
          </w:p>
          <w:p w14:paraId="422C9DFE" w14:textId="77777777" w:rsidR="0062154B" w:rsidRPr="00913ABA" w:rsidRDefault="0062154B" w:rsidP="00D93C1D">
            <w:pPr>
              <w:rPr>
                <w:lang w:val="en-US" w:eastAsia="nl-NL"/>
              </w:rPr>
            </w:pPr>
            <w:r w:rsidRPr="00913ABA">
              <w:rPr>
                <w:lang w:val="en-US" w:eastAsia="nl-NL"/>
              </w:rPr>
              <w:t> </w:t>
            </w:r>
            <w:r w:rsidRPr="00913ABA">
              <w:rPr>
                <w:lang w:eastAsia="nl-NL"/>
              </w:rPr>
              <w:t>67.2 (14.6)</w:t>
            </w:r>
            <w:r w:rsidRPr="00913ABA">
              <w:rPr>
                <w:lang w:val="nl-NL" w:eastAsia="nl-NL"/>
              </w:rPr>
              <w:t> </w:t>
            </w:r>
          </w:p>
        </w:tc>
        <w:tc>
          <w:tcPr>
            <w:tcW w:w="1635" w:type="dxa"/>
            <w:hideMark/>
          </w:tcPr>
          <w:p w14:paraId="44B5F7E8" w14:textId="77777777" w:rsidR="0062154B" w:rsidRPr="00913ABA" w:rsidRDefault="0062154B" w:rsidP="00D93C1D">
            <w:pPr>
              <w:rPr>
                <w:lang w:val="nl-NL" w:eastAsia="nl-NL"/>
              </w:rPr>
            </w:pPr>
            <w:r w:rsidRPr="00913ABA">
              <w:rPr>
                <w:lang w:val="nl-NL" w:eastAsia="nl-NL"/>
              </w:rPr>
              <w:t> </w:t>
            </w:r>
          </w:p>
          <w:p w14:paraId="13F468EF" w14:textId="77777777" w:rsidR="0062154B" w:rsidRPr="00913ABA" w:rsidRDefault="0062154B" w:rsidP="00D93C1D">
            <w:pPr>
              <w:rPr>
                <w:lang w:val="nl-NL" w:eastAsia="nl-NL"/>
              </w:rPr>
            </w:pPr>
            <w:r w:rsidRPr="00913ABA">
              <w:rPr>
                <w:lang w:val="nl-NL" w:eastAsia="nl-NL"/>
              </w:rPr>
              <w:t> </w:t>
            </w:r>
            <w:r w:rsidRPr="00913ABA">
              <w:rPr>
                <w:lang w:eastAsia="nl-NL"/>
              </w:rPr>
              <w:t>67.0 (15.3)</w:t>
            </w:r>
            <w:r w:rsidRPr="00913ABA">
              <w:rPr>
                <w:lang w:val="nl-NL" w:eastAsia="nl-NL"/>
              </w:rPr>
              <w:t> </w:t>
            </w:r>
          </w:p>
        </w:tc>
        <w:tc>
          <w:tcPr>
            <w:tcW w:w="1470" w:type="dxa"/>
            <w:gridSpan w:val="2"/>
            <w:hideMark/>
          </w:tcPr>
          <w:p w14:paraId="226A50A6" w14:textId="77777777" w:rsidR="0062154B" w:rsidRPr="00913ABA" w:rsidRDefault="0062154B" w:rsidP="00D93C1D">
            <w:pPr>
              <w:rPr>
                <w:lang w:val="nl-NL" w:eastAsia="nl-NL"/>
              </w:rPr>
            </w:pPr>
            <w:r w:rsidRPr="00913ABA">
              <w:rPr>
                <w:lang w:val="nl-NL" w:eastAsia="nl-NL"/>
              </w:rPr>
              <w:t> </w:t>
            </w:r>
          </w:p>
          <w:p w14:paraId="63A4B024" w14:textId="77777777" w:rsidR="0062154B" w:rsidRPr="00913ABA" w:rsidRDefault="0062154B" w:rsidP="00D93C1D">
            <w:pPr>
              <w:rPr>
                <w:lang w:val="nl-NL" w:eastAsia="nl-NL"/>
              </w:rPr>
            </w:pPr>
            <w:r w:rsidRPr="00913ABA">
              <w:rPr>
                <w:lang w:val="nl-NL" w:eastAsia="nl-NL"/>
              </w:rPr>
              <w:t> </w:t>
            </w:r>
            <w:r w:rsidRPr="00913ABA">
              <w:rPr>
                <w:lang w:eastAsia="nl-NL"/>
              </w:rPr>
              <w:t>66.4 (14.9)</w:t>
            </w:r>
            <w:r w:rsidRPr="00913ABA">
              <w:rPr>
                <w:lang w:val="nl-NL" w:eastAsia="nl-NL"/>
              </w:rPr>
              <w:t> </w:t>
            </w:r>
          </w:p>
        </w:tc>
        <w:tc>
          <w:tcPr>
            <w:tcW w:w="1575" w:type="dxa"/>
            <w:hideMark/>
          </w:tcPr>
          <w:p w14:paraId="40064BFD" w14:textId="77777777" w:rsidR="0062154B" w:rsidRPr="00913ABA" w:rsidRDefault="0062154B" w:rsidP="00D93C1D">
            <w:pPr>
              <w:rPr>
                <w:lang w:val="nl-NL" w:eastAsia="nl-NL"/>
              </w:rPr>
            </w:pPr>
            <w:r w:rsidRPr="00913ABA">
              <w:rPr>
                <w:lang w:val="nl-NL" w:eastAsia="nl-NL"/>
              </w:rPr>
              <w:t> </w:t>
            </w:r>
          </w:p>
          <w:p w14:paraId="4C9E0CDD" w14:textId="77777777" w:rsidR="0062154B" w:rsidRPr="00913ABA" w:rsidRDefault="0062154B" w:rsidP="00D93C1D">
            <w:pPr>
              <w:rPr>
                <w:lang w:val="nl-NL" w:eastAsia="nl-NL"/>
              </w:rPr>
            </w:pPr>
            <w:r w:rsidRPr="00913ABA">
              <w:rPr>
                <w:lang w:val="nl-NL" w:eastAsia="nl-NL"/>
              </w:rPr>
              <w:t> </w:t>
            </w:r>
            <w:r w:rsidRPr="00913ABA">
              <w:rPr>
                <w:lang w:eastAsia="nl-NL"/>
              </w:rPr>
              <w:t>67.2 (14.6)</w:t>
            </w:r>
            <w:r w:rsidRPr="00913ABA">
              <w:rPr>
                <w:lang w:val="nl-NL" w:eastAsia="nl-NL"/>
              </w:rPr>
              <w:t> </w:t>
            </w:r>
          </w:p>
        </w:tc>
      </w:tr>
      <w:tr w:rsidR="0062154B" w:rsidRPr="00913ABA" w14:paraId="2AC1F143" w14:textId="77777777" w:rsidTr="00D93C1D">
        <w:trPr>
          <w:trHeight w:val="300"/>
        </w:trPr>
        <w:tc>
          <w:tcPr>
            <w:tcW w:w="2970" w:type="dxa"/>
            <w:hideMark/>
          </w:tcPr>
          <w:p w14:paraId="1A4E4CDE" w14:textId="77777777" w:rsidR="0062154B" w:rsidRPr="00913ABA" w:rsidRDefault="0062154B" w:rsidP="00D93C1D">
            <w:pPr>
              <w:rPr>
                <w:lang w:val="en-US" w:eastAsia="nl-NL"/>
              </w:rPr>
            </w:pPr>
            <w:r w:rsidRPr="00913ABA">
              <w:rPr>
                <w:lang w:eastAsia="nl-NL"/>
              </w:rPr>
              <w:lastRenderedPageBreak/>
              <w:t>ppFEV1 category at baseline, n (%)</w:t>
            </w:r>
            <w:r w:rsidRPr="00913ABA">
              <w:rPr>
                <w:lang w:val="en-US" w:eastAsia="nl-NL"/>
              </w:rPr>
              <w:t> </w:t>
            </w:r>
          </w:p>
          <w:p w14:paraId="48E794B9" w14:textId="77777777" w:rsidR="0062154B" w:rsidRPr="00913ABA" w:rsidRDefault="0062154B" w:rsidP="00D93C1D">
            <w:pPr>
              <w:rPr>
                <w:lang w:val="en-US" w:eastAsia="nl-NL"/>
              </w:rPr>
            </w:pPr>
            <w:r w:rsidRPr="00913ABA">
              <w:rPr>
                <w:lang w:eastAsia="nl-NL"/>
              </w:rPr>
              <w:t>&lt;40 percentage points</w:t>
            </w:r>
            <w:r w:rsidRPr="00913ABA">
              <w:rPr>
                <w:lang w:val="en-US" w:eastAsia="nl-NL"/>
              </w:rPr>
              <w:t> </w:t>
            </w:r>
          </w:p>
          <w:p w14:paraId="77416042" w14:textId="77777777" w:rsidR="0062154B" w:rsidRPr="00913ABA" w:rsidRDefault="0062154B" w:rsidP="00D93C1D">
            <w:pPr>
              <w:rPr>
                <w:lang w:val="en-US" w:eastAsia="nl-NL"/>
              </w:rPr>
            </w:pPr>
            <w:r w:rsidRPr="00913ABA">
              <w:rPr>
                <w:lang w:eastAsia="nl-NL"/>
              </w:rPr>
              <w:t>≥40 to &lt;70 percentage points</w:t>
            </w:r>
            <w:r w:rsidRPr="00913ABA">
              <w:rPr>
                <w:lang w:val="en-US" w:eastAsia="nl-NL"/>
              </w:rPr>
              <w:t> </w:t>
            </w:r>
          </w:p>
          <w:p w14:paraId="2216C920" w14:textId="77777777" w:rsidR="0062154B" w:rsidRPr="00913ABA" w:rsidRDefault="0062154B" w:rsidP="00D93C1D">
            <w:pPr>
              <w:rPr>
                <w:lang w:val="en-US" w:eastAsia="nl-NL"/>
              </w:rPr>
            </w:pPr>
            <w:r w:rsidRPr="00913ABA">
              <w:rPr>
                <w:lang w:eastAsia="nl-NL"/>
              </w:rPr>
              <w:t>≥70 to ≤90 percentage points</w:t>
            </w:r>
            <w:r w:rsidRPr="00913ABA">
              <w:rPr>
                <w:lang w:val="en-US" w:eastAsia="nl-NL"/>
              </w:rPr>
              <w:t> </w:t>
            </w:r>
          </w:p>
          <w:p w14:paraId="5F2EA1EC" w14:textId="77777777" w:rsidR="0062154B" w:rsidRPr="00913ABA" w:rsidRDefault="0062154B" w:rsidP="00D93C1D">
            <w:pPr>
              <w:rPr>
                <w:lang w:val="nl-NL" w:eastAsia="nl-NL"/>
              </w:rPr>
            </w:pPr>
            <w:r w:rsidRPr="00913ABA">
              <w:rPr>
                <w:lang w:eastAsia="nl-NL"/>
              </w:rPr>
              <w:t>&gt;90 percentage points</w:t>
            </w:r>
            <w:r w:rsidRPr="00913ABA">
              <w:rPr>
                <w:lang w:val="nl-NL" w:eastAsia="nl-NL"/>
              </w:rPr>
              <w:t> </w:t>
            </w:r>
          </w:p>
          <w:p w14:paraId="1B06B7A6" w14:textId="77777777" w:rsidR="0062154B" w:rsidRPr="00913ABA" w:rsidRDefault="0062154B" w:rsidP="00D93C1D">
            <w:pPr>
              <w:rPr>
                <w:lang w:val="nl-NL" w:eastAsia="nl-NL"/>
              </w:rPr>
            </w:pPr>
            <w:r w:rsidRPr="00913ABA">
              <w:rPr>
                <w:lang w:eastAsia="nl-NL"/>
              </w:rPr>
              <w:t>Missing</w:t>
            </w:r>
            <w:r w:rsidRPr="00913ABA">
              <w:rPr>
                <w:lang w:val="nl-NL" w:eastAsia="nl-NL"/>
              </w:rPr>
              <w:t> </w:t>
            </w:r>
          </w:p>
        </w:tc>
        <w:tc>
          <w:tcPr>
            <w:tcW w:w="1410" w:type="dxa"/>
            <w:hideMark/>
          </w:tcPr>
          <w:p w14:paraId="6BC017C5" w14:textId="77777777" w:rsidR="0062154B" w:rsidRPr="00913ABA" w:rsidRDefault="0062154B" w:rsidP="00D93C1D">
            <w:pPr>
              <w:rPr>
                <w:lang w:val="nl-NL" w:eastAsia="nl-NL"/>
              </w:rPr>
            </w:pPr>
            <w:r w:rsidRPr="00913ABA">
              <w:rPr>
                <w:lang w:val="nl-NL" w:eastAsia="nl-NL"/>
              </w:rPr>
              <w:t> </w:t>
            </w:r>
          </w:p>
          <w:p w14:paraId="435CD0CF" w14:textId="77777777" w:rsidR="0062154B" w:rsidRPr="00913ABA" w:rsidRDefault="0062154B" w:rsidP="00D93C1D">
            <w:pPr>
              <w:rPr>
                <w:lang w:val="nl-NL" w:eastAsia="nl-NL"/>
              </w:rPr>
            </w:pPr>
            <w:r w:rsidRPr="00913ABA">
              <w:rPr>
                <w:lang w:val="nl-NL" w:eastAsia="nl-NL"/>
              </w:rPr>
              <w:t> </w:t>
            </w:r>
            <w:r w:rsidRPr="00913ABA">
              <w:rPr>
                <w:lang w:eastAsia="nl-NL"/>
              </w:rPr>
              <w:t>3 (1.5)</w:t>
            </w:r>
            <w:r w:rsidRPr="00913ABA">
              <w:rPr>
                <w:lang w:val="nl-NL" w:eastAsia="nl-NL"/>
              </w:rPr>
              <w:t> </w:t>
            </w:r>
          </w:p>
          <w:p w14:paraId="5AC372EF" w14:textId="77777777" w:rsidR="0062154B" w:rsidRPr="00913ABA" w:rsidRDefault="0062154B" w:rsidP="00D93C1D">
            <w:pPr>
              <w:rPr>
                <w:lang w:val="nl-NL" w:eastAsia="nl-NL"/>
              </w:rPr>
            </w:pPr>
            <w:r w:rsidRPr="00913ABA">
              <w:rPr>
                <w:lang w:eastAsia="nl-NL"/>
              </w:rPr>
              <w:t>111 (55.0)</w:t>
            </w:r>
            <w:r w:rsidRPr="00913ABA">
              <w:rPr>
                <w:lang w:val="nl-NL" w:eastAsia="nl-NL"/>
              </w:rPr>
              <w:t> </w:t>
            </w:r>
          </w:p>
          <w:p w14:paraId="171D1D95" w14:textId="77777777" w:rsidR="0062154B" w:rsidRPr="00913ABA" w:rsidRDefault="0062154B" w:rsidP="00D93C1D">
            <w:pPr>
              <w:rPr>
                <w:lang w:val="nl-NL" w:eastAsia="nl-NL"/>
              </w:rPr>
            </w:pPr>
            <w:r w:rsidRPr="00913ABA">
              <w:rPr>
                <w:lang w:eastAsia="nl-NL"/>
              </w:rPr>
              <w:t>79 (39.1)</w:t>
            </w:r>
            <w:r w:rsidRPr="00913ABA">
              <w:rPr>
                <w:lang w:val="nl-NL" w:eastAsia="nl-NL"/>
              </w:rPr>
              <w:t> </w:t>
            </w:r>
          </w:p>
          <w:p w14:paraId="5304A00A" w14:textId="77777777" w:rsidR="0062154B" w:rsidRPr="00913ABA" w:rsidRDefault="0062154B" w:rsidP="00D93C1D">
            <w:pPr>
              <w:rPr>
                <w:lang w:val="nl-NL" w:eastAsia="nl-NL"/>
              </w:rPr>
            </w:pPr>
            <w:r w:rsidRPr="00913ABA">
              <w:rPr>
                <w:lang w:eastAsia="nl-NL"/>
              </w:rPr>
              <w:t>8 (4.0)</w:t>
            </w:r>
            <w:r w:rsidRPr="00913ABA">
              <w:rPr>
                <w:lang w:val="nl-NL" w:eastAsia="nl-NL"/>
              </w:rPr>
              <w:t> </w:t>
            </w:r>
          </w:p>
          <w:p w14:paraId="737C8156" w14:textId="77777777" w:rsidR="0062154B" w:rsidRPr="00913ABA" w:rsidRDefault="0062154B" w:rsidP="00D93C1D">
            <w:pPr>
              <w:rPr>
                <w:lang w:val="nl-NL" w:eastAsia="nl-NL"/>
              </w:rPr>
            </w:pPr>
            <w:r w:rsidRPr="00913ABA">
              <w:rPr>
                <w:lang w:eastAsia="nl-NL"/>
              </w:rPr>
              <w:t>1 (0.5)</w:t>
            </w:r>
            <w:r w:rsidRPr="00913ABA">
              <w:rPr>
                <w:lang w:val="nl-NL" w:eastAsia="nl-NL"/>
              </w:rPr>
              <w:t> </w:t>
            </w:r>
          </w:p>
        </w:tc>
        <w:tc>
          <w:tcPr>
            <w:tcW w:w="1635" w:type="dxa"/>
            <w:hideMark/>
          </w:tcPr>
          <w:p w14:paraId="0A7ABB0E" w14:textId="77777777" w:rsidR="0062154B" w:rsidRPr="00913ABA" w:rsidRDefault="0062154B" w:rsidP="00D93C1D">
            <w:pPr>
              <w:rPr>
                <w:lang w:val="nl-NL" w:eastAsia="nl-NL"/>
              </w:rPr>
            </w:pPr>
            <w:r w:rsidRPr="00913ABA">
              <w:rPr>
                <w:lang w:val="nl-NL" w:eastAsia="nl-NL"/>
              </w:rPr>
              <w:t> </w:t>
            </w:r>
          </w:p>
          <w:p w14:paraId="2166B079" w14:textId="77777777" w:rsidR="0062154B" w:rsidRPr="00913ABA" w:rsidRDefault="0062154B" w:rsidP="00D93C1D">
            <w:pPr>
              <w:rPr>
                <w:lang w:val="nl-NL" w:eastAsia="nl-NL"/>
              </w:rPr>
            </w:pPr>
            <w:r w:rsidRPr="00913ABA">
              <w:rPr>
                <w:lang w:val="nl-NL" w:eastAsia="nl-NL"/>
              </w:rPr>
              <w:t> </w:t>
            </w:r>
            <w:r w:rsidRPr="00913ABA">
              <w:rPr>
                <w:lang w:eastAsia="nl-NL"/>
              </w:rPr>
              <w:t>6 (3.1)</w:t>
            </w:r>
            <w:r w:rsidRPr="00913ABA">
              <w:rPr>
                <w:lang w:val="nl-NL" w:eastAsia="nl-NL"/>
              </w:rPr>
              <w:t> </w:t>
            </w:r>
          </w:p>
          <w:p w14:paraId="7B8CE81F" w14:textId="77777777" w:rsidR="0062154B" w:rsidRPr="00913ABA" w:rsidRDefault="0062154B" w:rsidP="00D93C1D">
            <w:pPr>
              <w:rPr>
                <w:lang w:val="nl-NL" w:eastAsia="nl-NL"/>
              </w:rPr>
            </w:pPr>
            <w:r w:rsidRPr="00913ABA">
              <w:rPr>
                <w:lang w:eastAsia="nl-NL"/>
              </w:rPr>
              <w:t>95 (48.5)</w:t>
            </w:r>
            <w:r w:rsidRPr="00913ABA">
              <w:rPr>
                <w:lang w:val="nl-NL" w:eastAsia="nl-NL"/>
              </w:rPr>
              <w:t> </w:t>
            </w:r>
          </w:p>
          <w:p w14:paraId="67B1E91E" w14:textId="77777777" w:rsidR="0062154B" w:rsidRPr="00913ABA" w:rsidRDefault="0062154B" w:rsidP="00D93C1D">
            <w:pPr>
              <w:rPr>
                <w:lang w:val="nl-NL" w:eastAsia="nl-NL"/>
              </w:rPr>
            </w:pPr>
            <w:r w:rsidRPr="00913ABA">
              <w:rPr>
                <w:lang w:eastAsia="nl-NL"/>
              </w:rPr>
              <w:t>85 (43.4)</w:t>
            </w:r>
            <w:r w:rsidRPr="00913ABA">
              <w:rPr>
                <w:lang w:val="nl-NL" w:eastAsia="nl-NL"/>
              </w:rPr>
              <w:t> </w:t>
            </w:r>
          </w:p>
          <w:p w14:paraId="2F49077B" w14:textId="77777777" w:rsidR="0062154B" w:rsidRPr="00913ABA" w:rsidRDefault="0062154B" w:rsidP="00D93C1D">
            <w:pPr>
              <w:rPr>
                <w:lang w:val="nl-NL" w:eastAsia="nl-NL"/>
              </w:rPr>
            </w:pPr>
            <w:r w:rsidRPr="00913ABA">
              <w:rPr>
                <w:lang w:eastAsia="nl-NL"/>
              </w:rPr>
              <w:t>7 (3.6)</w:t>
            </w:r>
            <w:r w:rsidRPr="00913ABA">
              <w:rPr>
                <w:lang w:val="nl-NL" w:eastAsia="nl-NL"/>
              </w:rPr>
              <w:t> </w:t>
            </w:r>
          </w:p>
          <w:p w14:paraId="1FB0BC86" w14:textId="77777777" w:rsidR="0062154B" w:rsidRPr="00913ABA" w:rsidRDefault="0062154B" w:rsidP="00D93C1D">
            <w:pPr>
              <w:rPr>
                <w:lang w:val="nl-NL" w:eastAsia="nl-NL"/>
              </w:rPr>
            </w:pPr>
            <w:r w:rsidRPr="00913ABA">
              <w:rPr>
                <w:lang w:eastAsia="nl-NL"/>
              </w:rPr>
              <w:t>3 (1.5)</w:t>
            </w:r>
            <w:r w:rsidRPr="00913ABA">
              <w:rPr>
                <w:lang w:val="nl-NL" w:eastAsia="nl-NL"/>
              </w:rPr>
              <w:t> </w:t>
            </w:r>
          </w:p>
        </w:tc>
        <w:tc>
          <w:tcPr>
            <w:tcW w:w="1470" w:type="dxa"/>
            <w:gridSpan w:val="2"/>
            <w:hideMark/>
          </w:tcPr>
          <w:p w14:paraId="5A3D150E" w14:textId="77777777" w:rsidR="0062154B" w:rsidRPr="00913ABA" w:rsidRDefault="0062154B" w:rsidP="00D93C1D">
            <w:pPr>
              <w:rPr>
                <w:lang w:val="nl-NL" w:eastAsia="nl-NL"/>
              </w:rPr>
            </w:pPr>
            <w:r w:rsidRPr="00913ABA">
              <w:rPr>
                <w:lang w:val="nl-NL" w:eastAsia="nl-NL"/>
              </w:rPr>
              <w:t> </w:t>
            </w:r>
          </w:p>
          <w:p w14:paraId="745D92A6" w14:textId="77777777" w:rsidR="0062154B" w:rsidRPr="00913ABA" w:rsidRDefault="0062154B" w:rsidP="00D93C1D">
            <w:pPr>
              <w:rPr>
                <w:lang w:val="nl-NL" w:eastAsia="nl-NL"/>
              </w:rPr>
            </w:pPr>
            <w:r w:rsidRPr="00913ABA">
              <w:rPr>
                <w:lang w:val="nl-NL" w:eastAsia="nl-NL"/>
              </w:rPr>
              <w:t> </w:t>
            </w:r>
            <w:r w:rsidRPr="00913ABA">
              <w:rPr>
                <w:lang w:eastAsia="nl-NL"/>
              </w:rPr>
              <w:t>7 (2.4)</w:t>
            </w:r>
            <w:r w:rsidRPr="00913ABA">
              <w:rPr>
                <w:lang w:val="nl-NL" w:eastAsia="nl-NL"/>
              </w:rPr>
              <w:t> </w:t>
            </w:r>
          </w:p>
          <w:p w14:paraId="44CFDEF8" w14:textId="77777777" w:rsidR="0062154B" w:rsidRPr="00913ABA" w:rsidRDefault="0062154B" w:rsidP="00D93C1D">
            <w:pPr>
              <w:rPr>
                <w:lang w:val="nl-NL" w:eastAsia="nl-NL"/>
              </w:rPr>
            </w:pPr>
            <w:r w:rsidRPr="00913ABA">
              <w:rPr>
                <w:lang w:eastAsia="nl-NL"/>
              </w:rPr>
              <w:t>160 (55.4)</w:t>
            </w:r>
            <w:r w:rsidRPr="00913ABA">
              <w:rPr>
                <w:lang w:val="nl-NL" w:eastAsia="nl-NL"/>
              </w:rPr>
              <w:t> </w:t>
            </w:r>
          </w:p>
          <w:p w14:paraId="75A9A2E3" w14:textId="77777777" w:rsidR="0062154B" w:rsidRPr="00913ABA" w:rsidRDefault="0062154B" w:rsidP="00D93C1D">
            <w:pPr>
              <w:rPr>
                <w:lang w:val="nl-NL" w:eastAsia="nl-NL"/>
              </w:rPr>
            </w:pPr>
            <w:r w:rsidRPr="00913ABA">
              <w:rPr>
                <w:lang w:eastAsia="nl-NL"/>
              </w:rPr>
              <w:t>107 (37.0)</w:t>
            </w:r>
            <w:r w:rsidRPr="00913ABA">
              <w:rPr>
                <w:lang w:val="nl-NL" w:eastAsia="nl-NL"/>
              </w:rPr>
              <w:t> </w:t>
            </w:r>
          </w:p>
          <w:p w14:paraId="07DAD3A8" w14:textId="77777777" w:rsidR="0062154B" w:rsidRPr="00913ABA" w:rsidRDefault="0062154B" w:rsidP="00D93C1D">
            <w:pPr>
              <w:rPr>
                <w:lang w:val="nl-NL" w:eastAsia="nl-NL"/>
              </w:rPr>
            </w:pPr>
            <w:r w:rsidRPr="00913ABA">
              <w:rPr>
                <w:lang w:eastAsia="nl-NL"/>
              </w:rPr>
              <w:t>12 (4.2)</w:t>
            </w:r>
            <w:r w:rsidRPr="00913ABA">
              <w:rPr>
                <w:lang w:val="nl-NL" w:eastAsia="nl-NL"/>
              </w:rPr>
              <w:t> </w:t>
            </w:r>
          </w:p>
          <w:p w14:paraId="70F68ACD" w14:textId="77777777" w:rsidR="0062154B" w:rsidRPr="00913ABA" w:rsidRDefault="0062154B" w:rsidP="00D93C1D">
            <w:pPr>
              <w:rPr>
                <w:lang w:val="nl-NL" w:eastAsia="nl-NL"/>
              </w:rPr>
            </w:pPr>
            <w:r w:rsidRPr="00913ABA">
              <w:rPr>
                <w:lang w:eastAsia="nl-NL"/>
              </w:rPr>
              <w:t>3 (1.0)</w:t>
            </w:r>
            <w:r w:rsidRPr="00913ABA">
              <w:rPr>
                <w:lang w:val="nl-NL" w:eastAsia="nl-NL"/>
              </w:rPr>
              <w:t> </w:t>
            </w:r>
          </w:p>
        </w:tc>
        <w:tc>
          <w:tcPr>
            <w:tcW w:w="1575" w:type="dxa"/>
            <w:hideMark/>
          </w:tcPr>
          <w:p w14:paraId="3D37D235" w14:textId="77777777" w:rsidR="0062154B" w:rsidRPr="00913ABA" w:rsidRDefault="0062154B" w:rsidP="00D93C1D">
            <w:pPr>
              <w:rPr>
                <w:lang w:val="nl-NL" w:eastAsia="nl-NL"/>
              </w:rPr>
            </w:pPr>
            <w:r w:rsidRPr="00913ABA">
              <w:rPr>
                <w:lang w:val="nl-NL" w:eastAsia="nl-NL"/>
              </w:rPr>
              <w:t> </w:t>
            </w:r>
          </w:p>
          <w:p w14:paraId="21881F49" w14:textId="77777777" w:rsidR="0062154B" w:rsidRPr="00913ABA" w:rsidRDefault="0062154B" w:rsidP="00D93C1D">
            <w:pPr>
              <w:rPr>
                <w:lang w:val="nl-NL" w:eastAsia="nl-NL"/>
              </w:rPr>
            </w:pPr>
            <w:r w:rsidRPr="00913ABA">
              <w:rPr>
                <w:lang w:val="nl-NL" w:eastAsia="nl-NL"/>
              </w:rPr>
              <w:t> </w:t>
            </w:r>
            <w:r w:rsidRPr="00913ABA">
              <w:rPr>
                <w:lang w:eastAsia="nl-NL"/>
              </w:rPr>
              <w:t>5 (1.8)</w:t>
            </w:r>
            <w:r w:rsidRPr="00913ABA">
              <w:rPr>
                <w:lang w:val="nl-NL" w:eastAsia="nl-NL"/>
              </w:rPr>
              <w:t> </w:t>
            </w:r>
          </w:p>
          <w:p w14:paraId="7E24F9CC" w14:textId="77777777" w:rsidR="0062154B" w:rsidRPr="00913ABA" w:rsidRDefault="0062154B" w:rsidP="00D93C1D">
            <w:pPr>
              <w:rPr>
                <w:lang w:val="nl-NL" w:eastAsia="nl-NL"/>
              </w:rPr>
            </w:pPr>
            <w:r w:rsidRPr="00913ABA">
              <w:rPr>
                <w:lang w:eastAsia="nl-NL"/>
              </w:rPr>
              <w:t>149 (52.5)</w:t>
            </w:r>
            <w:r w:rsidRPr="00913ABA">
              <w:rPr>
                <w:lang w:val="nl-NL" w:eastAsia="nl-NL"/>
              </w:rPr>
              <w:t> </w:t>
            </w:r>
          </w:p>
          <w:p w14:paraId="6B9015D8" w14:textId="77777777" w:rsidR="0062154B" w:rsidRPr="00913ABA" w:rsidRDefault="0062154B" w:rsidP="00D93C1D">
            <w:pPr>
              <w:rPr>
                <w:lang w:val="nl-NL" w:eastAsia="nl-NL"/>
              </w:rPr>
            </w:pPr>
            <w:r w:rsidRPr="00913ABA">
              <w:rPr>
                <w:lang w:eastAsia="nl-NL"/>
              </w:rPr>
              <w:t>112 (39.4)</w:t>
            </w:r>
            <w:r w:rsidRPr="00913ABA">
              <w:rPr>
                <w:lang w:val="nl-NL" w:eastAsia="nl-NL"/>
              </w:rPr>
              <w:t> </w:t>
            </w:r>
          </w:p>
          <w:p w14:paraId="11A300B9" w14:textId="77777777" w:rsidR="0062154B" w:rsidRPr="00913ABA" w:rsidRDefault="0062154B" w:rsidP="00D93C1D">
            <w:pPr>
              <w:rPr>
                <w:lang w:val="nl-NL" w:eastAsia="nl-NL"/>
              </w:rPr>
            </w:pPr>
            <w:r w:rsidRPr="00913ABA">
              <w:rPr>
                <w:lang w:eastAsia="nl-NL"/>
              </w:rPr>
              <w:t>13 (4.6)</w:t>
            </w:r>
            <w:r w:rsidRPr="00913ABA">
              <w:rPr>
                <w:lang w:val="nl-NL" w:eastAsia="nl-NL"/>
              </w:rPr>
              <w:t> </w:t>
            </w:r>
          </w:p>
          <w:p w14:paraId="355F796C" w14:textId="77777777" w:rsidR="0062154B" w:rsidRPr="00913ABA" w:rsidRDefault="0062154B" w:rsidP="00D93C1D">
            <w:pPr>
              <w:rPr>
                <w:lang w:val="nl-NL" w:eastAsia="nl-NL"/>
              </w:rPr>
            </w:pPr>
            <w:r w:rsidRPr="00913ABA">
              <w:rPr>
                <w:lang w:eastAsia="nl-NL"/>
              </w:rPr>
              <w:t>5 (1.8)</w:t>
            </w:r>
            <w:r w:rsidRPr="00913ABA">
              <w:rPr>
                <w:lang w:val="nl-NL" w:eastAsia="nl-NL"/>
              </w:rPr>
              <w:t> </w:t>
            </w:r>
          </w:p>
        </w:tc>
      </w:tr>
      <w:tr w:rsidR="0062154B" w:rsidRPr="00913ABA" w14:paraId="5AC08F75" w14:textId="77777777" w:rsidTr="00D93C1D">
        <w:trPr>
          <w:trHeight w:val="300"/>
        </w:trPr>
        <w:tc>
          <w:tcPr>
            <w:tcW w:w="2970" w:type="dxa"/>
            <w:hideMark/>
          </w:tcPr>
          <w:p w14:paraId="6D5166B0" w14:textId="77777777" w:rsidR="0062154B" w:rsidRPr="00913ABA" w:rsidRDefault="0062154B" w:rsidP="00D93C1D">
            <w:pPr>
              <w:rPr>
                <w:lang w:val="en-US" w:eastAsia="nl-NL"/>
              </w:rPr>
            </w:pPr>
            <w:proofErr w:type="spellStart"/>
            <w:r w:rsidRPr="00913ABA">
              <w:rPr>
                <w:lang w:eastAsia="nl-NL"/>
              </w:rPr>
              <w:t>SwCl</w:t>
            </w:r>
            <w:proofErr w:type="spellEnd"/>
            <w:r w:rsidRPr="00913ABA">
              <w:rPr>
                <w:lang w:eastAsia="nl-NL"/>
              </w:rPr>
              <w:t xml:space="preserve"> (mmol/L) at baseline</w:t>
            </w:r>
            <w:r w:rsidRPr="00913ABA">
              <w:rPr>
                <w:lang w:val="en-US" w:eastAsia="nl-NL"/>
              </w:rPr>
              <w:t> </w:t>
            </w:r>
          </w:p>
          <w:p w14:paraId="66DD557D" w14:textId="77777777" w:rsidR="0062154B" w:rsidRPr="00913ABA" w:rsidRDefault="0062154B" w:rsidP="00D93C1D">
            <w:pPr>
              <w:rPr>
                <w:lang w:val="en-US" w:eastAsia="nl-NL"/>
              </w:rPr>
            </w:pPr>
            <w:r w:rsidRPr="00913ABA">
              <w:rPr>
                <w:lang w:eastAsia="nl-NL"/>
              </w:rPr>
              <w:t>Mean (SD)</w:t>
            </w:r>
            <w:r w:rsidRPr="00913ABA">
              <w:rPr>
                <w:lang w:val="en-US" w:eastAsia="nl-NL"/>
              </w:rPr>
              <w:t> </w:t>
            </w:r>
          </w:p>
        </w:tc>
        <w:tc>
          <w:tcPr>
            <w:tcW w:w="1410" w:type="dxa"/>
            <w:hideMark/>
          </w:tcPr>
          <w:p w14:paraId="54257772" w14:textId="77777777" w:rsidR="0062154B" w:rsidRPr="00913ABA" w:rsidRDefault="0062154B" w:rsidP="00D93C1D">
            <w:pPr>
              <w:rPr>
                <w:lang w:val="en-US" w:eastAsia="nl-NL"/>
              </w:rPr>
            </w:pPr>
            <w:r w:rsidRPr="00913ABA">
              <w:rPr>
                <w:lang w:val="en-US" w:eastAsia="nl-NL"/>
              </w:rPr>
              <w:t> </w:t>
            </w:r>
          </w:p>
          <w:p w14:paraId="3C6444DA" w14:textId="77777777" w:rsidR="0062154B" w:rsidRPr="00913ABA" w:rsidRDefault="0062154B" w:rsidP="00D93C1D">
            <w:pPr>
              <w:rPr>
                <w:lang w:val="nl-NL" w:eastAsia="nl-NL"/>
              </w:rPr>
            </w:pPr>
            <w:r w:rsidRPr="00913ABA">
              <w:rPr>
                <w:lang w:eastAsia="nl-NL"/>
              </w:rPr>
              <w:t>54.3 (18.2)</w:t>
            </w:r>
            <w:r w:rsidRPr="00913ABA">
              <w:rPr>
                <w:lang w:val="nl-NL" w:eastAsia="nl-NL"/>
              </w:rPr>
              <w:t> </w:t>
            </w:r>
          </w:p>
        </w:tc>
        <w:tc>
          <w:tcPr>
            <w:tcW w:w="1635" w:type="dxa"/>
            <w:hideMark/>
          </w:tcPr>
          <w:p w14:paraId="6DB2435F" w14:textId="77777777" w:rsidR="0062154B" w:rsidRPr="00913ABA" w:rsidRDefault="0062154B" w:rsidP="00D93C1D">
            <w:pPr>
              <w:rPr>
                <w:lang w:val="nl-NL" w:eastAsia="nl-NL"/>
              </w:rPr>
            </w:pPr>
            <w:r w:rsidRPr="00913ABA">
              <w:rPr>
                <w:lang w:val="nl-NL" w:eastAsia="nl-NL"/>
              </w:rPr>
              <w:t> </w:t>
            </w:r>
          </w:p>
          <w:p w14:paraId="6ACF8E18" w14:textId="77777777" w:rsidR="0062154B" w:rsidRPr="00913ABA" w:rsidRDefault="0062154B" w:rsidP="00D93C1D">
            <w:pPr>
              <w:rPr>
                <w:lang w:val="nl-NL" w:eastAsia="nl-NL"/>
              </w:rPr>
            </w:pPr>
            <w:r w:rsidRPr="00913ABA">
              <w:rPr>
                <w:lang w:eastAsia="nl-NL"/>
              </w:rPr>
              <w:t>53.6 (17.0)</w:t>
            </w:r>
            <w:r w:rsidRPr="00913ABA">
              <w:rPr>
                <w:lang w:val="nl-NL" w:eastAsia="nl-NL"/>
              </w:rPr>
              <w:t> </w:t>
            </w:r>
          </w:p>
        </w:tc>
        <w:tc>
          <w:tcPr>
            <w:tcW w:w="1470" w:type="dxa"/>
            <w:gridSpan w:val="2"/>
            <w:hideMark/>
          </w:tcPr>
          <w:p w14:paraId="378B0EDA" w14:textId="77777777" w:rsidR="0062154B" w:rsidRPr="00913ABA" w:rsidRDefault="0062154B" w:rsidP="00D93C1D">
            <w:pPr>
              <w:rPr>
                <w:lang w:val="nl-NL" w:eastAsia="nl-NL"/>
              </w:rPr>
            </w:pPr>
            <w:r w:rsidRPr="00913ABA">
              <w:rPr>
                <w:lang w:val="nl-NL" w:eastAsia="nl-NL"/>
              </w:rPr>
              <w:t> </w:t>
            </w:r>
          </w:p>
          <w:p w14:paraId="6CC59CD5" w14:textId="77777777" w:rsidR="0062154B" w:rsidRPr="00913ABA" w:rsidRDefault="0062154B" w:rsidP="00D93C1D">
            <w:pPr>
              <w:rPr>
                <w:lang w:val="nl-NL" w:eastAsia="nl-NL"/>
              </w:rPr>
            </w:pPr>
            <w:r w:rsidRPr="00913ABA">
              <w:rPr>
                <w:lang w:eastAsia="nl-NL"/>
              </w:rPr>
              <w:t>42.1 (17.9)</w:t>
            </w:r>
            <w:r w:rsidRPr="00913ABA">
              <w:rPr>
                <w:lang w:val="nl-NL" w:eastAsia="nl-NL"/>
              </w:rPr>
              <w:t> </w:t>
            </w:r>
          </w:p>
        </w:tc>
        <w:tc>
          <w:tcPr>
            <w:tcW w:w="1575" w:type="dxa"/>
            <w:hideMark/>
          </w:tcPr>
          <w:p w14:paraId="741E76D6" w14:textId="77777777" w:rsidR="0062154B" w:rsidRPr="00913ABA" w:rsidRDefault="0062154B" w:rsidP="00D93C1D">
            <w:pPr>
              <w:rPr>
                <w:lang w:val="nl-NL" w:eastAsia="nl-NL"/>
              </w:rPr>
            </w:pPr>
            <w:r w:rsidRPr="00913ABA">
              <w:rPr>
                <w:lang w:val="nl-NL" w:eastAsia="nl-NL"/>
              </w:rPr>
              <w:t> </w:t>
            </w:r>
          </w:p>
          <w:p w14:paraId="4FC1D977" w14:textId="77777777" w:rsidR="0062154B" w:rsidRPr="00913ABA" w:rsidRDefault="0062154B" w:rsidP="00D93C1D">
            <w:pPr>
              <w:rPr>
                <w:lang w:val="nl-NL" w:eastAsia="nl-NL"/>
              </w:rPr>
            </w:pPr>
            <w:r w:rsidRPr="00913ABA">
              <w:rPr>
                <w:lang w:eastAsia="nl-NL"/>
              </w:rPr>
              <w:t>43.4 (18.5)</w:t>
            </w:r>
            <w:r w:rsidRPr="00913ABA">
              <w:rPr>
                <w:lang w:val="nl-NL" w:eastAsia="nl-NL"/>
              </w:rPr>
              <w:t> </w:t>
            </w:r>
          </w:p>
        </w:tc>
      </w:tr>
      <w:tr w:rsidR="0062154B" w:rsidRPr="00913ABA" w14:paraId="34BF1A07" w14:textId="77777777" w:rsidTr="00D93C1D">
        <w:trPr>
          <w:trHeight w:val="300"/>
        </w:trPr>
        <w:tc>
          <w:tcPr>
            <w:tcW w:w="2970" w:type="dxa"/>
            <w:hideMark/>
          </w:tcPr>
          <w:p w14:paraId="284C648E" w14:textId="77777777" w:rsidR="0062154B" w:rsidRPr="00913ABA" w:rsidRDefault="0062154B" w:rsidP="00D93C1D">
            <w:pPr>
              <w:rPr>
                <w:lang w:val="en-US" w:eastAsia="nl-NL"/>
              </w:rPr>
            </w:pPr>
            <w:proofErr w:type="spellStart"/>
            <w:r w:rsidRPr="00913ABA">
              <w:rPr>
                <w:lang w:eastAsia="nl-NL"/>
              </w:rPr>
              <w:t>SwCl</w:t>
            </w:r>
            <w:proofErr w:type="spellEnd"/>
            <w:r w:rsidRPr="00913ABA">
              <w:rPr>
                <w:lang w:eastAsia="nl-NL"/>
              </w:rPr>
              <w:t xml:space="preserve"> category at baseline, n (%)</w:t>
            </w:r>
            <w:r w:rsidRPr="00913ABA">
              <w:rPr>
                <w:lang w:val="en-US" w:eastAsia="nl-NL"/>
              </w:rPr>
              <w:t> </w:t>
            </w:r>
          </w:p>
          <w:p w14:paraId="15BA6864" w14:textId="77777777" w:rsidR="0062154B" w:rsidRPr="00913ABA" w:rsidRDefault="0062154B" w:rsidP="00D93C1D">
            <w:pPr>
              <w:rPr>
                <w:lang w:val="en-US" w:eastAsia="nl-NL"/>
              </w:rPr>
            </w:pPr>
            <w:r w:rsidRPr="00913ABA">
              <w:rPr>
                <w:lang w:eastAsia="nl-NL"/>
              </w:rPr>
              <w:t>&lt;30 mmol/L</w:t>
            </w:r>
            <w:r w:rsidRPr="00913ABA">
              <w:rPr>
                <w:lang w:val="en-US" w:eastAsia="nl-NL"/>
              </w:rPr>
              <w:t> </w:t>
            </w:r>
          </w:p>
          <w:p w14:paraId="2B437EC6" w14:textId="77777777" w:rsidR="0062154B" w:rsidRPr="00913ABA" w:rsidRDefault="0062154B" w:rsidP="00D93C1D">
            <w:pPr>
              <w:rPr>
                <w:lang w:val="en-US" w:eastAsia="nl-NL"/>
              </w:rPr>
            </w:pPr>
            <w:r w:rsidRPr="00913ABA">
              <w:rPr>
                <w:lang w:eastAsia="nl-NL"/>
              </w:rPr>
              <w:t>≥30 to &lt;60 mmol/L</w:t>
            </w:r>
            <w:r w:rsidRPr="00913ABA">
              <w:rPr>
                <w:lang w:val="en-US" w:eastAsia="nl-NL"/>
              </w:rPr>
              <w:t> </w:t>
            </w:r>
          </w:p>
          <w:p w14:paraId="57633F7B" w14:textId="77777777" w:rsidR="0062154B" w:rsidRPr="00913ABA" w:rsidRDefault="0062154B" w:rsidP="00D93C1D">
            <w:pPr>
              <w:rPr>
                <w:lang w:val="en-US" w:eastAsia="nl-NL"/>
              </w:rPr>
            </w:pPr>
            <w:r w:rsidRPr="00913ABA">
              <w:rPr>
                <w:lang w:eastAsia="nl-NL"/>
              </w:rPr>
              <w:t>≥60 mmol/L</w:t>
            </w:r>
            <w:r w:rsidRPr="00913ABA">
              <w:rPr>
                <w:lang w:val="en-US" w:eastAsia="nl-NL"/>
              </w:rPr>
              <w:t> </w:t>
            </w:r>
          </w:p>
          <w:p w14:paraId="15872B73" w14:textId="77777777" w:rsidR="0062154B" w:rsidRPr="00913ABA" w:rsidRDefault="0062154B" w:rsidP="00D93C1D">
            <w:pPr>
              <w:rPr>
                <w:lang w:val="nl-NL" w:eastAsia="nl-NL"/>
              </w:rPr>
            </w:pPr>
            <w:r w:rsidRPr="00913ABA">
              <w:rPr>
                <w:lang w:eastAsia="nl-NL"/>
              </w:rPr>
              <w:t>Missing</w:t>
            </w:r>
            <w:r w:rsidRPr="00913ABA">
              <w:rPr>
                <w:lang w:val="nl-NL" w:eastAsia="nl-NL"/>
              </w:rPr>
              <w:t> </w:t>
            </w:r>
          </w:p>
        </w:tc>
        <w:tc>
          <w:tcPr>
            <w:tcW w:w="1410" w:type="dxa"/>
            <w:hideMark/>
          </w:tcPr>
          <w:p w14:paraId="7D9AA57A" w14:textId="77777777" w:rsidR="0062154B" w:rsidRPr="00913ABA" w:rsidRDefault="0062154B" w:rsidP="00D93C1D">
            <w:pPr>
              <w:rPr>
                <w:lang w:val="nl-NL" w:eastAsia="nl-NL"/>
              </w:rPr>
            </w:pPr>
            <w:r w:rsidRPr="00913ABA">
              <w:rPr>
                <w:lang w:val="nl-NL" w:eastAsia="nl-NL"/>
              </w:rPr>
              <w:t> </w:t>
            </w:r>
          </w:p>
          <w:p w14:paraId="30CB3D32" w14:textId="77777777" w:rsidR="0062154B" w:rsidRPr="00913ABA" w:rsidRDefault="0062154B" w:rsidP="00D93C1D">
            <w:pPr>
              <w:rPr>
                <w:lang w:val="nl-NL" w:eastAsia="nl-NL"/>
              </w:rPr>
            </w:pPr>
            <w:r w:rsidRPr="00913ABA">
              <w:rPr>
                <w:lang w:val="nl-NL" w:eastAsia="nl-NL"/>
              </w:rPr>
              <w:t> </w:t>
            </w:r>
            <w:r w:rsidRPr="00913ABA">
              <w:rPr>
                <w:lang w:eastAsia="nl-NL"/>
              </w:rPr>
              <w:t>19 (9.4)</w:t>
            </w:r>
            <w:r w:rsidRPr="00913ABA">
              <w:rPr>
                <w:lang w:val="nl-NL" w:eastAsia="nl-NL"/>
              </w:rPr>
              <w:t> </w:t>
            </w:r>
          </w:p>
          <w:p w14:paraId="7FF77503" w14:textId="77777777" w:rsidR="0062154B" w:rsidRPr="00913ABA" w:rsidRDefault="0062154B" w:rsidP="00D93C1D">
            <w:pPr>
              <w:rPr>
                <w:lang w:val="nl-NL" w:eastAsia="nl-NL"/>
              </w:rPr>
            </w:pPr>
            <w:r w:rsidRPr="00913ABA">
              <w:rPr>
                <w:lang w:eastAsia="nl-NL"/>
              </w:rPr>
              <w:t>105 (52.0)</w:t>
            </w:r>
            <w:r w:rsidRPr="00913ABA">
              <w:rPr>
                <w:lang w:val="nl-NL" w:eastAsia="nl-NL"/>
              </w:rPr>
              <w:t> </w:t>
            </w:r>
          </w:p>
          <w:p w14:paraId="5350E9BA" w14:textId="77777777" w:rsidR="0062154B" w:rsidRPr="00913ABA" w:rsidRDefault="0062154B" w:rsidP="00D93C1D">
            <w:pPr>
              <w:rPr>
                <w:lang w:val="nl-NL" w:eastAsia="nl-NL"/>
              </w:rPr>
            </w:pPr>
            <w:r w:rsidRPr="00913ABA">
              <w:rPr>
                <w:lang w:eastAsia="nl-NL"/>
              </w:rPr>
              <w:t>77 (38.1)</w:t>
            </w:r>
            <w:r w:rsidRPr="00913ABA">
              <w:rPr>
                <w:lang w:val="nl-NL" w:eastAsia="nl-NL"/>
              </w:rPr>
              <w:t> </w:t>
            </w:r>
          </w:p>
          <w:p w14:paraId="6223654D" w14:textId="77777777" w:rsidR="0062154B" w:rsidRPr="00913ABA" w:rsidRDefault="0062154B" w:rsidP="00D93C1D">
            <w:pPr>
              <w:rPr>
                <w:lang w:val="nl-NL" w:eastAsia="nl-NL"/>
              </w:rPr>
            </w:pPr>
            <w:r w:rsidRPr="00913ABA">
              <w:rPr>
                <w:lang w:eastAsia="nl-NL"/>
              </w:rPr>
              <w:t>1 (0.5)</w:t>
            </w:r>
            <w:r w:rsidRPr="00913ABA">
              <w:rPr>
                <w:lang w:val="nl-NL" w:eastAsia="nl-NL"/>
              </w:rPr>
              <w:t> </w:t>
            </w:r>
          </w:p>
        </w:tc>
        <w:tc>
          <w:tcPr>
            <w:tcW w:w="1635" w:type="dxa"/>
            <w:hideMark/>
          </w:tcPr>
          <w:p w14:paraId="02F227EC" w14:textId="77777777" w:rsidR="0062154B" w:rsidRPr="00913ABA" w:rsidRDefault="0062154B" w:rsidP="00D93C1D">
            <w:pPr>
              <w:rPr>
                <w:lang w:val="nl-NL" w:eastAsia="nl-NL"/>
              </w:rPr>
            </w:pPr>
            <w:r w:rsidRPr="00913ABA">
              <w:rPr>
                <w:lang w:val="nl-NL" w:eastAsia="nl-NL"/>
              </w:rPr>
              <w:t> </w:t>
            </w:r>
          </w:p>
          <w:p w14:paraId="1EF24042" w14:textId="77777777" w:rsidR="0062154B" w:rsidRPr="00913ABA" w:rsidRDefault="0062154B" w:rsidP="00D93C1D">
            <w:pPr>
              <w:rPr>
                <w:lang w:val="nl-NL" w:eastAsia="nl-NL"/>
              </w:rPr>
            </w:pPr>
            <w:r w:rsidRPr="00913ABA">
              <w:rPr>
                <w:lang w:val="nl-NL" w:eastAsia="nl-NL"/>
              </w:rPr>
              <w:t> </w:t>
            </w:r>
            <w:r w:rsidRPr="00913ABA">
              <w:rPr>
                <w:lang w:eastAsia="nl-NL"/>
              </w:rPr>
              <w:t>17 (8.7)</w:t>
            </w:r>
            <w:r w:rsidRPr="00913ABA">
              <w:rPr>
                <w:lang w:val="nl-NL" w:eastAsia="nl-NL"/>
              </w:rPr>
              <w:t> </w:t>
            </w:r>
          </w:p>
          <w:p w14:paraId="4E97EE4F" w14:textId="77777777" w:rsidR="0062154B" w:rsidRPr="00913ABA" w:rsidRDefault="0062154B" w:rsidP="00D93C1D">
            <w:pPr>
              <w:rPr>
                <w:lang w:val="nl-NL" w:eastAsia="nl-NL"/>
              </w:rPr>
            </w:pPr>
            <w:r w:rsidRPr="00913ABA">
              <w:rPr>
                <w:lang w:eastAsia="nl-NL"/>
              </w:rPr>
              <w:t>114 (58.2)</w:t>
            </w:r>
            <w:r w:rsidRPr="00913ABA">
              <w:rPr>
                <w:lang w:val="nl-NL" w:eastAsia="nl-NL"/>
              </w:rPr>
              <w:t> </w:t>
            </w:r>
          </w:p>
          <w:p w14:paraId="359E1E5F" w14:textId="77777777" w:rsidR="0062154B" w:rsidRPr="00913ABA" w:rsidRDefault="0062154B" w:rsidP="00D93C1D">
            <w:pPr>
              <w:rPr>
                <w:lang w:val="nl-NL" w:eastAsia="nl-NL"/>
              </w:rPr>
            </w:pPr>
            <w:r w:rsidRPr="00913ABA">
              <w:rPr>
                <w:lang w:eastAsia="nl-NL"/>
              </w:rPr>
              <w:t>63 (32.1)</w:t>
            </w:r>
            <w:r w:rsidRPr="00913ABA">
              <w:rPr>
                <w:lang w:val="nl-NL" w:eastAsia="nl-NL"/>
              </w:rPr>
              <w:t> </w:t>
            </w:r>
          </w:p>
          <w:p w14:paraId="0DFFFBE8" w14:textId="77777777" w:rsidR="0062154B" w:rsidRPr="00913ABA" w:rsidRDefault="0062154B" w:rsidP="00D93C1D">
            <w:pPr>
              <w:rPr>
                <w:lang w:val="nl-NL" w:eastAsia="nl-NL"/>
              </w:rPr>
            </w:pPr>
            <w:r w:rsidRPr="00913ABA">
              <w:rPr>
                <w:lang w:eastAsia="nl-NL"/>
              </w:rPr>
              <w:t>2 (1.0)</w:t>
            </w:r>
            <w:r w:rsidRPr="00913ABA">
              <w:rPr>
                <w:lang w:val="nl-NL" w:eastAsia="nl-NL"/>
              </w:rPr>
              <w:t> </w:t>
            </w:r>
          </w:p>
        </w:tc>
        <w:tc>
          <w:tcPr>
            <w:tcW w:w="1470" w:type="dxa"/>
            <w:gridSpan w:val="2"/>
            <w:hideMark/>
          </w:tcPr>
          <w:p w14:paraId="306F9B25" w14:textId="77777777" w:rsidR="0062154B" w:rsidRPr="00913ABA" w:rsidRDefault="0062154B" w:rsidP="00D93C1D">
            <w:pPr>
              <w:rPr>
                <w:lang w:val="nl-NL" w:eastAsia="nl-NL"/>
              </w:rPr>
            </w:pPr>
            <w:r w:rsidRPr="00913ABA">
              <w:rPr>
                <w:lang w:val="nl-NL" w:eastAsia="nl-NL"/>
              </w:rPr>
              <w:t> </w:t>
            </w:r>
          </w:p>
          <w:p w14:paraId="449FA632" w14:textId="77777777" w:rsidR="0062154B" w:rsidRPr="00913ABA" w:rsidRDefault="0062154B" w:rsidP="00D93C1D">
            <w:pPr>
              <w:rPr>
                <w:lang w:val="nl-NL" w:eastAsia="nl-NL"/>
              </w:rPr>
            </w:pPr>
            <w:r w:rsidRPr="00913ABA">
              <w:rPr>
                <w:lang w:val="nl-NL" w:eastAsia="nl-NL"/>
              </w:rPr>
              <w:t> </w:t>
            </w:r>
            <w:r w:rsidRPr="00913ABA">
              <w:rPr>
                <w:lang w:eastAsia="nl-NL"/>
              </w:rPr>
              <w:t>80 (27.7)</w:t>
            </w:r>
            <w:r w:rsidRPr="00913ABA">
              <w:rPr>
                <w:lang w:val="nl-NL" w:eastAsia="nl-NL"/>
              </w:rPr>
              <w:t> </w:t>
            </w:r>
          </w:p>
          <w:p w14:paraId="3BB79824" w14:textId="77777777" w:rsidR="0062154B" w:rsidRPr="00913ABA" w:rsidRDefault="0062154B" w:rsidP="00D93C1D">
            <w:pPr>
              <w:rPr>
                <w:lang w:val="nl-NL" w:eastAsia="nl-NL"/>
              </w:rPr>
            </w:pPr>
            <w:r w:rsidRPr="00913ABA">
              <w:rPr>
                <w:lang w:eastAsia="nl-NL"/>
              </w:rPr>
              <w:t>154 (53.3)</w:t>
            </w:r>
            <w:r w:rsidRPr="00913ABA">
              <w:rPr>
                <w:lang w:val="nl-NL" w:eastAsia="nl-NL"/>
              </w:rPr>
              <w:t> </w:t>
            </w:r>
          </w:p>
          <w:p w14:paraId="0D547DF7" w14:textId="77777777" w:rsidR="0062154B" w:rsidRPr="00913ABA" w:rsidRDefault="0062154B" w:rsidP="00D93C1D">
            <w:pPr>
              <w:rPr>
                <w:lang w:val="nl-NL" w:eastAsia="nl-NL"/>
              </w:rPr>
            </w:pPr>
            <w:r w:rsidRPr="00913ABA">
              <w:rPr>
                <w:lang w:eastAsia="nl-NL"/>
              </w:rPr>
              <w:t>48 (16.6)</w:t>
            </w:r>
            <w:r w:rsidRPr="00913ABA">
              <w:rPr>
                <w:lang w:val="nl-NL" w:eastAsia="nl-NL"/>
              </w:rPr>
              <w:t> </w:t>
            </w:r>
          </w:p>
          <w:p w14:paraId="7D711AE2" w14:textId="77777777" w:rsidR="0062154B" w:rsidRPr="00913ABA" w:rsidRDefault="0062154B" w:rsidP="00D93C1D">
            <w:pPr>
              <w:rPr>
                <w:lang w:val="nl-NL" w:eastAsia="nl-NL"/>
              </w:rPr>
            </w:pPr>
            <w:r w:rsidRPr="00913ABA">
              <w:rPr>
                <w:lang w:eastAsia="nl-NL"/>
              </w:rPr>
              <w:t>7 (2.4)</w:t>
            </w:r>
            <w:r w:rsidRPr="00913ABA">
              <w:rPr>
                <w:lang w:val="nl-NL" w:eastAsia="nl-NL"/>
              </w:rPr>
              <w:t> </w:t>
            </w:r>
          </w:p>
        </w:tc>
        <w:tc>
          <w:tcPr>
            <w:tcW w:w="1575" w:type="dxa"/>
            <w:hideMark/>
          </w:tcPr>
          <w:p w14:paraId="77214C1B" w14:textId="77777777" w:rsidR="0062154B" w:rsidRPr="00913ABA" w:rsidRDefault="0062154B" w:rsidP="00D93C1D">
            <w:pPr>
              <w:rPr>
                <w:lang w:val="nl-NL" w:eastAsia="nl-NL"/>
              </w:rPr>
            </w:pPr>
            <w:r w:rsidRPr="00913ABA">
              <w:rPr>
                <w:lang w:val="nl-NL" w:eastAsia="nl-NL"/>
              </w:rPr>
              <w:t> </w:t>
            </w:r>
          </w:p>
          <w:p w14:paraId="53719953" w14:textId="77777777" w:rsidR="0062154B" w:rsidRPr="00913ABA" w:rsidRDefault="0062154B" w:rsidP="00D93C1D">
            <w:pPr>
              <w:rPr>
                <w:lang w:val="nl-NL" w:eastAsia="nl-NL"/>
              </w:rPr>
            </w:pPr>
            <w:r w:rsidRPr="00913ABA">
              <w:rPr>
                <w:lang w:val="nl-NL" w:eastAsia="nl-NL"/>
              </w:rPr>
              <w:t> </w:t>
            </w:r>
            <w:r w:rsidRPr="00913ABA">
              <w:rPr>
                <w:lang w:eastAsia="nl-NL"/>
              </w:rPr>
              <w:t>72 (25.4)</w:t>
            </w:r>
            <w:r w:rsidRPr="00913ABA">
              <w:rPr>
                <w:lang w:val="nl-NL" w:eastAsia="nl-NL"/>
              </w:rPr>
              <w:t> </w:t>
            </w:r>
          </w:p>
          <w:p w14:paraId="4813E62F" w14:textId="77777777" w:rsidR="0062154B" w:rsidRPr="00913ABA" w:rsidRDefault="0062154B" w:rsidP="00D93C1D">
            <w:pPr>
              <w:rPr>
                <w:lang w:val="nl-NL" w:eastAsia="nl-NL"/>
              </w:rPr>
            </w:pPr>
            <w:r w:rsidRPr="00913ABA">
              <w:rPr>
                <w:lang w:eastAsia="nl-NL"/>
              </w:rPr>
              <w:t>158 (55.6)</w:t>
            </w:r>
            <w:r w:rsidRPr="00913ABA">
              <w:rPr>
                <w:lang w:val="nl-NL" w:eastAsia="nl-NL"/>
              </w:rPr>
              <w:t> </w:t>
            </w:r>
          </w:p>
          <w:p w14:paraId="3E727B88" w14:textId="77777777" w:rsidR="0062154B" w:rsidRPr="00913ABA" w:rsidRDefault="0062154B" w:rsidP="00D93C1D">
            <w:pPr>
              <w:rPr>
                <w:lang w:val="nl-NL" w:eastAsia="nl-NL"/>
              </w:rPr>
            </w:pPr>
            <w:r w:rsidRPr="00913ABA">
              <w:rPr>
                <w:lang w:eastAsia="nl-NL"/>
              </w:rPr>
              <w:t>52 (18.3)</w:t>
            </w:r>
            <w:r w:rsidRPr="00913ABA">
              <w:rPr>
                <w:lang w:val="nl-NL" w:eastAsia="nl-NL"/>
              </w:rPr>
              <w:t> </w:t>
            </w:r>
          </w:p>
          <w:p w14:paraId="48F9DDCF" w14:textId="77777777" w:rsidR="0062154B" w:rsidRPr="00913ABA" w:rsidRDefault="0062154B" w:rsidP="00D93C1D">
            <w:pPr>
              <w:rPr>
                <w:lang w:val="nl-NL" w:eastAsia="nl-NL"/>
              </w:rPr>
            </w:pPr>
            <w:r w:rsidRPr="00913ABA">
              <w:rPr>
                <w:lang w:eastAsia="nl-NL"/>
              </w:rPr>
              <w:t>2 (0.7)</w:t>
            </w:r>
            <w:r w:rsidRPr="00913ABA">
              <w:rPr>
                <w:lang w:val="nl-NL" w:eastAsia="nl-NL"/>
              </w:rPr>
              <w:t> </w:t>
            </w:r>
          </w:p>
        </w:tc>
      </w:tr>
      <w:tr w:rsidR="0062154B" w:rsidRPr="00913ABA" w14:paraId="298C5F17" w14:textId="77777777" w:rsidTr="00D93C1D">
        <w:trPr>
          <w:trHeight w:val="300"/>
        </w:trPr>
        <w:tc>
          <w:tcPr>
            <w:tcW w:w="2970" w:type="dxa"/>
            <w:hideMark/>
          </w:tcPr>
          <w:p w14:paraId="2256517E" w14:textId="77777777" w:rsidR="0062154B" w:rsidRPr="00913ABA" w:rsidRDefault="0062154B" w:rsidP="00D93C1D">
            <w:pPr>
              <w:rPr>
                <w:lang w:val="en-US" w:eastAsia="nl-NL"/>
              </w:rPr>
            </w:pPr>
            <w:r w:rsidRPr="00913ABA">
              <w:rPr>
                <w:lang w:eastAsia="nl-NL"/>
              </w:rPr>
              <w:t>CFQ-R RD (points) at baseline</w:t>
            </w:r>
            <w:r w:rsidRPr="00913ABA">
              <w:rPr>
                <w:lang w:val="en-US" w:eastAsia="nl-NL"/>
              </w:rPr>
              <w:t> </w:t>
            </w:r>
          </w:p>
          <w:p w14:paraId="6481052B" w14:textId="77777777" w:rsidR="0062154B" w:rsidRPr="00913ABA" w:rsidRDefault="0062154B" w:rsidP="00D93C1D">
            <w:pPr>
              <w:rPr>
                <w:lang w:eastAsia="nl-NL"/>
              </w:rPr>
            </w:pPr>
            <w:r w:rsidRPr="00913ABA">
              <w:rPr>
                <w:lang w:eastAsia="nl-NL"/>
              </w:rPr>
              <w:t>Mean (SD) </w:t>
            </w:r>
          </w:p>
        </w:tc>
        <w:tc>
          <w:tcPr>
            <w:tcW w:w="1410" w:type="dxa"/>
            <w:hideMark/>
          </w:tcPr>
          <w:p w14:paraId="44B03DE1" w14:textId="77777777" w:rsidR="0062154B" w:rsidRPr="00913ABA" w:rsidRDefault="0062154B" w:rsidP="00D93C1D">
            <w:pPr>
              <w:rPr>
                <w:lang w:eastAsia="nl-NL"/>
              </w:rPr>
            </w:pPr>
            <w:r w:rsidRPr="00913ABA">
              <w:rPr>
                <w:lang w:eastAsia="nl-NL"/>
              </w:rPr>
              <w:t> </w:t>
            </w:r>
          </w:p>
          <w:p w14:paraId="3842B2DC" w14:textId="77777777" w:rsidR="0062154B" w:rsidRPr="00913ABA" w:rsidRDefault="0062154B" w:rsidP="00D93C1D">
            <w:pPr>
              <w:rPr>
                <w:lang w:val="nl-NL" w:eastAsia="nl-NL"/>
              </w:rPr>
            </w:pPr>
            <w:r w:rsidRPr="00913ABA">
              <w:rPr>
                <w:lang w:eastAsia="nl-NL"/>
              </w:rPr>
              <w:t>82.9 (15.7)</w:t>
            </w:r>
            <w:r w:rsidRPr="00913ABA">
              <w:rPr>
                <w:lang w:val="nl-NL" w:eastAsia="nl-NL"/>
              </w:rPr>
              <w:t> </w:t>
            </w:r>
          </w:p>
        </w:tc>
        <w:tc>
          <w:tcPr>
            <w:tcW w:w="1635" w:type="dxa"/>
            <w:hideMark/>
          </w:tcPr>
          <w:p w14:paraId="71D47EC1" w14:textId="77777777" w:rsidR="0062154B" w:rsidRPr="00913ABA" w:rsidRDefault="0062154B" w:rsidP="00D93C1D">
            <w:pPr>
              <w:rPr>
                <w:lang w:val="nl-NL" w:eastAsia="nl-NL"/>
              </w:rPr>
            </w:pPr>
            <w:r w:rsidRPr="00913ABA">
              <w:rPr>
                <w:lang w:val="nl-NL" w:eastAsia="nl-NL"/>
              </w:rPr>
              <w:t> </w:t>
            </w:r>
          </w:p>
          <w:p w14:paraId="000FB458" w14:textId="77777777" w:rsidR="0062154B" w:rsidRPr="00913ABA" w:rsidRDefault="0062154B" w:rsidP="00D93C1D">
            <w:pPr>
              <w:rPr>
                <w:lang w:val="nl-NL" w:eastAsia="nl-NL"/>
              </w:rPr>
            </w:pPr>
            <w:r w:rsidRPr="00913ABA">
              <w:rPr>
                <w:lang w:eastAsia="nl-NL"/>
              </w:rPr>
              <w:t>85.8 (14.7)</w:t>
            </w:r>
            <w:r w:rsidRPr="00913ABA">
              <w:rPr>
                <w:lang w:val="nl-NL" w:eastAsia="nl-NL"/>
              </w:rPr>
              <w:t> </w:t>
            </w:r>
          </w:p>
        </w:tc>
        <w:tc>
          <w:tcPr>
            <w:tcW w:w="1470" w:type="dxa"/>
            <w:gridSpan w:val="2"/>
            <w:hideMark/>
          </w:tcPr>
          <w:p w14:paraId="75863BC1" w14:textId="77777777" w:rsidR="0062154B" w:rsidRPr="00913ABA" w:rsidRDefault="0062154B" w:rsidP="00D93C1D">
            <w:pPr>
              <w:rPr>
                <w:lang w:val="nl-NL" w:eastAsia="nl-NL"/>
              </w:rPr>
            </w:pPr>
            <w:r w:rsidRPr="00913ABA">
              <w:rPr>
                <w:lang w:val="nl-NL" w:eastAsia="nl-NL"/>
              </w:rPr>
              <w:t> </w:t>
            </w:r>
          </w:p>
          <w:p w14:paraId="39AF4643" w14:textId="77777777" w:rsidR="0062154B" w:rsidRPr="00913ABA" w:rsidRDefault="0062154B" w:rsidP="00D93C1D">
            <w:pPr>
              <w:rPr>
                <w:lang w:val="nl-NL" w:eastAsia="nl-NL"/>
              </w:rPr>
            </w:pPr>
            <w:r w:rsidRPr="00913ABA">
              <w:rPr>
                <w:lang w:eastAsia="nl-NL"/>
              </w:rPr>
              <w:t>85.6 (13.2)</w:t>
            </w:r>
            <w:r w:rsidRPr="00913ABA">
              <w:rPr>
                <w:lang w:val="nl-NL" w:eastAsia="nl-NL"/>
              </w:rPr>
              <w:t> </w:t>
            </w:r>
          </w:p>
        </w:tc>
        <w:tc>
          <w:tcPr>
            <w:tcW w:w="1575" w:type="dxa"/>
            <w:hideMark/>
          </w:tcPr>
          <w:p w14:paraId="1427563A" w14:textId="77777777" w:rsidR="0062154B" w:rsidRPr="00913ABA" w:rsidRDefault="0062154B" w:rsidP="00D93C1D">
            <w:pPr>
              <w:rPr>
                <w:lang w:val="nl-NL" w:eastAsia="nl-NL"/>
              </w:rPr>
            </w:pPr>
            <w:r w:rsidRPr="00913ABA">
              <w:rPr>
                <w:lang w:val="nl-NL" w:eastAsia="nl-NL"/>
              </w:rPr>
              <w:t> </w:t>
            </w:r>
          </w:p>
          <w:p w14:paraId="4423B966" w14:textId="77777777" w:rsidR="0062154B" w:rsidRPr="00913ABA" w:rsidRDefault="0062154B" w:rsidP="00D93C1D">
            <w:pPr>
              <w:rPr>
                <w:lang w:val="nl-NL" w:eastAsia="nl-NL"/>
              </w:rPr>
            </w:pPr>
            <w:r w:rsidRPr="00913ABA">
              <w:rPr>
                <w:lang w:eastAsia="nl-NL"/>
              </w:rPr>
              <w:t>85.7 (13.2)</w:t>
            </w:r>
            <w:r w:rsidRPr="00913ABA">
              <w:rPr>
                <w:lang w:val="nl-NL" w:eastAsia="nl-NL"/>
              </w:rPr>
              <w:t> </w:t>
            </w:r>
          </w:p>
        </w:tc>
      </w:tr>
    </w:tbl>
    <w:p w14:paraId="39C29925" w14:textId="77777777" w:rsidR="005828A4" w:rsidRPr="005828A4" w:rsidRDefault="005828A4" w:rsidP="005828A4">
      <w:pPr>
        <w:pStyle w:val="TableDescription"/>
        <w:rPr>
          <w:b/>
          <w:bCs/>
        </w:rPr>
      </w:pPr>
      <w:r w:rsidRPr="005828A4">
        <w:t xml:space="preserve">BMI: body mass index; CFQ-R RD: Cystic Fibrosis Questionnaire-Revised respiratory domain; FAS: Full Analysis Set; IVA: ivacaftor; max: maximum value; min: minimum value; n: size of subsample; N: total sample size; ppFEV1: percent predicted FEV 1 second; </w:t>
      </w:r>
      <w:proofErr w:type="spellStart"/>
      <w:r w:rsidRPr="005828A4">
        <w:t>SwCl</w:t>
      </w:r>
      <w:proofErr w:type="spellEnd"/>
      <w:r w:rsidRPr="005828A4">
        <w:t>: sweat chloride; TCR/non-F: heterozygous for a triple combination responsive mutation and no F508del mutation</w:t>
      </w:r>
    </w:p>
    <w:p w14:paraId="1B2224E6" w14:textId="0D382E99" w:rsidR="00C30396" w:rsidRPr="006A6947" w:rsidRDefault="00C30396" w:rsidP="003B6A95">
      <w:pPr>
        <w:pStyle w:val="Heading6"/>
      </w:pPr>
      <w:r w:rsidRPr="006A6947">
        <w:t xml:space="preserve">Efficacy: Studies 102 and 103 </w:t>
      </w:r>
    </w:p>
    <w:p w14:paraId="07EE4D6C" w14:textId="2479B0E0" w:rsidR="00C30396" w:rsidRPr="004B0304" w:rsidRDefault="00C30396" w:rsidP="00094EE1">
      <w:pPr>
        <w:rPr>
          <w:b/>
          <w:bCs/>
        </w:rPr>
      </w:pPr>
      <w:r w:rsidRPr="004B0304">
        <w:rPr>
          <w:b/>
          <w:bCs/>
        </w:rPr>
        <w:t xml:space="preserve">Primary efficacy outcome (Table </w:t>
      </w:r>
      <w:r w:rsidR="00646C58" w:rsidRPr="004B0304">
        <w:rPr>
          <w:b/>
          <w:bCs/>
        </w:rPr>
        <w:t>9</w:t>
      </w:r>
      <w:r w:rsidRPr="004B0304">
        <w:rPr>
          <w:b/>
          <w:bCs/>
        </w:rPr>
        <w:t>)</w:t>
      </w:r>
    </w:p>
    <w:p w14:paraId="5C1CCEBF" w14:textId="77777777" w:rsidR="00C30396" w:rsidRPr="003F287E" w:rsidRDefault="00C30396" w:rsidP="00094EE1">
      <w:pPr>
        <w:rPr>
          <w:lang w:eastAsia="ja-JP"/>
        </w:rPr>
      </w:pPr>
      <w:r>
        <w:t>N</w:t>
      </w:r>
      <w:r w:rsidRPr="003F287E">
        <w:rPr>
          <w:lang w:eastAsia="ja-JP"/>
        </w:rPr>
        <w:t xml:space="preserve">on-inferiority was </w:t>
      </w:r>
      <w:r>
        <w:rPr>
          <w:lang w:eastAsia="ja-JP"/>
        </w:rPr>
        <w:t>shown in study 102</w:t>
      </w:r>
      <w:r w:rsidRPr="003F287E">
        <w:rPr>
          <w:lang w:eastAsia="ja-JP"/>
        </w:rPr>
        <w:t>, with</w:t>
      </w:r>
      <w:r w:rsidRPr="003F287E">
        <w:t xml:space="preserve"> the least squares mean absolute change in FEV1 % predicted from baseline through week 24 was 0·5 (SE 0·3) percentage points in the vanzacaftor– tezacaftor–deutivacaftor group versus 0·3 (0·3) percentage points in the </w:t>
      </w:r>
      <w:proofErr w:type="spellStart"/>
      <w:r w:rsidRPr="003F287E">
        <w:t>elexacaftor</w:t>
      </w:r>
      <w:proofErr w:type="spellEnd"/>
      <w:r w:rsidRPr="003F287E">
        <w:t xml:space="preserve">–tezacaftor–ivacaftor group (least squares mean treatment difference of 0·2 percentage points [95% CI –0·7 to 1·1]; one-sided p&lt;0·0001).  </w:t>
      </w:r>
      <w:r w:rsidRPr="003F287E">
        <w:rPr>
          <w:lang w:eastAsia="ja-JP"/>
        </w:rPr>
        <w:t xml:space="preserve">There was greater efficacy for VNZ/ TEZ/ D-IVA in the subgroup of subjects with </w:t>
      </w:r>
      <w:proofErr w:type="spellStart"/>
      <w:r w:rsidRPr="003F287E">
        <w:rPr>
          <w:lang w:eastAsia="ja-JP"/>
        </w:rPr>
        <w:t>SwCl</w:t>
      </w:r>
      <w:proofErr w:type="spellEnd"/>
      <w:r w:rsidRPr="003F287E">
        <w:rPr>
          <w:lang w:eastAsia="ja-JP"/>
        </w:rPr>
        <w:t xml:space="preserve"> &lt;30 mmol/L at baseline, but no other subgroup effects.</w:t>
      </w:r>
    </w:p>
    <w:p w14:paraId="58345D29" w14:textId="77777777" w:rsidR="00C30396" w:rsidRDefault="00C30396" w:rsidP="00094EE1">
      <w:pPr>
        <w:rPr>
          <w:lang w:eastAsia="ja-JP"/>
        </w:rPr>
      </w:pPr>
      <w:r>
        <w:t>N</w:t>
      </w:r>
      <w:r w:rsidRPr="003F287E">
        <w:rPr>
          <w:lang w:eastAsia="ja-JP"/>
        </w:rPr>
        <w:t xml:space="preserve">on-inferiority was </w:t>
      </w:r>
      <w:r>
        <w:rPr>
          <w:lang w:eastAsia="ja-JP"/>
        </w:rPr>
        <w:t xml:space="preserve">shown in study 102, </w:t>
      </w:r>
      <w:r w:rsidRPr="003F287E">
        <w:t xml:space="preserve">with the least squares mean absolute change in FEV1 % predicted from baseline through week 24 was 0·2 (SE 0·3) percentage points in the vanzacaftor–tezacaftor– deutivacaftor group versus 0·0 (0·2) percentage points in the </w:t>
      </w:r>
      <w:proofErr w:type="spellStart"/>
      <w:r w:rsidRPr="003F287E">
        <w:t>elexacaftor</w:t>
      </w:r>
      <w:proofErr w:type="spellEnd"/>
      <w:r w:rsidRPr="003F287E">
        <w:t xml:space="preserve">–tezacaftor–ivacaftor group (least squares mean treatment difference of 0·2 percentage points [95% CI –0·5 to 0·9]; one-sided p&lt;0·0001) </w:t>
      </w:r>
      <w:r w:rsidRPr="003F287E">
        <w:rPr>
          <w:lang w:eastAsia="ja-JP"/>
        </w:rPr>
        <w:t xml:space="preserve">There were no subgroup effects for age, baseline ppFEV1 or baseline </w:t>
      </w:r>
      <w:proofErr w:type="spellStart"/>
      <w:r w:rsidRPr="003F287E">
        <w:rPr>
          <w:lang w:eastAsia="ja-JP"/>
        </w:rPr>
        <w:t>SwCl</w:t>
      </w:r>
      <w:proofErr w:type="spellEnd"/>
      <w:r w:rsidRPr="003F287E">
        <w:rPr>
          <w:lang w:eastAsia="ja-JP"/>
        </w:rPr>
        <w:t>, and the response was similar for the different genotype groups</w:t>
      </w:r>
      <w:r>
        <w:rPr>
          <w:lang w:eastAsia="ja-JP"/>
        </w:rPr>
        <w:t xml:space="preserve">. </w:t>
      </w:r>
    </w:p>
    <w:p w14:paraId="6BE6DDAF" w14:textId="6661A284" w:rsidR="00C30396" w:rsidRPr="004B0304" w:rsidRDefault="00C30396" w:rsidP="00094EE1">
      <w:pPr>
        <w:rPr>
          <w:b/>
          <w:bCs/>
        </w:rPr>
      </w:pPr>
      <w:r w:rsidRPr="004B0304">
        <w:rPr>
          <w:b/>
          <w:bCs/>
        </w:rPr>
        <w:t>Key secondary efficacy outcomes</w:t>
      </w:r>
    </w:p>
    <w:p w14:paraId="12D38314" w14:textId="4EBB9560" w:rsidR="00C30396" w:rsidRPr="00734AF4" w:rsidRDefault="00C30396" w:rsidP="00094EE1">
      <w:pPr>
        <w:rPr>
          <w:lang w:eastAsia="ja-JP"/>
        </w:rPr>
      </w:pPr>
      <w:r w:rsidRPr="00734AF4">
        <w:rPr>
          <w:lang w:eastAsia="ja-JP"/>
        </w:rPr>
        <w:t>Superiority was demonstrated for the key secondary efficacy endpoints</w:t>
      </w:r>
      <w:r w:rsidRPr="00724A65">
        <w:rPr>
          <w:lang w:eastAsia="ja-JP"/>
        </w:rPr>
        <w:t xml:space="preserve"> in both studies</w:t>
      </w:r>
      <w:r w:rsidR="00D876CB">
        <w:rPr>
          <w:lang w:eastAsia="ja-JP"/>
        </w:rPr>
        <w:t xml:space="preserve"> (Table </w:t>
      </w:r>
      <w:r w:rsidR="00646C58">
        <w:rPr>
          <w:lang w:eastAsia="ja-JP"/>
        </w:rPr>
        <w:t>9</w:t>
      </w:r>
      <w:r w:rsidR="00D876CB">
        <w:rPr>
          <w:lang w:eastAsia="ja-JP"/>
        </w:rPr>
        <w:t>)</w:t>
      </w:r>
      <w:r w:rsidRPr="00724A65">
        <w:rPr>
          <w:lang w:eastAsia="ja-JP"/>
        </w:rPr>
        <w:t xml:space="preserve">. </w:t>
      </w:r>
    </w:p>
    <w:p w14:paraId="57585D85" w14:textId="77777777" w:rsidR="00C30396" w:rsidRPr="00F428FC" w:rsidRDefault="00C30396" w:rsidP="00D876CB">
      <w:pPr>
        <w:pStyle w:val="ListBullet"/>
      </w:pPr>
      <w:r w:rsidRPr="00F428FC">
        <w:t xml:space="preserve">For the absolute change from baseline in </w:t>
      </w:r>
      <w:proofErr w:type="spellStart"/>
      <w:r w:rsidRPr="00F428FC">
        <w:t>SwCl</w:t>
      </w:r>
      <w:proofErr w:type="spellEnd"/>
      <w:r w:rsidRPr="00F428FC">
        <w:t xml:space="preserve"> through Week 24</w:t>
      </w:r>
    </w:p>
    <w:p w14:paraId="7408AD8D" w14:textId="77777777" w:rsidR="00C30396" w:rsidRPr="00F428FC" w:rsidRDefault="00C30396" w:rsidP="002052F5">
      <w:pPr>
        <w:pStyle w:val="ListBullet2"/>
      </w:pPr>
      <w:r>
        <w:t xml:space="preserve">In study 102, </w:t>
      </w:r>
      <w:r w:rsidRPr="00F428FC">
        <w:t xml:space="preserve">LS mean difference (95% CI), VNZ/ TEZ/ D-IVA - ELX/ TEZ/ IVA, </w:t>
      </w:r>
      <w:r>
        <w:t xml:space="preserve">was </w:t>
      </w:r>
      <w:r w:rsidRPr="00F428FC">
        <w:t xml:space="preserve">-8.4 (-10.5 to -6.3) mmol/L, p-value &lt;0.0001. </w:t>
      </w:r>
    </w:p>
    <w:p w14:paraId="0BF6EC31" w14:textId="77777777" w:rsidR="00C30396" w:rsidRPr="008E3D37" w:rsidRDefault="00C30396" w:rsidP="002052F5">
      <w:pPr>
        <w:pStyle w:val="ListBullet2"/>
      </w:pPr>
      <w:r w:rsidRPr="00F428FC">
        <w:lastRenderedPageBreak/>
        <w:t>In study 103, LS mean difference (95% CI), VNZ/ TEZ/ D-IVA - ELX/ TEZ/ IVA,</w:t>
      </w:r>
      <w:r>
        <w:t xml:space="preserve"> was</w:t>
      </w:r>
      <w:r w:rsidRPr="00F428FC">
        <w:t xml:space="preserve"> -2.8 (-4.7 to -0.9) mmol/L, p-value = 0.0034</w:t>
      </w:r>
    </w:p>
    <w:p w14:paraId="1ACFD1EB" w14:textId="77777777" w:rsidR="00C30396" w:rsidRPr="00F428FC" w:rsidRDefault="00C30396" w:rsidP="002052F5">
      <w:pPr>
        <w:pStyle w:val="ListBullet"/>
      </w:pPr>
      <w:r w:rsidRPr="00F428FC">
        <w:t xml:space="preserve">For the proportion of subjects with </w:t>
      </w:r>
      <w:proofErr w:type="spellStart"/>
      <w:r w:rsidRPr="00F428FC">
        <w:t>SwCl</w:t>
      </w:r>
      <w:proofErr w:type="spellEnd"/>
      <w:r w:rsidRPr="00F428FC">
        <w:t xml:space="preserve"> &lt;60 mmol/L through Week 24 (PFAS)</w:t>
      </w:r>
    </w:p>
    <w:p w14:paraId="31B4EE1A" w14:textId="77777777" w:rsidR="00C30396" w:rsidRPr="00F428FC" w:rsidRDefault="00C30396" w:rsidP="002052F5">
      <w:pPr>
        <w:pStyle w:val="ListBullet2"/>
      </w:pPr>
      <w:r w:rsidRPr="00F428FC">
        <w:t xml:space="preserve">In study 102, the proportion was 85.8% for VNZ/ TEZ/ D-IVA and 76.6% for ELX/ TEZ/ IVA; OR (95% CI), VNZ/ TEZ/ D-IVA ÷ ELX/ TEZ/ IVA, 2.21 (1.55 to 3.15), p-value &lt;0.0001. </w:t>
      </w:r>
    </w:p>
    <w:p w14:paraId="051F2B19" w14:textId="3C10DF6B" w:rsidR="00C30396" w:rsidRPr="00F428FC" w:rsidRDefault="00C30396" w:rsidP="002052F5">
      <w:pPr>
        <w:pStyle w:val="ListBullet2"/>
      </w:pPr>
      <w:r w:rsidRPr="00F428FC">
        <w:t>In study 103, the proportion was 85.8% for VNZ/ TEZ/ D-IVA and 76.6% for ELX/ TEZ/ IVA; OR (95% CI), VNZ/ TEZ/ D-IVA ÷ ELX/ TEZ/ IVA, 2.21 (1.55 to 3.15), p-value &lt;0.0001</w:t>
      </w:r>
    </w:p>
    <w:p w14:paraId="17C514C8" w14:textId="77777777" w:rsidR="00C30396" w:rsidRPr="00F428FC" w:rsidRDefault="00C30396" w:rsidP="002052F5">
      <w:pPr>
        <w:pStyle w:val="ListBullet"/>
      </w:pPr>
      <w:r w:rsidRPr="00F428FC">
        <w:t xml:space="preserve">For the proportion of subjects with </w:t>
      </w:r>
      <w:proofErr w:type="spellStart"/>
      <w:r w:rsidRPr="00F428FC">
        <w:t>SwCl</w:t>
      </w:r>
      <w:proofErr w:type="spellEnd"/>
      <w:r w:rsidRPr="00F428FC">
        <w:t xml:space="preserve"> &lt;30 mmol/L through Week 24 (PFAS)</w:t>
      </w:r>
    </w:p>
    <w:p w14:paraId="7EBB070E" w14:textId="77777777" w:rsidR="00C30396" w:rsidRPr="00F428FC" w:rsidRDefault="00C30396" w:rsidP="002052F5">
      <w:pPr>
        <w:pStyle w:val="ListBullet2"/>
      </w:pPr>
      <w:r w:rsidRPr="00F428FC">
        <w:t>In study 102, the proportion was 30.5% for VNZ/ TEZ/ D-IVA and 22.5% for ELX/ TEZ/ IVA; OR (95% CI), VNZ/ TEZ/ D-IVA ÷ ELX/ TEZ/ IVA, 2.87 (2.00 to 4.12), p-value &lt;0.0001</w:t>
      </w:r>
    </w:p>
    <w:p w14:paraId="680AB273" w14:textId="77777777" w:rsidR="00C30396" w:rsidRDefault="00C30396" w:rsidP="002052F5">
      <w:pPr>
        <w:pStyle w:val="ListBullet2"/>
      </w:pPr>
      <w:r w:rsidRPr="00F428FC">
        <w:t>In study 103, the proportion was 30.5% for VNZ/ TEZ/ D-IVA and 22.5% for ELX/ TEZ/ IVA; OR (95% CI), VNZ/ TEZ/ D-IVA ÷ ELX/ TEZ/ IVA, 2.87 (2.00 to 4.12), p-value &lt;0.0001</w:t>
      </w:r>
    </w:p>
    <w:p w14:paraId="7D6CC41C" w14:textId="77777777" w:rsidR="00C30396" w:rsidRPr="00A216BD" w:rsidRDefault="00C30396" w:rsidP="002052F5">
      <w:pPr>
        <w:pStyle w:val="ListBullet"/>
      </w:pPr>
      <w:r w:rsidRPr="00A216BD">
        <w:t xml:space="preserve">Pooled analysis: Proportion of Subjects with </w:t>
      </w:r>
      <w:proofErr w:type="spellStart"/>
      <w:r w:rsidRPr="00A216BD">
        <w:t>SwCl</w:t>
      </w:r>
      <w:proofErr w:type="spellEnd"/>
      <w:r w:rsidRPr="00A216BD">
        <w:t xml:space="preserve"> &lt;60 mmol/L or &lt;30 mmol/L Through Week 24</w:t>
      </w:r>
      <w:r w:rsidRPr="00A216BD">
        <w:rPr>
          <w:b/>
          <w:bCs/>
        </w:rPr>
        <w:t xml:space="preserve"> </w:t>
      </w:r>
    </w:p>
    <w:p w14:paraId="50AC5A4F" w14:textId="77777777" w:rsidR="00C30396" w:rsidRPr="00A216BD" w:rsidRDefault="00C30396" w:rsidP="003908A1">
      <w:pPr>
        <w:pStyle w:val="ListBullet2"/>
      </w:pPr>
      <w:r w:rsidRPr="00A216BD">
        <w:t xml:space="preserve">Subjects in the VNZ/TEZ/D-IVA group were about twice as likely to achieve </w:t>
      </w:r>
      <w:proofErr w:type="spellStart"/>
      <w:r w:rsidRPr="00A216BD">
        <w:t>SwCl</w:t>
      </w:r>
      <w:proofErr w:type="spellEnd"/>
      <w:r w:rsidRPr="00A216BD">
        <w:t xml:space="preserve"> &lt;60 mmol/L compared to those in the ELX/TEZ/IVA group (odds ratio 2.21; P&lt;0.0001; 95% CI: 1.55–3.15).</w:t>
      </w:r>
    </w:p>
    <w:p w14:paraId="7F117784" w14:textId="77777777" w:rsidR="00C30396" w:rsidRPr="00A216BD" w:rsidRDefault="00C30396" w:rsidP="003908A1">
      <w:pPr>
        <w:pStyle w:val="ListBullet2"/>
      </w:pPr>
      <w:r w:rsidRPr="00A216BD">
        <w:t xml:space="preserve">Subjects in the VNZ/TEZ/D-IVA were about three times more likely to achieve </w:t>
      </w:r>
      <w:proofErr w:type="spellStart"/>
      <w:r w:rsidRPr="00A216BD">
        <w:t>SwCl</w:t>
      </w:r>
      <w:proofErr w:type="spellEnd"/>
      <w:r w:rsidRPr="00A216BD">
        <w:t xml:space="preserve"> &lt;30 mmol/L than those receiving ELX/TEZ/IVA (odds ratio 2.87; P&lt;0.0001; 95% CI: 2.00–4.12).</w:t>
      </w:r>
    </w:p>
    <w:p w14:paraId="5C22F598" w14:textId="0CA25B2D" w:rsidR="00C30396" w:rsidRPr="0089638D" w:rsidRDefault="00C30396" w:rsidP="00094EE1">
      <w:pPr>
        <w:rPr>
          <w:b/>
          <w:bCs/>
          <w:lang w:eastAsia="en-AU"/>
        </w:rPr>
      </w:pPr>
      <w:r w:rsidRPr="0089638D">
        <w:rPr>
          <w:b/>
          <w:bCs/>
          <w:lang w:eastAsia="en-AU"/>
        </w:rPr>
        <w:t xml:space="preserve">Other efficacy endpoints </w:t>
      </w:r>
    </w:p>
    <w:p w14:paraId="44349EC3" w14:textId="3F5A7460" w:rsidR="00C30396" w:rsidRPr="00EA57D3" w:rsidRDefault="00C30396" w:rsidP="003908A1">
      <w:pPr>
        <w:pStyle w:val="ListBullet"/>
      </w:pPr>
      <w:r w:rsidRPr="00EA57D3">
        <w:t xml:space="preserve">Treatment with VNZ/TEZ/D-IVA resulted in similar rates in </w:t>
      </w:r>
      <w:proofErr w:type="spellStart"/>
      <w:r w:rsidRPr="00EA57D3">
        <w:t>PEx</w:t>
      </w:r>
      <w:proofErr w:type="spellEnd"/>
      <w:r w:rsidRPr="00EA57D3">
        <w:t>, absolute change in CFQ-R, ppFEV1 and BMI through Week 52 compared to ELX/TEZ</w:t>
      </w:r>
      <w:r w:rsidR="00A90CFC">
        <w:t xml:space="preserve"> </w:t>
      </w:r>
      <w:r w:rsidR="00A90CFC" w:rsidRPr="00A90CFC">
        <w:t xml:space="preserve">(Table </w:t>
      </w:r>
      <w:r w:rsidR="00646C58">
        <w:t>10</w:t>
      </w:r>
      <w:r w:rsidR="00A90CFC" w:rsidRPr="00A90CFC">
        <w:t>)</w:t>
      </w:r>
      <w:r w:rsidRPr="00EA57D3">
        <w:t xml:space="preserve">. </w:t>
      </w:r>
    </w:p>
    <w:p w14:paraId="31BB70D0" w14:textId="77777777" w:rsidR="00C30396" w:rsidRDefault="00C30396" w:rsidP="00094EE1">
      <w:pPr>
        <w:rPr>
          <w:lang w:eastAsia="ja-JP"/>
        </w:rPr>
      </w:pPr>
    </w:p>
    <w:p w14:paraId="7562AFD9" w14:textId="68D36BCD" w:rsidR="001E6AB5" w:rsidRPr="00EA57D3" w:rsidRDefault="001E6AB5" w:rsidP="001E6AB5">
      <w:pPr>
        <w:pStyle w:val="TableTitle"/>
      </w:pPr>
      <w:r w:rsidRPr="002E4272">
        <w:lastRenderedPageBreak/>
        <w:t>Table</w:t>
      </w:r>
      <w:r>
        <w:t xml:space="preserve"> </w:t>
      </w:r>
      <w:r w:rsidR="00646C58">
        <w:t>9</w:t>
      </w:r>
      <w:r w:rsidR="003779D0">
        <w:t>.</w:t>
      </w:r>
      <w:r w:rsidRPr="002E4272">
        <w:t xml:space="preserve"> Primary and key secondary efficacy endpoints in study 102 and 103</w:t>
      </w:r>
      <w:r w:rsidR="00AA55CD">
        <w:t>.</w:t>
      </w:r>
      <w:r w:rsidR="00AA55CD">
        <w:rPr>
          <w:rStyle w:val="FootnoteReference"/>
        </w:rPr>
        <w:footnoteReference w:id="20"/>
      </w:r>
    </w:p>
    <w:p w14:paraId="07E91293" w14:textId="1256236B" w:rsidR="001E1552" w:rsidRDefault="00812A87" w:rsidP="001E1552">
      <w:r w:rsidRPr="00812A87">
        <w:rPr>
          <w:noProof/>
        </w:rPr>
        <w:drawing>
          <wp:inline distT="0" distB="0" distL="0" distR="0" wp14:anchorId="0D9980D6" wp14:editId="0EF59381">
            <wp:extent cx="5972175" cy="7849715"/>
            <wp:effectExtent l="0" t="0" r="0" b="0"/>
            <wp:docPr id="1173142819" name="Picture 1" descr="Table 9. Primary and key secondary efficacy endpoints in study 102 and 103 from Keating, C., et al.  VX20-121-103 Study Group (2025). Vanzacaftor-tezacaftor-deutivacaftor versus elexacaftor-tezacaftor-ivacaftor in individuals with cystic fibrosis aged 12 years and older (SKYLINE Trials VX20-121-102 and VX20-121-103): results from two randomised, active-controlled, phase 3 trials. The Lancet. Respiratory medicine, 13(3), 25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42819" name="Picture 1" descr="Table 9. Primary and key secondary efficacy endpoints in study 102 and 103 from Keating, C., et al.  VX20-121-103 Study Group (2025). Vanzacaftor-tezacaftor-deutivacaftor versus elexacaftor-tezacaftor-ivacaftor in individuals with cystic fibrosis aged 12 years and older (SKYLINE Trials VX20-121-102 and VX20-121-103): results from two randomised, active-controlled, phase 3 trials. The Lancet. Respiratory medicine, 13(3), 256–271."/>
                    <pic:cNvPicPr/>
                  </pic:nvPicPr>
                  <pic:blipFill>
                    <a:blip r:embed="rId23">
                      <a:extLst>
                        <a:ext uri="{BEBA8EAE-BF5A-486C-A8C5-ECC9F3942E4B}">
                          <a14:imgProps xmlns:a14="http://schemas.microsoft.com/office/drawing/2010/main">
                            <a14:imgLayer r:embed="rId24">
                              <a14:imgEffect>
                                <a14:colorTemperature colorTemp="5900"/>
                              </a14:imgEffect>
                            </a14:imgLayer>
                          </a14:imgProps>
                        </a:ext>
                      </a:extLst>
                    </a:blip>
                    <a:stretch>
                      <a:fillRect/>
                    </a:stretch>
                  </pic:blipFill>
                  <pic:spPr>
                    <a:xfrm>
                      <a:off x="0" y="0"/>
                      <a:ext cx="5976446" cy="7855329"/>
                    </a:xfrm>
                    <a:prstGeom prst="rect">
                      <a:avLst/>
                    </a:prstGeom>
                  </pic:spPr>
                </pic:pic>
              </a:graphicData>
            </a:graphic>
          </wp:inline>
        </w:drawing>
      </w:r>
    </w:p>
    <w:p w14:paraId="05E61EEA" w14:textId="309184DB" w:rsidR="00E456DC" w:rsidRPr="00500EB6" w:rsidRDefault="00E456DC" w:rsidP="00BF4868">
      <w:pPr>
        <w:pStyle w:val="TableTitle"/>
      </w:pPr>
      <w:r w:rsidRPr="00500EB6">
        <w:lastRenderedPageBreak/>
        <w:t xml:space="preserve">Table </w:t>
      </w:r>
      <w:r w:rsidR="00646C58">
        <w:t>10</w:t>
      </w:r>
      <w:r w:rsidR="003779D0">
        <w:t>.</w:t>
      </w:r>
      <w:r w:rsidRPr="00500EB6">
        <w:t xml:space="preserve"> Othe</w:t>
      </w:r>
      <w:r w:rsidR="008954AB">
        <w:t>r</w:t>
      </w:r>
      <w:r w:rsidRPr="00500EB6">
        <w:t xml:space="preserve"> secondary efficacy endpoints in study 102 and 103</w:t>
      </w:r>
      <w:r w:rsidR="003779D0">
        <w:t>.</w:t>
      </w:r>
    </w:p>
    <w:p w14:paraId="560D0DC3" w14:textId="1FEE0A65" w:rsidR="001E1552" w:rsidRDefault="00BF4868" w:rsidP="001E1552">
      <w:r w:rsidRPr="00BF4868">
        <w:rPr>
          <w:noProof/>
        </w:rPr>
        <w:drawing>
          <wp:inline distT="0" distB="0" distL="0" distR="0" wp14:anchorId="0A118E93" wp14:editId="0D02D890">
            <wp:extent cx="5744377" cy="3477110"/>
            <wp:effectExtent l="0" t="0" r="8890" b="9525"/>
            <wp:docPr id="113866245" name="Picture 1" descr="Table 10. Other secondary efficacy endpoints in study 102 an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245" name="Picture 1" descr="Table 10. Other secondary efficacy endpoints in study 102 and 103."/>
                    <pic:cNvPicPr/>
                  </pic:nvPicPr>
                  <pic:blipFill>
                    <a:blip r:embed="rId25"/>
                    <a:stretch>
                      <a:fillRect/>
                    </a:stretch>
                  </pic:blipFill>
                  <pic:spPr>
                    <a:xfrm>
                      <a:off x="0" y="0"/>
                      <a:ext cx="5744377" cy="3477110"/>
                    </a:xfrm>
                    <a:prstGeom prst="rect">
                      <a:avLst/>
                    </a:prstGeom>
                  </pic:spPr>
                </pic:pic>
              </a:graphicData>
            </a:graphic>
          </wp:inline>
        </w:drawing>
      </w:r>
    </w:p>
    <w:p w14:paraId="1C9E3A36" w14:textId="77777777" w:rsidR="00883EF0" w:rsidRPr="00C0576A" w:rsidRDefault="00883EF0" w:rsidP="00D93C1D">
      <w:pPr>
        <w:pStyle w:val="TableDescription"/>
      </w:pPr>
      <w:r w:rsidRPr="00A910FE">
        <w:t xml:space="preserve">CFQ-R: Cystic Fibrosis Questionnaire–Revised; CI: confidence interval; ELX/TEZ/IVA: </w:t>
      </w:r>
      <w:proofErr w:type="spellStart"/>
      <w:r w:rsidRPr="00A910FE">
        <w:t>elexacaftor</w:t>
      </w:r>
      <w:proofErr w:type="spellEnd"/>
      <w:r w:rsidRPr="00A910FE">
        <w:t>/tezacaftor/ivacaftor; LS: least squares; N: total sample size; ppFEV1: percent predicted forced expiratory volume in 1 second; RD: respiratory domain; SD: standard deviation; VNZ/TEZ/D-IVA: vanzacaftor/tezacaftor/deutivacaftor</w:t>
      </w:r>
    </w:p>
    <w:p w14:paraId="41ACA635" w14:textId="4F54479D" w:rsidR="00936085" w:rsidRDefault="00936085" w:rsidP="00936085">
      <w:pPr>
        <w:pStyle w:val="Heading6"/>
      </w:pPr>
      <w:r w:rsidRPr="00936085">
        <w:t>Study VX21-121-105</w:t>
      </w:r>
    </w:p>
    <w:p w14:paraId="218390BD" w14:textId="02F9BBF7" w:rsidR="00C223FA" w:rsidRPr="00D1068B" w:rsidRDefault="00C223FA" w:rsidP="00C223FA">
      <w:pPr>
        <w:rPr>
          <w:rFonts w:ascii="TimesNewRomanPSMT" w:hAnsi="TimesNewRomanPSMT" w:cs="TimesNewRomanPSMT"/>
          <w:sz w:val="20"/>
        </w:rPr>
      </w:pPr>
      <w:r w:rsidRPr="00D1068B">
        <w:rPr>
          <w:color w:val="000000"/>
        </w:rPr>
        <w:t>This is a phase 3, 2 part (A,B) multicohort, multicentre, single-arm, open label phase 3 trial e</w:t>
      </w:r>
      <w:r w:rsidRPr="00D1068B">
        <w:t xml:space="preserve">valuating the PK, safety, tolerability, and efficacy of VNZ/TEZ/D-IVA TC therapy in cystic fibrosis (CF) subjects 1 through 11 years of age (inclusive) with at least 1 triple combination responsive (TCR) mutation in the </w:t>
      </w:r>
      <w:r w:rsidRPr="00D1068B">
        <w:rPr>
          <w:i/>
          <w:iCs/>
        </w:rPr>
        <w:t xml:space="preserve">CFTR </w:t>
      </w:r>
      <w:r w:rsidRPr="00D1068B">
        <w:t xml:space="preserve">gene. </w:t>
      </w:r>
      <w:r w:rsidRPr="00D1068B">
        <w:rPr>
          <w:color w:val="000000"/>
        </w:rPr>
        <w:t>There are three separate descending cohorts according to age (6–11 years, 2–5 years, and 1 year to &lt;2 years).</w:t>
      </w:r>
      <w:r w:rsidRPr="00D1068B">
        <w:rPr>
          <w:lang w:eastAsia="ja-JP"/>
        </w:rPr>
        <w:t xml:space="preserve">  The data for the 6 -11 years was presented in the dossier</w:t>
      </w:r>
      <w:r w:rsidRPr="00FF27FE">
        <w:rPr>
          <w:lang w:eastAsia="ja-JP"/>
        </w:rPr>
        <w:t>.</w:t>
      </w:r>
    </w:p>
    <w:p w14:paraId="4F545AA2" w14:textId="30439656" w:rsidR="00C223FA" w:rsidRPr="0089638D" w:rsidRDefault="00C223FA" w:rsidP="00C223FA">
      <w:pPr>
        <w:rPr>
          <w:b/>
          <w:bCs/>
          <w:lang w:eastAsia="ja-JP"/>
        </w:rPr>
      </w:pPr>
      <w:r w:rsidRPr="0089638D">
        <w:rPr>
          <w:b/>
          <w:bCs/>
          <w:lang w:eastAsia="ja-JP"/>
        </w:rPr>
        <w:t>Study design</w:t>
      </w:r>
    </w:p>
    <w:p w14:paraId="7225C6A0" w14:textId="13046002" w:rsidR="00C223FA" w:rsidRDefault="00C223FA" w:rsidP="00C223FA">
      <w:r w:rsidRPr="00507859">
        <w:t xml:space="preserve">Part A of the study evaluated the pharmacokinetics, safety, and tolerability for 22 days. Part B followed by the evaluation of safety, pharmacokinetics, and efficacy for 24 weeks (Figure </w:t>
      </w:r>
      <w:r>
        <w:t>4</w:t>
      </w:r>
      <w:r w:rsidRPr="00507859">
        <w:t>)</w:t>
      </w:r>
      <w:r w:rsidR="006B54EA">
        <w:t>.</w:t>
      </w:r>
      <w:r w:rsidRPr="00507859">
        <w:t xml:space="preserve"> Subjects who participated in Cohort A1 were permitted to participate in Cohort B1. No control treatment was included, consistent with guidance on paediatric extrapolation</w:t>
      </w:r>
      <w:r>
        <w:t>.</w:t>
      </w:r>
    </w:p>
    <w:p w14:paraId="2E41D6CC" w14:textId="77777777" w:rsidR="00C223FA" w:rsidRPr="002E2CBC" w:rsidRDefault="00C223FA" w:rsidP="00C223FA">
      <w:pPr>
        <w:rPr>
          <w:lang w:eastAsia="ja-JP"/>
        </w:rPr>
      </w:pPr>
      <w:r w:rsidRPr="002E2CBC">
        <w:rPr>
          <w:lang w:eastAsia="ja-JP"/>
        </w:rPr>
        <w:t>The study treatments were:</w:t>
      </w:r>
    </w:p>
    <w:p w14:paraId="2EDA0E87" w14:textId="77777777" w:rsidR="00C223FA" w:rsidRPr="00325B23" w:rsidRDefault="00C223FA" w:rsidP="00C223FA">
      <w:r w:rsidRPr="00325B23">
        <w:t>Cohort A1: VNZ 10 mg/ TEZ 50 mg/ D-IVA 125 mg once daily for 22 days.</w:t>
      </w:r>
    </w:p>
    <w:p w14:paraId="7E6C1047" w14:textId="52FA5699" w:rsidR="00C223FA" w:rsidRDefault="00C223FA" w:rsidP="00C223FA">
      <w:r w:rsidRPr="00325B23">
        <w:t xml:space="preserve">Cohort B1: ELX/ TEZ/ IVA for a </w:t>
      </w:r>
      <w:r w:rsidR="00EC07FF" w:rsidRPr="00325B23">
        <w:t>28-day</w:t>
      </w:r>
      <w:r w:rsidRPr="00325B23">
        <w:t xml:space="preserve"> run-in period (waived for subjects on stable ELX/TEZ/IVA treatment) then VNZ/ TEZ/ D-IVA for 24 weeks.  </w:t>
      </w:r>
    </w:p>
    <w:p w14:paraId="12B97FB0" w14:textId="77777777" w:rsidR="00C223FA" w:rsidRPr="00D7311B" w:rsidRDefault="00C223FA" w:rsidP="00C223FA">
      <w:pPr>
        <w:rPr>
          <w:rFonts w:eastAsia="MS Mincho"/>
        </w:rPr>
      </w:pPr>
      <w:r w:rsidRPr="00D7311B">
        <w:lastRenderedPageBreak/>
        <w:t xml:space="preserve">Eligible children aged 6–11 years had a confirmed diagnosis of cystic fibrosis with at least one ELX/ TEZ/ IVA responsive CFTR variant, FEV1 % predicted of 60% or higher, and stable cystic fibrosis. </w:t>
      </w:r>
    </w:p>
    <w:p w14:paraId="71643B35" w14:textId="77777777" w:rsidR="00C223FA" w:rsidRPr="00D7311B" w:rsidRDefault="00C223FA" w:rsidP="00C223FA">
      <w:r w:rsidRPr="00D7311B">
        <w:t xml:space="preserve">Efficacy was not an objective for Cohort A1 and a secondary objective for Cohort B1. The efficacy outcome measures </w:t>
      </w:r>
      <w:proofErr w:type="spellStart"/>
      <w:r w:rsidRPr="00D7311B">
        <w:t>SwCl</w:t>
      </w:r>
      <w:proofErr w:type="spellEnd"/>
      <w:r w:rsidRPr="00D7311B">
        <w:t xml:space="preserve">, spirometry, pulmonary exacerbations, Cystic Fibrosis Questionnaire-Revised (CFQ-R), BMI, weight, height, and multiple breath washout (MBW).  </w:t>
      </w:r>
    </w:p>
    <w:p w14:paraId="17FC1581" w14:textId="3EE718F2" w:rsidR="006E5756" w:rsidRPr="003139AC" w:rsidRDefault="006E5756" w:rsidP="006E5756">
      <w:pPr>
        <w:pStyle w:val="FigureTitle"/>
        <w:rPr>
          <w:lang w:eastAsia="ja-JP"/>
        </w:rPr>
      </w:pPr>
      <w:r>
        <w:rPr>
          <w:lang w:eastAsia="ja-JP"/>
        </w:rPr>
        <w:t>Figure 4</w:t>
      </w:r>
      <w:r w:rsidR="00F123A8">
        <w:rPr>
          <w:lang w:eastAsia="ja-JP"/>
        </w:rPr>
        <w:t>.</w:t>
      </w:r>
      <w:r>
        <w:rPr>
          <w:lang w:eastAsia="ja-JP"/>
        </w:rPr>
        <w:t xml:space="preserve"> </w:t>
      </w:r>
      <w:r w:rsidRPr="00A62E6B">
        <w:rPr>
          <w:lang w:eastAsia="ja-JP"/>
        </w:rPr>
        <w:t>Phase 3 Study Design</w:t>
      </w:r>
      <w:r>
        <w:rPr>
          <w:lang w:eastAsia="ja-JP"/>
        </w:rPr>
        <w:t>: Study 105</w:t>
      </w:r>
      <w:r w:rsidR="00F123A8">
        <w:rPr>
          <w:lang w:eastAsia="ja-JP"/>
        </w:rPr>
        <w:t>.</w:t>
      </w:r>
    </w:p>
    <w:p w14:paraId="2D4049E7" w14:textId="7313F737" w:rsidR="00C223FA" w:rsidRDefault="00DC0590" w:rsidP="00C223FA">
      <w:pPr>
        <w:jc w:val="both"/>
        <w:rPr>
          <w:rFonts w:ascii="Calibri" w:hAnsi="Calibri" w:cs="Calibri"/>
        </w:rPr>
      </w:pPr>
      <w:r>
        <w:rPr>
          <w:noProof/>
          <w:lang w:eastAsia="ja-JP"/>
        </w:rPr>
        <w:drawing>
          <wp:inline distT="0" distB="0" distL="0" distR="0" wp14:anchorId="5FFFFF66" wp14:editId="4EDFEB9F">
            <wp:extent cx="5637570" cy="2734654"/>
            <wp:effectExtent l="0" t="0" r="1270" b="8890"/>
            <wp:docPr id="474107200" name="Picture 1" descr="Figure 4. Phase 3 Study Design: Study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07200" name="Picture 1" descr="Figure 4. Phase 3 Study Design: Study 105."/>
                    <pic:cNvPicPr/>
                  </pic:nvPicPr>
                  <pic:blipFill>
                    <a:blip r:embed="rId26">
                      <a:extLst>
                        <a:ext uri="{28A0092B-C50C-407E-A947-70E740481C1C}">
                          <a14:useLocalDpi xmlns:a14="http://schemas.microsoft.com/office/drawing/2010/main" val="0"/>
                        </a:ext>
                      </a:extLst>
                    </a:blip>
                    <a:stretch>
                      <a:fillRect/>
                    </a:stretch>
                  </pic:blipFill>
                  <pic:spPr>
                    <a:xfrm>
                      <a:off x="0" y="0"/>
                      <a:ext cx="5674159" cy="2752402"/>
                    </a:xfrm>
                    <a:prstGeom prst="rect">
                      <a:avLst/>
                    </a:prstGeom>
                  </pic:spPr>
                </pic:pic>
              </a:graphicData>
            </a:graphic>
          </wp:inline>
        </w:drawing>
      </w:r>
    </w:p>
    <w:p w14:paraId="221A6B37" w14:textId="77777777" w:rsidR="003B2219" w:rsidRPr="0089638D" w:rsidRDefault="003B2219" w:rsidP="00F123A8">
      <w:pPr>
        <w:rPr>
          <w:b/>
          <w:bCs/>
        </w:rPr>
      </w:pPr>
      <w:r w:rsidRPr="0089638D">
        <w:rPr>
          <w:b/>
          <w:bCs/>
        </w:rPr>
        <w:t>Results</w:t>
      </w:r>
    </w:p>
    <w:p w14:paraId="6A8FD865" w14:textId="6098D274" w:rsidR="003B2219" w:rsidRPr="00EB789C" w:rsidRDefault="003B2219" w:rsidP="00F123A8">
      <w:pPr>
        <w:rPr>
          <w:lang w:eastAsia="ja-JP"/>
        </w:rPr>
      </w:pPr>
      <w:r w:rsidRPr="00EB789C">
        <w:rPr>
          <w:lang w:eastAsia="ja-JP"/>
        </w:rPr>
        <w:t xml:space="preserve">In Cohort A1, 17 subjects were enrolled, all were treated and completed the study.  </w:t>
      </w:r>
      <w:r w:rsidRPr="00EB789C">
        <w:rPr>
          <w:i/>
          <w:iCs/>
          <w:lang w:eastAsia="ja-JP"/>
        </w:rPr>
        <w:t>CFTR</w:t>
      </w:r>
      <w:r w:rsidRPr="00EB789C">
        <w:rPr>
          <w:lang w:eastAsia="ja-JP"/>
        </w:rPr>
        <w:t xml:space="preserve"> genotype was F/F for nine (52.9%) subjects, F/MF for three (17.6%), F/G for one (5.9%) and TCR/any for four (23.5%</w:t>
      </w:r>
      <w:r w:rsidR="00F123A8">
        <w:rPr>
          <w:lang w:eastAsia="ja-JP"/>
        </w:rPr>
        <w:t>)</w:t>
      </w:r>
      <w:r w:rsidRPr="00EB789C">
        <w:rPr>
          <w:lang w:eastAsia="ja-JP"/>
        </w:rPr>
        <w:t xml:space="preserve">. </w:t>
      </w:r>
    </w:p>
    <w:p w14:paraId="2B6D9C78" w14:textId="2A9B83C0" w:rsidR="003B2219" w:rsidRPr="006F503B" w:rsidRDefault="003B2219" w:rsidP="00F123A8">
      <w:pPr>
        <w:rPr>
          <w:szCs w:val="22"/>
        </w:rPr>
      </w:pPr>
      <w:r w:rsidRPr="006F503B">
        <w:rPr>
          <w:szCs w:val="22"/>
          <w:lang w:eastAsia="ja-JP"/>
        </w:rPr>
        <w:t xml:space="preserve">In Cohort B1, 78 </w:t>
      </w:r>
      <w:r w:rsidR="005F1FF4">
        <w:rPr>
          <w:szCs w:val="22"/>
          <w:lang w:eastAsia="ja-JP"/>
        </w:rPr>
        <w:t xml:space="preserve">subjects </w:t>
      </w:r>
      <w:r w:rsidRPr="006F503B">
        <w:rPr>
          <w:szCs w:val="22"/>
          <w:lang w:eastAsia="ja-JP"/>
        </w:rPr>
        <w:t>were enrolled, and 77 (98.7%)</w:t>
      </w:r>
      <w:r w:rsidR="005F1FF4">
        <w:rPr>
          <w:szCs w:val="22"/>
          <w:lang w:eastAsia="ja-JP"/>
        </w:rPr>
        <w:t xml:space="preserve"> subjects</w:t>
      </w:r>
      <w:r w:rsidRPr="006F503B">
        <w:rPr>
          <w:szCs w:val="22"/>
          <w:lang w:eastAsia="ja-JP"/>
        </w:rPr>
        <w:t xml:space="preserve"> competed treatment</w:t>
      </w:r>
      <w:r w:rsidRPr="006F503B">
        <w:rPr>
          <w:szCs w:val="22"/>
        </w:rPr>
        <w:t xml:space="preserve">. </w:t>
      </w:r>
      <w:r w:rsidRPr="006F503B">
        <w:rPr>
          <w:i/>
          <w:iCs/>
          <w:szCs w:val="22"/>
          <w:lang w:eastAsia="ja-JP"/>
        </w:rPr>
        <w:t>CFTR</w:t>
      </w:r>
      <w:r w:rsidRPr="006F503B">
        <w:rPr>
          <w:szCs w:val="22"/>
          <w:lang w:eastAsia="ja-JP"/>
        </w:rPr>
        <w:t xml:space="preserve"> genotype was F/F for 37 (47.4%) subjects, F/MF for 24 (30.8%), F/G for three (3.8%), F/RF for one (1.3%), F/other for two (2.6%) and TCR/any for 11 (14.1) % of whom </w:t>
      </w:r>
      <w:r w:rsidRPr="006F503B">
        <w:rPr>
          <w:szCs w:val="22"/>
        </w:rPr>
        <w:t>5 subjects had the F508del mutation on the second (any) allele</w:t>
      </w:r>
      <w:r w:rsidRPr="006F503B">
        <w:rPr>
          <w:szCs w:val="22"/>
          <w:lang w:eastAsia="ja-JP"/>
        </w:rPr>
        <w:t xml:space="preserve">, leaving  </w:t>
      </w:r>
      <w:r w:rsidRPr="006F503B">
        <w:rPr>
          <w:szCs w:val="22"/>
        </w:rPr>
        <w:t>6 subjects (7.7%) of the study population without an F508del mutation.</w:t>
      </w:r>
    </w:p>
    <w:p w14:paraId="6FDFEB60" w14:textId="77777777" w:rsidR="003B2219" w:rsidRPr="003C39D9" w:rsidRDefault="003B2219" w:rsidP="006F2F36">
      <w:pPr>
        <w:rPr>
          <w:b/>
          <w:bCs/>
        </w:rPr>
      </w:pPr>
      <w:r w:rsidRPr="003C39D9">
        <w:rPr>
          <w:b/>
          <w:bCs/>
        </w:rPr>
        <w:t xml:space="preserve">Efficacy </w:t>
      </w:r>
    </w:p>
    <w:p w14:paraId="7C55BE54" w14:textId="79A85E1D" w:rsidR="003B2219" w:rsidRPr="003373BE" w:rsidRDefault="003B2219" w:rsidP="006F2F36">
      <w:pPr>
        <w:pStyle w:val="ListBullet"/>
      </w:pPr>
      <w:r w:rsidRPr="001F3C09">
        <w:t xml:space="preserve">Following baseline established on ELX/TEZ/IVA in CF subjects 6-11 years, lung function was normal (Mean [SD] ppFEV1 99.7 [15.1] percentage points). Treatment with VNZ/TEZ/D-IVA maintained this benefit in ppFEV1 (LS mean absolute change from baseline through Week 24 0.0 percentage </w:t>
      </w:r>
      <w:r w:rsidRPr="003373BE">
        <w:t>points [95% CI: -2.0, 1.9])</w:t>
      </w:r>
      <w:r w:rsidR="00F8449A">
        <w:t>.</w:t>
      </w:r>
    </w:p>
    <w:p w14:paraId="0073917C" w14:textId="4B2F7AC4" w:rsidR="003B2219" w:rsidRPr="003373BE" w:rsidRDefault="003B2219" w:rsidP="004433F9">
      <w:pPr>
        <w:pStyle w:val="ListBullet"/>
      </w:pPr>
      <w:r w:rsidRPr="003373BE">
        <w:t xml:space="preserve">Treatment with VNZ/TEZ/D-IVA over 24 weeks reduced </w:t>
      </w:r>
      <w:proofErr w:type="spellStart"/>
      <w:r w:rsidRPr="003373BE">
        <w:t>SwCl</w:t>
      </w:r>
      <w:proofErr w:type="spellEnd"/>
      <w:r w:rsidRPr="003373BE">
        <w:t>: Within-group LS mean absolute change through Week 24 of -8.6 mmol/L (95% CI: -11.0, -6.3) compared to ELX/TEZ/IVA baseline of 40.4 mmol/L</w:t>
      </w:r>
      <w:r w:rsidR="00F8449A">
        <w:t>.</w:t>
      </w:r>
    </w:p>
    <w:p w14:paraId="6CA0E3FD" w14:textId="77777777" w:rsidR="003B2219" w:rsidRPr="003373BE" w:rsidRDefault="003B2219" w:rsidP="004433F9">
      <w:pPr>
        <w:pStyle w:val="ListBullet"/>
      </w:pPr>
      <w:r w:rsidRPr="003373BE">
        <w:t xml:space="preserve">The proportion of subjects with </w:t>
      </w:r>
      <w:proofErr w:type="spellStart"/>
      <w:r w:rsidRPr="003373BE">
        <w:t>SwCl</w:t>
      </w:r>
      <w:proofErr w:type="spellEnd"/>
      <w:r w:rsidRPr="003373BE">
        <w:t xml:space="preserve"> &lt;60 mmol/L increased from 84.4% to 94.9%.  The proportion of subjects with </w:t>
      </w:r>
      <w:proofErr w:type="spellStart"/>
      <w:r w:rsidRPr="003373BE">
        <w:t>SwCl</w:t>
      </w:r>
      <w:proofErr w:type="spellEnd"/>
      <w:r w:rsidRPr="003373BE">
        <w:t xml:space="preserve"> &lt;30 mmol/L increased from 39.0% to 52.6%.  </w:t>
      </w:r>
    </w:p>
    <w:p w14:paraId="7357459D" w14:textId="77777777" w:rsidR="003B2219" w:rsidRPr="003373BE" w:rsidRDefault="003B2219" w:rsidP="004433F9">
      <w:pPr>
        <w:pStyle w:val="ListBullet"/>
      </w:pPr>
      <w:r w:rsidRPr="003373BE">
        <w:t xml:space="preserve">Treatment with VNZ/TEZ/D-IVA over 24 weeks improved within-group values in CFQ-R RD score and maintained within-group values in ppFEV1 and nutritional parameters as compared to ELX/TEZ/IVA baseline. </w:t>
      </w:r>
    </w:p>
    <w:p w14:paraId="76168235" w14:textId="77777777" w:rsidR="003B2219" w:rsidRPr="003373BE" w:rsidRDefault="003B2219" w:rsidP="004433F9">
      <w:pPr>
        <w:pStyle w:val="ListBullet"/>
      </w:pPr>
      <w:r w:rsidRPr="003373BE">
        <w:t xml:space="preserve">There were 6 exacerbations with an annualized rate of 0.15 events/year. </w:t>
      </w:r>
    </w:p>
    <w:p w14:paraId="588E13ED" w14:textId="77859155" w:rsidR="003B2219" w:rsidRPr="003373BE" w:rsidRDefault="003B2219" w:rsidP="004433F9">
      <w:pPr>
        <w:pStyle w:val="ListBullet"/>
      </w:pPr>
      <w:r w:rsidRPr="003373BE">
        <w:lastRenderedPageBreak/>
        <w:t>Treatment with VNZ/TEZ/D-IVA resulted in improvements in CFQ-R RD score with an LS mean absolute change from baseline through Week 24 of 3.9 points (95% CI: 1.5, 6.3)</w:t>
      </w:r>
      <w:r w:rsidR="00F8449A">
        <w:t>.</w:t>
      </w:r>
    </w:p>
    <w:p w14:paraId="5D9F61DC" w14:textId="22B918AE" w:rsidR="003B2219" w:rsidRDefault="003B2219" w:rsidP="00F8449A">
      <w:pPr>
        <w:pStyle w:val="ListBullet"/>
      </w:pPr>
      <w:r w:rsidRPr="003373BE">
        <w:t>There was no significant change in BMI z-score, weight z-score or height z-score</w:t>
      </w:r>
      <w:r w:rsidR="00F8449A">
        <w:t>.</w:t>
      </w:r>
    </w:p>
    <w:p w14:paraId="467A0AF1" w14:textId="2498CBBC" w:rsidR="003B2219" w:rsidRPr="00BE497F" w:rsidRDefault="003B2219" w:rsidP="00F8449A">
      <w:pPr>
        <w:pStyle w:val="ListBullet"/>
      </w:pPr>
      <w:r w:rsidRPr="00BE497F">
        <w:t xml:space="preserve">While direct comparisons between Study 105 Cohort B1 and Studies 102 and 103 cannot be made due </w:t>
      </w:r>
      <w:r w:rsidR="007C3A72">
        <w:t xml:space="preserve">to </w:t>
      </w:r>
      <w:r w:rsidRPr="00BE497F">
        <w:t>differences in study design</w:t>
      </w:r>
      <w:r w:rsidR="007C3A72">
        <w:t>,</w:t>
      </w:r>
      <w:r w:rsidRPr="00BE497F">
        <w:t xml:space="preserve"> results were generally consistent with Studies 102 and 103.</w:t>
      </w:r>
      <w:r w:rsidRPr="00BE497F">
        <w:rPr>
          <w:lang w:val="en-US"/>
        </w:rPr>
        <w:t> </w:t>
      </w:r>
    </w:p>
    <w:p w14:paraId="5302871B" w14:textId="77777777" w:rsidR="003B2219" w:rsidRPr="00CE5E3B" w:rsidRDefault="003B2219" w:rsidP="00F8449A">
      <w:pPr>
        <w:pStyle w:val="Heading6"/>
      </w:pPr>
      <w:bookmarkStart w:id="62" w:name="_Toc290888504"/>
      <w:bookmarkStart w:id="63" w:name="_Toc416353720"/>
      <w:r w:rsidRPr="00CE5E3B">
        <w:t>Study</w:t>
      </w:r>
      <w:bookmarkEnd w:id="62"/>
      <w:r w:rsidRPr="00CE5E3B">
        <w:t xml:space="preserve"> VX18-121-101</w:t>
      </w:r>
      <w:bookmarkEnd w:id="63"/>
    </w:p>
    <w:p w14:paraId="2306028F" w14:textId="1A50EE4F" w:rsidR="003B2219" w:rsidRPr="00D7311B" w:rsidRDefault="003B2219" w:rsidP="00493755">
      <w:pPr>
        <w:rPr>
          <w:lang w:eastAsia="ja-JP"/>
        </w:rPr>
      </w:pPr>
      <w:r w:rsidRPr="00CE5E3B">
        <w:rPr>
          <w:lang w:eastAsia="ja-JP"/>
        </w:rPr>
        <w:t xml:space="preserve">Study VX18-121-101 was a Phase II, randomised, double-blind, active and </w:t>
      </w:r>
      <w:r w:rsidR="00493755" w:rsidRPr="00CE5E3B">
        <w:rPr>
          <w:lang w:eastAsia="ja-JP"/>
        </w:rPr>
        <w:t>placebo-controlled</w:t>
      </w:r>
      <w:r w:rsidRPr="00CE5E3B">
        <w:rPr>
          <w:lang w:eastAsia="ja-JP"/>
        </w:rPr>
        <w:t xml:space="preserve"> study to evaluate the safety and efficacy VNZ combination therapy in adult subjects with CF.  The study was a dose-finding and proof of concept study.  The study included male and female subjects with CF, who were on a stable dose of IVA and had either </w:t>
      </w:r>
      <w:r w:rsidRPr="00CE5E3B">
        <w:t xml:space="preserve">F/MF </w:t>
      </w:r>
      <w:r>
        <w:t xml:space="preserve">(part 1) </w:t>
      </w:r>
      <w:r w:rsidRPr="00CE5E3B">
        <w:t>or F/F</w:t>
      </w:r>
      <w:r w:rsidR="00C609BC">
        <w:t xml:space="preserve"> </w:t>
      </w:r>
      <w:r>
        <w:t>(Part 2)</w:t>
      </w:r>
      <w:r w:rsidRPr="00CE5E3B">
        <w:rPr>
          <w:lang w:eastAsia="ja-JP"/>
        </w:rPr>
        <w:t xml:space="preserve">. The study design is shown in figure </w:t>
      </w:r>
      <w:r>
        <w:rPr>
          <w:lang w:eastAsia="ja-JP"/>
        </w:rPr>
        <w:t>5</w:t>
      </w:r>
      <w:r w:rsidRPr="00CE5E3B">
        <w:rPr>
          <w:lang w:eastAsia="ja-JP"/>
        </w:rPr>
        <w:t>.</w:t>
      </w:r>
    </w:p>
    <w:p w14:paraId="75539898" w14:textId="04BD8AF0" w:rsidR="00C7179D" w:rsidRDefault="00C7179D" w:rsidP="00493755">
      <w:pPr>
        <w:pStyle w:val="FigureTitle"/>
        <w:rPr>
          <w:lang w:eastAsia="ja-JP"/>
        </w:rPr>
      </w:pPr>
      <w:r w:rsidRPr="00770906">
        <w:rPr>
          <w:lang w:eastAsia="ja-JP"/>
        </w:rPr>
        <w:t xml:space="preserve">Figure </w:t>
      </w:r>
      <w:r>
        <w:rPr>
          <w:lang w:eastAsia="ja-JP"/>
        </w:rPr>
        <w:t>5</w:t>
      </w:r>
      <w:r w:rsidR="003770E9">
        <w:rPr>
          <w:lang w:eastAsia="ja-JP"/>
        </w:rPr>
        <w:t>.</w:t>
      </w:r>
      <w:r w:rsidRPr="00770906">
        <w:rPr>
          <w:lang w:eastAsia="ja-JP"/>
        </w:rPr>
        <w:t xml:space="preserve"> VX18-121-101 Study Design for Part 1 (F/MF Subjects) and Part 2 (F/F Subjects)</w:t>
      </w:r>
      <w:r w:rsidR="003770E9">
        <w:rPr>
          <w:lang w:eastAsia="ja-JP"/>
        </w:rPr>
        <w:t>.</w:t>
      </w:r>
    </w:p>
    <w:p w14:paraId="171BC54A" w14:textId="262B61ED" w:rsidR="00DC0590" w:rsidRDefault="00F10821" w:rsidP="00C223FA">
      <w:pPr>
        <w:jc w:val="both"/>
        <w:rPr>
          <w:rFonts w:ascii="Calibri" w:hAnsi="Calibri" w:cs="Calibri"/>
        </w:rPr>
      </w:pPr>
      <w:r>
        <w:rPr>
          <w:rFonts w:ascii="Calibri" w:hAnsi="Calibri" w:cs="Calibri"/>
          <w:b/>
          <w:bCs/>
          <w:noProof/>
          <w:lang w:eastAsia="ja-JP"/>
        </w:rPr>
        <w:drawing>
          <wp:inline distT="0" distB="0" distL="0" distR="0" wp14:anchorId="695883B5" wp14:editId="65D4E177">
            <wp:extent cx="5705475" cy="2797229"/>
            <wp:effectExtent l="0" t="0" r="0" b="3175"/>
            <wp:docPr id="2006178693" name="Picture 1" descr="Figure 5. VX18-121-101 Study Design for Part 1 (F/MF Subjects) and Part 2 (F/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8693" name="Picture 1" descr="Figure 5. VX18-121-101 Study Design for Part 1 (F/MF Subjects) and Part 2 (F/F Subjects)."/>
                    <pic:cNvPicPr/>
                  </pic:nvPicPr>
                  <pic:blipFill>
                    <a:blip r:embed="rId27">
                      <a:extLst>
                        <a:ext uri="{28A0092B-C50C-407E-A947-70E740481C1C}">
                          <a14:useLocalDpi xmlns:a14="http://schemas.microsoft.com/office/drawing/2010/main" val="0"/>
                        </a:ext>
                      </a:extLst>
                    </a:blip>
                    <a:stretch>
                      <a:fillRect/>
                    </a:stretch>
                  </pic:blipFill>
                  <pic:spPr>
                    <a:xfrm>
                      <a:off x="0" y="0"/>
                      <a:ext cx="5720145" cy="2804421"/>
                    </a:xfrm>
                    <a:prstGeom prst="rect">
                      <a:avLst/>
                    </a:prstGeom>
                  </pic:spPr>
                </pic:pic>
              </a:graphicData>
            </a:graphic>
          </wp:inline>
        </w:drawing>
      </w:r>
    </w:p>
    <w:p w14:paraId="1B6502C1" w14:textId="77777777" w:rsidR="00286FA0" w:rsidRDefault="00286FA0" w:rsidP="00D93C1D">
      <w:pPr>
        <w:pStyle w:val="FigureDescription"/>
      </w:pPr>
      <w:r w:rsidRPr="00BF542E">
        <w:t xml:space="preserve">D-IVA: deutivacaftor; F/F: homozygous for </w:t>
      </w:r>
      <w:r w:rsidRPr="00BF542E">
        <w:rPr>
          <w:i/>
          <w:iCs/>
        </w:rPr>
        <w:t>F508del</w:t>
      </w:r>
      <w:r w:rsidRPr="00BF542E">
        <w:t xml:space="preserve">; F/MF: heterozygous for </w:t>
      </w:r>
      <w:r w:rsidRPr="00BF542E">
        <w:rPr>
          <w:i/>
          <w:iCs/>
        </w:rPr>
        <w:t xml:space="preserve">F508del </w:t>
      </w:r>
      <w:r w:rsidRPr="00BF542E">
        <w:t xml:space="preserve">and a minimal function mutation; </w:t>
      </w:r>
      <w:proofErr w:type="spellStart"/>
      <w:r w:rsidRPr="00BF542E">
        <w:t>qd</w:t>
      </w:r>
      <w:proofErr w:type="spellEnd"/>
      <w:r w:rsidRPr="00BF542E">
        <w:t xml:space="preserve">: once daily; TC: triple combination; TC-5 mg: VNZ 5 mg </w:t>
      </w:r>
      <w:proofErr w:type="spellStart"/>
      <w:r w:rsidRPr="00BF542E">
        <w:t>qd</w:t>
      </w:r>
      <w:proofErr w:type="spellEnd"/>
      <w:r w:rsidRPr="00BF542E">
        <w:t xml:space="preserve">/TEZ 100 mg </w:t>
      </w:r>
      <w:proofErr w:type="spellStart"/>
      <w:r w:rsidRPr="00BF542E">
        <w:t>qd</w:t>
      </w:r>
      <w:proofErr w:type="spellEnd"/>
      <w:r w:rsidRPr="00BF542E">
        <w:t xml:space="preserve">/D-IVA 150 mg </w:t>
      </w:r>
      <w:proofErr w:type="spellStart"/>
      <w:r w:rsidRPr="00BF542E">
        <w:t>qd</w:t>
      </w:r>
      <w:proofErr w:type="spellEnd"/>
      <w:r w:rsidRPr="00BF542E">
        <w:t xml:space="preserve">; TC-10 mg: VNZ 10 mg </w:t>
      </w:r>
      <w:proofErr w:type="spellStart"/>
      <w:r w:rsidRPr="00BF542E">
        <w:t>qd</w:t>
      </w:r>
      <w:proofErr w:type="spellEnd"/>
      <w:r w:rsidRPr="00BF542E">
        <w:t xml:space="preserve">/TEZ 100 mg </w:t>
      </w:r>
      <w:proofErr w:type="spellStart"/>
      <w:r w:rsidRPr="00BF542E">
        <w:t>qd</w:t>
      </w:r>
      <w:proofErr w:type="spellEnd"/>
      <w:r w:rsidRPr="00BF542E">
        <w:t xml:space="preserve">/D-IVA 150 mg </w:t>
      </w:r>
      <w:proofErr w:type="spellStart"/>
      <w:r w:rsidRPr="00BF542E">
        <w:t>qd</w:t>
      </w:r>
      <w:proofErr w:type="spellEnd"/>
      <w:r w:rsidRPr="00BF542E">
        <w:t xml:space="preserve">; TC-20 mg: VNZ 20 mg </w:t>
      </w:r>
      <w:proofErr w:type="spellStart"/>
      <w:r w:rsidRPr="00BF542E">
        <w:t>qd</w:t>
      </w:r>
      <w:proofErr w:type="spellEnd"/>
      <w:r w:rsidRPr="00BF542E">
        <w:t xml:space="preserve">/TEZ 100 mg </w:t>
      </w:r>
      <w:proofErr w:type="spellStart"/>
      <w:r w:rsidRPr="00BF542E">
        <w:t>qd</w:t>
      </w:r>
      <w:proofErr w:type="spellEnd"/>
      <w:r w:rsidRPr="00BF542E">
        <w:t xml:space="preserve">/D-IVA 150 mg </w:t>
      </w:r>
      <w:proofErr w:type="spellStart"/>
      <w:r w:rsidRPr="00BF542E">
        <w:t>qd</w:t>
      </w:r>
      <w:proofErr w:type="spellEnd"/>
      <w:r w:rsidRPr="00BF542E">
        <w:t>;</w:t>
      </w:r>
      <w:r>
        <w:t xml:space="preserve"> </w:t>
      </w:r>
      <w:r w:rsidRPr="00BF542E">
        <w:t>TEZ: tezacaftor; VNZ: vanzacaftor</w:t>
      </w:r>
    </w:p>
    <w:p w14:paraId="7F53DE9A" w14:textId="365AA327" w:rsidR="00F465D1" w:rsidRDefault="00F465D1" w:rsidP="003051D8">
      <w:pPr>
        <w:rPr>
          <w:lang w:val="en-NZ" w:eastAsia="ja-JP"/>
        </w:rPr>
      </w:pPr>
      <w:r w:rsidRPr="001F0AB6">
        <w:rPr>
          <w:lang w:eastAsia="ja-JP"/>
        </w:rPr>
        <w:t xml:space="preserve">The efficacy assessments were </w:t>
      </w:r>
      <w:r w:rsidRPr="001F0AB6">
        <w:rPr>
          <w:lang w:val="en-NZ" w:eastAsia="ja-JP"/>
        </w:rPr>
        <w:t xml:space="preserve">spirometry, and the Cystic Fibrosis Questionnaire – Revised (CFQ-R) respiratory domain (RD).  </w:t>
      </w:r>
      <w:r>
        <w:rPr>
          <w:lang w:val="en-NZ" w:eastAsia="ja-JP"/>
        </w:rPr>
        <w:t>S</w:t>
      </w:r>
      <w:r w:rsidRPr="001F0AB6">
        <w:rPr>
          <w:lang w:val="en-NZ" w:eastAsia="ja-JP"/>
        </w:rPr>
        <w:t xml:space="preserve">afety outcome measures were AEs, clinical laboratory tests, vital signs and pulse oximetry.  </w:t>
      </w:r>
      <w:proofErr w:type="spellStart"/>
      <w:r w:rsidRPr="001F0AB6">
        <w:rPr>
          <w:lang w:val="en-NZ" w:eastAsia="ja-JP"/>
        </w:rPr>
        <w:t>SwCl</w:t>
      </w:r>
      <w:proofErr w:type="spellEnd"/>
      <w:r w:rsidRPr="001F0AB6">
        <w:rPr>
          <w:lang w:val="en-NZ" w:eastAsia="ja-JP"/>
        </w:rPr>
        <w:t xml:space="preserve"> was measured as a PD outcome and plasma concentrations of VNZ, TEZ, D-IVA and IVA were measured for the </w:t>
      </w:r>
      <w:proofErr w:type="spellStart"/>
      <w:r w:rsidRPr="001F0AB6">
        <w:rPr>
          <w:lang w:val="en-NZ" w:eastAsia="ja-JP"/>
        </w:rPr>
        <w:t>PopPK</w:t>
      </w:r>
      <w:proofErr w:type="spellEnd"/>
      <w:r w:rsidRPr="001F0AB6">
        <w:rPr>
          <w:lang w:val="en-NZ" w:eastAsia="ja-JP"/>
        </w:rPr>
        <w:t xml:space="preserve"> analyses.</w:t>
      </w:r>
    </w:p>
    <w:p w14:paraId="4F8FB25B" w14:textId="77777777" w:rsidR="00F465D1" w:rsidRPr="0089638D" w:rsidRDefault="00F465D1" w:rsidP="003051D8">
      <w:pPr>
        <w:rPr>
          <w:b/>
          <w:bCs/>
          <w:lang w:val="en-NZ" w:eastAsia="ja-JP"/>
        </w:rPr>
      </w:pPr>
      <w:r w:rsidRPr="0089638D">
        <w:rPr>
          <w:b/>
          <w:bCs/>
          <w:lang w:val="en-NZ" w:eastAsia="ja-JP"/>
        </w:rPr>
        <w:t>Results</w:t>
      </w:r>
    </w:p>
    <w:p w14:paraId="56BA2300" w14:textId="0538CE45" w:rsidR="00F465D1" w:rsidRPr="00A84CFF" w:rsidRDefault="00F465D1" w:rsidP="003051D8">
      <w:r w:rsidRPr="00A84CFF">
        <w:t>A total of 87 CF subjects were enrolled in the study: 58 F/MF subjects in Part 1 and 29 F/F subjects in Part 2</w:t>
      </w:r>
      <w:r w:rsidR="00D60EDF">
        <w:t xml:space="preserve">. </w:t>
      </w:r>
      <w:r w:rsidRPr="00A84CFF">
        <w:t xml:space="preserve">Demographics and baseline ppFEV1, </w:t>
      </w:r>
      <w:proofErr w:type="spellStart"/>
      <w:r w:rsidRPr="00A84CFF">
        <w:t>SwCl</w:t>
      </w:r>
      <w:proofErr w:type="spellEnd"/>
      <w:r w:rsidRPr="00A84CFF">
        <w:t>, and CFQ-R RD scores were generally similar between treatment groups in each part.</w:t>
      </w:r>
    </w:p>
    <w:p w14:paraId="3DDD9DF4" w14:textId="0A5E0E9D" w:rsidR="00F465D1" w:rsidRPr="00175495" w:rsidRDefault="00F465D1" w:rsidP="003051D8">
      <w:r w:rsidRPr="00A84CFF">
        <w:t xml:space="preserve">The efficacy results are summarised in </w:t>
      </w:r>
      <w:r w:rsidR="00D65E8C">
        <w:t>T</w:t>
      </w:r>
      <w:r w:rsidRPr="00A84CFF">
        <w:t xml:space="preserve">able </w:t>
      </w:r>
      <w:r>
        <w:t>1</w:t>
      </w:r>
      <w:r w:rsidR="00DB10D9">
        <w:t>1</w:t>
      </w:r>
      <w:r w:rsidRPr="00A84CFF">
        <w:t xml:space="preserve">. Treatment of CF subjects with F/MF or F/F genotypes with VNZ/TEZ/D-IVA resulted in improvements in ppFEV1. </w:t>
      </w:r>
      <w:r w:rsidRPr="00A84CFF">
        <w:rPr>
          <w:lang w:eastAsia="ja-JP"/>
        </w:rPr>
        <w:t>The benefit was apparent from Day 15</w:t>
      </w:r>
      <w:r>
        <w:rPr>
          <w:lang w:eastAsia="ja-JP"/>
        </w:rPr>
        <w:t>.</w:t>
      </w:r>
      <w:r w:rsidRPr="00A84CFF">
        <w:t xml:space="preserve"> Improvements were also seen in </w:t>
      </w:r>
      <w:proofErr w:type="spellStart"/>
      <w:r w:rsidRPr="00A84CFF">
        <w:t>SwCl</w:t>
      </w:r>
      <w:proofErr w:type="spellEnd"/>
      <w:r w:rsidRPr="00A84CFF">
        <w:t xml:space="preserve"> and CFQ-R RD scores with VX-121/TEZ/D-IVA treatment</w:t>
      </w:r>
    </w:p>
    <w:p w14:paraId="7A016324" w14:textId="03A0567C" w:rsidR="00F465D1" w:rsidRPr="003051D8" w:rsidRDefault="00F465D1" w:rsidP="003051D8">
      <w:pPr>
        <w:pStyle w:val="TableTitle"/>
      </w:pPr>
      <w:r w:rsidRPr="003051D8">
        <w:lastRenderedPageBreak/>
        <w:t>Table 1</w:t>
      </w:r>
      <w:r w:rsidR="00DB10D9">
        <w:t>1</w:t>
      </w:r>
      <w:r w:rsidR="003770E9">
        <w:t>.</w:t>
      </w:r>
      <w:r w:rsidRPr="003051D8">
        <w:t xml:space="preserve"> Efficacy Results study VX18-121-101</w:t>
      </w:r>
      <w:r w:rsidR="003770E9">
        <w:t>.</w:t>
      </w:r>
    </w:p>
    <w:p w14:paraId="2245638D" w14:textId="77777777" w:rsidR="00F465D1" w:rsidRPr="00C521F9" w:rsidRDefault="00F465D1" w:rsidP="00F465D1">
      <w:pPr>
        <w:autoSpaceDE w:val="0"/>
        <w:autoSpaceDN w:val="0"/>
        <w:adjustRightInd w:val="0"/>
        <w:spacing w:after="0" w:line="240" w:lineRule="auto"/>
        <w:rPr>
          <w:rFonts w:ascii="Calibri" w:hAnsi="Calibri" w:cs="Calibri"/>
          <w:b/>
          <w:bCs/>
        </w:rPr>
      </w:pPr>
      <w:r>
        <w:rPr>
          <w:rFonts w:ascii="Calibri" w:hAnsi="Calibri" w:cs="Calibri"/>
          <w:b/>
          <w:bCs/>
          <w:noProof/>
        </w:rPr>
        <w:drawing>
          <wp:inline distT="0" distB="0" distL="0" distR="0" wp14:anchorId="2B5D6888" wp14:editId="1EF3B61B">
            <wp:extent cx="5832084" cy="1781175"/>
            <wp:effectExtent l="0" t="0" r="0" b="0"/>
            <wp:docPr id="1516821913" name="Picture 3" descr="Table 11. Efficacy Results study VX18-1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21913" name="Picture 3" descr="Table 11. Efficacy Results study VX18-121-101."/>
                    <pic:cNvPicPr/>
                  </pic:nvPicPr>
                  <pic:blipFill>
                    <a:blip r:embed="rId28">
                      <a:extLst>
                        <a:ext uri="{28A0092B-C50C-407E-A947-70E740481C1C}">
                          <a14:useLocalDpi xmlns:a14="http://schemas.microsoft.com/office/drawing/2010/main" val="0"/>
                        </a:ext>
                      </a:extLst>
                    </a:blip>
                    <a:stretch>
                      <a:fillRect/>
                    </a:stretch>
                  </pic:blipFill>
                  <pic:spPr>
                    <a:xfrm>
                      <a:off x="0" y="0"/>
                      <a:ext cx="5879410" cy="1795629"/>
                    </a:xfrm>
                    <a:prstGeom prst="rect">
                      <a:avLst/>
                    </a:prstGeom>
                  </pic:spPr>
                </pic:pic>
              </a:graphicData>
            </a:graphic>
          </wp:inline>
        </w:drawing>
      </w:r>
    </w:p>
    <w:p w14:paraId="5B08DB48" w14:textId="77777777" w:rsidR="00F465D1" w:rsidRPr="00801F51" w:rsidRDefault="00F465D1" w:rsidP="00D93C1D">
      <w:pPr>
        <w:pStyle w:val="TableDescription"/>
      </w:pPr>
      <w:r w:rsidRPr="00801F51">
        <w:t>Within-group LS means (SE) compared to baseline are presented. Baseline in Part 2 was established</w:t>
      </w:r>
      <w:r>
        <w:t xml:space="preserve"> </w:t>
      </w:r>
      <w:r w:rsidRPr="00801F51">
        <w:t>after a 4-week TEZ/IVA Run-in Period.</w:t>
      </w:r>
    </w:p>
    <w:p w14:paraId="7DD148CC" w14:textId="6F734C1E" w:rsidR="00F465D1" w:rsidRDefault="00F465D1" w:rsidP="00D65E8C">
      <w:pPr>
        <w:pStyle w:val="Heading6"/>
      </w:pPr>
      <w:r w:rsidRPr="009444BC">
        <w:t>Study VX18-561-101</w:t>
      </w:r>
    </w:p>
    <w:p w14:paraId="60E2ACAC" w14:textId="46E8D5FA" w:rsidR="00F465D1" w:rsidRDefault="00F465D1" w:rsidP="00047CCD">
      <w:pPr>
        <w:rPr>
          <w:b/>
          <w:bCs/>
          <w:lang w:eastAsia="ja-JP"/>
        </w:rPr>
      </w:pPr>
      <w:r w:rsidRPr="004958AD">
        <w:rPr>
          <w:lang w:eastAsia="ja-JP"/>
        </w:rPr>
        <w:t>Study VX18-561-101 was a Phase II, randomised, double-blind study to evaluate D-IVA in adults with CF</w:t>
      </w:r>
      <w:r>
        <w:rPr>
          <w:lang w:eastAsia="ja-JP"/>
        </w:rPr>
        <w:t xml:space="preserve"> with a gating mutation, who were on a stable dose of IVA</w:t>
      </w:r>
      <w:r w:rsidR="00F41511">
        <w:rPr>
          <w:lang w:eastAsia="ja-JP"/>
        </w:rPr>
        <w:t xml:space="preserve"> (</w:t>
      </w:r>
      <w:r>
        <w:rPr>
          <w:lang w:eastAsia="ja-JP"/>
        </w:rPr>
        <w:t>Figure 6</w:t>
      </w:r>
      <w:r w:rsidR="00F41511">
        <w:rPr>
          <w:lang w:eastAsia="ja-JP"/>
        </w:rPr>
        <w:t>).</w:t>
      </w:r>
      <w:r w:rsidR="009D5351" w:rsidRPr="009D5351">
        <w:t xml:space="preserve"> </w:t>
      </w:r>
      <w:r w:rsidR="009D5351" w:rsidRPr="009D5351">
        <w:rPr>
          <w:lang w:eastAsia="ja-JP"/>
        </w:rPr>
        <w:t xml:space="preserve">Subjects had pp FEV1 of ≥40% and ≤100%. The efficacy outcome measures were spirometry and </w:t>
      </w:r>
      <w:proofErr w:type="spellStart"/>
      <w:r w:rsidR="009D5351" w:rsidRPr="009D5351">
        <w:rPr>
          <w:lang w:eastAsia="ja-JP"/>
        </w:rPr>
        <w:t>SwCl</w:t>
      </w:r>
      <w:proofErr w:type="spellEnd"/>
      <w:r w:rsidR="009D5351" w:rsidRPr="009D5351">
        <w:rPr>
          <w:lang w:eastAsia="ja-JP"/>
        </w:rPr>
        <w:t xml:space="preserve">.  </w:t>
      </w:r>
    </w:p>
    <w:p w14:paraId="3157CD22" w14:textId="0BB4D31B" w:rsidR="00F465D1" w:rsidRPr="00601C59" w:rsidRDefault="00F465D1" w:rsidP="00601C59">
      <w:pPr>
        <w:pStyle w:val="FigureTitle"/>
      </w:pPr>
      <w:r w:rsidRPr="00601C59">
        <w:t>Figure 6</w:t>
      </w:r>
      <w:r w:rsidR="003770E9">
        <w:t>.</w:t>
      </w:r>
      <w:r w:rsidRPr="00601C59">
        <w:t xml:space="preserve"> VX18-561-101 Study Design</w:t>
      </w:r>
      <w:r w:rsidR="003770E9">
        <w:t>.</w:t>
      </w:r>
    </w:p>
    <w:p w14:paraId="10655756" w14:textId="77777777" w:rsidR="00F465D1" w:rsidRDefault="00F465D1" w:rsidP="00F465D1">
      <w:pPr>
        <w:spacing w:after="0"/>
        <w:rPr>
          <w:lang w:eastAsia="ja-JP"/>
        </w:rPr>
      </w:pPr>
      <w:r>
        <w:rPr>
          <w:noProof/>
          <w:lang w:eastAsia="ja-JP"/>
        </w:rPr>
        <w:drawing>
          <wp:inline distT="0" distB="0" distL="0" distR="0" wp14:anchorId="7E8ADF3F" wp14:editId="46B58082">
            <wp:extent cx="6050739" cy="1607820"/>
            <wp:effectExtent l="0" t="0" r="7620" b="0"/>
            <wp:docPr id="1529117820" name="Picture 2" descr="Figure 6. VX18-561-101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17820" name="Picture 2" descr="Figure 6. VX18-561-101 Study Design."/>
                    <pic:cNvPicPr/>
                  </pic:nvPicPr>
                  <pic:blipFill>
                    <a:blip r:embed="rId29">
                      <a:extLst>
                        <a:ext uri="{28A0092B-C50C-407E-A947-70E740481C1C}">
                          <a14:useLocalDpi xmlns:a14="http://schemas.microsoft.com/office/drawing/2010/main" val="0"/>
                        </a:ext>
                      </a:extLst>
                    </a:blip>
                    <a:stretch>
                      <a:fillRect/>
                    </a:stretch>
                  </pic:blipFill>
                  <pic:spPr>
                    <a:xfrm>
                      <a:off x="0" y="0"/>
                      <a:ext cx="6070650" cy="1613111"/>
                    </a:xfrm>
                    <a:prstGeom prst="rect">
                      <a:avLst/>
                    </a:prstGeom>
                  </pic:spPr>
                </pic:pic>
              </a:graphicData>
            </a:graphic>
          </wp:inline>
        </w:drawing>
      </w:r>
    </w:p>
    <w:p w14:paraId="1AD44ABF" w14:textId="77777777" w:rsidR="00F465D1" w:rsidRPr="00CA2EF7" w:rsidRDefault="00F465D1" w:rsidP="00D93C1D">
      <w:pPr>
        <w:pStyle w:val="FigureDescription"/>
        <w:rPr>
          <w:lang w:eastAsia="ja-JP"/>
        </w:rPr>
      </w:pPr>
      <w:r w:rsidRPr="00CA2EF7">
        <w:t xml:space="preserve">D-IVA: deutivacaftor; IVA: ivacaftor; q12h: every 12 hours; </w:t>
      </w:r>
      <w:proofErr w:type="spellStart"/>
      <w:r w:rsidRPr="00CA2EF7">
        <w:t>qd</w:t>
      </w:r>
      <w:proofErr w:type="spellEnd"/>
      <w:r w:rsidRPr="00CA2EF7">
        <w:t>: once daily</w:t>
      </w:r>
    </w:p>
    <w:p w14:paraId="0B6297EC" w14:textId="77777777" w:rsidR="00F465D1" w:rsidRPr="009A08C6" w:rsidRDefault="00F465D1" w:rsidP="00601C59">
      <w:pPr>
        <w:rPr>
          <w:b/>
          <w:bCs/>
          <w:lang w:eastAsia="ja-JP"/>
        </w:rPr>
      </w:pPr>
      <w:r w:rsidRPr="009A08C6">
        <w:rPr>
          <w:b/>
          <w:bCs/>
          <w:lang w:eastAsia="ja-JP"/>
        </w:rPr>
        <w:t>Results</w:t>
      </w:r>
    </w:p>
    <w:p w14:paraId="00CC671B" w14:textId="1BAC8071" w:rsidR="00F465D1" w:rsidRPr="00716F77" w:rsidRDefault="00F465D1" w:rsidP="00601C59">
      <w:pPr>
        <w:rPr>
          <w:lang w:eastAsia="ja-JP"/>
        </w:rPr>
      </w:pPr>
      <w:r w:rsidRPr="00716F77">
        <w:t>A total of 77 CF subjects were enrolled</w:t>
      </w:r>
      <w:r w:rsidR="00705FED">
        <w:t xml:space="preserve">. </w:t>
      </w:r>
      <w:r w:rsidRPr="00716F77">
        <w:rPr>
          <w:lang w:eastAsia="ja-JP"/>
        </w:rPr>
        <w:t>The D-IVA 25 mg and 50 mg dose levels (with 17 individuals in these groups) were discontinued by the sponsor because of a decrease in ppFEV1 in five subjects identified as being in these treatment groups.</w:t>
      </w:r>
    </w:p>
    <w:p w14:paraId="3C9C16CE" w14:textId="37E2017B" w:rsidR="00F465D1" w:rsidRPr="00716F77" w:rsidRDefault="00F465D1" w:rsidP="00601C59">
      <w:pPr>
        <w:rPr>
          <w:lang w:eastAsia="ja-JP"/>
        </w:rPr>
      </w:pPr>
      <w:r w:rsidRPr="00716F77">
        <w:rPr>
          <w:lang w:eastAsia="ja-JP"/>
        </w:rPr>
        <w:t xml:space="preserve">There was no significant change from baseline, or difference between IVA, for the D-IVA 150 mg and 250 mg dose levels. Results are shown in </w:t>
      </w:r>
      <w:r w:rsidR="00FD0EDC">
        <w:rPr>
          <w:lang w:eastAsia="ja-JP"/>
        </w:rPr>
        <w:t>T</w:t>
      </w:r>
      <w:r w:rsidRPr="00716F77">
        <w:rPr>
          <w:lang w:eastAsia="ja-JP"/>
        </w:rPr>
        <w:t xml:space="preserve">able </w:t>
      </w:r>
      <w:r>
        <w:rPr>
          <w:lang w:eastAsia="ja-JP"/>
        </w:rPr>
        <w:t>1</w:t>
      </w:r>
      <w:r w:rsidR="00FD0EDC">
        <w:rPr>
          <w:lang w:eastAsia="ja-JP"/>
        </w:rPr>
        <w:t>2</w:t>
      </w:r>
      <w:r>
        <w:rPr>
          <w:lang w:eastAsia="ja-JP"/>
        </w:rPr>
        <w:t>.</w:t>
      </w:r>
    </w:p>
    <w:p w14:paraId="4B23A5D1" w14:textId="680599F2" w:rsidR="00F465D1" w:rsidRDefault="00F465D1" w:rsidP="00136770">
      <w:pPr>
        <w:pStyle w:val="TableTitle"/>
      </w:pPr>
      <w:r w:rsidRPr="00F049D3">
        <w:rPr>
          <w:lang w:eastAsia="ja-JP"/>
        </w:rPr>
        <w:t xml:space="preserve">Table </w:t>
      </w:r>
      <w:r>
        <w:rPr>
          <w:lang w:eastAsia="ja-JP"/>
        </w:rPr>
        <w:t>1</w:t>
      </w:r>
      <w:r w:rsidR="00FD0EDC">
        <w:rPr>
          <w:lang w:eastAsia="ja-JP"/>
        </w:rPr>
        <w:t>2.</w:t>
      </w:r>
      <w:r w:rsidRPr="00F049D3">
        <w:rPr>
          <w:lang w:eastAsia="ja-JP"/>
        </w:rPr>
        <w:t xml:space="preserve"> </w:t>
      </w:r>
      <w:r w:rsidRPr="00F049D3">
        <w:t>Efficacy and PD of D-IVA Treatment Relative to IVA Baseline</w:t>
      </w:r>
      <w:r w:rsidR="00FD0EDC">
        <w:t>.</w:t>
      </w:r>
    </w:p>
    <w:p w14:paraId="319D2515" w14:textId="77777777" w:rsidR="00F465D1" w:rsidRPr="00716F77" w:rsidRDefault="00F465D1" w:rsidP="00F465D1">
      <w:pPr>
        <w:rPr>
          <w:rFonts w:ascii="Calibri" w:hAnsi="Calibri" w:cs="Calibri"/>
          <w:b/>
          <w:bCs/>
          <w:lang w:eastAsia="ja-JP"/>
        </w:rPr>
      </w:pPr>
      <w:r>
        <w:rPr>
          <w:rFonts w:ascii="Calibri" w:hAnsi="Calibri" w:cs="Calibri"/>
          <w:b/>
          <w:bCs/>
          <w:noProof/>
          <w:lang w:eastAsia="ja-JP"/>
        </w:rPr>
        <w:drawing>
          <wp:inline distT="0" distB="0" distL="0" distR="0" wp14:anchorId="0805BAFD" wp14:editId="41300DE2">
            <wp:extent cx="5470516" cy="1473200"/>
            <wp:effectExtent l="0" t="0" r="0" b="0"/>
            <wp:docPr id="690702674" name="Picture 4" descr="Table 12. Efficacy and PD of D-IVA Treatment Relative to IVA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02674" name="Picture 4" descr="Table 12. Efficacy and PD of D-IVA Treatment Relative to IVA Baseline."/>
                    <pic:cNvPicPr/>
                  </pic:nvPicPr>
                  <pic:blipFill>
                    <a:blip r:embed="rId30">
                      <a:extLst>
                        <a:ext uri="{28A0092B-C50C-407E-A947-70E740481C1C}">
                          <a14:useLocalDpi xmlns:a14="http://schemas.microsoft.com/office/drawing/2010/main" val="0"/>
                        </a:ext>
                      </a:extLst>
                    </a:blip>
                    <a:stretch>
                      <a:fillRect/>
                    </a:stretch>
                  </pic:blipFill>
                  <pic:spPr>
                    <a:xfrm>
                      <a:off x="0" y="0"/>
                      <a:ext cx="5500405" cy="1481249"/>
                    </a:xfrm>
                    <a:prstGeom prst="rect">
                      <a:avLst/>
                    </a:prstGeom>
                  </pic:spPr>
                </pic:pic>
              </a:graphicData>
            </a:graphic>
          </wp:inline>
        </w:drawing>
      </w:r>
    </w:p>
    <w:p w14:paraId="74A46E84" w14:textId="77777777" w:rsidR="00F465D1" w:rsidRPr="000E78FD" w:rsidRDefault="00F465D1" w:rsidP="002D5BE0">
      <w:pPr>
        <w:pStyle w:val="Heading5"/>
        <w:rPr>
          <w:lang w:eastAsia="ja-JP"/>
        </w:rPr>
      </w:pPr>
      <w:r w:rsidRPr="000E78FD">
        <w:lastRenderedPageBreak/>
        <w:t>Summary conclusions regarding clinical efficacy</w:t>
      </w:r>
      <w:r w:rsidRPr="000E78FD">
        <w:rPr>
          <w:lang w:eastAsia="ja-JP"/>
        </w:rPr>
        <w:t xml:space="preserve"> </w:t>
      </w:r>
    </w:p>
    <w:p w14:paraId="6330C0A0" w14:textId="77777777" w:rsidR="00F465D1" w:rsidRPr="00577686" w:rsidRDefault="00F465D1" w:rsidP="002D5BE0">
      <w:r w:rsidRPr="00577686">
        <w:rPr>
          <w:lang w:eastAsia="ja-JP"/>
        </w:rPr>
        <w:t>In the two pivotal trails,</w:t>
      </w:r>
      <w:r>
        <w:rPr>
          <w:lang w:eastAsia="ja-JP"/>
        </w:rPr>
        <w:t>(Study 102, 103)</w:t>
      </w:r>
      <w:r w:rsidRPr="00577686">
        <w:rPr>
          <w:lang w:eastAsia="ja-JP"/>
        </w:rPr>
        <w:t xml:space="preserve"> phase 3 trials, in subjects with CF who were homozygous for </w:t>
      </w:r>
      <w:r w:rsidRPr="007E48FC">
        <w:rPr>
          <w:i/>
          <w:iCs/>
          <w:lang w:eastAsia="ja-JP"/>
        </w:rPr>
        <w:t>F508del</w:t>
      </w:r>
      <w:r w:rsidRPr="007E48FC">
        <w:rPr>
          <w:lang w:eastAsia="ja-JP"/>
        </w:rPr>
        <w:t xml:space="preserve"> (F/F), heterozygous for </w:t>
      </w:r>
      <w:r w:rsidRPr="007E48FC">
        <w:rPr>
          <w:i/>
          <w:iCs/>
          <w:lang w:eastAsia="ja-JP"/>
        </w:rPr>
        <w:t>F508del</w:t>
      </w:r>
      <w:r w:rsidRPr="007E48FC">
        <w:rPr>
          <w:lang w:eastAsia="ja-JP"/>
        </w:rPr>
        <w:t xml:space="preserve"> and a gating mutation (F/G) or a residual function mutation (F/RF), or have at</w:t>
      </w:r>
      <w:r w:rsidRPr="00577686">
        <w:rPr>
          <w:lang w:eastAsia="ja-JP"/>
        </w:rPr>
        <w:t xml:space="preserve"> least one other triple combination responsive </w:t>
      </w:r>
      <w:r w:rsidRPr="00577686">
        <w:rPr>
          <w:i/>
          <w:iCs/>
          <w:lang w:eastAsia="ja-JP"/>
        </w:rPr>
        <w:t>CFTR</w:t>
      </w:r>
      <w:r w:rsidRPr="00577686">
        <w:rPr>
          <w:lang w:eastAsia="ja-JP"/>
        </w:rPr>
        <w:t xml:space="preserve"> mutation and no </w:t>
      </w:r>
      <w:r w:rsidRPr="00577686">
        <w:rPr>
          <w:i/>
          <w:iCs/>
          <w:lang w:eastAsia="ja-JP"/>
        </w:rPr>
        <w:t>F508del</w:t>
      </w:r>
      <w:r w:rsidRPr="00577686">
        <w:rPr>
          <w:lang w:eastAsia="ja-JP"/>
        </w:rPr>
        <w:t xml:space="preserve"> deletion, non-inferiority was demonstrated for the primary efficacy endpoint (the change from baseline in ppFEV1 through Week 24) for VNZ/ TEZ/ D-IVA. The response was similar for the different genotype groups</w:t>
      </w:r>
      <w:r>
        <w:rPr>
          <w:lang w:eastAsia="ja-JP"/>
        </w:rPr>
        <w:t>, noting the majority had a F508 mutation</w:t>
      </w:r>
      <w:r w:rsidRPr="00577686">
        <w:rPr>
          <w:lang w:eastAsia="ja-JP"/>
        </w:rPr>
        <w:t xml:space="preserve">. </w:t>
      </w:r>
      <w:r w:rsidRPr="00577686">
        <w:t xml:space="preserve">The results of subgroup analyses (age, ppFEV1, </w:t>
      </w:r>
      <w:proofErr w:type="spellStart"/>
      <w:r w:rsidRPr="00577686">
        <w:t>SwCl</w:t>
      </w:r>
      <w:proofErr w:type="spellEnd"/>
      <w:r w:rsidRPr="00577686">
        <w:t>, sex)</w:t>
      </w:r>
      <w:r>
        <w:t xml:space="preserve"> </w:t>
      </w:r>
      <w:r w:rsidRPr="00577686">
        <w:t>were consistent with the result from the primary analysis. Efficacy results through 52 weeks of treatment, demonstrat</w:t>
      </w:r>
      <w:r>
        <w:t xml:space="preserve">ed </w:t>
      </w:r>
      <w:r w:rsidRPr="00577686">
        <w:t>the persistence of efficacy.</w:t>
      </w:r>
    </w:p>
    <w:p w14:paraId="605AB1EF" w14:textId="0DFAFA53" w:rsidR="00F465D1" w:rsidRDefault="00F465D1" w:rsidP="002D5BE0">
      <w:r>
        <w:t>In the pivotal studies, fo</w:t>
      </w:r>
      <w:r w:rsidRPr="00177BD4">
        <w:t xml:space="preserve">r key secondary endpoints, VNZ/TEZ/D-IVA was superior to ELX/TEZ/IVA, with statistically significant and clinically meaningful improvements in </w:t>
      </w:r>
      <w:proofErr w:type="spellStart"/>
      <w:r w:rsidRPr="00177BD4">
        <w:t>SwCl</w:t>
      </w:r>
      <w:proofErr w:type="spellEnd"/>
      <w:r w:rsidRPr="00177BD4">
        <w:t xml:space="preserve">. A greater number of people achieved clinically meaningful levels of CFTR function, as assessed by reductions in </w:t>
      </w:r>
      <w:proofErr w:type="spellStart"/>
      <w:r w:rsidRPr="00177BD4">
        <w:t>SwCl</w:t>
      </w:r>
      <w:proofErr w:type="spellEnd"/>
      <w:r w:rsidRPr="00177BD4">
        <w:t xml:space="preserve"> either below the diagnostic threshold for CF (&lt;60 mmol/L) or to normal/carrier levels not associated with manifestation of CF disease (&lt;30 mmol/L) whilst on VNZ/TEZ/D-IVA. Benefits were also observed for clinically relevant efficacy endpoints </w:t>
      </w:r>
      <w:r>
        <w:t xml:space="preserve">including exacerbation frequency, quality of life scores </w:t>
      </w:r>
      <w:r w:rsidRPr="00177BD4">
        <w:t>and nutritional parameters.</w:t>
      </w:r>
    </w:p>
    <w:p w14:paraId="126908AD" w14:textId="77777777" w:rsidR="00F465D1" w:rsidRPr="008E0E85" w:rsidRDefault="00F465D1" w:rsidP="002D5BE0">
      <w:r w:rsidRPr="0085118B">
        <w:t xml:space="preserve">Consistent with </w:t>
      </w:r>
      <w:r w:rsidRPr="008E0E85">
        <w:t>pivotal s</w:t>
      </w:r>
      <w:r w:rsidRPr="0085118B">
        <w:t>tudies 102 and 103 in subjects ≥12 years of age, treatment with</w:t>
      </w:r>
      <w:r>
        <w:t xml:space="preserve"> </w:t>
      </w:r>
      <w:r w:rsidRPr="0085118B">
        <w:t>VNZ/TEZ/D-IVA in Study 105 demonstrated clinically meaningful benefit in CF subjects</w:t>
      </w:r>
      <w:r>
        <w:t xml:space="preserve"> </w:t>
      </w:r>
      <w:r w:rsidRPr="008E0E85">
        <w:t xml:space="preserve">6 through 11 years of age. Following treatment with VNZ/TEZ/D-IVA, nearly all (95%) subjects achieved </w:t>
      </w:r>
      <w:proofErr w:type="spellStart"/>
      <w:r w:rsidRPr="008E0E85">
        <w:t>SwCl</w:t>
      </w:r>
      <w:proofErr w:type="spellEnd"/>
      <w:r w:rsidRPr="008E0E85">
        <w:t xml:space="preserve"> below the diagnostic threshold of CF and about a half, (53%) of subjects achieved normal/carrier levels of </w:t>
      </w:r>
      <w:proofErr w:type="spellStart"/>
      <w:r w:rsidRPr="008E0E85">
        <w:t>SwCl</w:t>
      </w:r>
      <w:proofErr w:type="spellEnd"/>
      <w:r w:rsidRPr="008E0E85">
        <w:t>. Treatment with VNZ/TEZ/D-IVA over 24 weeks led to improved values in CFQ-R RD score and maintained nutritional parameters as compared to baseline ELX/TEZ/IVA treatment.</w:t>
      </w:r>
    </w:p>
    <w:p w14:paraId="627E8912" w14:textId="77777777" w:rsidR="00F465D1" w:rsidRPr="00D7311B" w:rsidRDefault="00F465D1" w:rsidP="002D5BE0">
      <w:r w:rsidRPr="00D23EA6">
        <w:rPr>
          <w:lang w:eastAsia="ja-JP"/>
        </w:rPr>
        <w:t xml:space="preserve">Study VX18-121-101 demonstrated efficacy for VNZ in comparison with placebo and provides supportive efficacy data.  This was demonstrated for clinically meaningful outcomes (ppFEV1 and </w:t>
      </w:r>
      <w:proofErr w:type="spellStart"/>
      <w:r w:rsidRPr="00D23EA6">
        <w:rPr>
          <w:lang w:eastAsia="ja-JP"/>
        </w:rPr>
        <w:t>SwCl</w:t>
      </w:r>
      <w:proofErr w:type="spellEnd"/>
      <w:r w:rsidRPr="00D23EA6">
        <w:rPr>
          <w:lang w:eastAsia="ja-JP"/>
        </w:rPr>
        <w:t>).  Similarly, data from study VX18-561-101 showed similar clinical outcomes for D-IVA and IVA at the proposed doing. These data</w:t>
      </w:r>
      <w:r w:rsidRPr="00D23EA6">
        <w:t xml:space="preserve"> support dose selection to achieve maximal CFTR functional restoration in the Phase 3 studies.</w:t>
      </w:r>
    </w:p>
    <w:p w14:paraId="5E89D460" w14:textId="536A6E96" w:rsidR="000B265E" w:rsidRDefault="005003D0" w:rsidP="00483C59">
      <w:pPr>
        <w:pStyle w:val="Heading4"/>
        <w:rPr>
          <w:lang w:eastAsia="ja-JP"/>
        </w:rPr>
      </w:pPr>
      <w:bookmarkStart w:id="64" w:name="_Toc227661924"/>
      <w:r>
        <w:rPr>
          <w:lang w:eastAsia="ja-JP"/>
        </w:rPr>
        <w:t>Safety</w:t>
      </w:r>
      <w:bookmarkEnd w:id="64"/>
    </w:p>
    <w:p w14:paraId="1E5A17EA" w14:textId="15809014" w:rsidR="00146B0E" w:rsidRDefault="00146B0E" w:rsidP="00146B0E">
      <w:r w:rsidRPr="00EA31AC">
        <w:rPr>
          <w:lang w:eastAsia="ja-JP"/>
        </w:rPr>
        <w:t xml:space="preserve">Clinical safety data for VNZ/TEZ/D-IVA include 16 completed studies, </w:t>
      </w:r>
      <w:r w:rsidRPr="00EA31AC">
        <w:t xml:space="preserve">that evaluated VNZ and D-IVA as a monotherapy or as the VNZ/TEZ/D-IVA TC regimen (Figure </w:t>
      </w:r>
      <w:r>
        <w:t>7</w:t>
      </w:r>
      <w:r w:rsidRPr="00EA31AC">
        <w:t>)</w:t>
      </w:r>
      <w:r w:rsidR="00C609BC">
        <w:t>.</w:t>
      </w:r>
      <w:r w:rsidRPr="00EA31AC">
        <w:t xml:space="preserve"> The VNZ/TEZ/D-IVA safety profile is derived primarily from pivotal Studies 102 and 103, which enrolled adults with CF. Supportive safety data included a phase 3 (study 105) in children aged 6- 11 years of age, and phase 1 and 2 studies in healthy subjects and subjects with CF. </w:t>
      </w:r>
    </w:p>
    <w:p w14:paraId="015439F0" w14:textId="77777777" w:rsidR="00146B0E" w:rsidRPr="00E2607B" w:rsidRDefault="00146B0E" w:rsidP="00146B0E">
      <w:pPr>
        <w:rPr>
          <w:lang w:eastAsia="ja-JP"/>
        </w:rPr>
      </w:pPr>
      <w:r w:rsidRPr="00E2607B">
        <w:rPr>
          <w:lang w:eastAsia="ja-JP"/>
        </w:rPr>
        <w:t>Standard safety assessments were performed across individual studies in the VNZ/TEZ/D-IVA clinical development program, including the following: AE data collection and reporting; clinical laboratory tests (serum chemistry, hematology, coagulation, and urinalysis); standard 12-lead ECG monitoring; vital signs assessments; pulse oximetry; and physical examinations including and ophthalmologic investigations.</w:t>
      </w:r>
    </w:p>
    <w:p w14:paraId="39042495" w14:textId="722AB88C" w:rsidR="00FD7C66" w:rsidRPr="00AA1E10" w:rsidRDefault="00FD7C66" w:rsidP="00AA1E10">
      <w:pPr>
        <w:pStyle w:val="FigureTitle"/>
      </w:pPr>
      <w:r w:rsidRPr="00AA1E10">
        <w:lastRenderedPageBreak/>
        <w:t>Figure 7</w:t>
      </w:r>
      <w:r w:rsidR="005B5108">
        <w:t xml:space="preserve">. </w:t>
      </w:r>
      <w:r w:rsidRPr="00AA1E10">
        <w:t>Studies providing safety data</w:t>
      </w:r>
      <w:r w:rsidR="005B5108">
        <w:t>.</w:t>
      </w:r>
    </w:p>
    <w:p w14:paraId="1D5B0EAE" w14:textId="765E45FA" w:rsidR="00DC0590" w:rsidRDefault="00394847" w:rsidP="00C223FA">
      <w:pPr>
        <w:jc w:val="both"/>
        <w:rPr>
          <w:rFonts w:ascii="Calibri" w:hAnsi="Calibri" w:cs="Calibri"/>
        </w:rPr>
      </w:pPr>
      <w:r>
        <w:rPr>
          <w:rFonts w:ascii="Calibri" w:hAnsi="Calibri" w:cs="Calibri"/>
          <w:noProof/>
          <w:lang w:eastAsia="ja-JP"/>
        </w:rPr>
        <w:drawing>
          <wp:inline distT="0" distB="0" distL="0" distR="0" wp14:anchorId="19AF6C14" wp14:editId="76A00871">
            <wp:extent cx="5163820" cy="3441700"/>
            <wp:effectExtent l="0" t="0" r="0" b="6350"/>
            <wp:docPr id="826374173" name="Picture 7" descr="Figure 7. Studies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4173" name="Picture 7" descr="Figure 7. Studies providing safety data."/>
                    <pic:cNvPicPr/>
                  </pic:nvPicPr>
                  <pic:blipFill>
                    <a:blip r:embed="rId31">
                      <a:extLst>
                        <a:ext uri="{28A0092B-C50C-407E-A947-70E740481C1C}">
                          <a14:useLocalDpi xmlns:a14="http://schemas.microsoft.com/office/drawing/2010/main" val="0"/>
                        </a:ext>
                      </a:extLst>
                    </a:blip>
                    <a:stretch>
                      <a:fillRect/>
                    </a:stretch>
                  </pic:blipFill>
                  <pic:spPr>
                    <a:xfrm>
                      <a:off x="0" y="0"/>
                      <a:ext cx="5214755" cy="3475648"/>
                    </a:xfrm>
                    <a:prstGeom prst="rect">
                      <a:avLst/>
                    </a:prstGeom>
                  </pic:spPr>
                </pic:pic>
              </a:graphicData>
            </a:graphic>
          </wp:inline>
        </w:drawing>
      </w:r>
    </w:p>
    <w:p w14:paraId="1F265539" w14:textId="77777777" w:rsidR="00CD54C4" w:rsidRPr="005201BF" w:rsidRDefault="00CD54C4" w:rsidP="00CD54C4">
      <w:pPr>
        <w:rPr>
          <w:b/>
          <w:bCs/>
          <w:lang w:eastAsia="ja-JP"/>
        </w:rPr>
      </w:pPr>
      <w:r w:rsidRPr="005201BF">
        <w:rPr>
          <w:b/>
          <w:bCs/>
          <w:lang w:eastAsia="ja-JP"/>
        </w:rPr>
        <w:t>Patient exposure</w:t>
      </w:r>
    </w:p>
    <w:p w14:paraId="1CA037B0" w14:textId="0C6740C6" w:rsidR="00CD54C4" w:rsidRPr="00712F1E" w:rsidRDefault="00CD54C4" w:rsidP="00CD54C4">
      <w:r w:rsidRPr="00733931">
        <w:t xml:space="preserve">In the development program for VNZ there were 1306 subjects exposed to at least one dose of VNZ, of whom 265 were healthy volunteers and 1135 had CF. There were 6.15 patient-years exposure in healthy volunteers and 1077.68 in subjects with CF.  There were 965 subjects exposed to VNZ/TEZ/D-IVA: 51 healthy volunteers and 914 subjects with CF.  There were 341 subjects exposed to triple combination for &gt;24 to ≤52 weeks and 440 exposed for &gt;52 weeks There were 81 subjects aged ≥6 to &lt;12 years exposed to triple combination, 122 aged ≥12 to &lt;18 years, 978 aged ≥18 to &lt;65 years and 12 aged ≥65 years.  </w:t>
      </w:r>
    </w:p>
    <w:p w14:paraId="49851575" w14:textId="0D7B09BF" w:rsidR="00CD54C4" w:rsidRPr="005201BF" w:rsidRDefault="00CD54C4" w:rsidP="00CD54C4">
      <w:pPr>
        <w:rPr>
          <w:b/>
          <w:bCs/>
        </w:rPr>
      </w:pPr>
      <w:r w:rsidRPr="005201BF">
        <w:rPr>
          <w:b/>
          <w:bCs/>
        </w:rPr>
        <w:t xml:space="preserve">Core </w:t>
      </w:r>
      <w:r w:rsidR="00D93C1D" w:rsidRPr="005201BF">
        <w:rPr>
          <w:b/>
          <w:bCs/>
        </w:rPr>
        <w:t>safety analysis (pooled safety set</w:t>
      </w:r>
      <w:r w:rsidRPr="005201BF">
        <w:rPr>
          <w:b/>
          <w:bCs/>
        </w:rPr>
        <w:t>)</w:t>
      </w:r>
    </w:p>
    <w:p w14:paraId="1194FE07" w14:textId="6E8A267D" w:rsidR="00CD54C4" w:rsidRPr="00F738A8" w:rsidRDefault="00CD54C4" w:rsidP="00CD54C4">
      <w:r w:rsidRPr="00F738A8">
        <w:t xml:space="preserve">Safety data from Studies 102 and 103 were pooled for the </w:t>
      </w:r>
      <w:r w:rsidRPr="00F738A8">
        <w:rPr>
          <w:rFonts w:eastAsia="TimesNewRoman,Bold"/>
        </w:rPr>
        <w:t>Core Safety Analysis</w:t>
      </w:r>
      <w:r>
        <w:rPr>
          <w:rFonts w:eastAsia="TimesNewRoman,Bold"/>
        </w:rPr>
        <w:t>, and t</w:t>
      </w:r>
      <w:r w:rsidRPr="00F738A8">
        <w:t>his</w:t>
      </w:r>
      <w:r w:rsidRPr="00F738A8">
        <w:rPr>
          <w:rFonts w:eastAsia="TimesNewRoman,Bold"/>
        </w:rPr>
        <w:t xml:space="preserve"> </w:t>
      </w:r>
      <w:r w:rsidRPr="00F738A8">
        <w:t>included all subjects who received at least 1 dose of study drug during the Treatment Period</w:t>
      </w:r>
      <w:r>
        <w:t xml:space="preserve">s. </w:t>
      </w:r>
      <w:r w:rsidRPr="00F738A8">
        <w:t>The mean exposure duration was 49.5</w:t>
      </w:r>
      <w:r>
        <w:t xml:space="preserve"> and 49.9</w:t>
      </w:r>
      <w:r w:rsidRPr="00F738A8">
        <w:t xml:space="preserve"> weeks in the VNZ/TEZ/D-IVA group and ELX/TEZ/IVA group</w:t>
      </w:r>
      <w:r>
        <w:t xml:space="preserve">s respectively. </w:t>
      </w:r>
      <w:r w:rsidRPr="00F738A8">
        <w:t xml:space="preserve"> </w:t>
      </w:r>
      <w:r>
        <w:t xml:space="preserve">This represents </w:t>
      </w:r>
      <w:r w:rsidRPr="00F738A8">
        <w:t>495.5 and 510.9 patient-years of exposure in the groups, respectively. Overall, 293 subjects received ≥52 weeks of VNZ/TEZ/D-IVA and 456 subjects received &gt;24 weeks of VNZ/TEZ/D-IVA in Studies 102 and 103</w:t>
      </w:r>
      <w:r w:rsidR="00783266">
        <w:t xml:space="preserve"> (T</w:t>
      </w:r>
      <w:r w:rsidRPr="00F738A8">
        <w:t>able 1</w:t>
      </w:r>
      <w:r w:rsidR="00783266">
        <w:t>3)</w:t>
      </w:r>
      <w:r w:rsidRPr="00F738A8">
        <w:t>.</w:t>
      </w:r>
    </w:p>
    <w:p w14:paraId="21BF4464" w14:textId="3E39E3D8" w:rsidR="00F71501" w:rsidRDefault="00F71501" w:rsidP="00AA1E10">
      <w:pPr>
        <w:pStyle w:val="TableTitle"/>
      </w:pPr>
      <w:r w:rsidRPr="002A45F4">
        <w:lastRenderedPageBreak/>
        <w:t>Table 1</w:t>
      </w:r>
      <w:r w:rsidR="00783266">
        <w:t>3.</w:t>
      </w:r>
      <w:r w:rsidRPr="002A45F4">
        <w:t xml:space="preserve"> Summary of </w:t>
      </w:r>
      <w:r w:rsidR="00D93C1D" w:rsidRPr="002A45F4">
        <w:t>exposure (pooled safety set</w:t>
      </w:r>
      <w:r w:rsidRPr="002A45F4">
        <w:t>)</w:t>
      </w:r>
      <w:r w:rsidR="00783266">
        <w:t>.</w:t>
      </w:r>
    </w:p>
    <w:p w14:paraId="32033A7F" w14:textId="43C2D226" w:rsidR="00394847" w:rsidRDefault="00D651BC" w:rsidP="00C223FA">
      <w:pPr>
        <w:jc w:val="both"/>
        <w:rPr>
          <w:rFonts w:ascii="Calibri" w:hAnsi="Calibri" w:cs="Calibri"/>
        </w:rPr>
      </w:pPr>
      <w:r>
        <w:rPr>
          <w:rFonts w:ascii="Calibri" w:hAnsi="Calibri" w:cs="Calibri"/>
          <w:b/>
          <w:bCs/>
          <w:noProof/>
        </w:rPr>
        <w:drawing>
          <wp:inline distT="0" distB="0" distL="0" distR="0" wp14:anchorId="2404D69F" wp14:editId="0027663D">
            <wp:extent cx="5730875" cy="2783205"/>
            <wp:effectExtent l="0" t="0" r="3175" b="0"/>
            <wp:docPr id="1195421260" name="Picture 2" descr="Table 13. Summary of Exposure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21260" name="Picture 2" descr="Table 13. Summary of Exposure (Pooled Safety Set)."/>
                    <pic:cNvPicPr/>
                  </pic:nvPicPr>
                  <pic:blipFill>
                    <a:blip r:embed="rId32">
                      <a:extLst>
                        <a:ext uri="{28A0092B-C50C-407E-A947-70E740481C1C}">
                          <a14:useLocalDpi xmlns:a14="http://schemas.microsoft.com/office/drawing/2010/main" val="0"/>
                        </a:ext>
                      </a:extLst>
                    </a:blip>
                    <a:stretch>
                      <a:fillRect/>
                    </a:stretch>
                  </pic:blipFill>
                  <pic:spPr>
                    <a:xfrm>
                      <a:off x="0" y="0"/>
                      <a:ext cx="5745353" cy="2790236"/>
                    </a:xfrm>
                    <a:prstGeom prst="rect">
                      <a:avLst/>
                    </a:prstGeom>
                  </pic:spPr>
                </pic:pic>
              </a:graphicData>
            </a:graphic>
          </wp:inline>
        </w:drawing>
      </w:r>
    </w:p>
    <w:p w14:paraId="753326B3" w14:textId="77777777" w:rsidR="00753C5E" w:rsidRPr="0088742F" w:rsidRDefault="00753C5E" w:rsidP="00D93C1D">
      <w:pPr>
        <w:pStyle w:val="TableDescription"/>
      </w:pPr>
      <w:r w:rsidRPr="0088742F">
        <w:t xml:space="preserve">D-IVA: deutivacaftor; ELX: </w:t>
      </w:r>
      <w:proofErr w:type="spellStart"/>
      <w:r w:rsidRPr="0088742F">
        <w:t>elexacaftor</w:t>
      </w:r>
      <w:proofErr w:type="spellEnd"/>
      <w:r w:rsidRPr="0088742F">
        <w:t>; IVA: ivacaftor; n: size of subsample; N: total sample size; TEZ: tezacaftor; VNZ: vanzacaftor</w:t>
      </w:r>
    </w:p>
    <w:p w14:paraId="520BCFAF" w14:textId="77777777" w:rsidR="0029256C" w:rsidRPr="007B06DC" w:rsidRDefault="0029256C" w:rsidP="0000094A">
      <w:r w:rsidRPr="007B06DC">
        <w:t xml:space="preserve">There were no clinically relevant differences in demography or baseline characteristics identified between the respective treatment groups that are likely to have affected safety outcomes. </w:t>
      </w:r>
      <w:proofErr w:type="gramStart"/>
      <w:r w:rsidRPr="007B06DC">
        <w:t>The majority of</w:t>
      </w:r>
      <w:proofErr w:type="gramEnd"/>
      <w:r w:rsidRPr="007B06DC">
        <w:t xml:space="preserve"> subjects (86.3%) were using a CFTR modulator prior to </w:t>
      </w:r>
      <w:r>
        <w:t>study involvement with</w:t>
      </w:r>
      <w:r w:rsidRPr="007B06DC">
        <w:t xml:space="preserve"> 75.6% of all subjects having received commercial ELX/TEZ/IVA prior to study enrolment, with a median exposure of approximately 2 years.</w:t>
      </w:r>
    </w:p>
    <w:p w14:paraId="2A2B6117" w14:textId="77777777" w:rsidR="0029256C" w:rsidRPr="00F3610C" w:rsidRDefault="0029256C" w:rsidP="0000094A">
      <w:pPr>
        <w:rPr>
          <w:b/>
          <w:bCs/>
        </w:rPr>
      </w:pPr>
      <w:r w:rsidRPr="00F3610C">
        <w:rPr>
          <w:b/>
          <w:bCs/>
        </w:rPr>
        <w:t>Adverse events</w:t>
      </w:r>
    </w:p>
    <w:p w14:paraId="5D387423" w14:textId="2A0FBF70" w:rsidR="0029256C" w:rsidRPr="00DA07B3" w:rsidRDefault="0029256C" w:rsidP="0000094A">
      <w:r w:rsidRPr="00DA07B3">
        <w:t>Overall, VNZ/TEZ/D-IVA had a similar safety profile to ELX/TEZ/IVA.  The incidence of AEs and serious AEs (SAEs) was similar between the VNZ/TEZ/D-IVA and ELX/TEZ/IVA groups</w:t>
      </w:r>
      <w:r w:rsidR="00D01DDF">
        <w:t xml:space="preserve"> </w:t>
      </w:r>
      <w:r w:rsidRPr="00DA07B3">
        <w:t>(Table 1</w:t>
      </w:r>
      <w:r w:rsidR="00783266">
        <w:t>4</w:t>
      </w:r>
      <w:r w:rsidRPr="00DA07B3">
        <w:t>)</w:t>
      </w:r>
      <w:r w:rsidR="00D01DDF">
        <w:t>.</w:t>
      </w:r>
      <w:r w:rsidRPr="00DA07B3">
        <w:t xml:space="preserve"> Data for studies 445-102 (24-week placebo-controlled study) and 445-105 are the pivotal studies submitted within the ELX/TEZ/IVA submission. AEs were indirectly compared to 52-week ELX/TEZ/IVA data from Studies 445-102 and 445-105 in ELX/TEZ/IVA naïve patients.</w:t>
      </w:r>
    </w:p>
    <w:p w14:paraId="59CC592D" w14:textId="77777777" w:rsidR="0029256C" w:rsidRPr="00FB72B0" w:rsidRDefault="0029256C" w:rsidP="0000094A">
      <w:pPr>
        <w:pStyle w:val="ListBullet"/>
      </w:pPr>
      <w:r w:rsidRPr="00FB72B0">
        <w:t xml:space="preserve">The incidence of subjects with at least 1 AE was high: 95.6% in the VNZ/TEZ/D-IVA group and 95.5% in the </w:t>
      </w:r>
      <w:bookmarkStart w:id="65" w:name="_Hlk202251666"/>
      <w:r w:rsidRPr="00FB72B0">
        <w:t xml:space="preserve">ELX/TEZ/IVA </w:t>
      </w:r>
      <w:bookmarkEnd w:id="65"/>
      <w:r w:rsidRPr="00FB72B0">
        <w:t xml:space="preserve">group. </w:t>
      </w:r>
    </w:p>
    <w:p w14:paraId="0F85F3DC" w14:textId="77777777" w:rsidR="0029256C" w:rsidRDefault="0029256C" w:rsidP="0000094A">
      <w:pPr>
        <w:pStyle w:val="ListBullet"/>
      </w:pPr>
      <w:r w:rsidRPr="00FB72B0">
        <w:t xml:space="preserve">Most were mild or moderate in severity. </w:t>
      </w:r>
    </w:p>
    <w:p w14:paraId="20E8F09A" w14:textId="77777777" w:rsidR="0029256C" w:rsidRPr="00FB72B0" w:rsidRDefault="0029256C" w:rsidP="0000094A">
      <w:pPr>
        <w:pStyle w:val="ListBullet"/>
      </w:pPr>
      <w:proofErr w:type="gramStart"/>
      <w:r w:rsidRPr="00FB72B0">
        <w:t>The majority of</w:t>
      </w:r>
      <w:proofErr w:type="gramEnd"/>
      <w:r w:rsidRPr="00FB72B0">
        <w:t xml:space="preserve"> AEs were assessed as not related or unlikely related to study drug.</w:t>
      </w:r>
    </w:p>
    <w:p w14:paraId="236307D5" w14:textId="77777777" w:rsidR="0029256C" w:rsidRPr="00562401" w:rsidRDefault="0029256C" w:rsidP="0000094A">
      <w:pPr>
        <w:pStyle w:val="ListBullet"/>
        <w:rPr>
          <w:szCs w:val="22"/>
        </w:rPr>
      </w:pPr>
      <w:r w:rsidRPr="00562401">
        <w:rPr>
          <w:szCs w:val="22"/>
        </w:rPr>
        <w:t>Treatment related TEAEs were reported in about 1/3 of subjects in both groups.</w:t>
      </w:r>
    </w:p>
    <w:p w14:paraId="29303F96" w14:textId="77777777" w:rsidR="0029256C" w:rsidRPr="00562401" w:rsidRDefault="0029256C" w:rsidP="0000094A">
      <w:pPr>
        <w:pStyle w:val="ListBullet"/>
        <w:rPr>
          <w:szCs w:val="22"/>
        </w:rPr>
      </w:pPr>
      <w:r w:rsidRPr="00562401">
        <w:rPr>
          <w:szCs w:val="22"/>
        </w:rPr>
        <w:t xml:space="preserve">One (0.2%) subject in the ELX/TEZ/IVA group and no subjects in the VNZ/TEZ/D-IVA group had life-threatening AEs. </w:t>
      </w:r>
    </w:p>
    <w:p w14:paraId="3B0422BA" w14:textId="77777777" w:rsidR="0029256C" w:rsidRPr="00562401" w:rsidRDefault="0029256C" w:rsidP="0000094A">
      <w:pPr>
        <w:pStyle w:val="ListBullet"/>
        <w:rPr>
          <w:szCs w:val="22"/>
        </w:rPr>
      </w:pPr>
      <w:r w:rsidRPr="00562401">
        <w:rPr>
          <w:szCs w:val="22"/>
        </w:rPr>
        <w:t xml:space="preserve">Sixty-eight (14.2%) subjects in the </w:t>
      </w:r>
      <w:bookmarkStart w:id="66" w:name="_Hlk202251595"/>
      <w:r w:rsidRPr="00562401">
        <w:rPr>
          <w:szCs w:val="22"/>
        </w:rPr>
        <w:t xml:space="preserve">VNZ/TEZ/D-IVA </w:t>
      </w:r>
      <w:bookmarkEnd w:id="66"/>
      <w:r w:rsidRPr="00562401">
        <w:rPr>
          <w:szCs w:val="22"/>
        </w:rPr>
        <w:t xml:space="preserve">group; 81 (16.5%) subjects in the ELX/TEZ/IVA group had SAEs. The most common was infective pulmonary exacerbation (29 [6%] </w:t>
      </w:r>
      <w:r w:rsidRPr="00562401">
        <w:rPr>
          <w:i/>
          <w:iCs/>
          <w:szCs w:val="22"/>
        </w:rPr>
        <w:t xml:space="preserve">vs </w:t>
      </w:r>
      <w:r w:rsidRPr="00562401">
        <w:rPr>
          <w:szCs w:val="22"/>
        </w:rPr>
        <w:t>35 [7%]. Two (&lt;1%) participants in both groups had a serious aminotransferase elevation adverse event.</w:t>
      </w:r>
    </w:p>
    <w:p w14:paraId="28B50D1E" w14:textId="77777777" w:rsidR="0029256C" w:rsidRPr="00761EEB" w:rsidRDefault="0029256C" w:rsidP="0000094A">
      <w:pPr>
        <w:pStyle w:val="ListBullet"/>
        <w:rPr>
          <w:rFonts w:eastAsia="TimesNewRoman,Bold"/>
          <w:b/>
          <w:bCs/>
          <w:szCs w:val="22"/>
        </w:rPr>
      </w:pPr>
      <w:r w:rsidRPr="00301D56">
        <w:rPr>
          <w:szCs w:val="22"/>
        </w:rPr>
        <w:t>Very small numbers in both groups interrupted or discontinued the study drug due to AEs. The most common reason was aminotransferase elevation events</w:t>
      </w:r>
      <w:r>
        <w:rPr>
          <w:szCs w:val="22"/>
        </w:rPr>
        <w:t>.</w:t>
      </w:r>
    </w:p>
    <w:p w14:paraId="44C4FFAE" w14:textId="770DF80A" w:rsidR="0029256C" w:rsidRPr="00716503" w:rsidRDefault="0029256C" w:rsidP="0000094A">
      <w:pPr>
        <w:pStyle w:val="ListBullet"/>
        <w:rPr>
          <w:rFonts w:eastAsia="TimesNewRoman,Bold"/>
          <w:b/>
          <w:bCs/>
          <w:szCs w:val="22"/>
        </w:rPr>
      </w:pPr>
      <w:r>
        <w:rPr>
          <w:szCs w:val="22"/>
        </w:rPr>
        <w:t xml:space="preserve">No deaths were </w:t>
      </w:r>
      <w:r w:rsidR="00B6123E">
        <w:rPr>
          <w:szCs w:val="22"/>
        </w:rPr>
        <w:t>reported</w:t>
      </w:r>
      <w:r>
        <w:rPr>
          <w:szCs w:val="22"/>
        </w:rPr>
        <w:t xml:space="preserve"> during the clinical development program.</w:t>
      </w:r>
    </w:p>
    <w:p w14:paraId="00A770DC" w14:textId="306131CA" w:rsidR="00783266" w:rsidRDefault="00783266">
      <w:pPr>
        <w:rPr>
          <w:rFonts w:ascii="Calibri" w:eastAsia="Arial,Bold" w:hAnsi="Calibri" w:cs="Calibri"/>
          <w:b/>
          <w:bCs/>
          <w:u w:val="single"/>
        </w:rPr>
      </w:pPr>
    </w:p>
    <w:p w14:paraId="54919080" w14:textId="2A5DB4D5" w:rsidR="0029256C" w:rsidRPr="00EE52D9" w:rsidRDefault="0029256C" w:rsidP="00EE52D9">
      <w:pPr>
        <w:rPr>
          <w:b/>
          <w:bCs/>
        </w:rPr>
      </w:pPr>
      <w:r w:rsidRPr="00EE52D9">
        <w:rPr>
          <w:b/>
          <w:bCs/>
        </w:rPr>
        <w:lastRenderedPageBreak/>
        <w:t xml:space="preserve">Common </w:t>
      </w:r>
      <w:r w:rsidR="00D93C1D" w:rsidRPr="00EE52D9">
        <w:rPr>
          <w:b/>
          <w:bCs/>
        </w:rPr>
        <w:t>adverse events</w:t>
      </w:r>
    </w:p>
    <w:p w14:paraId="6F61539E" w14:textId="77777777" w:rsidR="0029256C" w:rsidRPr="002032BE" w:rsidRDefault="0029256C" w:rsidP="00EE52D9">
      <w:r w:rsidRPr="002032BE">
        <w:t>The most common AEs were generally consistent with common manifestations of CF disease or with common illnesses in people with CF ≥12 years of age. These included:</w:t>
      </w:r>
    </w:p>
    <w:p w14:paraId="03D1BB6E" w14:textId="77777777" w:rsidR="0029256C" w:rsidRPr="002032BE" w:rsidRDefault="0029256C" w:rsidP="0000094A">
      <w:pPr>
        <w:pStyle w:val="ListBullet"/>
      </w:pPr>
      <w:r w:rsidRPr="002032BE">
        <w:t xml:space="preserve">infective pulmonary exacerbation: 133 [28%] in </w:t>
      </w:r>
      <w:r w:rsidRPr="002032BE">
        <w:rPr>
          <w:color w:val="000000"/>
        </w:rPr>
        <w:t>VNZ/TEZ/D-IVA</w:t>
      </w:r>
      <w:r w:rsidRPr="002032BE">
        <w:t xml:space="preserve"> </w:t>
      </w:r>
      <w:r w:rsidRPr="002032BE">
        <w:rPr>
          <w:i/>
          <w:iCs/>
        </w:rPr>
        <w:t xml:space="preserve">vs </w:t>
      </w:r>
      <w:r w:rsidRPr="002032BE">
        <w:t xml:space="preserve">158 [32%] in </w:t>
      </w:r>
      <w:r w:rsidRPr="002032BE">
        <w:rPr>
          <w:color w:val="000000"/>
        </w:rPr>
        <w:t xml:space="preserve">ELX/TEZ/IVA </w:t>
      </w:r>
      <w:r w:rsidRPr="002032BE">
        <w:t>group</w:t>
      </w:r>
    </w:p>
    <w:p w14:paraId="20101526" w14:textId="77777777" w:rsidR="0029256C" w:rsidRPr="002032BE" w:rsidRDefault="0029256C" w:rsidP="0000094A">
      <w:pPr>
        <w:pStyle w:val="ListBullet"/>
      </w:pPr>
      <w:r w:rsidRPr="002032BE">
        <w:t xml:space="preserve">cough (108 [23%] </w:t>
      </w:r>
      <w:r w:rsidRPr="002032BE">
        <w:rPr>
          <w:i/>
          <w:iCs/>
        </w:rPr>
        <w:t xml:space="preserve">vs </w:t>
      </w:r>
      <w:r w:rsidRPr="002032BE">
        <w:t>101 [21%]),</w:t>
      </w:r>
    </w:p>
    <w:p w14:paraId="24081066" w14:textId="77777777" w:rsidR="0029256C" w:rsidRPr="002032BE" w:rsidRDefault="0029256C" w:rsidP="0000094A">
      <w:pPr>
        <w:pStyle w:val="ListBullet"/>
      </w:pPr>
      <w:r w:rsidRPr="002032BE">
        <w:t xml:space="preserve">COVID-19 (107 [22%] </w:t>
      </w:r>
      <w:r w:rsidRPr="002032BE">
        <w:rPr>
          <w:i/>
          <w:iCs/>
        </w:rPr>
        <w:t xml:space="preserve">vs </w:t>
      </w:r>
      <w:r w:rsidRPr="002032BE">
        <w:t>127 [26%]</w:t>
      </w:r>
    </w:p>
    <w:p w14:paraId="6469D85E" w14:textId="77777777" w:rsidR="0029256C" w:rsidRPr="004A1DD1" w:rsidRDefault="0029256C" w:rsidP="0000094A">
      <w:pPr>
        <w:pStyle w:val="ListBullet"/>
      </w:pPr>
      <w:r w:rsidRPr="002032BE">
        <w:t xml:space="preserve">nasopharyngitis (102 [21%] </w:t>
      </w:r>
      <w:r w:rsidRPr="002032BE">
        <w:rPr>
          <w:i/>
          <w:iCs/>
        </w:rPr>
        <w:t xml:space="preserve">vs </w:t>
      </w:r>
      <w:r w:rsidRPr="002032BE">
        <w:t xml:space="preserve">95 [19%]). </w:t>
      </w:r>
    </w:p>
    <w:p w14:paraId="4B9E7AA5" w14:textId="41DA68DB" w:rsidR="0029256C" w:rsidRPr="005E332F" w:rsidRDefault="0029256C" w:rsidP="0000094A">
      <w:pPr>
        <w:pStyle w:val="TableTitle"/>
      </w:pPr>
      <w:r w:rsidRPr="005E332F">
        <w:rPr>
          <w:rFonts w:eastAsiaTheme="minorHAnsi"/>
        </w:rPr>
        <w:t>Table 1</w:t>
      </w:r>
      <w:r w:rsidR="00287F6A">
        <w:rPr>
          <w:rFonts w:eastAsiaTheme="minorHAnsi"/>
        </w:rPr>
        <w:t>4.</w:t>
      </w:r>
      <w:r w:rsidRPr="005E332F">
        <w:rPr>
          <w:rFonts w:eastAsiaTheme="minorHAnsi"/>
        </w:rPr>
        <w:t xml:space="preserve"> </w:t>
      </w:r>
      <w:r w:rsidRPr="005E332F">
        <w:t>Summary of AEs in Studies 102 and 103 (Treatment Period Pooled Safety Set)</w:t>
      </w:r>
      <w:r w:rsidR="0000094A">
        <w:t xml:space="preserve"> </w:t>
      </w:r>
      <w:r w:rsidRPr="005E332F">
        <w:t xml:space="preserve">and from studies 445-102 and 105 for </w:t>
      </w:r>
      <w:r w:rsidRPr="005E332F">
        <w:rPr>
          <w:rFonts w:eastAsiaTheme="minorHAnsi"/>
        </w:rPr>
        <w:t>ELX/TEZ/IVA</w:t>
      </w:r>
      <w:r w:rsidR="00287F6A">
        <w:rPr>
          <w:rFonts w:eastAsiaTheme="minorHAnsi"/>
        </w:rPr>
        <w:t>.</w:t>
      </w:r>
    </w:p>
    <w:p w14:paraId="19D3E662" w14:textId="77777777" w:rsidR="0029256C" w:rsidRPr="005F0976" w:rsidRDefault="0029256C" w:rsidP="0029256C">
      <w:pPr>
        <w:autoSpaceDE w:val="0"/>
        <w:autoSpaceDN w:val="0"/>
        <w:adjustRightInd w:val="0"/>
        <w:spacing w:line="240" w:lineRule="auto"/>
        <w:jc w:val="both"/>
        <w:rPr>
          <w:rFonts w:ascii="Calibri" w:hAnsi="Calibri" w:cs="Calibri"/>
          <w:i/>
          <w:iCs/>
        </w:rPr>
      </w:pPr>
      <w:r>
        <w:rPr>
          <w:rFonts w:ascii="Calibri" w:hAnsi="Calibri" w:cs="Calibri"/>
          <w:i/>
          <w:iCs/>
          <w:noProof/>
        </w:rPr>
        <w:drawing>
          <wp:inline distT="0" distB="0" distL="0" distR="0" wp14:anchorId="0B7FD667" wp14:editId="1BC5EACE">
            <wp:extent cx="5788660" cy="4886325"/>
            <wp:effectExtent l="0" t="0" r="2540" b="9525"/>
            <wp:docPr id="559027196" name="Picture 3" descr="Table 14. Summary of AEs in Studies 102 and 103 (Treatment Period Pooled Safety Set) and from studies 445-102 and 105 for ELX/TEZ/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7196" name="Picture 3" descr="Table 14. Summary of AEs in Studies 102 and 103 (Treatment Period Pooled Safety Set) and from studies 445-102 and 105 for ELX/TEZ/IVA."/>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16025" cy="4909424"/>
                    </a:xfrm>
                    <a:prstGeom prst="rect">
                      <a:avLst/>
                    </a:prstGeom>
                  </pic:spPr>
                </pic:pic>
              </a:graphicData>
            </a:graphic>
          </wp:inline>
        </w:drawing>
      </w:r>
    </w:p>
    <w:p w14:paraId="7139FA4A" w14:textId="77777777" w:rsidR="0029256C" w:rsidRPr="00C72BFF" w:rsidRDefault="0029256C" w:rsidP="0000094A">
      <w:pPr>
        <w:rPr>
          <w:b/>
          <w:bCs/>
        </w:rPr>
      </w:pPr>
      <w:r w:rsidRPr="00C72BFF">
        <w:rPr>
          <w:b/>
          <w:bCs/>
        </w:rPr>
        <w:t>Adverse events of special interest</w:t>
      </w:r>
    </w:p>
    <w:p w14:paraId="5843EE07" w14:textId="77777777" w:rsidR="0029256C" w:rsidRPr="00567C39" w:rsidRDefault="0029256C" w:rsidP="0000094A">
      <w:r w:rsidRPr="00567C39">
        <w:t>Forty-three (9.0%) subjects in the VNZ/TEZ/D-IVA group and 35 (7.1%) subjects in the</w:t>
      </w:r>
      <w:r>
        <w:t xml:space="preserve"> </w:t>
      </w:r>
      <w:r w:rsidRPr="00567C39">
        <w:t xml:space="preserve">ELX/TEZ/IVA group had at least 1 elevated transaminase event. </w:t>
      </w:r>
      <w:proofErr w:type="gramStart"/>
      <w:r w:rsidRPr="00567C39">
        <w:t>The majority of</w:t>
      </w:r>
      <w:proofErr w:type="gramEnd"/>
      <w:r w:rsidRPr="00567C39">
        <w:t xml:space="preserve"> events were mild or moderate in severity and resolved without treatment interruption</w:t>
      </w:r>
      <w:r w:rsidRPr="00B42798">
        <w:t>.</w:t>
      </w:r>
    </w:p>
    <w:p w14:paraId="410F7A34" w14:textId="77777777" w:rsidR="0029256C" w:rsidRDefault="0029256C" w:rsidP="0000094A">
      <w:r w:rsidRPr="00B454A0">
        <w:t>Fifty-three (11.0%) subjects in the VNZ/TEZ/D-IVA group and 38 (7.7%) subjects in the</w:t>
      </w:r>
      <w:r>
        <w:t xml:space="preserve"> </w:t>
      </w:r>
      <w:r w:rsidRPr="00B454A0">
        <w:t xml:space="preserve">ELX/TEZ/IVA group had a least 1 rash event. </w:t>
      </w:r>
      <w:proofErr w:type="gramStart"/>
      <w:r w:rsidRPr="00B454A0">
        <w:t>The majority of</w:t>
      </w:r>
      <w:proofErr w:type="gramEnd"/>
      <w:r w:rsidRPr="00B454A0">
        <w:t xml:space="preserve"> events were mild or moderate in severity</w:t>
      </w:r>
      <w:r>
        <w:t xml:space="preserve">, and no serious events occurred. Only 3 events (all in </w:t>
      </w:r>
      <w:r w:rsidRPr="00B454A0">
        <w:t>VNZ/TEZ/D-IVA</w:t>
      </w:r>
      <w:r>
        <w:t xml:space="preserve"> group) lead to treatment discontinuation/interruption.</w:t>
      </w:r>
    </w:p>
    <w:p w14:paraId="09CFF9CE" w14:textId="18F78EB2" w:rsidR="0029256C" w:rsidRDefault="00C609BC" w:rsidP="0000094A">
      <w:pPr>
        <w:rPr>
          <w:rFonts w:ascii="CIDFont+F1" w:hAnsi="CIDFont+F1" w:cs="CIDFont+F1"/>
          <w:sz w:val="24"/>
          <w:szCs w:val="24"/>
        </w:rPr>
      </w:pPr>
      <w:r w:rsidRPr="00C609BC">
        <w:lastRenderedPageBreak/>
        <w:t>Adverse events of special interest</w:t>
      </w:r>
      <w:r>
        <w:t xml:space="preserve"> (</w:t>
      </w:r>
      <w:r w:rsidR="0029256C" w:rsidRPr="00FC3113">
        <w:t>AESI</w:t>
      </w:r>
      <w:r>
        <w:t>)</w:t>
      </w:r>
      <w:r w:rsidR="0029256C" w:rsidRPr="00FC3113">
        <w:t xml:space="preserve"> related to CK elevation (hereafter referred to as CK elevation events) occurred in 43 (9.0%) subjects in the VNZ/TEZ/D-IVA group and 41 (8.4%) subjects in the ELX/TEZ/IVA groups. These were mostly mild or moderate; 1 (0.2%) subject in the VNZ/TEZ/D-IVA and 2 (0.4%) subjects in the ELX/TEZ/IVA group had a severe CK elevation, and 1 in each group led to study drug interruption</w:t>
      </w:r>
      <w:r w:rsidR="0029256C">
        <w:rPr>
          <w:rFonts w:ascii="CIDFont+F1" w:hAnsi="CIDFont+F1" w:cs="CIDFont+F1"/>
          <w:sz w:val="24"/>
          <w:szCs w:val="24"/>
        </w:rPr>
        <w:t>.</w:t>
      </w:r>
    </w:p>
    <w:p w14:paraId="0AAF104F" w14:textId="77777777" w:rsidR="0029256C" w:rsidRPr="005A0355" w:rsidRDefault="0029256C" w:rsidP="0000094A">
      <w:r w:rsidRPr="001C7B74">
        <w:t>Eight (1.7%) subjects in the VNZ/TEZ/D-IVA group and 18 (3.7%) subjects in the</w:t>
      </w:r>
      <w:r>
        <w:t xml:space="preserve"> </w:t>
      </w:r>
      <w:r w:rsidRPr="001C7B74">
        <w:t>ELX/TEZ/IVA group had a hypoglycaemia event</w:t>
      </w:r>
      <w:r>
        <w:t>. These were mild to moderate and did not impact study drug administration.</w:t>
      </w:r>
    </w:p>
    <w:p w14:paraId="79114A36" w14:textId="77777777" w:rsidR="0029256C" w:rsidRDefault="0029256C" w:rsidP="0000094A">
      <w:r w:rsidRPr="009203E8">
        <w:t>Three (0.6%) subjects in the VNZ/TEZ/D-IVA group and 4 (0.8%) subjects in the ELX/TEZ/IVA group had an AE of cataract, all were mild/moderate and did not impact vision.</w:t>
      </w:r>
    </w:p>
    <w:p w14:paraId="2758FD91" w14:textId="77777777" w:rsidR="0029256C" w:rsidRPr="003B0EAE" w:rsidRDefault="0029256C" w:rsidP="0000094A">
      <w:r w:rsidRPr="003B0EAE">
        <w:t>Fifty-five (11.5%) subjects in the VNZ/TEZ/D-IVA group and 59 (12.0%) subjects in the</w:t>
      </w:r>
      <w:r>
        <w:t xml:space="preserve"> </w:t>
      </w:r>
      <w:r w:rsidRPr="003B0EAE">
        <w:t>ELX/TEZ/IVA group had at least 1 neuropsychiatric event. Of these there were 4 events in each group that were serious and 5 (2, 3 in groups respectively) led to treatment disruption.</w:t>
      </w:r>
    </w:p>
    <w:p w14:paraId="1C047892" w14:textId="77777777" w:rsidR="0029256C" w:rsidRDefault="0029256C" w:rsidP="0000094A">
      <w:pPr>
        <w:rPr>
          <w:rFonts w:ascii="TimesNewRoman" w:hAnsi="TimesNewRoman" w:cs="TimesNewRoman"/>
          <w:sz w:val="20"/>
        </w:rPr>
      </w:pPr>
      <w:r w:rsidRPr="00AD23AE">
        <w:t>There were no meaningful changes in other laboratory, vital signs, or ECG parameters</w:t>
      </w:r>
      <w:r>
        <w:rPr>
          <w:rFonts w:ascii="TimesNewRoman" w:hAnsi="TimesNewRoman" w:cs="TimesNewRoman"/>
          <w:sz w:val="20"/>
        </w:rPr>
        <w:t>.</w:t>
      </w:r>
    </w:p>
    <w:p w14:paraId="72924B28" w14:textId="77777777" w:rsidR="0029256C" w:rsidRPr="001016BC" w:rsidRDefault="0029256C" w:rsidP="00D41564">
      <w:pPr>
        <w:pStyle w:val="Heading6"/>
      </w:pPr>
      <w:r w:rsidRPr="001016BC">
        <w:t>Study VX21-121-105</w:t>
      </w:r>
    </w:p>
    <w:p w14:paraId="715A40BA" w14:textId="77777777" w:rsidR="0029256C" w:rsidRPr="00D41564" w:rsidRDefault="0029256C" w:rsidP="00D41564">
      <w:pPr>
        <w:rPr>
          <w:b/>
          <w:bCs/>
        </w:rPr>
      </w:pPr>
      <w:r w:rsidRPr="00D41564">
        <w:rPr>
          <w:b/>
          <w:bCs/>
        </w:rPr>
        <w:t>Cohort A1</w:t>
      </w:r>
    </w:p>
    <w:p w14:paraId="2E7221DF" w14:textId="77777777" w:rsidR="0029256C" w:rsidRPr="00320936" w:rsidRDefault="0029256C" w:rsidP="00D41564">
      <w:r w:rsidRPr="006C0255">
        <w:t>The incidence of subjects with at least 1 AE was 70.6%. All AEs were mild or moderate in</w:t>
      </w:r>
      <w:r w:rsidRPr="00320936">
        <w:t xml:space="preserve"> </w:t>
      </w:r>
      <w:r w:rsidRPr="006C0255">
        <w:t>severity, and no subjects had life-threatening AEs. There were no discontinuations or</w:t>
      </w:r>
      <w:r w:rsidRPr="00320936">
        <w:t xml:space="preserve"> interruptions due to AEs. There were no deaths or other SAEs. There were 3 subjects who had a mild rash event, no other AE of special interest were present. There were no meaningful changes in laboratory, vital signs, or ECG parameters.</w:t>
      </w:r>
    </w:p>
    <w:p w14:paraId="6B8A3D0E" w14:textId="77777777" w:rsidR="0029256C" w:rsidRPr="00D41564" w:rsidRDefault="0029256C" w:rsidP="00D41564">
      <w:pPr>
        <w:rPr>
          <w:b/>
          <w:bCs/>
        </w:rPr>
      </w:pPr>
      <w:r w:rsidRPr="00D41564">
        <w:rPr>
          <w:b/>
          <w:bCs/>
        </w:rPr>
        <w:t>Cohort B1</w:t>
      </w:r>
    </w:p>
    <w:p w14:paraId="31552225" w14:textId="5D5DC930" w:rsidR="0029256C" w:rsidRDefault="0029256C" w:rsidP="00D41564">
      <w:r w:rsidRPr="00495A79">
        <w:t>The incidence of subjects with at least 1 AE was 96.2%. All subjects</w:t>
      </w:r>
      <w:r w:rsidRPr="00C53F54">
        <w:t xml:space="preserve"> </w:t>
      </w:r>
      <w:r w:rsidRPr="00495A79">
        <w:t xml:space="preserve">with AEs </w:t>
      </w:r>
      <w:r w:rsidR="001F01DB">
        <w:t>which</w:t>
      </w:r>
      <w:r w:rsidRPr="00495A79">
        <w:t xml:space="preserve"> were mild or moderate in severity; no subjects had AEs that were</w:t>
      </w:r>
      <w:r w:rsidRPr="00C53F54">
        <w:t xml:space="preserve"> </w:t>
      </w:r>
      <w:r w:rsidRPr="00495A79">
        <w:t>life-threatening in severity. Six (7.7%) subjects had SAEs. One (1.3%) subject interrupted study</w:t>
      </w:r>
      <w:r w:rsidRPr="00C53F54">
        <w:t xml:space="preserve"> drug due to AEs (Seizure)</w:t>
      </w:r>
      <w:r w:rsidR="00505E81">
        <w:t>.</w:t>
      </w:r>
      <w:r w:rsidRPr="00C53F54">
        <w:t xml:space="preserve"> One (1.3%) subject discontinued study drug due to AEs</w:t>
      </w:r>
      <w:r w:rsidR="00212E03">
        <w:t>.</w:t>
      </w:r>
      <w:r w:rsidRPr="00C53F54">
        <w:t xml:space="preserve"> There were no deaths. AEs were generally not thought to be related to the study treatment. </w:t>
      </w:r>
    </w:p>
    <w:p w14:paraId="2A0BBA30" w14:textId="77777777" w:rsidR="0029256C" w:rsidRDefault="0029256C" w:rsidP="00D41564">
      <w:r w:rsidRPr="007176A7">
        <w:t>Four (5.1%) subjects had at least 1 elevated transaminase event, 4 subjects had at least 1 rash event, and 4 subjects had at least 1 neuropsychiatric event. There were no hypoglycaemic events, and there was 1 non-serious cataract event. There were no meaningful changes in other laboratory, vital signs, or ECG parameters.</w:t>
      </w:r>
    </w:p>
    <w:p w14:paraId="1EF287A0" w14:textId="14FC235D" w:rsidR="0029256C" w:rsidRPr="00D41564" w:rsidRDefault="0029256C" w:rsidP="00B55862">
      <w:pPr>
        <w:pStyle w:val="Heading6"/>
        <w:rPr>
          <w:lang w:eastAsia="ja-JP"/>
        </w:rPr>
      </w:pPr>
      <w:r w:rsidRPr="00D41564">
        <w:rPr>
          <w:lang w:eastAsia="ja-JP"/>
        </w:rPr>
        <w:t>Other studies</w:t>
      </w:r>
    </w:p>
    <w:p w14:paraId="5949C3D7" w14:textId="77777777" w:rsidR="0029256C" w:rsidRPr="00ED4EF3" w:rsidRDefault="0029256C" w:rsidP="00D41564">
      <w:r w:rsidRPr="00ED4EF3">
        <w:rPr>
          <w:lang w:eastAsia="ja-JP"/>
        </w:rPr>
        <w:t xml:space="preserve">In the </w:t>
      </w:r>
      <w:r w:rsidRPr="00ED4EF3">
        <w:t xml:space="preserve">additional Phase 1 and Phase 2 studies </w:t>
      </w:r>
      <w:r>
        <w:t xml:space="preserve">evaluated in this submission </w:t>
      </w:r>
      <w:r w:rsidRPr="00ED4EF3">
        <w:t>in subjects with CF, healthy subjects, and special populations</w:t>
      </w:r>
      <w:r w:rsidRPr="00ED4EF3">
        <w:rPr>
          <w:lang w:eastAsia="ja-JP"/>
        </w:rPr>
        <w:t xml:space="preserve"> no unexpected findings were present. There were more reports of elevations of transaminases and creatinine kinase in both </w:t>
      </w:r>
      <w:r w:rsidRPr="00ED4EF3">
        <w:t xml:space="preserve">VNZ/TEZ/D-IVA and ELX/TEZ/IVA </w:t>
      </w:r>
      <w:r w:rsidRPr="00ED4EF3">
        <w:rPr>
          <w:lang w:eastAsia="ja-JP"/>
        </w:rPr>
        <w:t xml:space="preserve">treatment populations than would be expected in the general population.  </w:t>
      </w:r>
    </w:p>
    <w:p w14:paraId="7DEAEA37" w14:textId="2500EB4C" w:rsidR="0029256C" w:rsidRPr="000E78FD" w:rsidRDefault="0029256C" w:rsidP="00D41564">
      <w:pPr>
        <w:pStyle w:val="Heading5"/>
        <w:rPr>
          <w:lang w:eastAsia="ja-JP"/>
        </w:rPr>
      </w:pPr>
      <w:r w:rsidRPr="000E78FD">
        <w:t xml:space="preserve">Summary conclusions regarding clinical </w:t>
      </w:r>
      <w:r>
        <w:t>safety</w:t>
      </w:r>
      <w:r w:rsidRPr="000E78FD">
        <w:rPr>
          <w:lang w:eastAsia="ja-JP"/>
        </w:rPr>
        <w:t xml:space="preserve"> </w:t>
      </w:r>
    </w:p>
    <w:p w14:paraId="38283B63" w14:textId="77777777" w:rsidR="0029256C" w:rsidRPr="0016633B" w:rsidRDefault="0029256C" w:rsidP="00D41564">
      <w:r w:rsidRPr="0016633B">
        <w:t xml:space="preserve">The safety of the proposed VNZ/TEZ/D-IVA triple combination regimen has been satisfactorily demonstrated in the submitted data. </w:t>
      </w:r>
      <w:r w:rsidRPr="00603B75">
        <w:t>VNZ/TEZ/D-IVA was generally safe and well tolerated in subjects ≥6 years of age, with a low</w:t>
      </w:r>
      <w:r w:rsidRPr="0016633B">
        <w:t xml:space="preserve"> </w:t>
      </w:r>
      <w:r w:rsidRPr="00603B75">
        <w:t>rate of treatment discontinuation due to adverse events (AEs). The AEs seen in the studies of</w:t>
      </w:r>
      <w:r w:rsidRPr="0016633B">
        <w:t xml:space="preserve"> subjects with CF are generally consistent with common CF manifestations, and the majority were mild to moderate in severity.</w:t>
      </w:r>
    </w:p>
    <w:p w14:paraId="7A7B2518" w14:textId="77777777" w:rsidR="0029256C" w:rsidRPr="0040110A" w:rsidRDefault="0029256C" w:rsidP="00D41564">
      <w:r w:rsidRPr="0040110A">
        <w:lastRenderedPageBreak/>
        <w:t xml:space="preserve">The safety profile of VNZ/TEZ/D-IVA is </w:t>
      </w:r>
      <w:proofErr w:type="gramStart"/>
      <w:r w:rsidRPr="0040110A">
        <w:t>similar to</w:t>
      </w:r>
      <w:proofErr w:type="gramEnd"/>
      <w:r w:rsidRPr="0040110A">
        <w:t xml:space="preserve"> that of ELX/TEZ/IVA, which is the current standard of care for approximately 90% of CF patients</w:t>
      </w:r>
    </w:p>
    <w:p w14:paraId="614B0BA5" w14:textId="77777777" w:rsidR="0029256C" w:rsidRPr="0040110A" w:rsidRDefault="0029256C" w:rsidP="00D41564">
      <w:r w:rsidRPr="0040110A">
        <w:t xml:space="preserve">The safety profile of VNZ/TEZ/D-IVA in CF subjects 6 through 11 years of age was </w:t>
      </w:r>
      <w:proofErr w:type="gramStart"/>
      <w:r w:rsidRPr="0040110A">
        <w:t>similar to</w:t>
      </w:r>
      <w:proofErr w:type="gramEnd"/>
      <w:r w:rsidRPr="0040110A">
        <w:t xml:space="preserve"> that observed in the pivotal studies in CF subjects ≥12 years of age. </w:t>
      </w:r>
    </w:p>
    <w:p w14:paraId="170A9196" w14:textId="77777777" w:rsidR="0029256C" w:rsidRPr="00A94070" w:rsidRDefault="0029256C" w:rsidP="00D41564">
      <w:r w:rsidRPr="0040110A">
        <w:t>Elevated transaminase and rash are known ADRs with ELX/TEZ/IVA. Overall, the risk of</w:t>
      </w:r>
      <w:r>
        <w:t xml:space="preserve"> </w:t>
      </w:r>
      <w:r w:rsidRPr="0040110A">
        <w:t>elevated transaminase events and rash events was similar for VNZ/TEZ/D-IVA and</w:t>
      </w:r>
      <w:r>
        <w:t xml:space="preserve"> </w:t>
      </w:r>
      <w:r w:rsidRPr="0040110A">
        <w:t>ELX/TEZ/IVA. The incidence of CK elevations was balanced between treatment groups.</w:t>
      </w:r>
    </w:p>
    <w:p w14:paraId="2858B006" w14:textId="77777777" w:rsidR="00C22214" w:rsidRDefault="00C22214" w:rsidP="00C22214">
      <w:pPr>
        <w:pStyle w:val="Heading3"/>
        <w:rPr>
          <w:lang w:eastAsia="en-AU"/>
        </w:rPr>
      </w:pPr>
      <w:bookmarkStart w:id="67" w:name="_Toc314842514"/>
      <w:bookmarkStart w:id="68" w:name="_Toc103679298"/>
      <w:bookmarkStart w:id="69" w:name="_Toc227661925"/>
      <w:r>
        <w:rPr>
          <w:lang w:eastAsia="en-AU"/>
        </w:rPr>
        <w:t>Risk management plan</w:t>
      </w:r>
      <w:bookmarkEnd w:id="67"/>
      <w:bookmarkEnd w:id="68"/>
      <w:bookmarkEnd w:id="69"/>
    </w:p>
    <w:p w14:paraId="0631B8E7" w14:textId="77777777" w:rsidR="00A91B67" w:rsidRDefault="00A91B67" w:rsidP="00C15539">
      <w:bookmarkStart w:id="70" w:name="_Toc247691531"/>
      <w:bookmarkStart w:id="71" w:name="_Toc314842515"/>
      <w:r w:rsidRPr="006A11E9">
        <w:t>Vertex Pharmaceuticals (Australia) Pty Ltd has submitted EU-RMP version 0.1 (date 27 April 2024; DLP 12 February 2024) and ASA version 1.0 (date 13 June 2024) in support of this application. Later in the evaluation phase, the sponsor provided an updated EU RMP version (dated 24 April 2025; DLP 24 April 2024).</w:t>
      </w:r>
    </w:p>
    <w:p w14:paraId="3C8F2127" w14:textId="14707558" w:rsidR="00A91B67" w:rsidRPr="00183165" w:rsidRDefault="00A91B67" w:rsidP="00C15539">
      <w:r w:rsidRPr="00116499">
        <w:rPr>
          <w:color w:val="000000"/>
        </w:rPr>
        <w:t xml:space="preserve">The proposed summary of safety concerns and their associated risk monitoring and mitigation strategies are summarised in </w:t>
      </w:r>
      <w:r w:rsidR="00464C4F">
        <w:rPr>
          <w:color w:val="000000"/>
        </w:rPr>
        <w:t>T</w:t>
      </w:r>
      <w:r w:rsidRPr="00116499">
        <w:rPr>
          <w:color w:val="000000"/>
        </w:rPr>
        <w:t xml:space="preserve">able </w:t>
      </w:r>
      <w:r>
        <w:rPr>
          <w:color w:val="000000"/>
        </w:rPr>
        <w:t>1</w:t>
      </w:r>
      <w:r w:rsidR="00464C4F">
        <w:rPr>
          <w:color w:val="000000"/>
        </w:rPr>
        <w:t>5</w:t>
      </w:r>
      <w:r w:rsidRPr="00116499">
        <w:rPr>
          <w:color w:val="000000"/>
        </w:rPr>
        <w:t>.</w:t>
      </w:r>
    </w:p>
    <w:p w14:paraId="59F7A796" w14:textId="154BADED" w:rsidR="00A91B67" w:rsidRPr="00183165" w:rsidRDefault="00A91B67" w:rsidP="00D93C1D">
      <w:pPr>
        <w:pStyle w:val="TableTitle"/>
        <w:rPr>
          <w:rFonts w:eastAsiaTheme="minorHAnsi" w:cs="Calibri"/>
          <w:color w:val="000000"/>
        </w:rPr>
      </w:pPr>
      <w:r w:rsidRPr="003944B8">
        <w:rPr>
          <w:rFonts w:eastAsiaTheme="minorHAnsi" w:cs="Calibri"/>
          <w:color w:val="000000"/>
        </w:rPr>
        <w:t xml:space="preserve">Table </w:t>
      </w:r>
      <w:r>
        <w:rPr>
          <w:rFonts w:eastAsiaTheme="minorHAnsi" w:cs="Calibri"/>
          <w:color w:val="000000"/>
        </w:rPr>
        <w:t>1</w:t>
      </w:r>
      <w:r w:rsidR="00464C4F">
        <w:rPr>
          <w:rFonts w:eastAsiaTheme="minorHAnsi" w:cs="Calibri"/>
          <w:color w:val="000000"/>
        </w:rPr>
        <w:t>5.</w:t>
      </w:r>
      <w:r w:rsidRPr="003944B8">
        <w:rPr>
          <w:rFonts w:eastAsiaTheme="minorHAnsi" w:cs="Calibri"/>
          <w:color w:val="000000"/>
        </w:rPr>
        <w:t xml:space="preserve"> </w:t>
      </w:r>
      <w:r w:rsidRPr="00A40C9D">
        <w:rPr>
          <w:rFonts w:cs="Calibri"/>
        </w:rPr>
        <w:t xml:space="preserve">Summary of Safety Concerns </w:t>
      </w:r>
      <w:r w:rsidRPr="00A40C9D">
        <w:t>and associated risk monitoring and mitigation strategies</w:t>
      </w:r>
      <w:r w:rsidR="00464C4F">
        <w:t>.</w:t>
      </w:r>
    </w:p>
    <w:p w14:paraId="09F1CBA4" w14:textId="3415BC98" w:rsidR="00B653FF" w:rsidRPr="007E7657" w:rsidRDefault="00E24872" w:rsidP="00D93C1D">
      <w:pPr>
        <w:pStyle w:val="TableDescription"/>
        <w:rPr>
          <w:szCs w:val="22"/>
        </w:rPr>
      </w:pPr>
      <w:r>
        <w:rPr>
          <w:noProof/>
        </w:rPr>
        <w:drawing>
          <wp:inline distT="0" distB="0" distL="0" distR="0" wp14:anchorId="3A13DE90" wp14:editId="01787144">
            <wp:extent cx="5915660" cy="2438400"/>
            <wp:effectExtent l="0" t="0" r="8890" b="0"/>
            <wp:docPr id="2006059938" name="Picture 1" descr="Table 15. Summary of Safety Concerns and associated risk monitoring and mitig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9938" name="Picture 1" descr="Table 15. Summary of Safety Concerns and associated risk monitoring and mitigation strategies."/>
                    <pic:cNvPicPr/>
                  </pic:nvPicPr>
                  <pic:blipFill>
                    <a:blip r:embed="rId35">
                      <a:extLst>
                        <a:ext uri="{BEBA8EAE-BF5A-486C-A8C5-ECC9F3942E4B}">
                          <a14:imgProps xmlns:a14="http://schemas.microsoft.com/office/drawing/2010/main">
                            <a14:imgLayer r:embed="rId36">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924425" cy="2442013"/>
                    </a:xfrm>
                    <a:prstGeom prst="rect">
                      <a:avLst/>
                    </a:prstGeom>
                  </pic:spPr>
                </pic:pic>
              </a:graphicData>
            </a:graphic>
          </wp:inline>
        </w:drawing>
      </w:r>
      <w:r w:rsidR="00B653FF" w:rsidRPr="00B653FF">
        <w:rPr>
          <w:vertAlign w:val="superscript"/>
        </w:rPr>
        <w:t>‡</w:t>
      </w:r>
      <w:r w:rsidR="00B653FF" w:rsidRPr="00B653FF">
        <w:t>Follow-up questionnaire †Phase 3 open-label extension study</w:t>
      </w:r>
    </w:p>
    <w:p w14:paraId="4166E993" w14:textId="77777777" w:rsidR="00BA58F2" w:rsidRPr="00582EA5" w:rsidRDefault="00BA58F2" w:rsidP="00563506">
      <w:bookmarkStart w:id="72" w:name="_Toc103679299"/>
      <w:r w:rsidRPr="00582EA5">
        <w:t>The RMP evaluator noted the following:</w:t>
      </w:r>
    </w:p>
    <w:p w14:paraId="241B8EA3" w14:textId="77777777" w:rsidR="00BA58F2" w:rsidRPr="00582EA5" w:rsidRDefault="00BA58F2" w:rsidP="00710C70">
      <w:pPr>
        <w:pStyle w:val="ListBullet"/>
      </w:pPr>
      <w:r w:rsidRPr="00582EA5">
        <w:t xml:space="preserve">Subject to nonclinical aspects of the safety specification, the summary of safety concerns </w:t>
      </w:r>
      <w:r>
        <w:t xml:space="preserve">and the risk minimalization measures are </w:t>
      </w:r>
      <w:r w:rsidRPr="00582EA5">
        <w:t>acceptable from an RMP perspective.</w:t>
      </w:r>
    </w:p>
    <w:p w14:paraId="503BBBB6" w14:textId="0291E7D8" w:rsidR="00BA58F2" w:rsidRDefault="00BA58F2" w:rsidP="00710C70">
      <w:pPr>
        <w:pStyle w:val="ListBullet"/>
      </w:pPr>
      <w:r w:rsidRPr="00582EA5">
        <w:t>Routine and additional pharmacovigilance activities have been proposed</w:t>
      </w:r>
      <w:r w:rsidR="006B6A4A">
        <w:t xml:space="preserve"> </w:t>
      </w:r>
      <w:r>
        <w:t>(</w:t>
      </w:r>
      <w:r w:rsidR="006B6A4A">
        <w:t>Table 16</w:t>
      </w:r>
      <w:r>
        <w:t>)</w:t>
      </w:r>
      <w:r w:rsidR="006B6A4A">
        <w:t>.</w:t>
      </w:r>
    </w:p>
    <w:p w14:paraId="4C19457D" w14:textId="77777777" w:rsidR="00B0602B" w:rsidRDefault="00B0602B" w:rsidP="00B0602B">
      <w:r w:rsidRPr="00BD5DBD">
        <w:t xml:space="preserve">The TGA may request an updated RMP at any stage of a product's life cycle, during both the pre-approval and post-approval phases. Further information regarding the TGA’s risk management approach can be found in </w:t>
      </w:r>
      <w:hyperlink r:id="rId37" w:history="1">
        <w:r w:rsidRPr="00BD5DBD">
          <w:rPr>
            <w:rStyle w:val="Hyperlink"/>
            <w:szCs w:val="22"/>
          </w:rPr>
          <w:t>risk management plans for medicines and biologicals</w:t>
        </w:r>
      </w:hyperlink>
      <w:r w:rsidRPr="00BD5DBD">
        <w:t xml:space="preserve"> and </w:t>
      </w:r>
      <w:hyperlink r:id="rId38" w:history="1">
        <w:r w:rsidRPr="00BD5DBD">
          <w:rPr>
            <w:rStyle w:val="Hyperlink"/>
            <w:szCs w:val="22"/>
          </w:rPr>
          <w:t>the TGA's risk management approach</w:t>
        </w:r>
      </w:hyperlink>
      <w:r w:rsidRPr="00BD5DBD">
        <w:t xml:space="preserve">. Information on the </w:t>
      </w:r>
      <w:hyperlink r:id="rId39" w:history="1">
        <w:r w:rsidRPr="00BD5DBD">
          <w:rPr>
            <w:rStyle w:val="Hyperlink"/>
            <w:szCs w:val="22"/>
          </w:rPr>
          <w:t>Australia</w:t>
        </w:r>
        <w:r>
          <w:rPr>
            <w:rStyle w:val="Hyperlink"/>
            <w:szCs w:val="22"/>
          </w:rPr>
          <w:t>-</w:t>
        </w:r>
        <w:r w:rsidRPr="00BD5DBD">
          <w:rPr>
            <w:rStyle w:val="Hyperlink"/>
            <w:szCs w:val="22"/>
          </w:rPr>
          <w:t>specific annex</w:t>
        </w:r>
      </w:hyperlink>
      <w:r w:rsidRPr="00BD5DBD">
        <w:t xml:space="preserve"> (</w:t>
      </w:r>
      <w:hyperlink r:id="rId40" w:history="1">
        <w:r w:rsidRPr="00BD5DBD">
          <w:rPr>
            <w:rStyle w:val="Hyperlink"/>
            <w:szCs w:val="22"/>
          </w:rPr>
          <w:t>ASA</w:t>
        </w:r>
      </w:hyperlink>
      <w:r w:rsidRPr="00BD5DBD">
        <w:t>) can be found on the TGA website.</w:t>
      </w:r>
    </w:p>
    <w:p w14:paraId="1D569B26" w14:textId="77777777" w:rsidR="00B0602B" w:rsidRDefault="00B0602B" w:rsidP="00B0602B">
      <w:pPr>
        <w:pStyle w:val="ListBullet"/>
        <w:numPr>
          <w:ilvl w:val="0"/>
          <w:numId w:val="0"/>
        </w:numPr>
        <w:ind w:left="360" w:hanging="360"/>
      </w:pPr>
    </w:p>
    <w:p w14:paraId="23A73C70" w14:textId="7EBA5F0D" w:rsidR="00BA58F2" w:rsidRDefault="00BA58F2" w:rsidP="00163E66">
      <w:pPr>
        <w:pStyle w:val="TableTitle"/>
      </w:pPr>
      <w:r w:rsidRPr="001D3E05">
        <w:lastRenderedPageBreak/>
        <w:t>Table 1</w:t>
      </w:r>
      <w:r w:rsidR="006B6A4A">
        <w:t>6.</w:t>
      </w:r>
      <w:r w:rsidRPr="001D3E05">
        <w:t xml:space="preserve"> Planned additional pharmacovigilance activities</w:t>
      </w:r>
      <w:r w:rsidR="006B6A4A">
        <w:t>.</w:t>
      </w:r>
    </w:p>
    <w:tbl>
      <w:tblPr>
        <w:tblStyle w:val="TableTGAblue2023"/>
        <w:tblW w:w="9351" w:type="dxa"/>
        <w:tblLook w:val="04A0" w:firstRow="1" w:lastRow="0" w:firstColumn="1" w:lastColumn="0" w:noHBand="0" w:noVBand="1"/>
      </w:tblPr>
      <w:tblGrid>
        <w:gridCol w:w="1960"/>
        <w:gridCol w:w="1802"/>
        <w:gridCol w:w="3474"/>
        <w:gridCol w:w="2115"/>
      </w:tblGrid>
      <w:tr w:rsidR="00EE1E95" w:rsidRPr="00EE1E95" w14:paraId="737DF2D3" w14:textId="77777777" w:rsidTr="00030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275150E1" w14:textId="29A8F064" w:rsidR="00EE1E95" w:rsidRPr="000303A0" w:rsidRDefault="00EE1E95" w:rsidP="00D93C1D">
            <w:r w:rsidRPr="000303A0">
              <w:t>Safety Concern</w:t>
            </w:r>
          </w:p>
        </w:tc>
        <w:tc>
          <w:tcPr>
            <w:tcW w:w="1812" w:type="dxa"/>
          </w:tcPr>
          <w:p w14:paraId="7598A159" w14:textId="77777777" w:rsidR="00EE1E95" w:rsidRPr="000303A0" w:rsidRDefault="00EE1E95" w:rsidP="00D93C1D">
            <w:pPr>
              <w:cnfStyle w:val="100000000000" w:firstRow="1" w:lastRow="0" w:firstColumn="0" w:lastColumn="0" w:oddVBand="0" w:evenVBand="0" w:oddHBand="0" w:evenHBand="0" w:firstRowFirstColumn="0" w:firstRowLastColumn="0" w:lastRowFirstColumn="0" w:lastRowLastColumn="0"/>
            </w:pPr>
            <w:r w:rsidRPr="000303A0">
              <w:t>Additional activity</w:t>
            </w:r>
          </w:p>
        </w:tc>
        <w:tc>
          <w:tcPr>
            <w:tcW w:w="3574" w:type="dxa"/>
          </w:tcPr>
          <w:p w14:paraId="7B72DCD2" w14:textId="77777777" w:rsidR="00EE1E95" w:rsidRPr="000303A0" w:rsidRDefault="00EE1E95" w:rsidP="00D93C1D">
            <w:pPr>
              <w:cnfStyle w:val="100000000000" w:firstRow="1" w:lastRow="0" w:firstColumn="0" w:lastColumn="0" w:oddVBand="0" w:evenVBand="0" w:oddHBand="0" w:evenHBand="0" w:firstRowFirstColumn="0" w:firstRowLastColumn="0" w:lastRowFirstColumn="0" w:lastRowLastColumn="0"/>
            </w:pPr>
            <w:r w:rsidRPr="000303A0">
              <w:t>Proposed actions/ outcomes</w:t>
            </w:r>
          </w:p>
        </w:tc>
        <w:tc>
          <w:tcPr>
            <w:tcW w:w="1997" w:type="dxa"/>
          </w:tcPr>
          <w:p w14:paraId="008E707C" w14:textId="77777777" w:rsidR="00EE1E95" w:rsidRPr="000303A0" w:rsidRDefault="00EE1E95" w:rsidP="00D93C1D">
            <w:pPr>
              <w:cnfStyle w:val="100000000000" w:firstRow="1" w:lastRow="0" w:firstColumn="0" w:lastColumn="0" w:oddVBand="0" w:evenVBand="0" w:oddHBand="0" w:evenHBand="0" w:firstRowFirstColumn="0" w:firstRowLastColumn="0" w:lastRowFirstColumn="0" w:lastRowLastColumn="0"/>
            </w:pPr>
            <w:r w:rsidRPr="000303A0">
              <w:t>Planned submission date</w:t>
            </w:r>
          </w:p>
        </w:tc>
      </w:tr>
      <w:tr w:rsidR="00EE1E95" w:rsidRPr="00EE1E95" w14:paraId="514A37EF" w14:textId="77777777" w:rsidTr="000303A0">
        <w:tc>
          <w:tcPr>
            <w:cnfStyle w:val="001000000000" w:firstRow="0" w:lastRow="0" w:firstColumn="1" w:lastColumn="0" w:oddVBand="0" w:evenVBand="0" w:oddHBand="0" w:evenHBand="0" w:firstRowFirstColumn="0" w:firstRowLastColumn="0" w:lastRowFirstColumn="0" w:lastRowLastColumn="0"/>
            <w:tcW w:w="9351" w:type="dxa"/>
            <w:gridSpan w:val="4"/>
          </w:tcPr>
          <w:p w14:paraId="41D9882F" w14:textId="77777777" w:rsidR="00EE1E95" w:rsidRPr="00DE4F31" w:rsidRDefault="00EE1E95" w:rsidP="00D93C1D">
            <w:pPr>
              <w:rPr>
                <w:bCs/>
              </w:rPr>
            </w:pPr>
            <w:r w:rsidRPr="00DE4F31">
              <w:rPr>
                <w:bCs/>
              </w:rPr>
              <w:t>Ongoing studies</w:t>
            </w:r>
          </w:p>
        </w:tc>
      </w:tr>
      <w:tr w:rsidR="00EE1E95" w:rsidRPr="00EE1E95" w14:paraId="00DB42AE" w14:textId="77777777" w:rsidTr="000303A0">
        <w:tc>
          <w:tcPr>
            <w:cnfStyle w:val="001000000000" w:firstRow="0" w:lastRow="0" w:firstColumn="1" w:lastColumn="0" w:oddVBand="0" w:evenVBand="0" w:oddHBand="0" w:evenHBand="0" w:firstRowFirstColumn="0" w:firstRowLastColumn="0" w:lastRowFirstColumn="0" w:lastRowLastColumn="0"/>
            <w:tcW w:w="1968" w:type="dxa"/>
          </w:tcPr>
          <w:p w14:paraId="2750A2E5" w14:textId="77777777" w:rsidR="00EE1E95" w:rsidRPr="000303A0" w:rsidRDefault="00EE1E95" w:rsidP="00D93C1D">
            <w:r w:rsidRPr="000303A0">
              <w:t>• Hepatotoxicity</w:t>
            </w:r>
          </w:p>
          <w:p w14:paraId="5B85E137" w14:textId="77777777" w:rsidR="00EE1E95" w:rsidRPr="000303A0" w:rsidRDefault="00EE1E95" w:rsidP="00D93C1D">
            <w:r w:rsidRPr="000303A0">
              <w:t>• Cataract</w:t>
            </w:r>
          </w:p>
          <w:p w14:paraId="3A1DD366" w14:textId="77777777" w:rsidR="00EE1E95" w:rsidRPr="000303A0" w:rsidRDefault="00EE1E95" w:rsidP="00D93C1D">
            <w:r w:rsidRPr="000303A0">
              <w:t>• Long-term safety</w:t>
            </w:r>
          </w:p>
        </w:tc>
        <w:tc>
          <w:tcPr>
            <w:tcW w:w="1812" w:type="dxa"/>
          </w:tcPr>
          <w:p w14:paraId="489F9022" w14:textId="349CAFBD"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Open- label</w:t>
            </w:r>
            <w:r w:rsidR="00DF2CF8">
              <w:t xml:space="preserve"> </w:t>
            </w:r>
            <w:r w:rsidRPr="000303A0">
              <w:t>extension study</w:t>
            </w:r>
            <w:r w:rsidR="00DF2CF8">
              <w:t xml:space="preserve"> </w:t>
            </w:r>
            <w:r w:rsidRPr="000303A0">
              <w:t>in CF subjects</w:t>
            </w:r>
            <w:r w:rsidR="00DF2CF8">
              <w:t xml:space="preserve"> </w:t>
            </w:r>
            <w:r w:rsidRPr="000303A0">
              <w:t>ages 12 years and older (Study 104)</w:t>
            </w:r>
          </w:p>
        </w:tc>
        <w:tc>
          <w:tcPr>
            <w:tcW w:w="3574" w:type="dxa"/>
          </w:tcPr>
          <w:p w14:paraId="2C693C33" w14:textId="77777777"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Primary Objective:</w:t>
            </w:r>
          </w:p>
          <w:p w14:paraId="5207B315" w14:textId="77777777" w:rsidR="003921A9" w:rsidRDefault="00EE1E95" w:rsidP="00D93C1D">
            <w:pPr>
              <w:cnfStyle w:val="000000000000" w:firstRow="0" w:lastRow="0" w:firstColumn="0" w:lastColumn="0" w:oddVBand="0" w:evenVBand="0" w:oddHBand="0" w:evenHBand="0" w:firstRowFirstColumn="0" w:firstRowLastColumn="0" w:lastRowFirstColumn="0" w:lastRowLastColumn="0"/>
            </w:pPr>
            <w:r w:rsidRPr="000303A0">
              <w:t>• To evaluate the long-term safety and tolerability of VNZ/TEZ/D-IVA</w:t>
            </w:r>
            <w:r w:rsidR="003921A9">
              <w:t xml:space="preserve"> </w:t>
            </w:r>
          </w:p>
          <w:p w14:paraId="4BE59B18" w14:textId="081613F1"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Secondary Objective:</w:t>
            </w:r>
          </w:p>
          <w:p w14:paraId="2041C22F" w14:textId="4FE540D6"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 To evaluate the long-term</w:t>
            </w:r>
            <w:r w:rsidR="00787789">
              <w:t xml:space="preserve"> </w:t>
            </w:r>
            <w:r w:rsidRPr="000303A0">
              <w:t>efficacy of VNZ/TEZ/D-IVA</w:t>
            </w:r>
          </w:p>
        </w:tc>
        <w:tc>
          <w:tcPr>
            <w:tcW w:w="1997" w:type="dxa"/>
          </w:tcPr>
          <w:p w14:paraId="15C34FDB" w14:textId="37A1D889"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Final report</w:t>
            </w:r>
            <w:r w:rsidR="00EF0C5F" w:rsidRPr="000303A0">
              <w:t xml:space="preserve"> </w:t>
            </w:r>
            <w:r w:rsidR="00EF0C5F" w:rsidRPr="006C1CC6">
              <w:rPr>
                <w:bCs/>
              </w:rPr>
              <w:t>upon request</w:t>
            </w:r>
            <w:r w:rsidRPr="006C1CC6">
              <w:rPr>
                <w:bCs/>
              </w:rPr>
              <w:t xml:space="preserve">: </w:t>
            </w:r>
            <w:r w:rsidRPr="006C1CC6">
              <w:rPr>
                <w:bCs/>
              </w:rPr>
              <w:br/>
            </w:r>
            <w:r w:rsidRPr="000303A0">
              <w:t xml:space="preserve">31 </w:t>
            </w:r>
            <w:r w:rsidR="00056883">
              <w:t>July</w:t>
            </w:r>
            <w:r w:rsidRPr="000303A0">
              <w:t xml:space="preserve"> 2026</w:t>
            </w:r>
          </w:p>
        </w:tc>
      </w:tr>
      <w:tr w:rsidR="00EE1E95" w:rsidRPr="00EE1E95" w14:paraId="2CD23225" w14:textId="77777777" w:rsidTr="000303A0">
        <w:tc>
          <w:tcPr>
            <w:cnfStyle w:val="001000000000" w:firstRow="0" w:lastRow="0" w:firstColumn="1" w:lastColumn="0" w:oddVBand="0" w:evenVBand="0" w:oddHBand="0" w:evenHBand="0" w:firstRowFirstColumn="0" w:firstRowLastColumn="0" w:lastRowFirstColumn="0" w:lastRowLastColumn="0"/>
            <w:tcW w:w="1968" w:type="dxa"/>
          </w:tcPr>
          <w:p w14:paraId="7699B093" w14:textId="77777777" w:rsidR="00EE1E95" w:rsidRPr="000303A0" w:rsidRDefault="00EE1E95" w:rsidP="00D93C1D">
            <w:r w:rsidRPr="000303A0">
              <w:t>• Hepatotoxicity</w:t>
            </w:r>
          </w:p>
          <w:p w14:paraId="0117ED6B" w14:textId="77777777" w:rsidR="00EE1E95" w:rsidRPr="000303A0" w:rsidRDefault="00EE1E95" w:rsidP="00D93C1D">
            <w:r w:rsidRPr="000303A0">
              <w:t>• Cataract</w:t>
            </w:r>
          </w:p>
          <w:p w14:paraId="0DFBE430" w14:textId="77777777" w:rsidR="00EE1E95" w:rsidRPr="000303A0" w:rsidRDefault="00EE1E95" w:rsidP="00D93C1D">
            <w:r w:rsidRPr="000303A0">
              <w:t>• Long-term safety</w:t>
            </w:r>
          </w:p>
          <w:p w14:paraId="136DAF67" w14:textId="77777777" w:rsidR="00EE1E95" w:rsidRPr="000303A0" w:rsidRDefault="00EE1E95" w:rsidP="00D93C1D">
            <w:r w:rsidRPr="000303A0">
              <w:t>• Use in children aged 6 to 11 years of age</w:t>
            </w:r>
          </w:p>
        </w:tc>
        <w:tc>
          <w:tcPr>
            <w:tcW w:w="1812" w:type="dxa"/>
          </w:tcPr>
          <w:p w14:paraId="4CA4047A" w14:textId="7B682D47" w:rsidR="00EE1E95" w:rsidRPr="000303A0" w:rsidRDefault="00EE1E95" w:rsidP="004476EF">
            <w:pPr>
              <w:cnfStyle w:val="000000000000" w:firstRow="0" w:lastRow="0" w:firstColumn="0" w:lastColumn="0" w:oddVBand="0" w:evenVBand="0" w:oddHBand="0" w:evenHBand="0" w:firstRowFirstColumn="0" w:firstRowLastColumn="0" w:lastRowFirstColumn="0" w:lastRowLastColumn="0"/>
            </w:pPr>
            <w:r w:rsidRPr="000303A0">
              <w:t>Open-label extension study</w:t>
            </w:r>
            <w:r w:rsidR="00DF2CF8">
              <w:t xml:space="preserve"> </w:t>
            </w:r>
            <w:r w:rsidRPr="000303A0">
              <w:t>in CF subjects</w:t>
            </w:r>
            <w:r w:rsidR="00DF2CF8">
              <w:t xml:space="preserve"> </w:t>
            </w:r>
            <w:r w:rsidRPr="000303A0">
              <w:t>ages 1 to 11 years</w:t>
            </w:r>
            <w:r w:rsidR="00DF2CF8">
              <w:t xml:space="preserve"> </w:t>
            </w:r>
            <w:r w:rsidRPr="000303A0">
              <w:t>(Study 106)</w:t>
            </w:r>
          </w:p>
        </w:tc>
        <w:tc>
          <w:tcPr>
            <w:tcW w:w="3574" w:type="dxa"/>
          </w:tcPr>
          <w:p w14:paraId="4B4C939D" w14:textId="77777777"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Primary Objective:</w:t>
            </w:r>
          </w:p>
          <w:p w14:paraId="27F2530C" w14:textId="77777777" w:rsidR="003921A9" w:rsidRDefault="00EE1E95" w:rsidP="00D93C1D">
            <w:pPr>
              <w:cnfStyle w:val="000000000000" w:firstRow="0" w:lastRow="0" w:firstColumn="0" w:lastColumn="0" w:oddVBand="0" w:evenVBand="0" w:oddHBand="0" w:evenHBand="0" w:firstRowFirstColumn="0" w:firstRowLastColumn="0" w:lastRowFirstColumn="0" w:lastRowLastColumn="0"/>
            </w:pPr>
            <w:r w:rsidRPr="000303A0">
              <w:t>• To evaluate the long-term safety and tolerability of VNZ/TEZ/D-IVA</w:t>
            </w:r>
          </w:p>
          <w:p w14:paraId="300FA7C9" w14:textId="537E1B83"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Secondary Objective:</w:t>
            </w:r>
          </w:p>
          <w:p w14:paraId="63A48B81" w14:textId="77777777"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 To evaluate the long-term efficacy of VNZ/TEZ/D-IVA</w:t>
            </w:r>
          </w:p>
        </w:tc>
        <w:tc>
          <w:tcPr>
            <w:tcW w:w="1997" w:type="dxa"/>
          </w:tcPr>
          <w:p w14:paraId="3A88CAA0" w14:textId="6D52EAF0"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Final report</w:t>
            </w:r>
            <w:r w:rsidR="00462E58" w:rsidRPr="000303A0">
              <w:t xml:space="preserve"> </w:t>
            </w:r>
            <w:r w:rsidR="00462E58" w:rsidRPr="006C1CC6">
              <w:rPr>
                <w:bCs/>
              </w:rPr>
              <w:t>upon request</w:t>
            </w:r>
            <w:r w:rsidRPr="006C1CC6">
              <w:rPr>
                <w:bCs/>
              </w:rPr>
              <w:t>:</w:t>
            </w:r>
            <w:r w:rsidRPr="006C1CC6">
              <w:rPr>
                <w:bCs/>
              </w:rPr>
              <w:br/>
            </w:r>
            <w:r w:rsidRPr="000303A0">
              <w:t>3</w:t>
            </w:r>
            <w:r w:rsidR="003921A9">
              <w:t>1</w:t>
            </w:r>
            <w:r w:rsidRPr="000303A0">
              <w:t xml:space="preserve"> </w:t>
            </w:r>
            <w:r w:rsidR="00056883">
              <w:t>May</w:t>
            </w:r>
            <w:r w:rsidRPr="000303A0">
              <w:t xml:space="preserve"> 2030</w:t>
            </w:r>
          </w:p>
        </w:tc>
      </w:tr>
      <w:tr w:rsidR="00EE1E95" w:rsidRPr="00EE1E95" w14:paraId="56FA2E62" w14:textId="77777777" w:rsidTr="000303A0">
        <w:tc>
          <w:tcPr>
            <w:cnfStyle w:val="001000000000" w:firstRow="0" w:lastRow="0" w:firstColumn="1" w:lastColumn="0" w:oddVBand="0" w:evenVBand="0" w:oddHBand="0" w:evenHBand="0" w:firstRowFirstColumn="0" w:firstRowLastColumn="0" w:lastRowFirstColumn="0" w:lastRowLastColumn="0"/>
            <w:tcW w:w="9351" w:type="dxa"/>
            <w:gridSpan w:val="4"/>
          </w:tcPr>
          <w:p w14:paraId="16DA7D00" w14:textId="77777777" w:rsidR="00EE1E95" w:rsidRPr="00DE4F31" w:rsidRDefault="00EE1E95" w:rsidP="00D93C1D">
            <w:pPr>
              <w:rPr>
                <w:bCs/>
              </w:rPr>
            </w:pPr>
            <w:r w:rsidRPr="00DE4F31">
              <w:rPr>
                <w:bCs/>
              </w:rPr>
              <w:t>Planned Studies</w:t>
            </w:r>
          </w:p>
        </w:tc>
      </w:tr>
      <w:tr w:rsidR="00EE1E95" w:rsidRPr="00EE1E95" w14:paraId="6180D634" w14:textId="77777777" w:rsidTr="000303A0">
        <w:tc>
          <w:tcPr>
            <w:cnfStyle w:val="001000000000" w:firstRow="0" w:lastRow="0" w:firstColumn="1" w:lastColumn="0" w:oddVBand="0" w:evenVBand="0" w:oddHBand="0" w:evenHBand="0" w:firstRowFirstColumn="0" w:firstRowLastColumn="0" w:lastRowFirstColumn="0" w:lastRowLastColumn="0"/>
            <w:tcW w:w="1968" w:type="dxa"/>
          </w:tcPr>
          <w:p w14:paraId="56D24715" w14:textId="77777777" w:rsidR="00EE1E95" w:rsidRPr="000303A0" w:rsidRDefault="00EE1E95" w:rsidP="00D93C1D">
            <w:r w:rsidRPr="000303A0">
              <w:t>•Hepatotoxicity</w:t>
            </w:r>
          </w:p>
          <w:p w14:paraId="5BFDD688" w14:textId="77777777" w:rsidR="00EE1E95" w:rsidRPr="000303A0" w:rsidRDefault="00EE1E95" w:rsidP="00D93C1D">
            <w:r w:rsidRPr="000303A0">
              <w:t>• Use in pregnant women</w:t>
            </w:r>
          </w:p>
          <w:p w14:paraId="341BFA72" w14:textId="77777777" w:rsidR="00EE1E95" w:rsidRPr="000303A0" w:rsidRDefault="00EE1E95" w:rsidP="00D93C1D">
            <w:r w:rsidRPr="000303A0">
              <w:t>• Long-term safety</w:t>
            </w:r>
          </w:p>
          <w:p w14:paraId="3063B57E" w14:textId="77777777" w:rsidR="00EE1E95" w:rsidRPr="000303A0" w:rsidRDefault="00EE1E95" w:rsidP="00D93C1D">
            <w:r w:rsidRPr="000303A0">
              <w:t>• Use in patients with moderate or severe hepatic impairment</w:t>
            </w:r>
          </w:p>
          <w:p w14:paraId="7C366096" w14:textId="77777777" w:rsidR="00EE1E95" w:rsidRPr="000303A0" w:rsidRDefault="00EE1E95" w:rsidP="00D93C1D">
            <w:r w:rsidRPr="000303A0">
              <w:t>• Use in children aged 6 to 11 years</w:t>
            </w:r>
          </w:p>
        </w:tc>
        <w:tc>
          <w:tcPr>
            <w:tcW w:w="1812" w:type="dxa"/>
          </w:tcPr>
          <w:p w14:paraId="148226D6" w14:textId="726F0EE3"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Post-authorisation Efficacy Study</w:t>
            </w:r>
            <w:r w:rsidR="00DF2CF8">
              <w:t xml:space="preserve"> </w:t>
            </w:r>
            <w:r w:rsidRPr="000303A0">
              <w:t>(PAES)</w:t>
            </w:r>
          </w:p>
        </w:tc>
        <w:tc>
          <w:tcPr>
            <w:tcW w:w="3574" w:type="dxa"/>
          </w:tcPr>
          <w:p w14:paraId="1BA509D0" w14:textId="3A90F4B1"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To evaluate the safety outcomes, CF disease progression, frequency and</w:t>
            </w:r>
            <w:r w:rsidR="00DF2CF8">
              <w:t xml:space="preserve"> </w:t>
            </w:r>
            <w:r w:rsidRPr="000303A0">
              <w:t>outcome of pregnancy, and drug</w:t>
            </w:r>
            <w:r w:rsidR="00DF2CF8">
              <w:t xml:space="preserve"> </w:t>
            </w:r>
            <w:r w:rsidRPr="000303A0">
              <w:t>utilisation patterns in CF patients taking VNZ/TEZ/D-IVA in the real-world setting</w:t>
            </w:r>
            <w:r w:rsidR="00DF2CF8">
              <w:t>.</w:t>
            </w:r>
          </w:p>
        </w:tc>
        <w:tc>
          <w:tcPr>
            <w:tcW w:w="1997" w:type="dxa"/>
          </w:tcPr>
          <w:p w14:paraId="2576380C" w14:textId="2A4AF37B"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Annual reports</w:t>
            </w:r>
            <w:r w:rsidR="000303A0" w:rsidRPr="000303A0">
              <w:t xml:space="preserve"> </w:t>
            </w:r>
            <w:r w:rsidR="000303A0" w:rsidRPr="006C1CC6">
              <w:rPr>
                <w:bCs/>
              </w:rPr>
              <w:t>upon request</w:t>
            </w:r>
            <w:r w:rsidRPr="000303A0">
              <w:t>:</w:t>
            </w:r>
            <w:r w:rsidRPr="000303A0">
              <w:br/>
              <w:t>31 December</w:t>
            </w:r>
          </w:p>
          <w:p w14:paraId="4350E2C6" w14:textId="77777777"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2026/2027/2028/</w:t>
            </w:r>
          </w:p>
          <w:p w14:paraId="7A7965EE" w14:textId="0C6DFEC1"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2029</w:t>
            </w:r>
          </w:p>
          <w:p w14:paraId="59A6726E" w14:textId="24EF2225" w:rsidR="00EE1E95" w:rsidRPr="000303A0" w:rsidRDefault="00EE1E95" w:rsidP="00D93C1D">
            <w:pPr>
              <w:cnfStyle w:val="000000000000" w:firstRow="0" w:lastRow="0" w:firstColumn="0" w:lastColumn="0" w:oddVBand="0" w:evenVBand="0" w:oddHBand="0" w:evenHBand="0" w:firstRowFirstColumn="0" w:firstRowLastColumn="0" w:lastRowFirstColumn="0" w:lastRowLastColumn="0"/>
            </w:pPr>
            <w:r w:rsidRPr="000303A0">
              <w:t>Final report</w:t>
            </w:r>
            <w:r w:rsidR="000303A0" w:rsidRPr="000303A0">
              <w:t xml:space="preserve"> </w:t>
            </w:r>
            <w:r w:rsidR="000303A0" w:rsidRPr="006C1CC6">
              <w:rPr>
                <w:bCs/>
              </w:rPr>
              <w:t>upon request</w:t>
            </w:r>
            <w:r w:rsidRPr="006C1CC6">
              <w:rPr>
                <w:bCs/>
              </w:rPr>
              <w:t>:</w:t>
            </w:r>
            <w:r w:rsidRPr="006C1CC6">
              <w:rPr>
                <w:bCs/>
              </w:rPr>
              <w:br/>
            </w:r>
            <w:r w:rsidRPr="000303A0">
              <w:t>31 December 2030</w:t>
            </w:r>
          </w:p>
        </w:tc>
      </w:tr>
    </w:tbl>
    <w:p w14:paraId="74A4F87F" w14:textId="7D1CFF69" w:rsidR="00C22214" w:rsidRDefault="000303A0" w:rsidP="00C22214">
      <w:pPr>
        <w:pStyle w:val="Heading3"/>
      </w:pPr>
      <w:bookmarkStart w:id="73" w:name="_Toc227661926"/>
      <w:r>
        <w:t>R</w:t>
      </w:r>
      <w:r w:rsidR="00C22214">
        <w:t>isk-benefit analysis</w:t>
      </w:r>
      <w:bookmarkEnd w:id="70"/>
      <w:bookmarkEnd w:id="71"/>
      <w:bookmarkEnd w:id="72"/>
      <w:bookmarkEnd w:id="73"/>
    </w:p>
    <w:p w14:paraId="77DE2655" w14:textId="77777777" w:rsidR="00C22214" w:rsidRDefault="00C22214" w:rsidP="00C22214">
      <w:pPr>
        <w:pStyle w:val="Heading4"/>
      </w:pPr>
      <w:bookmarkStart w:id="74" w:name="_Toc98931932"/>
      <w:bookmarkStart w:id="75" w:name="_Toc227661927"/>
      <w:r>
        <w:t>Delegate’s considerations</w:t>
      </w:r>
      <w:bookmarkEnd w:id="74"/>
      <w:bookmarkEnd w:id="75"/>
    </w:p>
    <w:p w14:paraId="0D521E5E" w14:textId="77777777" w:rsidR="00283D71" w:rsidRPr="00934AF2" w:rsidRDefault="00283D71" w:rsidP="000D1C81">
      <w:r w:rsidRPr="00934AF2">
        <w:t>Cystic fibrosis (CF) is a chronic progressive disease caused by mutations in the CFTR gene, leading to high morbidity and mortality. The severity of CF is determined by the extent of loss of CFTR-mediated chloride transport. Despite advances in treatment, many people with CF have reduced life expectancy and quality of life.</w:t>
      </w:r>
    </w:p>
    <w:p w14:paraId="2263A583" w14:textId="77777777" w:rsidR="00283D71" w:rsidRPr="00934AF2" w:rsidRDefault="00283D71" w:rsidP="000D1C81">
      <w:r w:rsidRPr="00934AF2">
        <w:t xml:space="preserve">Current treatments for CF include symptomatic therapies and CFTR modulators. Alyftrek (Vanzacaftor/Tezacaftor/Deutivacaftor) is a triple combination regimen composed of three CFTR modulators: vanzacaftor (VNZ), tezacaftor (TEZ), and deutivacaftor (D-IVA). This </w:t>
      </w:r>
      <w:r w:rsidRPr="00934AF2">
        <w:lastRenderedPageBreak/>
        <w:t xml:space="preserve">combination </w:t>
      </w:r>
      <w:r w:rsidRPr="0000468D">
        <w:t>is</w:t>
      </w:r>
      <w:r w:rsidRPr="00934AF2">
        <w:t xml:space="preserve"> administered once daily. VNZ and TEZ bind to different sites on the CFTR protein, facilitating cellular processing and trafficking of select mutant forms, including </w:t>
      </w:r>
      <w:r w:rsidRPr="0000468D">
        <w:t xml:space="preserve">the </w:t>
      </w:r>
      <w:r w:rsidRPr="00934AF2">
        <w:t>F508del</w:t>
      </w:r>
      <w:r w:rsidRPr="0000468D">
        <w:t xml:space="preserve"> mutation, and </w:t>
      </w:r>
      <w:r w:rsidRPr="00934AF2">
        <w:t xml:space="preserve">D-IVA potentiates the channel open probability </w:t>
      </w:r>
      <w:r w:rsidRPr="0000468D">
        <w:t xml:space="preserve">(gating) </w:t>
      </w:r>
      <w:r w:rsidRPr="00934AF2">
        <w:t>of the CFTR protein at the cell surface.</w:t>
      </w:r>
    </w:p>
    <w:p w14:paraId="63D15041" w14:textId="77777777" w:rsidR="00283D71" w:rsidRPr="0000468D" w:rsidRDefault="00283D71" w:rsidP="004539AF">
      <w:pPr>
        <w:pStyle w:val="Heading5"/>
      </w:pPr>
      <w:r w:rsidRPr="0000468D">
        <w:t>Pharmacology</w:t>
      </w:r>
    </w:p>
    <w:p w14:paraId="7000BA42" w14:textId="77777777" w:rsidR="00283D71" w:rsidRPr="0000468D" w:rsidRDefault="00283D71" w:rsidP="004539AF">
      <w:r w:rsidRPr="0000468D">
        <w:t xml:space="preserve">The clinical pharmacology of VNZ/TEZ/D-IVA was characterized using a combination of nonclinical and clinical studies evaluating VNZ and D-IVA monotherapy and the triple combination of VNZ, TEZ, IVA, and/or D-IVA in healthy subjects and/or CF subjects. These data were further supported by prior nonclinical and clinical pharmacology experience with TEZ and IVA from previous development programs for IVA, TEZ/IVA, and ELX/TEZ/IVA. </w:t>
      </w:r>
    </w:p>
    <w:p w14:paraId="66F65E5A" w14:textId="77777777" w:rsidR="00283D71" w:rsidRPr="007D48DB" w:rsidRDefault="00283D71" w:rsidP="004539AF">
      <w:pPr>
        <w:pStyle w:val="Heading5"/>
      </w:pPr>
      <w:r w:rsidRPr="0000468D">
        <w:t>Efficacy</w:t>
      </w:r>
    </w:p>
    <w:p w14:paraId="148E7D96" w14:textId="77777777" w:rsidR="00283D71" w:rsidRPr="0000468D" w:rsidRDefault="00283D71" w:rsidP="004539AF">
      <w:r w:rsidRPr="0000468D">
        <w:t>The main evidence of efficacy and safety was obtained from two pivotal phase 3 trials. Both trials investigated the triple combination vanzacaftor 20 mg /tezacaftor 100 mg /deutivacaftor 250 mg once daily in comparison to the approved triple combination (</w:t>
      </w:r>
      <w:proofErr w:type="spellStart"/>
      <w:r w:rsidRPr="0000468D">
        <w:t>Trikafta</w:t>
      </w:r>
      <w:proofErr w:type="spellEnd"/>
      <w:r w:rsidRPr="0000468D">
        <w:t xml:space="preserve">) </w:t>
      </w:r>
      <w:proofErr w:type="spellStart"/>
      <w:r w:rsidRPr="0000468D">
        <w:t>elexacaftor</w:t>
      </w:r>
      <w:proofErr w:type="spellEnd"/>
      <w:r w:rsidRPr="0000468D">
        <w:t xml:space="preserve"> 200 mg /tezacaftor 100 mg once daily and ivacaftor 150 mg twice per day. Alternative placebo-controlled designs are no longer considered ethically acceptable since ELX/TEZ/IVA is available as standard of care for the included study populations.</w:t>
      </w:r>
    </w:p>
    <w:p w14:paraId="3974A3A2" w14:textId="3873F7E5" w:rsidR="00283D71" w:rsidRPr="0000468D" w:rsidRDefault="00283D71" w:rsidP="004539AF">
      <w:pPr>
        <w:rPr>
          <w:lang w:eastAsia="ja-JP"/>
        </w:rPr>
      </w:pPr>
      <w:r w:rsidRPr="0000468D">
        <w:t xml:space="preserve">The trials had a similar design being a 52-week, randomized, double-blind, active-controlled, parallel-group study in CF patients 12 years and older, but included a different population based on the CFTR genotype. </w:t>
      </w:r>
      <w:r w:rsidRPr="0000468D">
        <w:rPr>
          <w:lang w:eastAsia="ja-JP"/>
        </w:rPr>
        <w:t xml:space="preserve">Study 102 enrolled individuals with cystic fibrosis and a </w:t>
      </w:r>
      <w:r w:rsidRPr="0000468D">
        <w:t>F/MF genotype</w:t>
      </w:r>
      <w:r w:rsidRPr="0000468D">
        <w:rPr>
          <w:lang w:eastAsia="ja-JP"/>
        </w:rPr>
        <w:t xml:space="preserve"> [heterozygous for F508del</w:t>
      </w:r>
      <w:r w:rsidR="00F33589">
        <w:rPr>
          <w:lang w:eastAsia="ja-JP"/>
        </w:rPr>
        <w:t>]</w:t>
      </w:r>
      <w:r w:rsidRPr="0000468D">
        <w:rPr>
          <w:lang w:eastAsia="ja-JP"/>
        </w:rPr>
        <w:t xml:space="preserve"> and a minimal function mutation (F/MF). Study 103 enrolled individuals with cystic fibrosis with F508del-F508del (F/F), F508del-residual function (F/RF), F508del-gating, (F/G) or </w:t>
      </w:r>
      <w:proofErr w:type="spellStart"/>
      <w:r w:rsidRPr="0000468D">
        <w:rPr>
          <w:lang w:eastAsia="ja-JP"/>
        </w:rPr>
        <w:t>elexacaftor</w:t>
      </w:r>
      <w:proofErr w:type="spellEnd"/>
      <w:r w:rsidRPr="0000468D">
        <w:rPr>
          <w:lang w:eastAsia="ja-JP"/>
        </w:rPr>
        <w:t xml:space="preserve">–tezacaftor–ivacaftor-responsive-non-F508del (TCR/non-F) genotypes.  </w:t>
      </w:r>
      <w:r w:rsidRPr="0000468D">
        <w:rPr>
          <w:color w:val="000000" w:themeColor="text1"/>
          <w:lang w:val="en-IE"/>
        </w:rPr>
        <w:t xml:space="preserve">Both pivotal studies had a non-inferiority design using a 3% non-inferiority margin. </w:t>
      </w:r>
      <w:r w:rsidRPr="0000468D">
        <w:t>Since the comparator ELX/TEZ/IVA is already effective in restoring lung function, the primary endpoint was tested for non-inferiority.</w:t>
      </w:r>
    </w:p>
    <w:p w14:paraId="4AB643E9" w14:textId="77777777" w:rsidR="00283D71" w:rsidRPr="0000468D" w:rsidRDefault="00283D71" w:rsidP="004539AF">
      <w:pPr>
        <w:rPr>
          <w:color w:val="000000" w:themeColor="text1"/>
          <w:szCs w:val="22"/>
          <w:lang w:val="en-IE"/>
        </w:rPr>
      </w:pPr>
      <w:r w:rsidRPr="0000468D">
        <w:rPr>
          <w:color w:val="000000" w:themeColor="text1"/>
          <w:szCs w:val="22"/>
        </w:rPr>
        <w:t xml:space="preserve">It is argued that lung function is not useful to discriminate any additional benefit from VNZ/TEZ/D-IVA, due to ceiling effects of both irreversible lung damage and physiological maximum lung function. The key secondary endpoint of </w:t>
      </w:r>
      <w:proofErr w:type="spellStart"/>
      <w:r w:rsidRPr="0000468D">
        <w:rPr>
          <w:color w:val="000000" w:themeColor="text1"/>
          <w:szCs w:val="22"/>
        </w:rPr>
        <w:t>SwCl</w:t>
      </w:r>
      <w:proofErr w:type="spellEnd"/>
      <w:r w:rsidRPr="0000468D">
        <w:rPr>
          <w:color w:val="000000" w:themeColor="text1"/>
          <w:szCs w:val="22"/>
        </w:rPr>
        <w:t xml:space="preserve"> was tested for superiority. The key secondary endpoint was the absolute change from baseline in sweat chloride and the new clinical endpoints of </w:t>
      </w:r>
      <w:r w:rsidRPr="0000468D">
        <w:rPr>
          <w:color w:val="000000" w:themeColor="text1"/>
          <w:szCs w:val="22"/>
          <w:lang w:val="en-IE"/>
        </w:rPr>
        <w:t xml:space="preserve">the proportion of subjects with </w:t>
      </w:r>
      <w:proofErr w:type="spellStart"/>
      <w:r w:rsidRPr="0000468D">
        <w:rPr>
          <w:color w:val="000000" w:themeColor="text1"/>
          <w:szCs w:val="22"/>
          <w:lang w:val="en-IE"/>
        </w:rPr>
        <w:t>SwCl</w:t>
      </w:r>
      <w:proofErr w:type="spellEnd"/>
      <w:r w:rsidRPr="0000468D">
        <w:rPr>
          <w:color w:val="000000" w:themeColor="text1"/>
          <w:szCs w:val="22"/>
          <w:lang w:val="en-IE"/>
        </w:rPr>
        <w:t xml:space="preserve"> &lt;60 mmol/L or &lt;30 mmol/L at week 24 (based on the pooled analysis from Studies 102 and 103).  </w:t>
      </w:r>
      <w:proofErr w:type="spellStart"/>
      <w:r w:rsidRPr="0000468D">
        <w:rPr>
          <w:color w:val="000000" w:themeColor="text1"/>
          <w:szCs w:val="22"/>
        </w:rPr>
        <w:t>SwCl</w:t>
      </w:r>
      <w:proofErr w:type="spellEnd"/>
      <w:r w:rsidRPr="0000468D">
        <w:rPr>
          <w:color w:val="000000" w:themeColor="text1"/>
          <w:szCs w:val="22"/>
        </w:rPr>
        <w:t xml:space="preserve"> outcomes are regarded as supportive for the benefit risk assessment.</w:t>
      </w:r>
    </w:p>
    <w:p w14:paraId="4D58151D" w14:textId="77777777" w:rsidR="00283D71" w:rsidRPr="0000468D" w:rsidRDefault="00283D71" w:rsidP="004539AF">
      <w:pPr>
        <w:rPr>
          <w:szCs w:val="22"/>
        </w:rPr>
      </w:pPr>
      <w:r w:rsidRPr="0000468D">
        <w:rPr>
          <w:szCs w:val="22"/>
          <w:lang w:val="en-IE"/>
        </w:rPr>
        <w:t>The studies design was appropriate, with acceptable inclusion and exclusion criteria, and appropriate clinically important endpoints.</w:t>
      </w:r>
      <w:r w:rsidRPr="0000468D">
        <w:rPr>
          <w:szCs w:val="22"/>
        </w:rPr>
        <w:t xml:space="preserve"> In Studies 102 and 103, demographic and baseline characteristics were generally balanced between the two treatment groups. Subjects were predominantly white, and most were already on </w:t>
      </w:r>
      <w:r w:rsidRPr="007D48DB">
        <w:rPr>
          <w:szCs w:val="22"/>
        </w:rPr>
        <w:t>ELX/TEZ/IVA</w:t>
      </w:r>
      <w:r w:rsidRPr="0000468D">
        <w:rPr>
          <w:szCs w:val="22"/>
        </w:rPr>
        <w:t xml:space="preserve"> prior to study enrolment. In line with the inclusion criteria, study 102 enrolled subjects who were heterozygous for F508del and an MF mutation. A MF mutation has no response to CFTRs; thus, the study data reflects F508del mutation. All (study 102) or most (study 103) had a least one F508del mutation. Only 42 subjects (7.3%) had a TCR/non-F genotype.</w:t>
      </w:r>
    </w:p>
    <w:p w14:paraId="0D3C03CA" w14:textId="77777777" w:rsidR="00283D71" w:rsidRPr="0000468D" w:rsidRDefault="00283D71" w:rsidP="00950ECA">
      <w:r w:rsidRPr="007D48DB">
        <w:t xml:space="preserve">Results demonstrated that VNZ/TEZ/D-IVA was non-inferior to ELX/TEZ/IVA in improving lung function (ppFEV1) with differences </w:t>
      </w:r>
      <w:r w:rsidRPr="0000468D">
        <w:t>of</w:t>
      </w:r>
      <w:r w:rsidRPr="007D48DB">
        <w:t xml:space="preserve"> 0.2–0.3 percentage points. VNZ/TEZ/D-IVA showed statistically significant greater reductions in sweat chloride levels across genotypes, with patients approximately twice as likely to achieve </w:t>
      </w:r>
      <w:proofErr w:type="spellStart"/>
      <w:r w:rsidRPr="007D48DB">
        <w:t>SwCl</w:t>
      </w:r>
      <w:proofErr w:type="spellEnd"/>
      <w:r w:rsidRPr="007D48DB">
        <w:t xml:space="preserve"> &lt;60 mmol/L and nearly three times as likely to reach &lt;30 mmol/L compared to ELX/TEZ/IVA. Subgroup analyses confirmed consistent efficacy regardless of age, baseline lung function, or genotype </w:t>
      </w:r>
      <w:r w:rsidRPr="0000468D">
        <w:t xml:space="preserve">subgroup. For other secondary </w:t>
      </w:r>
      <w:r w:rsidRPr="0000468D">
        <w:lastRenderedPageBreak/>
        <w:t xml:space="preserve">endpoints not investigating effects on </w:t>
      </w:r>
      <w:proofErr w:type="spellStart"/>
      <w:r w:rsidRPr="0000468D">
        <w:t>SwCl</w:t>
      </w:r>
      <w:proofErr w:type="spellEnd"/>
      <w:r w:rsidRPr="0000468D">
        <w:t xml:space="preserve"> (such as rates in </w:t>
      </w:r>
      <w:proofErr w:type="spellStart"/>
      <w:r w:rsidRPr="0000468D">
        <w:t>PEx</w:t>
      </w:r>
      <w:proofErr w:type="spellEnd"/>
      <w:r w:rsidRPr="0000468D">
        <w:t xml:space="preserve">, CFQ-R RD score, ppFEV1 through Week 52 and Nutritional parameters) in both studies, the results were similar between the treatment groups. </w:t>
      </w:r>
    </w:p>
    <w:p w14:paraId="526A20A4" w14:textId="77777777" w:rsidR="00283D71" w:rsidRPr="0000468D" w:rsidRDefault="00283D71" w:rsidP="00950ECA">
      <w:pPr>
        <w:rPr>
          <w:lang w:val="en-US"/>
        </w:rPr>
      </w:pPr>
      <w:r w:rsidRPr="0000468D">
        <w:t xml:space="preserve">In the </w:t>
      </w:r>
      <w:r w:rsidRPr="007D48DB">
        <w:t xml:space="preserve">open-label study (Study 105) </w:t>
      </w:r>
      <w:r w:rsidRPr="0000468D">
        <w:t xml:space="preserve">that </w:t>
      </w:r>
      <w:r w:rsidRPr="007D48DB">
        <w:t>evaluated safety and efficacy in children aged 6-11 years with at least one TCR mutation</w:t>
      </w:r>
      <w:r w:rsidRPr="0000468D">
        <w:t>, the patients had normal lung</w:t>
      </w:r>
      <w:r w:rsidRPr="007D48DB">
        <w:t xml:space="preserve"> function at baseline, which was maintained throughout treatment.</w:t>
      </w:r>
      <w:r w:rsidRPr="0000468D">
        <w:t xml:space="preserve"> T</w:t>
      </w:r>
      <w:r w:rsidRPr="0000468D">
        <w:rPr>
          <w:lang w:val="en-US"/>
        </w:rPr>
        <w:t xml:space="preserve">reatment with VNZ/TEZ/D-IVA resulted in a statistically significant greater reduction in </w:t>
      </w:r>
      <w:proofErr w:type="spellStart"/>
      <w:r w:rsidRPr="0000468D">
        <w:rPr>
          <w:lang w:val="en-US"/>
        </w:rPr>
        <w:t>SwCl</w:t>
      </w:r>
      <w:proofErr w:type="spellEnd"/>
      <w:r w:rsidRPr="0000468D">
        <w:rPr>
          <w:lang w:val="en-US"/>
        </w:rPr>
        <w:t xml:space="preserve"> from baseline through week 24 compared to ELX/TEZ/IVA, with an LS mean treatment difference of -8.4 mmol/L (95% CI: -10.5, -6.3).</w:t>
      </w:r>
    </w:p>
    <w:p w14:paraId="4C731FA0" w14:textId="77777777" w:rsidR="00283D71" w:rsidRPr="007D48DB" w:rsidRDefault="00283D71" w:rsidP="0025316B">
      <w:pPr>
        <w:pStyle w:val="Heading5"/>
      </w:pPr>
      <w:r w:rsidRPr="007D48DB">
        <w:t xml:space="preserve">Safety </w:t>
      </w:r>
    </w:p>
    <w:p w14:paraId="7791141D" w14:textId="77777777" w:rsidR="00283D71" w:rsidRPr="007D48DB" w:rsidRDefault="00283D71" w:rsidP="0025316B">
      <w:r w:rsidRPr="007D48DB">
        <w:t>VNZ/TEZ/D-IVA was generally safe and well tolerated in patients aged six years and older. The overall incidence and types of adverse events (AEs) and serious adverse events (SAEs) were comparable between VNZ/TEZ/D-IVA and ELX/TEZ/IVA treatment groups. Common AEs reflected typical CF manifestations, including pulmonary exacerbations, cough, and upper respiratory infections.</w:t>
      </w:r>
    </w:p>
    <w:p w14:paraId="13BD9852" w14:textId="77777777" w:rsidR="00283D71" w:rsidRPr="007D48DB" w:rsidRDefault="00283D71" w:rsidP="0025316B">
      <w:r w:rsidRPr="007D48DB">
        <w:t xml:space="preserve">Specific treatment-related adverse events included elevated liver transaminases, rash, creatine kinase elevations, and neuropsychiatric events such as anxiety and insomnia. These events were generally manageable, with low rates of treatment discontinuation (~3.8%) and interruptions. No new safety concerns were identified in long-term open-label extension studies, although data in </w:t>
      </w:r>
      <w:r w:rsidRPr="0000468D">
        <w:t>paediatric</w:t>
      </w:r>
      <w:r w:rsidRPr="007D48DB">
        <w:t xml:space="preserve"> patients remain limited due to smaller sample size</w:t>
      </w:r>
      <w:r w:rsidRPr="0000468D">
        <w:t>.</w:t>
      </w:r>
    </w:p>
    <w:p w14:paraId="6B8937F6" w14:textId="77777777" w:rsidR="00283D71" w:rsidRPr="0000468D" w:rsidRDefault="00283D71" w:rsidP="003358AB">
      <w:pPr>
        <w:pStyle w:val="Heading5"/>
      </w:pPr>
      <w:r w:rsidRPr="007D48DB">
        <w:t>Limitations and Uncertainties</w:t>
      </w:r>
    </w:p>
    <w:p w14:paraId="0A34BEB9" w14:textId="77777777" w:rsidR="00283D71" w:rsidRPr="0000468D" w:rsidRDefault="00283D71" w:rsidP="00D203B1">
      <w:pPr>
        <w:pStyle w:val="ListBullet"/>
      </w:pPr>
      <w:r w:rsidRPr="0000468D">
        <w:t xml:space="preserve">Data in CFTR modulator treatment naïve patients is not available. Subjects who had a history of intolerance to ELX/TEZ/IVA or VNZ/TEZ/D-IVA were not eligible to enrol in studies 102 and 103. </w:t>
      </w:r>
    </w:p>
    <w:p w14:paraId="2485777B" w14:textId="77777777" w:rsidR="00283D71" w:rsidRPr="0000468D" w:rsidRDefault="00283D71" w:rsidP="00D203B1">
      <w:pPr>
        <w:pStyle w:val="ListBullet"/>
      </w:pPr>
      <w:r w:rsidRPr="00422587">
        <w:t>Most patients in the clinical studies were white. While</w:t>
      </w:r>
      <w:r w:rsidRPr="0000468D">
        <w:t xml:space="preserve"> CF has historically been more prevalent among people of European decent, it is increasingly being diagnosed in other populations and cultures around the world, and the types of mutations may be different.</w:t>
      </w:r>
    </w:p>
    <w:p w14:paraId="2F456CF8" w14:textId="77777777" w:rsidR="00283D71" w:rsidRPr="0000468D" w:rsidRDefault="00283D71" w:rsidP="00D203B1">
      <w:pPr>
        <w:pStyle w:val="ListBullet"/>
      </w:pPr>
      <w:r w:rsidRPr="0000468D">
        <w:rPr>
          <w:lang w:eastAsia="en-GB"/>
        </w:rPr>
        <w:t>Although no new safety concerns were identified in an interim analysis of studies 104 and 106, long term safety data remains limited in adults and very limited in the paediatric population.</w:t>
      </w:r>
    </w:p>
    <w:p w14:paraId="15724448" w14:textId="77777777" w:rsidR="00283D71" w:rsidRPr="0000468D" w:rsidRDefault="00283D71" w:rsidP="00B07650">
      <w:pPr>
        <w:pStyle w:val="ListBullet"/>
      </w:pPr>
      <w:r w:rsidRPr="0000468D">
        <w:rPr>
          <w:lang w:eastAsia="en-GB"/>
        </w:rPr>
        <w:t xml:space="preserve">Data is limited for those patients who have </w:t>
      </w:r>
      <w:r w:rsidRPr="007D48DB">
        <w:t>non-F508del mutations</w:t>
      </w:r>
      <w:r w:rsidRPr="0000468D">
        <w:t xml:space="preserve">. </w:t>
      </w:r>
    </w:p>
    <w:p w14:paraId="5BB23DFE" w14:textId="77777777" w:rsidR="00283D71" w:rsidRPr="0000468D" w:rsidRDefault="00283D71" w:rsidP="00B07650">
      <w:pPr>
        <w:pStyle w:val="ListBullet"/>
      </w:pPr>
      <w:r w:rsidRPr="0000468D">
        <w:t>Long term efficacy including prevention of deterioration in pulmonary function had not been studied. Furthermore, studies specifically looking at pancreatic function, other clinical manifestations of CF are unknown.</w:t>
      </w:r>
    </w:p>
    <w:p w14:paraId="6001302F" w14:textId="77777777" w:rsidR="00283D71" w:rsidRPr="0000468D" w:rsidRDefault="00283D71" w:rsidP="00B07650">
      <w:pPr>
        <w:pStyle w:val="ListBullet"/>
        <w:rPr>
          <w:b/>
          <w:bCs/>
        </w:rPr>
      </w:pPr>
      <w:r w:rsidRPr="0000468D">
        <w:t>Not all mutations carry the same risk of disease in people, and consequentially for some risk benefit of CFTR modulators may be less favourable. The issues of excluding people where there may be benefit, vs reducing risk to the person, and the cost to the community need to be balanced appropriately, which is likely difficult in given the complexity of the CFTR mutation landscape.</w:t>
      </w:r>
    </w:p>
    <w:p w14:paraId="3916F296" w14:textId="175A0FC0" w:rsidR="00C22214" w:rsidRDefault="00283D71" w:rsidP="00710C70">
      <w:pPr>
        <w:pStyle w:val="Heading5"/>
      </w:pPr>
      <w:r w:rsidRPr="00283D71">
        <w:t>Conclusion</w:t>
      </w:r>
    </w:p>
    <w:p w14:paraId="25E8DA07" w14:textId="77777777" w:rsidR="00C54FD7" w:rsidRPr="0000468D" w:rsidRDefault="00C54FD7" w:rsidP="00B07650">
      <w:r w:rsidRPr="0000468D">
        <w:t xml:space="preserve">VNZ/ TEZ/ D-IVA has a favourable benefit-risk balance in the proposed usage.  Non-inferiority has been demonstrated in comparison with ELX/ TEZ/ IVA.  The adverse event profiles for the two treatments are similar.  The benefits are clinically meaningful.  In addition, VNZ/ TEZ/ D-IVA offers the benefit of a single, once daily, FDC treatment. </w:t>
      </w:r>
    </w:p>
    <w:p w14:paraId="7100FA8F" w14:textId="7AEDC43A" w:rsidR="00C54FD7" w:rsidRPr="0000468D" w:rsidRDefault="00C54FD7" w:rsidP="00B07650">
      <w:r w:rsidRPr="0000468D">
        <w:lastRenderedPageBreak/>
        <w:t>The delegate is inclined to approve this submission pending ACM advice and satisfactory negotiation of the PI, CMI and the conditions of registration.</w:t>
      </w:r>
    </w:p>
    <w:p w14:paraId="4D992CBF" w14:textId="77777777" w:rsidR="00C54FD7" w:rsidRPr="0000468D" w:rsidRDefault="00C54FD7" w:rsidP="00B07650">
      <w:r w:rsidRPr="0000468D">
        <w:t>If approved the proposed indication is:</w:t>
      </w:r>
    </w:p>
    <w:p w14:paraId="08566B57" w14:textId="77777777" w:rsidR="00C54FD7" w:rsidRPr="004B3D5E" w:rsidRDefault="00C54FD7" w:rsidP="00B66113">
      <w:pPr>
        <w:ind w:left="720"/>
        <w:rPr>
          <w:i/>
          <w:iCs/>
          <w:color w:val="000000"/>
          <w:lang w:val="en-US"/>
        </w:rPr>
      </w:pPr>
      <w:r w:rsidRPr="004B3D5E">
        <w:rPr>
          <w:i/>
          <w:iCs/>
          <w:lang w:val="en-NZ" w:eastAsia="ja-JP"/>
        </w:rPr>
        <w:t xml:space="preserve">VNZ/TEZ/D-IVA </w:t>
      </w:r>
      <w:r w:rsidRPr="004B3D5E">
        <w:rPr>
          <w:i/>
          <w:iCs/>
          <w:color w:val="000000"/>
          <w:lang w:val="en-US"/>
        </w:rPr>
        <w:t>is indicated for the treatment of those who meet the diagnostic criteria of cystic fibrosis (CF) in patients aged 6 years and older who have at least one non-Class 1 mutation in the cystic fibrosis transmembrane conductance regulator (CFTR) gene that is responsive, based on clinical study or in vitro evidence.</w:t>
      </w:r>
    </w:p>
    <w:p w14:paraId="318CFABC" w14:textId="77777777" w:rsidR="00C22214" w:rsidRPr="00F73346" w:rsidRDefault="00C22214" w:rsidP="00C22214">
      <w:pPr>
        <w:pStyle w:val="Heading4"/>
      </w:pPr>
      <w:bookmarkStart w:id="76" w:name="_Toc98931936"/>
      <w:bookmarkStart w:id="77" w:name="_Toc227661928"/>
      <w:bookmarkStart w:id="78" w:name="_Toc247691532"/>
      <w:bookmarkStart w:id="79" w:name="_Toc314842516"/>
      <w:r w:rsidRPr="00F73346">
        <w:t>Advisory Committee considerations</w:t>
      </w:r>
      <w:bookmarkEnd w:id="76"/>
      <w:bookmarkEnd w:id="77"/>
    </w:p>
    <w:p w14:paraId="087BB9CB" w14:textId="14CA0CD5" w:rsidR="00C22214" w:rsidRPr="00BD5DBD" w:rsidRDefault="00C22214" w:rsidP="00C22214">
      <w:pPr>
        <w:rPr>
          <w:bCs/>
          <w:szCs w:val="22"/>
        </w:rPr>
      </w:pPr>
      <w:r w:rsidRPr="00BD5DBD">
        <w:rPr>
          <w:bCs/>
          <w:szCs w:val="22"/>
        </w:rPr>
        <w:t xml:space="preserve">The </w:t>
      </w:r>
      <w:hyperlink r:id="rId41" w:history="1">
        <w:r w:rsidRPr="00BD5DBD">
          <w:rPr>
            <w:rStyle w:val="Hyperlink"/>
            <w:szCs w:val="22"/>
          </w:rPr>
          <w:t>Advisory Committee on Medicines (ACM)</w:t>
        </w:r>
      </w:hyperlink>
      <w:r w:rsidR="00B66113">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4878552B" w14:textId="77777777" w:rsidR="006A04FF" w:rsidRPr="006A04FF" w:rsidRDefault="006A04FF" w:rsidP="006A04FF">
      <w:r w:rsidRPr="006A04FF">
        <w:t xml:space="preserve">The ACM advised the following in response to the Delegate’s specific request for advice: </w:t>
      </w:r>
    </w:p>
    <w:p w14:paraId="4B6829D6" w14:textId="01FAA499" w:rsidR="006A04FF" w:rsidRPr="00EC3FD1" w:rsidRDefault="006A04FF" w:rsidP="00EC3FD1">
      <w:pPr>
        <w:pStyle w:val="Numberbullet0"/>
        <w:numPr>
          <w:ilvl w:val="0"/>
          <w:numId w:val="40"/>
        </w:numPr>
        <w:rPr>
          <w:b/>
          <w:bCs/>
          <w:i/>
          <w:iCs/>
        </w:rPr>
      </w:pPr>
      <w:r w:rsidRPr="00EC3FD1">
        <w:rPr>
          <w:b/>
          <w:bCs/>
          <w:i/>
          <w:iCs/>
        </w:rPr>
        <w:t xml:space="preserve">What is the ACMs advice regarding whether to approve/not approve the registration of </w:t>
      </w:r>
      <w:r w:rsidR="00EC3FD1">
        <w:rPr>
          <w:b/>
          <w:bCs/>
          <w:i/>
          <w:iCs/>
        </w:rPr>
        <w:t>Alyftrek</w:t>
      </w:r>
      <w:r w:rsidRPr="00EC3FD1">
        <w:rPr>
          <w:b/>
          <w:bCs/>
          <w:i/>
          <w:iCs/>
        </w:rPr>
        <w:t xml:space="preserve">? </w:t>
      </w:r>
    </w:p>
    <w:p w14:paraId="59DC1959" w14:textId="7DB74EAB" w:rsidR="006A04FF" w:rsidRPr="006A04FF" w:rsidRDefault="006A04FF" w:rsidP="00EC3FD1">
      <w:r w:rsidRPr="006A04FF">
        <w:t xml:space="preserve">After reviewing the evidence from the pivotal studies, the ACM advised that the efficacy of </w:t>
      </w:r>
      <w:r w:rsidR="00EC3FD1">
        <w:t>Alyftrek</w:t>
      </w:r>
      <w:r w:rsidRPr="006A04FF">
        <w:t xml:space="preserve"> is well established. The ACM recommended the approval of </w:t>
      </w:r>
      <w:r w:rsidR="00EC3FD1">
        <w:t>Alyftrek</w:t>
      </w:r>
      <w:r w:rsidRPr="006A04FF">
        <w:t xml:space="preserve"> for patients aged 6 years or older, based on its additional benefits including broader pathogenic variant coverage, enhanced CFTR function restoration, a comparable side effect profile, and the convenience of a once-daily dosing regimen. </w:t>
      </w:r>
    </w:p>
    <w:p w14:paraId="6BC552F5" w14:textId="347DF8B8" w:rsidR="006A04FF" w:rsidRPr="006A04FF" w:rsidRDefault="006A04FF" w:rsidP="00EC3FD1">
      <w:pPr>
        <w:pStyle w:val="DelegatesQuestions"/>
      </w:pPr>
      <w:r w:rsidRPr="006A04FF">
        <w:t xml:space="preserve">Please comment of inclusion of participants with normal </w:t>
      </w:r>
      <w:proofErr w:type="spellStart"/>
      <w:r w:rsidRPr="006A04FF">
        <w:t>SwCL</w:t>
      </w:r>
      <w:proofErr w:type="spellEnd"/>
      <w:r w:rsidRPr="006A04FF">
        <w:t xml:space="preserve">, normal lung function, lack of non F508del participants, lack of diversity, and whether this is likely to impact on approval in Australia. </w:t>
      </w:r>
    </w:p>
    <w:p w14:paraId="52397474" w14:textId="63BE787E" w:rsidR="006A04FF" w:rsidRPr="006A04FF" w:rsidRDefault="006A04FF" w:rsidP="00EC3FD1">
      <w:r w:rsidRPr="006A04FF">
        <w:t>The ACM noted that including participants with corrected to normal sweat chloride levels and lung function was appropriate. The ACM held the opinion that this data contributes to the evidence of non-inferiority to T</w:t>
      </w:r>
      <w:r w:rsidR="00D9645D">
        <w:t>rikafta</w:t>
      </w:r>
      <w:r w:rsidRPr="006A04FF">
        <w:t>. This inclusion provides evidence to support the viability of patients with managed CF on T</w:t>
      </w:r>
      <w:r w:rsidR="00D9645D">
        <w:t>rikafta</w:t>
      </w:r>
      <w:r w:rsidRPr="006A04FF">
        <w:t xml:space="preserve"> changing to </w:t>
      </w:r>
      <w:r w:rsidR="00EC3FD1">
        <w:t>Alyftrek</w:t>
      </w:r>
      <w:r w:rsidRPr="006A04FF">
        <w:t xml:space="preserve">. </w:t>
      </w:r>
    </w:p>
    <w:p w14:paraId="01355A84" w14:textId="59AAC595" w:rsidR="006A04FF" w:rsidRPr="006A04FF" w:rsidRDefault="006A04FF" w:rsidP="00EC3FD1">
      <w:r w:rsidRPr="006A04FF">
        <w:t xml:space="preserve">The F508del variant is the most prevalent CF causing pathogenic variant, affecting approximately 82% of the world’s CF population and Australia </w:t>
      </w:r>
      <w:proofErr w:type="gramStart"/>
      <w:r w:rsidRPr="006A04FF">
        <w:t>is</w:t>
      </w:r>
      <w:proofErr w:type="gramEnd"/>
      <w:r w:rsidRPr="006A04FF">
        <w:t xml:space="preserve"> among the few countries in the world where more than 90% of patients carry the F508del variant in at least one allele. The ACM held the view that these concerns would not pose an issue to the approvability of </w:t>
      </w:r>
      <w:r w:rsidR="00EC3FD1">
        <w:t>Alyftrek</w:t>
      </w:r>
      <w:r w:rsidRPr="006A04FF">
        <w:t xml:space="preserve"> in Australia. </w:t>
      </w:r>
    </w:p>
    <w:p w14:paraId="76DE1B4B" w14:textId="1C8303FF" w:rsidR="006A04FF" w:rsidRPr="006A04FF" w:rsidRDefault="006A04FF" w:rsidP="00D9645D">
      <w:pPr>
        <w:pStyle w:val="DelegatesQuestions"/>
      </w:pPr>
      <w:r w:rsidRPr="006A04FF">
        <w:t xml:space="preserve">Would the ACM please provide advice on the wording of the proposed indication. </w:t>
      </w:r>
    </w:p>
    <w:p w14:paraId="7E52603C" w14:textId="3999E8C4" w:rsidR="006A04FF" w:rsidRPr="006A04FF" w:rsidRDefault="006A04FF" w:rsidP="006A04FF">
      <w:r w:rsidRPr="006A04FF">
        <w:t>The ACM were supportive of approving the following indication, in line with the existing indication for T</w:t>
      </w:r>
      <w:r w:rsidR="00704B2E">
        <w:t>rikafta</w:t>
      </w:r>
      <w:r w:rsidRPr="006A04FF">
        <w:t xml:space="preserve">: </w:t>
      </w:r>
    </w:p>
    <w:p w14:paraId="3942E9C3" w14:textId="245E0B14" w:rsidR="006A04FF" w:rsidRPr="006A04FF" w:rsidRDefault="00EC3FD1" w:rsidP="00704B2E">
      <w:pPr>
        <w:ind w:left="720"/>
      </w:pPr>
      <w:r>
        <w:rPr>
          <w:i/>
          <w:iCs/>
        </w:rPr>
        <w:t>Alyftrek</w:t>
      </w:r>
      <w:r w:rsidR="006A04FF" w:rsidRPr="006A04FF">
        <w:rPr>
          <w:i/>
          <w:iCs/>
        </w:rPr>
        <w:t xml:space="preserve"> is indicated for the treatment of those who meet the diagnostic criteria of cystic fibrosis (CF) in patients aged 6 years and older who have at least one mutation in the cystic fibrosis transmembrane conductance regulator (CFTR) gene that is responsive, based on clinical study or in vitro evidence. </w:t>
      </w:r>
    </w:p>
    <w:p w14:paraId="570EC35E" w14:textId="0FFFFA4E" w:rsidR="006A04FF" w:rsidRPr="006A04FF" w:rsidRDefault="006A04FF" w:rsidP="00704B2E">
      <w:pPr>
        <w:pStyle w:val="DelegatesQuestions"/>
      </w:pPr>
      <w:r w:rsidRPr="006A04FF">
        <w:t xml:space="preserve">The committee is also requested to provide advice on any other issues that may be relevant to a decision on </w:t>
      </w:r>
      <w:proofErr w:type="gramStart"/>
      <w:r w:rsidRPr="006A04FF">
        <w:t>whether or not</w:t>
      </w:r>
      <w:proofErr w:type="gramEnd"/>
      <w:r w:rsidRPr="006A04FF">
        <w:t xml:space="preserve"> to approve this application </w:t>
      </w:r>
    </w:p>
    <w:p w14:paraId="31B8C170" w14:textId="77777777" w:rsidR="006A04FF" w:rsidRPr="006A04FF" w:rsidRDefault="006A04FF" w:rsidP="006A04FF">
      <w:r w:rsidRPr="006A04FF">
        <w:lastRenderedPageBreak/>
        <w:t xml:space="preserve">The ACM highlighted the potential drug induced liver injuries reported by the FDA and proposed precautionary measures and recommended that a statement </w:t>
      </w:r>
      <w:proofErr w:type="gramStart"/>
      <w:r w:rsidRPr="006A04FF">
        <w:t>similar to</w:t>
      </w:r>
      <w:proofErr w:type="gramEnd"/>
      <w:r w:rsidRPr="006A04FF">
        <w:t xml:space="preserve"> the following be included in the CMI: </w:t>
      </w:r>
    </w:p>
    <w:p w14:paraId="227E7C0E" w14:textId="3BB52DD1" w:rsidR="00D47E19" w:rsidRDefault="00704B2E" w:rsidP="00653DEC">
      <w:pPr>
        <w:ind w:left="720"/>
      </w:pPr>
      <w:r>
        <w:rPr>
          <w:i/>
          <w:iCs/>
        </w:rPr>
        <w:t>‘</w:t>
      </w:r>
      <w:r w:rsidR="006A04FF" w:rsidRPr="006A04FF">
        <w:rPr>
          <w:i/>
          <w:iCs/>
        </w:rPr>
        <w:t xml:space="preserve">Your doctor will request blood tests to assess your liver function before starting treatment with </w:t>
      </w:r>
      <w:r w:rsidR="00EC3FD1">
        <w:rPr>
          <w:i/>
          <w:iCs/>
        </w:rPr>
        <w:t>Alyftrek</w:t>
      </w:r>
      <w:r w:rsidR="006A04FF" w:rsidRPr="006A04FF">
        <w:rPr>
          <w:i/>
          <w:iCs/>
        </w:rPr>
        <w:t>. These tests will then be conducted at least monthly for the first 6 months, every 3 months for the following 12 months, and at least annually thereafter. If you have liver disease or other clinical concerns, your doctor may recommend more frequent laboratory tests.</w:t>
      </w:r>
      <w:r>
        <w:rPr>
          <w:i/>
          <w:iCs/>
        </w:rPr>
        <w:t>’</w:t>
      </w:r>
    </w:p>
    <w:p w14:paraId="5291EA2A" w14:textId="41383B92" w:rsidR="00C22214" w:rsidRPr="00F73346" w:rsidRDefault="008D56CA" w:rsidP="00C22214">
      <w:pPr>
        <w:pStyle w:val="Heading5"/>
      </w:pPr>
      <w:r>
        <w:t>A</w:t>
      </w:r>
      <w:r w:rsidR="004A45D4">
        <w:t>dvisory committee c</w:t>
      </w:r>
      <w:r w:rsidR="00C22214" w:rsidRPr="00F73346">
        <w:t>onclusion</w:t>
      </w:r>
    </w:p>
    <w:p w14:paraId="05E18A8C" w14:textId="77777777" w:rsidR="00DF0670" w:rsidRPr="00DF0670" w:rsidRDefault="00DF0670" w:rsidP="00DF0670">
      <w:r w:rsidRPr="00DF0670">
        <w:t xml:space="preserve">The ACM considered this product to have an overall positive benefit-risk profile for the indication: </w:t>
      </w:r>
    </w:p>
    <w:p w14:paraId="15E2951C" w14:textId="098C3E66" w:rsidR="00C22214" w:rsidRPr="00DF0670" w:rsidRDefault="00DF0670" w:rsidP="00DF0670">
      <w:pPr>
        <w:ind w:left="720"/>
        <w:rPr>
          <w:i/>
        </w:rPr>
      </w:pPr>
      <w:r w:rsidRPr="00DF0670">
        <w:rPr>
          <w:i/>
        </w:rPr>
        <w:t>A</w:t>
      </w:r>
      <w:r w:rsidR="008756CF">
        <w:rPr>
          <w:i/>
        </w:rPr>
        <w:t>lyftrek</w:t>
      </w:r>
      <w:r w:rsidRPr="00DF0670">
        <w:rPr>
          <w:i/>
        </w:rPr>
        <w:t xml:space="preserve"> is indicated for the treatment of those who meet the diagnostic criteria of cystic fibrosis (CF) in patients aged 6 years and older who have at least one mutation in the cystic fibrosis transmembrane conductance regulator (CFTR) gene that is responsive, based on clinical study or in vitro evidence.</w:t>
      </w:r>
    </w:p>
    <w:p w14:paraId="307F236C" w14:textId="7FD19BD3" w:rsidR="00C22214" w:rsidRPr="002E238E" w:rsidRDefault="0046285C" w:rsidP="00C22214">
      <w:pPr>
        <w:pStyle w:val="Heading2"/>
      </w:pPr>
      <w:bookmarkStart w:id="80" w:name="_Toc103679300"/>
      <w:bookmarkStart w:id="81" w:name="_Toc227661929"/>
      <w:r>
        <w:t>Assessment</w:t>
      </w:r>
      <w:r w:rsidR="00190853">
        <w:t xml:space="preserve"> </w:t>
      </w:r>
      <w:r>
        <w:t>o</w:t>
      </w:r>
      <w:r w:rsidR="00C22214">
        <w:t>utcome</w:t>
      </w:r>
      <w:bookmarkEnd w:id="78"/>
      <w:bookmarkEnd w:id="79"/>
      <w:bookmarkEnd w:id="80"/>
      <w:bookmarkEnd w:id="81"/>
    </w:p>
    <w:p w14:paraId="6B23383B" w14:textId="152BA6EA" w:rsidR="00F76554" w:rsidRDefault="00C22214" w:rsidP="00F76554">
      <w:r w:rsidRPr="0017005C">
        <w:t xml:space="preserve">Based on a review of quality, safety, and efficacy, the TGA </w:t>
      </w:r>
      <w:r w:rsidR="00B46DFB">
        <w:t>decided to</w:t>
      </w:r>
      <w:r w:rsidRPr="0017005C">
        <w:t xml:space="preserve"> regist</w:t>
      </w:r>
      <w:r w:rsidR="00B46DFB">
        <w:t>er</w:t>
      </w:r>
      <w:r w:rsidRPr="0017005C">
        <w:t xml:space="preserve"> </w:t>
      </w:r>
      <w:r w:rsidR="00F76554">
        <w:t>–</w:t>
      </w:r>
    </w:p>
    <w:p w14:paraId="7D183678" w14:textId="24EE917B" w:rsidR="00F76554" w:rsidRDefault="00CB257E" w:rsidP="00F76554">
      <w:pPr>
        <w:pStyle w:val="ListBullet"/>
      </w:pPr>
      <w:r>
        <w:t xml:space="preserve">Alyftrek </w:t>
      </w:r>
      <w:r w:rsidR="00F76554" w:rsidRPr="00F76554">
        <w:t>10/50/125 vanzacaftor (as calcium) 10 mg / tezacaftor</w:t>
      </w:r>
      <w:r w:rsidR="00F76554">
        <w:t xml:space="preserve"> </w:t>
      </w:r>
      <w:r w:rsidR="00F76554" w:rsidRPr="00F76554">
        <w:t>50 mg / deutivacaftor 125 mg film-coated tablet blister pack</w:t>
      </w:r>
    </w:p>
    <w:p w14:paraId="4EF22939" w14:textId="47593681" w:rsidR="00C22214" w:rsidRPr="0017005C" w:rsidRDefault="00EC3FD1" w:rsidP="004E2C90">
      <w:pPr>
        <w:pStyle w:val="ListBullet"/>
      </w:pPr>
      <w:r>
        <w:t>Alyftrek</w:t>
      </w:r>
      <w:r w:rsidR="00F76554" w:rsidRPr="00F76554">
        <w:t xml:space="preserve"> 4/20/50 vanzacaftor (as calcium) 4 mg / tezacaftor 20</w:t>
      </w:r>
      <w:r w:rsidR="00F76554">
        <w:t xml:space="preserve"> </w:t>
      </w:r>
      <w:r w:rsidR="00F76554" w:rsidRPr="00F76554">
        <w:t>mg / deutivacaftor 50 mg film-coated tablet blister pack</w:t>
      </w:r>
      <w:r w:rsidR="00796C96">
        <w:t>,</w:t>
      </w:r>
      <w:r w:rsidR="00C22214" w:rsidRPr="0017005C">
        <w:t xml:space="preserve"> indicated for:</w:t>
      </w:r>
    </w:p>
    <w:p w14:paraId="69B89650" w14:textId="75EEED40" w:rsidR="002B2E7C" w:rsidRPr="002B2E7C" w:rsidRDefault="002B2E7C" w:rsidP="002B2E7C">
      <w:pPr>
        <w:pStyle w:val="Indication"/>
      </w:pPr>
      <w:r w:rsidRPr="002B2E7C">
        <w:t>Alyftrek is indicated for the treatment of those who meet the diagnostic criteria for</w:t>
      </w:r>
    </w:p>
    <w:p w14:paraId="696B58CC" w14:textId="77777777" w:rsidR="002B2E7C" w:rsidRPr="002B2E7C" w:rsidRDefault="002B2E7C" w:rsidP="002B2E7C">
      <w:pPr>
        <w:pStyle w:val="Indication"/>
      </w:pPr>
      <w:r w:rsidRPr="002B2E7C">
        <w:t>cystic fibrosis (CF) in people aged 6 years and older who have at least one mutation</w:t>
      </w:r>
    </w:p>
    <w:p w14:paraId="563A6CDD" w14:textId="77777777" w:rsidR="002B2E7C" w:rsidRPr="002B2E7C" w:rsidRDefault="002B2E7C" w:rsidP="002B2E7C">
      <w:pPr>
        <w:pStyle w:val="Indication"/>
      </w:pPr>
      <w:r w:rsidRPr="002B2E7C">
        <w:t>in the cystic fibrosis transmembrane conductance regulator (CFTR) gene that is</w:t>
      </w:r>
    </w:p>
    <w:p w14:paraId="1A6F4390" w14:textId="77777777" w:rsidR="002B2E7C" w:rsidRPr="002B2E7C" w:rsidRDefault="002B2E7C" w:rsidP="002B2E7C">
      <w:pPr>
        <w:pStyle w:val="Indication"/>
      </w:pPr>
      <w:r w:rsidRPr="002B2E7C">
        <w:t>responsive based on clinical or in vitro evidence (see section 5.1</w:t>
      </w:r>
    </w:p>
    <w:p w14:paraId="3B245AB5" w14:textId="397FA6A8" w:rsidR="00C22214" w:rsidRPr="00BD5DBD" w:rsidRDefault="002B2E7C" w:rsidP="002B2E7C">
      <w:pPr>
        <w:pStyle w:val="Indication"/>
      </w:pPr>
      <w:r w:rsidRPr="002B2E7C">
        <w:t>PHARMACODYNAMIC PROPERTIES, Table 4).</w:t>
      </w:r>
    </w:p>
    <w:p w14:paraId="0D732DA4" w14:textId="74882685" w:rsidR="00854D98" w:rsidRPr="00D23139" w:rsidRDefault="00854D98" w:rsidP="008756CF">
      <w:pPr>
        <w:pStyle w:val="Heading3"/>
      </w:pPr>
      <w:bookmarkStart w:id="82" w:name="_Toc227661930"/>
      <w:bookmarkStart w:id="83" w:name="_Toc103679301"/>
      <w:r w:rsidRPr="00D23139">
        <w:t>Specific conditions of registration</w:t>
      </w:r>
      <w:bookmarkEnd w:id="82"/>
      <w:r w:rsidRPr="00D23139">
        <w:t xml:space="preserve"> </w:t>
      </w:r>
      <w:bookmarkEnd w:id="83"/>
    </w:p>
    <w:p w14:paraId="4F7BB6DC" w14:textId="07AAD465" w:rsidR="00FD49FF" w:rsidRPr="00FD49FF" w:rsidRDefault="00FD49FF" w:rsidP="00147868">
      <w:pPr>
        <w:pStyle w:val="ListBullet"/>
      </w:pPr>
      <w:r w:rsidRPr="00FD49FF">
        <w:t>Alyftrek is to be included in the Black Triangle Scheme. The PI and CMI for Alyftrek</w:t>
      </w:r>
      <w:r>
        <w:t xml:space="preserve"> </w:t>
      </w:r>
      <w:r w:rsidRPr="00FD49FF">
        <w:t>must include the black triangle symbol and mandatory accompanying text for five</w:t>
      </w:r>
      <w:r w:rsidR="00B1304F">
        <w:t xml:space="preserve"> </w:t>
      </w:r>
      <w:r w:rsidRPr="00FD49FF">
        <w:t>years, which starts from the date of first supply of the product.</w:t>
      </w:r>
    </w:p>
    <w:p w14:paraId="437904D8" w14:textId="5D97D1CA" w:rsidR="00FD49FF" w:rsidRPr="00FD49FF" w:rsidRDefault="00FD49FF" w:rsidP="00147868">
      <w:pPr>
        <w:pStyle w:val="ListBullet"/>
      </w:pPr>
      <w:r w:rsidRPr="00FD49FF">
        <w:t>The Alyftrek EU-Risk Management Plan (RMP) version 1.0</w:t>
      </w:r>
      <w:r w:rsidR="00B1304F">
        <w:t xml:space="preserve"> (</w:t>
      </w:r>
      <w:r w:rsidRPr="00FD49FF">
        <w:t>dated 24 April 2025;</w:t>
      </w:r>
      <w:r w:rsidR="006D156E">
        <w:t xml:space="preserve"> </w:t>
      </w:r>
      <w:r w:rsidRPr="00FD49FF">
        <w:t xml:space="preserve">DLP 24 April 2024), with Australia-Specific Annex (ASA) version 1.0 </w:t>
      </w:r>
      <w:r w:rsidR="00B1304F">
        <w:t>(</w:t>
      </w:r>
      <w:r w:rsidRPr="00FD49FF">
        <w:t>dated 13 June</w:t>
      </w:r>
      <w:r w:rsidR="006D156E">
        <w:t xml:space="preserve"> </w:t>
      </w:r>
      <w:r w:rsidRPr="00FD49FF">
        <w:t>2024), included with submission PM-2024-02396-1-5, and any subsequent</w:t>
      </w:r>
      <w:r w:rsidR="006D156E">
        <w:t xml:space="preserve"> </w:t>
      </w:r>
      <w:r w:rsidRPr="00FD49FF">
        <w:t>revisions, as agreed with the TGA will be implemented in Australia.</w:t>
      </w:r>
    </w:p>
    <w:p w14:paraId="6352E424" w14:textId="413DF9FC" w:rsidR="00FD49FF" w:rsidRPr="00FD49FF" w:rsidRDefault="00FD49FF" w:rsidP="004C41B0">
      <w:pPr>
        <w:pStyle w:val="ListBullet"/>
      </w:pPr>
      <w:r w:rsidRPr="00FD49FF">
        <w:t>An obligatory component of risk management plans is routine pharmacovigilance.</w:t>
      </w:r>
      <w:r w:rsidR="006D156E">
        <w:t xml:space="preserve"> </w:t>
      </w:r>
      <w:r w:rsidRPr="00FD49FF">
        <w:t>Routine pharmacovigilance includes the submission of periodic safety update</w:t>
      </w:r>
      <w:r w:rsidR="006D156E">
        <w:t xml:space="preserve"> </w:t>
      </w:r>
      <w:r w:rsidRPr="00FD49FF">
        <w:t>reports (PSURs).</w:t>
      </w:r>
    </w:p>
    <w:p w14:paraId="3ACB884E" w14:textId="3D731118" w:rsidR="00FD49FF" w:rsidRPr="00FD49FF" w:rsidRDefault="00FD49FF" w:rsidP="004C41B0">
      <w:pPr>
        <w:ind w:left="360"/>
        <w:rPr>
          <w:rFonts w:eastAsia="Cambria" w:cs="Times New Roman"/>
          <w:color w:val="000000" w:themeColor="text1"/>
        </w:rPr>
      </w:pPr>
      <w:r w:rsidRPr="00FD49FF">
        <w:t>Unless agreed separately between the supplier who is the recipient of the approval</w:t>
      </w:r>
      <w:r w:rsidR="006D156E">
        <w:t xml:space="preserve"> </w:t>
      </w:r>
      <w:r w:rsidRPr="00FD49FF">
        <w:t>and the TGA, the first report must be submitted to TGA no later than 15 calendar</w:t>
      </w:r>
      <w:r w:rsidR="00313787">
        <w:t xml:space="preserve"> </w:t>
      </w:r>
      <w:r w:rsidRPr="00FD49FF">
        <w:t>months after the date of this approval letter. The subsequent reports must be</w:t>
      </w:r>
      <w:r w:rsidR="00313787">
        <w:t xml:space="preserve"> </w:t>
      </w:r>
      <w:r w:rsidRPr="00FD49FF">
        <w:t>submitted no less frequently than annually from the date of the first submitted</w:t>
      </w:r>
      <w:r w:rsidR="00585E2F">
        <w:t xml:space="preserve"> </w:t>
      </w:r>
      <w:r w:rsidRPr="00FD49FF">
        <w:rPr>
          <w:rFonts w:eastAsia="Cambria" w:cs="Times New Roman"/>
          <w:color w:val="000000" w:themeColor="text1"/>
        </w:rPr>
        <w:t>report until the period covered by such reports is not less than three years from the</w:t>
      </w:r>
      <w:r w:rsidR="00585E2F">
        <w:rPr>
          <w:rFonts w:eastAsia="Cambria" w:cs="Times New Roman"/>
          <w:color w:val="000000" w:themeColor="text1"/>
        </w:rPr>
        <w:t xml:space="preserve"> </w:t>
      </w:r>
      <w:r w:rsidRPr="00FD49FF">
        <w:rPr>
          <w:rFonts w:eastAsia="Cambria" w:cs="Times New Roman"/>
          <w:color w:val="000000" w:themeColor="text1"/>
        </w:rPr>
        <w:t xml:space="preserve">date of this approval letter. The annual </w:t>
      </w:r>
      <w:r w:rsidRPr="00FD49FF">
        <w:rPr>
          <w:rFonts w:eastAsia="Cambria" w:cs="Times New Roman"/>
          <w:color w:val="000000" w:themeColor="text1"/>
        </w:rPr>
        <w:lastRenderedPageBreak/>
        <w:t>submission may be made up of two PSURs</w:t>
      </w:r>
      <w:r w:rsidR="00585E2F">
        <w:rPr>
          <w:rFonts w:eastAsia="Cambria" w:cs="Times New Roman"/>
          <w:color w:val="000000" w:themeColor="text1"/>
        </w:rPr>
        <w:t xml:space="preserve"> </w:t>
      </w:r>
      <w:r w:rsidRPr="00FD49FF">
        <w:rPr>
          <w:rFonts w:eastAsia="Cambria" w:cs="Times New Roman"/>
          <w:color w:val="000000" w:themeColor="text1"/>
        </w:rPr>
        <w:t xml:space="preserve">each covering six months. If the sponsor wishes, the </w:t>
      </w:r>
      <w:r w:rsidR="00585E2F" w:rsidRPr="00FD49FF">
        <w:rPr>
          <w:rFonts w:eastAsia="Cambria" w:cs="Times New Roman"/>
          <w:color w:val="000000" w:themeColor="text1"/>
        </w:rPr>
        <w:t>six-monthly</w:t>
      </w:r>
      <w:r w:rsidRPr="00FD49FF">
        <w:rPr>
          <w:rFonts w:eastAsia="Cambria" w:cs="Times New Roman"/>
          <w:color w:val="000000" w:themeColor="text1"/>
        </w:rPr>
        <w:t xml:space="preserve"> reports may be</w:t>
      </w:r>
      <w:r w:rsidR="00585E2F">
        <w:rPr>
          <w:rFonts w:eastAsia="Cambria" w:cs="Times New Roman"/>
          <w:color w:val="000000" w:themeColor="text1"/>
        </w:rPr>
        <w:t xml:space="preserve"> </w:t>
      </w:r>
      <w:r w:rsidRPr="00FD49FF">
        <w:rPr>
          <w:rFonts w:eastAsia="Cambria" w:cs="Times New Roman"/>
          <w:color w:val="000000" w:themeColor="text1"/>
        </w:rPr>
        <w:t>submitted separately as they become available.</w:t>
      </w:r>
    </w:p>
    <w:p w14:paraId="74986770" w14:textId="45935465" w:rsidR="00FD49FF" w:rsidRPr="00FD49FF" w:rsidRDefault="00FD49FF" w:rsidP="004C41B0">
      <w:pPr>
        <w:ind w:left="360"/>
        <w:rPr>
          <w:rFonts w:eastAsia="Cambria" w:cs="Times New Roman"/>
          <w:color w:val="000000" w:themeColor="text1"/>
        </w:rPr>
      </w:pPr>
      <w:r w:rsidRPr="00FD49FF">
        <w:rPr>
          <w:rFonts w:eastAsia="Cambria" w:cs="Times New Roman"/>
          <w:color w:val="000000" w:themeColor="text1"/>
        </w:rPr>
        <w:t>If the product is approved in the EU during the three years period, reports can be</w:t>
      </w:r>
      <w:r w:rsidR="00585E2F">
        <w:rPr>
          <w:rFonts w:eastAsia="Cambria" w:cs="Times New Roman"/>
          <w:color w:val="000000" w:themeColor="text1"/>
        </w:rPr>
        <w:t xml:space="preserve"> </w:t>
      </w:r>
      <w:r w:rsidRPr="00FD49FF">
        <w:rPr>
          <w:rFonts w:eastAsia="Cambria" w:cs="Times New Roman"/>
          <w:color w:val="000000" w:themeColor="text1"/>
        </w:rPr>
        <w:t>provided in line with the published list of EU reference dates no less frequently than</w:t>
      </w:r>
      <w:r w:rsidR="00585E2F">
        <w:rPr>
          <w:rFonts w:eastAsia="Cambria" w:cs="Times New Roman"/>
          <w:color w:val="000000" w:themeColor="text1"/>
        </w:rPr>
        <w:t xml:space="preserve"> </w:t>
      </w:r>
      <w:r w:rsidRPr="00FD49FF">
        <w:rPr>
          <w:rFonts w:eastAsia="Cambria" w:cs="Times New Roman"/>
          <w:color w:val="000000" w:themeColor="text1"/>
        </w:rPr>
        <w:t>annually from the date of the first submitted report until the period covered by such</w:t>
      </w:r>
      <w:r w:rsidR="00585E2F">
        <w:rPr>
          <w:rFonts w:eastAsia="Cambria" w:cs="Times New Roman"/>
          <w:color w:val="000000" w:themeColor="text1"/>
        </w:rPr>
        <w:t xml:space="preserve"> </w:t>
      </w:r>
      <w:r w:rsidRPr="00FD49FF">
        <w:rPr>
          <w:rFonts w:eastAsia="Cambria" w:cs="Times New Roman"/>
          <w:color w:val="000000" w:themeColor="text1"/>
        </w:rPr>
        <w:t>reports is not less than three years from the date of this approval letter.</w:t>
      </w:r>
    </w:p>
    <w:p w14:paraId="31DBAD58" w14:textId="61D4BE9E" w:rsidR="00FD49FF" w:rsidRPr="00FD49FF" w:rsidRDefault="00FD49FF" w:rsidP="004C41B0">
      <w:pPr>
        <w:ind w:left="360"/>
      </w:pPr>
      <w:r w:rsidRPr="00FD49FF">
        <w:rPr>
          <w:rFonts w:eastAsia="Cambria" w:cs="Times New Roman"/>
          <w:color w:val="000000" w:themeColor="text1"/>
        </w:rPr>
        <w:t>The reports are to at least meet the requirements for PSURs as described in the</w:t>
      </w:r>
      <w:r w:rsidR="003811AC">
        <w:rPr>
          <w:rFonts w:eastAsia="Cambria" w:cs="Times New Roman"/>
          <w:color w:val="000000" w:themeColor="text1"/>
        </w:rPr>
        <w:t xml:space="preserve"> </w:t>
      </w:r>
      <w:r w:rsidRPr="00FD49FF">
        <w:t>European Medicines Agency’s Guideline on good pharmacovigilance practices (GVP)</w:t>
      </w:r>
      <w:r w:rsidR="003811AC">
        <w:t xml:space="preserve"> </w:t>
      </w:r>
      <w:r w:rsidRPr="00FD49FF">
        <w:t>Module VII-periodic safety update report (Rev 1), Part VII.B Structures and</w:t>
      </w:r>
      <w:r w:rsidR="003811AC">
        <w:t xml:space="preserve"> </w:t>
      </w:r>
      <w:r w:rsidRPr="00FD49FF">
        <w:t>processes. Note that submission of a PSUR does not constitute an application to vary</w:t>
      </w:r>
      <w:r w:rsidR="003811AC">
        <w:t xml:space="preserve"> </w:t>
      </w:r>
      <w:r w:rsidRPr="00FD49FF">
        <w:t>the registration. Each report must be submitted within ninety calendar days of the</w:t>
      </w:r>
      <w:r w:rsidR="003811AC">
        <w:t xml:space="preserve"> </w:t>
      </w:r>
      <w:r w:rsidRPr="00FD49FF">
        <w:t>data lock point for that report.</w:t>
      </w:r>
    </w:p>
    <w:p w14:paraId="0F9C1952" w14:textId="10BDE170" w:rsidR="00BA657C" w:rsidRPr="00BA657C" w:rsidRDefault="00BA657C" w:rsidP="004476EF">
      <w:pPr>
        <w:pStyle w:val="Heading2"/>
      </w:pPr>
      <w:bookmarkStart w:id="84" w:name="_Toc227661931"/>
      <w:bookmarkStart w:id="85" w:name="_Toc196738290"/>
      <w:r w:rsidRPr="00BA657C">
        <w:t>Product Information and Consumer Medicine Information</w:t>
      </w:r>
      <w:bookmarkEnd w:id="84"/>
      <w:r w:rsidRPr="00BA657C">
        <w:t xml:space="preserve"> </w:t>
      </w:r>
      <w:bookmarkEnd w:id="85"/>
    </w:p>
    <w:p w14:paraId="5F276616" w14:textId="6667B73D" w:rsidR="004D0933" w:rsidRPr="004D0933" w:rsidRDefault="004D0933" w:rsidP="004D0933">
      <w:bookmarkStart w:id="86" w:name="_Hlk200021736"/>
      <w:r w:rsidRPr="004D0933">
        <w:t xml:space="preserve">For the most recent Product Information (PI) and Consumer Medicine Information (CMI), please refer to the TGA </w:t>
      </w:r>
      <w:hyperlink r:id="rId42" w:history="1">
        <w:r w:rsidRPr="004D0933">
          <w:rPr>
            <w:rStyle w:val="Hyperlink"/>
          </w:rPr>
          <w:t>PI/CMI search facility.</w:t>
        </w:r>
      </w:hyperlink>
    </w:p>
    <w:bookmarkEnd w:id="86"/>
    <w:p w14:paraId="11222186" w14:textId="77777777" w:rsidR="004D0933" w:rsidRPr="00BD5DBD" w:rsidRDefault="004D0933" w:rsidP="00675F81">
      <w:pPr>
        <w:rPr>
          <w:szCs w:val="22"/>
        </w:rPr>
      </w:pPr>
    </w:p>
    <w:p w14:paraId="53357BF3" w14:textId="276457B5" w:rsidR="00C22214" w:rsidRDefault="00C22214" w:rsidP="00C22214">
      <w:pPr>
        <w:rPr>
          <w:lang w:eastAsia="ja-JP"/>
        </w:rPr>
        <w:sectPr w:rsidR="00C22214"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E81AA" w14:textId="77777777" w:rsidR="00116A5D" w:rsidRDefault="00116A5D" w:rsidP="00F02AEC">
      <w:pPr>
        <w:spacing w:after="0" w:line="240" w:lineRule="auto"/>
      </w:pPr>
      <w:r>
        <w:separator/>
      </w:r>
    </w:p>
  </w:endnote>
  <w:endnote w:type="continuationSeparator" w:id="0">
    <w:p w14:paraId="561342F8" w14:textId="77777777" w:rsidR="00116A5D" w:rsidRDefault="00116A5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calaLancetPro">
    <w:altName w:val="Cambri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NewRomanPSMT">
    <w:altName w:val="Yu Gothic"/>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8070000" w:usb2="00000010" w:usb3="00000000" w:csb0="00020001" w:csb1="00000000"/>
  </w:font>
  <w:font w:name="Arial,Bold">
    <w:altName w:val="Klee One"/>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athDesign-UT-Regular-T1-10">
    <w:altName w:val="Yu Gothic"/>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FC82942" w:rsidR="007452E8" w:rsidRPr="004A3084" w:rsidRDefault="007452E8" w:rsidP="007452E8">
          <w:pPr>
            <w:pStyle w:val="Footer"/>
          </w:pPr>
          <w:r w:rsidRPr="00487162">
            <w:t>AusPA</w:t>
          </w:r>
          <w:r>
            <w:t xml:space="preserve">R - </w:t>
          </w:r>
          <w:r w:rsidR="00312A85">
            <w:t>Alyftrek</w:t>
          </w:r>
          <w:r>
            <w:t xml:space="preserve"> -</w:t>
          </w:r>
          <w:r w:rsidRPr="00460036">
            <w:t xml:space="preserve"> </w:t>
          </w:r>
          <w:r w:rsidR="00C61688" w:rsidRPr="00C61688">
            <w:t xml:space="preserve">Vanzacaftor / tezacaftor / deutivacaftor </w:t>
          </w:r>
          <w:r w:rsidR="008C754C">
            <w:t>-</w:t>
          </w:r>
          <w:r>
            <w:t xml:space="preserve"> </w:t>
          </w:r>
          <w:r w:rsidR="004F731C" w:rsidRPr="004F731C">
            <w:t xml:space="preserve">Vertex Pharmaceuticals Australia </w:t>
          </w:r>
          <w:r>
            <w:t>- PM-202</w:t>
          </w:r>
          <w:r w:rsidR="004F731C">
            <w:t>4</w:t>
          </w:r>
          <w:r w:rsidRPr="00487162">
            <w:t>-</w:t>
          </w:r>
          <w:r w:rsidR="004F731C">
            <w:t>023</w:t>
          </w:r>
          <w:r w:rsidR="00F746DB">
            <w:t>96-1-5</w:t>
          </w:r>
          <w:r w:rsidR="00C20841">
            <w:t xml:space="preserve"> Final 16 April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A76E9" w14:textId="77777777" w:rsidR="00116A5D" w:rsidRDefault="00116A5D" w:rsidP="00F02AEC">
      <w:pPr>
        <w:spacing w:after="0" w:line="240" w:lineRule="auto"/>
      </w:pPr>
      <w:r>
        <w:separator/>
      </w:r>
    </w:p>
  </w:footnote>
  <w:footnote w:type="continuationSeparator" w:id="0">
    <w:p w14:paraId="6D772F12" w14:textId="77777777" w:rsidR="00116A5D" w:rsidRDefault="00116A5D"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8F580AB" w14:textId="4AC5E784" w:rsidR="006411E7" w:rsidRDefault="006411E7">
      <w:pPr>
        <w:pStyle w:val="FootnoteText"/>
      </w:pPr>
      <w:r>
        <w:rPr>
          <w:rStyle w:val="FootnoteReference"/>
        </w:rPr>
        <w:footnoteRef/>
      </w:r>
      <w:r>
        <w:t xml:space="preserve"> </w:t>
      </w:r>
      <w:r w:rsidRPr="006411E7">
        <w:t>Elborn J. S. (2016). Cystic fibrosis. </w:t>
      </w:r>
      <w:r w:rsidRPr="006411E7">
        <w:rPr>
          <w:i/>
          <w:iCs/>
        </w:rPr>
        <w:t>Lancet (London, England)</w:t>
      </w:r>
      <w:r w:rsidRPr="006411E7">
        <w:t>, </w:t>
      </w:r>
      <w:r w:rsidRPr="006411E7">
        <w:rPr>
          <w:i/>
          <w:iCs/>
        </w:rPr>
        <w:t>388</w:t>
      </w:r>
      <w:r w:rsidRPr="006411E7">
        <w:t xml:space="preserve">(10059), 2519–2531. </w:t>
      </w:r>
      <w:hyperlink r:id="rId1" w:history="1">
        <w:r w:rsidRPr="00E84FCB">
          <w:rPr>
            <w:rStyle w:val="Hyperlink"/>
          </w:rPr>
          <w:t>https://doi.org/10.1016/S0140-6736(16)00576-6</w:t>
        </w:r>
      </w:hyperlink>
    </w:p>
    <w:p w14:paraId="1DB8247B" w14:textId="77777777" w:rsidR="006411E7" w:rsidRDefault="006411E7">
      <w:pPr>
        <w:pStyle w:val="FootnoteText"/>
      </w:pPr>
    </w:p>
  </w:footnote>
  <w:footnote w:id="3">
    <w:p w14:paraId="1FBEDBC9" w14:textId="77777777" w:rsidR="00956594" w:rsidRDefault="00956594" w:rsidP="00956594">
      <w:pPr>
        <w:pStyle w:val="FootnoteText"/>
      </w:pPr>
      <w:r>
        <w:rPr>
          <w:rStyle w:val="FootnoteReference"/>
        </w:rPr>
        <w:footnoteRef/>
      </w:r>
      <w:r>
        <w:t xml:space="preserve"> </w:t>
      </w:r>
      <w:r w:rsidRPr="0019761A">
        <w:t>Lopes-Pacheco M. (2020). CFTR Modulators: The Changing Face of Cystic Fibrosis in the Era of Precision Medicine. </w:t>
      </w:r>
      <w:r w:rsidRPr="0019761A">
        <w:rPr>
          <w:i/>
          <w:iCs/>
        </w:rPr>
        <w:t>Frontiers in pharmacology</w:t>
      </w:r>
      <w:r w:rsidRPr="0019761A">
        <w:t>, </w:t>
      </w:r>
      <w:r w:rsidRPr="0019761A">
        <w:rPr>
          <w:i/>
          <w:iCs/>
        </w:rPr>
        <w:t>10</w:t>
      </w:r>
      <w:r w:rsidRPr="0019761A">
        <w:t xml:space="preserve">, 1662. </w:t>
      </w:r>
      <w:hyperlink r:id="rId2" w:history="1">
        <w:r w:rsidRPr="00E84FCB">
          <w:rPr>
            <w:rStyle w:val="Hyperlink"/>
          </w:rPr>
          <w:t>https://doi.org/10.3389/fphar.2019.01662</w:t>
        </w:r>
      </w:hyperlink>
      <w:r>
        <w:t xml:space="preserve"> </w:t>
      </w:r>
    </w:p>
  </w:footnote>
  <w:footnote w:id="4">
    <w:p w14:paraId="78027832" w14:textId="41C5EC35" w:rsidR="00956594" w:rsidRDefault="00956594" w:rsidP="00956594">
      <w:pPr>
        <w:pStyle w:val="FootnoteText"/>
      </w:pPr>
      <w:r>
        <w:rPr>
          <w:rStyle w:val="FootnoteReference"/>
        </w:rPr>
        <w:footnoteRef/>
      </w:r>
      <w:r>
        <w:t xml:space="preserve"> </w:t>
      </w:r>
      <w:r w:rsidRPr="008C133A">
        <w:t>Castellani, C., Cuppens, H., Macek, M., Jr, Cassiman, J. J., Kerem, E., Durie, P., Tullis, E., Assael, B. M., Bombieri, C., Brown, A., Casals, T., Claustres, M., Cutting, G. R., Dequeker, E., Dodge, J., Doull, I., Farrell, P., Ferec, C., Girodon, E., Johannesson, M., … Elborn, J. S. (2008). Consensus on the use and interpretation of cystic fibrosis mutation analysis in clinical practice. </w:t>
      </w:r>
      <w:r w:rsidRPr="008C133A">
        <w:rPr>
          <w:i/>
          <w:iCs/>
        </w:rPr>
        <w:t>Journal of cystic fibrosis: official journal of the European Cystic Fibrosis Society</w:t>
      </w:r>
      <w:r w:rsidRPr="008C133A">
        <w:t>, </w:t>
      </w:r>
      <w:r w:rsidRPr="008C133A">
        <w:rPr>
          <w:i/>
          <w:iCs/>
        </w:rPr>
        <w:t>7</w:t>
      </w:r>
      <w:r w:rsidRPr="008C133A">
        <w:t xml:space="preserve">(3), 179–196. </w:t>
      </w:r>
      <w:hyperlink r:id="rId3" w:history="1">
        <w:r w:rsidRPr="00E84FCB">
          <w:rPr>
            <w:rStyle w:val="Hyperlink"/>
          </w:rPr>
          <w:t>https://doi.org/10.1016/j.jcf.2008.03.009</w:t>
        </w:r>
      </w:hyperlink>
      <w:r>
        <w:t xml:space="preserve"> </w:t>
      </w:r>
    </w:p>
  </w:footnote>
  <w:footnote w:id="5">
    <w:p w14:paraId="1DB004DC" w14:textId="77777777" w:rsidR="00AB5E59" w:rsidRDefault="00AB5E59" w:rsidP="00AB5E59">
      <w:pPr>
        <w:pStyle w:val="FootnoteText"/>
      </w:pPr>
      <w:r>
        <w:rPr>
          <w:rStyle w:val="FootnoteReference"/>
        </w:rPr>
        <w:footnoteRef/>
      </w:r>
      <w:r>
        <w:t xml:space="preserve"> Cystic Fibrosis Australia (2026) CF Data Registry. </w:t>
      </w:r>
      <w:hyperlink r:id="rId4" w:history="1">
        <w:r w:rsidRPr="00437C60">
          <w:rPr>
            <w:rStyle w:val="Hyperlink"/>
          </w:rPr>
          <w:t>CF Data Registry – Cystic Fibrosis Australia</w:t>
        </w:r>
      </w:hyperlink>
    </w:p>
  </w:footnote>
  <w:footnote w:id="6">
    <w:p w14:paraId="3642C724" w14:textId="77777777" w:rsidR="00ED19E3" w:rsidRDefault="00ED19E3" w:rsidP="00ED19E3">
      <w:pPr>
        <w:pStyle w:val="FootnoteText"/>
      </w:pPr>
      <w:r>
        <w:rPr>
          <w:rStyle w:val="FootnoteReference"/>
        </w:rPr>
        <w:footnoteRef/>
      </w:r>
      <w:r>
        <w:t xml:space="preserve"> </w:t>
      </w:r>
      <w:r w:rsidRPr="00085D58">
        <w:t>Silva Filho, L. V. R. F. D., Athanazio, R. A., Tonon, C. R., Ferreira, J. C., &amp; Tanni, S. E. (2024). Use of elexacaftor+tezacaftor+ivacaftor in individuals with cystic fibrosis and at least one F508del allele: a systematic review and meta-analysis. </w:t>
      </w:r>
      <w:r w:rsidRPr="00085D58">
        <w:rPr>
          <w:i/>
          <w:iCs/>
        </w:rPr>
        <w:t xml:space="preserve">Jornal brasileiro de </w:t>
      </w:r>
      <w:r w:rsidRPr="00085D58">
        <w:rPr>
          <w:i/>
          <w:iCs/>
        </w:rPr>
        <w:t>pneumologia : publicacao oficial da Sociedade Brasileira de Pneumologia e Tisilogia</w:t>
      </w:r>
      <w:r w:rsidRPr="00085D58">
        <w:t>, </w:t>
      </w:r>
      <w:r w:rsidRPr="00085D58">
        <w:rPr>
          <w:i/>
          <w:iCs/>
        </w:rPr>
        <w:t>49</w:t>
      </w:r>
      <w:r w:rsidRPr="00085D58">
        <w:t xml:space="preserve">(6), e20230187. </w:t>
      </w:r>
      <w:hyperlink r:id="rId5" w:history="1">
        <w:r w:rsidRPr="00E84FCB">
          <w:rPr>
            <w:rStyle w:val="Hyperlink"/>
          </w:rPr>
          <w:t>https://doi.org/10.36416/1806-3756/e20230187</w:t>
        </w:r>
      </w:hyperlink>
      <w:r>
        <w:t xml:space="preserve"> </w:t>
      </w:r>
    </w:p>
  </w:footnote>
  <w:footnote w:id="7">
    <w:p w14:paraId="3ADE6E45" w14:textId="77777777" w:rsidR="00ED19E3" w:rsidRDefault="00ED19E3" w:rsidP="00ED19E3">
      <w:pPr>
        <w:pStyle w:val="FootnoteText"/>
      </w:pPr>
      <w:r>
        <w:rPr>
          <w:rStyle w:val="FootnoteReference"/>
        </w:rPr>
        <w:footnoteRef/>
      </w:r>
      <w:r>
        <w:t xml:space="preserve"> </w:t>
      </w:r>
      <w:r w:rsidRPr="00F44196">
        <w:t>Kapouni, N., Moustaki, M., Douros, K., &amp; Loukou, I. (2023). Efficacy and Safety of Elexacaftor-Tezacaftor-Ivacaftor in the Treatment of Cystic Fibrosis: A Systematic Review. </w:t>
      </w:r>
      <w:r w:rsidRPr="00F44196">
        <w:rPr>
          <w:i/>
          <w:iCs/>
        </w:rPr>
        <w:t>Children</w:t>
      </w:r>
      <w:r w:rsidRPr="00F44196">
        <w:t>, </w:t>
      </w:r>
      <w:r w:rsidRPr="00F44196">
        <w:rPr>
          <w:i/>
          <w:iCs/>
        </w:rPr>
        <w:t>10</w:t>
      </w:r>
      <w:r w:rsidRPr="00F44196">
        <w:t xml:space="preserve">(3), 554. </w:t>
      </w:r>
      <w:hyperlink r:id="rId6" w:history="1">
        <w:r w:rsidRPr="00E84FCB">
          <w:rPr>
            <w:rStyle w:val="Hyperlink"/>
          </w:rPr>
          <w:t>https://doi.org/10.3390/children10030554</w:t>
        </w:r>
      </w:hyperlink>
      <w:r>
        <w:t xml:space="preserve"> </w:t>
      </w:r>
    </w:p>
  </w:footnote>
  <w:footnote w:id="8">
    <w:p w14:paraId="02391DC5" w14:textId="77777777" w:rsidR="00ED19E3" w:rsidRDefault="00ED19E3" w:rsidP="00ED19E3">
      <w:pPr>
        <w:pStyle w:val="FootnoteText"/>
      </w:pPr>
      <w:r>
        <w:rPr>
          <w:rStyle w:val="FootnoteReference"/>
        </w:rPr>
        <w:footnoteRef/>
      </w:r>
      <w:r>
        <w:t xml:space="preserve"> </w:t>
      </w:r>
      <w:r w:rsidRPr="00274CDC">
        <w:t>Dawood, S. N., Rabih, A. M., Niaj, A., Raman, A., Uprety, M., Calero, M. J., Villanueva, M. R. B., Joshaghani, N., Villa, N., Badla, O., Goit, R., Saddik, S. E., &amp; Mohammed, L. (2022). Newly Discovered Cutting-Edge Triple Combination Cystic Fibrosis Therapy: A Systematic Review. </w:t>
      </w:r>
      <w:r w:rsidRPr="00274CDC">
        <w:rPr>
          <w:i/>
          <w:iCs/>
        </w:rPr>
        <w:t>Cureus</w:t>
      </w:r>
      <w:r w:rsidRPr="00274CDC">
        <w:t>, </w:t>
      </w:r>
      <w:r w:rsidRPr="00274CDC">
        <w:rPr>
          <w:i/>
          <w:iCs/>
        </w:rPr>
        <w:t>14</w:t>
      </w:r>
      <w:r w:rsidRPr="00274CDC">
        <w:t xml:space="preserve">(9), e29359. </w:t>
      </w:r>
      <w:hyperlink r:id="rId7" w:history="1">
        <w:r w:rsidRPr="00E84FCB">
          <w:rPr>
            <w:rStyle w:val="Hyperlink"/>
          </w:rPr>
          <w:t>https://doi.org/10.7759/cureus.29359</w:t>
        </w:r>
      </w:hyperlink>
      <w:r>
        <w:t xml:space="preserve"> </w:t>
      </w:r>
    </w:p>
  </w:footnote>
  <w:footnote w:id="9">
    <w:p w14:paraId="6437B3BB" w14:textId="16FF894D" w:rsidR="00ED19E3" w:rsidRDefault="00ED19E3" w:rsidP="00ED19E3">
      <w:pPr>
        <w:pStyle w:val="FootnoteText"/>
      </w:pPr>
      <w:r>
        <w:rPr>
          <w:rStyle w:val="FootnoteReference"/>
        </w:rPr>
        <w:footnoteRef/>
      </w:r>
      <w:r>
        <w:t xml:space="preserve"> </w:t>
      </w:r>
      <w:r w:rsidRPr="00D144E2">
        <w:t>Bower, J. K., Volkova, N., Ahluwalia, N., Sahota, G., Xuan, F., Chin, A., Weinstock, T. G., Ostrenga, J., &amp; Elbert, A. (2023). Real-world safety and effectiveness of elexacaftor/tezacaftor/ivacaftor in people with cystic fibrosis: Interim results of a long-term registry-based study. </w:t>
      </w:r>
      <w:r w:rsidRPr="00D144E2">
        <w:rPr>
          <w:i/>
          <w:iCs/>
        </w:rPr>
        <w:t>Journal of cystic fibrosi</w:t>
      </w:r>
      <w:r w:rsidR="0034004D">
        <w:rPr>
          <w:i/>
          <w:iCs/>
        </w:rPr>
        <w:t>s</w:t>
      </w:r>
      <w:r w:rsidRPr="00D144E2">
        <w:rPr>
          <w:i/>
          <w:iCs/>
        </w:rPr>
        <w:t>: official journal of the European Cystic Fibrosis Society</w:t>
      </w:r>
      <w:r w:rsidRPr="00D144E2">
        <w:t>, </w:t>
      </w:r>
      <w:r w:rsidRPr="00D144E2">
        <w:rPr>
          <w:i/>
          <w:iCs/>
        </w:rPr>
        <w:t>22</w:t>
      </w:r>
      <w:r w:rsidRPr="00D144E2">
        <w:t>(4), 730–737. https://doi.org/10.1016/j.jcf.2023.03.002</w:t>
      </w:r>
    </w:p>
  </w:footnote>
  <w:footnote w:id="10">
    <w:p w14:paraId="37C0EFC3" w14:textId="42878FFD" w:rsidR="00415AC5" w:rsidRDefault="00415AC5">
      <w:pPr>
        <w:pStyle w:val="FootnoteText"/>
      </w:pPr>
      <w:r>
        <w:rPr>
          <w:rStyle w:val="FootnoteReference"/>
        </w:rPr>
        <w:footnoteRef/>
      </w:r>
      <w:r>
        <w:t xml:space="preserve"> </w:t>
      </w:r>
      <w:r w:rsidR="00400F07" w:rsidRPr="00400F07">
        <w:t xml:space="preserve">Van Goor, F., Hadida, S., Grootenhuis, P. (2008). Pharmacological Rescue of Mutant CFTR Function for the Treatment of Cystic Fibrosis. In: Fermini, B., Priest, B.T. (eds) Ion Channels. Topics in Medicinal Chemistry, vol 3. Springer, Berlin, Heidelberg. </w:t>
      </w:r>
      <w:hyperlink r:id="rId8" w:history="1">
        <w:r w:rsidR="00D94103" w:rsidRPr="00E84FCB">
          <w:rPr>
            <w:rStyle w:val="Hyperlink"/>
          </w:rPr>
          <w:t>https://doi.org/10.1007/7355_2008_022</w:t>
        </w:r>
      </w:hyperlink>
      <w:r w:rsidR="00D94103">
        <w:t xml:space="preserve"> </w:t>
      </w:r>
    </w:p>
  </w:footnote>
  <w:footnote w:id="11">
    <w:p w14:paraId="3D63EAA4" w14:textId="1252463D" w:rsidR="0056112E" w:rsidRDefault="0056112E">
      <w:pPr>
        <w:pStyle w:val="FootnoteText"/>
      </w:pPr>
      <w:r>
        <w:rPr>
          <w:rStyle w:val="FootnoteReference"/>
        </w:rPr>
        <w:footnoteRef/>
      </w:r>
      <w:r>
        <w:t xml:space="preserve"> </w:t>
      </w:r>
      <w:r w:rsidRPr="0056112E">
        <w:t>Nichols, D. P., Paynter, A. C., Heltshe, S. L., Donaldson, S. H., Frederick, C. A., Freedman, S. D., Gelfond, D., Hoffman, L. R., Kelly, A., Narkewicz, M. R., Pittman, J. E., Ratjen, F., Rosenfeld, M., Sagel, S. D., Schwarzenberg, S. J., Singh, P. K., Solomon, G. M., Stalvey, M. S., Clancy, J. P., Kirby, S., … PROMISE Study group (2022). Clinical Effectiveness of Elexacaftor/Tezacaftor/Ivacaftor in People with Cystic Fibrosis: A Clinical Trial. </w:t>
      </w:r>
      <w:r w:rsidRPr="0056112E">
        <w:rPr>
          <w:i/>
          <w:iCs/>
        </w:rPr>
        <w:t>American journal of respiratory and critical care medicine</w:t>
      </w:r>
      <w:r w:rsidRPr="0056112E">
        <w:t>, </w:t>
      </w:r>
      <w:r w:rsidRPr="0056112E">
        <w:rPr>
          <w:i/>
          <w:iCs/>
        </w:rPr>
        <w:t>205</w:t>
      </w:r>
      <w:r w:rsidRPr="0056112E">
        <w:t xml:space="preserve">(5), 529–539. </w:t>
      </w:r>
      <w:hyperlink r:id="rId9" w:history="1">
        <w:r w:rsidR="004A6C36" w:rsidRPr="00E84FCB">
          <w:rPr>
            <w:rStyle w:val="Hyperlink"/>
          </w:rPr>
          <w:t>https://doi.org/10.1164/rccm.202108-1986OC</w:t>
        </w:r>
      </w:hyperlink>
      <w:r w:rsidR="004A6C36">
        <w:t xml:space="preserve"> </w:t>
      </w:r>
    </w:p>
  </w:footnote>
  <w:footnote w:id="12">
    <w:p w14:paraId="14F92D5A" w14:textId="4399A257" w:rsidR="004A6C36" w:rsidRDefault="004A6C36">
      <w:pPr>
        <w:pStyle w:val="FootnoteText"/>
      </w:pPr>
      <w:r>
        <w:rPr>
          <w:rStyle w:val="FootnoteReference"/>
        </w:rPr>
        <w:footnoteRef/>
      </w:r>
      <w:r>
        <w:t xml:space="preserve"> </w:t>
      </w:r>
      <w:r w:rsidRPr="004A6C36">
        <w:t>Middleton, P. G., Mall, M. A., Dřevínek, P., Lands, L. C., McKone, E. F., Polineni, D., Ramsey, B. W., Taylor-Cousar, J. L., Tullis, E., Vermeulen, F., Marigowda, G., McKee, C. M., Moskowitz, S. M., Nair, N., Savage, J., Simard, C., Tian, S., Waltz, D., Xuan, F., Rowe, S. M., … VX17-445-102 Study Group (2019). Elexacaftor-Tezacaftor-Ivacaftor for Cystic Fibrosis with a Single Phe508del Allele. </w:t>
      </w:r>
      <w:r w:rsidRPr="004A6C36">
        <w:rPr>
          <w:i/>
          <w:iCs/>
        </w:rPr>
        <w:t>The New England journal of medicine</w:t>
      </w:r>
      <w:r w:rsidRPr="004A6C36">
        <w:t>, </w:t>
      </w:r>
      <w:r w:rsidRPr="004A6C36">
        <w:rPr>
          <w:i/>
          <w:iCs/>
        </w:rPr>
        <w:t>381</w:t>
      </w:r>
      <w:r w:rsidRPr="004A6C36">
        <w:t xml:space="preserve">(19), 1809–1819. </w:t>
      </w:r>
      <w:hyperlink r:id="rId10" w:history="1">
        <w:r w:rsidRPr="00E84FCB">
          <w:rPr>
            <w:rStyle w:val="Hyperlink"/>
          </w:rPr>
          <w:t>https://doi.org/10.1056/NEJMoa1908639</w:t>
        </w:r>
      </w:hyperlink>
      <w:r>
        <w:t xml:space="preserve"> </w:t>
      </w:r>
    </w:p>
  </w:footnote>
  <w:footnote w:id="13">
    <w:p w14:paraId="56F5E285" w14:textId="3055695E" w:rsidR="006E60B4" w:rsidRDefault="006E60B4">
      <w:pPr>
        <w:pStyle w:val="FootnoteText"/>
      </w:pPr>
      <w:r>
        <w:rPr>
          <w:rStyle w:val="FootnoteReference"/>
        </w:rPr>
        <w:footnoteRef/>
      </w:r>
      <w:r>
        <w:t xml:space="preserve"> </w:t>
      </w:r>
      <w:r w:rsidRPr="006E60B4">
        <w:t>Heijerman, H. G. M., McKone, E. F., Downey, D. G., Van Braeckel, E., Rowe, S. M., Tullis, E., Mall, M. A., Welter, J. J., Ramsey, B. W., McKee, C. M., Marigowda, G., Moskowitz, S. M., Waltz, D., Sosnay, P. R., Simard, C., Ahluwalia, N., Xuan, F., Zhang, Y., Taylor-Cousar, J. L., McCoy, K. S., … VX17-445-103 Trial Group (2019). Efficacy and safety of the elexacaftor plus tezacaftor plus ivacaftor combination regimen in people with cystic fibrosis homozygous for the F508del mutation: a double-blind, randomised, phase 3 trial. </w:t>
      </w:r>
      <w:r w:rsidRPr="006E60B4">
        <w:rPr>
          <w:i/>
          <w:iCs/>
        </w:rPr>
        <w:t>Lancet (London, England)</w:t>
      </w:r>
      <w:r w:rsidRPr="006E60B4">
        <w:t>, </w:t>
      </w:r>
      <w:r w:rsidRPr="006E60B4">
        <w:rPr>
          <w:i/>
          <w:iCs/>
        </w:rPr>
        <w:t>394</w:t>
      </w:r>
      <w:r w:rsidRPr="006E60B4">
        <w:t xml:space="preserve">(10212), 1940–1948. </w:t>
      </w:r>
      <w:hyperlink r:id="rId11" w:history="1">
        <w:r w:rsidRPr="00E84FCB">
          <w:rPr>
            <w:rStyle w:val="Hyperlink"/>
          </w:rPr>
          <w:t>https://doi.org/10.1016/S0140-6736(19)32597-8</w:t>
        </w:r>
      </w:hyperlink>
      <w:r>
        <w:t xml:space="preserve"> </w:t>
      </w:r>
    </w:p>
  </w:footnote>
  <w:footnote w:id="14">
    <w:p w14:paraId="192629FD" w14:textId="07B13A12" w:rsidR="00A22F87" w:rsidRDefault="00A22F87">
      <w:pPr>
        <w:pStyle w:val="FootnoteText"/>
      </w:pPr>
      <w:r>
        <w:rPr>
          <w:rStyle w:val="FootnoteReference"/>
        </w:rPr>
        <w:footnoteRef/>
      </w:r>
      <w:r>
        <w:t xml:space="preserve"> </w:t>
      </w:r>
      <w:hyperlink r:id="rId12" w:history="1">
        <w:r w:rsidRPr="00A22F87">
          <w:rPr>
            <w:rStyle w:val="Hyperlink"/>
          </w:rPr>
          <w:t>SYMDEKO 100/150 tezacaftor 100 mg/ivacaftor 150 mg film-coated tablet and ivacaftor 150 mg film-coated tablet composite pack (298329) | Therapeutic Goods Administration (TGA)</w:t>
        </w:r>
      </w:hyperlink>
    </w:p>
  </w:footnote>
  <w:footnote w:id="15">
    <w:p w14:paraId="6D0804AF" w14:textId="6B81EC94" w:rsidR="00DE111A" w:rsidRDefault="00DE111A">
      <w:pPr>
        <w:pStyle w:val="FootnoteText"/>
      </w:pPr>
      <w:r>
        <w:rPr>
          <w:rStyle w:val="FootnoteReference"/>
        </w:rPr>
        <w:footnoteRef/>
      </w:r>
      <w:r>
        <w:t xml:space="preserve"> </w:t>
      </w:r>
      <w:hyperlink r:id="rId13" w:history="1">
        <w:r w:rsidRPr="00DE111A">
          <w:rPr>
            <w:rStyle w:val="Hyperlink"/>
          </w:rPr>
          <w:t>SYMDEKO 50/75 tezacaftor 50 mg/ivacaftor 75 mg film-coated tablet and ivacaftor 75 mg film-coated tablet composite pack (337367) | Therapeutic Goods Administration (TGA)</w:t>
        </w:r>
      </w:hyperlink>
    </w:p>
  </w:footnote>
  <w:footnote w:id="16">
    <w:p w14:paraId="1661145A" w14:textId="0CE5C028" w:rsidR="002569D0" w:rsidRDefault="002569D0">
      <w:pPr>
        <w:pStyle w:val="FootnoteText"/>
      </w:pPr>
      <w:r>
        <w:rPr>
          <w:rStyle w:val="FootnoteReference"/>
        </w:rPr>
        <w:footnoteRef/>
      </w:r>
      <w:r>
        <w:t xml:space="preserve"> </w:t>
      </w:r>
      <w:hyperlink r:id="rId14" w:history="1">
        <w:r w:rsidRPr="002569D0">
          <w:rPr>
            <w:rStyle w:val="Hyperlink"/>
          </w:rPr>
          <w:t>TRIKAFTA 100/50/75 GRANULES elexacaftor 100 mg/tezacaftor 50 mg/ivacaftor 75 mg granules and ivacaftor 75 mg granules sachet composite pack (402133) | Therapeutic Goods Administration (TGA)</w:t>
        </w:r>
      </w:hyperlink>
    </w:p>
  </w:footnote>
  <w:footnote w:id="17">
    <w:p w14:paraId="2560973B" w14:textId="29E80A1C" w:rsidR="00B0573E" w:rsidRDefault="00B0573E">
      <w:pPr>
        <w:pStyle w:val="FootnoteText"/>
      </w:pPr>
      <w:r>
        <w:rPr>
          <w:rStyle w:val="FootnoteReference"/>
        </w:rPr>
        <w:footnoteRef/>
      </w:r>
      <w:r>
        <w:t xml:space="preserve"> </w:t>
      </w:r>
      <w:hyperlink r:id="rId15" w:history="1">
        <w:r w:rsidRPr="00B0573E">
          <w:rPr>
            <w:rStyle w:val="Hyperlink"/>
          </w:rPr>
          <w:t>KALYDECO ivacaftor 150mg film-coated tablets blister pack (198655) | Therapeutic Goods Administration (TGA)</w:t>
        </w:r>
      </w:hyperlink>
      <w:r w:rsidR="00241BD0">
        <w:t xml:space="preserve"> </w:t>
      </w:r>
    </w:p>
  </w:footnote>
  <w:footnote w:id="18">
    <w:p w14:paraId="5B6D1404" w14:textId="09B172F0" w:rsidR="00F36418" w:rsidRDefault="00F36418">
      <w:pPr>
        <w:pStyle w:val="FootnoteText"/>
      </w:pPr>
      <w:r>
        <w:rPr>
          <w:rStyle w:val="FootnoteReference"/>
        </w:rPr>
        <w:footnoteRef/>
      </w:r>
      <w:r>
        <w:t xml:space="preserve"> </w:t>
      </w:r>
      <w:r w:rsidRPr="00F36418">
        <w:t>McKone, E. F., Velentgas, P., Swenson, A. J., &amp; Goss, C. H. (2015). Association of sweat chloride concentration at time of diagnosis and CFTR genotype with mortality and cystic fibrosis phenotype. </w:t>
      </w:r>
      <w:r w:rsidRPr="00F36418">
        <w:rPr>
          <w:i/>
          <w:iCs/>
        </w:rPr>
        <w:t xml:space="preserve">Journal of cystic </w:t>
      </w:r>
      <w:r w:rsidRPr="00F36418">
        <w:rPr>
          <w:i/>
          <w:iCs/>
        </w:rPr>
        <w:t>fibrosis : official journal of the European Cystic Fibrosis Society</w:t>
      </w:r>
      <w:r w:rsidRPr="00F36418">
        <w:t>, </w:t>
      </w:r>
      <w:r w:rsidRPr="00F36418">
        <w:rPr>
          <w:i/>
          <w:iCs/>
        </w:rPr>
        <w:t>14</w:t>
      </w:r>
      <w:r w:rsidRPr="00F36418">
        <w:t xml:space="preserve">(5), 580–586. </w:t>
      </w:r>
      <w:hyperlink r:id="rId16" w:history="1">
        <w:r w:rsidRPr="00E84FCB">
          <w:rPr>
            <w:rStyle w:val="Hyperlink"/>
          </w:rPr>
          <w:t>https://doi.org/10.1016/j.jcf.2015.01.005</w:t>
        </w:r>
      </w:hyperlink>
      <w:r>
        <w:t xml:space="preserve"> </w:t>
      </w:r>
    </w:p>
  </w:footnote>
  <w:footnote w:id="19">
    <w:p w14:paraId="3980C2E3" w14:textId="4D6C5CAC" w:rsidR="00D6492F" w:rsidRDefault="00D6492F">
      <w:pPr>
        <w:pStyle w:val="FootnoteText"/>
      </w:pPr>
      <w:r>
        <w:rPr>
          <w:rStyle w:val="FootnoteReference"/>
        </w:rPr>
        <w:footnoteRef/>
      </w:r>
      <w:r>
        <w:t xml:space="preserve"> </w:t>
      </w:r>
      <w:r w:rsidRPr="00D6492F">
        <w:t>Fidler, M. C., Beusmans, J., Panorchan, P., &amp; Van Goor, F. (2017). Correlation of sweat chloride and percent predicted FEV</w:t>
      </w:r>
      <w:r w:rsidRPr="00D6492F">
        <w:rPr>
          <w:vertAlign w:val="subscript"/>
        </w:rPr>
        <w:t>1</w:t>
      </w:r>
      <w:r w:rsidRPr="00D6492F">
        <w:t> in cystic fibrosis patients treated with ivacaftor. </w:t>
      </w:r>
      <w:r w:rsidRPr="00D6492F">
        <w:rPr>
          <w:i/>
          <w:iCs/>
        </w:rPr>
        <w:t xml:space="preserve">Journal of cystic </w:t>
      </w:r>
      <w:r w:rsidRPr="00D6492F">
        <w:rPr>
          <w:i/>
          <w:iCs/>
        </w:rPr>
        <w:t>fibrosis : official journal of the European Cystic Fibrosis Society</w:t>
      </w:r>
      <w:r w:rsidRPr="00D6492F">
        <w:t>, </w:t>
      </w:r>
      <w:r w:rsidRPr="00D6492F">
        <w:rPr>
          <w:i/>
          <w:iCs/>
        </w:rPr>
        <w:t>16</w:t>
      </w:r>
      <w:r w:rsidRPr="00D6492F">
        <w:t xml:space="preserve">(1), 41–44. </w:t>
      </w:r>
      <w:hyperlink r:id="rId17" w:history="1">
        <w:r w:rsidRPr="00E84FCB">
          <w:rPr>
            <w:rStyle w:val="Hyperlink"/>
          </w:rPr>
          <w:t>https://doi.org/10.1016/j.jcf.2016.10.002</w:t>
        </w:r>
      </w:hyperlink>
      <w:r>
        <w:t xml:space="preserve"> </w:t>
      </w:r>
    </w:p>
  </w:footnote>
  <w:footnote w:id="20">
    <w:p w14:paraId="5078FFE8" w14:textId="4C37A06C" w:rsidR="00AA55CD" w:rsidRDefault="00AA55CD">
      <w:pPr>
        <w:pStyle w:val="FootnoteText"/>
      </w:pPr>
      <w:r>
        <w:rPr>
          <w:rStyle w:val="FootnoteReference"/>
        </w:rPr>
        <w:footnoteRef/>
      </w:r>
      <w:r>
        <w:t xml:space="preserve"> </w:t>
      </w:r>
      <w:r w:rsidRPr="00AA55CD">
        <w:t xml:space="preserve">Keating, C., Yonker, L. M., Vermeulen, F., Prais, D., Linnemann, R. W., Trimble, A., </w:t>
      </w:r>
      <w:r w:rsidRPr="00AA55CD">
        <w:t>Kotsimbos, T., Mermis, J., Braun, A. T., O'Carroll, M., Sutharsan, S., Ramsey, B., Mall, M. A., Taylor-Cousar, J. L., McKone, E. F., Tullis, E., Floreth, T., Michelson, P., Sosnay, P. R., Nair, N., … VX20-121-103 Study Group (2025). Vanzacaftor-tezacaftor-deutivacaftor versus elexacaftor-tezacaftor-ivacaftor in individuals with cystic fibrosis aged 12 years and older (SKYLINE Trials VX20-121-102 and VX20-121-103): results from two randomised, active-controlled, phase 3 trials. </w:t>
      </w:r>
      <w:r w:rsidRPr="00AA55CD">
        <w:rPr>
          <w:i/>
          <w:iCs/>
        </w:rPr>
        <w:t>The Lancet. Respiratory medicine</w:t>
      </w:r>
      <w:r w:rsidRPr="00AA55CD">
        <w:t>, </w:t>
      </w:r>
      <w:r w:rsidRPr="00AA55CD">
        <w:rPr>
          <w:i/>
          <w:iCs/>
        </w:rPr>
        <w:t>13</w:t>
      </w:r>
      <w:r w:rsidRPr="00AA55CD">
        <w:t>(3), 256–271. https://doi.org/10.1016/S2213-2600(24)00411-9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26F7E"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0627"/>
    <w:multiLevelType w:val="hybridMultilevel"/>
    <w:tmpl w:val="6F0A5EB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E6BCB"/>
    <w:multiLevelType w:val="hybridMultilevel"/>
    <w:tmpl w:val="3DCA0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1A10F85"/>
    <w:multiLevelType w:val="hybridMultilevel"/>
    <w:tmpl w:val="9D38F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FF30A4"/>
    <w:multiLevelType w:val="hybridMultilevel"/>
    <w:tmpl w:val="5F303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42362D"/>
    <w:multiLevelType w:val="hybridMultilevel"/>
    <w:tmpl w:val="16D6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1C7D2C67"/>
    <w:multiLevelType w:val="hybridMultilevel"/>
    <w:tmpl w:val="50D0B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A544AA"/>
    <w:multiLevelType w:val="multilevel"/>
    <w:tmpl w:val="F2C8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EF6DD8"/>
    <w:multiLevelType w:val="hybridMultilevel"/>
    <w:tmpl w:val="DB642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28C84B5E"/>
    <w:multiLevelType w:val="hybridMultilevel"/>
    <w:tmpl w:val="5B38E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BD0427"/>
    <w:multiLevelType w:val="hybridMultilevel"/>
    <w:tmpl w:val="C8A63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E33FDE"/>
    <w:multiLevelType w:val="hybridMultilevel"/>
    <w:tmpl w:val="D0889728"/>
    <w:lvl w:ilvl="0" w:tplc="759A3424">
      <w:start w:val="1"/>
      <w:numFmt w:val="decimal"/>
      <w:lvlText w:val="%1."/>
      <w:lvlJc w:val="left"/>
      <w:pPr>
        <w:ind w:left="720" w:hanging="360"/>
      </w:pPr>
    </w:lvl>
    <w:lvl w:ilvl="1" w:tplc="A062414E">
      <w:start w:val="1"/>
      <w:numFmt w:val="decimal"/>
      <w:lvlText w:val="%2."/>
      <w:lvlJc w:val="left"/>
      <w:pPr>
        <w:ind w:left="720" w:hanging="360"/>
      </w:pPr>
    </w:lvl>
    <w:lvl w:ilvl="2" w:tplc="A36CEAF8">
      <w:start w:val="1"/>
      <w:numFmt w:val="decimal"/>
      <w:lvlText w:val="%3."/>
      <w:lvlJc w:val="left"/>
      <w:pPr>
        <w:ind w:left="720" w:hanging="360"/>
      </w:pPr>
    </w:lvl>
    <w:lvl w:ilvl="3" w:tplc="AE742E7A">
      <w:start w:val="1"/>
      <w:numFmt w:val="decimal"/>
      <w:lvlText w:val="%4."/>
      <w:lvlJc w:val="left"/>
      <w:pPr>
        <w:ind w:left="720" w:hanging="360"/>
      </w:pPr>
    </w:lvl>
    <w:lvl w:ilvl="4" w:tplc="8B5CBF7C">
      <w:start w:val="1"/>
      <w:numFmt w:val="decimal"/>
      <w:lvlText w:val="%5."/>
      <w:lvlJc w:val="left"/>
      <w:pPr>
        <w:ind w:left="720" w:hanging="360"/>
      </w:pPr>
    </w:lvl>
    <w:lvl w:ilvl="5" w:tplc="733C53B4">
      <w:start w:val="1"/>
      <w:numFmt w:val="decimal"/>
      <w:lvlText w:val="%6."/>
      <w:lvlJc w:val="left"/>
      <w:pPr>
        <w:ind w:left="720" w:hanging="360"/>
      </w:pPr>
    </w:lvl>
    <w:lvl w:ilvl="6" w:tplc="A43E5F6C">
      <w:start w:val="1"/>
      <w:numFmt w:val="decimal"/>
      <w:lvlText w:val="%7."/>
      <w:lvlJc w:val="left"/>
      <w:pPr>
        <w:ind w:left="720" w:hanging="360"/>
      </w:pPr>
    </w:lvl>
    <w:lvl w:ilvl="7" w:tplc="3134F7C2">
      <w:start w:val="1"/>
      <w:numFmt w:val="decimal"/>
      <w:lvlText w:val="%8."/>
      <w:lvlJc w:val="left"/>
      <w:pPr>
        <w:ind w:left="720" w:hanging="360"/>
      </w:pPr>
    </w:lvl>
    <w:lvl w:ilvl="8" w:tplc="5EDEBE88">
      <w:start w:val="1"/>
      <w:numFmt w:val="decimal"/>
      <w:lvlText w:val="%9."/>
      <w:lvlJc w:val="left"/>
      <w:pPr>
        <w:ind w:left="720" w:hanging="360"/>
      </w:pPr>
    </w:lvl>
  </w:abstractNum>
  <w:abstractNum w:abstractNumId="18" w15:restartNumberingAfterBreak="0">
    <w:nsid w:val="38E262BD"/>
    <w:multiLevelType w:val="hybridMultilevel"/>
    <w:tmpl w:val="4C002420"/>
    <w:lvl w:ilvl="0" w:tplc="1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6A463B"/>
    <w:multiLevelType w:val="hybridMultilevel"/>
    <w:tmpl w:val="1E867F18"/>
    <w:lvl w:ilvl="0" w:tplc="1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4C3B1F"/>
    <w:multiLevelType w:val="hybridMultilevel"/>
    <w:tmpl w:val="ADE84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643820"/>
    <w:multiLevelType w:val="hybridMultilevel"/>
    <w:tmpl w:val="CB227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2E6C6F"/>
    <w:multiLevelType w:val="hybridMultilevel"/>
    <w:tmpl w:val="508A551E"/>
    <w:lvl w:ilvl="0" w:tplc="E19261AC">
      <w:start w:val="1"/>
      <w:numFmt w:val="decimal"/>
      <w:lvlText w:val="%1."/>
      <w:lvlJc w:val="left"/>
      <w:pPr>
        <w:ind w:left="1440" w:hanging="360"/>
      </w:pPr>
    </w:lvl>
    <w:lvl w:ilvl="1" w:tplc="600AFE98">
      <w:start w:val="1"/>
      <w:numFmt w:val="decimal"/>
      <w:lvlText w:val="%2."/>
      <w:lvlJc w:val="left"/>
      <w:pPr>
        <w:ind w:left="1440" w:hanging="360"/>
      </w:pPr>
    </w:lvl>
    <w:lvl w:ilvl="2" w:tplc="9BEC3DC8">
      <w:start w:val="1"/>
      <w:numFmt w:val="decimal"/>
      <w:lvlText w:val="%3."/>
      <w:lvlJc w:val="left"/>
      <w:pPr>
        <w:ind w:left="1440" w:hanging="360"/>
      </w:pPr>
    </w:lvl>
    <w:lvl w:ilvl="3" w:tplc="A8A41D00">
      <w:start w:val="1"/>
      <w:numFmt w:val="decimal"/>
      <w:lvlText w:val="%4."/>
      <w:lvlJc w:val="left"/>
      <w:pPr>
        <w:ind w:left="1440" w:hanging="360"/>
      </w:pPr>
    </w:lvl>
    <w:lvl w:ilvl="4" w:tplc="FD8A247E">
      <w:start w:val="1"/>
      <w:numFmt w:val="decimal"/>
      <w:lvlText w:val="%5."/>
      <w:lvlJc w:val="left"/>
      <w:pPr>
        <w:ind w:left="1440" w:hanging="360"/>
      </w:pPr>
    </w:lvl>
    <w:lvl w:ilvl="5" w:tplc="484A8E78">
      <w:start w:val="1"/>
      <w:numFmt w:val="decimal"/>
      <w:lvlText w:val="%6."/>
      <w:lvlJc w:val="left"/>
      <w:pPr>
        <w:ind w:left="1440" w:hanging="360"/>
      </w:pPr>
    </w:lvl>
    <w:lvl w:ilvl="6" w:tplc="1BAAB0E4">
      <w:start w:val="1"/>
      <w:numFmt w:val="decimal"/>
      <w:lvlText w:val="%7."/>
      <w:lvlJc w:val="left"/>
      <w:pPr>
        <w:ind w:left="1440" w:hanging="360"/>
      </w:pPr>
    </w:lvl>
    <w:lvl w:ilvl="7" w:tplc="89AC0980">
      <w:start w:val="1"/>
      <w:numFmt w:val="decimal"/>
      <w:lvlText w:val="%8."/>
      <w:lvlJc w:val="left"/>
      <w:pPr>
        <w:ind w:left="1440" w:hanging="360"/>
      </w:pPr>
    </w:lvl>
    <w:lvl w:ilvl="8" w:tplc="B09603DA">
      <w:start w:val="1"/>
      <w:numFmt w:val="decimal"/>
      <w:lvlText w:val="%9."/>
      <w:lvlJc w:val="left"/>
      <w:pPr>
        <w:ind w:left="1440" w:hanging="360"/>
      </w:pPr>
    </w:lvl>
  </w:abstractNum>
  <w:abstractNum w:abstractNumId="2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4" w15:restartNumberingAfterBreak="0">
    <w:nsid w:val="46C250F3"/>
    <w:multiLevelType w:val="multilevel"/>
    <w:tmpl w:val="8260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F049AD"/>
    <w:multiLevelType w:val="hybridMultilevel"/>
    <w:tmpl w:val="556A3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BE4974"/>
    <w:multiLevelType w:val="hybridMultilevel"/>
    <w:tmpl w:val="721A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3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32" w15:restartNumberingAfterBreak="0">
    <w:nsid w:val="5D4738BA"/>
    <w:multiLevelType w:val="hybridMultilevel"/>
    <w:tmpl w:val="6256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1248D"/>
    <w:multiLevelType w:val="hybridMultilevel"/>
    <w:tmpl w:val="E794B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E50475"/>
    <w:multiLevelType w:val="hybridMultilevel"/>
    <w:tmpl w:val="70D40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374443"/>
    <w:multiLevelType w:val="hybridMultilevel"/>
    <w:tmpl w:val="F63C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A6790C"/>
    <w:multiLevelType w:val="hybridMultilevel"/>
    <w:tmpl w:val="45985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8" w15:restartNumberingAfterBreak="0">
    <w:nsid w:val="7DBE2CDA"/>
    <w:multiLevelType w:val="hybridMultilevel"/>
    <w:tmpl w:val="52002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2997172">
    <w:abstractNumId w:val="9"/>
  </w:num>
  <w:num w:numId="2" w16cid:durableId="1856573705">
    <w:abstractNumId w:val="3"/>
  </w:num>
  <w:num w:numId="3" w16cid:durableId="357703499">
    <w:abstractNumId w:val="8"/>
  </w:num>
  <w:num w:numId="4" w16cid:durableId="1869176708">
    <w:abstractNumId w:val="30"/>
  </w:num>
  <w:num w:numId="5" w16cid:durableId="1652950129">
    <w:abstractNumId w:val="14"/>
  </w:num>
  <w:num w:numId="6" w16cid:durableId="1053193207">
    <w:abstractNumId w:val="28"/>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9"/>
  </w:num>
  <w:num w:numId="9" w16cid:durableId="173421270">
    <w:abstractNumId w:val="4"/>
  </w:num>
  <w:num w:numId="10" w16cid:durableId="2108043357">
    <w:abstractNumId w:val="10"/>
  </w:num>
  <w:num w:numId="11" w16cid:durableId="1725904230">
    <w:abstractNumId w:val="23"/>
  </w:num>
  <w:num w:numId="12" w16cid:durableId="141579354">
    <w:abstractNumId w:val="31"/>
  </w:num>
  <w:num w:numId="13" w16cid:durableId="283735081">
    <w:abstractNumId w:val="37"/>
  </w:num>
  <w:num w:numId="14" w16cid:durableId="1159080682">
    <w:abstractNumId w:val="25"/>
  </w:num>
  <w:num w:numId="15" w16cid:durableId="1055541175">
    <w:abstractNumId w:val="12"/>
  </w:num>
  <w:num w:numId="16" w16cid:durableId="1867908495">
    <w:abstractNumId w:val="33"/>
  </w:num>
  <w:num w:numId="17" w16cid:durableId="769932178">
    <w:abstractNumId w:val="24"/>
  </w:num>
  <w:num w:numId="18" w16cid:durableId="1952320184">
    <w:abstractNumId w:val="32"/>
  </w:num>
  <w:num w:numId="19" w16cid:durableId="1097091294">
    <w:abstractNumId w:val="13"/>
  </w:num>
  <w:num w:numId="20" w16cid:durableId="421489251">
    <w:abstractNumId w:val="7"/>
  </w:num>
  <w:num w:numId="21" w16cid:durableId="2087485429">
    <w:abstractNumId w:val="15"/>
  </w:num>
  <w:num w:numId="22" w16cid:durableId="1778213326">
    <w:abstractNumId w:val="35"/>
  </w:num>
  <w:num w:numId="23" w16cid:durableId="718556561">
    <w:abstractNumId w:val="34"/>
  </w:num>
  <w:num w:numId="24" w16cid:durableId="133378375">
    <w:abstractNumId w:val="11"/>
  </w:num>
  <w:num w:numId="25" w16cid:durableId="2087220875">
    <w:abstractNumId w:val="36"/>
  </w:num>
  <w:num w:numId="26" w16cid:durableId="182599448">
    <w:abstractNumId w:val="21"/>
  </w:num>
  <w:num w:numId="27" w16cid:durableId="1438406953">
    <w:abstractNumId w:val="18"/>
  </w:num>
  <w:num w:numId="28" w16cid:durableId="1575163309">
    <w:abstractNumId w:val="19"/>
  </w:num>
  <w:num w:numId="29" w16cid:durableId="1228613971">
    <w:abstractNumId w:val="0"/>
  </w:num>
  <w:num w:numId="30" w16cid:durableId="16591080">
    <w:abstractNumId w:val="38"/>
  </w:num>
  <w:num w:numId="31" w16cid:durableId="1686708861">
    <w:abstractNumId w:val="26"/>
  </w:num>
  <w:num w:numId="32" w16cid:durableId="2091609694">
    <w:abstractNumId w:val="27"/>
  </w:num>
  <w:num w:numId="33" w16cid:durableId="1609002468">
    <w:abstractNumId w:val="2"/>
  </w:num>
  <w:num w:numId="34" w16cid:durableId="1565137268">
    <w:abstractNumId w:val="20"/>
  </w:num>
  <w:num w:numId="35" w16cid:durableId="2103842887">
    <w:abstractNumId w:val="6"/>
  </w:num>
  <w:num w:numId="36" w16cid:durableId="178393912">
    <w:abstractNumId w:val="1"/>
  </w:num>
  <w:num w:numId="37" w16cid:durableId="1993636873">
    <w:abstractNumId w:val="16"/>
  </w:num>
  <w:num w:numId="38" w16cid:durableId="1166702950">
    <w:abstractNumId w:val="5"/>
  </w:num>
  <w:num w:numId="39" w16cid:durableId="2056025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81056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0872982">
    <w:abstractNumId w:val="22"/>
  </w:num>
  <w:num w:numId="42" w16cid:durableId="188951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94A"/>
    <w:rsid w:val="00000E6E"/>
    <w:rsid w:val="00004431"/>
    <w:rsid w:val="00005062"/>
    <w:rsid w:val="00005DFC"/>
    <w:rsid w:val="0001064C"/>
    <w:rsid w:val="000132BD"/>
    <w:rsid w:val="0001384A"/>
    <w:rsid w:val="00021C13"/>
    <w:rsid w:val="00022351"/>
    <w:rsid w:val="000301A1"/>
    <w:rsid w:val="000303A0"/>
    <w:rsid w:val="00032A0F"/>
    <w:rsid w:val="0003640E"/>
    <w:rsid w:val="000400EC"/>
    <w:rsid w:val="00040D8D"/>
    <w:rsid w:val="00046423"/>
    <w:rsid w:val="000477F5"/>
    <w:rsid w:val="00047CCD"/>
    <w:rsid w:val="0005067C"/>
    <w:rsid w:val="00056883"/>
    <w:rsid w:val="00057093"/>
    <w:rsid w:val="00057186"/>
    <w:rsid w:val="0006104E"/>
    <w:rsid w:val="000640BD"/>
    <w:rsid w:val="00065839"/>
    <w:rsid w:val="00065FDF"/>
    <w:rsid w:val="000664C1"/>
    <w:rsid w:val="0006693A"/>
    <w:rsid w:val="00070AB1"/>
    <w:rsid w:val="000768FA"/>
    <w:rsid w:val="00077844"/>
    <w:rsid w:val="0008374C"/>
    <w:rsid w:val="00083763"/>
    <w:rsid w:val="00085D58"/>
    <w:rsid w:val="00086B5F"/>
    <w:rsid w:val="00090510"/>
    <w:rsid w:val="000911E7"/>
    <w:rsid w:val="000917AE"/>
    <w:rsid w:val="00094B81"/>
    <w:rsid w:val="00094EE1"/>
    <w:rsid w:val="00095C6A"/>
    <w:rsid w:val="000975AA"/>
    <w:rsid w:val="000A03F8"/>
    <w:rsid w:val="000A1352"/>
    <w:rsid w:val="000A6EC7"/>
    <w:rsid w:val="000B221B"/>
    <w:rsid w:val="000B265E"/>
    <w:rsid w:val="000B6B15"/>
    <w:rsid w:val="000C03A1"/>
    <w:rsid w:val="000C0EC8"/>
    <w:rsid w:val="000C1FAE"/>
    <w:rsid w:val="000C25A7"/>
    <w:rsid w:val="000C5432"/>
    <w:rsid w:val="000C717D"/>
    <w:rsid w:val="000D1C81"/>
    <w:rsid w:val="000D3E21"/>
    <w:rsid w:val="000D5C29"/>
    <w:rsid w:val="000D78EC"/>
    <w:rsid w:val="000D7934"/>
    <w:rsid w:val="000D7DBD"/>
    <w:rsid w:val="000E006F"/>
    <w:rsid w:val="000E0E8C"/>
    <w:rsid w:val="000E2434"/>
    <w:rsid w:val="000E2597"/>
    <w:rsid w:val="000E504E"/>
    <w:rsid w:val="000E6746"/>
    <w:rsid w:val="000F0D78"/>
    <w:rsid w:val="000F19A9"/>
    <w:rsid w:val="000F42D1"/>
    <w:rsid w:val="000F7B51"/>
    <w:rsid w:val="0010058B"/>
    <w:rsid w:val="00101907"/>
    <w:rsid w:val="00101BEE"/>
    <w:rsid w:val="00101CE6"/>
    <w:rsid w:val="00101FB1"/>
    <w:rsid w:val="00103D5D"/>
    <w:rsid w:val="0010558A"/>
    <w:rsid w:val="001101FF"/>
    <w:rsid w:val="001106BE"/>
    <w:rsid w:val="0011108B"/>
    <w:rsid w:val="00111989"/>
    <w:rsid w:val="00113648"/>
    <w:rsid w:val="00113F9F"/>
    <w:rsid w:val="00114025"/>
    <w:rsid w:val="00116A5D"/>
    <w:rsid w:val="001240C3"/>
    <w:rsid w:val="0012473C"/>
    <w:rsid w:val="00124ADC"/>
    <w:rsid w:val="00127A74"/>
    <w:rsid w:val="00130A86"/>
    <w:rsid w:val="0013132F"/>
    <w:rsid w:val="00131B1B"/>
    <w:rsid w:val="0013306D"/>
    <w:rsid w:val="00134D83"/>
    <w:rsid w:val="0013514E"/>
    <w:rsid w:val="0013528C"/>
    <w:rsid w:val="00136465"/>
    <w:rsid w:val="00136770"/>
    <w:rsid w:val="00137F16"/>
    <w:rsid w:val="001442A2"/>
    <w:rsid w:val="00145C5B"/>
    <w:rsid w:val="00145CF0"/>
    <w:rsid w:val="001468CA"/>
    <w:rsid w:val="00146B0E"/>
    <w:rsid w:val="00147868"/>
    <w:rsid w:val="001500A8"/>
    <w:rsid w:val="00155D85"/>
    <w:rsid w:val="00160CCA"/>
    <w:rsid w:val="00163E66"/>
    <w:rsid w:val="00164CFB"/>
    <w:rsid w:val="0016534C"/>
    <w:rsid w:val="00165D28"/>
    <w:rsid w:val="001662E6"/>
    <w:rsid w:val="0017005C"/>
    <w:rsid w:val="00172359"/>
    <w:rsid w:val="00174CE8"/>
    <w:rsid w:val="00175CD8"/>
    <w:rsid w:val="001767F0"/>
    <w:rsid w:val="00180DB8"/>
    <w:rsid w:val="00182BD8"/>
    <w:rsid w:val="001836D7"/>
    <w:rsid w:val="00190853"/>
    <w:rsid w:val="00195E5E"/>
    <w:rsid w:val="0019761A"/>
    <w:rsid w:val="001A0346"/>
    <w:rsid w:val="001A76F9"/>
    <w:rsid w:val="001B03E1"/>
    <w:rsid w:val="001B06FF"/>
    <w:rsid w:val="001B1703"/>
    <w:rsid w:val="001C1C2E"/>
    <w:rsid w:val="001C31A1"/>
    <w:rsid w:val="001C33A9"/>
    <w:rsid w:val="001C3FA2"/>
    <w:rsid w:val="001C5EE2"/>
    <w:rsid w:val="001C6620"/>
    <w:rsid w:val="001D0077"/>
    <w:rsid w:val="001D3E50"/>
    <w:rsid w:val="001D43CC"/>
    <w:rsid w:val="001E1552"/>
    <w:rsid w:val="001E263C"/>
    <w:rsid w:val="001E407B"/>
    <w:rsid w:val="001E6303"/>
    <w:rsid w:val="001E6AB5"/>
    <w:rsid w:val="001E7FC6"/>
    <w:rsid w:val="001F01DB"/>
    <w:rsid w:val="001F2502"/>
    <w:rsid w:val="001F3BF0"/>
    <w:rsid w:val="001F41F1"/>
    <w:rsid w:val="001F4231"/>
    <w:rsid w:val="001F70A5"/>
    <w:rsid w:val="0020235D"/>
    <w:rsid w:val="0020369B"/>
    <w:rsid w:val="002041BB"/>
    <w:rsid w:val="002052F5"/>
    <w:rsid w:val="00206683"/>
    <w:rsid w:val="00207B4D"/>
    <w:rsid w:val="00210F9B"/>
    <w:rsid w:val="002117B1"/>
    <w:rsid w:val="002121BB"/>
    <w:rsid w:val="002122E6"/>
    <w:rsid w:val="00212E03"/>
    <w:rsid w:val="0021782E"/>
    <w:rsid w:val="00217CCE"/>
    <w:rsid w:val="002203B1"/>
    <w:rsid w:val="002203BE"/>
    <w:rsid w:val="00226F39"/>
    <w:rsid w:val="00231E5A"/>
    <w:rsid w:val="002324C0"/>
    <w:rsid w:val="00232D64"/>
    <w:rsid w:val="002334AD"/>
    <w:rsid w:val="00241B60"/>
    <w:rsid w:val="00241BD0"/>
    <w:rsid w:val="002502A0"/>
    <w:rsid w:val="00250D50"/>
    <w:rsid w:val="00250FCB"/>
    <w:rsid w:val="00251FC1"/>
    <w:rsid w:val="00252B2C"/>
    <w:rsid w:val="0025316B"/>
    <w:rsid w:val="002562D9"/>
    <w:rsid w:val="002569D0"/>
    <w:rsid w:val="0025785B"/>
    <w:rsid w:val="00257969"/>
    <w:rsid w:val="00265CD1"/>
    <w:rsid w:val="00266DAC"/>
    <w:rsid w:val="002670A1"/>
    <w:rsid w:val="0027495A"/>
    <w:rsid w:val="00274CDC"/>
    <w:rsid w:val="002778B9"/>
    <w:rsid w:val="00280048"/>
    <w:rsid w:val="0028214E"/>
    <w:rsid w:val="00283D71"/>
    <w:rsid w:val="0028489E"/>
    <w:rsid w:val="002848DE"/>
    <w:rsid w:val="00285BC8"/>
    <w:rsid w:val="00286FA0"/>
    <w:rsid w:val="0028794E"/>
    <w:rsid w:val="00287F6A"/>
    <w:rsid w:val="0029256C"/>
    <w:rsid w:val="00292A12"/>
    <w:rsid w:val="0029733B"/>
    <w:rsid w:val="002A5841"/>
    <w:rsid w:val="002B05D9"/>
    <w:rsid w:val="002B1EDF"/>
    <w:rsid w:val="002B2061"/>
    <w:rsid w:val="002B28A2"/>
    <w:rsid w:val="002B2E7C"/>
    <w:rsid w:val="002B33C3"/>
    <w:rsid w:val="002B3DFF"/>
    <w:rsid w:val="002C1232"/>
    <w:rsid w:val="002C1E44"/>
    <w:rsid w:val="002C5C92"/>
    <w:rsid w:val="002C5E29"/>
    <w:rsid w:val="002D0478"/>
    <w:rsid w:val="002D242C"/>
    <w:rsid w:val="002D5BE0"/>
    <w:rsid w:val="002D70B9"/>
    <w:rsid w:val="002D7127"/>
    <w:rsid w:val="002E18CD"/>
    <w:rsid w:val="002E1DA4"/>
    <w:rsid w:val="002F599E"/>
    <w:rsid w:val="003008D8"/>
    <w:rsid w:val="00301D9A"/>
    <w:rsid w:val="003035FB"/>
    <w:rsid w:val="00303959"/>
    <w:rsid w:val="003051D8"/>
    <w:rsid w:val="00306E72"/>
    <w:rsid w:val="00312A85"/>
    <w:rsid w:val="00312AC3"/>
    <w:rsid w:val="00313787"/>
    <w:rsid w:val="00314430"/>
    <w:rsid w:val="00314815"/>
    <w:rsid w:val="003163BC"/>
    <w:rsid w:val="00321260"/>
    <w:rsid w:val="003212D9"/>
    <w:rsid w:val="003229E6"/>
    <w:rsid w:val="0032351A"/>
    <w:rsid w:val="00324B33"/>
    <w:rsid w:val="00327488"/>
    <w:rsid w:val="00327EDB"/>
    <w:rsid w:val="0033118D"/>
    <w:rsid w:val="00331595"/>
    <w:rsid w:val="003351B7"/>
    <w:rsid w:val="003358AB"/>
    <w:rsid w:val="00336FE1"/>
    <w:rsid w:val="003378BD"/>
    <w:rsid w:val="00337BD8"/>
    <w:rsid w:val="0034004D"/>
    <w:rsid w:val="00342D56"/>
    <w:rsid w:val="00344716"/>
    <w:rsid w:val="003456E7"/>
    <w:rsid w:val="00346EC2"/>
    <w:rsid w:val="003477F9"/>
    <w:rsid w:val="00350444"/>
    <w:rsid w:val="00351585"/>
    <w:rsid w:val="0035444D"/>
    <w:rsid w:val="00355EBA"/>
    <w:rsid w:val="00356D62"/>
    <w:rsid w:val="00363EE3"/>
    <w:rsid w:val="0036528D"/>
    <w:rsid w:val="00371748"/>
    <w:rsid w:val="00372C04"/>
    <w:rsid w:val="003735F3"/>
    <w:rsid w:val="003736E9"/>
    <w:rsid w:val="00374237"/>
    <w:rsid w:val="00374729"/>
    <w:rsid w:val="00375038"/>
    <w:rsid w:val="003762F2"/>
    <w:rsid w:val="003770E9"/>
    <w:rsid w:val="003779D0"/>
    <w:rsid w:val="00377A4E"/>
    <w:rsid w:val="003811AC"/>
    <w:rsid w:val="003813A9"/>
    <w:rsid w:val="00381965"/>
    <w:rsid w:val="00385630"/>
    <w:rsid w:val="00387298"/>
    <w:rsid w:val="00387984"/>
    <w:rsid w:val="003908A1"/>
    <w:rsid w:val="003916E9"/>
    <w:rsid w:val="003921A9"/>
    <w:rsid w:val="003933A5"/>
    <w:rsid w:val="00394847"/>
    <w:rsid w:val="00395140"/>
    <w:rsid w:val="00395CAC"/>
    <w:rsid w:val="003A2422"/>
    <w:rsid w:val="003B0030"/>
    <w:rsid w:val="003B149C"/>
    <w:rsid w:val="003B2219"/>
    <w:rsid w:val="003B295A"/>
    <w:rsid w:val="003B3B43"/>
    <w:rsid w:val="003B480A"/>
    <w:rsid w:val="003B6605"/>
    <w:rsid w:val="003B6A95"/>
    <w:rsid w:val="003C0C7B"/>
    <w:rsid w:val="003C0FDB"/>
    <w:rsid w:val="003C1192"/>
    <w:rsid w:val="003C39D9"/>
    <w:rsid w:val="003C55E2"/>
    <w:rsid w:val="003C63D5"/>
    <w:rsid w:val="003C742B"/>
    <w:rsid w:val="003C7AA8"/>
    <w:rsid w:val="003D1F86"/>
    <w:rsid w:val="003D2975"/>
    <w:rsid w:val="003D6E47"/>
    <w:rsid w:val="003D71A1"/>
    <w:rsid w:val="003E0BBA"/>
    <w:rsid w:val="003E13BC"/>
    <w:rsid w:val="003E6724"/>
    <w:rsid w:val="003F1D4F"/>
    <w:rsid w:val="003F1DC3"/>
    <w:rsid w:val="003F34EC"/>
    <w:rsid w:val="003F506A"/>
    <w:rsid w:val="003F6193"/>
    <w:rsid w:val="00400F07"/>
    <w:rsid w:val="00415AC5"/>
    <w:rsid w:val="0041688F"/>
    <w:rsid w:val="00421BC3"/>
    <w:rsid w:val="00422587"/>
    <w:rsid w:val="0042376F"/>
    <w:rsid w:val="004246B8"/>
    <w:rsid w:val="004248F1"/>
    <w:rsid w:val="00433318"/>
    <w:rsid w:val="004347D0"/>
    <w:rsid w:val="00434B8E"/>
    <w:rsid w:val="00435B7D"/>
    <w:rsid w:val="00437C60"/>
    <w:rsid w:val="00440D10"/>
    <w:rsid w:val="004411D9"/>
    <w:rsid w:val="0044175A"/>
    <w:rsid w:val="00442A56"/>
    <w:rsid w:val="004433F9"/>
    <w:rsid w:val="004444B0"/>
    <w:rsid w:val="004476EF"/>
    <w:rsid w:val="0045060B"/>
    <w:rsid w:val="00452EE4"/>
    <w:rsid w:val="004539AF"/>
    <w:rsid w:val="004626FF"/>
    <w:rsid w:val="0046285C"/>
    <w:rsid w:val="00462E58"/>
    <w:rsid w:val="00464C4F"/>
    <w:rsid w:val="00464DE2"/>
    <w:rsid w:val="00467B95"/>
    <w:rsid w:val="00470A52"/>
    <w:rsid w:val="00471BD5"/>
    <w:rsid w:val="00477C4E"/>
    <w:rsid w:val="00477F07"/>
    <w:rsid w:val="00481503"/>
    <w:rsid w:val="00481D12"/>
    <w:rsid w:val="00483665"/>
    <w:rsid w:val="00483C59"/>
    <w:rsid w:val="004854A6"/>
    <w:rsid w:val="00491A55"/>
    <w:rsid w:val="00492CB4"/>
    <w:rsid w:val="00493755"/>
    <w:rsid w:val="00494C3E"/>
    <w:rsid w:val="00497CBB"/>
    <w:rsid w:val="00497DF1"/>
    <w:rsid w:val="004A318E"/>
    <w:rsid w:val="004A45D4"/>
    <w:rsid w:val="004A57E8"/>
    <w:rsid w:val="004A676C"/>
    <w:rsid w:val="004A6C36"/>
    <w:rsid w:val="004B0304"/>
    <w:rsid w:val="004B04C7"/>
    <w:rsid w:val="004B0D95"/>
    <w:rsid w:val="004B2898"/>
    <w:rsid w:val="004B3081"/>
    <w:rsid w:val="004B3D5E"/>
    <w:rsid w:val="004B4A09"/>
    <w:rsid w:val="004B56FB"/>
    <w:rsid w:val="004C37E4"/>
    <w:rsid w:val="004C41B0"/>
    <w:rsid w:val="004C41CE"/>
    <w:rsid w:val="004C47E3"/>
    <w:rsid w:val="004C631B"/>
    <w:rsid w:val="004D0933"/>
    <w:rsid w:val="004D229F"/>
    <w:rsid w:val="004D2F00"/>
    <w:rsid w:val="004D31D8"/>
    <w:rsid w:val="004D35D1"/>
    <w:rsid w:val="004D4AD5"/>
    <w:rsid w:val="004D5388"/>
    <w:rsid w:val="004D5A7E"/>
    <w:rsid w:val="004D7F72"/>
    <w:rsid w:val="004E7631"/>
    <w:rsid w:val="004E7F16"/>
    <w:rsid w:val="004F18EC"/>
    <w:rsid w:val="004F58C0"/>
    <w:rsid w:val="004F6271"/>
    <w:rsid w:val="004F731C"/>
    <w:rsid w:val="005003D0"/>
    <w:rsid w:val="00500D68"/>
    <w:rsid w:val="005021F0"/>
    <w:rsid w:val="00505E81"/>
    <w:rsid w:val="005108E2"/>
    <w:rsid w:val="00513A13"/>
    <w:rsid w:val="00515EC2"/>
    <w:rsid w:val="00516D9F"/>
    <w:rsid w:val="00517EA4"/>
    <w:rsid w:val="005201BF"/>
    <w:rsid w:val="005217E8"/>
    <w:rsid w:val="0053377D"/>
    <w:rsid w:val="005348E4"/>
    <w:rsid w:val="0053584E"/>
    <w:rsid w:val="00535DFE"/>
    <w:rsid w:val="005373B5"/>
    <w:rsid w:val="00537AB7"/>
    <w:rsid w:val="00544D42"/>
    <w:rsid w:val="0054669B"/>
    <w:rsid w:val="005503C5"/>
    <w:rsid w:val="00550B79"/>
    <w:rsid w:val="00557684"/>
    <w:rsid w:val="00560A23"/>
    <w:rsid w:val="00560EC1"/>
    <w:rsid w:val="005610D1"/>
    <w:rsid w:val="0056112E"/>
    <w:rsid w:val="00562F42"/>
    <w:rsid w:val="00563506"/>
    <w:rsid w:val="00565739"/>
    <w:rsid w:val="0056766D"/>
    <w:rsid w:val="00570356"/>
    <w:rsid w:val="00573F9F"/>
    <w:rsid w:val="00575215"/>
    <w:rsid w:val="00575F1A"/>
    <w:rsid w:val="00576FAD"/>
    <w:rsid w:val="005775D0"/>
    <w:rsid w:val="005777D7"/>
    <w:rsid w:val="00581138"/>
    <w:rsid w:val="005820B6"/>
    <w:rsid w:val="005828A4"/>
    <w:rsid w:val="005855DE"/>
    <w:rsid w:val="0058575E"/>
    <w:rsid w:val="00585E2F"/>
    <w:rsid w:val="0058783C"/>
    <w:rsid w:val="005911AE"/>
    <w:rsid w:val="005926E2"/>
    <w:rsid w:val="0059313A"/>
    <w:rsid w:val="00595531"/>
    <w:rsid w:val="005A0EA9"/>
    <w:rsid w:val="005A3266"/>
    <w:rsid w:val="005A3B29"/>
    <w:rsid w:val="005A54EA"/>
    <w:rsid w:val="005B023F"/>
    <w:rsid w:val="005B02A2"/>
    <w:rsid w:val="005B036E"/>
    <w:rsid w:val="005B1417"/>
    <w:rsid w:val="005B15CB"/>
    <w:rsid w:val="005B5108"/>
    <w:rsid w:val="005B5967"/>
    <w:rsid w:val="005B69CF"/>
    <w:rsid w:val="005C1D58"/>
    <w:rsid w:val="005C2D24"/>
    <w:rsid w:val="005C3F07"/>
    <w:rsid w:val="005C4B46"/>
    <w:rsid w:val="005C5DC5"/>
    <w:rsid w:val="005D0E1E"/>
    <w:rsid w:val="005D1211"/>
    <w:rsid w:val="005D2089"/>
    <w:rsid w:val="005D61BB"/>
    <w:rsid w:val="005D7514"/>
    <w:rsid w:val="005E046F"/>
    <w:rsid w:val="005E0FC6"/>
    <w:rsid w:val="005E1A7B"/>
    <w:rsid w:val="005E231F"/>
    <w:rsid w:val="005E6C7A"/>
    <w:rsid w:val="005F0AC0"/>
    <w:rsid w:val="005F1FF4"/>
    <w:rsid w:val="005F4AAF"/>
    <w:rsid w:val="005F7DEE"/>
    <w:rsid w:val="00601951"/>
    <w:rsid w:val="00601C59"/>
    <w:rsid w:val="00602D6E"/>
    <w:rsid w:val="0060570D"/>
    <w:rsid w:val="00605C05"/>
    <w:rsid w:val="00605D84"/>
    <w:rsid w:val="00611351"/>
    <w:rsid w:val="0061217D"/>
    <w:rsid w:val="006129AE"/>
    <w:rsid w:val="00614853"/>
    <w:rsid w:val="00621349"/>
    <w:rsid w:val="0062154B"/>
    <w:rsid w:val="00622854"/>
    <w:rsid w:val="0062652C"/>
    <w:rsid w:val="006277A1"/>
    <w:rsid w:val="006315AC"/>
    <w:rsid w:val="00633BD7"/>
    <w:rsid w:val="00634580"/>
    <w:rsid w:val="00634884"/>
    <w:rsid w:val="006351D9"/>
    <w:rsid w:val="00637130"/>
    <w:rsid w:val="00637F0E"/>
    <w:rsid w:val="00640A54"/>
    <w:rsid w:val="006411E7"/>
    <w:rsid w:val="006423F2"/>
    <w:rsid w:val="006428C5"/>
    <w:rsid w:val="00646C58"/>
    <w:rsid w:val="00650234"/>
    <w:rsid w:val="00653DEC"/>
    <w:rsid w:val="006576E6"/>
    <w:rsid w:val="0066044B"/>
    <w:rsid w:val="006630AA"/>
    <w:rsid w:val="00663544"/>
    <w:rsid w:val="00666539"/>
    <w:rsid w:val="00666911"/>
    <w:rsid w:val="00673314"/>
    <w:rsid w:val="00675F81"/>
    <w:rsid w:val="00675FE7"/>
    <w:rsid w:val="00677040"/>
    <w:rsid w:val="006802B8"/>
    <w:rsid w:val="0068143E"/>
    <w:rsid w:val="0068507D"/>
    <w:rsid w:val="006859DA"/>
    <w:rsid w:val="00686DC2"/>
    <w:rsid w:val="00691AF2"/>
    <w:rsid w:val="00692B80"/>
    <w:rsid w:val="00692CCD"/>
    <w:rsid w:val="00692D51"/>
    <w:rsid w:val="006942F9"/>
    <w:rsid w:val="00694DD7"/>
    <w:rsid w:val="0069636B"/>
    <w:rsid w:val="00696FDC"/>
    <w:rsid w:val="006A04FF"/>
    <w:rsid w:val="006A1762"/>
    <w:rsid w:val="006A19CE"/>
    <w:rsid w:val="006A1F0B"/>
    <w:rsid w:val="006A277A"/>
    <w:rsid w:val="006A5973"/>
    <w:rsid w:val="006A6947"/>
    <w:rsid w:val="006A7F57"/>
    <w:rsid w:val="006B04F3"/>
    <w:rsid w:val="006B25FD"/>
    <w:rsid w:val="006B54EA"/>
    <w:rsid w:val="006B5E64"/>
    <w:rsid w:val="006B6A4A"/>
    <w:rsid w:val="006B7126"/>
    <w:rsid w:val="006C1CC6"/>
    <w:rsid w:val="006C6B86"/>
    <w:rsid w:val="006D156E"/>
    <w:rsid w:val="006D4553"/>
    <w:rsid w:val="006D4A35"/>
    <w:rsid w:val="006D6B44"/>
    <w:rsid w:val="006E0F71"/>
    <w:rsid w:val="006E27FE"/>
    <w:rsid w:val="006E31B8"/>
    <w:rsid w:val="006E5756"/>
    <w:rsid w:val="006E60B4"/>
    <w:rsid w:val="006E6C4C"/>
    <w:rsid w:val="006F0497"/>
    <w:rsid w:val="006F2005"/>
    <w:rsid w:val="006F2F36"/>
    <w:rsid w:val="006F5B43"/>
    <w:rsid w:val="006F6690"/>
    <w:rsid w:val="00700B63"/>
    <w:rsid w:val="00700C47"/>
    <w:rsid w:val="00701110"/>
    <w:rsid w:val="00701F9A"/>
    <w:rsid w:val="00702E91"/>
    <w:rsid w:val="0070330F"/>
    <w:rsid w:val="0070351C"/>
    <w:rsid w:val="00703624"/>
    <w:rsid w:val="007046ED"/>
    <w:rsid w:val="00704B2E"/>
    <w:rsid w:val="0070541F"/>
    <w:rsid w:val="00705FED"/>
    <w:rsid w:val="007072A1"/>
    <w:rsid w:val="007104C1"/>
    <w:rsid w:val="0071060C"/>
    <w:rsid w:val="00710BC5"/>
    <w:rsid w:val="00710C70"/>
    <w:rsid w:val="0071144D"/>
    <w:rsid w:val="007121CA"/>
    <w:rsid w:val="00712540"/>
    <w:rsid w:val="0072003B"/>
    <w:rsid w:val="00720B33"/>
    <w:rsid w:val="00721059"/>
    <w:rsid w:val="007211E6"/>
    <w:rsid w:val="007220C4"/>
    <w:rsid w:val="007229F2"/>
    <w:rsid w:val="007272F1"/>
    <w:rsid w:val="007305ED"/>
    <w:rsid w:val="007308DB"/>
    <w:rsid w:val="00730EB4"/>
    <w:rsid w:val="007311B9"/>
    <w:rsid w:val="00732361"/>
    <w:rsid w:val="007347A7"/>
    <w:rsid w:val="0073527E"/>
    <w:rsid w:val="007357B9"/>
    <w:rsid w:val="00735BCE"/>
    <w:rsid w:val="007365E0"/>
    <w:rsid w:val="00741AB9"/>
    <w:rsid w:val="00742B93"/>
    <w:rsid w:val="00742D03"/>
    <w:rsid w:val="00744216"/>
    <w:rsid w:val="007452E8"/>
    <w:rsid w:val="00745824"/>
    <w:rsid w:val="00746990"/>
    <w:rsid w:val="00747093"/>
    <w:rsid w:val="00750D70"/>
    <w:rsid w:val="00750FC4"/>
    <w:rsid w:val="0075363E"/>
    <w:rsid w:val="00753C5E"/>
    <w:rsid w:val="00754D30"/>
    <w:rsid w:val="007556CD"/>
    <w:rsid w:val="007575D0"/>
    <w:rsid w:val="007579BC"/>
    <w:rsid w:val="00763566"/>
    <w:rsid w:val="007662E0"/>
    <w:rsid w:val="00771743"/>
    <w:rsid w:val="00774582"/>
    <w:rsid w:val="00776E9C"/>
    <w:rsid w:val="0077741E"/>
    <w:rsid w:val="007816D8"/>
    <w:rsid w:val="00783266"/>
    <w:rsid w:val="00784150"/>
    <w:rsid w:val="007864A2"/>
    <w:rsid w:val="00787789"/>
    <w:rsid w:val="0078793D"/>
    <w:rsid w:val="007925C5"/>
    <w:rsid w:val="00793272"/>
    <w:rsid w:val="0079499A"/>
    <w:rsid w:val="00794B64"/>
    <w:rsid w:val="007967C3"/>
    <w:rsid w:val="00796C96"/>
    <w:rsid w:val="00797F6B"/>
    <w:rsid w:val="007A058D"/>
    <w:rsid w:val="007A0A33"/>
    <w:rsid w:val="007B04DE"/>
    <w:rsid w:val="007B0AE6"/>
    <w:rsid w:val="007B5CA3"/>
    <w:rsid w:val="007C0F0B"/>
    <w:rsid w:val="007C3A72"/>
    <w:rsid w:val="007C3DF9"/>
    <w:rsid w:val="007C40D6"/>
    <w:rsid w:val="007C57BC"/>
    <w:rsid w:val="007D04CA"/>
    <w:rsid w:val="007D0A2B"/>
    <w:rsid w:val="007D12A1"/>
    <w:rsid w:val="007D40E5"/>
    <w:rsid w:val="007D4138"/>
    <w:rsid w:val="007E1CE8"/>
    <w:rsid w:val="007E4178"/>
    <w:rsid w:val="007E48FC"/>
    <w:rsid w:val="007E6443"/>
    <w:rsid w:val="007E7657"/>
    <w:rsid w:val="007F0A77"/>
    <w:rsid w:val="007F1E37"/>
    <w:rsid w:val="007F3927"/>
    <w:rsid w:val="007F4B0D"/>
    <w:rsid w:val="007F50D3"/>
    <w:rsid w:val="007F6B1F"/>
    <w:rsid w:val="007F72ED"/>
    <w:rsid w:val="008013F0"/>
    <w:rsid w:val="008031B4"/>
    <w:rsid w:val="00803926"/>
    <w:rsid w:val="00804066"/>
    <w:rsid w:val="00804897"/>
    <w:rsid w:val="00805C57"/>
    <w:rsid w:val="008076DE"/>
    <w:rsid w:val="00812A87"/>
    <w:rsid w:val="008169DF"/>
    <w:rsid w:val="008171FF"/>
    <w:rsid w:val="00821F89"/>
    <w:rsid w:val="0082421E"/>
    <w:rsid w:val="00826846"/>
    <w:rsid w:val="00830789"/>
    <w:rsid w:val="008329DB"/>
    <w:rsid w:val="008361C5"/>
    <w:rsid w:val="0083628F"/>
    <w:rsid w:val="00837261"/>
    <w:rsid w:val="00837AB9"/>
    <w:rsid w:val="0084065F"/>
    <w:rsid w:val="00850637"/>
    <w:rsid w:val="00854D98"/>
    <w:rsid w:val="00856A53"/>
    <w:rsid w:val="0085751E"/>
    <w:rsid w:val="00860B29"/>
    <w:rsid w:val="00861BD8"/>
    <w:rsid w:val="008622E8"/>
    <w:rsid w:val="008645EE"/>
    <w:rsid w:val="008656C1"/>
    <w:rsid w:val="00870144"/>
    <w:rsid w:val="0087072C"/>
    <w:rsid w:val="00871312"/>
    <w:rsid w:val="008713EE"/>
    <w:rsid w:val="00873D7A"/>
    <w:rsid w:val="00875669"/>
    <w:rsid w:val="008756CF"/>
    <w:rsid w:val="00877CB3"/>
    <w:rsid w:val="008804CF"/>
    <w:rsid w:val="00882D58"/>
    <w:rsid w:val="00882F19"/>
    <w:rsid w:val="00883D35"/>
    <w:rsid w:val="00883EF0"/>
    <w:rsid w:val="00884569"/>
    <w:rsid w:val="00887A51"/>
    <w:rsid w:val="0089038A"/>
    <w:rsid w:val="00890D9B"/>
    <w:rsid w:val="00891C6C"/>
    <w:rsid w:val="00893CCD"/>
    <w:rsid w:val="008954AB"/>
    <w:rsid w:val="0089638D"/>
    <w:rsid w:val="008964B3"/>
    <w:rsid w:val="008A2EB9"/>
    <w:rsid w:val="008A3D71"/>
    <w:rsid w:val="008A5E34"/>
    <w:rsid w:val="008B0C9E"/>
    <w:rsid w:val="008B1CB5"/>
    <w:rsid w:val="008B4BC8"/>
    <w:rsid w:val="008B55E6"/>
    <w:rsid w:val="008C133A"/>
    <w:rsid w:val="008C2090"/>
    <w:rsid w:val="008C2D69"/>
    <w:rsid w:val="008C2F8C"/>
    <w:rsid w:val="008C4579"/>
    <w:rsid w:val="008C468E"/>
    <w:rsid w:val="008C49C6"/>
    <w:rsid w:val="008C754C"/>
    <w:rsid w:val="008D4B89"/>
    <w:rsid w:val="008D56C9"/>
    <w:rsid w:val="008D56CA"/>
    <w:rsid w:val="008D6A54"/>
    <w:rsid w:val="008D7018"/>
    <w:rsid w:val="008E05AF"/>
    <w:rsid w:val="008E2585"/>
    <w:rsid w:val="008E2D7A"/>
    <w:rsid w:val="008E6DB9"/>
    <w:rsid w:val="008F17BC"/>
    <w:rsid w:val="008F3215"/>
    <w:rsid w:val="008F4A34"/>
    <w:rsid w:val="008F4A62"/>
    <w:rsid w:val="008F4B0E"/>
    <w:rsid w:val="008F7256"/>
    <w:rsid w:val="00903ABF"/>
    <w:rsid w:val="0090424C"/>
    <w:rsid w:val="009049BE"/>
    <w:rsid w:val="00905D20"/>
    <w:rsid w:val="0090605E"/>
    <w:rsid w:val="0090637E"/>
    <w:rsid w:val="00906A97"/>
    <w:rsid w:val="00906C74"/>
    <w:rsid w:val="009108CE"/>
    <w:rsid w:val="00910AB5"/>
    <w:rsid w:val="009124D5"/>
    <w:rsid w:val="00914A9A"/>
    <w:rsid w:val="00915283"/>
    <w:rsid w:val="00915A9F"/>
    <w:rsid w:val="009210C0"/>
    <w:rsid w:val="009213C1"/>
    <w:rsid w:val="00926F7E"/>
    <w:rsid w:val="009307BC"/>
    <w:rsid w:val="00930D58"/>
    <w:rsid w:val="00932AAC"/>
    <w:rsid w:val="009340FD"/>
    <w:rsid w:val="009352B2"/>
    <w:rsid w:val="0093596C"/>
    <w:rsid w:val="00935AAA"/>
    <w:rsid w:val="00936085"/>
    <w:rsid w:val="009362DC"/>
    <w:rsid w:val="009444E5"/>
    <w:rsid w:val="00946647"/>
    <w:rsid w:val="0095031E"/>
    <w:rsid w:val="00950ECA"/>
    <w:rsid w:val="00951168"/>
    <w:rsid w:val="00952F4B"/>
    <w:rsid w:val="00954297"/>
    <w:rsid w:val="0095480B"/>
    <w:rsid w:val="00956594"/>
    <w:rsid w:val="00960A56"/>
    <w:rsid w:val="00961F35"/>
    <w:rsid w:val="00965E7E"/>
    <w:rsid w:val="00966EF1"/>
    <w:rsid w:val="00967223"/>
    <w:rsid w:val="00973DDE"/>
    <w:rsid w:val="009747FD"/>
    <w:rsid w:val="009751F7"/>
    <w:rsid w:val="0097540F"/>
    <w:rsid w:val="0098168B"/>
    <w:rsid w:val="009821CE"/>
    <w:rsid w:val="0098350E"/>
    <w:rsid w:val="00983E3D"/>
    <w:rsid w:val="0099048F"/>
    <w:rsid w:val="00990C12"/>
    <w:rsid w:val="0099404F"/>
    <w:rsid w:val="0099423C"/>
    <w:rsid w:val="00996FA5"/>
    <w:rsid w:val="009A0866"/>
    <w:rsid w:val="009A08C6"/>
    <w:rsid w:val="009A1669"/>
    <w:rsid w:val="009A5C15"/>
    <w:rsid w:val="009B02EB"/>
    <w:rsid w:val="009B4ED5"/>
    <w:rsid w:val="009B5662"/>
    <w:rsid w:val="009C2211"/>
    <w:rsid w:val="009C40E8"/>
    <w:rsid w:val="009C45C5"/>
    <w:rsid w:val="009C4B21"/>
    <w:rsid w:val="009C6035"/>
    <w:rsid w:val="009C655F"/>
    <w:rsid w:val="009C79D3"/>
    <w:rsid w:val="009D4A49"/>
    <w:rsid w:val="009D5351"/>
    <w:rsid w:val="009E5F7E"/>
    <w:rsid w:val="009E6858"/>
    <w:rsid w:val="009E6F8C"/>
    <w:rsid w:val="009F405F"/>
    <w:rsid w:val="009F689D"/>
    <w:rsid w:val="00A0039B"/>
    <w:rsid w:val="00A0162A"/>
    <w:rsid w:val="00A01C56"/>
    <w:rsid w:val="00A063F5"/>
    <w:rsid w:val="00A126F0"/>
    <w:rsid w:val="00A22C92"/>
    <w:rsid w:val="00A22F87"/>
    <w:rsid w:val="00A300D4"/>
    <w:rsid w:val="00A30D70"/>
    <w:rsid w:val="00A32C50"/>
    <w:rsid w:val="00A33302"/>
    <w:rsid w:val="00A358E7"/>
    <w:rsid w:val="00A41A3A"/>
    <w:rsid w:val="00A4336B"/>
    <w:rsid w:val="00A4380B"/>
    <w:rsid w:val="00A44A21"/>
    <w:rsid w:val="00A46528"/>
    <w:rsid w:val="00A51A2D"/>
    <w:rsid w:val="00A52355"/>
    <w:rsid w:val="00A5596B"/>
    <w:rsid w:val="00A63BF9"/>
    <w:rsid w:val="00A63C07"/>
    <w:rsid w:val="00A63D9B"/>
    <w:rsid w:val="00A704DC"/>
    <w:rsid w:val="00A72968"/>
    <w:rsid w:val="00A73261"/>
    <w:rsid w:val="00A74E38"/>
    <w:rsid w:val="00A75348"/>
    <w:rsid w:val="00A80B56"/>
    <w:rsid w:val="00A81FD1"/>
    <w:rsid w:val="00A90CFC"/>
    <w:rsid w:val="00A91B67"/>
    <w:rsid w:val="00A926B8"/>
    <w:rsid w:val="00A93DC6"/>
    <w:rsid w:val="00A9411A"/>
    <w:rsid w:val="00AA1E10"/>
    <w:rsid w:val="00AA48CD"/>
    <w:rsid w:val="00AA4A4B"/>
    <w:rsid w:val="00AA55CD"/>
    <w:rsid w:val="00AA6682"/>
    <w:rsid w:val="00AB0613"/>
    <w:rsid w:val="00AB21C6"/>
    <w:rsid w:val="00AB470D"/>
    <w:rsid w:val="00AB5E59"/>
    <w:rsid w:val="00AB6A27"/>
    <w:rsid w:val="00AB7C5C"/>
    <w:rsid w:val="00AB7CBF"/>
    <w:rsid w:val="00AC5D9C"/>
    <w:rsid w:val="00AC617F"/>
    <w:rsid w:val="00AD0111"/>
    <w:rsid w:val="00AD082C"/>
    <w:rsid w:val="00AD0B68"/>
    <w:rsid w:val="00AD40C3"/>
    <w:rsid w:val="00AD4C72"/>
    <w:rsid w:val="00AD5451"/>
    <w:rsid w:val="00AE1947"/>
    <w:rsid w:val="00AE3057"/>
    <w:rsid w:val="00AE3F9E"/>
    <w:rsid w:val="00AF1C8B"/>
    <w:rsid w:val="00AF299B"/>
    <w:rsid w:val="00AF635A"/>
    <w:rsid w:val="00AF7E43"/>
    <w:rsid w:val="00B00629"/>
    <w:rsid w:val="00B02AE0"/>
    <w:rsid w:val="00B03F25"/>
    <w:rsid w:val="00B05326"/>
    <w:rsid w:val="00B0573E"/>
    <w:rsid w:val="00B0602B"/>
    <w:rsid w:val="00B060E0"/>
    <w:rsid w:val="00B07650"/>
    <w:rsid w:val="00B12719"/>
    <w:rsid w:val="00B1304F"/>
    <w:rsid w:val="00B14545"/>
    <w:rsid w:val="00B14768"/>
    <w:rsid w:val="00B14AF1"/>
    <w:rsid w:val="00B14E60"/>
    <w:rsid w:val="00B17309"/>
    <w:rsid w:val="00B17BA2"/>
    <w:rsid w:val="00B25A63"/>
    <w:rsid w:val="00B26DC3"/>
    <w:rsid w:val="00B30B9D"/>
    <w:rsid w:val="00B33B31"/>
    <w:rsid w:val="00B41A6B"/>
    <w:rsid w:val="00B44ABA"/>
    <w:rsid w:val="00B45145"/>
    <w:rsid w:val="00B4574D"/>
    <w:rsid w:val="00B468E1"/>
    <w:rsid w:val="00B46BC0"/>
    <w:rsid w:val="00B46DFB"/>
    <w:rsid w:val="00B47E6A"/>
    <w:rsid w:val="00B5141B"/>
    <w:rsid w:val="00B53D12"/>
    <w:rsid w:val="00B54BA4"/>
    <w:rsid w:val="00B55681"/>
    <w:rsid w:val="00B55862"/>
    <w:rsid w:val="00B56255"/>
    <w:rsid w:val="00B576DE"/>
    <w:rsid w:val="00B57AAD"/>
    <w:rsid w:val="00B6123E"/>
    <w:rsid w:val="00B61A81"/>
    <w:rsid w:val="00B62D02"/>
    <w:rsid w:val="00B6374E"/>
    <w:rsid w:val="00B63C4E"/>
    <w:rsid w:val="00B6495F"/>
    <w:rsid w:val="00B653FF"/>
    <w:rsid w:val="00B66113"/>
    <w:rsid w:val="00B67303"/>
    <w:rsid w:val="00B67B62"/>
    <w:rsid w:val="00B716A2"/>
    <w:rsid w:val="00B71E21"/>
    <w:rsid w:val="00B72B16"/>
    <w:rsid w:val="00B80408"/>
    <w:rsid w:val="00B81397"/>
    <w:rsid w:val="00B902A8"/>
    <w:rsid w:val="00B925DB"/>
    <w:rsid w:val="00B933D6"/>
    <w:rsid w:val="00B967FF"/>
    <w:rsid w:val="00B974B9"/>
    <w:rsid w:val="00B97BF7"/>
    <w:rsid w:val="00BA0357"/>
    <w:rsid w:val="00BA1378"/>
    <w:rsid w:val="00BA3F6D"/>
    <w:rsid w:val="00BA4BE6"/>
    <w:rsid w:val="00BA4FC0"/>
    <w:rsid w:val="00BA58F2"/>
    <w:rsid w:val="00BA61E0"/>
    <w:rsid w:val="00BA657C"/>
    <w:rsid w:val="00BA7783"/>
    <w:rsid w:val="00BA78A3"/>
    <w:rsid w:val="00BA7F7D"/>
    <w:rsid w:val="00BB0926"/>
    <w:rsid w:val="00BB0D39"/>
    <w:rsid w:val="00BB1443"/>
    <w:rsid w:val="00BB1C14"/>
    <w:rsid w:val="00BB220E"/>
    <w:rsid w:val="00BB2EB4"/>
    <w:rsid w:val="00BB6847"/>
    <w:rsid w:val="00BB7F8F"/>
    <w:rsid w:val="00BC161F"/>
    <w:rsid w:val="00BC4D7C"/>
    <w:rsid w:val="00BC58FC"/>
    <w:rsid w:val="00BC716A"/>
    <w:rsid w:val="00BC7EF6"/>
    <w:rsid w:val="00BD07DF"/>
    <w:rsid w:val="00BD0A73"/>
    <w:rsid w:val="00BD26F4"/>
    <w:rsid w:val="00BD5DBD"/>
    <w:rsid w:val="00BD5DF6"/>
    <w:rsid w:val="00BD7D6D"/>
    <w:rsid w:val="00BE0041"/>
    <w:rsid w:val="00BE0C60"/>
    <w:rsid w:val="00BE2ABF"/>
    <w:rsid w:val="00BE640F"/>
    <w:rsid w:val="00BE6D2A"/>
    <w:rsid w:val="00BE7C87"/>
    <w:rsid w:val="00BF3DDD"/>
    <w:rsid w:val="00BF4638"/>
    <w:rsid w:val="00BF4868"/>
    <w:rsid w:val="00BF5130"/>
    <w:rsid w:val="00BF5F8D"/>
    <w:rsid w:val="00C00844"/>
    <w:rsid w:val="00C038D3"/>
    <w:rsid w:val="00C03926"/>
    <w:rsid w:val="00C059D0"/>
    <w:rsid w:val="00C07551"/>
    <w:rsid w:val="00C1109F"/>
    <w:rsid w:val="00C12D65"/>
    <w:rsid w:val="00C133AB"/>
    <w:rsid w:val="00C15539"/>
    <w:rsid w:val="00C162CE"/>
    <w:rsid w:val="00C20841"/>
    <w:rsid w:val="00C20B56"/>
    <w:rsid w:val="00C22214"/>
    <w:rsid w:val="00C223FA"/>
    <w:rsid w:val="00C226E2"/>
    <w:rsid w:val="00C26F72"/>
    <w:rsid w:val="00C30396"/>
    <w:rsid w:val="00C309A7"/>
    <w:rsid w:val="00C335AB"/>
    <w:rsid w:val="00C342C6"/>
    <w:rsid w:val="00C407AB"/>
    <w:rsid w:val="00C43274"/>
    <w:rsid w:val="00C506E7"/>
    <w:rsid w:val="00C50E07"/>
    <w:rsid w:val="00C5237B"/>
    <w:rsid w:val="00C52B7B"/>
    <w:rsid w:val="00C540C4"/>
    <w:rsid w:val="00C547CD"/>
    <w:rsid w:val="00C54FD7"/>
    <w:rsid w:val="00C556B8"/>
    <w:rsid w:val="00C570FF"/>
    <w:rsid w:val="00C571B3"/>
    <w:rsid w:val="00C57CEA"/>
    <w:rsid w:val="00C609BC"/>
    <w:rsid w:val="00C60FEC"/>
    <w:rsid w:val="00C61688"/>
    <w:rsid w:val="00C62A8A"/>
    <w:rsid w:val="00C62B1C"/>
    <w:rsid w:val="00C64B59"/>
    <w:rsid w:val="00C651D8"/>
    <w:rsid w:val="00C6574E"/>
    <w:rsid w:val="00C663D1"/>
    <w:rsid w:val="00C707FD"/>
    <w:rsid w:val="00C7179D"/>
    <w:rsid w:val="00C72BFF"/>
    <w:rsid w:val="00C72EAF"/>
    <w:rsid w:val="00C7649D"/>
    <w:rsid w:val="00C76DEB"/>
    <w:rsid w:val="00C8060B"/>
    <w:rsid w:val="00C811D8"/>
    <w:rsid w:val="00C816C6"/>
    <w:rsid w:val="00C81D20"/>
    <w:rsid w:val="00C85ABA"/>
    <w:rsid w:val="00C863A7"/>
    <w:rsid w:val="00C90B46"/>
    <w:rsid w:val="00C912F4"/>
    <w:rsid w:val="00C9156F"/>
    <w:rsid w:val="00C92827"/>
    <w:rsid w:val="00C9581A"/>
    <w:rsid w:val="00C95E4B"/>
    <w:rsid w:val="00C97D29"/>
    <w:rsid w:val="00CA1317"/>
    <w:rsid w:val="00CA1C48"/>
    <w:rsid w:val="00CA58AA"/>
    <w:rsid w:val="00CA6671"/>
    <w:rsid w:val="00CB0550"/>
    <w:rsid w:val="00CB257E"/>
    <w:rsid w:val="00CB6813"/>
    <w:rsid w:val="00CC2984"/>
    <w:rsid w:val="00CC39EF"/>
    <w:rsid w:val="00CC7285"/>
    <w:rsid w:val="00CD54C4"/>
    <w:rsid w:val="00CD5855"/>
    <w:rsid w:val="00CE1609"/>
    <w:rsid w:val="00CE6B47"/>
    <w:rsid w:val="00CF1575"/>
    <w:rsid w:val="00CF4B55"/>
    <w:rsid w:val="00CF5EFA"/>
    <w:rsid w:val="00CF6A55"/>
    <w:rsid w:val="00CF6DC6"/>
    <w:rsid w:val="00CF6DCF"/>
    <w:rsid w:val="00D00F6B"/>
    <w:rsid w:val="00D01DDB"/>
    <w:rsid w:val="00D01DDF"/>
    <w:rsid w:val="00D02A78"/>
    <w:rsid w:val="00D0413F"/>
    <w:rsid w:val="00D05E3A"/>
    <w:rsid w:val="00D078BE"/>
    <w:rsid w:val="00D12B33"/>
    <w:rsid w:val="00D13F8A"/>
    <w:rsid w:val="00D13FEA"/>
    <w:rsid w:val="00D144E2"/>
    <w:rsid w:val="00D16F60"/>
    <w:rsid w:val="00D203B1"/>
    <w:rsid w:val="00D22981"/>
    <w:rsid w:val="00D243CA"/>
    <w:rsid w:val="00D3349B"/>
    <w:rsid w:val="00D33DC7"/>
    <w:rsid w:val="00D34409"/>
    <w:rsid w:val="00D41564"/>
    <w:rsid w:val="00D41F43"/>
    <w:rsid w:val="00D424A8"/>
    <w:rsid w:val="00D42A95"/>
    <w:rsid w:val="00D445FF"/>
    <w:rsid w:val="00D47901"/>
    <w:rsid w:val="00D47E19"/>
    <w:rsid w:val="00D51024"/>
    <w:rsid w:val="00D52290"/>
    <w:rsid w:val="00D54676"/>
    <w:rsid w:val="00D57388"/>
    <w:rsid w:val="00D578B5"/>
    <w:rsid w:val="00D6036F"/>
    <w:rsid w:val="00D60EDF"/>
    <w:rsid w:val="00D62877"/>
    <w:rsid w:val="00D631C7"/>
    <w:rsid w:val="00D63760"/>
    <w:rsid w:val="00D6492F"/>
    <w:rsid w:val="00D651BC"/>
    <w:rsid w:val="00D65E8C"/>
    <w:rsid w:val="00D6703F"/>
    <w:rsid w:val="00D67A49"/>
    <w:rsid w:val="00D70960"/>
    <w:rsid w:val="00D734EB"/>
    <w:rsid w:val="00D747EB"/>
    <w:rsid w:val="00D7786C"/>
    <w:rsid w:val="00D80C31"/>
    <w:rsid w:val="00D82713"/>
    <w:rsid w:val="00D83248"/>
    <w:rsid w:val="00D863D2"/>
    <w:rsid w:val="00D86F00"/>
    <w:rsid w:val="00D876CB"/>
    <w:rsid w:val="00D918D5"/>
    <w:rsid w:val="00D92B30"/>
    <w:rsid w:val="00D93C1D"/>
    <w:rsid w:val="00D94103"/>
    <w:rsid w:val="00D94C8E"/>
    <w:rsid w:val="00D9645D"/>
    <w:rsid w:val="00D9724C"/>
    <w:rsid w:val="00DA1634"/>
    <w:rsid w:val="00DB10D9"/>
    <w:rsid w:val="00DB1372"/>
    <w:rsid w:val="00DB192C"/>
    <w:rsid w:val="00DB1CF3"/>
    <w:rsid w:val="00DB5425"/>
    <w:rsid w:val="00DB72A6"/>
    <w:rsid w:val="00DC0590"/>
    <w:rsid w:val="00DC33AF"/>
    <w:rsid w:val="00DC533E"/>
    <w:rsid w:val="00DC6611"/>
    <w:rsid w:val="00DC72FB"/>
    <w:rsid w:val="00DC74FC"/>
    <w:rsid w:val="00DC7BC5"/>
    <w:rsid w:val="00DD21B4"/>
    <w:rsid w:val="00DD5364"/>
    <w:rsid w:val="00DD5AFB"/>
    <w:rsid w:val="00DE08A4"/>
    <w:rsid w:val="00DE111A"/>
    <w:rsid w:val="00DE1319"/>
    <w:rsid w:val="00DE1344"/>
    <w:rsid w:val="00DE30A6"/>
    <w:rsid w:val="00DE4BD3"/>
    <w:rsid w:val="00DE4F31"/>
    <w:rsid w:val="00DE6F82"/>
    <w:rsid w:val="00DF0670"/>
    <w:rsid w:val="00DF1CFD"/>
    <w:rsid w:val="00DF2CF8"/>
    <w:rsid w:val="00DF5BFE"/>
    <w:rsid w:val="00E00B26"/>
    <w:rsid w:val="00E0119B"/>
    <w:rsid w:val="00E02083"/>
    <w:rsid w:val="00E0523F"/>
    <w:rsid w:val="00E145B6"/>
    <w:rsid w:val="00E20BD6"/>
    <w:rsid w:val="00E2242E"/>
    <w:rsid w:val="00E23E50"/>
    <w:rsid w:val="00E24872"/>
    <w:rsid w:val="00E26213"/>
    <w:rsid w:val="00E2670B"/>
    <w:rsid w:val="00E274DF"/>
    <w:rsid w:val="00E33041"/>
    <w:rsid w:val="00E33268"/>
    <w:rsid w:val="00E34D66"/>
    <w:rsid w:val="00E35458"/>
    <w:rsid w:val="00E362C4"/>
    <w:rsid w:val="00E45111"/>
    <w:rsid w:val="00E456DC"/>
    <w:rsid w:val="00E45EBF"/>
    <w:rsid w:val="00E46CC2"/>
    <w:rsid w:val="00E475EC"/>
    <w:rsid w:val="00E47E0C"/>
    <w:rsid w:val="00E51813"/>
    <w:rsid w:val="00E52C0B"/>
    <w:rsid w:val="00E53D3F"/>
    <w:rsid w:val="00E5579B"/>
    <w:rsid w:val="00E56D55"/>
    <w:rsid w:val="00E57FF4"/>
    <w:rsid w:val="00E624DE"/>
    <w:rsid w:val="00E6251C"/>
    <w:rsid w:val="00E62542"/>
    <w:rsid w:val="00E64DF8"/>
    <w:rsid w:val="00E679D1"/>
    <w:rsid w:val="00E67C1C"/>
    <w:rsid w:val="00E72B2D"/>
    <w:rsid w:val="00E7403B"/>
    <w:rsid w:val="00E86FB9"/>
    <w:rsid w:val="00E9128E"/>
    <w:rsid w:val="00E91F11"/>
    <w:rsid w:val="00E95110"/>
    <w:rsid w:val="00E9706D"/>
    <w:rsid w:val="00EA151E"/>
    <w:rsid w:val="00EA3AF4"/>
    <w:rsid w:val="00EB3D9D"/>
    <w:rsid w:val="00EC07FF"/>
    <w:rsid w:val="00EC3FD1"/>
    <w:rsid w:val="00EC5A52"/>
    <w:rsid w:val="00ED0286"/>
    <w:rsid w:val="00ED1612"/>
    <w:rsid w:val="00ED19E3"/>
    <w:rsid w:val="00ED1FA2"/>
    <w:rsid w:val="00ED2032"/>
    <w:rsid w:val="00ED5300"/>
    <w:rsid w:val="00EE1E95"/>
    <w:rsid w:val="00EE4B01"/>
    <w:rsid w:val="00EE4EF5"/>
    <w:rsid w:val="00EE52D9"/>
    <w:rsid w:val="00EE65AE"/>
    <w:rsid w:val="00EE782E"/>
    <w:rsid w:val="00EF0C5F"/>
    <w:rsid w:val="00EF3F0B"/>
    <w:rsid w:val="00EF5583"/>
    <w:rsid w:val="00EF71D2"/>
    <w:rsid w:val="00F0289D"/>
    <w:rsid w:val="00F02AEC"/>
    <w:rsid w:val="00F038AA"/>
    <w:rsid w:val="00F07572"/>
    <w:rsid w:val="00F075F8"/>
    <w:rsid w:val="00F10821"/>
    <w:rsid w:val="00F11BDB"/>
    <w:rsid w:val="00F123A8"/>
    <w:rsid w:val="00F124F4"/>
    <w:rsid w:val="00F157FC"/>
    <w:rsid w:val="00F1745F"/>
    <w:rsid w:val="00F2776F"/>
    <w:rsid w:val="00F30AF3"/>
    <w:rsid w:val="00F33589"/>
    <w:rsid w:val="00F3610C"/>
    <w:rsid w:val="00F36418"/>
    <w:rsid w:val="00F41511"/>
    <w:rsid w:val="00F43CD1"/>
    <w:rsid w:val="00F44196"/>
    <w:rsid w:val="00F45AE0"/>
    <w:rsid w:val="00F465D1"/>
    <w:rsid w:val="00F60CF2"/>
    <w:rsid w:val="00F60F3A"/>
    <w:rsid w:val="00F657B4"/>
    <w:rsid w:val="00F6654F"/>
    <w:rsid w:val="00F71501"/>
    <w:rsid w:val="00F71775"/>
    <w:rsid w:val="00F72725"/>
    <w:rsid w:val="00F746DB"/>
    <w:rsid w:val="00F74B47"/>
    <w:rsid w:val="00F7649F"/>
    <w:rsid w:val="00F76554"/>
    <w:rsid w:val="00F77649"/>
    <w:rsid w:val="00F8083B"/>
    <w:rsid w:val="00F81C5C"/>
    <w:rsid w:val="00F82D1B"/>
    <w:rsid w:val="00F83534"/>
    <w:rsid w:val="00F8448A"/>
    <w:rsid w:val="00F8449A"/>
    <w:rsid w:val="00F844A9"/>
    <w:rsid w:val="00F8568E"/>
    <w:rsid w:val="00F865A7"/>
    <w:rsid w:val="00F871B8"/>
    <w:rsid w:val="00F93400"/>
    <w:rsid w:val="00FA0754"/>
    <w:rsid w:val="00FA1BC9"/>
    <w:rsid w:val="00FA49C3"/>
    <w:rsid w:val="00FA56BA"/>
    <w:rsid w:val="00FA59C2"/>
    <w:rsid w:val="00FA5ACD"/>
    <w:rsid w:val="00FA7C2E"/>
    <w:rsid w:val="00FB17E6"/>
    <w:rsid w:val="00FB236E"/>
    <w:rsid w:val="00FB3F7B"/>
    <w:rsid w:val="00FB4C2A"/>
    <w:rsid w:val="00FB577C"/>
    <w:rsid w:val="00FB609D"/>
    <w:rsid w:val="00FB6599"/>
    <w:rsid w:val="00FB779E"/>
    <w:rsid w:val="00FC2107"/>
    <w:rsid w:val="00FC2E96"/>
    <w:rsid w:val="00FC48FE"/>
    <w:rsid w:val="00FC6F56"/>
    <w:rsid w:val="00FC73C4"/>
    <w:rsid w:val="00FD0EDC"/>
    <w:rsid w:val="00FD49FF"/>
    <w:rsid w:val="00FD79AF"/>
    <w:rsid w:val="00FD7C66"/>
    <w:rsid w:val="00FE087C"/>
    <w:rsid w:val="00FE3013"/>
    <w:rsid w:val="00FE79A0"/>
    <w:rsid w:val="00FF0939"/>
    <w:rsid w:val="00FF5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C556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20B3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C556B8"/>
    <w:rPr>
      <w:rFonts w:asciiTheme="majorHAnsi" w:eastAsiaTheme="majorEastAsia" w:hAnsiTheme="majorHAnsi" w:cstheme="majorBidi"/>
      <w:color w:val="2F5496" w:themeColor="accent1" w:themeShade="BF"/>
      <w:sz w:val="32"/>
      <w:szCs w:val="32"/>
    </w:rPr>
  </w:style>
  <w:style w:type="paragraph" w:customStyle="1" w:styleId="BodytextEMA">
    <w:name w:val="Body text (EMA)"/>
    <w:basedOn w:val="Normal"/>
    <w:link w:val="BodytextEMAChar"/>
    <w:qFormat/>
    <w:rsid w:val="007F72ED"/>
    <w:pPr>
      <w:spacing w:after="140" w:line="280" w:lineRule="atLeast"/>
    </w:pPr>
    <w:rPr>
      <w:rFonts w:ascii="Verdana" w:eastAsia="SimSun" w:hAnsi="Verdana" w:cs="Verdana"/>
      <w:sz w:val="18"/>
      <w:szCs w:val="18"/>
      <w:lang w:val="en-GB" w:eastAsia="zh-CN"/>
    </w:rPr>
  </w:style>
  <w:style w:type="character" w:customStyle="1" w:styleId="BodytextEMAChar">
    <w:name w:val="Body text (EMA) Char"/>
    <w:basedOn w:val="DefaultParagraphFont"/>
    <w:link w:val="BodytextEMA"/>
    <w:rsid w:val="007F72ED"/>
    <w:rPr>
      <w:rFonts w:ascii="Verdana" w:eastAsia="SimSun" w:hAnsi="Verdana" w:cs="Verdana"/>
      <w:sz w:val="18"/>
      <w:szCs w:val="18"/>
      <w:lang w:val="en-GB" w:eastAsia="zh-CN"/>
    </w:rPr>
  </w:style>
  <w:style w:type="paragraph" w:customStyle="1" w:styleId="Bulletpoint">
    <w:name w:val="Bullet point"/>
    <w:basedOn w:val="Normal"/>
    <w:rsid w:val="00327EDB"/>
    <w:pPr>
      <w:numPr>
        <w:numId w:val="14"/>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paragraph" w:customStyle="1" w:styleId="Tabletext0">
    <w:name w:val="Table text"/>
    <w:basedOn w:val="Normal"/>
    <w:rsid w:val="005108E2"/>
    <w:pPr>
      <w:spacing w:before="120" w:line="240" w:lineRule="atLeast"/>
    </w:pPr>
    <w:rPr>
      <w:rFonts w:eastAsia="Cambria" w:cs="Times New Roman"/>
      <w:sz w:val="19"/>
      <w:szCs w:val="22"/>
    </w:rPr>
  </w:style>
  <w:style w:type="character" w:customStyle="1" w:styleId="A6">
    <w:name w:val="A6"/>
    <w:uiPriority w:val="99"/>
    <w:rsid w:val="00E7403B"/>
    <w:rPr>
      <w:rFonts w:cs="ScalaLancetPro"/>
      <w:color w:val="000000"/>
      <w:sz w:val="9"/>
      <w:szCs w:val="9"/>
    </w:rPr>
  </w:style>
  <w:style w:type="character" w:customStyle="1" w:styleId="Heading7Char">
    <w:name w:val="Heading 7 Char"/>
    <w:basedOn w:val="DefaultParagraphFont"/>
    <w:link w:val="Heading7"/>
    <w:uiPriority w:val="9"/>
    <w:rsid w:val="00720B33"/>
    <w:rPr>
      <w:rFonts w:asciiTheme="majorHAnsi" w:eastAsiaTheme="majorEastAsia" w:hAnsiTheme="majorHAnsi" w:cstheme="majorBidi"/>
      <w:i/>
      <w:iCs/>
      <w:color w:val="1F3763" w:themeColor="accent1" w:themeShade="7F"/>
      <w:sz w:val="22"/>
    </w:rPr>
  </w:style>
  <w:style w:type="character" w:customStyle="1" w:styleId="A5">
    <w:name w:val="A5"/>
    <w:uiPriority w:val="99"/>
    <w:rsid w:val="003F1D4F"/>
    <w:rPr>
      <w:rFonts w:cs="ScalaLancetPro"/>
      <w:color w:val="000000"/>
      <w:sz w:val="9"/>
      <w:szCs w:val="9"/>
    </w:rPr>
  </w:style>
  <w:style w:type="paragraph" w:customStyle="1" w:styleId="Standard">
    <w:name w:val="Standard"/>
    <w:basedOn w:val="Normal"/>
    <w:link w:val="StandardChar"/>
    <w:qFormat/>
    <w:rsid w:val="00A91B67"/>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A91B6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91B67"/>
    <w:pPr>
      <w:numPr>
        <w:numId w:val="36"/>
      </w:numPr>
      <w:spacing w:after="180"/>
      <w:ind w:left="426" w:hanging="284"/>
    </w:pPr>
    <w:rPr>
      <w:kern w:val="2"/>
    </w:rPr>
  </w:style>
  <w:style w:type="character" w:customStyle="1" w:styleId="BulletlistChar">
    <w:name w:val="Bullet list Char"/>
    <w:basedOn w:val="StandardChar"/>
    <w:link w:val="Bulletlist"/>
    <w:rsid w:val="00A91B67"/>
    <w:rPr>
      <w:rFonts w:ascii="Cambria" w:eastAsia="Times New Roman" w:hAnsi="Cambria" w:cs="Times New Roman"/>
      <w:snapToGrid w:val="0"/>
      <w:kern w:val="2"/>
      <w:sz w:val="23"/>
      <w:szCs w:val="24"/>
    </w:rPr>
  </w:style>
  <w:style w:type="paragraph" w:customStyle="1" w:styleId="RapupdateoverviewBodytext">
    <w:name w:val="Rap update overview Body text"/>
    <w:basedOn w:val="Normal"/>
    <w:link w:val="RapupdateoverviewBodytextChar"/>
    <w:qFormat/>
    <w:rsid w:val="00283D71"/>
    <w:pPr>
      <w:spacing w:after="140" w:line="280" w:lineRule="atLeast"/>
    </w:pPr>
    <w:rPr>
      <w:rFonts w:ascii="Verdana" w:eastAsia="Verdana" w:hAnsi="Verdana" w:cs="Verdana"/>
      <w:color w:val="7030A0"/>
      <w:sz w:val="18"/>
      <w:szCs w:val="18"/>
      <w:lang w:val="en-GB" w:eastAsia="en-GB"/>
    </w:rPr>
  </w:style>
  <w:style w:type="character" w:customStyle="1" w:styleId="RapupdateoverviewBodytextChar">
    <w:name w:val="Rap update overview Body text Char"/>
    <w:basedOn w:val="DefaultParagraphFont"/>
    <w:link w:val="RapupdateoverviewBodytext"/>
    <w:rsid w:val="00283D71"/>
    <w:rPr>
      <w:rFonts w:ascii="Verdana" w:eastAsia="Verdana" w:hAnsi="Verdana" w:cs="Verdana"/>
      <w:color w:val="7030A0"/>
      <w:sz w:val="18"/>
      <w:szCs w:val="18"/>
      <w:lang w:val="en-GB" w:eastAsia="en-GB"/>
    </w:rPr>
  </w:style>
  <w:style w:type="table" w:styleId="TableGridLight">
    <w:name w:val="Grid Table Light"/>
    <w:basedOn w:val="TableNormal"/>
    <w:uiPriority w:val="40"/>
    <w:rsid w:val="00D93C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10.tmp"/><Relationship Id="rId39" Type="http://schemas.openxmlformats.org/officeDocument/2006/relationships/hyperlink" Target="https://www.tga.gov.au/resources/resource/guidance/risk-management-plans-medicines-and-biologicals/australia-specific-annex-eu-rmp" TargetMode="External"/><Relationship Id="rId21" Type="http://schemas.openxmlformats.org/officeDocument/2006/relationships/image" Target="media/image6.tmp"/><Relationship Id="rId34" Type="http://schemas.microsoft.com/office/2007/relationships/hdphoto" Target="media/hdphoto2.wdp"/><Relationship Id="rId42" Type="http://schemas.openxmlformats.org/officeDocument/2006/relationships/hyperlink" Target="https://www.ebs.tga.gov.au/" TargetMode="External"/><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3.tmp"/><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6.tmp"/><Relationship Id="rId37" Type="http://schemas.openxmlformats.org/officeDocument/2006/relationships/hyperlink" Target="https://www.tga.gov.au/publication/risk-management-plans-medicines-and-biologicals" TargetMode="External"/><Relationship Id="rId40" Type="http://schemas.openxmlformats.org/officeDocument/2006/relationships/hyperlink" Target="https://www.tga.gov.au/resources/resource/guidance/risk-management-plans-medicines-and-biologicals/australia-specific-annex-eu-rmp" TargetMode="External"/><Relationship Id="rId45"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2.tmp"/><Relationship Id="rId36" Type="http://schemas.microsoft.com/office/2007/relationships/hdphoto" Target="media/hdphoto3.wdp"/><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5.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emf"/><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tga.gov.au/tgas-risk-management-approach" TargetMode="External"/><Relationship Id="rId46" Type="http://schemas.openxmlformats.org/officeDocument/2006/relationships/hyperlink" Target="https://www.tga.gov.au" TargetMode="External"/><Relationship Id="rId20" Type="http://schemas.openxmlformats.org/officeDocument/2006/relationships/hyperlink" Target="https://www.tga.gov.au/resources/resource/guidance/orphan-drug-designation" TargetMode="External"/><Relationship Id="rId41" Type="http://schemas.openxmlformats.org/officeDocument/2006/relationships/hyperlink" Target="https://www.tga.gov.au/committee/advisory-committee-medicines-ac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7355_2008_022" TargetMode="External"/><Relationship Id="rId13" Type="http://schemas.openxmlformats.org/officeDocument/2006/relationships/hyperlink" Target="https://www.tga.gov.au/resources/artg/337367" TargetMode="External"/><Relationship Id="rId3" Type="http://schemas.openxmlformats.org/officeDocument/2006/relationships/hyperlink" Target="https://doi.org/10.1016/j.jcf.2008.03.009" TargetMode="External"/><Relationship Id="rId7" Type="http://schemas.openxmlformats.org/officeDocument/2006/relationships/hyperlink" Target="https://doi.org/10.7759/cureus.29359" TargetMode="External"/><Relationship Id="rId12" Type="http://schemas.openxmlformats.org/officeDocument/2006/relationships/hyperlink" Target="https://www.tga.gov.au/resources/artg/298329" TargetMode="External"/><Relationship Id="rId17" Type="http://schemas.openxmlformats.org/officeDocument/2006/relationships/hyperlink" Target="https://doi.org/10.1016/j.jcf.2016.10.002" TargetMode="External"/><Relationship Id="rId2" Type="http://schemas.openxmlformats.org/officeDocument/2006/relationships/hyperlink" Target="https://doi.org/10.3389/fphar.2019.01662" TargetMode="External"/><Relationship Id="rId16" Type="http://schemas.openxmlformats.org/officeDocument/2006/relationships/hyperlink" Target="https://doi.org/10.1016/j.jcf.2015.01.005" TargetMode="External"/><Relationship Id="rId1" Type="http://schemas.openxmlformats.org/officeDocument/2006/relationships/hyperlink" Target="https://doi.org/10.1016/S0140-6736(16)00576-6" TargetMode="External"/><Relationship Id="rId6" Type="http://schemas.openxmlformats.org/officeDocument/2006/relationships/hyperlink" Target="https://doi.org/10.3390/children10030554" TargetMode="External"/><Relationship Id="rId11" Type="http://schemas.openxmlformats.org/officeDocument/2006/relationships/hyperlink" Target="https://doi.org/10.1016/S0140-6736(19)32597-8" TargetMode="External"/><Relationship Id="rId5" Type="http://schemas.openxmlformats.org/officeDocument/2006/relationships/hyperlink" Target="https://doi.org/10.36416/1806-3756/e20230187" TargetMode="External"/><Relationship Id="rId15" Type="http://schemas.openxmlformats.org/officeDocument/2006/relationships/hyperlink" Target="https://www.tga.gov.au/resources/artg/198655" TargetMode="External"/><Relationship Id="rId10" Type="http://schemas.openxmlformats.org/officeDocument/2006/relationships/hyperlink" Target="https://doi.org/10.1056/NEJMoa1908639" TargetMode="External"/><Relationship Id="rId4" Type="http://schemas.openxmlformats.org/officeDocument/2006/relationships/hyperlink" Target="https://www.cysticfibrosis.org.au/cf-data-registry/" TargetMode="External"/><Relationship Id="rId9" Type="http://schemas.openxmlformats.org/officeDocument/2006/relationships/hyperlink" Target="https://doi.org/10.1164/rccm.202108-1986OC" TargetMode="External"/><Relationship Id="rId14" Type="http://schemas.openxmlformats.org/officeDocument/2006/relationships/hyperlink" Target="https://www.tga.gov.au/resources/artg/40213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6999C5B71642DEBC542CBA3C19FCFB"/>
        <w:category>
          <w:name w:val="General"/>
          <w:gallery w:val="placeholder"/>
        </w:category>
        <w:types>
          <w:type w:val="bbPlcHdr"/>
        </w:types>
        <w:behaviors>
          <w:behavior w:val="content"/>
        </w:behaviors>
        <w:guid w:val="{EFDAD872-ACEC-4FD4-84E3-4D14D3E5F17B}"/>
      </w:docPartPr>
      <w:docPartBody>
        <w:p w:rsidR="00345D82" w:rsidRDefault="00465754" w:rsidP="00465754">
          <w:pPr>
            <w:pStyle w:val="256999C5B71642DEBC542CBA3C19FCFB"/>
          </w:pPr>
          <w:r w:rsidRPr="00C55EF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calaLancetPro">
    <w:altName w:val="Cambri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NewRomanPSMT">
    <w:altName w:val="Yu Gothic"/>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8070000" w:usb2="00000010" w:usb3="00000000" w:csb0="00020001" w:csb1="00000000"/>
  </w:font>
  <w:font w:name="Arial,Bold">
    <w:altName w:val="Klee One"/>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athDesign-UT-Regular-T1-10">
    <w:altName w:val="Yu Gothic"/>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754"/>
    <w:rsid w:val="00086052"/>
    <w:rsid w:val="0013514E"/>
    <w:rsid w:val="001B2D4B"/>
    <w:rsid w:val="002D70B9"/>
    <w:rsid w:val="00345D82"/>
    <w:rsid w:val="00350444"/>
    <w:rsid w:val="003933A5"/>
    <w:rsid w:val="003D321E"/>
    <w:rsid w:val="00465754"/>
    <w:rsid w:val="004B053F"/>
    <w:rsid w:val="00735BCE"/>
    <w:rsid w:val="007E38E6"/>
    <w:rsid w:val="007F492D"/>
    <w:rsid w:val="008D780B"/>
    <w:rsid w:val="008F4A34"/>
    <w:rsid w:val="009049BE"/>
    <w:rsid w:val="00987019"/>
    <w:rsid w:val="00A0162A"/>
    <w:rsid w:val="00A81FD1"/>
    <w:rsid w:val="00AB1B57"/>
    <w:rsid w:val="00B270B5"/>
    <w:rsid w:val="00B716A2"/>
    <w:rsid w:val="00B72191"/>
    <w:rsid w:val="00BB2EB4"/>
    <w:rsid w:val="00BC66D1"/>
    <w:rsid w:val="00C64B59"/>
    <w:rsid w:val="00C94A36"/>
    <w:rsid w:val="00D0413F"/>
    <w:rsid w:val="00D863D2"/>
    <w:rsid w:val="00D91859"/>
    <w:rsid w:val="00DC74FC"/>
    <w:rsid w:val="00E0792B"/>
    <w:rsid w:val="00E33041"/>
    <w:rsid w:val="00E9128E"/>
    <w:rsid w:val="00F565E6"/>
    <w:rsid w:val="00F634B9"/>
    <w:rsid w:val="00FC4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754"/>
    <w:rPr>
      <w:color w:val="808080"/>
    </w:rPr>
  </w:style>
  <w:style w:type="paragraph" w:customStyle="1" w:styleId="256999C5B71642DEBC542CBA3C19FCFB">
    <w:name w:val="256999C5B71642DEBC542CBA3C19FCFB"/>
    <w:rsid w:val="00465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0a736f1a-6d66-4d7b-be62-d43e1e9bdc3b}" enabled="1" method="Standard" siteId="{69ce8198-0346-4196-b83f-1ae289c868d4}"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47</Pages>
  <Words>15392</Words>
  <Characters>86326</Characters>
  <Application>Microsoft Office Word</Application>
  <DocSecurity>0</DocSecurity>
  <Lines>1970</Lines>
  <Paragraphs>937</Paragraphs>
  <ScaleCrop>false</ScaleCrop>
  <HeadingPairs>
    <vt:vector size="2" baseType="variant">
      <vt:variant>
        <vt:lpstr>Title</vt:lpstr>
      </vt:variant>
      <vt:variant>
        <vt:i4>1</vt:i4>
      </vt:variant>
    </vt:vector>
  </HeadingPairs>
  <TitlesOfParts>
    <vt:vector size="1" baseType="lpstr">
      <vt:lpstr>Australian public assessment report for Alyftrek</vt:lpstr>
    </vt:vector>
  </TitlesOfParts>
  <Company>Department of Health, Disability and Ageing</Company>
  <LinksUpToDate>false</LinksUpToDate>
  <CharactersWithSpaces>101195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Alyftrek</dc:title>
  <dc:subject>Prescription medicines</dc:subject>
  <dc:creator>Therapeutic Goods Administration</dc:creator>
  <cp:keywords/>
  <dc:description/>
  <cp:lastModifiedBy>LACK, Janet</cp:lastModifiedBy>
  <cp:revision>4</cp:revision>
  <dcterms:created xsi:type="dcterms:W3CDTF">2026-04-28T23:51:00Z</dcterms:created>
  <dcterms:modified xsi:type="dcterms:W3CDTF">2026-04-29T02:37:00Z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